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宋体" w:hAnsi="宋体" w:cs="宋体"/>
          <w:color w:val="auto"/>
          <w:sz w:val="52"/>
          <w:szCs w:val="52"/>
        </w:rPr>
      </w:pPr>
    </w:p>
    <w:p>
      <w:pPr>
        <w:spacing w:beforeLines="50" w:line="360" w:lineRule="auto"/>
        <w:jc w:val="center"/>
        <w:rPr>
          <w:rFonts w:ascii="宋体" w:hAnsi="宋体" w:cs="宋体"/>
          <w:color w:val="auto"/>
          <w:sz w:val="52"/>
          <w:szCs w:val="52"/>
        </w:rPr>
      </w:pPr>
      <w:r>
        <w:rPr>
          <w:rFonts w:hint="eastAsia" w:ascii="宋体" w:hAnsi="宋体" w:cs="宋体"/>
          <w:color w:val="auto"/>
          <w:sz w:val="52"/>
          <w:szCs w:val="52"/>
        </w:rPr>
        <w:t>公开招标文件（货物类）</w:t>
      </w:r>
    </w:p>
    <w:p>
      <w:pPr>
        <w:spacing w:beforeLines="50" w:line="360" w:lineRule="auto"/>
        <w:jc w:val="center"/>
        <w:rPr>
          <w:rFonts w:ascii="宋体" w:hAnsi="宋体" w:cs="宋体"/>
          <w:b/>
          <w:color w:val="auto"/>
          <w:sz w:val="48"/>
          <w:szCs w:val="48"/>
        </w:rPr>
      </w:pPr>
    </w:p>
    <w:p>
      <w:pPr>
        <w:spacing w:beforeLines="50" w:line="360" w:lineRule="auto"/>
        <w:jc w:val="center"/>
        <w:rPr>
          <w:rFonts w:ascii="宋体" w:hAnsi="宋体" w:cs="宋体"/>
          <w:b/>
          <w:color w:val="auto"/>
          <w:sz w:val="48"/>
          <w:szCs w:val="48"/>
        </w:rPr>
      </w:pPr>
    </w:p>
    <w:p>
      <w:pPr>
        <w:snapToGrid w:val="0"/>
        <w:spacing w:beforeLines="50" w:line="360" w:lineRule="auto"/>
        <w:jc w:val="center"/>
        <w:rPr>
          <w:rFonts w:ascii="宋体" w:hAnsi="宋体" w:cs="宋体"/>
          <w:color w:val="auto"/>
          <w:sz w:val="72"/>
          <w:szCs w:val="72"/>
        </w:rPr>
      </w:pPr>
      <w:r>
        <w:rPr>
          <w:rFonts w:hint="eastAsia" w:ascii="宋体" w:hAnsi="宋体" w:cs="宋体"/>
          <w:color w:val="auto"/>
          <w:sz w:val="72"/>
          <w:szCs w:val="72"/>
        </w:rPr>
        <w:t>招 标 文 件</w:t>
      </w:r>
    </w:p>
    <w:p>
      <w:pPr>
        <w:snapToGrid w:val="0"/>
        <w:spacing w:beforeLines="50" w:line="360" w:lineRule="auto"/>
        <w:jc w:val="center"/>
        <w:rPr>
          <w:rFonts w:ascii="宋体" w:hAnsi="宋体" w:cs="宋体"/>
          <w:color w:val="auto"/>
          <w:sz w:val="30"/>
          <w:szCs w:val="72"/>
        </w:rPr>
      </w:pPr>
      <w:r>
        <w:rPr>
          <w:rFonts w:hint="eastAsia" w:ascii="宋体" w:hAnsi="宋体" w:cs="宋体"/>
          <w:color w:val="auto"/>
          <w:sz w:val="30"/>
          <w:szCs w:val="72"/>
        </w:rPr>
        <w:t>（全流程电子化评标）</w:t>
      </w:r>
    </w:p>
    <w:p>
      <w:pPr>
        <w:snapToGrid w:val="0"/>
        <w:spacing w:beforeLines="50" w:line="360" w:lineRule="auto"/>
        <w:jc w:val="center"/>
        <w:rPr>
          <w:rFonts w:ascii="宋体" w:hAnsi="宋体" w:cs="宋体"/>
          <w:color w:val="auto"/>
          <w:sz w:val="30"/>
          <w:szCs w:val="72"/>
        </w:rPr>
      </w:pPr>
    </w:p>
    <w:p>
      <w:pPr>
        <w:pStyle w:val="14"/>
        <w:snapToGrid w:val="0"/>
        <w:spacing w:before="50" w:after="120" w:line="360" w:lineRule="auto"/>
        <w:jc w:val="center"/>
        <w:rPr>
          <w:rFonts w:hint="eastAsia" w:hAnsi="宋体" w:eastAsia="宋体" w:cs="宋体"/>
          <w:b/>
          <w:bCs/>
          <w:color w:val="auto"/>
          <w:sz w:val="30"/>
          <w:szCs w:val="30"/>
          <w:lang w:eastAsia="zh-CN"/>
        </w:rPr>
      </w:pPr>
      <w:r>
        <w:rPr>
          <w:rFonts w:hint="eastAsia" w:hAnsi="宋体" w:cs="宋体"/>
          <w:b/>
          <w:bCs/>
          <w:color w:val="auto"/>
          <w:sz w:val="30"/>
          <w:szCs w:val="30"/>
        </w:rPr>
        <w:t>项目名称：</w:t>
      </w:r>
      <w:r>
        <w:rPr>
          <w:rFonts w:hint="eastAsia" w:hAnsi="宋体" w:cs="宋体"/>
          <w:b/>
          <w:bCs/>
          <w:color w:val="auto"/>
          <w:sz w:val="30"/>
          <w:szCs w:val="30"/>
          <w:lang w:eastAsia="zh-CN"/>
        </w:rPr>
        <w:t>3.0T磁共振成像系统采购项目</w:t>
      </w:r>
    </w:p>
    <w:p>
      <w:pPr>
        <w:snapToGrid w:val="0"/>
        <w:spacing w:beforeLines="50" w:line="360" w:lineRule="auto"/>
        <w:jc w:val="center"/>
        <w:rPr>
          <w:rFonts w:hint="eastAsia" w:ascii="宋体" w:hAnsi="宋体" w:eastAsia="宋体" w:cs="宋体"/>
          <w:b/>
          <w:color w:val="auto"/>
          <w:sz w:val="30"/>
          <w:szCs w:val="48"/>
          <w:lang w:eastAsia="zh-CN"/>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GXZC2023-G1-004318-KLZB</w:t>
      </w:r>
    </w:p>
    <w:p>
      <w:pPr>
        <w:pStyle w:val="14"/>
        <w:snapToGrid w:val="0"/>
        <w:spacing w:before="50" w:after="120" w:line="360" w:lineRule="auto"/>
        <w:jc w:val="center"/>
        <w:rPr>
          <w:rFonts w:hAnsi="宋体" w:cs="宋体"/>
          <w:b/>
          <w:bCs/>
          <w:color w:val="auto"/>
          <w:w w:val="95"/>
          <w:sz w:val="30"/>
          <w:szCs w:val="30"/>
        </w:rPr>
      </w:pPr>
    </w:p>
    <w:p>
      <w:pPr>
        <w:pStyle w:val="14"/>
        <w:snapToGrid w:val="0"/>
        <w:spacing w:before="50" w:after="120" w:line="360" w:lineRule="auto"/>
        <w:jc w:val="center"/>
        <w:rPr>
          <w:rFonts w:hAnsi="宋体" w:cs="宋体"/>
          <w:b/>
          <w:bCs/>
          <w:color w:val="auto"/>
          <w:w w:val="95"/>
          <w:sz w:val="30"/>
          <w:szCs w:val="30"/>
        </w:rPr>
      </w:pPr>
    </w:p>
    <w:p>
      <w:pPr>
        <w:pStyle w:val="14"/>
        <w:snapToGrid w:val="0"/>
        <w:spacing w:before="50" w:after="120" w:line="360" w:lineRule="auto"/>
        <w:jc w:val="center"/>
        <w:rPr>
          <w:rFonts w:hAnsi="宋体" w:cs="宋体"/>
          <w:b/>
          <w:bCs/>
          <w:color w:val="auto"/>
          <w:w w:val="95"/>
          <w:sz w:val="30"/>
          <w:szCs w:val="30"/>
        </w:rPr>
      </w:pPr>
    </w:p>
    <w:p>
      <w:pPr>
        <w:pStyle w:val="14"/>
        <w:snapToGrid w:val="0"/>
        <w:spacing w:before="50" w:after="120" w:line="360" w:lineRule="auto"/>
        <w:jc w:val="center"/>
        <w:rPr>
          <w:rFonts w:hint="eastAsia" w:hAnsi="宋体" w:eastAsia="宋体" w:cs="宋体"/>
          <w:b/>
          <w:bCs/>
          <w:color w:val="auto"/>
          <w:sz w:val="30"/>
          <w:szCs w:val="30"/>
          <w:lang w:eastAsia="zh-CN"/>
        </w:rPr>
      </w:pPr>
      <w:r>
        <w:rPr>
          <w:rFonts w:hint="eastAsia" w:hAnsi="宋体" w:cs="宋体"/>
          <w:b/>
          <w:bCs/>
          <w:color w:val="auto"/>
          <w:sz w:val="30"/>
          <w:szCs w:val="30"/>
        </w:rPr>
        <w:t>采购人：</w:t>
      </w:r>
      <w:r>
        <w:rPr>
          <w:rFonts w:hint="eastAsia" w:hAnsi="宋体" w:cs="宋体"/>
          <w:b/>
          <w:bCs/>
          <w:color w:val="auto"/>
          <w:sz w:val="30"/>
          <w:szCs w:val="30"/>
          <w:lang w:eastAsia="zh-CN"/>
        </w:rPr>
        <w:t>广西医科大学第一附属医院</w:t>
      </w:r>
    </w:p>
    <w:p>
      <w:pPr>
        <w:pStyle w:val="14"/>
        <w:snapToGrid w:val="0"/>
        <w:spacing w:before="50" w:after="120" w:line="360" w:lineRule="auto"/>
        <w:jc w:val="center"/>
        <w:rPr>
          <w:rFonts w:hAnsi="宋体" w:cs="宋体"/>
          <w:b/>
          <w:bCs/>
          <w:color w:val="auto"/>
          <w:sz w:val="30"/>
          <w:szCs w:val="30"/>
        </w:rPr>
      </w:pPr>
      <w:r>
        <w:rPr>
          <w:rFonts w:hint="eastAsia" w:hAnsi="宋体" w:cs="宋体"/>
          <w:b/>
          <w:bCs/>
          <w:color w:val="auto"/>
          <w:sz w:val="30"/>
          <w:szCs w:val="30"/>
        </w:rPr>
        <w:t>采购代理机构：</w:t>
      </w:r>
      <w:bookmarkStart w:id="0" w:name="PO_3000001867_PM031"/>
      <w:r>
        <w:rPr>
          <w:rFonts w:hint="eastAsia" w:hAnsi="宋体" w:cs="宋体"/>
          <w:b/>
          <w:bCs/>
          <w:color w:val="auto"/>
          <w:sz w:val="30"/>
          <w:szCs w:val="30"/>
        </w:rPr>
        <w:t>广西科联招标中心有限公司</w:t>
      </w:r>
      <w:bookmarkEnd w:id="0"/>
    </w:p>
    <w:p>
      <w:pPr>
        <w:pStyle w:val="14"/>
        <w:snapToGrid w:val="0"/>
        <w:spacing w:before="50" w:after="120" w:line="360" w:lineRule="auto"/>
        <w:ind w:firstLine="841" w:firstLineChars="294"/>
        <w:rPr>
          <w:rFonts w:hAnsi="宋体" w:cs="宋体"/>
          <w:b/>
          <w:bCs/>
          <w:color w:val="auto"/>
          <w:w w:val="95"/>
          <w:sz w:val="30"/>
          <w:szCs w:val="30"/>
        </w:rPr>
      </w:pPr>
      <w:r>
        <w:rPr>
          <w:rFonts w:hint="eastAsia" w:hAnsi="宋体" w:cs="宋体"/>
          <w:b/>
          <w:bCs/>
          <w:color w:val="auto"/>
          <w:w w:val="95"/>
          <w:sz w:val="30"/>
          <w:szCs w:val="30"/>
        </w:rPr>
        <w:t xml:space="preserve">                     2023年</w:t>
      </w:r>
      <w:r>
        <w:rPr>
          <w:rFonts w:hint="eastAsia" w:hAnsi="宋体" w:cs="宋体"/>
          <w:b/>
          <w:bCs/>
          <w:color w:val="auto"/>
          <w:w w:val="95"/>
          <w:sz w:val="30"/>
          <w:szCs w:val="30"/>
          <w:lang w:val="en-US" w:eastAsia="zh-CN"/>
        </w:rPr>
        <w:t>11月16日</w:t>
      </w:r>
    </w:p>
    <w:p>
      <w:pPr>
        <w:pStyle w:val="14"/>
        <w:jc w:val="center"/>
        <w:rPr>
          <w:rFonts w:hAnsi="宋体" w:cs="宋体"/>
          <w:b/>
          <w:color w:val="auto"/>
          <w:sz w:val="48"/>
          <w:szCs w:val="48"/>
        </w:rPr>
        <w:sectPr>
          <w:footerReference r:id="rId3" w:type="first"/>
          <w:pgSz w:w="11905" w:h="16838"/>
          <w:pgMar w:top="1134" w:right="1134" w:bottom="1134" w:left="1134" w:header="850" w:footer="850" w:gutter="0"/>
          <w:pgNumType w:start="1"/>
          <w:cols w:space="720" w:num="1"/>
          <w:docGrid w:linePitch="331" w:charSpace="0"/>
        </w:sectPr>
      </w:pPr>
    </w:p>
    <w:p>
      <w:pPr>
        <w:pStyle w:val="14"/>
        <w:jc w:val="center"/>
        <w:rPr>
          <w:rFonts w:hAnsi="宋体" w:cs="宋体"/>
          <w:b/>
          <w:color w:val="auto"/>
          <w:sz w:val="48"/>
          <w:szCs w:val="48"/>
        </w:rPr>
      </w:pPr>
      <w:r>
        <w:rPr>
          <w:rFonts w:hint="eastAsia" w:hAnsi="宋体" w:cs="宋体"/>
          <w:b/>
          <w:color w:val="auto"/>
          <w:sz w:val="48"/>
          <w:szCs w:val="48"/>
        </w:rPr>
        <w:t>目     录</w:t>
      </w:r>
    </w:p>
    <w:p>
      <w:pPr>
        <w:pStyle w:val="17"/>
        <w:tabs>
          <w:tab w:val="right" w:leader="dot" w:pos="9638"/>
        </w:tabs>
        <w:spacing w:line="320" w:lineRule="exact"/>
        <w:rPr>
          <w:color w:val="auto"/>
        </w:rPr>
      </w:pPr>
      <w:r>
        <w:rPr>
          <w:rFonts w:hint="eastAsia" w:ascii="宋体" w:hAnsi="宋体" w:cs="宋体"/>
          <w:b w:val="0"/>
          <w:bCs w:val="0"/>
          <w:caps w:val="0"/>
          <w:color w:val="auto"/>
          <w:sz w:val="28"/>
          <w:szCs w:val="28"/>
        </w:rPr>
        <w:fldChar w:fldCharType="begin"/>
      </w:r>
      <w:r>
        <w:rPr>
          <w:rFonts w:hint="eastAsia" w:ascii="宋体" w:hAnsi="宋体" w:cs="宋体"/>
          <w:b w:val="0"/>
          <w:bCs w:val="0"/>
          <w:caps w:val="0"/>
          <w:color w:val="auto"/>
          <w:sz w:val="28"/>
          <w:szCs w:val="28"/>
        </w:rPr>
        <w:instrText xml:space="preserve"> TOC \o "1-3" \h \z \u </w:instrText>
      </w:r>
      <w:r>
        <w:rPr>
          <w:rFonts w:hint="eastAsia" w:ascii="宋体" w:hAnsi="宋体" w:cs="宋体"/>
          <w:b w:val="0"/>
          <w:bCs w:val="0"/>
          <w:caps w:val="0"/>
          <w:color w:val="auto"/>
          <w:sz w:val="28"/>
          <w:szCs w:val="28"/>
        </w:rPr>
        <w:fldChar w:fldCharType="separate"/>
      </w:r>
      <w:r>
        <w:rPr>
          <w:color w:val="auto"/>
        </w:rPr>
        <w:fldChar w:fldCharType="begin"/>
      </w:r>
      <w:r>
        <w:rPr>
          <w:color w:val="auto"/>
        </w:rPr>
        <w:instrText xml:space="preserve"> HYPERLINK \l "_Toc12135" </w:instrText>
      </w:r>
      <w:r>
        <w:rPr>
          <w:color w:val="auto"/>
        </w:rPr>
        <w:fldChar w:fldCharType="separate"/>
      </w:r>
      <w:r>
        <w:rPr>
          <w:rFonts w:hint="eastAsia" w:ascii="宋体" w:hAnsi="宋体" w:cs="宋体"/>
          <w:color w:val="auto"/>
        </w:rPr>
        <w:t>第一章  招标公告</w:t>
      </w:r>
      <w:r>
        <w:rPr>
          <w:color w:val="auto"/>
        </w:rPr>
        <w:tab/>
      </w:r>
      <w:r>
        <w:rPr>
          <w:color w:val="auto"/>
        </w:rPr>
        <w:fldChar w:fldCharType="begin"/>
      </w:r>
      <w:r>
        <w:rPr>
          <w:color w:val="auto"/>
        </w:rPr>
        <w:instrText xml:space="preserve"> PAGEREF _Toc12135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9638"/>
        </w:tabs>
        <w:spacing w:line="320" w:lineRule="exact"/>
        <w:rPr>
          <w:color w:val="auto"/>
        </w:rPr>
      </w:pPr>
      <w:r>
        <w:rPr>
          <w:color w:val="auto"/>
        </w:rPr>
        <w:fldChar w:fldCharType="begin"/>
      </w:r>
      <w:r>
        <w:rPr>
          <w:color w:val="auto"/>
        </w:rPr>
        <w:instrText xml:space="preserve"> HYPERLINK \l "_Toc28626" </w:instrText>
      </w:r>
      <w:r>
        <w:rPr>
          <w:color w:val="auto"/>
        </w:rPr>
        <w:fldChar w:fldCharType="separate"/>
      </w:r>
      <w:r>
        <w:rPr>
          <w:rFonts w:hint="eastAsia" w:ascii="宋体" w:hAnsi="宋体" w:cs="宋体"/>
          <w:color w:val="auto"/>
        </w:rPr>
        <w:t>第二章  采购需</w:t>
      </w:r>
      <w:bookmarkStart w:id="1" w:name="_Hlt131415395"/>
      <w:bookmarkStart w:id="2" w:name="_Hlt131415584"/>
      <w:r>
        <w:rPr>
          <w:rFonts w:hint="eastAsia" w:ascii="宋体" w:hAnsi="宋体" w:cs="宋体"/>
          <w:color w:val="auto"/>
        </w:rPr>
        <w:t>求</w:t>
      </w:r>
      <w:bookmarkEnd w:id="1"/>
      <w:bookmarkEnd w:id="2"/>
      <w:r>
        <w:rPr>
          <w:color w:val="auto"/>
        </w:rPr>
        <w:tab/>
      </w:r>
      <w:r>
        <w:rPr>
          <w:color w:val="auto"/>
        </w:rPr>
        <w:fldChar w:fldCharType="begin"/>
      </w:r>
      <w:r>
        <w:rPr>
          <w:color w:val="auto"/>
        </w:rPr>
        <w:instrText xml:space="preserve"> PAGEREF _Toc28626 </w:instrText>
      </w:r>
      <w:r>
        <w:rPr>
          <w:color w:val="auto"/>
        </w:rPr>
        <w:fldChar w:fldCharType="separate"/>
      </w:r>
      <w:r>
        <w:rPr>
          <w:color w:val="auto"/>
        </w:rPr>
        <w:t>5</w:t>
      </w:r>
      <w:r>
        <w:rPr>
          <w:color w:val="auto"/>
        </w:rPr>
        <w:fldChar w:fldCharType="end"/>
      </w:r>
      <w:r>
        <w:rPr>
          <w:color w:val="auto"/>
        </w:rPr>
        <w:fldChar w:fldCharType="end"/>
      </w:r>
    </w:p>
    <w:p>
      <w:pPr>
        <w:pStyle w:val="17"/>
        <w:tabs>
          <w:tab w:val="right" w:leader="dot" w:pos="9638"/>
        </w:tabs>
        <w:spacing w:line="320" w:lineRule="exact"/>
        <w:rPr>
          <w:color w:val="auto"/>
        </w:rPr>
      </w:pPr>
      <w:r>
        <w:rPr>
          <w:color w:val="auto"/>
        </w:rPr>
        <w:fldChar w:fldCharType="begin"/>
      </w:r>
      <w:r>
        <w:rPr>
          <w:color w:val="auto"/>
        </w:rPr>
        <w:instrText xml:space="preserve"> HYPERLINK \l "_Toc15229" </w:instrText>
      </w:r>
      <w:r>
        <w:rPr>
          <w:color w:val="auto"/>
        </w:rPr>
        <w:fldChar w:fldCharType="separate"/>
      </w:r>
      <w:r>
        <w:rPr>
          <w:rFonts w:hint="eastAsia" w:ascii="宋体" w:hAnsi="宋体" w:cs="宋体"/>
          <w:color w:val="auto"/>
        </w:rPr>
        <w:t>第三章  投标人须知</w:t>
      </w:r>
      <w:r>
        <w:rPr>
          <w:color w:val="auto"/>
        </w:rPr>
        <w:tab/>
      </w:r>
      <w:r>
        <w:rPr>
          <w:color w:val="auto"/>
        </w:rPr>
        <w:fldChar w:fldCharType="begin"/>
      </w:r>
      <w:r>
        <w:rPr>
          <w:color w:val="auto"/>
        </w:rPr>
        <w:instrText xml:space="preserve"> PAGEREF _Toc15229 </w:instrText>
      </w:r>
      <w:r>
        <w:rPr>
          <w:color w:val="auto"/>
        </w:rPr>
        <w:fldChar w:fldCharType="separate"/>
      </w:r>
      <w:r>
        <w:rPr>
          <w:color w:val="auto"/>
        </w:rPr>
        <w:t>22</w:t>
      </w:r>
      <w:r>
        <w:rPr>
          <w:color w:val="auto"/>
        </w:rPr>
        <w:fldChar w:fldCharType="end"/>
      </w:r>
      <w:r>
        <w:rPr>
          <w:color w:val="auto"/>
        </w:rPr>
        <w:fldChar w:fldCharType="end"/>
      </w:r>
    </w:p>
    <w:p>
      <w:pPr>
        <w:pStyle w:val="19"/>
        <w:tabs>
          <w:tab w:val="right" w:leader="dot" w:pos="9638"/>
        </w:tabs>
        <w:rPr>
          <w:color w:val="auto"/>
        </w:rPr>
      </w:pPr>
      <w:r>
        <w:rPr>
          <w:color w:val="auto"/>
        </w:rPr>
        <w:fldChar w:fldCharType="begin"/>
      </w:r>
      <w:r>
        <w:rPr>
          <w:color w:val="auto"/>
        </w:rPr>
        <w:instrText xml:space="preserve"> HYPERLINK \l "_Toc992" </w:instrText>
      </w:r>
      <w:r>
        <w:rPr>
          <w:color w:val="auto"/>
        </w:rPr>
        <w:fldChar w:fldCharType="separate"/>
      </w:r>
      <w:r>
        <w:rPr>
          <w:rFonts w:hint="eastAsia" w:ascii="宋体" w:hAnsi="宋体" w:cs="宋体"/>
          <w:color w:val="auto"/>
          <w:szCs w:val="30"/>
        </w:rPr>
        <w:t>第一节 投标人须知</w:t>
      </w:r>
      <w:bookmarkStart w:id="3" w:name="_Hlt130461265"/>
      <w:bookmarkStart w:id="4" w:name="_Hlt130461266"/>
      <w:r>
        <w:rPr>
          <w:rFonts w:hint="eastAsia" w:ascii="宋体" w:hAnsi="宋体" w:cs="宋体"/>
          <w:color w:val="auto"/>
          <w:szCs w:val="30"/>
        </w:rPr>
        <w:t>前</w:t>
      </w:r>
      <w:bookmarkEnd w:id="3"/>
      <w:bookmarkEnd w:id="4"/>
      <w:r>
        <w:rPr>
          <w:rFonts w:hint="eastAsia" w:ascii="宋体" w:hAnsi="宋体" w:cs="宋体"/>
          <w:color w:val="auto"/>
          <w:szCs w:val="30"/>
        </w:rPr>
        <w:t>附表</w:t>
      </w:r>
      <w:r>
        <w:rPr>
          <w:color w:val="auto"/>
        </w:rPr>
        <w:tab/>
      </w:r>
      <w:r>
        <w:rPr>
          <w:color w:val="auto"/>
        </w:rPr>
        <w:fldChar w:fldCharType="begin"/>
      </w:r>
      <w:r>
        <w:rPr>
          <w:color w:val="auto"/>
        </w:rPr>
        <w:instrText xml:space="preserve"> PAGEREF _Toc992 </w:instrText>
      </w:r>
      <w:r>
        <w:rPr>
          <w:color w:val="auto"/>
        </w:rPr>
        <w:fldChar w:fldCharType="separate"/>
      </w:r>
      <w:r>
        <w:rPr>
          <w:color w:val="auto"/>
        </w:rPr>
        <w:t>22</w:t>
      </w:r>
      <w:r>
        <w:rPr>
          <w:color w:val="auto"/>
        </w:rPr>
        <w:fldChar w:fldCharType="end"/>
      </w:r>
      <w:r>
        <w:rPr>
          <w:color w:val="auto"/>
        </w:rPr>
        <w:fldChar w:fldCharType="end"/>
      </w:r>
    </w:p>
    <w:p>
      <w:pPr>
        <w:pStyle w:val="19"/>
        <w:tabs>
          <w:tab w:val="right" w:leader="dot" w:pos="9638"/>
        </w:tabs>
        <w:rPr>
          <w:color w:val="auto"/>
        </w:rPr>
      </w:pPr>
      <w:r>
        <w:rPr>
          <w:color w:val="auto"/>
        </w:rPr>
        <w:fldChar w:fldCharType="begin"/>
      </w:r>
      <w:r>
        <w:rPr>
          <w:color w:val="auto"/>
        </w:rPr>
        <w:instrText xml:space="preserve"> HYPERLINK \l "_Toc29181" </w:instrText>
      </w:r>
      <w:r>
        <w:rPr>
          <w:color w:val="auto"/>
        </w:rPr>
        <w:fldChar w:fldCharType="separate"/>
      </w:r>
      <w:r>
        <w:rPr>
          <w:rFonts w:hint="eastAsia" w:ascii="宋体" w:hAnsi="宋体" w:cs="宋体"/>
          <w:color w:val="auto"/>
        </w:rPr>
        <w:t>第二节 投标人须知正文</w:t>
      </w:r>
      <w:r>
        <w:rPr>
          <w:color w:val="auto"/>
        </w:rPr>
        <w:tab/>
      </w:r>
      <w:r>
        <w:rPr>
          <w:color w:val="auto"/>
        </w:rPr>
        <w:fldChar w:fldCharType="begin"/>
      </w:r>
      <w:r>
        <w:rPr>
          <w:color w:val="auto"/>
        </w:rPr>
        <w:instrText xml:space="preserve"> PAGEREF _Toc29181 </w:instrText>
      </w:r>
      <w:r>
        <w:rPr>
          <w:color w:val="auto"/>
        </w:rPr>
        <w:fldChar w:fldCharType="separate"/>
      </w:r>
      <w:r>
        <w:rPr>
          <w:color w:val="auto"/>
        </w:rPr>
        <w:t>29</w:t>
      </w:r>
      <w:r>
        <w:rPr>
          <w:color w:val="auto"/>
        </w:rPr>
        <w:fldChar w:fldCharType="end"/>
      </w:r>
      <w:r>
        <w:rPr>
          <w:color w:val="auto"/>
        </w:rPr>
        <w:fldChar w:fldCharType="end"/>
      </w:r>
    </w:p>
    <w:p>
      <w:pPr>
        <w:pStyle w:val="13"/>
        <w:tabs>
          <w:tab w:val="right" w:leader="dot" w:pos="9638"/>
        </w:tabs>
        <w:rPr>
          <w:color w:val="auto"/>
        </w:rPr>
      </w:pPr>
      <w:r>
        <w:rPr>
          <w:color w:val="auto"/>
        </w:rPr>
        <w:fldChar w:fldCharType="begin"/>
      </w:r>
      <w:r>
        <w:rPr>
          <w:color w:val="auto"/>
        </w:rPr>
        <w:instrText xml:space="preserve"> HYPERLINK \l "_Toc13703" </w:instrText>
      </w:r>
      <w:r>
        <w:rPr>
          <w:color w:val="auto"/>
        </w:rPr>
        <w:fldChar w:fldCharType="separate"/>
      </w:r>
      <w:r>
        <w:rPr>
          <w:rFonts w:hint="eastAsia" w:ascii="宋体" w:hAnsi="宋体" w:cs="宋体"/>
          <w:color w:val="auto"/>
        </w:rPr>
        <w:t>一、总  则</w:t>
      </w:r>
      <w:r>
        <w:rPr>
          <w:color w:val="auto"/>
        </w:rPr>
        <w:tab/>
      </w:r>
      <w:r>
        <w:rPr>
          <w:color w:val="auto"/>
        </w:rPr>
        <w:fldChar w:fldCharType="begin"/>
      </w:r>
      <w:r>
        <w:rPr>
          <w:color w:val="auto"/>
        </w:rPr>
        <w:instrText xml:space="preserve"> PAGEREF _Toc13703 </w:instrText>
      </w:r>
      <w:r>
        <w:rPr>
          <w:color w:val="auto"/>
        </w:rPr>
        <w:fldChar w:fldCharType="separate"/>
      </w:r>
      <w:r>
        <w:rPr>
          <w:color w:val="auto"/>
        </w:rPr>
        <w:t>29</w:t>
      </w:r>
      <w:r>
        <w:rPr>
          <w:color w:val="auto"/>
        </w:rPr>
        <w:fldChar w:fldCharType="end"/>
      </w:r>
      <w:r>
        <w:rPr>
          <w:color w:val="auto"/>
        </w:rPr>
        <w:fldChar w:fldCharType="end"/>
      </w:r>
    </w:p>
    <w:p>
      <w:pPr>
        <w:pStyle w:val="13"/>
        <w:tabs>
          <w:tab w:val="right" w:leader="dot" w:pos="9638"/>
        </w:tabs>
        <w:rPr>
          <w:color w:val="auto"/>
        </w:rPr>
      </w:pPr>
      <w:r>
        <w:rPr>
          <w:color w:val="auto"/>
        </w:rPr>
        <w:fldChar w:fldCharType="begin"/>
      </w:r>
      <w:r>
        <w:rPr>
          <w:color w:val="auto"/>
        </w:rPr>
        <w:instrText xml:space="preserve"> HYPERLINK \l "_Toc22070" </w:instrText>
      </w:r>
      <w:r>
        <w:rPr>
          <w:color w:val="auto"/>
        </w:rPr>
        <w:fldChar w:fldCharType="separate"/>
      </w:r>
      <w:r>
        <w:rPr>
          <w:rFonts w:hint="eastAsia" w:ascii="宋体" w:hAnsi="宋体" w:cs="宋体"/>
          <w:color w:val="auto"/>
        </w:rPr>
        <w:t>二、招标文件</w:t>
      </w:r>
      <w:r>
        <w:rPr>
          <w:color w:val="auto"/>
        </w:rPr>
        <w:tab/>
      </w:r>
      <w:r>
        <w:rPr>
          <w:color w:val="auto"/>
        </w:rPr>
        <w:fldChar w:fldCharType="begin"/>
      </w:r>
      <w:r>
        <w:rPr>
          <w:color w:val="auto"/>
        </w:rPr>
        <w:instrText xml:space="preserve"> PAGEREF _Toc22070 </w:instrText>
      </w:r>
      <w:r>
        <w:rPr>
          <w:color w:val="auto"/>
        </w:rPr>
        <w:fldChar w:fldCharType="separate"/>
      </w:r>
      <w:r>
        <w:rPr>
          <w:color w:val="auto"/>
        </w:rPr>
        <w:t>31</w:t>
      </w:r>
      <w:r>
        <w:rPr>
          <w:color w:val="auto"/>
        </w:rPr>
        <w:fldChar w:fldCharType="end"/>
      </w:r>
      <w:r>
        <w:rPr>
          <w:color w:val="auto"/>
        </w:rPr>
        <w:fldChar w:fldCharType="end"/>
      </w:r>
    </w:p>
    <w:p>
      <w:pPr>
        <w:pStyle w:val="13"/>
        <w:tabs>
          <w:tab w:val="right" w:leader="dot" w:pos="9638"/>
        </w:tabs>
        <w:rPr>
          <w:color w:val="auto"/>
        </w:rPr>
      </w:pPr>
      <w:r>
        <w:rPr>
          <w:color w:val="auto"/>
        </w:rPr>
        <w:fldChar w:fldCharType="begin"/>
      </w:r>
      <w:r>
        <w:rPr>
          <w:color w:val="auto"/>
        </w:rPr>
        <w:instrText xml:space="preserve"> HYPERLINK \l "_Toc13166" </w:instrText>
      </w:r>
      <w:r>
        <w:rPr>
          <w:color w:val="auto"/>
        </w:rPr>
        <w:fldChar w:fldCharType="separate"/>
      </w:r>
      <w:r>
        <w:rPr>
          <w:rFonts w:hint="eastAsia" w:ascii="宋体" w:hAnsi="宋体" w:cs="宋体"/>
          <w:color w:val="auto"/>
        </w:rPr>
        <w:t>三、投标文件的编制</w:t>
      </w:r>
      <w:r>
        <w:rPr>
          <w:color w:val="auto"/>
        </w:rPr>
        <w:tab/>
      </w:r>
      <w:r>
        <w:rPr>
          <w:color w:val="auto"/>
        </w:rPr>
        <w:fldChar w:fldCharType="begin"/>
      </w:r>
      <w:r>
        <w:rPr>
          <w:color w:val="auto"/>
        </w:rPr>
        <w:instrText xml:space="preserve"> PAGEREF _Toc13166 </w:instrText>
      </w:r>
      <w:r>
        <w:rPr>
          <w:color w:val="auto"/>
        </w:rPr>
        <w:fldChar w:fldCharType="separate"/>
      </w:r>
      <w:r>
        <w:rPr>
          <w:color w:val="auto"/>
        </w:rPr>
        <w:t>32</w:t>
      </w:r>
      <w:r>
        <w:rPr>
          <w:color w:val="auto"/>
        </w:rPr>
        <w:fldChar w:fldCharType="end"/>
      </w:r>
      <w:r>
        <w:rPr>
          <w:color w:val="auto"/>
        </w:rPr>
        <w:fldChar w:fldCharType="end"/>
      </w:r>
    </w:p>
    <w:p>
      <w:pPr>
        <w:pStyle w:val="13"/>
        <w:tabs>
          <w:tab w:val="right" w:leader="dot" w:pos="9638"/>
        </w:tabs>
        <w:rPr>
          <w:color w:val="auto"/>
        </w:rPr>
      </w:pPr>
      <w:r>
        <w:rPr>
          <w:color w:val="auto"/>
        </w:rPr>
        <w:fldChar w:fldCharType="begin"/>
      </w:r>
      <w:r>
        <w:rPr>
          <w:color w:val="auto"/>
        </w:rPr>
        <w:instrText xml:space="preserve"> HYPERLINK \l "_Toc6762" </w:instrText>
      </w:r>
      <w:r>
        <w:rPr>
          <w:color w:val="auto"/>
        </w:rPr>
        <w:fldChar w:fldCharType="separate"/>
      </w:r>
      <w:r>
        <w:rPr>
          <w:rFonts w:hint="eastAsia" w:ascii="宋体" w:hAnsi="宋体" w:cs="宋体"/>
          <w:color w:val="auto"/>
        </w:rPr>
        <w:t>四、开    标</w:t>
      </w:r>
      <w:r>
        <w:rPr>
          <w:color w:val="auto"/>
        </w:rPr>
        <w:tab/>
      </w:r>
      <w:r>
        <w:rPr>
          <w:color w:val="auto"/>
        </w:rPr>
        <w:fldChar w:fldCharType="begin"/>
      </w:r>
      <w:r>
        <w:rPr>
          <w:color w:val="auto"/>
        </w:rPr>
        <w:instrText xml:space="preserve"> PAGEREF _Toc6762 </w:instrText>
      </w:r>
      <w:r>
        <w:rPr>
          <w:color w:val="auto"/>
        </w:rPr>
        <w:fldChar w:fldCharType="separate"/>
      </w:r>
      <w:r>
        <w:rPr>
          <w:color w:val="auto"/>
        </w:rPr>
        <w:t>35</w:t>
      </w:r>
      <w:r>
        <w:rPr>
          <w:color w:val="auto"/>
        </w:rPr>
        <w:fldChar w:fldCharType="end"/>
      </w:r>
      <w:r>
        <w:rPr>
          <w:color w:val="auto"/>
        </w:rPr>
        <w:fldChar w:fldCharType="end"/>
      </w:r>
    </w:p>
    <w:p>
      <w:pPr>
        <w:pStyle w:val="13"/>
        <w:tabs>
          <w:tab w:val="right" w:leader="dot" w:pos="9638"/>
        </w:tabs>
        <w:rPr>
          <w:color w:val="auto"/>
        </w:rPr>
      </w:pPr>
      <w:r>
        <w:rPr>
          <w:color w:val="auto"/>
        </w:rPr>
        <w:fldChar w:fldCharType="begin"/>
      </w:r>
      <w:r>
        <w:rPr>
          <w:color w:val="auto"/>
        </w:rPr>
        <w:instrText xml:space="preserve"> HYPERLINK \l "_Toc29757" </w:instrText>
      </w:r>
      <w:r>
        <w:rPr>
          <w:color w:val="auto"/>
        </w:rPr>
        <w:fldChar w:fldCharType="separate"/>
      </w:r>
      <w:r>
        <w:rPr>
          <w:rFonts w:hint="eastAsia" w:ascii="宋体" w:hAnsi="宋体" w:cs="宋体"/>
          <w:color w:val="auto"/>
        </w:rPr>
        <w:t>五、资格审查</w:t>
      </w:r>
      <w:r>
        <w:rPr>
          <w:color w:val="auto"/>
        </w:rPr>
        <w:tab/>
      </w:r>
      <w:r>
        <w:rPr>
          <w:color w:val="auto"/>
        </w:rPr>
        <w:fldChar w:fldCharType="begin"/>
      </w:r>
      <w:r>
        <w:rPr>
          <w:color w:val="auto"/>
        </w:rPr>
        <w:instrText xml:space="preserve"> PAGEREF _Toc29757 </w:instrText>
      </w:r>
      <w:r>
        <w:rPr>
          <w:color w:val="auto"/>
        </w:rPr>
        <w:fldChar w:fldCharType="separate"/>
      </w:r>
      <w:r>
        <w:rPr>
          <w:color w:val="auto"/>
        </w:rPr>
        <w:t>36</w:t>
      </w:r>
      <w:r>
        <w:rPr>
          <w:color w:val="auto"/>
        </w:rPr>
        <w:fldChar w:fldCharType="end"/>
      </w:r>
      <w:r>
        <w:rPr>
          <w:color w:val="auto"/>
        </w:rPr>
        <w:fldChar w:fldCharType="end"/>
      </w:r>
    </w:p>
    <w:p>
      <w:pPr>
        <w:pStyle w:val="13"/>
        <w:tabs>
          <w:tab w:val="right" w:leader="dot" w:pos="9638"/>
        </w:tabs>
        <w:rPr>
          <w:color w:val="auto"/>
        </w:rPr>
      </w:pPr>
      <w:r>
        <w:rPr>
          <w:color w:val="auto"/>
        </w:rPr>
        <w:fldChar w:fldCharType="begin"/>
      </w:r>
      <w:r>
        <w:rPr>
          <w:color w:val="auto"/>
        </w:rPr>
        <w:instrText xml:space="preserve"> HYPERLINK \l "_Toc23135" </w:instrText>
      </w:r>
      <w:r>
        <w:rPr>
          <w:color w:val="auto"/>
        </w:rPr>
        <w:fldChar w:fldCharType="separate"/>
      </w:r>
      <w:r>
        <w:rPr>
          <w:rFonts w:hint="eastAsia" w:ascii="宋体" w:hAnsi="宋体" w:cs="宋体"/>
          <w:color w:val="auto"/>
        </w:rPr>
        <w:t>六、评   标</w:t>
      </w:r>
      <w:bookmarkStart w:id="5" w:name="_Hlt131517382"/>
      <w:bookmarkStart w:id="6" w:name="_Hlt131517381"/>
      <w:r>
        <w:rPr>
          <w:color w:val="auto"/>
        </w:rPr>
        <w:tab/>
      </w:r>
      <w:bookmarkEnd w:id="5"/>
      <w:bookmarkEnd w:id="6"/>
      <w:r>
        <w:rPr>
          <w:color w:val="auto"/>
        </w:rPr>
        <w:fldChar w:fldCharType="begin"/>
      </w:r>
      <w:r>
        <w:rPr>
          <w:color w:val="auto"/>
        </w:rPr>
        <w:instrText xml:space="preserve"> PAGEREF _Toc23135 </w:instrText>
      </w:r>
      <w:r>
        <w:rPr>
          <w:color w:val="auto"/>
        </w:rPr>
        <w:fldChar w:fldCharType="separate"/>
      </w:r>
      <w:r>
        <w:rPr>
          <w:color w:val="auto"/>
        </w:rPr>
        <w:t>36</w:t>
      </w:r>
      <w:r>
        <w:rPr>
          <w:color w:val="auto"/>
        </w:rPr>
        <w:fldChar w:fldCharType="end"/>
      </w:r>
      <w:r>
        <w:rPr>
          <w:color w:val="auto"/>
        </w:rPr>
        <w:fldChar w:fldCharType="end"/>
      </w:r>
    </w:p>
    <w:p>
      <w:pPr>
        <w:pStyle w:val="13"/>
        <w:tabs>
          <w:tab w:val="right" w:leader="dot" w:pos="9638"/>
        </w:tabs>
        <w:rPr>
          <w:color w:val="auto"/>
        </w:rPr>
      </w:pPr>
      <w:r>
        <w:rPr>
          <w:color w:val="auto"/>
        </w:rPr>
        <w:fldChar w:fldCharType="begin"/>
      </w:r>
      <w:r>
        <w:rPr>
          <w:color w:val="auto"/>
        </w:rPr>
        <w:instrText xml:space="preserve"> HYPERLINK \l "_Toc11609" </w:instrText>
      </w:r>
      <w:r>
        <w:rPr>
          <w:color w:val="auto"/>
        </w:rPr>
        <w:fldChar w:fldCharType="separate"/>
      </w:r>
      <w:r>
        <w:rPr>
          <w:rFonts w:hint="eastAsia" w:ascii="宋体" w:hAnsi="宋体" w:cs="宋体"/>
          <w:color w:val="auto"/>
        </w:rPr>
        <w:t>七、中标和合同</w:t>
      </w:r>
      <w:r>
        <w:rPr>
          <w:color w:val="auto"/>
        </w:rPr>
        <w:tab/>
      </w:r>
      <w:r>
        <w:rPr>
          <w:color w:val="auto"/>
        </w:rPr>
        <w:fldChar w:fldCharType="begin"/>
      </w:r>
      <w:r>
        <w:rPr>
          <w:color w:val="auto"/>
        </w:rPr>
        <w:instrText xml:space="preserve"> PAGEREF _Toc11609 </w:instrText>
      </w:r>
      <w:r>
        <w:rPr>
          <w:color w:val="auto"/>
        </w:rPr>
        <w:fldChar w:fldCharType="separate"/>
      </w:r>
      <w:r>
        <w:rPr>
          <w:color w:val="auto"/>
        </w:rPr>
        <w:t>37</w:t>
      </w:r>
      <w:r>
        <w:rPr>
          <w:color w:val="auto"/>
        </w:rPr>
        <w:fldChar w:fldCharType="end"/>
      </w:r>
      <w:r>
        <w:rPr>
          <w:color w:val="auto"/>
        </w:rPr>
        <w:fldChar w:fldCharType="end"/>
      </w:r>
    </w:p>
    <w:p>
      <w:pPr>
        <w:pStyle w:val="13"/>
        <w:tabs>
          <w:tab w:val="right" w:leader="dot" w:pos="9638"/>
        </w:tabs>
        <w:rPr>
          <w:color w:val="auto"/>
        </w:rPr>
      </w:pPr>
      <w:r>
        <w:rPr>
          <w:color w:val="auto"/>
        </w:rPr>
        <w:fldChar w:fldCharType="begin"/>
      </w:r>
      <w:r>
        <w:rPr>
          <w:color w:val="auto"/>
        </w:rPr>
        <w:instrText xml:space="preserve"> HYPERLINK \l "_Toc17335" </w:instrText>
      </w:r>
      <w:r>
        <w:rPr>
          <w:color w:val="auto"/>
        </w:rPr>
        <w:fldChar w:fldCharType="separate"/>
      </w:r>
      <w:r>
        <w:rPr>
          <w:rFonts w:hint="eastAsia" w:ascii="宋体" w:hAnsi="宋体" w:cs="宋体"/>
          <w:color w:val="auto"/>
        </w:rPr>
        <w:t>八、验收</w:t>
      </w:r>
      <w:r>
        <w:rPr>
          <w:color w:val="auto"/>
        </w:rPr>
        <w:tab/>
      </w:r>
      <w:r>
        <w:rPr>
          <w:color w:val="auto"/>
        </w:rPr>
        <w:fldChar w:fldCharType="begin"/>
      </w:r>
      <w:r>
        <w:rPr>
          <w:color w:val="auto"/>
        </w:rPr>
        <w:instrText xml:space="preserve"> PAGEREF _Toc17335 </w:instrText>
      </w:r>
      <w:r>
        <w:rPr>
          <w:color w:val="auto"/>
        </w:rPr>
        <w:fldChar w:fldCharType="separate"/>
      </w:r>
      <w:r>
        <w:rPr>
          <w:color w:val="auto"/>
        </w:rPr>
        <w:t>41</w:t>
      </w:r>
      <w:r>
        <w:rPr>
          <w:color w:val="auto"/>
        </w:rPr>
        <w:fldChar w:fldCharType="end"/>
      </w:r>
      <w:r>
        <w:rPr>
          <w:color w:val="auto"/>
        </w:rPr>
        <w:fldChar w:fldCharType="end"/>
      </w:r>
    </w:p>
    <w:p>
      <w:pPr>
        <w:pStyle w:val="13"/>
        <w:tabs>
          <w:tab w:val="right" w:leader="dot" w:pos="9638"/>
        </w:tabs>
        <w:rPr>
          <w:color w:val="auto"/>
        </w:rPr>
      </w:pPr>
      <w:r>
        <w:rPr>
          <w:color w:val="auto"/>
        </w:rPr>
        <w:fldChar w:fldCharType="begin"/>
      </w:r>
      <w:r>
        <w:rPr>
          <w:color w:val="auto"/>
        </w:rPr>
        <w:instrText xml:space="preserve"> HYPERLINK \l "_Toc13415" </w:instrText>
      </w:r>
      <w:r>
        <w:rPr>
          <w:color w:val="auto"/>
        </w:rPr>
        <w:fldChar w:fldCharType="separate"/>
      </w:r>
      <w:r>
        <w:rPr>
          <w:rFonts w:hint="eastAsia" w:ascii="宋体" w:hAnsi="宋体" w:cs="宋体"/>
          <w:color w:val="auto"/>
        </w:rPr>
        <w:t>九、其他事项</w:t>
      </w:r>
      <w:r>
        <w:rPr>
          <w:color w:val="auto"/>
        </w:rPr>
        <w:tab/>
      </w:r>
      <w:r>
        <w:rPr>
          <w:color w:val="auto"/>
        </w:rPr>
        <w:fldChar w:fldCharType="begin"/>
      </w:r>
      <w:r>
        <w:rPr>
          <w:color w:val="auto"/>
        </w:rPr>
        <w:instrText xml:space="preserve"> PAGEREF _Toc13415 </w:instrText>
      </w:r>
      <w:r>
        <w:rPr>
          <w:color w:val="auto"/>
        </w:rPr>
        <w:fldChar w:fldCharType="separate"/>
      </w:r>
      <w:r>
        <w:rPr>
          <w:color w:val="auto"/>
        </w:rPr>
        <w:t>42</w:t>
      </w:r>
      <w:r>
        <w:rPr>
          <w:color w:val="auto"/>
        </w:rPr>
        <w:fldChar w:fldCharType="end"/>
      </w:r>
      <w:r>
        <w:rPr>
          <w:color w:val="auto"/>
        </w:rPr>
        <w:fldChar w:fldCharType="end"/>
      </w:r>
    </w:p>
    <w:p>
      <w:pPr>
        <w:pStyle w:val="17"/>
        <w:tabs>
          <w:tab w:val="right" w:leader="dot" w:pos="9638"/>
        </w:tabs>
        <w:rPr>
          <w:color w:val="auto"/>
        </w:rPr>
      </w:pPr>
      <w:r>
        <w:rPr>
          <w:color w:val="auto"/>
        </w:rPr>
        <w:fldChar w:fldCharType="begin"/>
      </w:r>
      <w:r>
        <w:rPr>
          <w:color w:val="auto"/>
        </w:rPr>
        <w:instrText xml:space="preserve"> HYPERLINK \l "_Toc25066" </w:instrText>
      </w:r>
      <w:r>
        <w:rPr>
          <w:color w:val="auto"/>
        </w:rPr>
        <w:fldChar w:fldCharType="separate"/>
      </w:r>
      <w:r>
        <w:rPr>
          <w:rFonts w:hint="eastAsia" w:ascii="宋体" w:hAnsi="宋体" w:cs="宋体"/>
          <w:color w:val="auto"/>
        </w:rPr>
        <w:t xml:space="preserve">第四章  </w:t>
      </w:r>
      <w:r>
        <w:rPr>
          <w:rFonts w:hint="eastAsia" w:hAnsi="宋体" w:cs="宋体"/>
          <w:color w:val="auto"/>
        </w:rPr>
        <w:t>评标方法和评标标准</w:t>
      </w:r>
      <w:r>
        <w:rPr>
          <w:color w:val="auto"/>
        </w:rPr>
        <w:tab/>
      </w:r>
      <w:r>
        <w:rPr>
          <w:color w:val="auto"/>
        </w:rPr>
        <w:fldChar w:fldCharType="begin"/>
      </w:r>
      <w:r>
        <w:rPr>
          <w:color w:val="auto"/>
        </w:rPr>
        <w:instrText xml:space="preserve"> PAGEREF _Toc25066 </w:instrText>
      </w:r>
      <w:r>
        <w:rPr>
          <w:color w:val="auto"/>
        </w:rPr>
        <w:fldChar w:fldCharType="separate"/>
      </w:r>
      <w:r>
        <w:rPr>
          <w:color w:val="auto"/>
        </w:rPr>
        <w:t>44</w:t>
      </w:r>
      <w:r>
        <w:rPr>
          <w:color w:val="auto"/>
        </w:rPr>
        <w:fldChar w:fldCharType="end"/>
      </w:r>
      <w:r>
        <w:rPr>
          <w:color w:val="auto"/>
        </w:rPr>
        <w:fldChar w:fldCharType="end"/>
      </w:r>
    </w:p>
    <w:p>
      <w:pPr>
        <w:pStyle w:val="19"/>
        <w:tabs>
          <w:tab w:val="right" w:leader="dot" w:pos="9638"/>
        </w:tabs>
        <w:rPr>
          <w:color w:val="auto"/>
        </w:rPr>
      </w:pPr>
      <w:r>
        <w:rPr>
          <w:color w:val="auto"/>
        </w:rPr>
        <w:fldChar w:fldCharType="begin"/>
      </w:r>
      <w:r>
        <w:rPr>
          <w:color w:val="auto"/>
        </w:rPr>
        <w:instrText xml:space="preserve"> HYPERLINK \l "_Toc18908" </w:instrText>
      </w:r>
      <w:r>
        <w:rPr>
          <w:color w:val="auto"/>
        </w:rPr>
        <w:fldChar w:fldCharType="separate"/>
      </w:r>
      <w:r>
        <w:rPr>
          <w:rFonts w:hint="eastAsia" w:ascii="宋体" w:hAnsi="宋体" w:cs="宋体"/>
          <w:color w:val="auto"/>
          <w:szCs w:val="32"/>
        </w:rPr>
        <w:t>第一节 评标方法</w:t>
      </w:r>
      <w:r>
        <w:rPr>
          <w:color w:val="auto"/>
        </w:rPr>
        <w:tab/>
      </w:r>
      <w:r>
        <w:rPr>
          <w:color w:val="auto"/>
        </w:rPr>
        <w:fldChar w:fldCharType="begin"/>
      </w:r>
      <w:r>
        <w:rPr>
          <w:color w:val="auto"/>
        </w:rPr>
        <w:instrText xml:space="preserve"> PAGEREF _Toc18908 </w:instrText>
      </w:r>
      <w:r>
        <w:rPr>
          <w:color w:val="auto"/>
        </w:rPr>
        <w:fldChar w:fldCharType="separate"/>
      </w:r>
      <w:r>
        <w:rPr>
          <w:color w:val="auto"/>
        </w:rPr>
        <w:t>44</w:t>
      </w:r>
      <w:r>
        <w:rPr>
          <w:color w:val="auto"/>
        </w:rPr>
        <w:fldChar w:fldCharType="end"/>
      </w:r>
      <w:r>
        <w:rPr>
          <w:color w:val="auto"/>
        </w:rPr>
        <w:fldChar w:fldCharType="end"/>
      </w:r>
    </w:p>
    <w:p>
      <w:pPr>
        <w:pStyle w:val="19"/>
        <w:tabs>
          <w:tab w:val="right" w:leader="dot" w:pos="9638"/>
        </w:tabs>
        <w:rPr>
          <w:color w:val="auto"/>
        </w:rPr>
      </w:pPr>
      <w:r>
        <w:rPr>
          <w:color w:val="auto"/>
        </w:rPr>
        <w:fldChar w:fldCharType="begin"/>
      </w:r>
      <w:r>
        <w:rPr>
          <w:color w:val="auto"/>
        </w:rPr>
        <w:instrText xml:space="preserve"> HYPERLINK \l "_Toc13065" </w:instrText>
      </w:r>
      <w:r>
        <w:rPr>
          <w:color w:val="auto"/>
        </w:rPr>
        <w:fldChar w:fldCharType="separate"/>
      </w:r>
      <w:r>
        <w:rPr>
          <w:rFonts w:hint="eastAsia" w:ascii="宋体" w:hAnsi="宋体" w:cs="宋体"/>
          <w:color w:val="auto"/>
          <w:szCs w:val="32"/>
        </w:rPr>
        <w:t>第二节 评标程序</w:t>
      </w:r>
      <w:r>
        <w:rPr>
          <w:color w:val="auto"/>
        </w:rPr>
        <w:tab/>
      </w:r>
      <w:r>
        <w:rPr>
          <w:color w:val="auto"/>
        </w:rPr>
        <w:fldChar w:fldCharType="begin"/>
      </w:r>
      <w:r>
        <w:rPr>
          <w:color w:val="auto"/>
        </w:rPr>
        <w:instrText xml:space="preserve"> PAGEREF _Toc13065 </w:instrText>
      </w:r>
      <w:r>
        <w:rPr>
          <w:color w:val="auto"/>
        </w:rPr>
        <w:fldChar w:fldCharType="separate"/>
      </w:r>
      <w:r>
        <w:rPr>
          <w:color w:val="auto"/>
        </w:rPr>
        <w:t>44</w:t>
      </w:r>
      <w:r>
        <w:rPr>
          <w:color w:val="auto"/>
        </w:rPr>
        <w:fldChar w:fldCharType="end"/>
      </w:r>
      <w:r>
        <w:rPr>
          <w:color w:val="auto"/>
        </w:rPr>
        <w:fldChar w:fldCharType="end"/>
      </w:r>
    </w:p>
    <w:p>
      <w:pPr>
        <w:pStyle w:val="19"/>
        <w:tabs>
          <w:tab w:val="right" w:leader="dot" w:pos="9638"/>
        </w:tabs>
        <w:rPr>
          <w:color w:val="auto"/>
        </w:rPr>
      </w:pPr>
      <w:r>
        <w:rPr>
          <w:color w:val="auto"/>
        </w:rPr>
        <w:fldChar w:fldCharType="begin"/>
      </w:r>
      <w:r>
        <w:rPr>
          <w:color w:val="auto"/>
        </w:rPr>
        <w:instrText xml:space="preserve"> HYPERLINK \l "_Toc32041" </w:instrText>
      </w:r>
      <w:r>
        <w:rPr>
          <w:color w:val="auto"/>
        </w:rPr>
        <w:fldChar w:fldCharType="separate"/>
      </w:r>
      <w:r>
        <w:rPr>
          <w:rFonts w:hint="eastAsia" w:ascii="宋体" w:hAnsi="宋体" w:cs="宋体"/>
          <w:color w:val="auto"/>
          <w:szCs w:val="30"/>
        </w:rPr>
        <w:t>第三节 评分标准</w:t>
      </w:r>
      <w:r>
        <w:rPr>
          <w:color w:val="auto"/>
        </w:rPr>
        <w:tab/>
      </w:r>
      <w:r>
        <w:rPr>
          <w:color w:val="auto"/>
        </w:rPr>
        <w:fldChar w:fldCharType="begin"/>
      </w:r>
      <w:r>
        <w:rPr>
          <w:color w:val="auto"/>
        </w:rPr>
        <w:instrText xml:space="preserve"> PAGEREF _Toc32041 </w:instrText>
      </w:r>
      <w:r>
        <w:rPr>
          <w:color w:val="auto"/>
        </w:rPr>
        <w:fldChar w:fldCharType="separate"/>
      </w:r>
      <w:r>
        <w:rPr>
          <w:color w:val="auto"/>
        </w:rPr>
        <w:t>47</w:t>
      </w:r>
      <w:r>
        <w:rPr>
          <w:color w:val="auto"/>
        </w:rPr>
        <w:fldChar w:fldCharType="end"/>
      </w:r>
      <w:r>
        <w:rPr>
          <w:color w:val="auto"/>
        </w:rPr>
        <w:fldChar w:fldCharType="end"/>
      </w:r>
    </w:p>
    <w:p>
      <w:pPr>
        <w:pStyle w:val="19"/>
        <w:tabs>
          <w:tab w:val="right" w:leader="dot" w:pos="9638"/>
        </w:tabs>
        <w:rPr>
          <w:color w:val="auto"/>
        </w:rPr>
      </w:pPr>
      <w:r>
        <w:rPr>
          <w:color w:val="auto"/>
        </w:rPr>
        <w:fldChar w:fldCharType="begin"/>
      </w:r>
      <w:r>
        <w:rPr>
          <w:color w:val="auto"/>
        </w:rPr>
        <w:instrText xml:space="preserve"> HYPERLINK \l "_Toc5054" </w:instrText>
      </w:r>
      <w:r>
        <w:rPr>
          <w:color w:val="auto"/>
        </w:rPr>
        <w:fldChar w:fldCharType="separate"/>
      </w:r>
      <w:r>
        <w:rPr>
          <w:rFonts w:hint="eastAsia" w:ascii="宋体" w:hAnsi="宋体" w:cs="宋体"/>
          <w:color w:val="auto"/>
          <w:szCs w:val="30"/>
        </w:rPr>
        <w:t>第四节 中标候选人推荐原则</w:t>
      </w:r>
      <w:r>
        <w:rPr>
          <w:color w:val="auto"/>
        </w:rPr>
        <w:tab/>
      </w:r>
      <w:r>
        <w:rPr>
          <w:color w:val="auto"/>
        </w:rPr>
        <w:fldChar w:fldCharType="begin"/>
      </w:r>
      <w:r>
        <w:rPr>
          <w:color w:val="auto"/>
        </w:rPr>
        <w:instrText xml:space="preserve"> PAGEREF _Toc5054 </w:instrText>
      </w:r>
      <w:r>
        <w:rPr>
          <w:color w:val="auto"/>
        </w:rPr>
        <w:fldChar w:fldCharType="separate"/>
      </w:r>
      <w:r>
        <w:rPr>
          <w:color w:val="auto"/>
        </w:rPr>
        <w:t>47</w:t>
      </w:r>
      <w:r>
        <w:rPr>
          <w:color w:val="auto"/>
        </w:rPr>
        <w:fldChar w:fldCharType="end"/>
      </w:r>
      <w:r>
        <w:rPr>
          <w:color w:val="auto"/>
        </w:rPr>
        <w:fldChar w:fldCharType="end"/>
      </w:r>
    </w:p>
    <w:p>
      <w:pPr>
        <w:pStyle w:val="19"/>
        <w:tabs>
          <w:tab w:val="right" w:leader="dot" w:pos="9638"/>
        </w:tabs>
        <w:spacing w:line="280" w:lineRule="exact"/>
        <w:rPr>
          <w:color w:val="auto"/>
        </w:rPr>
      </w:pPr>
      <w:r>
        <w:rPr>
          <w:color w:val="auto"/>
        </w:rPr>
        <w:fldChar w:fldCharType="begin"/>
      </w:r>
      <w:r>
        <w:rPr>
          <w:color w:val="auto"/>
        </w:rPr>
        <w:instrText xml:space="preserve"> HYPERLINK \l "_Toc8014" </w:instrText>
      </w:r>
      <w:r>
        <w:rPr>
          <w:color w:val="auto"/>
        </w:rPr>
        <w:fldChar w:fldCharType="separate"/>
      </w:r>
      <w:r>
        <w:rPr>
          <w:rFonts w:hint="eastAsia" w:ascii="宋体" w:hAnsi="宋体" w:cs="宋体"/>
          <w:color w:val="auto"/>
          <w:szCs w:val="30"/>
        </w:rPr>
        <w:t>第五节 评标报告</w:t>
      </w:r>
      <w:r>
        <w:rPr>
          <w:color w:val="auto"/>
        </w:rPr>
        <w:tab/>
      </w:r>
      <w:r>
        <w:rPr>
          <w:color w:val="auto"/>
        </w:rPr>
        <w:fldChar w:fldCharType="begin"/>
      </w:r>
      <w:r>
        <w:rPr>
          <w:color w:val="auto"/>
        </w:rPr>
        <w:instrText xml:space="preserve"> PAGEREF _Toc8014 </w:instrText>
      </w:r>
      <w:r>
        <w:rPr>
          <w:color w:val="auto"/>
        </w:rPr>
        <w:fldChar w:fldCharType="separate"/>
      </w:r>
      <w:r>
        <w:rPr>
          <w:color w:val="auto"/>
        </w:rPr>
        <w:t>50</w:t>
      </w:r>
      <w:r>
        <w:rPr>
          <w:color w:val="auto"/>
        </w:rPr>
        <w:fldChar w:fldCharType="end"/>
      </w:r>
      <w:r>
        <w:rPr>
          <w:color w:val="auto"/>
        </w:rPr>
        <w:fldChar w:fldCharType="end"/>
      </w:r>
    </w:p>
    <w:p>
      <w:pPr>
        <w:pStyle w:val="17"/>
        <w:tabs>
          <w:tab w:val="right" w:leader="dot" w:pos="9638"/>
        </w:tabs>
        <w:spacing w:line="280" w:lineRule="exact"/>
        <w:rPr>
          <w:color w:val="auto"/>
        </w:rPr>
      </w:pPr>
      <w:r>
        <w:rPr>
          <w:color w:val="auto"/>
        </w:rPr>
        <w:fldChar w:fldCharType="begin"/>
      </w:r>
      <w:r>
        <w:rPr>
          <w:color w:val="auto"/>
        </w:rPr>
        <w:instrText xml:space="preserve"> HYPERLINK \l "_Toc17443" </w:instrText>
      </w:r>
      <w:r>
        <w:rPr>
          <w:color w:val="auto"/>
        </w:rPr>
        <w:fldChar w:fldCharType="separate"/>
      </w:r>
      <w:r>
        <w:rPr>
          <w:rFonts w:hint="eastAsia" w:ascii="宋体" w:hAnsi="宋体" w:cs="宋体"/>
          <w:color w:val="auto"/>
        </w:rPr>
        <w:t>第五章 拟签订的合同文本</w:t>
      </w:r>
      <w:r>
        <w:rPr>
          <w:color w:val="auto"/>
        </w:rPr>
        <w:tab/>
      </w:r>
      <w:r>
        <w:rPr>
          <w:color w:val="auto"/>
        </w:rPr>
        <w:fldChar w:fldCharType="begin"/>
      </w:r>
      <w:r>
        <w:rPr>
          <w:color w:val="auto"/>
        </w:rPr>
        <w:instrText xml:space="preserve"> PAGEREF _Toc17443 </w:instrText>
      </w:r>
      <w:r>
        <w:rPr>
          <w:color w:val="auto"/>
        </w:rPr>
        <w:fldChar w:fldCharType="separate"/>
      </w:r>
      <w:r>
        <w:rPr>
          <w:color w:val="auto"/>
        </w:rPr>
        <w:t>51</w:t>
      </w:r>
      <w:r>
        <w:rPr>
          <w:color w:val="auto"/>
        </w:rPr>
        <w:fldChar w:fldCharType="end"/>
      </w:r>
      <w:r>
        <w:rPr>
          <w:color w:val="auto"/>
        </w:rPr>
        <w:fldChar w:fldCharType="end"/>
      </w:r>
    </w:p>
    <w:p>
      <w:pPr>
        <w:pStyle w:val="17"/>
        <w:tabs>
          <w:tab w:val="right" w:leader="dot" w:pos="9638"/>
        </w:tabs>
        <w:spacing w:line="280" w:lineRule="exact"/>
        <w:rPr>
          <w:color w:val="auto"/>
        </w:rPr>
      </w:pPr>
      <w:r>
        <w:rPr>
          <w:color w:val="auto"/>
        </w:rPr>
        <w:fldChar w:fldCharType="begin"/>
      </w:r>
      <w:r>
        <w:rPr>
          <w:color w:val="auto"/>
        </w:rPr>
        <w:instrText xml:space="preserve"> HYPERLINK \l "_Toc7880" </w:instrText>
      </w:r>
      <w:r>
        <w:rPr>
          <w:color w:val="auto"/>
        </w:rPr>
        <w:fldChar w:fldCharType="separate"/>
      </w:r>
      <w:r>
        <w:rPr>
          <w:rFonts w:hint="eastAsia" w:ascii="宋体" w:hAnsi="宋体" w:cs="宋体"/>
          <w:color w:val="auto"/>
        </w:rPr>
        <w:t>第六章 投标文件格式</w:t>
      </w:r>
      <w:r>
        <w:rPr>
          <w:color w:val="auto"/>
        </w:rPr>
        <w:tab/>
      </w:r>
      <w:r>
        <w:rPr>
          <w:color w:val="auto"/>
        </w:rPr>
        <w:fldChar w:fldCharType="begin"/>
      </w:r>
      <w:r>
        <w:rPr>
          <w:color w:val="auto"/>
        </w:rPr>
        <w:instrText xml:space="preserve"> PAGEREF _Toc7880 </w:instrText>
      </w:r>
      <w:r>
        <w:rPr>
          <w:color w:val="auto"/>
        </w:rPr>
        <w:fldChar w:fldCharType="separate"/>
      </w:r>
      <w:r>
        <w:rPr>
          <w:color w:val="auto"/>
        </w:rPr>
        <w:t>60</w:t>
      </w:r>
      <w:r>
        <w:rPr>
          <w:color w:val="auto"/>
        </w:rPr>
        <w:fldChar w:fldCharType="end"/>
      </w:r>
      <w:r>
        <w:rPr>
          <w:color w:val="auto"/>
        </w:rPr>
        <w:fldChar w:fldCharType="end"/>
      </w:r>
    </w:p>
    <w:p>
      <w:pPr>
        <w:pStyle w:val="19"/>
        <w:tabs>
          <w:tab w:val="right" w:leader="dot" w:pos="9638"/>
        </w:tabs>
        <w:rPr>
          <w:color w:val="auto"/>
        </w:rPr>
      </w:pPr>
      <w:r>
        <w:rPr>
          <w:color w:val="auto"/>
        </w:rPr>
        <w:fldChar w:fldCharType="begin"/>
      </w:r>
      <w:r>
        <w:rPr>
          <w:color w:val="auto"/>
        </w:rPr>
        <w:instrText xml:space="preserve"> HYPERLINK \l "_Toc5213" </w:instrText>
      </w:r>
      <w:r>
        <w:rPr>
          <w:color w:val="auto"/>
        </w:rPr>
        <w:fldChar w:fldCharType="separate"/>
      </w:r>
      <w:r>
        <w:rPr>
          <w:rFonts w:hint="eastAsia" w:hAnsi="宋体" w:cs="宋体"/>
          <w:color w:val="auto"/>
          <w:szCs w:val="28"/>
        </w:rPr>
        <w:t>第一节 投标文件外层封面</w:t>
      </w:r>
      <w:r>
        <w:rPr>
          <w:color w:val="auto"/>
        </w:rPr>
        <w:tab/>
      </w:r>
      <w:r>
        <w:rPr>
          <w:color w:val="auto"/>
        </w:rPr>
        <w:fldChar w:fldCharType="begin"/>
      </w:r>
      <w:r>
        <w:rPr>
          <w:color w:val="auto"/>
        </w:rPr>
        <w:instrText xml:space="preserve"> PAGEREF _Toc5213 </w:instrText>
      </w:r>
      <w:r>
        <w:rPr>
          <w:color w:val="auto"/>
        </w:rPr>
        <w:fldChar w:fldCharType="separate"/>
      </w:r>
      <w:r>
        <w:rPr>
          <w:color w:val="auto"/>
        </w:rPr>
        <w:t>60</w:t>
      </w:r>
      <w:r>
        <w:rPr>
          <w:color w:val="auto"/>
        </w:rPr>
        <w:fldChar w:fldCharType="end"/>
      </w:r>
      <w:r>
        <w:rPr>
          <w:color w:val="auto"/>
        </w:rPr>
        <w:fldChar w:fldCharType="end"/>
      </w:r>
    </w:p>
    <w:p>
      <w:pPr>
        <w:pStyle w:val="19"/>
        <w:tabs>
          <w:tab w:val="right" w:leader="dot" w:pos="9638"/>
        </w:tabs>
        <w:rPr>
          <w:color w:val="auto"/>
        </w:rPr>
      </w:pPr>
      <w:r>
        <w:rPr>
          <w:color w:val="auto"/>
        </w:rPr>
        <w:fldChar w:fldCharType="begin"/>
      </w:r>
      <w:r>
        <w:rPr>
          <w:color w:val="auto"/>
        </w:rPr>
        <w:instrText xml:space="preserve"> HYPERLINK \l "_Toc16447" </w:instrText>
      </w:r>
      <w:r>
        <w:rPr>
          <w:color w:val="auto"/>
        </w:rPr>
        <w:fldChar w:fldCharType="separate"/>
      </w:r>
      <w:r>
        <w:rPr>
          <w:rFonts w:hint="eastAsia" w:hAnsi="宋体" w:cs="宋体"/>
          <w:color w:val="auto"/>
          <w:szCs w:val="28"/>
        </w:rPr>
        <w:t>第二节 资格证明文件格式</w:t>
      </w:r>
      <w:r>
        <w:rPr>
          <w:color w:val="auto"/>
        </w:rPr>
        <w:tab/>
      </w:r>
      <w:r>
        <w:rPr>
          <w:color w:val="auto"/>
        </w:rPr>
        <w:fldChar w:fldCharType="begin"/>
      </w:r>
      <w:r>
        <w:rPr>
          <w:color w:val="auto"/>
        </w:rPr>
        <w:instrText xml:space="preserve"> PAGEREF _Toc16447 </w:instrText>
      </w:r>
      <w:r>
        <w:rPr>
          <w:color w:val="auto"/>
        </w:rPr>
        <w:fldChar w:fldCharType="separate"/>
      </w:r>
      <w:r>
        <w:rPr>
          <w:color w:val="auto"/>
        </w:rPr>
        <w:t>62</w:t>
      </w:r>
      <w:r>
        <w:rPr>
          <w:color w:val="auto"/>
        </w:rPr>
        <w:fldChar w:fldCharType="end"/>
      </w:r>
      <w:r>
        <w:rPr>
          <w:color w:val="auto"/>
        </w:rPr>
        <w:fldChar w:fldCharType="end"/>
      </w:r>
    </w:p>
    <w:p>
      <w:pPr>
        <w:pStyle w:val="19"/>
        <w:tabs>
          <w:tab w:val="right" w:leader="dot" w:pos="9638"/>
        </w:tabs>
        <w:rPr>
          <w:color w:val="auto"/>
        </w:rPr>
      </w:pPr>
      <w:r>
        <w:rPr>
          <w:color w:val="auto"/>
        </w:rPr>
        <w:fldChar w:fldCharType="begin"/>
      </w:r>
      <w:r>
        <w:rPr>
          <w:color w:val="auto"/>
        </w:rPr>
        <w:instrText xml:space="preserve"> HYPERLINK \l "_Toc32555" </w:instrText>
      </w:r>
      <w:r>
        <w:rPr>
          <w:color w:val="auto"/>
        </w:rPr>
        <w:fldChar w:fldCharType="separate"/>
      </w:r>
      <w:r>
        <w:rPr>
          <w:rFonts w:hint="eastAsia" w:hAnsi="宋体" w:cs="宋体"/>
          <w:color w:val="auto"/>
          <w:szCs w:val="28"/>
        </w:rPr>
        <w:t>第三节 商务文件格式</w:t>
      </w:r>
      <w:r>
        <w:rPr>
          <w:color w:val="auto"/>
        </w:rPr>
        <w:tab/>
      </w:r>
      <w:r>
        <w:rPr>
          <w:color w:val="auto"/>
        </w:rPr>
        <w:fldChar w:fldCharType="begin"/>
      </w:r>
      <w:r>
        <w:rPr>
          <w:color w:val="auto"/>
        </w:rPr>
        <w:instrText xml:space="preserve"> PAGEREF _Toc32555 </w:instrText>
      </w:r>
      <w:r>
        <w:rPr>
          <w:color w:val="auto"/>
        </w:rPr>
        <w:fldChar w:fldCharType="separate"/>
      </w:r>
      <w:r>
        <w:rPr>
          <w:color w:val="auto"/>
        </w:rPr>
        <w:t>66</w:t>
      </w:r>
      <w:r>
        <w:rPr>
          <w:color w:val="auto"/>
        </w:rPr>
        <w:fldChar w:fldCharType="end"/>
      </w:r>
      <w:r>
        <w:rPr>
          <w:color w:val="auto"/>
        </w:rPr>
        <w:fldChar w:fldCharType="end"/>
      </w:r>
    </w:p>
    <w:p>
      <w:pPr>
        <w:pStyle w:val="19"/>
        <w:tabs>
          <w:tab w:val="right" w:leader="dot" w:pos="9638"/>
        </w:tabs>
        <w:rPr>
          <w:color w:val="auto"/>
        </w:rPr>
      </w:pPr>
      <w:r>
        <w:rPr>
          <w:color w:val="auto"/>
        </w:rPr>
        <w:fldChar w:fldCharType="begin"/>
      </w:r>
      <w:r>
        <w:rPr>
          <w:color w:val="auto"/>
        </w:rPr>
        <w:instrText xml:space="preserve"> HYPERLINK \l "_Toc352" </w:instrText>
      </w:r>
      <w:r>
        <w:rPr>
          <w:color w:val="auto"/>
        </w:rPr>
        <w:fldChar w:fldCharType="separate"/>
      </w:r>
      <w:r>
        <w:rPr>
          <w:rFonts w:hint="eastAsia" w:hAnsi="宋体" w:cs="宋体"/>
          <w:color w:val="auto"/>
          <w:szCs w:val="28"/>
        </w:rPr>
        <w:t>第四节 技术文件格式</w:t>
      </w:r>
      <w:r>
        <w:rPr>
          <w:color w:val="auto"/>
        </w:rPr>
        <w:tab/>
      </w:r>
      <w:r>
        <w:rPr>
          <w:color w:val="auto"/>
        </w:rPr>
        <w:fldChar w:fldCharType="begin"/>
      </w:r>
      <w:r>
        <w:rPr>
          <w:color w:val="auto"/>
        </w:rPr>
        <w:instrText xml:space="preserve"> PAGEREF _Toc352 </w:instrText>
      </w:r>
      <w:r>
        <w:rPr>
          <w:color w:val="auto"/>
        </w:rPr>
        <w:fldChar w:fldCharType="separate"/>
      </w:r>
      <w:r>
        <w:rPr>
          <w:color w:val="auto"/>
        </w:rPr>
        <w:t>75</w:t>
      </w:r>
      <w:r>
        <w:rPr>
          <w:color w:val="auto"/>
        </w:rPr>
        <w:fldChar w:fldCharType="end"/>
      </w:r>
      <w:r>
        <w:rPr>
          <w:color w:val="auto"/>
        </w:rPr>
        <w:fldChar w:fldCharType="end"/>
      </w:r>
    </w:p>
    <w:p>
      <w:pPr>
        <w:pStyle w:val="19"/>
        <w:tabs>
          <w:tab w:val="right" w:leader="dot" w:pos="9638"/>
        </w:tabs>
        <w:rPr>
          <w:color w:val="auto"/>
        </w:rPr>
      </w:pPr>
      <w:r>
        <w:rPr>
          <w:color w:val="auto"/>
        </w:rPr>
        <w:fldChar w:fldCharType="begin"/>
      </w:r>
      <w:r>
        <w:rPr>
          <w:color w:val="auto"/>
        </w:rPr>
        <w:instrText xml:space="preserve"> HYPERLINK \l "_Toc27076" </w:instrText>
      </w:r>
      <w:r>
        <w:rPr>
          <w:color w:val="auto"/>
        </w:rPr>
        <w:fldChar w:fldCharType="separate"/>
      </w:r>
      <w:r>
        <w:rPr>
          <w:rFonts w:hint="eastAsia" w:hAnsi="宋体" w:cs="宋体"/>
          <w:color w:val="auto"/>
          <w:szCs w:val="28"/>
        </w:rPr>
        <w:t>第五节 报价文件格式</w:t>
      </w:r>
      <w:r>
        <w:rPr>
          <w:color w:val="auto"/>
        </w:rPr>
        <w:tab/>
      </w:r>
      <w:r>
        <w:rPr>
          <w:color w:val="auto"/>
        </w:rPr>
        <w:fldChar w:fldCharType="begin"/>
      </w:r>
      <w:r>
        <w:rPr>
          <w:color w:val="auto"/>
        </w:rPr>
        <w:instrText xml:space="preserve"> PAGEREF _Toc27076 </w:instrText>
      </w:r>
      <w:r>
        <w:rPr>
          <w:color w:val="auto"/>
        </w:rPr>
        <w:fldChar w:fldCharType="separate"/>
      </w:r>
      <w:r>
        <w:rPr>
          <w:color w:val="auto"/>
        </w:rPr>
        <w:t>79</w:t>
      </w:r>
      <w:r>
        <w:rPr>
          <w:color w:val="auto"/>
        </w:rPr>
        <w:fldChar w:fldCharType="end"/>
      </w:r>
      <w:r>
        <w:rPr>
          <w:color w:val="auto"/>
        </w:rPr>
        <w:fldChar w:fldCharType="end"/>
      </w:r>
    </w:p>
    <w:p>
      <w:pPr>
        <w:pStyle w:val="19"/>
        <w:tabs>
          <w:tab w:val="right" w:leader="dot" w:pos="9638"/>
        </w:tabs>
        <w:spacing w:line="280" w:lineRule="exact"/>
        <w:rPr>
          <w:color w:val="auto"/>
        </w:rPr>
      </w:pPr>
      <w:r>
        <w:rPr>
          <w:color w:val="auto"/>
        </w:rPr>
        <w:fldChar w:fldCharType="begin"/>
      </w:r>
      <w:r>
        <w:rPr>
          <w:color w:val="auto"/>
        </w:rPr>
        <w:instrText xml:space="preserve"> HYPERLINK \l "_Toc8131" </w:instrText>
      </w:r>
      <w:r>
        <w:rPr>
          <w:color w:val="auto"/>
        </w:rPr>
        <w:fldChar w:fldCharType="separate"/>
      </w:r>
      <w:r>
        <w:rPr>
          <w:rFonts w:hint="eastAsia" w:ascii="宋体" w:hAnsi="宋体" w:cs="宋体"/>
          <w:color w:val="auto"/>
          <w:szCs w:val="28"/>
        </w:rPr>
        <w:t>第六节 其他文书、文件格式</w:t>
      </w:r>
      <w:r>
        <w:rPr>
          <w:color w:val="auto"/>
        </w:rPr>
        <w:tab/>
      </w:r>
      <w:r>
        <w:rPr>
          <w:color w:val="auto"/>
        </w:rPr>
        <w:fldChar w:fldCharType="begin"/>
      </w:r>
      <w:r>
        <w:rPr>
          <w:color w:val="auto"/>
        </w:rPr>
        <w:instrText xml:space="preserve"> PAGEREF _Toc8131 </w:instrText>
      </w:r>
      <w:r>
        <w:rPr>
          <w:color w:val="auto"/>
        </w:rPr>
        <w:fldChar w:fldCharType="separate"/>
      </w:r>
      <w:r>
        <w:rPr>
          <w:color w:val="auto"/>
        </w:rPr>
        <w:t>84</w:t>
      </w:r>
      <w:r>
        <w:rPr>
          <w:color w:val="auto"/>
        </w:rPr>
        <w:fldChar w:fldCharType="end"/>
      </w:r>
      <w:r>
        <w:rPr>
          <w:color w:val="auto"/>
        </w:rPr>
        <w:fldChar w:fldCharType="end"/>
      </w:r>
    </w:p>
    <w:p>
      <w:pPr>
        <w:pStyle w:val="17"/>
        <w:tabs>
          <w:tab w:val="right" w:leader="dot" w:pos="9638"/>
        </w:tabs>
        <w:spacing w:line="280" w:lineRule="exact"/>
        <w:rPr>
          <w:color w:val="auto"/>
        </w:rPr>
      </w:pPr>
      <w:r>
        <w:rPr>
          <w:color w:val="auto"/>
        </w:rPr>
        <w:fldChar w:fldCharType="begin"/>
      </w:r>
      <w:r>
        <w:rPr>
          <w:color w:val="auto"/>
        </w:rPr>
        <w:instrText xml:space="preserve"> HYPERLINK \l "_Toc15281" </w:instrText>
      </w:r>
      <w:r>
        <w:rPr>
          <w:color w:val="auto"/>
        </w:rPr>
        <w:fldChar w:fldCharType="separate"/>
      </w:r>
      <w:r>
        <w:rPr>
          <w:rFonts w:hint="eastAsia" w:ascii="宋体" w:hAnsi="宋体" w:cs="宋体"/>
          <w:color w:val="auto"/>
        </w:rPr>
        <w:t>第七章 质疑、投诉材料格</w:t>
      </w:r>
      <w:r>
        <w:rPr>
          <w:rFonts w:hint="eastAsia" w:hAnsi="宋体" w:cs="宋体"/>
          <w:color w:val="auto"/>
        </w:rPr>
        <w:t>式</w:t>
      </w:r>
      <w:r>
        <w:rPr>
          <w:color w:val="auto"/>
        </w:rPr>
        <w:tab/>
      </w:r>
      <w:r>
        <w:rPr>
          <w:color w:val="auto"/>
        </w:rPr>
        <w:fldChar w:fldCharType="begin"/>
      </w:r>
      <w:r>
        <w:rPr>
          <w:color w:val="auto"/>
        </w:rPr>
        <w:instrText xml:space="preserve"> PAGEREF _Toc15281 </w:instrText>
      </w:r>
      <w:r>
        <w:rPr>
          <w:color w:val="auto"/>
        </w:rPr>
        <w:fldChar w:fldCharType="separate"/>
      </w:r>
      <w:r>
        <w:rPr>
          <w:color w:val="auto"/>
        </w:rPr>
        <w:t>90</w:t>
      </w:r>
      <w:r>
        <w:rPr>
          <w:color w:val="auto"/>
        </w:rPr>
        <w:fldChar w:fldCharType="end"/>
      </w:r>
      <w:r>
        <w:rPr>
          <w:color w:val="auto"/>
        </w:rPr>
        <w:fldChar w:fldCharType="end"/>
      </w:r>
    </w:p>
    <w:p>
      <w:pPr>
        <w:pStyle w:val="19"/>
        <w:tabs>
          <w:tab w:val="right" w:leader="dot" w:pos="9638"/>
        </w:tabs>
        <w:spacing w:line="280" w:lineRule="exact"/>
        <w:rPr>
          <w:color w:val="auto"/>
        </w:rPr>
      </w:pPr>
      <w:r>
        <w:rPr>
          <w:color w:val="auto"/>
        </w:rPr>
        <w:fldChar w:fldCharType="begin"/>
      </w:r>
      <w:r>
        <w:rPr>
          <w:color w:val="auto"/>
        </w:rPr>
        <w:instrText xml:space="preserve"> HYPERLINK \l "_Toc19413" </w:instrText>
      </w:r>
      <w:r>
        <w:rPr>
          <w:color w:val="auto"/>
        </w:rPr>
        <w:fldChar w:fldCharType="separate"/>
      </w:r>
      <w:r>
        <w:rPr>
          <w:rFonts w:hint="eastAsia" w:ascii="宋体" w:hAnsi="宋体" w:cs="宋体"/>
          <w:bCs w:val="0"/>
          <w:color w:val="auto"/>
        </w:rPr>
        <w:t>第一节 质疑函（格式）</w:t>
      </w:r>
      <w:r>
        <w:rPr>
          <w:color w:val="auto"/>
        </w:rPr>
        <w:tab/>
      </w:r>
      <w:r>
        <w:rPr>
          <w:color w:val="auto"/>
        </w:rPr>
        <w:fldChar w:fldCharType="begin"/>
      </w:r>
      <w:r>
        <w:rPr>
          <w:color w:val="auto"/>
        </w:rPr>
        <w:instrText xml:space="preserve"> PAGEREF _Toc19413 </w:instrText>
      </w:r>
      <w:r>
        <w:rPr>
          <w:color w:val="auto"/>
        </w:rPr>
        <w:fldChar w:fldCharType="separate"/>
      </w:r>
      <w:r>
        <w:rPr>
          <w:color w:val="auto"/>
        </w:rPr>
        <w:t>91</w:t>
      </w:r>
      <w:r>
        <w:rPr>
          <w:color w:val="auto"/>
        </w:rPr>
        <w:fldChar w:fldCharType="end"/>
      </w:r>
      <w:r>
        <w:rPr>
          <w:color w:val="auto"/>
        </w:rPr>
        <w:fldChar w:fldCharType="end"/>
      </w:r>
    </w:p>
    <w:p>
      <w:pPr>
        <w:pStyle w:val="19"/>
        <w:tabs>
          <w:tab w:val="right" w:leader="dot" w:pos="9638"/>
        </w:tabs>
        <w:spacing w:line="280" w:lineRule="exact"/>
        <w:rPr>
          <w:color w:val="auto"/>
        </w:rPr>
      </w:pPr>
      <w:r>
        <w:rPr>
          <w:color w:val="auto"/>
        </w:rPr>
        <w:fldChar w:fldCharType="begin"/>
      </w:r>
      <w:r>
        <w:rPr>
          <w:color w:val="auto"/>
        </w:rPr>
        <w:instrText xml:space="preserve"> HYPERLINK \l "_Toc22163" </w:instrText>
      </w:r>
      <w:r>
        <w:rPr>
          <w:color w:val="auto"/>
        </w:rPr>
        <w:fldChar w:fldCharType="separate"/>
      </w:r>
      <w:r>
        <w:rPr>
          <w:rFonts w:hint="eastAsia" w:ascii="宋体" w:hAnsi="宋体" w:cs="宋体"/>
          <w:bCs w:val="0"/>
          <w:color w:val="auto"/>
        </w:rPr>
        <w:t>第二节 投诉书（格式）</w:t>
      </w:r>
      <w:r>
        <w:rPr>
          <w:color w:val="auto"/>
        </w:rPr>
        <w:tab/>
      </w:r>
      <w:r>
        <w:rPr>
          <w:color w:val="auto"/>
        </w:rPr>
        <w:fldChar w:fldCharType="begin"/>
      </w:r>
      <w:r>
        <w:rPr>
          <w:color w:val="auto"/>
        </w:rPr>
        <w:instrText xml:space="preserve"> PAGEREF _Toc22163 </w:instrText>
      </w:r>
      <w:r>
        <w:rPr>
          <w:color w:val="auto"/>
        </w:rPr>
        <w:fldChar w:fldCharType="separate"/>
      </w:r>
      <w:r>
        <w:rPr>
          <w:color w:val="auto"/>
        </w:rPr>
        <w:t>93</w:t>
      </w:r>
      <w:r>
        <w:rPr>
          <w:color w:val="auto"/>
        </w:rPr>
        <w:fldChar w:fldCharType="end"/>
      </w:r>
      <w:r>
        <w:rPr>
          <w:color w:val="auto"/>
        </w:rPr>
        <w:fldChar w:fldCharType="end"/>
      </w:r>
    </w:p>
    <w:p>
      <w:pPr>
        <w:pStyle w:val="14"/>
        <w:jc w:val="center"/>
        <w:rPr>
          <w:rFonts w:hAnsi="宋体" w:cs="宋体"/>
          <w:bCs/>
          <w:caps/>
          <w:color w:val="auto"/>
          <w:szCs w:val="28"/>
          <w:u w:val="single"/>
        </w:rPr>
      </w:pPr>
      <w:r>
        <w:rPr>
          <w:rFonts w:hint="eastAsia" w:hAnsi="宋体" w:cs="宋体"/>
          <w:bCs/>
          <w:caps/>
          <w:color w:val="auto"/>
          <w:szCs w:val="28"/>
          <w:u w:val="single"/>
        </w:rPr>
        <w:fldChar w:fldCharType="end"/>
      </w:r>
      <w:bookmarkStart w:id="7" w:name="_Toc532545041"/>
      <w:bookmarkStart w:id="8" w:name="_Toc20152"/>
      <w:bookmarkStart w:id="9" w:name="_Toc22419"/>
      <w:bookmarkStart w:id="10" w:name="_Toc12135"/>
    </w:p>
    <w:p>
      <w:pPr>
        <w:pStyle w:val="14"/>
        <w:jc w:val="center"/>
        <w:rPr>
          <w:rFonts w:hAnsi="宋体" w:cs="宋体"/>
          <w:b/>
          <w:color w:val="auto"/>
          <w:sz w:val="36"/>
        </w:rPr>
      </w:pPr>
      <w:r>
        <w:rPr>
          <w:rFonts w:hint="eastAsia" w:hAnsi="宋体" w:cs="宋体"/>
          <w:bCs/>
          <w:caps/>
          <w:color w:val="auto"/>
          <w:szCs w:val="28"/>
          <w:u w:val="single"/>
        </w:rPr>
        <w:br w:type="page"/>
      </w:r>
      <w:r>
        <w:rPr>
          <w:rFonts w:hint="eastAsia" w:hAnsi="宋体" w:cs="宋体"/>
          <w:b/>
          <w:color w:val="auto"/>
          <w:sz w:val="36"/>
        </w:rPr>
        <w:t>第一章  招标公告</w:t>
      </w:r>
      <w:bookmarkEnd w:id="7"/>
      <w:bookmarkEnd w:id="8"/>
      <w:bookmarkEnd w:id="9"/>
      <w:bookmarkEnd w:id="10"/>
    </w:p>
    <w:p>
      <w:pPr>
        <w:spacing w:line="360" w:lineRule="auto"/>
        <w:jc w:val="center"/>
        <w:rPr>
          <w:b/>
          <w:color w:val="auto"/>
          <w:sz w:val="32"/>
          <w:szCs w:val="32"/>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广西科联招标中心有限公司关于</w:t>
      </w:r>
      <w:r>
        <w:rPr>
          <w:rFonts w:hint="eastAsia" w:ascii="宋体" w:hAnsi="宋体" w:cs="宋体"/>
          <w:b/>
          <w:color w:val="auto"/>
          <w:sz w:val="32"/>
          <w:szCs w:val="32"/>
          <w:lang w:eastAsia="zh-CN"/>
        </w:rPr>
        <w:t>3.0T磁共振成像系统采购项目</w:t>
      </w:r>
      <w:r>
        <w:rPr>
          <w:rFonts w:hint="eastAsia" w:ascii="宋体" w:hAnsi="宋体" w:cs="宋体"/>
          <w:b/>
          <w:color w:val="auto"/>
          <w:sz w:val="32"/>
          <w:szCs w:val="32"/>
        </w:rPr>
        <w:t>（</w:t>
      </w:r>
      <w:r>
        <w:rPr>
          <w:rFonts w:hint="eastAsia" w:ascii="宋体" w:hAnsi="宋体" w:cs="宋体"/>
          <w:b/>
          <w:color w:val="auto"/>
          <w:sz w:val="32"/>
          <w:szCs w:val="32"/>
          <w:lang w:eastAsia="zh-CN"/>
        </w:rPr>
        <w:t>GXZC2023-G1-004318-KLZB</w:t>
      </w:r>
      <w:r>
        <w:rPr>
          <w:rFonts w:hint="eastAsia" w:ascii="宋体" w:hAnsi="宋体" w:cs="宋体"/>
          <w:b/>
          <w:color w:val="auto"/>
          <w:sz w:val="32"/>
          <w:szCs w:val="32"/>
        </w:rPr>
        <w:t>）的招标公告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u w:val="single"/>
          <w:lang w:eastAsia="zh-CN"/>
        </w:rPr>
        <w:t>3.0T磁共振成像系统采购项目</w:t>
      </w:r>
      <w:r>
        <w:rPr>
          <w:rFonts w:hint="eastAsia" w:ascii="宋体" w:hAnsi="宋体" w:cs="宋体"/>
          <w:color w:val="auto"/>
          <w:szCs w:val="21"/>
          <w:u w:val="single"/>
        </w:rPr>
        <w:t xml:space="preserve"> </w:t>
      </w:r>
      <w:r>
        <w:rPr>
          <w:rFonts w:hint="eastAsia" w:ascii="宋体" w:hAnsi="宋体" w:cs="宋体"/>
          <w:color w:val="auto"/>
          <w:szCs w:val="21"/>
        </w:rPr>
        <w:t>招标项目的潜在投标人应在“政采云”平台（https://www.zcygov.cn/）获取招标文件，并于</w:t>
      </w:r>
      <w:bookmarkStart w:id="11" w:name="PO_3000001866_PM015"/>
      <w:r>
        <w:rPr>
          <w:rFonts w:hint="eastAsia" w:ascii="宋体" w:hAnsi="宋体" w:cs="宋体"/>
          <w:color w:val="auto"/>
          <w:szCs w:val="21"/>
          <w:u w:val="single"/>
        </w:rPr>
        <w:t>2023年</w:t>
      </w:r>
      <w:r>
        <w:rPr>
          <w:rFonts w:hint="eastAsia" w:ascii="宋体" w:hAnsi="宋体" w:cs="宋体"/>
          <w:color w:val="auto"/>
          <w:szCs w:val="21"/>
          <w:u w:val="single"/>
          <w:lang w:val="en-US" w:eastAsia="zh-CN"/>
        </w:rPr>
        <w:t>12月11日</w:t>
      </w:r>
      <w:r>
        <w:rPr>
          <w:rFonts w:hint="eastAsia" w:ascii="宋体" w:hAnsi="宋体" w:cs="宋体"/>
          <w:color w:val="auto"/>
          <w:szCs w:val="21"/>
          <w:u w:val="single"/>
        </w:rPr>
        <w:t xml:space="preserve"> </w:t>
      </w:r>
      <w:bookmarkEnd w:id="11"/>
      <w:r>
        <w:rPr>
          <w:rFonts w:hint="eastAsia" w:ascii="宋体" w:hAnsi="宋体" w:cs="宋体"/>
          <w:color w:val="auto"/>
          <w:szCs w:val="21"/>
          <w:u w:val="single"/>
          <w:lang w:eastAsia="zh-CN"/>
        </w:rPr>
        <w:t>09:30:00</w:t>
      </w:r>
      <w:r>
        <w:rPr>
          <w:rFonts w:hint="eastAsia" w:ascii="宋体" w:hAnsi="宋体" w:cs="宋体"/>
          <w:bCs/>
          <w:color w:val="auto"/>
          <w:szCs w:val="21"/>
        </w:rPr>
        <w:t>（北京时间）前</w:t>
      </w:r>
      <w:r>
        <w:rPr>
          <w:rFonts w:hint="eastAsia" w:ascii="宋体" w:hAnsi="宋体" w:cs="宋体"/>
          <w:color w:val="auto"/>
          <w:szCs w:val="21"/>
        </w:rPr>
        <w:t>递交（上传）投标文件。</w:t>
      </w:r>
    </w:p>
    <w:p>
      <w:pPr>
        <w:spacing w:line="360" w:lineRule="auto"/>
        <w:rPr>
          <w:rFonts w:ascii="黑体" w:hAnsi="黑体" w:eastAsia="黑体"/>
          <w:b/>
          <w:bCs/>
          <w:color w:val="auto"/>
          <w:sz w:val="24"/>
        </w:rPr>
      </w:pPr>
      <w:bookmarkStart w:id="12" w:name="_Toc28359079"/>
      <w:bookmarkStart w:id="13" w:name="_Toc35393621"/>
      <w:bookmarkStart w:id="14" w:name="_Toc35393790"/>
      <w:bookmarkStart w:id="15" w:name="_Toc28359002"/>
      <w:bookmarkStart w:id="16" w:name="_Hlk24379207"/>
      <w:r>
        <w:rPr>
          <w:rFonts w:hint="eastAsia" w:ascii="黑体" w:hAnsi="黑体" w:eastAsia="黑体"/>
          <w:b/>
          <w:bCs/>
          <w:color w:val="auto"/>
          <w:sz w:val="24"/>
        </w:rPr>
        <w:t>一、项目基本情况</w:t>
      </w:r>
      <w:bookmarkEnd w:id="12"/>
      <w:bookmarkEnd w:id="13"/>
      <w:bookmarkEnd w:id="14"/>
      <w:bookmarkEnd w:id="15"/>
    </w:p>
    <w:p>
      <w:pPr>
        <w:spacing w:line="360" w:lineRule="auto"/>
        <w:ind w:firstLine="422" w:firstLineChars="200"/>
        <w:rPr>
          <w:rFonts w:ascii="宋体" w:hAnsi="宋体"/>
          <w:color w:val="auto"/>
          <w:szCs w:val="21"/>
        </w:rPr>
      </w:pPr>
      <w:r>
        <w:rPr>
          <w:rFonts w:hint="eastAsia" w:ascii="宋体" w:hAnsi="宋体"/>
          <w:b/>
          <w:bCs/>
          <w:color w:val="auto"/>
          <w:szCs w:val="21"/>
        </w:rPr>
        <w:t>项目编号：</w:t>
      </w:r>
      <w:r>
        <w:rPr>
          <w:rFonts w:hint="eastAsia" w:ascii="宋体" w:hAnsi="宋体"/>
          <w:color w:val="auto"/>
          <w:szCs w:val="21"/>
          <w:lang w:eastAsia="zh-CN"/>
        </w:rPr>
        <w:t>GXZC2023-G1-004318-KLZB</w:t>
      </w:r>
      <w:r>
        <w:rPr>
          <w:rFonts w:hint="eastAsia" w:ascii="宋体" w:hAnsi="宋体"/>
          <w:color w:val="auto"/>
          <w:szCs w:val="21"/>
        </w:rPr>
        <w:t>（采购计划编号：广西政采[2023]</w:t>
      </w:r>
      <w:r>
        <w:rPr>
          <w:rFonts w:hint="eastAsia" w:ascii="宋体" w:hAnsi="宋体"/>
          <w:color w:val="auto"/>
          <w:szCs w:val="21"/>
          <w:lang w:val="en-US" w:eastAsia="zh-CN"/>
        </w:rPr>
        <w:t>20887</w:t>
      </w:r>
      <w:r>
        <w:rPr>
          <w:rFonts w:hint="eastAsia" w:ascii="宋体" w:hAnsi="宋体"/>
          <w:color w:val="auto"/>
          <w:szCs w:val="21"/>
        </w:rPr>
        <w:t>号）</w:t>
      </w:r>
    </w:p>
    <w:p>
      <w:pPr>
        <w:spacing w:line="360" w:lineRule="auto"/>
        <w:ind w:firstLine="422" w:firstLineChars="200"/>
        <w:rPr>
          <w:rFonts w:hint="eastAsia" w:ascii="宋体" w:hAnsi="宋体" w:eastAsia="宋体"/>
          <w:color w:val="auto"/>
          <w:szCs w:val="21"/>
          <w:lang w:eastAsia="zh-CN"/>
        </w:rPr>
      </w:pPr>
      <w:r>
        <w:rPr>
          <w:rFonts w:hint="eastAsia" w:ascii="宋体" w:hAnsi="宋体"/>
          <w:b/>
          <w:bCs/>
          <w:color w:val="auto"/>
          <w:szCs w:val="21"/>
        </w:rPr>
        <w:t>项目名称：</w:t>
      </w:r>
      <w:r>
        <w:rPr>
          <w:rFonts w:hint="eastAsia" w:ascii="宋体" w:hAnsi="宋体"/>
          <w:color w:val="auto"/>
          <w:szCs w:val="21"/>
          <w:lang w:eastAsia="zh-CN"/>
        </w:rPr>
        <w:t>3.0T磁共振成像系统采购项目</w:t>
      </w:r>
    </w:p>
    <w:bookmarkEnd w:id="16"/>
    <w:p>
      <w:pPr>
        <w:spacing w:line="360" w:lineRule="auto"/>
        <w:ind w:firstLine="422" w:firstLineChars="200"/>
        <w:rPr>
          <w:rFonts w:ascii="宋体" w:hAnsi="宋体"/>
          <w:color w:val="auto"/>
          <w:szCs w:val="21"/>
          <w:u w:val="single"/>
        </w:rPr>
      </w:pPr>
      <w:r>
        <w:rPr>
          <w:rFonts w:hint="eastAsia" w:ascii="宋体" w:hAnsi="宋体"/>
          <w:b/>
          <w:bCs/>
          <w:color w:val="auto"/>
          <w:szCs w:val="21"/>
        </w:rPr>
        <w:t>预算总金额（元）：</w:t>
      </w:r>
      <w:r>
        <w:rPr>
          <w:rFonts w:hint="eastAsia" w:ascii="宋体" w:hAnsi="宋体"/>
          <w:color w:val="auto"/>
          <w:szCs w:val="21"/>
          <w:lang w:val="en-US" w:eastAsia="zh-CN"/>
        </w:rPr>
        <w:t>27510000</w:t>
      </w:r>
      <w:r>
        <w:rPr>
          <w:rFonts w:hint="eastAsia" w:ascii="宋体" w:hAnsi="宋体"/>
          <w:bCs/>
          <w:color w:val="auto"/>
          <w:szCs w:val="21"/>
        </w:rPr>
        <w:t>.00</w:t>
      </w:r>
    </w:p>
    <w:p>
      <w:pPr>
        <w:spacing w:line="360" w:lineRule="auto"/>
        <w:ind w:firstLine="422" w:firstLineChars="200"/>
        <w:rPr>
          <w:rFonts w:ascii="宋体" w:hAnsi="宋体"/>
          <w:color w:val="auto"/>
          <w:szCs w:val="21"/>
        </w:rPr>
      </w:pPr>
      <w:r>
        <w:rPr>
          <w:rFonts w:hint="eastAsia" w:ascii="宋体" w:hAnsi="宋体"/>
          <w:b/>
          <w:bCs/>
          <w:color w:val="auto"/>
          <w:szCs w:val="21"/>
        </w:rPr>
        <w:t>采购需求：</w:t>
      </w:r>
      <w:bookmarkStart w:id="17" w:name="PO_3000001866_PM004"/>
    </w:p>
    <w:bookmarkEnd w:id="17"/>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标项名称:</w:t>
      </w:r>
      <w:r>
        <w:rPr>
          <w:rFonts w:hint="eastAsia" w:ascii="宋体" w:hAnsi="宋体"/>
          <w:color w:val="auto"/>
          <w:szCs w:val="21"/>
          <w:lang w:eastAsia="zh-CN"/>
        </w:rPr>
        <w:t>3.0T磁共振成像系统</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数量:</w:t>
      </w:r>
      <w:r>
        <w:rPr>
          <w:rFonts w:hint="eastAsia" w:ascii="宋体" w:hAnsi="宋体"/>
          <w:color w:val="auto"/>
          <w:szCs w:val="21"/>
          <w:lang w:val="en-US" w:eastAsia="zh-CN"/>
        </w:rPr>
        <w:t>1</w:t>
      </w:r>
    </w:p>
    <w:p>
      <w:pPr>
        <w:spacing w:line="360" w:lineRule="auto"/>
        <w:ind w:firstLine="420" w:firstLineChars="200"/>
        <w:rPr>
          <w:rFonts w:ascii="宋体" w:hAnsi="宋体"/>
          <w:color w:val="auto"/>
          <w:szCs w:val="21"/>
        </w:rPr>
      </w:pPr>
      <w:r>
        <w:rPr>
          <w:rFonts w:hint="eastAsia" w:ascii="宋体" w:hAnsi="宋体"/>
          <w:color w:val="auto"/>
          <w:szCs w:val="21"/>
        </w:rPr>
        <w:t xml:space="preserve">预算金额（元）: </w:t>
      </w:r>
      <w:r>
        <w:rPr>
          <w:rFonts w:hint="eastAsia" w:ascii="宋体" w:hAnsi="宋体"/>
          <w:color w:val="auto"/>
          <w:szCs w:val="21"/>
          <w:lang w:val="en-US" w:eastAsia="zh-CN"/>
        </w:rPr>
        <w:t>27510000</w:t>
      </w:r>
      <w:r>
        <w:rPr>
          <w:rFonts w:hint="eastAsia" w:ascii="宋体" w:hAnsi="宋体"/>
          <w:color w:val="auto"/>
          <w:szCs w:val="21"/>
        </w:rPr>
        <w:t>.00</w:t>
      </w:r>
    </w:p>
    <w:p>
      <w:pPr>
        <w:spacing w:line="360" w:lineRule="auto"/>
        <w:ind w:firstLine="420" w:firstLineChars="200"/>
        <w:rPr>
          <w:rFonts w:ascii="宋体" w:hAnsi="宋体"/>
          <w:color w:val="auto"/>
          <w:szCs w:val="21"/>
        </w:rPr>
      </w:pPr>
      <w:r>
        <w:rPr>
          <w:rFonts w:hint="eastAsia" w:ascii="宋体" w:hAnsi="宋体"/>
          <w:color w:val="auto"/>
          <w:szCs w:val="21"/>
        </w:rPr>
        <w:t>简要规格描述或项目基本概况介绍、用途：</w:t>
      </w:r>
      <w:r>
        <w:rPr>
          <w:rFonts w:hint="eastAsia" w:ascii="宋体" w:hAnsi="宋体"/>
          <w:color w:val="auto"/>
          <w:szCs w:val="21"/>
          <w:lang w:eastAsia="zh-CN"/>
        </w:rPr>
        <w:t>3.0T磁共振成像系统</w:t>
      </w:r>
      <w:r>
        <w:rPr>
          <w:rFonts w:hint="eastAsia" w:ascii="宋体" w:hAnsi="宋体"/>
          <w:color w:val="auto"/>
          <w:szCs w:val="21"/>
          <w:lang w:val="en-US" w:eastAsia="zh-CN"/>
        </w:rPr>
        <w:t xml:space="preserve"> 1台</w:t>
      </w:r>
      <w:r>
        <w:rPr>
          <w:rFonts w:hint="eastAsia" w:ascii="宋体" w:hAnsi="宋体"/>
          <w:color w:val="auto"/>
          <w:szCs w:val="21"/>
        </w:rPr>
        <w:t>，详见</w:t>
      </w:r>
      <w:r>
        <w:rPr>
          <w:rFonts w:hint="eastAsia"/>
          <w:color w:val="auto"/>
        </w:rPr>
        <w:t>招标公告</w:t>
      </w:r>
      <w:r>
        <w:rPr>
          <w:rFonts w:hint="eastAsia" w:ascii="宋体" w:hAnsi="宋体"/>
          <w:color w:val="auto"/>
          <w:szCs w:val="21"/>
        </w:rPr>
        <w:t>附件</w:t>
      </w:r>
      <w:r>
        <w:rPr>
          <w:rFonts w:hint="eastAsia" w:ascii="宋体" w:hAnsi="宋体"/>
          <w:color w:val="auto"/>
          <w:szCs w:val="21"/>
          <w:lang w:val="en-US" w:eastAsia="zh-CN"/>
        </w:rPr>
        <w:t>招标文件</w:t>
      </w:r>
      <w:r>
        <w:rPr>
          <w:rFonts w:hint="eastAsia" w:ascii="宋体" w:hAnsi="宋体"/>
          <w:color w:val="auto"/>
          <w:szCs w:val="21"/>
        </w:rPr>
        <w:t>。</w:t>
      </w:r>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最高限价（元）：</w:t>
      </w:r>
      <w:r>
        <w:rPr>
          <w:rFonts w:hint="eastAsia" w:ascii="宋体" w:hAnsi="宋体"/>
          <w:color w:val="auto"/>
          <w:szCs w:val="21"/>
          <w:lang w:val="en-US" w:eastAsia="zh-CN"/>
        </w:rPr>
        <w:t>/</w:t>
      </w:r>
    </w:p>
    <w:p>
      <w:pPr>
        <w:spacing w:line="360" w:lineRule="auto"/>
        <w:ind w:firstLine="420" w:firstLineChars="200"/>
        <w:rPr>
          <w:rFonts w:ascii="宋体" w:hAnsi="宋体"/>
          <w:color w:val="auto"/>
          <w:szCs w:val="21"/>
        </w:rPr>
      </w:pPr>
      <w:r>
        <w:rPr>
          <w:rFonts w:hint="eastAsia" w:ascii="宋体" w:hAnsi="宋体"/>
          <w:color w:val="auto"/>
          <w:szCs w:val="21"/>
        </w:rPr>
        <w:t>合同履约期限：合同签订之日起</w:t>
      </w:r>
      <w:r>
        <w:rPr>
          <w:rFonts w:hint="eastAsia" w:ascii="宋体" w:hAnsi="宋体"/>
          <w:color w:val="auto"/>
          <w:szCs w:val="21"/>
          <w:lang w:val="en-US" w:eastAsia="zh-CN"/>
        </w:rPr>
        <w:t>60</w:t>
      </w:r>
      <w:r>
        <w:rPr>
          <w:rFonts w:hint="eastAsia" w:ascii="宋体" w:hAnsi="宋体" w:cs="宋体"/>
          <w:bCs/>
          <w:color w:val="auto"/>
          <w:sz w:val="21"/>
          <w:szCs w:val="21"/>
          <w:highlight w:val="none"/>
          <w:lang w:eastAsia="zh-CN"/>
        </w:rPr>
        <w:t>日历日</w:t>
      </w:r>
      <w:r>
        <w:rPr>
          <w:rFonts w:hint="eastAsia" w:ascii="宋体" w:hAnsi="宋体"/>
          <w:color w:val="auto"/>
          <w:szCs w:val="21"/>
        </w:rPr>
        <w:t>内将货物运至交货地点。</w:t>
      </w:r>
    </w:p>
    <w:p>
      <w:pPr>
        <w:spacing w:line="360" w:lineRule="auto"/>
        <w:ind w:firstLine="420" w:firstLineChars="200"/>
        <w:rPr>
          <w:rFonts w:ascii="宋体" w:hAnsi="宋体"/>
          <w:color w:val="auto"/>
          <w:szCs w:val="21"/>
        </w:rPr>
      </w:pPr>
      <w:r>
        <w:rPr>
          <w:rFonts w:hint="eastAsia" w:ascii="宋体" w:hAnsi="宋体"/>
          <w:color w:val="auto"/>
          <w:szCs w:val="21"/>
        </w:rPr>
        <w:t>本标项（</w:t>
      </w:r>
      <w:r>
        <w:rPr>
          <w:rFonts w:hint="eastAsia" w:ascii="宋体" w:hAnsi="宋体"/>
          <w:i/>
          <w:color w:val="auto"/>
          <w:szCs w:val="21"/>
        </w:rPr>
        <w:t>是/否</w:t>
      </w:r>
      <w:r>
        <w:rPr>
          <w:rFonts w:hint="eastAsia" w:ascii="宋体" w:hAnsi="宋体"/>
          <w:color w:val="auto"/>
          <w:szCs w:val="21"/>
        </w:rPr>
        <w:t>）接受联合体投标：否</w:t>
      </w:r>
    </w:p>
    <w:p>
      <w:pPr>
        <w:spacing w:line="360" w:lineRule="auto"/>
        <w:ind w:firstLine="420" w:firstLineChars="200"/>
        <w:rPr>
          <w:rFonts w:ascii="宋体" w:hAnsi="宋体"/>
          <w:color w:val="auto"/>
          <w:szCs w:val="21"/>
        </w:rPr>
      </w:pPr>
      <w:r>
        <w:rPr>
          <w:rFonts w:hint="eastAsia" w:ascii="宋体" w:hAnsi="宋体"/>
          <w:color w:val="auto"/>
          <w:szCs w:val="21"/>
        </w:rPr>
        <w:t>备注：无</w:t>
      </w:r>
    </w:p>
    <w:p>
      <w:pPr>
        <w:spacing w:line="360" w:lineRule="auto"/>
        <w:rPr>
          <w:rFonts w:ascii="黑体" w:hAnsi="黑体" w:eastAsia="黑体"/>
          <w:b/>
          <w:bCs/>
          <w:color w:val="auto"/>
          <w:sz w:val="24"/>
        </w:rPr>
      </w:pPr>
      <w:bookmarkStart w:id="18" w:name="_Toc28359080"/>
      <w:bookmarkStart w:id="19" w:name="_Toc35393791"/>
      <w:bookmarkStart w:id="20" w:name="_Toc35393622"/>
      <w:bookmarkStart w:id="21" w:name="_Toc28359003"/>
      <w:r>
        <w:rPr>
          <w:rFonts w:hint="eastAsia" w:ascii="黑体" w:hAnsi="黑体" w:eastAsia="黑体"/>
          <w:b/>
          <w:bCs/>
          <w:color w:val="auto"/>
          <w:sz w:val="24"/>
        </w:rPr>
        <w:t>二、投标人的资格要求：</w:t>
      </w:r>
      <w:bookmarkEnd w:id="18"/>
      <w:bookmarkEnd w:id="19"/>
      <w:bookmarkEnd w:id="20"/>
      <w:bookmarkEnd w:id="21"/>
    </w:p>
    <w:p>
      <w:pPr>
        <w:spacing w:line="360" w:lineRule="auto"/>
        <w:ind w:firstLine="420" w:firstLineChars="200"/>
        <w:rPr>
          <w:rFonts w:ascii="宋体" w:hAnsi="宋体"/>
          <w:color w:val="auto"/>
          <w:szCs w:val="21"/>
        </w:rPr>
      </w:pPr>
      <w:bookmarkStart w:id="22" w:name="_Toc28359004"/>
      <w:bookmarkStart w:id="23" w:name="_Toc28359081"/>
      <w:r>
        <w:rPr>
          <w:rFonts w:hint="eastAsia" w:ascii="宋体" w:hAnsi="宋体"/>
          <w:color w:val="auto"/>
          <w:szCs w:val="21"/>
        </w:rPr>
        <w:t>1.满足《中华人民共和国政府采购法》第二十二条规定。</w:t>
      </w:r>
    </w:p>
    <w:p>
      <w:pPr>
        <w:spacing w:line="360" w:lineRule="auto"/>
        <w:ind w:firstLine="420" w:firstLineChars="200"/>
        <w:rPr>
          <w:rFonts w:ascii="宋体" w:hAnsi="宋体"/>
          <w:color w:val="auto"/>
          <w:szCs w:val="21"/>
        </w:rPr>
      </w:pPr>
      <w:r>
        <w:rPr>
          <w:rFonts w:hint="eastAsia" w:ascii="宋体" w:hAnsi="宋体"/>
          <w:color w:val="auto"/>
          <w:szCs w:val="21"/>
        </w:rPr>
        <w:t>2.落实政府采购政策需满足的资格要求：无。</w:t>
      </w:r>
    </w:p>
    <w:p>
      <w:pPr>
        <w:spacing w:line="360" w:lineRule="auto"/>
        <w:ind w:firstLine="420" w:firstLineChars="200"/>
        <w:rPr>
          <w:rFonts w:ascii="宋体" w:hAnsi="宋体"/>
          <w:color w:val="auto"/>
          <w:szCs w:val="21"/>
        </w:rPr>
      </w:pPr>
      <w:r>
        <w:rPr>
          <w:rFonts w:hint="eastAsia" w:ascii="宋体" w:hAnsi="宋体"/>
          <w:color w:val="auto"/>
          <w:szCs w:val="21"/>
        </w:rPr>
        <w:t>3.本项目的特定资格要求：</w:t>
      </w:r>
      <w:r>
        <w:rPr>
          <w:rFonts w:hint="eastAsia" w:ascii="宋体" w:hAnsi="宋体" w:eastAsia="宋体" w:cs="Times New Roman"/>
          <w:color w:val="auto"/>
          <w:szCs w:val="21"/>
          <w:highlight w:val="none"/>
          <w:lang w:val="en-US" w:eastAsia="zh-CN"/>
        </w:rPr>
        <w:t>本项目采购货物</w:t>
      </w:r>
      <w:r>
        <w:rPr>
          <w:rFonts w:hint="eastAsia" w:ascii="宋体" w:hAnsi="宋体" w:eastAsia="宋体" w:cs="Times New Roman"/>
          <w:color w:val="auto"/>
          <w:szCs w:val="21"/>
          <w:highlight w:val="none"/>
        </w:rPr>
        <w:t>为</w:t>
      </w:r>
      <w:r>
        <w:rPr>
          <w:rFonts w:hint="eastAsia" w:ascii="宋体" w:hAnsi="宋体" w:cs="Times New Roman"/>
          <w:color w:val="auto"/>
          <w:szCs w:val="21"/>
          <w:highlight w:val="none"/>
          <w:lang w:eastAsia="zh-CN"/>
        </w:rPr>
        <w:t>第三类</w:t>
      </w:r>
      <w:r>
        <w:rPr>
          <w:rFonts w:hint="eastAsia" w:ascii="宋体" w:hAnsi="宋体" w:eastAsia="宋体" w:cs="Times New Roman"/>
          <w:color w:val="auto"/>
          <w:szCs w:val="21"/>
          <w:highlight w:val="none"/>
        </w:rPr>
        <w:t>医疗器械，供应商必须具备国家主管部门颁发的《医疗器械经营企业许可证》（如供应商为代理经销商），或具备《医疗器械生产企业许可证》（如供应商为制造商），须在</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文件中提供扫描件。</w:t>
      </w:r>
    </w:p>
    <w:p>
      <w:pPr>
        <w:spacing w:line="360" w:lineRule="auto"/>
        <w:rPr>
          <w:rFonts w:ascii="黑体" w:hAnsi="黑体" w:eastAsia="黑体"/>
          <w:b/>
          <w:bCs/>
          <w:color w:val="auto"/>
          <w:sz w:val="24"/>
        </w:rPr>
      </w:pPr>
      <w:bookmarkStart w:id="24" w:name="_Toc35393792"/>
      <w:bookmarkStart w:id="25" w:name="_Toc35393623"/>
      <w:r>
        <w:rPr>
          <w:rFonts w:hint="eastAsia" w:ascii="黑体" w:hAnsi="黑体" w:eastAsia="黑体"/>
          <w:b/>
          <w:bCs/>
          <w:color w:val="auto"/>
          <w:sz w:val="24"/>
        </w:rPr>
        <w:t>三、获取招标文件</w:t>
      </w:r>
      <w:bookmarkEnd w:id="22"/>
      <w:bookmarkEnd w:id="23"/>
      <w:bookmarkEnd w:id="24"/>
      <w:bookmarkEnd w:id="25"/>
    </w:p>
    <w:p>
      <w:pPr>
        <w:snapToGrid w:val="0"/>
        <w:spacing w:line="360" w:lineRule="auto"/>
        <w:ind w:firstLine="472" w:firstLineChars="225"/>
        <w:rPr>
          <w:rFonts w:ascii="宋体" w:hAnsi="宋体"/>
          <w:color w:val="auto"/>
          <w:szCs w:val="21"/>
        </w:rPr>
      </w:pPr>
      <w:bookmarkStart w:id="26" w:name="_Toc28359005"/>
      <w:bookmarkStart w:id="27" w:name="_Toc28359082"/>
      <w:bookmarkStart w:id="28" w:name="_Toc35393793"/>
      <w:bookmarkStart w:id="29" w:name="_Toc35393624"/>
      <w:r>
        <w:rPr>
          <w:rFonts w:hint="eastAsia" w:ascii="宋体" w:hAnsi="宋体"/>
          <w:color w:val="auto"/>
          <w:szCs w:val="21"/>
        </w:rPr>
        <w:t>时间：2023年</w:t>
      </w:r>
      <w:r>
        <w:rPr>
          <w:rFonts w:hint="eastAsia" w:ascii="宋体" w:hAnsi="宋体"/>
          <w:color w:val="auto"/>
          <w:szCs w:val="21"/>
          <w:lang w:val="en-US" w:eastAsia="zh-CN"/>
        </w:rPr>
        <w:t>11月16日</w:t>
      </w:r>
      <w:r>
        <w:rPr>
          <w:rFonts w:hint="eastAsia" w:ascii="宋体" w:hAnsi="宋体"/>
          <w:color w:val="auto"/>
          <w:szCs w:val="21"/>
        </w:rPr>
        <w:t>至202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auto"/>
          <w:szCs w:val="21"/>
          <w:lang w:val="en-US" w:eastAsia="zh-CN"/>
        </w:rPr>
        <w:t>11月23日</w:t>
      </w:r>
      <w:r>
        <w:rPr>
          <w:rFonts w:hint="eastAsia" w:ascii="宋体" w:hAnsi="宋体"/>
          <w:color w:val="auto"/>
          <w:szCs w:val="21"/>
        </w:rPr>
        <w:t>，每天上午08:00至12:00，下午12:00至18:00（北京时间，法定节假日除外）。</w:t>
      </w:r>
    </w:p>
    <w:p>
      <w:pPr>
        <w:snapToGrid w:val="0"/>
        <w:spacing w:line="360" w:lineRule="auto"/>
        <w:ind w:firstLine="472" w:firstLineChars="225"/>
        <w:rPr>
          <w:rFonts w:ascii="宋体" w:hAnsi="宋体"/>
          <w:color w:val="auto"/>
          <w:szCs w:val="21"/>
        </w:rPr>
      </w:pPr>
      <w:r>
        <w:rPr>
          <w:rFonts w:hint="eastAsia" w:ascii="宋体" w:hAnsi="宋体"/>
          <w:color w:val="auto"/>
          <w:szCs w:val="21"/>
        </w:rPr>
        <w:t>地点（网址）：“政采云”平台（</w:t>
      </w:r>
      <w:r>
        <w:rPr>
          <w:rFonts w:hint="eastAsia" w:ascii="宋体" w:hAnsi="宋体" w:cs="宋体"/>
          <w:color w:val="auto"/>
          <w:szCs w:val="21"/>
        </w:rPr>
        <w:t>https://www.zcygov.cn/</w:t>
      </w:r>
      <w:r>
        <w:rPr>
          <w:rFonts w:hint="eastAsia" w:ascii="宋体" w:hAnsi="宋体"/>
          <w:color w:val="auto"/>
          <w:szCs w:val="21"/>
        </w:rPr>
        <w:t>）</w:t>
      </w:r>
    </w:p>
    <w:p>
      <w:pPr>
        <w:snapToGrid w:val="0"/>
        <w:spacing w:line="360" w:lineRule="auto"/>
        <w:ind w:firstLine="472" w:firstLineChars="225"/>
        <w:rPr>
          <w:rFonts w:ascii="宋体" w:hAnsi="宋体"/>
          <w:color w:val="auto"/>
          <w:szCs w:val="21"/>
        </w:rPr>
      </w:pPr>
      <w:r>
        <w:rPr>
          <w:rFonts w:hint="eastAsia" w:ascii="宋体" w:hAnsi="宋体"/>
          <w:color w:val="auto"/>
          <w:szCs w:val="21"/>
        </w:rPr>
        <w:t>方式:网上下载。本项目不发放纸质文件，</w:t>
      </w:r>
      <w:r>
        <w:rPr>
          <w:rFonts w:hint="eastAsia"/>
          <w:color w:val="auto"/>
        </w:rPr>
        <w:t>潜在</w:t>
      </w:r>
      <w:r>
        <w:rPr>
          <w:rFonts w:hint="eastAsia" w:ascii="宋体" w:hAnsi="宋体"/>
          <w:color w:val="auto"/>
          <w:szCs w:val="21"/>
        </w:rPr>
        <w:t>供应商可自行在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olor w:val="auto"/>
          <w:szCs w:val="21"/>
        </w:rPr>
        <w:t>“政采云”平台（</w:t>
      </w:r>
      <w:r>
        <w:rPr>
          <w:rFonts w:hint="eastAsia" w:ascii="宋体" w:hAnsi="宋体" w:cs="宋体"/>
          <w:color w:val="auto"/>
          <w:szCs w:val="21"/>
        </w:rPr>
        <w:t>https://www.zcygov.cn/</w:t>
      </w:r>
      <w:r>
        <w:rPr>
          <w:rFonts w:hint="eastAsia" w:ascii="宋体" w:hAnsi="宋体"/>
          <w:color w:val="auto"/>
          <w:szCs w:val="21"/>
        </w:rPr>
        <w:t>）下载招标文件（操作路径：登录“政采云”平台-项目采购-获取采购文件-找到本项目-点击“申请获取采购文件”），电子投标文件制作需要基于“政采云”平台获取的招标文件编制。</w:t>
      </w:r>
    </w:p>
    <w:p>
      <w:pPr>
        <w:snapToGrid w:val="0"/>
        <w:spacing w:line="360" w:lineRule="auto"/>
        <w:ind w:firstLine="472" w:firstLineChars="225"/>
        <w:rPr>
          <w:rFonts w:ascii="宋体" w:hAnsi="宋体"/>
          <w:color w:val="auto"/>
          <w:szCs w:val="21"/>
        </w:rPr>
      </w:pPr>
      <w:r>
        <w:rPr>
          <w:rFonts w:hint="eastAsia" w:ascii="宋体" w:hAnsi="宋体"/>
          <w:color w:val="auto"/>
          <w:szCs w:val="21"/>
        </w:rPr>
        <w:t>售价（元）：0</w:t>
      </w:r>
    </w:p>
    <w:p>
      <w:pPr>
        <w:spacing w:line="360" w:lineRule="auto"/>
        <w:rPr>
          <w:rFonts w:ascii="黑体" w:hAnsi="黑体" w:eastAsia="黑体"/>
          <w:b/>
          <w:bCs/>
          <w:color w:val="auto"/>
          <w:sz w:val="24"/>
        </w:rPr>
      </w:pPr>
      <w:r>
        <w:rPr>
          <w:rFonts w:hint="eastAsia" w:ascii="黑体" w:hAnsi="黑体" w:eastAsia="黑体"/>
          <w:b/>
          <w:bCs/>
          <w:color w:val="auto"/>
          <w:sz w:val="24"/>
        </w:rPr>
        <w:t>四、提交投标文件</w:t>
      </w:r>
      <w:bookmarkEnd w:id="26"/>
      <w:bookmarkEnd w:id="27"/>
      <w:r>
        <w:rPr>
          <w:rFonts w:hint="eastAsia" w:ascii="黑体" w:hAnsi="黑体" w:eastAsia="黑体"/>
          <w:b/>
          <w:bCs/>
          <w:color w:val="auto"/>
          <w:sz w:val="24"/>
        </w:rPr>
        <w:t>截止时间、开标时间和地点</w:t>
      </w:r>
      <w:bookmarkEnd w:id="28"/>
      <w:bookmarkEnd w:id="29"/>
    </w:p>
    <w:p>
      <w:pPr>
        <w:spacing w:line="360" w:lineRule="auto"/>
        <w:ind w:firstLine="420" w:firstLineChars="200"/>
        <w:rPr>
          <w:rFonts w:ascii="宋体" w:hAnsi="宋体"/>
          <w:bCs/>
          <w:color w:val="auto"/>
          <w:szCs w:val="21"/>
        </w:rPr>
      </w:pPr>
      <w:r>
        <w:rPr>
          <w:rFonts w:hint="eastAsia" w:ascii="宋体" w:hAnsi="宋体"/>
          <w:bCs/>
          <w:color w:val="auto"/>
          <w:szCs w:val="21"/>
        </w:rPr>
        <w:t>提交投标文件截止时间：2023年</w:t>
      </w:r>
      <w:r>
        <w:rPr>
          <w:rFonts w:hint="eastAsia" w:ascii="宋体" w:hAnsi="宋体"/>
          <w:bCs/>
          <w:color w:val="auto"/>
          <w:szCs w:val="21"/>
          <w:lang w:val="en-US" w:eastAsia="zh-CN"/>
        </w:rPr>
        <w:t>12月11日</w:t>
      </w:r>
      <w:r>
        <w:rPr>
          <w:rFonts w:hint="eastAsia" w:ascii="宋体" w:hAnsi="宋体"/>
          <w:bCs/>
          <w:color w:val="auto"/>
          <w:szCs w:val="21"/>
        </w:rPr>
        <w:t xml:space="preserve"> </w:t>
      </w:r>
      <w:r>
        <w:rPr>
          <w:rFonts w:hint="eastAsia" w:ascii="宋体" w:hAnsi="宋体"/>
          <w:bCs/>
          <w:color w:val="auto"/>
          <w:szCs w:val="21"/>
          <w:lang w:eastAsia="zh-CN"/>
        </w:rPr>
        <w:t>09:30:00</w:t>
      </w:r>
      <w:r>
        <w:rPr>
          <w:rFonts w:hint="eastAsia" w:ascii="宋体" w:hAnsi="宋体"/>
          <w:bCs/>
          <w:color w:val="auto"/>
          <w:szCs w:val="21"/>
        </w:rPr>
        <w:t>（北京时间）</w:t>
      </w:r>
    </w:p>
    <w:p>
      <w:pPr>
        <w:spacing w:line="360" w:lineRule="auto"/>
        <w:ind w:firstLine="420" w:firstLineChars="200"/>
        <w:rPr>
          <w:rFonts w:ascii="宋体" w:hAnsi="宋体"/>
          <w:bCs/>
          <w:color w:val="auto"/>
          <w:szCs w:val="21"/>
        </w:rPr>
      </w:pPr>
      <w:r>
        <w:rPr>
          <w:rFonts w:hint="eastAsia" w:ascii="宋体" w:hAnsi="宋体"/>
          <w:bCs/>
          <w:color w:val="auto"/>
          <w:szCs w:val="21"/>
        </w:rPr>
        <w:t>投标地点（网址）：“政采云”平台（https://www.zcygov.cn/）</w:t>
      </w:r>
    </w:p>
    <w:p>
      <w:pPr>
        <w:spacing w:line="360" w:lineRule="auto"/>
        <w:ind w:firstLine="420" w:firstLineChars="200"/>
        <w:rPr>
          <w:rFonts w:ascii="宋体" w:hAnsi="宋体"/>
          <w:bCs/>
          <w:color w:val="auto"/>
          <w:szCs w:val="21"/>
        </w:rPr>
      </w:pPr>
      <w:r>
        <w:rPr>
          <w:rFonts w:hint="eastAsia" w:ascii="宋体" w:hAnsi="宋体"/>
          <w:bCs/>
          <w:color w:val="auto"/>
          <w:szCs w:val="21"/>
        </w:rPr>
        <w:t>开标时间：2023年</w:t>
      </w:r>
      <w:r>
        <w:rPr>
          <w:rFonts w:hint="eastAsia" w:ascii="宋体" w:hAnsi="宋体"/>
          <w:bCs/>
          <w:color w:val="auto"/>
          <w:szCs w:val="21"/>
          <w:lang w:val="en-US" w:eastAsia="zh-CN"/>
        </w:rPr>
        <w:t>12月11日</w:t>
      </w:r>
      <w:r>
        <w:rPr>
          <w:rFonts w:hint="eastAsia" w:ascii="宋体" w:hAnsi="宋体"/>
          <w:bCs/>
          <w:color w:val="auto"/>
          <w:szCs w:val="21"/>
        </w:rPr>
        <w:t xml:space="preserve"> </w:t>
      </w:r>
      <w:r>
        <w:rPr>
          <w:rFonts w:hint="eastAsia" w:ascii="宋体" w:hAnsi="宋体"/>
          <w:bCs/>
          <w:color w:val="auto"/>
          <w:szCs w:val="21"/>
          <w:lang w:eastAsia="zh-CN"/>
        </w:rPr>
        <w:t>09:30:00</w:t>
      </w:r>
      <w:r>
        <w:rPr>
          <w:rFonts w:hint="eastAsia" w:ascii="宋体" w:hAnsi="宋体"/>
          <w:bCs/>
          <w:color w:val="auto"/>
          <w:szCs w:val="21"/>
        </w:rPr>
        <w:t>（北京时间）</w:t>
      </w:r>
    </w:p>
    <w:p>
      <w:pPr>
        <w:spacing w:line="360" w:lineRule="auto"/>
        <w:ind w:firstLine="420" w:firstLineChars="200"/>
        <w:rPr>
          <w:rFonts w:ascii="宋体" w:hAnsi="宋体"/>
          <w:bCs/>
          <w:color w:val="auto"/>
          <w:szCs w:val="21"/>
        </w:rPr>
      </w:pPr>
      <w:r>
        <w:rPr>
          <w:rFonts w:hint="eastAsia" w:ascii="宋体" w:hAnsi="宋体"/>
          <w:bCs/>
          <w:color w:val="auto"/>
          <w:szCs w:val="21"/>
        </w:rPr>
        <w:t>开标地点：“政采云”平台电子开标大厅</w:t>
      </w:r>
    </w:p>
    <w:p>
      <w:pPr>
        <w:spacing w:line="360" w:lineRule="auto"/>
        <w:rPr>
          <w:rFonts w:ascii="黑体" w:hAnsi="黑体" w:eastAsia="黑体"/>
          <w:b/>
          <w:bCs/>
          <w:color w:val="auto"/>
          <w:sz w:val="24"/>
        </w:rPr>
      </w:pPr>
      <w:bookmarkStart w:id="30" w:name="_Toc35393625"/>
      <w:bookmarkStart w:id="31" w:name="_Toc28359084"/>
      <w:bookmarkStart w:id="32" w:name="_Toc28359007"/>
      <w:bookmarkStart w:id="33" w:name="_Toc35393794"/>
      <w:r>
        <w:rPr>
          <w:rFonts w:hint="eastAsia" w:ascii="黑体" w:hAnsi="黑体" w:eastAsia="黑体"/>
          <w:b/>
          <w:bCs/>
          <w:color w:val="auto"/>
          <w:sz w:val="24"/>
        </w:rPr>
        <w:t>五、公告期限</w:t>
      </w:r>
      <w:bookmarkEnd w:id="30"/>
      <w:bookmarkEnd w:id="31"/>
      <w:bookmarkEnd w:id="32"/>
      <w:bookmarkEnd w:id="33"/>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spacing w:line="360" w:lineRule="auto"/>
        <w:rPr>
          <w:rFonts w:ascii="黑体" w:hAnsi="黑体" w:eastAsia="黑体"/>
          <w:b/>
          <w:bCs/>
          <w:color w:val="auto"/>
          <w:sz w:val="24"/>
        </w:rPr>
      </w:pPr>
      <w:bookmarkStart w:id="34" w:name="_Toc35393626"/>
      <w:bookmarkStart w:id="35" w:name="_Toc35393795"/>
      <w:r>
        <w:rPr>
          <w:rFonts w:hint="eastAsia" w:ascii="黑体" w:hAnsi="黑体" w:eastAsia="黑体"/>
          <w:b/>
          <w:bCs/>
          <w:color w:val="auto"/>
          <w:sz w:val="24"/>
        </w:rPr>
        <w:t>六、其他补充事宜</w:t>
      </w:r>
      <w:bookmarkEnd w:id="34"/>
      <w:bookmarkEnd w:id="35"/>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（一）投标保证金：</w:t>
      </w:r>
    </w:p>
    <w:p>
      <w:pPr>
        <w:spacing w:line="360" w:lineRule="auto"/>
        <w:ind w:firstLine="840" w:firstLineChars="400"/>
        <w:rPr>
          <w:rFonts w:ascii="宋体" w:hAnsi="宋体" w:cs="宋体"/>
          <w:color w:val="auto"/>
          <w:kern w:val="0"/>
          <w:szCs w:val="21"/>
        </w:rPr>
      </w:pPr>
      <w:r>
        <w:rPr>
          <w:rFonts w:hint="eastAsia" w:ascii="宋体" w:hAnsi="宋体" w:cs="宋体"/>
          <w:color w:val="auto"/>
          <w:kern w:val="0"/>
          <w:szCs w:val="21"/>
        </w:rPr>
        <w:t>投标保证金金额：</w:t>
      </w:r>
      <w:r>
        <w:rPr>
          <w:rFonts w:hint="eastAsia" w:ascii="宋体" w:hAnsi="宋体" w:cs="宋体"/>
          <w:color w:val="auto"/>
          <w:szCs w:val="21"/>
        </w:rPr>
        <w:t>¥</w:t>
      </w:r>
      <w:r>
        <w:rPr>
          <w:rFonts w:hint="eastAsia" w:ascii="宋体" w:hAnsi="宋体"/>
          <w:color w:val="auto"/>
          <w:szCs w:val="21"/>
          <w:lang w:val="en-US" w:eastAsia="zh-CN"/>
        </w:rPr>
        <w:t>250000</w:t>
      </w:r>
      <w:r>
        <w:rPr>
          <w:rFonts w:hint="eastAsia" w:ascii="宋体" w:hAnsi="宋体" w:cs="宋体"/>
          <w:color w:val="auto"/>
          <w:szCs w:val="21"/>
        </w:rPr>
        <w:t>.00</w:t>
      </w:r>
      <w:r>
        <w:rPr>
          <w:rFonts w:hint="eastAsia" w:ascii="宋体" w:hAnsi="宋体" w:cs="宋体"/>
          <w:color w:val="auto"/>
          <w:kern w:val="0"/>
          <w:szCs w:val="21"/>
        </w:rPr>
        <w:t>。</w:t>
      </w:r>
    </w:p>
    <w:p>
      <w:pPr>
        <w:spacing w:line="360" w:lineRule="auto"/>
        <w:ind w:firstLine="840" w:firstLineChars="400"/>
        <w:rPr>
          <w:rFonts w:ascii="宋体" w:hAnsi="宋体" w:cs="宋体"/>
          <w:color w:val="auto"/>
          <w:kern w:val="0"/>
          <w:szCs w:val="21"/>
        </w:rPr>
      </w:pPr>
      <w:r>
        <w:rPr>
          <w:rFonts w:hint="eastAsia" w:ascii="宋体" w:hAnsi="宋体" w:cs="宋体"/>
          <w:color w:val="auto"/>
          <w:kern w:val="0"/>
          <w:szCs w:val="21"/>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pPr>
        <w:spacing w:line="360" w:lineRule="auto"/>
        <w:ind w:left="495" w:firstLine="420" w:firstLineChars="200"/>
        <w:rPr>
          <w:rFonts w:ascii="宋体" w:hAnsi="宋体" w:cs="宋体"/>
          <w:color w:val="auto"/>
          <w:kern w:val="0"/>
          <w:szCs w:val="21"/>
        </w:rPr>
      </w:pPr>
      <w:r>
        <w:rPr>
          <w:rFonts w:hint="eastAsia" w:ascii="宋体" w:hAnsi="宋体" w:cs="宋体"/>
          <w:color w:val="auto"/>
          <w:kern w:val="0"/>
          <w:szCs w:val="21"/>
        </w:rPr>
        <w:t>开户银行：招商银行南宁市双拥路支行</w:t>
      </w:r>
    </w:p>
    <w:p>
      <w:pPr>
        <w:spacing w:line="360" w:lineRule="auto"/>
        <w:ind w:left="495" w:firstLine="420" w:firstLineChars="200"/>
        <w:rPr>
          <w:rFonts w:ascii="宋体" w:hAnsi="宋体" w:cs="宋体"/>
          <w:color w:val="auto"/>
          <w:kern w:val="0"/>
          <w:szCs w:val="21"/>
        </w:rPr>
      </w:pPr>
      <w:r>
        <w:rPr>
          <w:rFonts w:hint="eastAsia" w:ascii="宋体" w:hAnsi="宋体" w:cs="宋体"/>
          <w:color w:val="auto"/>
          <w:kern w:val="0"/>
          <w:szCs w:val="21"/>
        </w:rPr>
        <w:t>开户名称：广西科联招标中心有限公司</w:t>
      </w:r>
    </w:p>
    <w:p>
      <w:pPr>
        <w:spacing w:line="360" w:lineRule="auto"/>
        <w:ind w:left="495" w:firstLine="420" w:firstLineChars="200"/>
        <w:rPr>
          <w:rFonts w:ascii="宋体" w:hAnsi="宋体" w:cs="宋体"/>
          <w:color w:val="auto"/>
          <w:kern w:val="0"/>
          <w:szCs w:val="21"/>
        </w:rPr>
      </w:pPr>
      <w:r>
        <w:rPr>
          <w:rFonts w:hint="eastAsia" w:ascii="宋体" w:hAnsi="宋体" w:cs="宋体"/>
          <w:color w:val="auto"/>
          <w:kern w:val="0"/>
          <w:szCs w:val="21"/>
        </w:rPr>
        <w:t>银行账号：7719011969103333000005762</w:t>
      </w:r>
    </w:p>
    <w:p>
      <w:pPr>
        <w:spacing w:line="360" w:lineRule="auto"/>
        <w:ind w:firstLine="840" w:firstLineChars="400"/>
        <w:rPr>
          <w:rFonts w:ascii="宋体" w:hAnsi="宋体" w:cs="宋体"/>
          <w:color w:val="auto"/>
        </w:rPr>
      </w:pPr>
      <w:r>
        <w:rPr>
          <w:rFonts w:hint="eastAsia" w:ascii="宋体" w:hAnsi="宋体" w:cs="宋体"/>
          <w:color w:val="auto"/>
          <w:kern w:val="0"/>
          <w:szCs w:val="21"/>
        </w:rPr>
        <w:t>采用支票、汇票、本票或者保函等方式的，在投标截止时间前，投标人必须递交单独密封的支票、汇票、本票或者保函等原件给采购代理机构。</w:t>
      </w:r>
      <w:r>
        <w:rPr>
          <w:rFonts w:hint="eastAsia" w:ascii="宋体" w:hAnsi="宋体" w:cs="宋体"/>
          <w:b/>
          <w:bCs/>
          <w:color w:val="auto"/>
          <w:kern w:val="0"/>
          <w:szCs w:val="21"/>
        </w:rPr>
        <w:t>否则视为无效投标保证金</w:t>
      </w:r>
      <w:r>
        <w:rPr>
          <w:rFonts w:hint="eastAsia" w:ascii="宋体" w:hAnsi="宋体" w:cs="宋体"/>
          <w:color w:val="auto"/>
          <w:kern w:val="0"/>
          <w:szCs w:val="21"/>
        </w:rPr>
        <w:t>。</w:t>
      </w:r>
    </w:p>
    <w:p>
      <w:pPr>
        <w:spacing w:line="360" w:lineRule="auto"/>
        <w:ind w:firstLine="315" w:firstLineChars="150"/>
        <w:rPr>
          <w:rFonts w:ascii="宋体" w:hAnsi="宋体" w:cs="宋体"/>
          <w:color w:val="auto"/>
          <w:kern w:val="0"/>
          <w:szCs w:val="21"/>
        </w:rPr>
      </w:pPr>
      <w:bookmarkStart w:id="36" w:name="_Hlk37429585"/>
      <w:bookmarkStart w:id="37" w:name="_Hlk37429595"/>
      <w:r>
        <w:rPr>
          <w:rFonts w:hint="eastAsia" w:ascii="宋体" w:hAnsi="宋体" w:cs="宋体"/>
          <w:color w:val="auto"/>
          <w:kern w:val="0"/>
          <w:szCs w:val="21"/>
        </w:rPr>
        <w:t>（二）网上查询地址</w:t>
      </w:r>
    </w:p>
    <w:bookmarkEnd w:id="36"/>
    <w:bookmarkEnd w:id="37"/>
    <w:p>
      <w:pPr>
        <w:spacing w:line="360" w:lineRule="auto"/>
        <w:ind w:firstLine="420" w:firstLineChars="200"/>
        <w:rPr>
          <w:rFonts w:ascii="宋体" w:hAnsi="宋体" w:cs="宋体"/>
          <w:color w:val="auto"/>
          <w:kern w:val="0"/>
          <w:szCs w:val="21"/>
        </w:rPr>
      </w:pPr>
      <w:bookmarkStart w:id="38" w:name="_Hlk37429674"/>
      <w:r>
        <w:rPr>
          <w:rFonts w:hint="eastAsia" w:ascii="宋体" w:hAnsi="宋体" w:cs="宋体"/>
          <w:color w:val="auto"/>
          <w:kern w:val="0"/>
          <w:szCs w:val="21"/>
        </w:rPr>
        <w:t>http://www.ccgp.gov.cn/（中国政府采购网）、http://www.ccgp-guangxi.gov.cn/ (广西政府采购网)、http://gxggzy.gxzf.gov.cn/（广西壮族自治区公共资源交易中心）</w:t>
      </w:r>
    </w:p>
    <w:p>
      <w:pPr>
        <w:spacing w:line="360" w:lineRule="auto"/>
        <w:ind w:firstLine="315" w:firstLineChars="150"/>
        <w:rPr>
          <w:rFonts w:ascii="宋体" w:hAnsi="宋体" w:cs="宋体"/>
          <w:color w:val="auto"/>
          <w:kern w:val="0"/>
          <w:szCs w:val="21"/>
        </w:rPr>
      </w:pPr>
      <w:r>
        <w:rPr>
          <w:rFonts w:hint="eastAsia" w:ascii="宋体" w:hAnsi="宋体" w:cs="宋体"/>
          <w:color w:val="auto"/>
          <w:szCs w:val="21"/>
        </w:rPr>
        <w:t xml:space="preserve">（三） </w:t>
      </w:r>
      <w:r>
        <w:rPr>
          <w:rFonts w:hint="eastAsia" w:ascii="宋体" w:hAnsi="宋体" w:cs="宋体"/>
          <w:color w:val="auto"/>
          <w:kern w:val="0"/>
          <w:szCs w:val="21"/>
        </w:rPr>
        <w:t>本项目需要落实的政府采购政策：</w:t>
      </w:r>
      <w:bookmarkStart w:id="39" w:name="PO_3000001867_PM023"/>
    </w:p>
    <w:bookmarkEnd w:id="39"/>
    <w:p>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（1）政府采购促进中小企业发展。</w:t>
      </w:r>
    </w:p>
    <w:p>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（2）政府采购支持采用本国产品的政策。</w:t>
      </w:r>
    </w:p>
    <w:p>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（4）政府采购促进残疾人就业政策。</w:t>
      </w:r>
    </w:p>
    <w:p>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（5）政府采购支持监狱企业发展。</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四）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（五）对在“信用中国”网站(www.creditchina.gov.cn)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8"/>
    <w:p>
      <w:pPr>
        <w:spacing w:line="360" w:lineRule="auto"/>
        <w:ind w:firstLine="422" w:firstLineChars="200"/>
        <w:rPr>
          <w:rFonts w:ascii="宋体" w:hAnsi="宋体" w:cs="宋体"/>
          <w:b/>
          <w:bCs/>
          <w:color w:val="auto"/>
          <w:kern w:val="0"/>
          <w:szCs w:val="21"/>
        </w:rPr>
      </w:pPr>
      <w:r>
        <w:rPr>
          <w:rFonts w:hint="eastAsia" w:ascii="宋体" w:hAnsi="宋体" w:cs="宋体"/>
          <w:b/>
          <w:bCs/>
          <w:color w:val="auto"/>
          <w:szCs w:val="21"/>
        </w:rPr>
        <w:t>（六）在线投标的有关说明</w:t>
      </w:r>
      <w:r>
        <w:rPr>
          <w:rFonts w:hint="eastAsia" w:ascii="宋体" w:hAnsi="宋体" w:cs="宋体"/>
          <w:b/>
          <w:bCs/>
          <w:color w:val="auto"/>
          <w:kern w:val="0"/>
          <w:szCs w:val="21"/>
        </w:rPr>
        <w:t>：</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1）投标文件提交方式：本项目为全流程电子化项目，通过“政采云”平台（https://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cs="宋体"/>
          <w:b/>
          <w:color w:val="auto"/>
          <w:szCs w:val="21"/>
        </w:rPr>
        <w:t>投标人在“政采云”平台提交电子版投标文件时，请填写参加远程开标活动经办人联系方式</w:t>
      </w:r>
      <w:r>
        <w:rPr>
          <w:rFonts w:hint="eastAsia" w:ascii="宋体" w:hAnsi="宋体" w:cs="宋体"/>
          <w:color w:val="auto"/>
          <w:szCs w:val="21"/>
        </w:rPr>
        <w:t>。</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（2）未进行网上注册并办理数字证书（CA认证）的供应商将无法参与本项目政府采购活动，潜在投标人应当在投标截止时间前，完成电子交易平台上的CA数字证书办理及投标文件的提交。</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ascii="宋体" w:hAnsi="宋体" w:cs="宋体"/>
          <w:bCs/>
          <w:color w:val="auto"/>
          <w:szCs w:val="21"/>
          <w:u w:val="single"/>
        </w:rPr>
      </w:pPr>
      <w:r>
        <w:rPr>
          <w:rFonts w:hint="eastAsia" w:ascii="宋体" w:hAnsi="宋体" w:cs="宋体"/>
          <w:b/>
          <w:color w:val="auto"/>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（4）CA证书在线解密：投标人投标时，需携带制作投标文件时用来加密的有效数字证书（CA认证）登录“政采云”平台电子开标大厅现场按规定时间对加密的投标文件进行解密。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（5）若对项目采购电子交易系统操作有疑问，可登录“政采云”平台（https://www.zcygov.cn/），点击右侧咨询小采，获取采小蜜智能服务管家帮助，或拨打政采云服务热线95763获取热线服务帮助。</w:t>
      </w:r>
    </w:p>
    <w:p>
      <w:pPr>
        <w:spacing w:line="360" w:lineRule="auto"/>
        <w:rPr>
          <w:rFonts w:ascii="黑体" w:hAnsi="黑体" w:eastAsia="黑体"/>
          <w:b/>
          <w:bCs/>
          <w:color w:val="auto"/>
          <w:sz w:val="24"/>
        </w:rPr>
      </w:pPr>
      <w:bookmarkStart w:id="40" w:name="_Toc28359008"/>
      <w:bookmarkStart w:id="41" w:name="_Toc35393627"/>
      <w:bookmarkStart w:id="42" w:name="_Toc28359085"/>
      <w:bookmarkStart w:id="43" w:name="_Toc35393796"/>
      <w:r>
        <w:rPr>
          <w:rFonts w:hint="eastAsia" w:ascii="黑体" w:hAnsi="黑体" w:eastAsia="黑体"/>
          <w:b/>
          <w:bCs/>
          <w:color w:val="auto"/>
          <w:sz w:val="24"/>
        </w:rPr>
        <w:t>七、对本次招标提出询问，请按以下方式联系。</w:t>
      </w:r>
      <w:bookmarkEnd w:id="40"/>
      <w:bookmarkEnd w:id="41"/>
      <w:bookmarkEnd w:id="42"/>
      <w:bookmarkEnd w:id="43"/>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1.采购人信息</w:t>
      </w:r>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宋体"/>
          <w:color w:val="auto"/>
          <w:kern w:val="0"/>
          <w:szCs w:val="21"/>
          <w:lang w:eastAsia="zh-CN"/>
        </w:rPr>
        <w:t>广西医科大学第一附属医院</w:t>
      </w:r>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0"/>
          <w:szCs w:val="21"/>
          <w:lang w:eastAsia="zh-CN"/>
        </w:rPr>
        <w:t>广西南宁市双拥路6号</w:t>
      </w:r>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项目联系人：</w:t>
      </w:r>
      <w:r>
        <w:rPr>
          <w:rFonts w:hint="eastAsia" w:ascii="宋体" w:hAnsi="宋体" w:cs="宋体"/>
          <w:color w:val="auto"/>
          <w:kern w:val="0"/>
          <w:szCs w:val="21"/>
          <w:lang w:eastAsia="zh-CN"/>
        </w:rPr>
        <w:t>黄秀兰</w:t>
      </w:r>
    </w:p>
    <w:p>
      <w:pPr>
        <w:spacing w:line="360" w:lineRule="auto"/>
        <w:ind w:firstLine="630" w:firstLineChars="300"/>
        <w:rPr>
          <w:rFonts w:hint="default" w:ascii="宋体" w:hAnsi="宋体" w:eastAsia="宋体" w:cs="宋体"/>
          <w:color w:val="auto"/>
          <w:kern w:val="0"/>
          <w:szCs w:val="21"/>
          <w:lang w:val="en-US" w:eastAsia="zh-CN"/>
        </w:rPr>
      </w:pPr>
      <w:r>
        <w:rPr>
          <w:rFonts w:hint="eastAsia" w:ascii="宋体" w:hAnsi="宋体" w:cs="宋体"/>
          <w:color w:val="auto"/>
          <w:kern w:val="0"/>
          <w:szCs w:val="21"/>
        </w:rPr>
        <w:t>项目联系方式：0771-</w:t>
      </w:r>
      <w:r>
        <w:rPr>
          <w:rFonts w:hint="eastAsia" w:ascii="宋体" w:hAnsi="宋体" w:cs="宋体"/>
          <w:color w:val="auto"/>
          <w:kern w:val="0"/>
          <w:szCs w:val="21"/>
          <w:lang w:val="en-US" w:eastAsia="zh-CN"/>
        </w:rPr>
        <w:t>5356387</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2.采购代理机构信息</w:t>
      </w:r>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名称：</w:t>
      </w:r>
      <w:bookmarkStart w:id="44" w:name="PO_3000001866_PM031_1"/>
      <w:r>
        <w:rPr>
          <w:rFonts w:hint="eastAsia" w:ascii="宋体" w:hAnsi="宋体" w:cs="宋体"/>
          <w:color w:val="auto"/>
          <w:kern w:val="0"/>
          <w:szCs w:val="21"/>
        </w:rPr>
        <w:t>广西科联招标中心有限公司</w:t>
      </w:r>
      <w:bookmarkEnd w:id="44"/>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地址：</w:t>
      </w:r>
      <w:bookmarkStart w:id="45" w:name="PO_3000001866_PM035_1"/>
      <w:r>
        <w:rPr>
          <w:rFonts w:hint="eastAsia" w:ascii="宋体" w:hAnsi="宋体" w:cs="宋体"/>
          <w:color w:val="auto"/>
          <w:kern w:val="0"/>
          <w:szCs w:val="21"/>
        </w:rPr>
        <w:t>广西南宁市西乡塘区大学东路170号</w:t>
      </w:r>
      <w:bookmarkEnd w:id="45"/>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项目联系人：</w:t>
      </w:r>
      <w:r>
        <w:rPr>
          <w:rFonts w:hint="eastAsia" w:ascii="宋体" w:hAnsi="宋体" w:cs="宋体"/>
          <w:color w:val="auto"/>
          <w:kern w:val="0"/>
          <w:szCs w:val="21"/>
          <w:lang w:eastAsia="zh-CN"/>
        </w:rPr>
        <w:t>韦毅锋</w:t>
      </w:r>
    </w:p>
    <w:p>
      <w:pPr>
        <w:spacing w:line="360" w:lineRule="auto"/>
        <w:ind w:firstLine="630" w:firstLineChars="300"/>
        <w:rPr>
          <w:rFonts w:hint="eastAsia" w:ascii="宋体" w:hAnsi="宋体" w:eastAsia="宋体"/>
          <w:color w:val="auto"/>
          <w:szCs w:val="21"/>
          <w:lang w:eastAsia="zh-CN"/>
        </w:rPr>
      </w:pPr>
      <w:r>
        <w:rPr>
          <w:rFonts w:hint="eastAsia" w:ascii="宋体" w:hAnsi="宋体" w:cs="宋体"/>
          <w:color w:val="auto"/>
          <w:kern w:val="0"/>
          <w:szCs w:val="21"/>
        </w:rPr>
        <w:t>项目联系方式：</w:t>
      </w:r>
      <w:r>
        <w:rPr>
          <w:rFonts w:hint="eastAsia" w:ascii="宋体" w:hAnsi="宋体" w:cs="宋体"/>
          <w:color w:val="auto"/>
          <w:kern w:val="0"/>
          <w:szCs w:val="21"/>
          <w:lang w:eastAsia="zh-CN"/>
        </w:rPr>
        <w:t>0771-2203982</w:t>
      </w:r>
    </w:p>
    <w:p>
      <w:pPr>
        <w:spacing w:line="360" w:lineRule="auto"/>
        <w:jc w:val="left"/>
        <w:rPr>
          <w:rFonts w:ascii="宋体" w:hAnsi="宋体" w:cs="宋体"/>
          <w:color w:val="auto"/>
          <w:szCs w:val="21"/>
        </w:rPr>
      </w:pPr>
    </w:p>
    <w:p>
      <w:pPr>
        <w:pStyle w:val="14"/>
        <w:jc w:val="center"/>
        <w:outlineLvl w:val="0"/>
        <w:rPr>
          <w:rFonts w:hAnsi="宋体" w:cs="宋体"/>
          <w:b/>
          <w:color w:val="auto"/>
          <w:sz w:val="36"/>
        </w:rPr>
      </w:pPr>
      <w:r>
        <w:rPr>
          <w:rFonts w:hint="eastAsia" w:hAnsi="宋体" w:cs="宋体"/>
          <w:color w:val="auto"/>
          <w:szCs w:val="21"/>
        </w:rPr>
        <w:br w:type="page"/>
      </w:r>
      <w:bookmarkStart w:id="46" w:name="_Toc532545042"/>
      <w:bookmarkStart w:id="47" w:name="_Toc22518"/>
      <w:bookmarkStart w:id="48" w:name="_Toc32271"/>
      <w:bookmarkStart w:id="49" w:name="_Toc28626"/>
      <w:bookmarkStart w:id="50" w:name="_Toc4656"/>
      <w:r>
        <w:rPr>
          <w:rFonts w:hint="eastAsia" w:hAnsi="宋体" w:cs="宋体"/>
          <w:b/>
          <w:color w:val="auto"/>
          <w:sz w:val="36"/>
        </w:rPr>
        <w:t xml:space="preserve">第二章  </w:t>
      </w:r>
      <w:bookmarkEnd w:id="46"/>
      <w:r>
        <w:rPr>
          <w:rFonts w:hint="eastAsia" w:hAnsi="宋体" w:cs="宋体"/>
          <w:b/>
          <w:color w:val="auto"/>
          <w:sz w:val="36"/>
        </w:rPr>
        <w:t>采购需求</w:t>
      </w:r>
      <w:bookmarkEnd w:id="47"/>
      <w:bookmarkEnd w:id="48"/>
      <w:bookmarkEnd w:id="49"/>
      <w:bookmarkEnd w:id="50"/>
    </w:p>
    <w:p>
      <w:pPr>
        <w:adjustRightInd w:val="0"/>
        <w:spacing w:line="340" w:lineRule="exact"/>
        <w:rPr>
          <w:rFonts w:ascii="宋体" w:hAnsi="宋体" w:cs="宋体"/>
          <w:b/>
          <w:color w:val="auto"/>
          <w:szCs w:val="21"/>
        </w:rPr>
      </w:pPr>
    </w:p>
    <w:p>
      <w:pPr>
        <w:adjustRightInd w:val="0"/>
        <w:spacing w:line="450" w:lineRule="exact"/>
        <w:rPr>
          <w:rFonts w:ascii="宋体" w:hAnsi="宋体" w:cs="宋体"/>
          <w:b/>
          <w:color w:val="auto"/>
          <w:szCs w:val="21"/>
        </w:rPr>
      </w:pPr>
      <w:r>
        <w:rPr>
          <w:rFonts w:hint="eastAsia" w:ascii="宋体" w:hAnsi="宋体" w:cs="宋体"/>
          <w:b/>
          <w:color w:val="auto"/>
          <w:szCs w:val="21"/>
        </w:rPr>
        <w:t>说明：</w:t>
      </w:r>
    </w:p>
    <w:p>
      <w:pPr>
        <w:spacing w:line="450" w:lineRule="exact"/>
        <w:ind w:firstLine="420" w:firstLineChars="200"/>
        <w:jc w:val="left"/>
        <w:rPr>
          <w:rFonts w:ascii="宋体" w:hAnsi="宋体" w:cs="宋体"/>
          <w:i/>
          <w:iCs/>
          <w:color w:val="auto"/>
          <w:szCs w:val="21"/>
        </w:rPr>
      </w:pPr>
      <w:r>
        <w:rPr>
          <w:rFonts w:hint="eastAsia" w:ascii="宋体" w:hAnsi="宋体" w:cs="宋体"/>
          <w:color w:val="auto"/>
        </w:rPr>
        <w:t>1. 为落实政府采购政策需满足的要求</w:t>
      </w:r>
    </w:p>
    <w:p>
      <w:pPr>
        <w:spacing w:line="450" w:lineRule="exact"/>
        <w:ind w:firstLine="420" w:firstLineChars="200"/>
        <w:jc w:val="left"/>
        <w:rPr>
          <w:rFonts w:ascii="宋体" w:hAnsi="宋体" w:cs="宋体"/>
          <w:color w:val="auto"/>
          <w:szCs w:val="21"/>
        </w:rPr>
      </w:pPr>
      <w:r>
        <w:rPr>
          <w:rFonts w:hint="eastAsia" w:ascii="宋体" w:hAnsi="宋体" w:cs="宋体"/>
          <w:color w:val="auto"/>
          <w:szCs w:val="21"/>
        </w:rPr>
        <w:t>（1）本招标文件所称中小企业必须符合《政府采购促进中小企业发展管理办法》（财库〔2020〕46号）的规定。</w:t>
      </w:r>
    </w:p>
    <w:p>
      <w:pPr>
        <w:spacing w:line="450" w:lineRule="exact"/>
        <w:ind w:firstLine="424" w:firstLineChars="202"/>
        <w:jc w:val="left"/>
        <w:rPr>
          <w:rFonts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w:t>
      </w:r>
      <w:r>
        <w:rPr>
          <w:rFonts w:hint="eastAsia" w:ascii="宋体" w:hAnsi="宋体" w:cs="宋体"/>
          <w:b/>
          <w:bCs/>
          <w:color w:val="auto"/>
          <w:szCs w:val="21"/>
        </w:rPr>
        <w:t>否则投标文件作无效处理</w:t>
      </w:r>
      <w:r>
        <w:rPr>
          <w:rFonts w:hint="eastAsia" w:ascii="宋体" w:hAnsi="宋体" w:cs="宋体"/>
          <w:color w:val="auto"/>
          <w:szCs w:val="21"/>
        </w:rPr>
        <w:t>。如本项目包含的货物属于品目清单内非标注“★”的产品时，应优先采购，具体详见“第四章 评标方法和评标标准”。</w:t>
      </w:r>
    </w:p>
    <w:p>
      <w:pPr>
        <w:spacing w:line="450" w:lineRule="exact"/>
        <w:ind w:firstLine="424" w:firstLineChars="202"/>
        <w:jc w:val="left"/>
        <w:rPr>
          <w:rFonts w:ascii="宋体" w:hAnsi="宋体" w:cs="宋体"/>
          <w:color w:val="auto"/>
          <w:szCs w:val="21"/>
        </w:rPr>
      </w:pPr>
      <w:r>
        <w:rPr>
          <w:rFonts w:hint="eastAsia" w:ascii="宋体" w:hAnsi="宋体" w:cs="宋体"/>
          <w:color w:val="auto"/>
          <w:szCs w:val="21"/>
        </w:rPr>
        <w:t>2.“实质性要求”是指招标文件中已经指明不满足则投标无效的条款，或者不能负偏离的条款，或者采购需求中带“▲”的条款。凡重量、规格、尺寸标注有“约”的，均不作为实质性要求。</w:t>
      </w:r>
    </w:p>
    <w:p>
      <w:pPr>
        <w:spacing w:line="450" w:lineRule="exact"/>
        <w:ind w:firstLine="424" w:firstLineChars="202"/>
        <w:jc w:val="left"/>
        <w:rPr>
          <w:rFonts w:ascii="宋体" w:hAnsi="宋体" w:cs="宋体"/>
          <w:color w:val="auto"/>
          <w:szCs w:val="21"/>
        </w:rPr>
      </w:pPr>
      <w:r>
        <w:rPr>
          <w:rFonts w:hint="eastAsia" w:ascii="宋体" w:hAnsi="宋体" w:cs="宋体"/>
          <w:color w:val="auto"/>
          <w:szCs w:val="21"/>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450" w:lineRule="exact"/>
        <w:ind w:firstLine="424" w:firstLineChars="202"/>
        <w:jc w:val="left"/>
        <w:rPr>
          <w:rFonts w:ascii="宋体" w:hAnsi="宋体" w:cs="宋体"/>
          <w:color w:val="auto"/>
        </w:rPr>
      </w:pPr>
      <w:r>
        <w:rPr>
          <w:rFonts w:hint="eastAsia" w:ascii="宋体" w:hAnsi="宋体" w:cs="宋体"/>
          <w:color w:val="auto"/>
          <w:szCs w:val="21"/>
        </w:rPr>
        <w:t>4.投标人必须对投标文件中提供的证明材料和资质文件真实性负责，如出现虚假应标情况，投标人除了应接受有关部门的处罚外，还应依据《中华人民共和国民法典》的相关条款来进行赔偿。</w:t>
      </w:r>
    </w:p>
    <w:p>
      <w:pPr>
        <w:spacing w:line="450" w:lineRule="exact"/>
        <w:ind w:firstLine="424" w:firstLineChars="202"/>
        <w:jc w:val="left"/>
        <w:rPr>
          <w:rFonts w:ascii="宋体" w:hAnsi="宋体" w:cs="宋体"/>
          <w:color w:val="auto"/>
          <w:szCs w:val="21"/>
        </w:rPr>
      </w:pPr>
      <w:r>
        <w:rPr>
          <w:rFonts w:hint="eastAsia" w:ascii="宋体" w:hAnsi="宋体" w:cs="宋体"/>
          <w:color w:val="auto"/>
          <w:szCs w:val="21"/>
        </w:rPr>
        <w:t>5.投标人应对投标内容所涉及的专利承担法律责任，并负责保护采购人的利益不受任何损害。一切由于文字、商标、技术和软件专利授权引起的法律裁决、诉讼和赔偿费用均由中标人负责。</w:t>
      </w:r>
    </w:p>
    <w:p>
      <w:pPr>
        <w:spacing w:line="450" w:lineRule="exact"/>
        <w:ind w:firstLine="426" w:firstLineChars="202"/>
        <w:jc w:val="left"/>
        <w:rPr>
          <w:rFonts w:ascii="宋体" w:hAnsi="宋体" w:cs="宋体"/>
          <w:color w:val="auto"/>
          <w:szCs w:val="21"/>
        </w:rPr>
      </w:pPr>
      <w:r>
        <w:rPr>
          <w:rFonts w:hint="eastAsia" w:ascii="宋体" w:hAnsi="宋体" w:cs="宋体"/>
          <w:b/>
          <w:color w:val="auto"/>
          <w:szCs w:val="21"/>
        </w:rPr>
        <w:t>6.采购内容的中小企业划分标准所属行业名称：</w:t>
      </w:r>
      <w:r>
        <w:rPr>
          <w:rFonts w:hint="eastAsia" w:ascii="宋体" w:hAnsi="宋体" w:cs="宋体"/>
          <w:color w:val="auto"/>
          <w:szCs w:val="21"/>
        </w:rPr>
        <w:t>工业【依据国家统计局《统计上大中小微型企业划分办法(2017)》要求划分，见本章附件</w:t>
      </w:r>
      <w:r>
        <w:rPr>
          <w:rFonts w:hint="eastAsia" w:ascii="宋体" w:hAnsi="宋体" w:cs="宋体"/>
          <w:color w:val="auto"/>
          <w:szCs w:val="21"/>
          <w:lang w:val="en-US" w:eastAsia="zh-CN"/>
        </w:rPr>
        <w:t>1</w:t>
      </w:r>
      <w:r>
        <w:rPr>
          <w:rFonts w:hint="eastAsia" w:ascii="宋体" w:hAnsi="宋体" w:cs="宋体"/>
          <w:color w:val="auto"/>
          <w:szCs w:val="21"/>
        </w:rPr>
        <w:t>】。</w:t>
      </w:r>
    </w:p>
    <w:p>
      <w:pPr>
        <w:pStyle w:val="57"/>
        <w:spacing w:line="360" w:lineRule="auto"/>
        <w:ind w:firstLine="0" w:firstLineChars="0"/>
        <w:jc w:val="center"/>
        <w:rPr>
          <w:b/>
          <w:bCs/>
          <w:color w:val="auto"/>
          <w:sz w:val="36"/>
          <w:szCs w:val="44"/>
        </w:rPr>
      </w:pPr>
      <w:r>
        <w:rPr>
          <w:rFonts w:hint="eastAsia"/>
          <w:color w:val="auto"/>
        </w:rPr>
        <w:br w:type="page"/>
      </w:r>
      <w:r>
        <w:rPr>
          <w:rFonts w:hint="eastAsia"/>
          <w:b/>
          <w:bCs/>
          <w:color w:val="auto"/>
          <w:sz w:val="36"/>
          <w:szCs w:val="44"/>
        </w:rPr>
        <w:t>需求一览表</w:t>
      </w:r>
    </w:p>
    <w:tbl>
      <w:tblPr>
        <w:tblStyle w:val="24"/>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825"/>
        <w:gridCol w:w="600"/>
        <w:gridCol w:w="396"/>
        <w:gridCol w:w="663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81"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exact"/>
              <w:ind w:left="-107" w:leftChars="-51" w:right="-107" w:rightChars="-51"/>
              <w:jc w:val="center"/>
              <w:rPr>
                <w:rFonts w:ascii="宋体" w:hAnsi="宋体" w:cs="宋体"/>
                <w:b/>
                <w:color w:val="auto"/>
                <w:sz w:val="21"/>
                <w:szCs w:val="21"/>
                <w:lang w:val="en-US" w:eastAsia="zh-CN"/>
              </w:rPr>
            </w:pPr>
            <w:r>
              <w:rPr>
                <w:rFonts w:hint="eastAsia" w:ascii="宋体" w:hAnsi="宋体" w:cs="宋体"/>
                <w:b/>
                <w:color w:val="auto"/>
                <w:sz w:val="21"/>
                <w:szCs w:val="21"/>
                <w:lang w:val="en-US" w:eastAsia="zh-CN"/>
              </w:rPr>
              <w:t>序号</w:t>
            </w:r>
          </w:p>
        </w:tc>
        <w:tc>
          <w:tcPr>
            <w:tcW w:w="825" w:type="dxa"/>
            <w:tcBorders>
              <w:top w:val="single" w:color="auto" w:sz="4" w:space="0"/>
              <w:left w:val="nil"/>
              <w:bottom w:val="single" w:color="auto" w:sz="4" w:space="0"/>
              <w:right w:val="single" w:color="auto" w:sz="4" w:space="0"/>
            </w:tcBorders>
            <w:noWrap/>
            <w:vAlign w:val="center"/>
          </w:tcPr>
          <w:p>
            <w:pPr>
              <w:pStyle w:val="2"/>
              <w:spacing w:line="360" w:lineRule="exact"/>
              <w:jc w:val="center"/>
              <w:rPr>
                <w:rFonts w:ascii="宋体" w:hAnsi="宋体" w:cs="宋体"/>
                <w:b/>
                <w:color w:val="auto"/>
                <w:sz w:val="21"/>
                <w:szCs w:val="21"/>
                <w:lang w:val="en-US" w:eastAsia="zh-CN"/>
              </w:rPr>
            </w:pPr>
            <w:r>
              <w:rPr>
                <w:rFonts w:hint="eastAsia" w:ascii="宋体" w:hAnsi="宋体" w:cs="宋体"/>
                <w:b/>
                <w:color w:val="auto"/>
                <w:sz w:val="21"/>
                <w:szCs w:val="21"/>
                <w:lang w:val="en-US" w:eastAsia="zh-CN"/>
              </w:rPr>
              <w:t>标的名称</w:t>
            </w:r>
          </w:p>
        </w:tc>
        <w:tc>
          <w:tcPr>
            <w:tcW w:w="600" w:type="dxa"/>
            <w:tcBorders>
              <w:top w:val="single" w:color="auto" w:sz="4" w:space="0"/>
              <w:left w:val="nil"/>
              <w:bottom w:val="single" w:color="auto" w:sz="4" w:space="0"/>
              <w:right w:val="single" w:color="auto" w:sz="4" w:space="0"/>
            </w:tcBorders>
            <w:noWrap/>
            <w:vAlign w:val="center"/>
          </w:tcPr>
          <w:p>
            <w:pPr>
              <w:pStyle w:val="2"/>
              <w:spacing w:line="360" w:lineRule="exact"/>
              <w:jc w:val="center"/>
              <w:rPr>
                <w:rFonts w:ascii="宋体" w:hAnsi="宋体" w:cs="宋体"/>
                <w:b/>
                <w:color w:val="auto"/>
                <w:sz w:val="21"/>
                <w:szCs w:val="21"/>
                <w:lang w:val="en-US" w:eastAsia="zh-CN"/>
              </w:rPr>
            </w:pPr>
            <w:r>
              <w:rPr>
                <w:rFonts w:hint="eastAsia" w:ascii="宋体" w:hAnsi="宋体" w:cs="宋体"/>
                <w:b/>
                <w:color w:val="auto"/>
                <w:sz w:val="21"/>
                <w:szCs w:val="21"/>
                <w:lang w:val="en-US" w:eastAsia="zh-CN"/>
              </w:rPr>
              <w:t>数量</w:t>
            </w:r>
          </w:p>
        </w:tc>
        <w:tc>
          <w:tcPr>
            <w:tcW w:w="396" w:type="dxa"/>
            <w:tcBorders>
              <w:top w:val="single" w:color="auto" w:sz="4" w:space="0"/>
              <w:left w:val="nil"/>
              <w:bottom w:val="single" w:color="auto" w:sz="4" w:space="0"/>
              <w:right w:val="single" w:color="auto" w:sz="4" w:space="0"/>
            </w:tcBorders>
            <w:noWrap/>
            <w:vAlign w:val="center"/>
          </w:tcPr>
          <w:p>
            <w:pPr>
              <w:pStyle w:val="2"/>
              <w:spacing w:line="360" w:lineRule="exact"/>
              <w:ind w:left="-107" w:leftChars="-51" w:right="-107" w:rightChars="-51"/>
              <w:jc w:val="center"/>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单位</w:t>
            </w:r>
          </w:p>
        </w:tc>
        <w:tc>
          <w:tcPr>
            <w:tcW w:w="6630" w:type="dxa"/>
            <w:tcBorders>
              <w:top w:val="single" w:color="auto" w:sz="4" w:space="0"/>
              <w:left w:val="nil"/>
              <w:bottom w:val="single" w:color="auto" w:sz="4" w:space="0"/>
              <w:right w:val="single" w:color="auto" w:sz="4" w:space="0"/>
            </w:tcBorders>
            <w:noWrap/>
            <w:vAlign w:val="center"/>
          </w:tcPr>
          <w:p>
            <w:pPr>
              <w:pStyle w:val="2"/>
              <w:spacing w:line="360" w:lineRule="exact"/>
              <w:ind w:left="-107" w:leftChars="-51" w:right="-107" w:rightChars="-51"/>
              <w:jc w:val="center"/>
              <w:rPr>
                <w:rFonts w:ascii="宋体" w:hAnsi="宋体" w:cs="宋体"/>
                <w:b/>
                <w:color w:val="auto"/>
                <w:sz w:val="21"/>
                <w:szCs w:val="21"/>
                <w:lang w:val="en-US" w:eastAsia="zh-CN"/>
              </w:rPr>
            </w:pPr>
            <w:r>
              <w:rPr>
                <w:rFonts w:hint="eastAsia" w:ascii="宋体" w:hAnsi="宋体" w:cs="宋体"/>
                <w:b/>
                <w:color w:val="auto"/>
                <w:sz w:val="21"/>
                <w:szCs w:val="21"/>
                <w:lang w:val="en-US" w:eastAsia="zh-CN"/>
              </w:rPr>
              <w:t>技术参数、性能(配置)及要求</w:t>
            </w:r>
          </w:p>
        </w:tc>
        <w:tc>
          <w:tcPr>
            <w:tcW w:w="933" w:type="dxa"/>
            <w:tcBorders>
              <w:top w:val="single" w:color="auto" w:sz="4" w:space="0"/>
              <w:left w:val="nil"/>
              <w:bottom w:val="single" w:color="auto" w:sz="4" w:space="0"/>
              <w:right w:val="single" w:color="auto" w:sz="4" w:space="0"/>
            </w:tcBorders>
            <w:noWrap/>
            <w:vAlign w:val="center"/>
          </w:tcPr>
          <w:p>
            <w:pPr>
              <w:pStyle w:val="2"/>
              <w:spacing w:line="360" w:lineRule="exact"/>
              <w:ind w:left="-107" w:leftChars="-51" w:right="-107" w:rightChars="-51"/>
              <w:jc w:val="center"/>
              <w:rPr>
                <w:rFonts w:ascii="宋体" w:hAnsi="宋体" w:cs="宋体"/>
                <w:b/>
                <w:color w:val="auto"/>
                <w:sz w:val="21"/>
                <w:szCs w:val="21"/>
                <w:lang w:val="en-US" w:eastAsia="zh-CN"/>
              </w:rPr>
            </w:pPr>
            <w:r>
              <w:rPr>
                <w:rFonts w:hint="eastAsia" w:ascii="宋体" w:hAnsi="宋体" w:cs="宋体"/>
                <w:b/>
                <w:color w:val="auto"/>
                <w:sz w:val="21"/>
                <w:szCs w:val="21"/>
                <w:lang w:val="en-US" w:eastAsia="zh-CN"/>
              </w:rPr>
              <w:t>分项预算（万元）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exact"/>
              <w:jc w:val="center"/>
              <w:rPr>
                <w:rFonts w:ascii="宋体" w:hAnsi="宋体" w:cs="宋体"/>
                <w:color w:val="auto"/>
                <w:sz w:val="21"/>
                <w:szCs w:val="21"/>
                <w:lang w:val="en-US" w:eastAsia="zh-CN"/>
              </w:rPr>
            </w:pPr>
            <w:r>
              <w:rPr>
                <w:rFonts w:hint="eastAsia" w:ascii="宋体" w:hAnsi="宋体" w:cs="宋体"/>
                <w:color w:val="auto"/>
                <w:sz w:val="21"/>
                <w:szCs w:val="21"/>
                <w:lang w:val="en-US" w:eastAsia="zh-CN"/>
              </w:rPr>
              <w:t>1</w:t>
            </w:r>
          </w:p>
        </w:tc>
        <w:tc>
          <w:tcPr>
            <w:tcW w:w="825" w:type="dxa"/>
            <w:tcBorders>
              <w:top w:val="single" w:color="auto" w:sz="4" w:space="0"/>
              <w:left w:val="nil"/>
              <w:bottom w:val="single" w:color="auto" w:sz="4" w:space="0"/>
              <w:right w:val="single" w:color="auto" w:sz="4" w:space="0"/>
            </w:tcBorders>
            <w:noWrap/>
            <w:vAlign w:val="center"/>
          </w:tcPr>
          <w:p>
            <w:pPr>
              <w:jc w:val="center"/>
              <w:rPr>
                <w:rFonts w:hint="eastAsia" w:eastAsia="宋体"/>
                <w:color w:val="auto"/>
                <w:lang w:eastAsia="zh-CN"/>
              </w:rPr>
            </w:pPr>
            <w:r>
              <w:rPr>
                <w:rFonts w:hint="eastAsia" w:asciiTheme="minorEastAsia" w:hAnsiTheme="minorEastAsia" w:eastAsiaTheme="minorEastAsia" w:cstheme="minorEastAsia"/>
                <w:color w:val="auto"/>
                <w:lang w:eastAsia="zh-CN"/>
              </w:rPr>
              <w:t>3.0T磁共振成像系统</w:t>
            </w:r>
          </w:p>
        </w:tc>
        <w:tc>
          <w:tcPr>
            <w:tcW w:w="600" w:type="dxa"/>
            <w:tcBorders>
              <w:top w:val="single" w:color="auto" w:sz="4" w:space="0"/>
              <w:left w:val="nil"/>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w:t>
            </w:r>
          </w:p>
        </w:tc>
        <w:tc>
          <w:tcPr>
            <w:tcW w:w="396" w:type="dxa"/>
            <w:tcBorders>
              <w:top w:val="single" w:color="auto" w:sz="4" w:space="0"/>
              <w:left w:val="nil"/>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台</w:t>
            </w:r>
          </w:p>
        </w:tc>
        <w:tc>
          <w:tcPr>
            <w:tcW w:w="6630" w:type="dxa"/>
            <w:tcBorders>
              <w:top w:val="single" w:color="auto" w:sz="4" w:space="0"/>
              <w:left w:val="nil"/>
              <w:bottom w:val="single" w:color="auto" w:sz="4" w:space="0"/>
              <w:right w:val="single" w:color="auto" w:sz="4" w:space="0"/>
            </w:tcBorders>
            <w:noWrap/>
            <w:vAlign w:val="center"/>
          </w:tcPr>
          <w:p>
            <w:pPr>
              <w:spacing w:line="300" w:lineRule="exact"/>
              <w:jc w:val="left"/>
              <w:rPr>
                <w:rFonts w:hint="eastAsia"/>
                <w:color w:val="auto"/>
                <w:lang w:val="en-US" w:eastAsia="zh-CN"/>
              </w:rPr>
            </w:pPr>
            <w:r>
              <w:rPr>
                <w:rFonts w:hint="eastAsia"/>
                <w:color w:val="auto"/>
                <w:lang w:val="en-US" w:eastAsia="zh-CN"/>
              </w:rPr>
              <w:t xml:space="preserve"> </w:t>
            </w:r>
          </w:p>
          <w:tbl>
            <w:tblPr>
              <w:tblStyle w:val="24"/>
              <w:tblW w:w="6382"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2594"/>
              <w:gridCol w:w="266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8" w:hRule="atLeast"/>
                <w:jc w:val="center"/>
              </w:trPr>
              <w:tc>
                <w:tcPr>
                  <w:tcW w:w="1127"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94"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5"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255" w:type="dxa"/>
                  <w:gridSpan w:val="2"/>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p>
              </w:tc>
              <w:tc>
                <w:tcPr>
                  <w:tcW w:w="5255" w:type="dxa"/>
                  <w:gridSpan w:val="2"/>
                  <w:tcBorders>
                    <w:righ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具备医疗器械注册证</w:t>
                  </w:r>
                  <w:r>
                    <w:rPr>
                      <w:rFonts w:hint="eastAsia" w:ascii="宋体" w:hAnsi="宋体" w:eastAsia="宋体" w:cs="宋体"/>
                      <w:color w:val="auto"/>
                      <w:sz w:val="21"/>
                      <w:szCs w:val="21"/>
                      <w:highlight w:val="none"/>
                    </w:rPr>
                    <w:t>的3.0T磁共振机型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磁体系统</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磁体类型</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w:t>
                  </w:r>
                  <w:r>
                    <w:rPr>
                      <w:rFonts w:hint="eastAsia" w:ascii="宋体" w:hAnsi="宋体" w:eastAsia="宋体" w:cs="宋体"/>
                      <w:color w:val="auto"/>
                      <w:sz w:val="21"/>
                      <w:szCs w:val="21"/>
                      <w:highlight w:val="none"/>
                      <w:lang w:val="en-US" w:eastAsia="zh-CN"/>
                    </w:rPr>
                    <w:t>导</w:t>
                  </w:r>
                  <w:r>
                    <w:rPr>
                      <w:rFonts w:hint="eastAsia" w:ascii="宋体" w:hAnsi="宋体" w:eastAsia="宋体" w:cs="宋体"/>
                      <w:color w:val="auto"/>
                      <w:sz w:val="21"/>
                      <w:szCs w:val="21"/>
                      <w:highlight w:val="none"/>
                    </w:rPr>
                    <w:t>磁体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磁场强度</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屏蔽方式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主动屏蔽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抗外界电磁干扰屏蔽技术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匀场方式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主动+被动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磁场稳定度</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&lt;0.1ppm/h</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三维动态匀场</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三维匀场容积空间</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圆柱形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匀场通道数</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磁场均匀度</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10cm DSV</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20cm DSV</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30cm DSV</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≤0.07ppm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40cm DSV</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≤0.33ppm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液氦消耗量(正常使用)</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 升/年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2.12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磁体长度（不含外壳）</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 xml:space="preserve"> cm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磁体最小孔径</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 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五高斯磁力线X,Y轴</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五高斯磁力线Z 轴</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≤4.65m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磁体重量(含液氦)</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梯度系统</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单梯度系统（非双梯度或双梯度放大器）</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梯度场强（X，Y，Z轴，非有效值）</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rPr>
                    <w:t>60</w:t>
                  </w:r>
                  <w:r>
                    <w:rPr>
                      <w:rFonts w:hint="eastAsia" w:ascii="宋体" w:hAnsi="宋体" w:eastAsia="宋体" w:cs="宋体"/>
                      <w:color w:val="auto"/>
                      <w:sz w:val="21"/>
                      <w:szCs w:val="21"/>
                      <w:highlight w:val="none"/>
                      <w:lang w:val="de-DE"/>
                    </w:rPr>
                    <w:t xml:space="preserve">mT/m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3.3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梯度切换率（X，Y，Z轴，非有效值）</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rPr>
                    <w:t>≥200 T</w:t>
                  </w:r>
                  <w:r>
                    <w:rPr>
                      <w:rFonts w:hint="eastAsia" w:ascii="宋体" w:hAnsi="宋体" w:eastAsia="宋体" w:cs="宋体"/>
                      <w:color w:val="auto"/>
                      <w:sz w:val="21"/>
                      <w:szCs w:val="21"/>
                      <w:highlight w:val="none"/>
                      <w:lang w:val="de-DE"/>
                    </w:rPr>
                    <w:t xml:space="preserve">/m/s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最短爬升时间</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≤300us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最大场强和最大切换率同时到达</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工作周期中的最大占空比</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软件降噪技术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硬件降噪技术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梯度线圈冷却</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梯度放大器冷却</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梯度控制技术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全数字实时发射接收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梯度工作方式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非共振式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射频系统</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多通道（源）射频发射技术平台</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双通道射频发射技术</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 Filter技术</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射频类型</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全数字实时控制系统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射频发射功率</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rPr>
                    <w:t xml:space="preserve"> kW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射频噪音水平</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≤0.5dB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射频发射带宽</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≥500kHz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单个扫描野内一次扫描最大通道数</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48</w:t>
                  </w:r>
                  <w:r>
                    <w:rPr>
                      <w:rFonts w:hint="eastAsia" w:ascii="宋体" w:hAnsi="宋体" w:eastAsia="宋体" w:cs="宋体"/>
                      <w:color w:val="auto"/>
                      <w:sz w:val="21"/>
                      <w:szCs w:val="21"/>
                      <w:highlight w:val="none"/>
                    </w:rPr>
                    <w:t>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各通道接收带宽</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≥1MHz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用户可调节接收带宽技术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9</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射频线圈扫描自动调谐技术</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0</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射频放大器</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磁体机壳内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1</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射频发射路径位置</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磁体机壳内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2</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射频接收路径位置</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磁体机壳内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3</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ADC模数转换器位置</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磁体机壳内（非线圈内）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4</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磁体内置一体化数字射频发射系统</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5</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磁体内置一体化数字射频接收系统</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94"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全身各部位射频接收线圈</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(以下线圈为单独或组合使用)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头颈联合（神经血管）矩阵线圈</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全脊柱矩阵线圈</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体部矩阵线圈(组合)</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全神经（头颈脊柱一体化）线圈（组合）</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48</w:t>
                  </w:r>
                  <w:r>
                    <w:rPr>
                      <w:rFonts w:hint="eastAsia" w:ascii="宋体" w:hAnsi="宋体" w:eastAsia="宋体" w:cs="宋体"/>
                      <w:color w:val="auto"/>
                      <w:sz w:val="21"/>
                      <w:szCs w:val="21"/>
                      <w:highlight w:val="none"/>
                    </w:rPr>
                    <w:t>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5.5</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关节大柔软线圈（膝、踝、肩、肘关节）</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5.6</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关节小柔软线圈（腕、手指）</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关节专用适形线圈附件</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乳腺线圈</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膝关节专用线圈</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肩关节专用线圈</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top"/>
                </w:tcPr>
                <w:p>
                  <w:pPr>
                    <w:rPr>
                      <w:rFonts w:hint="eastAsia" w:ascii="宋体" w:hAnsi="宋体" w:eastAsia="宋体" w:cs="宋体"/>
                      <w:color w:val="auto"/>
                      <w:sz w:val="21"/>
                      <w:szCs w:val="21"/>
                      <w:highlight w:val="none"/>
                    </w:rPr>
                  </w:pPr>
                  <w:r>
                    <w:rPr>
                      <w:rFonts w:hint="eastAsia" w:ascii="宋体" w:hAnsi="宋体" w:cs="宋体"/>
                      <w:color w:val="auto"/>
                      <w:szCs w:val="21"/>
                    </w:rPr>
                    <w:t>5.1</w:t>
                  </w:r>
                  <w:r>
                    <w:rPr>
                      <w:rFonts w:ascii="宋体" w:hAnsi="宋体" w:cs="宋体"/>
                      <w:color w:val="auto"/>
                      <w:szCs w:val="21"/>
                    </w:rPr>
                    <w:t>1</w:t>
                  </w:r>
                </w:p>
              </w:tc>
              <w:tc>
                <w:tcPr>
                  <w:tcW w:w="2594" w:type="dxa"/>
                  <w:tcBorders>
                    <w:top w:val="single" w:color="auto" w:sz="4" w:space="0"/>
                    <w:bottom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踝关节专用线圈</w:t>
                  </w:r>
                </w:p>
              </w:tc>
              <w:tc>
                <w:tcPr>
                  <w:tcW w:w="2661" w:type="dxa"/>
                  <w:tcBorders>
                    <w:top w:val="single" w:color="auto" w:sz="4" w:space="0"/>
                    <w:bottom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≥16通道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top"/>
                </w:tcPr>
                <w:p>
                  <w:pPr>
                    <w:rPr>
                      <w:rFonts w:hint="eastAsia" w:ascii="宋体" w:hAnsi="宋体" w:eastAsia="宋体" w:cs="宋体"/>
                      <w:color w:val="auto"/>
                      <w:sz w:val="21"/>
                      <w:szCs w:val="21"/>
                      <w:highlight w:val="none"/>
                    </w:rPr>
                  </w:pPr>
                  <w:r>
                    <w:rPr>
                      <w:rFonts w:hint="eastAsia" w:ascii="宋体" w:hAnsi="宋体" w:cs="宋体"/>
                      <w:color w:val="auto"/>
                      <w:szCs w:val="21"/>
                    </w:rPr>
                    <w:t>5.12</w:t>
                  </w:r>
                </w:p>
              </w:tc>
              <w:tc>
                <w:tcPr>
                  <w:tcW w:w="2594" w:type="dxa"/>
                  <w:tcBorders>
                    <w:top w:val="single" w:color="auto" w:sz="4" w:space="0"/>
                    <w:bottom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甲状腺专用线圈</w:t>
                  </w:r>
                </w:p>
              </w:tc>
              <w:tc>
                <w:tcPr>
                  <w:tcW w:w="2661" w:type="dxa"/>
                  <w:tcBorders>
                    <w:top w:val="single" w:color="auto" w:sz="4" w:space="0"/>
                    <w:bottom w:val="single" w:color="auto" w:sz="4" w:space="0"/>
                  </w:tcBorders>
                  <w:vAlign w:val="center"/>
                </w:tcPr>
                <w:p>
                  <w:pPr>
                    <w:rPr>
                      <w:rFonts w:hint="eastAsia" w:ascii="宋体" w:hAnsi="宋体" w:eastAsia="宋体" w:cs="宋体"/>
                      <w:color w:val="auto"/>
                      <w:sz w:val="21"/>
                      <w:szCs w:val="21"/>
                      <w:highlight w:val="none"/>
                    </w:rPr>
                  </w:pPr>
                  <w:r>
                    <w:rPr>
                      <w:rFonts w:ascii="宋体" w:hAnsi="宋体" w:cs="宋体"/>
                      <w:color w:val="auto"/>
                      <w:szCs w:val="21"/>
                    </w:rPr>
                    <w:t>≥8</w:t>
                  </w:r>
                  <w:r>
                    <w:rPr>
                      <w:rFonts w:hint="eastAsia" w:ascii="宋体" w:hAnsi="宋体" w:cs="宋体"/>
                      <w:color w:val="auto"/>
                      <w:szCs w:val="21"/>
                    </w:rPr>
                    <w:t>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5.1</w:t>
                  </w:r>
                  <w:r>
                    <w:rPr>
                      <w:rFonts w:hint="eastAsia" w:ascii="宋体" w:hAnsi="宋体" w:cs="宋体"/>
                      <w:color w:val="auto"/>
                      <w:sz w:val="21"/>
                      <w:szCs w:val="21"/>
                      <w:highlight w:val="none"/>
                      <w:lang w:val="en-US" w:eastAsia="zh-CN"/>
                    </w:rPr>
                    <w:t>3</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科研专用头颈线圈</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48</w:t>
                  </w:r>
                  <w:r>
                    <w:rPr>
                      <w:rFonts w:hint="eastAsia" w:ascii="宋体" w:hAnsi="宋体" w:eastAsia="宋体" w:cs="宋体"/>
                      <w:color w:val="auto"/>
                      <w:sz w:val="21"/>
                      <w:szCs w:val="21"/>
                      <w:highlight w:val="none"/>
                    </w:rPr>
                    <w:t>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5.1</w:t>
                  </w:r>
                  <w:r>
                    <w:rPr>
                      <w:rFonts w:ascii="宋体" w:hAnsi="宋体" w:cs="宋体"/>
                      <w:color w:val="auto"/>
                      <w:szCs w:val="21"/>
                    </w:rPr>
                    <w:t>4</w:t>
                  </w:r>
                </w:p>
              </w:tc>
              <w:tc>
                <w:tcPr>
                  <w:tcW w:w="2594" w:type="dxa"/>
                  <w:tcBorders>
                    <w:top w:val="single" w:color="auto" w:sz="4" w:space="0"/>
                    <w:bottom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环形回路线圈</w:t>
                  </w:r>
                </w:p>
              </w:tc>
              <w:tc>
                <w:tcPr>
                  <w:tcW w:w="2661" w:type="dxa"/>
                  <w:tcBorders>
                    <w:top w:val="single" w:color="auto" w:sz="4" w:space="0"/>
                    <w:bottom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生命</w:t>
                  </w:r>
                  <w:r>
                    <w:rPr>
                      <w:rFonts w:hint="eastAsia" w:ascii="宋体" w:hAnsi="宋体" w:eastAsia="宋体" w:cs="宋体"/>
                      <w:color w:val="auto"/>
                      <w:sz w:val="21"/>
                      <w:szCs w:val="21"/>
                      <w:highlight w:val="none"/>
                      <w:lang w:eastAsia="zh-CN"/>
                    </w:rPr>
                    <w:t>体征感知</w:t>
                  </w:r>
                  <w:r>
                    <w:rPr>
                      <w:rFonts w:hint="eastAsia" w:ascii="宋体" w:hAnsi="宋体" w:eastAsia="宋体" w:cs="宋体"/>
                      <w:color w:val="auto"/>
                      <w:sz w:val="21"/>
                      <w:szCs w:val="21"/>
                      <w:highlight w:val="none"/>
                    </w:rPr>
                    <w:t>系统</w:t>
                  </w:r>
                </w:p>
              </w:tc>
              <w:tc>
                <w:tcPr>
                  <w:tcW w:w="2661" w:type="dxa"/>
                  <w:tcBorders>
                    <w:top w:val="single" w:color="auto" w:sz="4" w:space="0"/>
                    <w:bottom w:val="single" w:color="auto" w:sz="4" w:space="0"/>
                  </w:tcBorders>
                  <w:vAlign w:val="center"/>
                </w:tcPr>
                <w:p>
                  <w:p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具备，如联影提供 EasySense 技术，西门子</w:t>
                  </w:r>
                </w:p>
                <w:p>
                  <w:p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 BioMatrix 技术，飞利浦提供 VitalEye 技术，其它厂商推出相应技术，</w:t>
                  </w:r>
                </w:p>
                <w:p>
                  <w:pPr>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应注明技术名称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梯度系统硬件静音技术</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声阻尼材料技术</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真空隔绝腔设计的硬件静音技术</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自动防止梯度线圈共振的序列优化技术</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人工智能选择性静音技术（适用于所有序列）</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全静音平台适用范围</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全静音平台可用于T1对比</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bookmarkStart w:id="51" w:name="OLE_LINK6"/>
                  <w:bookmarkStart w:id="52" w:name="OLE_LINK5"/>
                  <w:r>
                    <w:rPr>
                      <w:rFonts w:hint="eastAsia" w:ascii="宋体" w:hAnsi="宋体" w:eastAsia="宋体" w:cs="宋体"/>
                      <w:color w:val="auto"/>
                      <w:sz w:val="21"/>
                      <w:szCs w:val="21"/>
                      <w:highlight w:val="none"/>
                    </w:rPr>
                    <w:t>满足</w:t>
                  </w:r>
                  <w:bookmarkEnd w:id="51"/>
                  <w:bookmarkEnd w:id="52"/>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7.6.2</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全静音平台可用于T2对比</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7.6.3</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全静音平台可用于</w:t>
                  </w:r>
                  <w:r>
                    <w:rPr>
                      <w:rFonts w:hint="eastAsia" w:ascii="宋体" w:hAnsi="宋体" w:eastAsia="宋体" w:cs="宋体"/>
                      <w:color w:val="auto"/>
                      <w:sz w:val="21"/>
                      <w:szCs w:val="21"/>
                      <w:highlight w:val="none"/>
                      <w:lang w:val="en-US" w:eastAsia="zh-CN"/>
                    </w:rPr>
                    <w:t>FLAIR</w:t>
                  </w:r>
                  <w:r>
                    <w:rPr>
                      <w:rFonts w:hint="eastAsia" w:ascii="宋体" w:hAnsi="宋体" w:eastAsia="宋体" w:cs="宋体"/>
                      <w:color w:val="auto"/>
                      <w:sz w:val="21"/>
                      <w:szCs w:val="21"/>
                      <w:highlight w:val="none"/>
                    </w:rPr>
                    <w:t>对比</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7.6.4</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全静音平台可用于SWI对比</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7.6.5</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全静音平台可用于TSE序列</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7.6.6</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全静音平台可用于SE序列</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7.6.7</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全静音平台可用于GRE序列</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7.6.8</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全静音平台可用于DWI序列</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全静音平台可以应用于3D T1加权超短TE 序列</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全静音平台可以应用于神经系统成像</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全静音平台可以应用于骨关节系统成像</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7.10</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全静音平台可以应用于脊柱成像</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可以降低96% 噪声声压</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主控计算机系统</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主计算机CPU</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等同或优于</w:t>
                  </w:r>
                  <w:r>
                    <w:rPr>
                      <w:rFonts w:hint="eastAsia" w:ascii="宋体" w:hAnsi="宋体" w:eastAsia="宋体" w:cs="宋体"/>
                      <w:color w:val="auto"/>
                      <w:sz w:val="21"/>
                      <w:szCs w:val="21"/>
                      <w:highlight w:val="none"/>
                      <w:lang w:val="de-DE"/>
                    </w:rPr>
                    <w:t>Intel Xeon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CPU核心</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CPU位数</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主频大小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≥3.6GHz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内存大小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≥64GB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2594" w:type="dxa"/>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结果输出设备</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≥24英寸彩色LCD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结果输出设备</w:t>
                  </w:r>
                  <w:r>
                    <w:rPr>
                      <w:rFonts w:hint="eastAsia" w:ascii="宋体" w:hAnsi="宋体" w:eastAsia="宋体" w:cs="宋体"/>
                      <w:color w:val="auto"/>
                      <w:sz w:val="21"/>
                      <w:szCs w:val="21"/>
                      <w:highlight w:val="none"/>
                    </w:rPr>
                    <w:t>分辨率</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≥1920×1200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硬盘容量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≥480GB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阵列处理器主频</w:t>
                  </w:r>
                </w:p>
              </w:tc>
              <w:tc>
                <w:tcPr>
                  <w:tcW w:w="2661" w:type="dxa"/>
                  <w:vAlign w:val="center"/>
                </w:tcPr>
                <w:p>
                  <w:pPr>
                    <w:spacing w:line="240" w:lineRule="auto"/>
                    <w:rPr>
                      <w:rFonts w:hint="eastAsia" w:ascii="宋体" w:hAnsi="宋体" w:eastAsia="宋体" w:cs="宋体"/>
                      <w:color w:val="auto"/>
                      <w:sz w:val="21"/>
                      <w:szCs w:val="21"/>
                      <w:highlight w:val="none"/>
                    </w:rPr>
                  </w:pPr>
                  <w:bookmarkStart w:id="53" w:name="OLE_LINK1"/>
                  <w:bookmarkStart w:id="54" w:name="OLE_LINK4"/>
                  <w:r>
                    <w:rPr>
                      <w:rFonts w:hint="eastAsia" w:ascii="宋体" w:hAnsi="宋体" w:eastAsia="宋体" w:cs="宋体"/>
                      <w:color w:val="auto"/>
                      <w:sz w:val="21"/>
                      <w:szCs w:val="21"/>
                      <w:highlight w:val="none"/>
                    </w:rPr>
                    <w:t>≥</w:t>
                  </w:r>
                  <w:bookmarkEnd w:id="53"/>
                  <w:bookmarkEnd w:id="54"/>
                  <w:r>
                    <w:rPr>
                      <w:rFonts w:hint="eastAsia" w:ascii="宋体" w:hAnsi="宋体" w:eastAsia="宋体" w:cs="宋体"/>
                      <w:color w:val="auto"/>
                      <w:sz w:val="21"/>
                      <w:szCs w:val="21"/>
                      <w:highlight w:val="none"/>
                    </w:rPr>
                    <w:t>2x2.1GHz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阵列处理器内存</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≥64GB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阵列处理器硬盘</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≥480GB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图像重建速度(256X256, 100% FOV)</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≥40000幅/秒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超快速计算机处理技术(256×256，25%FOV)</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图像重建速度≥ 149000幅/秒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8.14</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DICOM3.0接口</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系统后处理功能</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3D后处理</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实时MPR后处理</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三维表面重建技术SSD后处理</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实时MIP后处理</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电影回放软件</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图像评价软件</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实时互动重建</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ADC-map</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T1，T2值计算</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时间信号曲线</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图像减影、叠加</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操作台、扫描床及环境调节系统</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垂直移动时扫描床最大承重</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≥250Kg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扫描床移动精度</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床旁扫描控制系统</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双侧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病人监视系统</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照明、通风、通话、背景音乐</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最低床位</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最大水平移动范围</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遥控线圈更换</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自动步进扫描床 </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患者专用防磁耳机、呼叫按钮</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特定吸收率SAR实时连续监控显示装置</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紧急制动系统</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后处理接口</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软件控制照相技术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具备完整DICOM3.0接口及 与PACS 网络连接（包括Query/Retrieve、Send/Receive、Print、Worklist）的功能</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具备DICOM3.0标准激光相机数字接口</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远程遥控维修遥控</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图像网络传输标准</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1000M 以太网连接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图像网络传输速度</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≥160幅/秒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全景一体化成像系统</w:t>
                  </w:r>
                </w:p>
              </w:tc>
              <w:tc>
                <w:tcPr>
                  <w:tcW w:w="2661" w:type="dxa"/>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一次摆位完成全部线圈扫描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线圈组合扫描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组合扫描专用线圈控制软件</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智能定位技术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脊柱线圈整合于床面设计</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线圈接口整合于床面设计</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矩阵线圈通道选择模式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矩阵线圈频谱成像模式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实时扫描助手</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全中枢神经成像无缝连接</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自动检查计划</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自动结果生成</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智能操作平台</w:t>
                  </w:r>
                </w:p>
              </w:tc>
              <w:tc>
                <w:tcPr>
                  <w:tcW w:w="2661" w:type="dxa"/>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头部自动定位功能</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脊柱自动定位功能</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关节自动定位功能</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图文引导的实时在线指导功能</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大范围自动扫描定位功能（移动中扫描定位）</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并行采集拓展功能</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膈肌导航技术</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2D PACE或Body Navigators</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相位导航技术（肝实质触发采集技术）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扫描参数</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14.1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最小二维层厚</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≤0.1mm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最小三维层厚</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≤0.05mm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最大扫描视野</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≥55cm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最小扫描视野</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≤0.5cm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TSE最大回波链长度</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≥512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EPI最大因子</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最大采集矩阵</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de-DE"/>
                    </w:rPr>
                    <w:t>≥</w:t>
                  </w:r>
                  <w:r>
                    <w:rPr>
                      <w:rFonts w:hint="eastAsia" w:ascii="宋体" w:hAnsi="宋体" w:eastAsia="宋体" w:cs="宋体"/>
                      <w:color w:val="auto"/>
                      <w:sz w:val="21"/>
                      <w:szCs w:val="21"/>
                      <w:highlight w:val="none"/>
                    </w:rPr>
                    <w:t>1024×1024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14.8</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弥散加权B值</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 xml:space="preserve">≥10000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14.9</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最短TR时间（128矩阵）</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≤0.7ms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14.10</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最短TE时间（128矩阵）</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 xml:space="preserve">≤0.22ms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14.11</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3D GRE最短TR(256 x256矩阵)</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≤1.1ms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14.12</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3D GRE最短TE (256 x256矩阵)</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de-DE"/>
                    </w:rPr>
                    <w:t>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14.13</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3D GRE最短TR(128 x128矩阵)</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≤0.7ms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14.14</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3D GRE最短TE (128 x128矩阵)</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de-DE"/>
                    </w:rPr>
                    <w:t>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14.15</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快速自旋回波最短TR（256 x 256矩阵）</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≤5.</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de-DE"/>
                    </w:rPr>
                    <w:t>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14.16</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快速自旋回波最短TE（256 x 256矩阵）</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≤1.8ms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14.17</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快速自旋回波最短TR（128 x 128矩阵）</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de-DE"/>
                    </w:rPr>
                    <w:t>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14.18</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快速自旋回波最短TE（128 x 128矩阵）</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≤1.5ms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14.19</w:t>
                  </w:r>
                </w:p>
              </w:tc>
              <w:tc>
                <w:tcPr>
                  <w:tcW w:w="2594"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快速自旋回波最短TR（64 x 64矩阵）</w:t>
                  </w:r>
                </w:p>
              </w:tc>
              <w:tc>
                <w:tcPr>
                  <w:tcW w:w="2661" w:type="dxa"/>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de-DE"/>
                    </w:rPr>
                    <w:t>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14.20</w:t>
                  </w:r>
                </w:p>
              </w:tc>
              <w:tc>
                <w:tcPr>
                  <w:tcW w:w="2594" w:type="dxa"/>
                  <w:tcBorders>
                    <w:left w:val="single" w:color="auto" w:sz="4" w:space="0"/>
                  </w:tcBorders>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快速自旋回波最短TE（64 x 64矩阵）</w:t>
                  </w:r>
                </w:p>
              </w:tc>
              <w:tc>
                <w:tcPr>
                  <w:tcW w:w="2661" w:type="dxa"/>
                  <w:tcBorders>
                    <w:right w:val="single" w:color="auto" w:sz="4" w:space="0"/>
                  </w:tcBorders>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≤1.5ms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14.21</w:t>
                  </w:r>
                </w:p>
              </w:tc>
              <w:tc>
                <w:tcPr>
                  <w:tcW w:w="2594" w:type="dxa"/>
                  <w:tcBorders>
                    <w:left w:val="single" w:color="auto" w:sz="4" w:space="0"/>
                  </w:tcBorders>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TSE序列最短回波间隔(256x256矩阵)</w:t>
                  </w:r>
                </w:p>
              </w:tc>
              <w:tc>
                <w:tcPr>
                  <w:tcW w:w="2661" w:type="dxa"/>
                  <w:tcBorders>
                    <w:right w:val="single" w:color="auto" w:sz="4" w:space="0"/>
                  </w:tcBorders>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≤1.8ms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14.22</w:t>
                  </w:r>
                </w:p>
              </w:tc>
              <w:tc>
                <w:tcPr>
                  <w:tcW w:w="2594" w:type="dxa"/>
                  <w:tcBorders>
                    <w:left w:val="single" w:color="auto" w:sz="4" w:space="0"/>
                  </w:tcBorders>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EPI序列最短回波间隔 (256x256矩阵)</w:t>
                  </w:r>
                </w:p>
              </w:tc>
              <w:tc>
                <w:tcPr>
                  <w:tcW w:w="2661" w:type="dxa"/>
                  <w:tcBorders>
                    <w:right w:val="single" w:color="auto" w:sz="4" w:space="0"/>
                  </w:tcBorders>
                  <w:vAlign w:val="center"/>
                </w:tcPr>
                <w:p>
                  <w:pPr>
                    <w:spacing w:line="240" w:lineRule="auto"/>
                    <w:rPr>
                      <w:rFonts w:hint="eastAsia" w:ascii="宋体" w:hAnsi="宋体" w:eastAsia="宋体" w:cs="宋体"/>
                      <w:color w:val="auto"/>
                      <w:sz w:val="21"/>
                      <w:szCs w:val="21"/>
                      <w:highlight w:val="none"/>
                      <w:lang w:val="de-DE"/>
                    </w:rPr>
                  </w:pPr>
                  <w:r>
                    <w:rPr>
                      <w:rFonts w:hint="eastAsia" w:ascii="宋体" w:hAnsi="宋体" w:eastAsia="宋体" w:cs="宋体"/>
                      <w:color w:val="auto"/>
                      <w:sz w:val="21"/>
                      <w:szCs w:val="21"/>
                      <w:highlight w:val="none"/>
                      <w:lang w:val="de-DE"/>
                    </w:rPr>
                    <w:t xml:space="preserve">≤0.56ms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成像序列和技术</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自旋回波（SE）序列</w:t>
                  </w:r>
                </w:p>
              </w:tc>
              <w:tc>
                <w:tcPr>
                  <w:tcW w:w="2661" w:type="dxa"/>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2D/3D TSE</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TSE回波分享技术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三维TSE序列</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单次激发SE</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脂肪抑制序列</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频率脂肪抑制</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水抑制序列</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反转恢复（IR）序列</w:t>
                  </w:r>
                </w:p>
              </w:tc>
              <w:tc>
                <w:tcPr>
                  <w:tcW w:w="2661" w:type="dxa"/>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快速IR(脂肪、 水抑制）</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快速自由水抑制（T1、 T2FLAIR）</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STIR短T1压脂序列</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单次激发快速IR</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常规反转恢复序列</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真实影像反转恢复（灰白质强对比）</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脂肪/水激发技术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翻转恢复脂肪抑制序列</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SPAIR 或 IDEAL 或ProSet</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fr-FR"/>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梯度回波(GRE) 序列</w:t>
                  </w:r>
                </w:p>
              </w:tc>
              <w:tc>
                <w:tcPr>
                  <w:tcW w:w="2661" w:type="dxa"/>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2D/3D稳态进动梯度回波</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in-phase和out-phase成像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多回波聚合序列</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MEDIC 或 MERGE或m-FFE</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亚秒T1扫描序列（2D/3D）</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亚秒T2扫描序列（2D/3D）</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单次多平面梯度回波序列</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多回波梯度回波序列</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除剩余磁化梯度回波</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利用剩余磁化梯度回波</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重T2 加权高对比序列</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TrueFISP或 FIESTA或Balanced FFE</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2594"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平面回波(EPI)序列</w:t>
                  </w:r>
                </w:p>
              </w:tc>
              <w:tc>
                <w:tcPr>
                  <w:tcW w:w="2661" w:type="dxa"/>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单次激发EPI</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多次激发EPI</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自旋回波EPI</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梯度回波EPI </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w:t>
                  </w:r>
                </w:p>
              </w:tc>
              <w:tc>
                <w:tcPr>
                  <w:tcW w:w="2594" w:type="dxa"/>
                  <w:tcBorders>
                    <w:left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反转EPI</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体部成像</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肝脏T1加权3D高分辨动态成像</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3D VIBE或LAVA-XV或4D THRIVE</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多期动态扫描层面精准对位技术</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DynaVIBE</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全身弥散成像软件包</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REVEAL或DWIBS</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同相位/去相位水脂分离技术</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DIXION 或LAVA-Flex或mDIXON</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MR结肠造影技术 （亮、暗腔）</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MR胰胆管造影技术(2D/3D)</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单次激发 2D/3D水成像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呼吸导航技术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自由呼吸 3D水成像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动态肾脏灌注成像技术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MR尿路造影技术（2D/3D）</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w:t>
                  </w:r>
                </w:p>
              </w:tc>
              <w:tc>
                <w:tcPr>
                  <w:tcW w:w="2594"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MR脊髓造影技术（2D/3D）</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w:t>
                  </w:r>
                </w:p>
              </w:tc>
              <w:tc>
                <w:tcPr>
                  <w:tcW w:w="2594"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单次屏气多期高时间、空间分辨率动态成像</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16.14</w:t>
                  </w:r>
                </w:p>
              </w:tc>
              <w:tc>
                <w:tcPr>
                  <w:tcW w:w="2594"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自由呼吸3D T1加权对比增强</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16.15</w:t>
                  </w:r>
                </w:p>
              </w:tc>
              <w:tc>
                <w:tcPr>
                  <w:tcW w:w="2594"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无限期相动态增强成像技术</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16.16</w:t>
                  </w:r>
                </w:p>
              </w:tc>
              <w:tc>
                <w:tcPr>
                  <w:tcW w:w="2594"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肝脏铁脂定量软件</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16.17</w:t>
                  </w:r>
                </w:p>
              </w:tc>
              <w:tc>
                <w:tcPr>
                  <w:tcW w:w="2594"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四维血管通透性分析功能</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594"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神经系统成像</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弥散成像</w:t>
                  </w:r>
                </w:p>
              </w:tc>
              <w:tc>
                <w:tcPr>
                  <w:tcW w:w="2661" w:type="dxa"/>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实时弥散技术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各向同性采集、</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各向异性采集</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ADC值测量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ADC-map彩图</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17.1.6</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体部脏器弥散</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17.1.7</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可选优化B值</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17.1.8</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弥散张量成像（DTI）</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17.1.9</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白质纤维束成像</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17.1.10</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DTI弥散张量方向数</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17.1.11</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高清弥散成像（多次激发分段读出弥散成像）</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RESOLVE或MUSE</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17.1.12</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高清弥散可应用于头部</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RESOLVE或MUSE</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17.1.13</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高清弥散可应用于乳腺</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RESOLVE或MUSE</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17.1.14</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高清弥散可应用于盆腔</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RESOLVE或MUSE</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17.1.15</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小视野高清弥散成像</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594"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灌注成像</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2D-EPI灌注成像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多层灌注成像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rCBV分析</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TTP分析</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MTT分析</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w:t>
                  </w:r>
                </w:p>
              </w:tc>
              <w:tc>
                <w:tcPr>
                  <w:tcW w:w="2594"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时间信号曲线</w:t>
                  </w:r>
                </w:p>
              </w:tc>
              <w:tc>
                <w:tcPr>
                  <w:tcW w:w="2661"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w:t>
                  </w:r>
                </w:p>
              </w:tc>
              <w:tc>
                <w:tcPr>
                  <w:tcW w:w="2594"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彩色后处理功能</w:t>
                  </w:r>
                </w:p>
              </w:tc>
              <w:tc>
                <w:tcPr>
                  <w:tcW w:w="2661"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17.2.8</w:t>
                  </w:r>
                </w:p>
              </w:tc>
              <w:tc>
                <w:tcPr>
                  <w:tcW w:w="2594"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二维动脉自旋标记成像</w:t>
                  </w:r>
                </w:p>
              </w:tc>
              <w:tc>
                <w:tcPr>
                  <w:tcW w:w="2661"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17.2.9</w:t>
                  </w:r>
                </w:p>
              </w:tc>
              <w:tc>
                <w:tcPr>
                  <w:tcW w:w="2594"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三维动脉自旋标记成像</w:t>
                  </w:r>
                </w:p>
              </w:tc>
              <w:tc>
                <w:tcPr>
                  <w:tcW w:w="2661"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磁敏感成像(SWI或eSWAN2.0或SWIp)</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17.3.1</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可兼容并行采集</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SWI实时磁矩图成像技术</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SWI实时相位图成像技术</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17.3.4</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SWI原始图像成像技术</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mMIP图像成像技术</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脑功能成像</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血氧饱和度依赖性成像</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脑功能后处理</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top"/>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BOLD脑功能成像及评价软件包</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top"/>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17.4.4</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前瞻性运动校正技术</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其他成像</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全中枢神经系统成像</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具备，使用一体化线圈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17.5.2</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图像无缝拼接软件包</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Composing或MobiView或MR Pasting</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心血管成像</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2D/3D时飞法(TOF)血管成像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相位对比(PC)血管成像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门控法TOF/PC血管成像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3D增强对比CE—MRA技术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门静脉成像技术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实时成像技术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超快速血管造影成像技术</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GRAPPA 或 TRICKS- XV或4D TRACK</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磁化转移（MTC）技术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造影剂实时跟踪触发技术</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CARE Bolus或Fluoro-Trigger MRA或Bolus track</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导航技术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下肢血管造影分段跟踪成像技术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自动移床MRA</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电影回放</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最大强度投影</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多层面重建</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曲面重建</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常规心脏形态学成像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心脏回波分享技术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快速梯度回波/快速心脏采集</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黑血技术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亮血技术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正向心电触发</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反向心电触发</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二维/三维多相位成像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快速心脏电影</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一站式心脏成像技术</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BEAT 或MR Echo 或Whole Heart</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18.27</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首过法灌注成像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18.28</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自动心肌活性成像（自动选择TI时间）</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PSIR或PS-MDE</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18.29</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放射采集技术</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18.30</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双斜位成像</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top"/>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18.31</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4D心脏功能评价软件包</w:t>
                  </w:r>
                </w:p>
              </w:tc>
              <w:tc>
                <w:tcPr>
                  <w:tcW w:w="2661" w:type="dxa"/>
                  <w:tcBorders>
                    <w:left w:val="single" w:color="auto" w:sz="4" w:space="0"/>
                  </w:tcBorders>
                  <w:vAlign w:val="top"/>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top"/>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18.32</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流量定量成像  </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top"/>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18.33</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血流分析软件包</w:t>
                  </w:r>
                </w:p>
              </w:tc>
              <w:tc>
                <w:tcPr>
                  <w:tcW w:w="2661" w:type="dxa"/>
                  <w:tcBorders>
                    <w:left w:val="single" w:color="auto" w:sz="4" w:space="0"/>
                  </w:tcBorders>
                  <w:vAlign w:val="top"/>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top"/>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18.34</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心脏高级定量分析软件包</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top"/>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18.35</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非造影血管成像</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top"/>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18.36</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四维动态血管成像  </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top"/>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18.37</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压缩感知血管成像</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top"/>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18.38</w:t>
                  </w:r>
                </w:p>
              </w:tc>
              <w:tc>
                <w:tcPr>
                  <w:tcW w:w="2594"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压缩感知心脏成像</w:t>
                  </w:r>
                </w:p>
              </w:tc>
              <w:tc>
                <w:tcPr>
                  <w:tcW w:w="2661" w:type="dxa"/>
                  <w:tcBorders>
                    <w:left w:val="single" w:color="auto" w:sz="4" w:space="0"/>
                  </w:tcBorders>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594" w:type="dxa"/>
                  <w:tcBorders>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波谱成像</w:t>
                  </w:r>
                </w:p>
              </w:tc>
              <w:tc>
                <w:tcPr>
                  <w:tcW w:w="2661" w:type="dxa"/>
                  <w:tcBorders>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自动匀场方式</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手动匀场方式</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自动水抑制技术</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自动频谱分析</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实时频谱分析及实时显示</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高级频谱分析后处理软件</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用户可编辑后处理程序</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19.8</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2D和3D频谱成像</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19.9</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单体素和多体素频谱成像</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19.10</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PRESS技术</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19.11</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STEAM技术</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19.12</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代谢产物浓度分布彩图</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19.13</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代谢产物比例地图</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19.14</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外周容积脂肪抑制技术</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19.15</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半自动匀场方式</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19.16</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快速频谱成像技术</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19.17</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三维脑频谱成像</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19.18</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化学位移成像(2D/3D CSI)</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19.19</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多通道矩阵线圈完成头颅频谱</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19.20</w:t>
                  </w:r>
                </w:p>
              </w:tc>
              <w:tc>
                <w:tcPr>
                  <w:tcW w:w="2594"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多通道体表矩阵线圈完成前列腺频谱</w:t>
                  </w:r>
                </w:p>
              </w:tc>
              <w:tc>
                <w:tcPr>
                  <w:tcW w:w="2661" w:type="dxa"/>
                  <w:tcBorders>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骨关节成像</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3D各向同性容积成像序列</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SPACE 或CUBE 或VISTA</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高分辨率颈髓成像</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MEDIC 或 MERGE或m-FFE</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高分辨率内耳三维成像</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CISS或FIESTA-C</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全脊柱成像</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图像无缝拼接软件包</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Composing或MobiView或MR Pasting</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关节软骨成像</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3D DESS或CartiGram</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20.7</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参量图成像软件包</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各个厂家必须提供各自最新软件和功能:</w:t>
                  </w:r>
                </w:p>
              </w:tc>
              <w:tc>
                <w:tcPr>
                  <w:tcW w:w="2661" w:type="dxa"/>
                  <w:tcBorders>
                    <w:top w:val="single" w:color="auto" w:sz="4" w:space="0"/>
                    <w:left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如果是西门子公司，请提供：</w:t>
                  </w:r>
                </w:p>
                <w:p>
                  <w:pPr>
                    <w:spacing w:line="240" w:lineRule="auto"/>
                    <w:rPr>
                      <w:rFonts w:hint="eastAsia" w:ascii="宋体" w:hAnsi="宋体" w:eastAsia="宋体" w:cs="宋体"/>
                      <w:color w:val="auto"/>
                      <w:sz w:val="21"/>
                      <w:szCs w:val="21"/>
                      <w:highlight w:val="none"/>
                    </w:rPr>
                  </w:pPr>
                </w:p>
              </w:tc>
              <w:tc>
                <w:tcPr>
                  <w:tcW w:w="2661" w:type="dxa"/>
                  <w:tcBorders>
                    <w:top w:val="single" w:color="auto" w:sz="4" w:space="0"/>
                    <w:left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Tim高级功能软件包（包括：BLADE，BEAT，CISS，DESS，REVEAL，Phoenix，PhoenixZIP，VIBE，DynaVIBE，DIXON，SPACE</w:t>
                  </w:r>
                  <w:bookmarkStart w:id="55" w:name="OLE_LINK3"/>
                  <w:bookmarkStart w:id="56" w:name="OLE_LINK2"/>
                  <w:r>
                    <w:rPr>
                      <w:rFonts w:hint="eastAsia" w:ascii="宋体" w:hAnsi="宋体" w:eastAsia="宋体" w:cs="宋体"/>
                      <w:color w:val="auto"/>
                      <w:sz w:val="21"/>
                      <w:szCs w:val="21"/>
                      <w:highlight w:val="none"/>
                    </w:rPr>
                    <w:t>，</w:t>
                  </w:r>
                  <w:bookmarkEnd w:id="55"/>
                  <w:bookmarkEnd w:id="56"/>
                  <w:r>
                    <w:rPr>
                      <w:rFonts w:hint="eastAsia" w:ascii="宋体" w:hAnsi="宋体" w:eastAsia="宋体" w:cs="宋体"/>
                      <w:color w:val="auto"/>
                      <w:sz w:val="21"/>
                      <w:szCs w:val="21"/>
                      <w:highlight w:val="none"/>
                    </w:rPr>
                    <w:t>GRAPPA， SWI，PSIR）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2594"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如果是GE公司，请提供：</w:t>
                  </w:r>
                </w:p>
                <w:p>
                  <w:pPr>
                    <w:spacing w:line="240" w:lineRule="auto"/>
                    <w:rPr>
                      <w:rFonts w:hint="eastAsia" w:ascii="宋体" w:hAnsi="宋体" w:eastAsia="宋体" w:cs="宋体"/>
                      <w:color w:val="auto"/>
                      <w:sz w:val="21"/>
                      <w:szCs w:val="21"/>
                      <w:highlight w:val="none"/>
                    </w:rPr>
                  </w:pPr>
                </w:p>
                <w:p>
                  <w:pPr>
                    <w:spacing w:line="240" w:lineRule="auto"/>
                    <w:rPr>
                      <w:rFonts w:hint="eastAsia" w:ascii="宋体" w:hAnsi="宋体" w:eastAsia="宋体" w:cs="宋体"/>
                      <w:color w:val="auto"/>
                      <w:sz w:val="21"/>
                      <w:szCs w:val="21"/>
                      <w:highlight w:val="none"/>
                    </w:rPr>
                  </w:pPr>
                </w:p>
                <w:p>
                  <w:pPr>
                    <w:spacing w:line="240" w:lineRule="auto"/>
                    <w:rPr>
                      <w:rFonts w:hint="eastAsia" w:ascii="宋体" w:hAnsi="宋体" w:eastAsia="宋体" w:cs="宋体"/>
                      <w:color w:val="auto"/>
                      <w:sz w:val="21"/>
                      <w:szCs w:val="21"/>
                      <w:highlight w:val="none"/>
                    </w:rPr>
                  </w:pPr>
                </w:p>
                <w:p>
                  <w:pPr>
                    <w:spacing w:line="240" w:lineRule="auto"/>
                    <w:rPr>
                      <w:rFonts w:hint="eastAsia" w:ascii="宋体" w:hAnsi="宋体" w:eastAsia="宋体" w:cs="宋体"/>
                      <w:color w:val="auto"/>
                      <w:sz w:val="21"/>
                      <w:szCs w:val="21"/>
                      <w:highlight w:val="none"/>
                    </w:rPr>
                  </w:pPr>
                </w:p>
                <w:p>
                  <w:pPr>
                    <w:spacing w:line="240" w:lineRule="auto"/>
                    <w:rPr>
                      <w:rFonts w:hint="eastAsia" w:ascii="宋体" w:hAnsi="宋体" w:eastAsia="宋体" w:cs="宋体"/>
                      <w:color w:val="auto"/>
                      <w:sz w:val="21"/>
                      <w:szCs w:val="21"/>
                      <w:highlight w:val="none"/>
                    </w:rPr>
                  </w:pPr>
                </w:p>
              </w:tc>
              <w:tc>
                <w:tcPr>
                  <w:tcW w:w="2661" w:type="dxa"/>
                  <w:tcBorders>
                    <w:top w:val="single" w:color="auto" w:sz="4" w:space="0"/>
                    <w:left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GEM高级功能（包括：Propeller 3.0, LAVA-XV，Tricks-XV，VIBRANT-XV，IDEAL,LAVA-Flex，Brainstat，Cartigram，eSWAN2.0，CUBE 2.0, Inhance suit 2.0， Starmap，MAVRIC SL，MUSE，DCE-MR Diagnostic Image Processing Software,Silenz，brainwave RT, Brainwave PA， ReportCARD）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259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如果是飞利浦公司，请提供：</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dStream高级功能（包括：Whole Heart Imaging，4D Trak，2048矩阵采集，Smart Exam head，Smart Exam Knee，Smart Exam Spine ，Smart Exam Shoulder ，Smart Exam Breast ，DWIBS，4D THRIVE，K-tBlast，Sense Spectro，Fiber Trak，ASL，TRANCE，B-TRANCE,Whole Body imaging，Mobiview，Multivane XD，mDIXON，128方向DTI）</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w:t>
                  </w:r>
                </w:p>
              </w:tc>
              <w:tc>
                <w:tcPr>
                  <w:tcW w:w="259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如果是其他公司，请提供：</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投标产品能够配置的所有临床和高级软件包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594"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并行采集技术</w:t>
                  </w:r>
                </w:p>
              </w:tc>
              <w:tc>
                <w:tcPr>
                  <w:tcW w:w="2661"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594" w:type="dxa"/>
                  <w:tcBorders>
                    <w:top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基于图像算法</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mSENSE或ASSET或SENSE</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基于k-空间算法</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GRAPPA或ARC</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基于两个相位编码方向同时加速算法</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CAIPIRINHA</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tc>
              <w:tc>
                <w:tcPr>
                  <w:tcW w:w="2594"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并行采集加速因子</w:t>
                  </w:r>
                </w:p>
              </w:tc>
              <w:tc>
                <w:tcPr>
                  <w:tcW w:w="2661"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w:t>
                  </w:r>
                </w:p>
              </w:tc>
              <w:tc>
                <w:tcPr>
                  <w:tcW w:w="2594"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与并行采集技术兼容的射频线圈</w:t>
                  </w:r>
                </w:p>
              </w:tc>
              <w:tc>
                <w:tcPr>
                  <w:tcW w:w="2661"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全面兼容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w:t>
                  </w:r>
                </w:p>
              </w:tc>
              <w:tc>
                <w:tcPr>
                  <w:tcW w:w="2594"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bookmarkStart w:id="57" w:name="OLE_LINK9"/>
                  <w:bookmarkStart w:id="58" w:name="OLE_LINK10"/>
                  <w:r>
                    <w:rPr>
                      <w:rFonts w:hint="eastAsia" w:ascii="宋体" w:hAnsi="宋体" w:eastAsia="宋体" w:cs="宋体"/>
                      <w:color w:val="auto"/>
                      <w:sz w:val="21"/>
                      <w:szCs w:val="21"/>
                      <w:highlight w:val="none"/>
                    </w:rPr>
                    <w:t>与并行采集技术</w:t>
                  </w:r>
                  <w:bookmarkEnd w:id="57"/>
                  <w:bookmarkEnd w:id="58"/>
                  <w:r>
                    <w:rPr>
                      <w:rFonts w:hint="eastAsia" w:ascii="宋体" w:hAnsi="宋体" w:eastAsia="宋体" w:cs="宋体"/>
                      <w:color w:val="auto"/>
                      <w:sz w:val="21"/>
                      <w:szCs w:val="21"/>
                      <w:highlight w:val="none"/>
                    </w:rPr>
                    <w:t>兼容的扫描序列</w:t>
                  </w:r>
                </w:p>
              </w:tc>
              <w:tc>
                <w:tcPr>
                  <w:tcW w:w="2661"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全面兼容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w:t>
                  </w:r>
                </w:p>
              </w:tc>
              <w:tc>
                <w:tcPr>
                  <w:tcW w:w="2594"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并行采集自动校准技术</w:t>
                  </w:r>
                </w:p>
              </w:tc>
              <w:tc>
                <w:tcPr>
                  <w:tcW w:w="2661" w:type="dxa"/>
                  <w:tcBorders>
                    <w:top w:val="single" w:color="000000" w:sz="6"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000000" w:sz="6" w:space="0"/>
                    <w:bottom w:val="single" w:color="000000" w:sz="6"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w:t>
                  </w:r>
                </w:p>
              </w:tc>
              <w:tc>
                <w:tcPr>
                  <w:tcW w:w="2594" w:type="dxa"/>
                  <w:tcBorders>
                    <w:top w:val="single" w:color="000000" w:sz="6" w:space="0"/>
                    <w:left w:val="single" w:color="auto" w:sz="4" w:space="0"/>
                    <w:bottom w:val="single" w:color="000000" w:sz="6"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并行采集因子施加方向</w:t>
                  </w:r>
                </w:p>
              </w:tc>
              <w:tc>
                <w:tcPr>
                  <w:tcW w:w="2661" w:type="dxa"/>
                  <w:tcBorders>
                    <w:top w:val="single" w:color="000000" w:sz="6" w:space="0"/>
                    <w:left w:val="single" w:color="auto" w:sz="4" w:space="0"/>
                    <w:bottom w:val="single" w:color="000000" w:sz="6"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 Y, Z轴三方向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94" w:type="dxa"/>
                  <w:tcBorders>
                    <w:top w:val="single" w:color="auto" w:sz="4" w:space="0"/>
                    <w:left w:val="single" w:color="auto" w:sz="4" w:space="0"/>
                    <w:bottom w:val="single" w:color="000000" w:sz="6"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伪影校正技术</w:t>
                  </w:r>
                </w:p>
              </w:tc>
              <w:tc>
                <w:tcPr>
                  <w:tcW w:w="2661" w:type="dxa"/>
                  <w:tcBorders>
                    <w:top w:val="single" w:color="auto" w:sz="4" w:space="0"/>
                    <w:left w:val="single" w:color="auto" w:sz="4" w:space="0"/>
                    <w:bottom w:val="single" w:color="000000" w:sz="6"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流体补偿</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呼吸补偿</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头部伪影矫正</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去金属伪影技术</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BLADE或</w:t>
                  </w:r>
                  <w:bookmarkStart w:id="59" w:name="OLE_LINK8"/>
                  <w:bookmarkStart w:id="60" w:name="OLE_LINK7"/>
                  <w:r>
                    <w:rPr>
                      <w:rFonts w:hint="eastAsia" w:ascii="宋体" w:hAnsi="宋体" w:eastAsia="宋体" w:cs="宋体"/>
                      <w:color w:val="auto"/>
                      <w:sz w:val="21"/>
                      <w:szCs w:val="21"/>
                      <w:highlight w:val="none"/>
                    </w:rPr>
                    <w:t>MAVRIC SL</w:t>
                  </w:r>
                  <w:bookmarkEnd w:id="59"/>
                  <w:bookmarkEnd w:id="60"/>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消除磁敏感伪影</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23.6</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卷积伪影去除</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23.7</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前瞻性运动伪影校正</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23.8</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回顾性运动伪影校正</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23.9</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抑制头部运动伪影</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BLADE或PROPELLOR 2.0或Multivane</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23.10</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抑制腹部运动伪影</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BLADE或PROPELLOR 3.0或Multivane XD</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23.11</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抑制关节运动伪影</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BLADE或PROPELLOR 3.0或Multivane XD</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23.12</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抑制颈部运动伪影</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BLADE或PROPELLOR 3.0或Multivane XD</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23.13</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可应用于T1像</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BLADE或PROPELLOR 3.0或Multivane XD</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23.14</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可应用于T2像</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BLADE或PROPELLOR 3.0或Multivane XD</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23.15</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可应用于黑水像</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BLADE或PROPELLOR 3.0或Multivane XD</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23.16</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可应用于冠状位</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BLADE或PROPELLOR 3.0或Multivane XD</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23.17</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可应用于矢状位</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BLADE或PROPELLOR 3.0或Multivane XD</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23.18</w:t>
                  </w:r>
                </w:p>
              </w:tc>
              <w:tc>
                <w:tcPr>
                  <w:tcW w:w="2594" w:type="dxa"/>
                  <w:tcBorders>
                    <w:top w:val="single" w:color="auto" w:sz="4" w:space="0"/>
                    <w:bottom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可应用于横断位</w:t>
                  </w:r>
                </w:p>
              </w:tc>
              <w:tc>
                <w:tcPr>
                  <w:tcW w:w="2661" w:type="dxa"/>
                  <w:tcBorders>
                    <w:bottom w:val="single" w:color="000000" w:sz="6" w:space="0"/>
                  </w:tcBorders>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BLADE或PROPELLOR 3.0或Multivane XD</w:t>
                  </w:r>
                  <w:r>
                    <w:rPr>
                      <w:rFonts w:hint="eastAsia" w:ascii="宋体" w:hAnsi="宋体" w:eastAsia="宋体" w:cs="宋体"/>
                      <w:color w:val="auto"/>
                      <w:sz w:val="21"/>
                      <w:szCs w:val="21"/>
                      <w:highlight w:val="none"/>
                      <w:lang w:eastAsia="zh-CN"/>
                    </w:rPr>
                    <w:t>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000000" w:sz="6" w:space="0"/>
                    <w:bottom w:val="single" w:color="000000" w:sz="6"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594" w:type="dxa"/>
                  <w:tcBorders>
                    <w:top w:val="single" w:color="000000" w:sz="6" w:space="0"/>
                    <w:left w:val="single" w:color="auto" w:sz="4" w:space="0"/>
                    <w:bottom w:val="single" w:color="000000" w:sz="6"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其他先进技术</w:t>
                  </w:r>
                </w:p>
              </w:tc>
              <w:tc>
                <w:tcPr>
                  <w:tcW w:w="2661" w:type="dxa"/>
                  <w:tcBorders>
                    <w:top w:val="single" w:color="000000" w:sz="6" w:space="0"/>
                    <w:left w:val="single" w:color="auto" w:sz="4" w:space="0"/>
                    <w:bottom w:val="single" w:color="000000" w:sz="6"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2594" w:type="dxa"/>
                  <w:tcBorders>
                    <w:top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自动和手动滤波</w:t>
                  </w:r>
                </w:p>
              </w:tc>
              <w:tc>
                <w:tcPr>
                  <w:tcW w:w="2661" w:type="dxa"/>
                  <w:tcBorders>
                    <w:top w:val="single" w:color="000000" w:sz="6"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实时交互式成像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三维定位系统</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频率编码方向扩大采集</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相位编码方向扩大采集</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预饱和技术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饱和带数目</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脂肪饱和技术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水饱和技术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水激发技术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偏中心扫描技术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扫描暂停技术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可变带宽技术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可变k空间填充</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24.15</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非/对称回波</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24.16</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信噪比指示器</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24.17</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优化反转角技术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24.18</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线圈灵敏度校正</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24.19</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神经高分辨成像</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24.20</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磁共振实时定位</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磁共振实时透视</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交互式参数改变</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扫描参数顾问</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恒定信号技术</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w:t>
                  </w:r>
                </w:p>
              </w:tc>
              <w:tc>
                <w:tcPr>
                  <w:tcW w:w="2594"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序列重生技术</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24.26</w:t>
                  </w:r>
                </w:p>
              </w:tc>
              <w:tc>
                <w:tcPr>
                  <w:tcW w:w="2594"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压缩感知解剖成像</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24.27</w:t>
                  </w:r>
                </w:p>
              </w:tc>
              <w:tc>
                <w:tcPr>
                  <w:tcW w:w="2594"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同时多层成像</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5255" w:type="dxa"/>
                  <w:gridSpan w:val="2"/>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高级影像后处理工作站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处理器</w:t>
                  </w:r>
                </w:p>
              </w:tc>
              <w:tc>
                <w:tcPr>
                  <w:tcW w:w="2661"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Intel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AMD</w:t>
                  </w:r>
                  <w:r>
                    <w:rPr>
                      <w:rFonts w:hint="eastAsia" w:ascii="宋体" w:hAnsi="宋体" w:eastAsia="宋体" w:cs="宋体"/>
                      <w:color w:val="auto"/>
                      <w:sz w:val="21"/>
                      <w:szCs w:val="21"/>
                      <w:highlight w:val="none"/>
                      <w:lang w:eastAsia="zh-CN"/>
                    </w:rPr>
                    <w:t>或其他等效品牌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w:t>
                  </w:r>
                </w:p>
              </w:tc>
              <w:tc>
                <w:tcPr>
                  <w:tcW w:w="2594"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MIP,MPR,SSD等</w:t>
                  </w:r>
                </w:p>
              </w:tc>
              <w:tc>
                <w:tcPr>
                  <w:tcW w:w="2661"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DICOM图像转换成JPG格式</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w:t>
                  </w:r>
                </w:p>
              </w:tc>
              <w:tc>
                <w:tcPr>
                  <w:tcW w:w="2594"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图像分析系统（测量、反转、滤波）</w:t>
                  </w:r>
                </w:p>
              </w:tc>
              <w:tc>
                <w:tcPr>
                  <w:tcW w:w="2661" w:type="dxa"/>
                  <w:tcBorders>
                    <w:top w:val="single" w:color="auto" w:sz="4" w:space="0"/>
                    <w:bottom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25.7</w:t>
                  </w:r>
                </w:p>
              </w:tc>
              <w:tc>
                <w:tcPr>
                  <w:tcW w:w="259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工作站控制照相</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25.8</w:t>
                  </w:r>
                </w:p>
              </w:tc>
              <w:tc>
                <w:tcPr>
                  <w:tcW w:w="259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图像管理</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25.9</w:t>
                  </w:r>
                </w:p>
              </w:tc>
              <w:tc>
                <w:tcPr>
                  <w:tcW w:w="259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联网图像传输</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25.10</w:t>
                  </w:r>
                </w:p>
              </w:tc>
              <w:tc>
                <w:tcPr>
                  <w:tcW w:w="259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Dicom3.0软硬接口 并负责连接</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主台及后处理工作站都可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top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59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外围设备</w:t>
                  </w:r>
                </w:p>
              </w:tc>
              <w:tc>
                <w:tcPr>
                  <w:tcW w:w="266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不间断电源UPS</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w:t>
                  </w:r>
                </w:p>
              </w:tc>
              <w:tc>
                <w:tcPr>
                  <w:tcW w:w="2594"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UPS电缆</w:t>
                  </w:r>
                </w:p>
              </w:tc>
              <w:tc>
                <w:tcPr>
                  <w:tcW w:w="2661" w:type="dxa"/>
                  <w:tcBorders>
                    <w:left w:val="single" w:color="auto" w:sz="4" w:space="0"/>
                    <w:right w:val="single" w:color="auto" w:sz="4" w:space="0"/>
                  </w:tcBorders>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27</w:t>
                  </w:r>
                </w:p>
              </w:tc>
              <w:tc>
                <w:tcPr>
                  <w:tcW w:w="2594" w:type="dxa"/>
                  <w:tcBorders>
                    <w:left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机房屏蔽防护及装修</w:t>
                  </w:r>
                </w:p>
              </w:tc>
              <w:tc>
                <w:tcPr>
                  <w:tcW w:w="2661" w:type="dxa"/>
                  <w:tcBorders>
                    <w:left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rPr>
                      <w:rFonts w:hint="eastAsia" w:ascii="宋体" w:hAnsi="宋体" w:eastAsia="宋体" w:cs="宋体"/>
                      <w:color w:val="auto"/>
                      <w:sz w:val="21"/>
                      <w:szCs w:val="21"/>
                      <w:highlight w:val="none"/>
                    </w:rPr>
                  </w:pPr>
                  <w:r>
                    <w:rPr>
                      <w:rFonts w:ascii="宋体" w:hAnsi="宋体" w:cs="宋体"/>
                      <w:color w:val="auto"/>
                      <w:szCs w:val="21"/>
                    </w:rPr>
                    <w:t>28</w:t>
                  </w:r>
                </w:p>
              </w:tc>
              <w:tc>
                <w:tcPr>
                  <w:tcW w:w="2594" w:type="dxa"/>
                  <w:tcBorders>
                    <w:left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第三方附属设备</w:t>
                  </w:r>
                </w:p>
              </w:tc>
              <w:tc>
                <w:tcPr>
                  <w:tcW w:w="2661" w:type="dxa"/>
                  <w:tcBorders>
                    <w:left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1127" w:type="dxa"/>
                  <w:tcBorders>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2</w:t>
                  </w:r>
                  <w:r>
                    <w:rPr>
                      <w:rFonts w:ascii="宋体" w:hAnsi="宋体" w:cs="宋体"/>
                      <w:color w:val="auto"/>
                      <w:szCs w:val="21"/>
                    </w:rPr>
                    <w:t>8.1</w:t>
                  </w:r>
                </w:p>
              </w:tc>
              <w:tc>
                <w:tcPr>
                  <w:tcW w:w="2594" w:type="dxa"/>
                  <w:tcBorders>
                    <w:left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外水冷系统</w:t>
                  </w:r>
                </w:p>
              </w:tc>
              <w:tc>
                <w:tcPr>
                  <w:tcW w:w="2661" w:type="dxa"/>
                  <w:tcBorders>
                    <w:left w:val="single" w:color="auto" w:sz="4" w:space="0"/>
                    <w:right w:val="single" w:color="auto" w:sz="4" w:space="0"/>
                  </w:tcBorders>
                  <w:vAlign w:val="center"/>
                </w:tcPr>
                <w:p>
                  <w:pPr>
                    <w:rPr>
                      <w:rFonts w:hint="eastAsia" w:ascii="宋体" w:hAnsi="宋体" w:eastAsia="宋体" w:cs="宋体"/>
                      <w:color w:val="auto"/>
                      <w:sz w:val="21"/>
                      <w:szCs w:val="21"/>
                      <w:highlight w:val="none"/>
                    </w:rPr>
                  </w:pPr>
                  <w:r>
                    <w:rPr>
                      <w:rFonts w:hint="eastAsia" w:ascii="宋体" w:hAnsi="宋体" w:cs="宋体"/>
                      <w:color w:val="auto"/>
                      <w:szCs w:val="21"/>
                    </w:rPr>
                    <w:t>具备</w:t>
                  </w:r>
                </w:p>
              </w:tc>
            </w:tr>
          </w:tbl>
          <w:p>
            <w:pPr>
              <w:spacing w:line="300" w:lineRule="exact"/>
              <w:jc w:val="left"/>
              <w:rPr>
                <w:rFonts w:hint="eastAsia"/>
                <w:color w:val="auto"/>
                <w:lang w:val="en-US" w:eastAsia="zh-CN"/>
              </w:rPr>
            </w:pPr>
          </w:p>
          <w:p>
            <w:pPr>
              <w:spacing w:line="300" w:lineRule="exact"/>
              <w:jc w:val="left"/>
              <w:rPr>
                <w:rFonts w:ascii="Arial" w:hAnsi="Arial" w:cs="Arial"/>
                <w:color w:val="auto"/>
                <w:szCs w:val="21"/>
              </w:rPr>
            </w:pPr>
            <w:r>
              <w:rPr>
                <w:rFonts w:hint="eastAsia"/>
                <w:color w:val="auto"/>
                <w:lang w:val="en-US" w:eastAsia="zh-CN"/>
              </w:rPr>
              <w:t>注：</w:t>
            </w:r>
            <w:r>
              <w:rPr>
                <w:rFonts w:ascii="Arial" w:hAnsi="Arial" w:cs="Arial"/>
                <w:color w:val="auto"/>
                <w:szCs w:val="21"/>
              </w:rPr>
              <w:t>标注“▲”的条款：</w:t>
            </w:r>
          </w:p>
          <w:p>
            <w:pPr>
              <w:spacing w:line="400" w:lineRule="exact"/>
              <w:ind w:firstLine="210" w:firstLineChars="100"/>
              <w:jc w:val="left"/>
              <w:rPr>
                <w:rFonts w:ascii="Arial" w:hAnsi="Arial" w:cs="Arial"/>
                <w:b w:val="0"/>
                <w:bCs w:val="0"/>
                <w:color w:val="auto"/>
                <w:szCs w:val="21"/>
                <w:highlight w:val="none"/>
              </w:rPr>
            </w:pPr>
            <w:r>
              <w:rPr>
                <w:rFonts w:ascii="Arial" w:hAnsi="Arial" w:cs="Arial"/>
                <w:b w:val="0"/>
                <w:bCs w:val="0"/>
                <w:color w:val="auto"/>
                <w:szCs w:val="21"/>
                <w:highlight w:val="none"/>
                <w:u w:val="single"/>
              </w:rPr>
              <w:sym w:font="Wingdings 2" w:char="00A3"/>
            </w:r>
            <w:r>
              <w:rPr>
                <w:rFonts w:ascii="Arial" w:hAnsi="Arial" w:cs="Arial"/>
                <w:b w:val="0"/>
                <w:bCs w:val="0"/>
                <w:color w:val="auto"/>
                <w:szCs w:val="21"/>
                <w:highlight w:val="none"/>
                <w:u w:val="single"/>
              </w:rPr>
              <w:t>否，不需要提供技术支持资料</w:t>
            </w:r>
            <w:r>
              <w:rPr>
                <w:rFonts w:ascii="Arial" w:hAnsi="Arial" w:cs="Arial"/>
                <w:b w:val="0"/>
                <w:bCs w:val="0"/>
                <w:color w:val="auto"/>
                <w:szCs w:val="21"/>
                <w:highlight w:val="none"/>
              </w:rPr>
              <w:t>。</w:t>
            </w:r>
          </w:p>
          <w:p>
            <w:pPr>
              <w:spacing w:line="400" w:lineRule="exact"/>
              <w:ind w:firstLine="211" w:firstLineChars="100"/>
              <w:jc w:val="left"/>
              <w:rPr>
                <w:rFonts w:ascii="Arial" w:hAnsi="Arial" w:cs="Arial"/>
                <w:b/>
                <w:bCs/>
                <w:color w:val="auto"/>
                <w:szCs w:val="21"/>
                <w:highlight w:val="none"/>
                <w:u w:val="single"/>
              </w:rPr>
            </w:pPr>
            <w:r>
              <w:rPr>
                <w:rFonts w:ascii="Arial" w:hAnsi="Arial" w:cs="Arial"/>
                <w:b/>
                <w:bCs/>
                <w:color w:val="auto"/>
                <w:szCs w:val="21"/>
                <w:highlight w:val="none"/>
                <w:u w:val="single"/>
              </w:rPr>
              <w:sym w:font="Wingdings 2" w:char="0052"/>
            </w:r>
            <w:r>
              <w:rPr>
                <w:rFonts w:ascii="Arial" w:hAnsi="Arial" w:cs="Arial"/>
                <w:b/>
                <w:bCs/>
                <w:color w:val="auto"/>
                <w:szCs w:val="21"/>
                <w:highlight w:val="none"/>
                <w:u w:val="single"/>
              </w:rPr>
              <w:t>是，需要提供技术支持资料，应按</w:t>
            </w:r>
            <w:r>
              <w:rPr>
                <w:rFonts w:hint="eastAsia" w:ascii="Arial" w:hAnsi="Arial" w:cs="Arial"/>
                <w:b/>
                <w:bCs/>
                <w:color w:val="auto"/>
                <w:szCs w:val="21"/>
                <w:highlight w:val="none"/>
                <w:u w:val="single"/>
              </w:rPr>
              <w:t>如下任一方式</w:t>
            </w:r>
            <w:r>
              <w:rPr>
                <w:rFonts w:ascii="Arial" w:hAnsi="Arial" w:cs="Arial"/>
                <w:b/>
                <w:bCs/>
                <w:color w:val="auto"/>
                <w:szCs w:val="21"/>
                <w:highlight w:val="none"/>
                <w:u w:val="single"/>
              </w:rPr>
              <w:t>提供。</w:t>
            </w:r>
          </w:p>
          <w:p>
            <w:pPr>
              <w:spacing w:line="400" w:lineRule="exact"/>
              <w:rPr>
                <w:rFonts w:ascii="Arial" w:hAnsi="Arial" w:cs="Arial"/>
                <w:color w:val="auto"/>
                <w:szCs w:val="21"/>
                <w:highlight w:val="none"/>
              </w:rPr>
            </w:pPr>
            <w:r>
              <w:rPr>
                <w:rFonts w:ascii="Arial" w:hAnsi="Arial" w:cs="Arial"/>
                <w:color w:val="auto"/>
                <w:szCs w:val="21"/>
                <w:highlight w:val="none"/>
              </w:rPr>
              <w:t>（1）生产厂家的宣传彩页或官网截图或</w:t>
            </w:r>
            <w:r>
              <w:rPr>
                <w:rFonts w:hint="eastAsia" w:ascii="Arial" w:hAnsi="Arial" w:cs="Arial"/>
                <w:color w:val="auto"/>
                <w:szCs w:val="21"/>
                <w:highlight w:val="none"/>
              </w:rPr>
              <w:t>配置清单</w:t>
            </w:r>
            <w:r>
              <w:rPr>
                <w:rFonts w:ascii="Arial" w:hAnsi="Arial" w:cs="Arial"/>
                <w:color w:val="auto"/>
                <w:szCs w:val="21"/>
                <w:highlight w:val="none"/>
              </w:rPr>
              <w:t>，提供复印件加盖</w:t>
            </w:r>
            <w:r>
              <w:rPr>
                <w:rFonts w:hint="eastAsia" w:ascii="Arial" w:hAnsi="Arial" w:cs="Arial"/>
                <w:color w:val="auto"/>
                <w:szCs w:val="21"/>
                <w:highlight w:val="none"/>
                <w:lang w:eastAsia="zh-CN"/>
              </w:rPr>
              <w:t>投标人</w:t>
            </w:r>
            <w:r>
              <w:rPr>
                <w:rFonts w:ascii="Arial" w:hAnsi="Arial" w:cs="Arial"/>
                <w:color w:val="auto"/>
                <w:szCs w:val="21"/>
                <w:highlight w:val="none"/>
              </w:rPr>
              <w:t>电子签章。</w:t>
            </w:r>
          </w:p>
          <w:p>
            <w:pPr>
              <w:spacing w:line="400" w:lineRule="exact"/>
              <w:rPr>
                <w:rFonts w:ascii="Arial" w:hAnsi="Arial" w:cs="Arial"/>
                <w:color w:val="auto"/>
                <w:szCs w:val="21"/>
                <w:highlight w:val="none"/>
              </w:rPr>
            </w:pPr>
            <w:r>
              <w:rPr>
                <w:rFonts w:ascii="Arial" w:hAnsi="Arial" w:cs="Arial"/>
                <w:color w:val="auto"/>
                <w:szCs w:val="21"/>
                <w:highlight w:val="none"/>
              </w:rPr>
              <w:t>（2）国家认定的第三方认证（检测）机构出具认证证书（检测报告）或国际机构第三方认证报告，提供复印件加盖</w:t>
            </w:r>
            <w:r>
              <w:rPr>
                <w:rFonts w:hint="eastAsia" w:ascii="Arial" w:hAnsi="Arial" w:cs="Arial"/>
                <w:color w:val="auto"/>
                <w:szCs w:val="21"/>
                <w:highlight w:val="none"/>
                <w:lang w:eastAsia="zh-CN"/>
              </w:rPr>
              <w:t>投标人</w:t>
            </w:r>
            <w:r>
              <w:rPr>
                <w:rFonts w:ascii="Arial" w:hAnsi="Arial" w:cs="Arial"/>
                <w:color w:val="auto"/>
                <w:szCs w:val="21"/>
                <w:highlight w:val="none"/>
              </w:rPr>
              <w:t>电子签章。</w:t>
            </w:r>
          </w:p>
          <w:p>
            <w:pPr>
              <w:spacing w:line="360" w:lineRule="auto"/>
              <w:rPr>
                <w:rFonts w:ascii="Arial" w:hAnsi="Arial" w:cs="Arial"/>
                <w:color w:val="auto"/>
                <w:szCs w:val="21"/>
                <w:highlight w:val="none"/>
              </w:rPr>
            </w:pPr>
            <w:r>
              <w:rPr>
                <w:rFonts w:ascii="Arial" w:hAnsi="Arial" w:cs="Arial"/>
                <w:color w:val="auto"/>
                <w:szCs w:val="21"/>
                <w:highlight w:val="none"/>
              </w:rPr>
              <w:t>（3）其他：</w:t>
            </w:r>
            <w:r>
              <w:rPr>
                <w:rFonts w:ascii="Arial" w:hAnsi="Arial" w:cs="Arial"/>
                <w:color w:val="auto"/>
                <w:szCs w:val="21"/>
                <w:highlight w:val="none"/>
                <w:u w:val="single"/>
              </w:rPr>
              <w:t>\</w:t>
            </w:r>
          </w:p>
          <w:p>
            <w:pPr>
              <w:spacing w:line="360" w:lineRule="auto"/>
              <w:rPr>
                <w:rFonts w:hint="default"/>
                <w:color w:val="auto"/>
                <w:lang w:val="en-US" w:eastAsia="zh-CN"/>
              </w:rPr>
            </w:pPr>
            <w:r>
              <w:rPr>
                <w:rFonts w:ascii="Arial" w:hAnsi="Arial" w:cs="Arial"/>
                <w:color w:val="auto"/>
                <w:szCs w:val="21"/>
                <w:highlight w:val="none"/>
              </w:rPr>
              <w:t>注：除以上规定的形式</w:t>
            </w:r>
            <w:r>
              <w:rPr>
                <w:rFonts w:hint="eastAsia" w:ascii="Arial" w:hAnsi="Arial" w:cs="Arial"/>
                <w:color w:val="auto"/>
                <w:szCs w:val="21"/>
                <w:highlight w:val="none"/>
              </w:rPr>
              <w:t>中</w:t>
            </w:r>
            <w:r>
              <w:rPr>
                <w:rFonts w:ascii="Arial" w:hAnsi="Arial" w:cs="Arial"/>
                <w:color w:val="auto"/>
                <w:szCs w:val="21"/>
                <w:highlight w:val="none"/>
              </w:rPr>
              <w:t>所规定的要求提交资料之外，提交其他证明材料视为未提供证明材料。</w:t>
            </w:r>
          </w:p>
        </w:tc>
        <w:tc>
          <w:tcPr>
            <w:tcW w:w="933" w:type="dxa"/>
            <w:tcBorders>
              <w:top w:val="single" w:color="auto" w:sz="4" w:space="0"/>
              <w:left w:val="nil"/>
              <w:bottom w:val="single" w:color="auto" w:sz="4" w:space="0"/>
              <w:right w:val="single" w:color="auto" w:sz="4" w:space="0"/>
            </w:tcBorders>
            <w:noWrap/>
            <w:vAlign w:val="center"/>
          </w:tcPr>
          <w:p>
            <w:pPr>
              <w:pStyle w:val="2"/>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2751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865"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一、</w:t>
            </w:r>
            <w:r>
              <w:rPr>
                <w:rFonts w:hint="eastAsia" w:ascii="宋体" w:hAnsi="宋体" w:cs="宋体"/>
                <w:b/>
                <w:bCs/>
                <w:color w:val="auto"/>
                <w:szCs w:val="21"/>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0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lang w:eastAsia="zh-CN"/>
              </w:rPr>
              <w:t>维保期</w:t>
            </w:r>
          </w:p>
        </w:tc>
        <w:tc>
          <w:tcPr>
            <w:tcW w:w="8559" w:type="dxa"/>
            <w:gridSpan w:val="4"/>
            <w:tcBorders>
              <w:top w:val="single" w:color="auto" w:sz="4" w:space="0"/>
              <w:left w:val="nil"/>
              <w:bottom w:val="single" w:color="auto" w:sz="4" w:space="0"/>
              <w:right w:val="single" w:color="auto" w:sz="4" w:space="0"/>
            </w:tcBorders>
            <w:noWrap/>
            <w:vAlign w:val="center"/>
          </w:tcPr>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1、按国家有关产品“三包”规定执行“三包”，所有货物维保期从最终验收合格之日起计算不少于三年（含三年），如在本分标“技术参数、性能(配置)及要求”有专项要求的，从其规定。</w:t>
            </w:r>
          </w:p>
          <w:p>
            <w:pPr>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2、从通过验收即日起</w:t>
            </w:r>
            <w:r>
              <w:rPr>
                <w:rFonts w:hint="eastAsia" w:asciiTheme="minorEastAsia" w:hAnsiTheme="minorEastAsia" w:eastAsiaTheme="minorEastAsia" w:cstheme="minorEastAsia"/>
                <w:color w:val="auto"/>
                <w:szCs w:val="21"/>
                <w:lang w:eastAsia="zh-CN"/>
              </w:rPr>
              <w:t>维保期</w:t>
            </w:r>
            <w:r>
              <w:rPr>
                <w:rFonts w:hint="eastAsia" w:asciiTheme="minorEastAsia" w:hAnsiTheme="minorEastAsia" w:eastAsiaTheme="minorEastAsia" w:cstheme="minorEastAsia"/>
                <w:color w:val="auto"/>
                <w:szCs w:val="21"/>
              </w:rPr>
              <w:t>内所有由于质量问题导致的软、硬件产品故障以免费保修、免费人工及免费更换备件标准上门服务，并提供终身维护。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0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售后服务要求</w:t>
            </w:r>
          </w:p>
        </w:tc>
        <w:tc>
          <w:tcPr>
            <w:tcW w:w="8559" w:type="dxa"/>
            <w:gridSpan w:val="4"/>
            <w:tcBorders>
              <w:top w:val="single" w:color="auto" w:sz="4" w:space="0"/>
              <w:left w:val="nil"/>
              <w:bottom w:val="single" w:color="auto" w:sz="4" w:space="0"/>
              <w:right w:val="single" w:color="auto" w:sz="4" w:space="0"/>
            </w:tcBorders>
            <w:noWrap/>
            <w:vAlign w:val="center"/>
          </w:tcPr>
          <w:p>
            <w:pPr>
              <w:spacing w:line="3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免费送货上门，免费由技术人员现场安装、调试，并免费培训技术操作人员。安装、调试和培训所需的工具、器材以及系统集成费、差旅费、运费和相关税费，均由成交供应商自理；各项性能指标达到技术要求的，由供需双方共同签字认可，现场验收；提供全套说明书并包括中文操作说明和注意事项。</w:t>
            </w:r>
          </w:p>
          <w:p>
            <w:pPr>
              <w:spacing w:line="3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为甲方提供装机使用培训≥2天，跟进强化培训：1天，维修保养培训：1天。培训人数不少于2人。在投标文件（响应文件）中提供完善的技术培训方案，保证使用人员正常操作设备的各种功能。费用应包含在报价中。</w:t>
            </w:r>
          </w:p>
          <w:p>
            <w:pPr>
              <w:spacing w:line="3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保修期内，设备发生故障时接到通知后30分钟内响应，6小时内到达现场维修，48小时内解决问题；保修期满后，按照保修期内售后服务内容及标准继续提供维保服务，直至甲方确认更换维保单位或设备报废。不能因保修期满而出现缓修、拒修等情况，维修所产生费用由乙方和甲方另行结算。维保金额每年不得超过合同额的10%，维保成本超过该数额的一概由乙方自行承担，项目保修期满后可签订维护和售后服务合同，具体事项以实际谈判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0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bCs/>
                <w:color w:val="auto"/>
                <w:szCs w:val="21"/>
              </w:rPr>
            </w:pPr>
            <w:r>
              <w:rPr>
                <w:rFonts w:hint="eastAsia" w:ascii="宋体" w:hAnsi="宋体" w:cs="宋体"/>
                <w:b/>
                <w:bCs/>
                <w:color w:val="auto"/>
                <w:szCs w:val="21"/>
              </w:rPr>
              <w:t>合同签订时间</w:t>
            </w:r>
          </w:p>
        </w:tc>
        <w:tc>
          <w:tcPr>
            <w:tcW w:w="8559" w:type="dxa"/>
            <w:gridSpan w:val="4"/>
            <w:tcBorders>
              <w:top w:val="single" w:color="auto" w:sz="4" w:space="0"/>
              <w:left w:val="nil"/>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中标人应配合采购人签订合同，签订合同时间原则上最迟不能超过中标通知发出之日起25个自然日。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0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color w:val="auto"/>
                <w:szCs w:val="21"/>
              </w:rPr>
            </w:pPr>
            <w:r>
              <w:rPr>
                <w:rFonts w:hint="eastAsia" w:ascii="宋体" w:hAnsi="宋体" w:cs="宋体"/>
                <w:b/>
                <w:bCs/>
                <w:color w:val="auto"/>
                <w:szCs w:val="21"/>
              </w:rPr>
              <w:t>交货时间及地点</w:t>
            </w:r>
          </w:p>
        </w:tc>
        <w:tc>
          <w:tcPr>
            <w:tcW w:w="8559"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shd w:val="clear" w:color="auto" w:fill="FFFFFF"/>
              <w:kinsoku/>
              <w:overflowPunct/>
              <w:autoSpaceDE/>
              <w:autoSpaceDN/>
              <w:bidi w:val="0"/>
              <w:adjustRightInd/>
              <w:snapToGrid w:val="0"/>
              <w:spacing w:line="360" w:lineRule="exact"/>
              <w:textAlignment w:val="auto"/>
              <w:rPr>
                <w:rFonts w:ascii="宋体" w:hAnsi="宋体" w:cs="宋体"/>
                <w:color w:val="auto"/>
                <w:szCs w:val="21"/>
              </w:rPr>
            </w:pPr>
            <w:r>
              <w:rPr>
                <w:rFonts w:hint="eastAsia" w:ascii="宋体" w:hAnsi="宋体" w:cs="宋体"/>
                <w:color w:val="auto"/>
                <w:szCs w:val="21"/>
              </w:rPr>
              <w:t>交货时间：</w:t>
            </w:r>
            <w:r>
              <w:rPr>
                <w:rFonts w:hint="eastAsia" w:ascii="宋体" w:hAnsi="宋体" w:eastAsia="宋体" w:cs="宋体"/>
                <w:color w:val="auto"/>
                <w:kern w:val="0"/>
                <w:sz w:val="21"/>
                <w:szCs w:val="21"/>
              </w:rPr>
              <w:t>合同签订之日起</w:t>
            </w:r>
            <w:r>
              <w:rPr>
                <w:rFonts w:hint="eastAsia" w:ascii="宋体" w:hAnsi="宋体" w:eastAsia="宋体"/>
                <w:color w:val="auto"/>
                <w:sz w:val="21"/>
                <w:szCs w:val="21"/>
                <w:u w:val="single"/>
              </w:rPr>
              <w:t xml:space="preserve">  </w:t>
            </w:r>
            <w:r>
              <w:rPr>
                <w:rFonts w:hint="eastAsia" w:ascii="宋体" w:hAnsi="宋体"/>
                <w:color w:val="auto"/>
                <w:sz w:val="21"/>
                <w:szCs w:val="21"/>
                <w:u w:val="single"/>
                <w:lang w:val="en-US" w:eastAsia="zh-CN"/>
              </w:rPr>
              <w:t>60</w:t>
            </w:r>
            <w:r>
              <w:rPr>
                <w:rFonts w:hint="eastAsia" w:ascii="宋体" w:hAnsi="宋体" w:eastAsia="宋体"/>
                <w:color w:val="auto"/>
                <w:sz w:val="21"/>
                <w:szCs w:val="21"/>
                <w:u w:val="single"/>
              </w:rPr>
              <w:t xml:space="preserve">  </w:t>
            </w:r>
            <w:r>
              <w:rPr>
                <w:rFonts w:hint="eastAsia" w:ascii="宋体" w:hAnsi="宋体" w:cs="宋体"/>
                <w:color w:val="auto"/>
                <w:kern w:val="0"/>
                <w:sz w:val="21"/>
                <w:szCs w:val="21"/>
                <w:lang w:eastAsia="zh-CN"/>
              </w:rPr>
              <w:t>日历日</w:t>
            </w:r>
            <w:r>
              <w:rPr>
                <w:rFonts w:hint="eastAsia" w:ascii="宋体" w:hAnsi="宋体" w:eastAsia="宋体" w:cs="宋体"/>
                <w:color w:val="auto"/>
                <w:kern w:val="0"/>
                <w:sz w:val="21"/>
                <w:szCs w:val="21"/>
              </w:rPr>
              <w:t>内将货物运至交货地点</w:t>
            </w:r>
            <w:r>
              <w:rPr>
                <w:rFonts w:hint="eastAsia" w:ascii="宋体" w:hAnsi="宋体" w:cs="宋体"/>
                <w:color w:val="auto"/>
                <w:szCs w:val="21"/>
              </w:rPr>
              <w:t>。</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应于货物送至交货地点之日起30</w:t>
            </w:r>
            <w:r>
              <w:rPr>
                <w:rFonts w:hint="eastAsia" w:ascii="宋体" w:hAnsi="宋体" w:cs="宋体"/>
                <w:color w:val="auto"/>
                <w:kern w:val="0"/>
                <w:sz w:val="21"/>
                <w:szCs w:val="21"/>
                <w:lang w:eastAsia="zh-CN"/>
              </w:rPr>
              <w:t>日历日</w:t>
            </w:r>
            <w:r>
              <w:rPr>
                <w:rFonts w:hint="eastAsia" w:ascii="宋体" w:hAnsi="宋体" w:eastAsia="宋体" w:cs="宋体"/>
                <w:bCs/>
                <w:color w:val="auto"/>
                <w:sz w:val="21"/>
                <w:szCs w:val="21"/>
                <w:highlight w:val="none"/>
              </w:rPr>
              <w:t>内完成安装调试完毕且通过验收。若为进口、软件服务、大型、复杂或技术性强的设备，可在</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组建的验收小组同意的情况下，依情况延长至180日历日。</w:t>
            </w:r>
          </w:p>
          <w:p>
            <w:pPr>
              <w:spacing w:line="360" w:lineRule="exact"/>
              <w:rPr>
                <w:rFonts w:ascii="宋体" w:hAnsi="宋体" w:cs="宋体"/>
                <w:color w:val="auto"/>
                <w:szCs w:val="21"/>
              </w:rPr>
            </w:pPr>
            <w:r>
              <w:rPr>
                <w:rFonts w:hint="eastAsia" w:ascii="宋体" w:hAnsi="宋体" w:cs="宋体"/>
                <w:color w:val="auto"/>
                <w:szCs w:val="21"/>
              </w:rPr>
              <w:t>交货地点：</w:t>
            </w:r>
            <w:r>
              <w:rPr>
                <w:rFonts w:hint="eastAsia" w:ascii="宋体" w:hAnsi="宋体" w:cs="宋体"/>
                <w:color w:val="auto"/>
                <w:szCs w:val="21"/>
                <w:lang w:val="en-US" w:eastAsia="zh-CN"/>
              </w:rPr>
              <w:t>广西</w:t>
            </w:r>
            <w:r>
              <w:rPr>
                <w:rFonts w:hint="eastAsia" w:ascii="宋体" w:hAnsi="宋体" w:cs="宋体"/>
                <w:color w:val="auto"/>
                <w:szCs w:val="21"/>
              </w:rPr>
              <w:t>南宁市内采购人指定地点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0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bCs/>
                <w:color w:val="auto"/>
                <w:szCs w:val="21"/>
              </w:rPr>
            </w:pPr>
            <w:r>
              <w:rPr>
                <w:rFonts w:hint="eastAsia" w:ascii="宋体" w:hAnsi="宋体" w:cs="宋体"/>
                <w:b/>
                <w:bCs/>
                <w:color w:val="auto"/>
                <w:szCs w:val="21"/>
              </w:rPr>
              <w:t>付款条件</w:t>
            </w:r>
          </w:p>
        </w:tc>
        <w:tc>
          <w:tcPr>
            <w:tcW w:w="8559"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shd w:val="clear" w:color="auto" w:fill="auto"/>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一、第一期：合同生效以及具备实施条件后10个工作日内采购人向中标人支付合同款的50%做为预付款。</w:t>
            </w:r>
          </w:p>
          <w:p>
            <w:pPr>
              <w:keepNext w:val="0"/>
              <w:keepLines w:val="0"/>
              <w:pageBreakBefore w:val="0"/>
              <w:shd w:val="clear" w:color="auto" w:fill="auto"/>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第二期：全部货物到达指定地点、安装调试并验收合格后，凭双方签署验收合格证，中标人开具全额增值税发票给采购人，采购人支付至总合同金额的95%。</w:t>
            </w:r>
          </w:p>
          <w:p>
            <w:pPr>
              <w:keepNext w:val="0"/>
              <w:keepLines w:val="0"/>
              <w:pageBreakBefore w:val="0"/>
              <w:shd w:val="clear" w:color="auto" w:fill="auto"/>
              <w:kinsoku/>
              <w:wordWrap w:val="0"/>
              <w:overflowPunct/>
              <w:topLinePunct/>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第三期：经采购人验收配套服务符合合同约定，并办理相关确认手续后10个工作日内，采购人支付至总合同金额的100%。</w:t>
            </w:r>
          </w:p>
          <w:p>
            <w:pPr>
              <w:keepNext w:val="0"/>
              <w:keepLines w:val="0"/>
              <w:pageBreakBefore w:val="0"/>
              <w:shd w:val="clear" w:color="auto" w:fill="auto"/>
              <w:kinsoku/>
              <w:wordWrap w:val="0"/>
              <w:overflowPunct/>
              <w:topLinePunct/>
              <w:autoSpaceDE/>
              <w:autoSpaceDN/>
              <w:bidi w:val="0"/>
              <w:adjustRightInd/>
              <w:snapToGrid w:val="0"/>
              <w:spacing w:line="360" w:lineRule="exact"/>
              <w:textAlignment w:val="auto"/>
            </w:pPr>
            <w:r>
              <w:rPr>
                <w:rFonts w:hint="eastAsia" w:ascii="宋体" w:hAnsi="宋体" w:eastAsia="宋体" w:cs="宋体"/>
                <w:color w:val="auto"/>
                <w:sz w:val="21"/>
                <w:szCs w:val="21"/>
                <w:highlight w:val="none"/>
                <w:lang w:val="en-US" w:eastAsia="zh-CN"/>
              </w:rPr>
              <w:t>二、发票要求：付款前中标人必须提供真实、有效、合法的正式发票，如中标人提供虚假发票，除须向采购人补开合法发票外，须赔偿采购人发票票面金额一倍的违约金，且采购人有权终止合同，中标人不得提出异议，因终止合同而产生的一切损失均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0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bCs/>
                <w:color w:val="auto"/>
                <w:szCs w:val="21"/>
              </w:rPr>
            </w:pPr>
            <w:r>
              <w:rPr>
                <w:rFonts w:hint="eastAsia" w:ascii="宋体" w:hAnsi="宋体" w:cs="宋体"/>
                <w:b/>
                <w:bCs/>
                <w:color w:val="auto"/>
                <w:kern w:val="0"/>
                <w:szCs w:val="21"/>
              </w:rPr>
              <w:t>投标报价要求</w:t>
            </w:r>
          </w:p>
        </w:tc>
        <w:tc>
          <w:tcPr>
            <w:tcW w:w="8559" w:type="dxa"/>
            <w:gridSpan w:val="4"/>
            <w:tcBorders>
              <w:top w:val="single" w:color="auto" w:sz="4" w:space="0"/>
              <w:left w:val="nil"/>
              <w:bottom w:val="single" w:color="auto" w:sz="4" w:space="0"/>
              <w:right w:val="single" w:color="auto" w:sz="4" w:space="0"/>
            </w:tcBorders>
            <w:noWrap/>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 xml:space="preserve">投标报价为采购人指定地点的现场交货价，包括但不限于：设备（材料）采购运输及安装（施工）、调试、验收、技术指导、售后服务费，技术规范中特别要求的或出厂标准供应的备品备件（备品备件费）、拆装特殊工具（工具费）和易损件、包装固定费、运输费、运输保险费、税收在内的直至系统运行交付使用的一切全部费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0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cs="宋体"/>
                <w:b/>
                <w:bCs/>
                <w:color w:val="auto"/>
                <w:kern w:val="0"/>
                <w:szCs w:val="21"/>
              </w:rPr>
            </w:pPr>
            <w:r>
              <w:rPr>
                <w:rFonts w:hint="eastAsia" w:ascii="宋体" w:hAnsi="宋体" w:cs="宋体"/>
                <w:b/>
                <w:bCs/>
                <w:color w:val="auto"/>
                <w:kern w:val="0"/>
                <w:szCs w:val="21"/>
                <w:lang w:val="en-US" w:eastAsia="zh-CN"/>
              </w:rPr>
              <w:t>其他</w:t>
            </w:r>
          </w:p>
        </w:tc>
        <w:tc>
          <w:tcPr>
            <w:tcW w:w="8559" w:type="dxa"/>
            <w:gridSpan w:val="4"/>
            <w:tcBorders>
              <w:top w:val="single" w:color="auto" w:sz="4" w:space="0"/>
              <w:left w:val="nil"/>
              <w:bottom w:val="single" w:color="auto" w:sz="4" w:space="0"/>
              <w:right w:val="single" w:color="auto" w:sz="4" w:space="0"/>
            </w:tcBorders>
            <w:noWrap/>
            <w:vAlign w:val="center"/>
          </w:tcPr>
          <w:p>
            <w:pPr>
              <w:widowControl/>
              <w:spacing w:line="360" w:lineRule="exact"/>
              <w:jc w:val="left"/>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供应商必须在</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文件中提供药监按医疗器械管理的整机、配附件、耗材的医疗器械注册证扫描件。</w:t>
            </w:r>
          </w:p>
          <w:p>
            <w:pPr>
              <w:widowControl/>
              <w:spacing w:line="360" w:lineRule="exact"/>
              <w:jc w:val="left"/>
              <w:rPr>
                <w:rFonts w:hint="eastAsia"/>
              </w:rPr>
            </w:pPr>
            <w:r>
              <w:rPr>
                <w:rFonts w:hint="eastAsia" w:ascii="宋体" w:hAnsi="宋体" w:cs="宋体"/>
                <w:color w:val="auto"/>
                <w:kern w:val="0"/>
                <w:szCs w:val="21"/>
                <w:lang w:val="en-US" w:eastAsia="zh-CN"/>
              </w:rPr>
              <w:t>2、</w:t>
            </w:r>
            <w:r>
              <w:rPr>
                <w:rFonts w:hint="eastAsia" w:ascii="宋体" w:hAnsi="宋体" w:cs="宋体"/>
                <w:color w:val="auto"/>
                <w:kern w:val="0"/>
                <w:szCs w:val="21"/>
              </w:rPr>
              <w:t>若采购方新建院区或新增医联体医院，系统部署延伸至新建院区或新增医联体医院，需保证新建院区或新增医联体医院内软件建设标准同原部署院区设计软件标准一致（费用应包含在报价中）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865"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b/>
                <w:bCs/>
                <w:color w:val="auto"/>
                <w:szCs w:val="21"/>
              </w:rPr>
            </w:pPr>
            <w:r>
              <w:rPr>
                <w:rFonts w:hint="eastAsia" w:ascii="宋体" w:hAnsi="宋体" w:cs="宋体"/>
                <w:b/>
                <w:bCs/>
                <w:color w:val="auto"/>
                <w:szCs w:val="21"/>
              </w:rPr>
              <w:t>二、核心产品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865"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exact"/>
              <w:ind w:firstLine="424" w:firstLineChars="202"/>
              <w:rPr>
                <w:rFonts w:ascii="宋体" w:hAnsi="宋体" w:cs="宋体"/>
                <w:b/>
                <w:bCs/>
                <w:color w:val="auto"/>
                <w:szCs w:val="21"/>
              </w:rPr>
            </w:pPr>
            <w:r>
              <w:rPr>
                <w:rFonts w:hint="eastAsia" w:ascii="宋体" w:hAnsi="宋体" w:cs="宋体"/>
                <w:color w:val="auto"/>
                <w:szCs w:val="21"/>
              </w:rPr>
              <w:t>本项目选择</w:t>
            </w:r>
            <w:r>
              <w:rPr>
                <w:rFonts w:hint="eastAsia" w:ascii="宋体" w:hAnsi="宋体" w:cs="宋体"/>
                <w:b/>
                <w:bCs/>
                <w:color w:val="auto"/>
                <w:szCs w:val="21"/>
              </w:rPr>
              <w:t>第</w:t>
            </w:r>
            <w:r>
              <w:rPr>
                <w:rFonts w:hint="eastAsia" w:ascii="宋体" w:hAnsi="宋体" w:cs="宋体"/>
                <w:b/>
                <w:bCs/>
                <w:color w:val="auto"/>
                <w:szCs w:val="21"/>
                <w:u w:val="single"/>
              </w:rPr>
              <w:t>1</w:t>
            </w:r>
            <w:r>
              <w:rPr>
                <w:rFonts w:hint="eastAsia" w:ascii="宋体" w:hAnsi="宋体" w:cs="宋体"/>
                <w:b/>
                <w:bCs/>
                <w:color w:val="auto"/>
                <w:szCs w:val="21"/>
              </w:rPr>
              <w:t>项“</w:t>
            </w:r>
            <w:r>
              <w:rPr>
                <w:rFonts w:hint="eastAsia" w:ascii="宋体" w:hAnsi="宋体"/>
                <w:b/>
                <w:bCs/>
                <w:color w:val="auto"/>
                <w:szCs w:val="21"/>
                <w:lang w:eastAsia="zh-CN"/>
              </w:rPr>
              <w:t>3.0T磁共振成像系统</w:t>
            </w:r>
            <w:r>
              <w:rPr>
                <w:rFonts w:hint="eastAsia" w:ascii="宋体" w:hAnsi="宋体" w:cs="宋体"/>
                <w:b/>
                <w:bCs/>
                <w:color w:val="auto"/>
                <w:szCs w:val="21"/>
              </w:rPr>
              <w:t>”</w:t>
            </w:r>
            <w:r>
              <w:rPr>
                <w:rFonts w:hint="eastAsia" w:ascii="宋体" w:hAnsi="宋体" w:cs="宋体"/>
                <w:color w:val="auto"/>
                <w:szCs w:val="21"/>
              </w:rPr>
              <w:t>作为核心产品。核心产品品牌相同的，视为提供同品牌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865"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b/>
                <w:bCs/>
                <w:color w:val="auto"/>
                <w:szCs w:val="21"/>
              </w:rPr>
              <w:t>三、进口产品说明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0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bCs/>
                <w:color w:val="auto"/>
                <w:szCs w:val="21"/>
              </w:rPr>
            </w:pPr>
            <w:r>
              <w:rPr>
                <w:rFonts w:hint="eastAsia" w:ascii="宋体" w:hAnsi="宋体" w:cs="宋体"/>
                <w:b/>
                <w:bCs/>
                <w:color w:val="auto"/>
                <w:szCs w:val="21"/>
              </w:rPr>
              <w:t>▲进口产品说明</w:t>
            </w:r>
          </w:p>
        </w:tc>
        <w:tc>
          <w:tcPr>
            <w:tcW w:w="8559" w:type="dxa"/>
            <w:gridSpan w:val="4"/>
            <w:tcBorders>
              <w:top w:val="single" w:color="auto" w:sz="4" w:space="0"/>
              <w:left w:val="nil"/>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lang w:eastAsia="zh-CN"/>
              </w:rPr>
              <w:sym w:font="Wingdings 2" w:char="0052"/>
            </w:r>
            <w:r>
              <w:rPr>
                <w:rFonts w:hint="eastAsia" w:ascii="宋体" w:hAnsi="宋体" w:cs="宋体"/>
                <w:color w:val="auto"/>
                <w:szCs w:val="21"/>
              </w:rPr>
              <w:t xml:space="preserve"> 本表的第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1   </w:t>
            </w:r>
            <w:r>
              <w:rPr>
                <w:rFonts w:hint="eastAsia" w:ascii="宋体" w:hAnsi="宋体" w:cs="宋体"/>
                <w:color w:val="auto"/>
                <w:szCs w:val="21"/>
              </w:rPr>
              <w:t>项货物已按规定办妥进口产品采购审核手续，投标产品可选用进口产品；但如选用进口产品时必须为全套全新原装进口产品（即通过中国海关报关验放进入中国境内且产自关境外的产品），要求：①中标人负责办理进口设备的相关手续及承担相关的所有费用（含办理免税证的费用）；②采购人将协助具有进出口业务代理资质的成交人办理上述进口货物的免关税手续，如投标人不具备进出口业务代理资质，则其报价中必须包含关税在内的所有税费。</w:t>
            </w:r>
          </w:p>
          <w:p>
            <w:pPr>
              <w:spacing w:line="360" w:lineRule="exact"/>
              <w:rPr>
                <w:rFonts w:ascii="宋体" w:hAnsi="宋体" w:cs="宋体"/>
                <w:color w:val="auto"/>
                <w:szCs w:val="21"/>
              </w:rPr>
            </w:pPr>
            <w:r>
              <w:rPr>
                <w:rFonts w:hint="eastAsia" w:ascii="宋体" w:hAnsi="宋体" w:cs="宋体"/>
                <w:color w:val="auto"/>
                <w:szCs w:val="21"/>
              </w:rPr>
              <w:t>优先采购向我国企业转让技术、与我国企业签订消化吸收再创新方案的投标人的进口产品。</w:t>
            </w:r>
          </w:p>
          <w:p>
            <w:pPr>
              <w:spacing w:line="360" w:lineRule="exact"/>
              <w:rPr>
                <w:rFonts w:ascii="宋体" w:hAnsi="宋体" w:cs="宋体"/>
                <w:color w:val="auto"/>
                <w:szCs w:val="21"/>
              </w:rPr>
            </w:pPr>
            <w:r>
              <w:rPr>
                <w:rFonts w:hint="eastAsia" w:ascii="宋体" w:hAnsi="宋体" w:cs="宋体"/>
                <w:color w:val="auto"/>
                <w:szCs w:val="21"/>
                <w:lang w:eastAsia="zh-CN"/>
              </w:rPr>
              <w:sym w:font="Wingdings 2" w:char="00A3"/>
            </w:r>
            <w:r>
              <w:rPr>
                <w:rFonts w:hint="eastAsia" w:ascii="宋体" w:hAnsi="宋体" w:cs="宋体"/>
                <w:color w:val="auto"/>
                <w:szCs w:val="21"/>
              </w:rPr>
              <w:t xml:space="preserve"> 本项目货物不接受进口产品（即通过中国海关报关验放进入中国境内且产自关境外的产品）参与投标，</w:t>
            </w:r>
            <w:r>
              <w:rPr>
                <w:rFonts w:hint="eastAsia" w:ascii="宋体" w:hAnsi="宋体" w:cs="宋体"/>
                <w:b/>
                <w:bCs/>
                <w:color w:val="auto"/>
                <w:szCs w:val="21"/>
              </w:rPr>
              <w:t>如有进口产品参与投标的作无效标处理</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865"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cs="宋体"/>
                <w:color w:val="auto"/>
                <w:szCs w:val="21"/>
                <w:lang w:eastAsia="zh-CN"/>
              </w:rPr>
            </w:pPr>
            <w:r>
              <w:rPr>
                <w:rFonts w:hint="eastAsia" w:ascii="宋体" w:hAnsi="宋体" w:cs="宋体"/>
                <w:b/>
                <w:bCs/>
                <w:color w:val="auto"/>
                <w:szCs w:val="21"/>
                <w:lang w:eastAsia="zh-CN"/>
              </w:rPr>
              <w:t>▲四</w:t>
            </w:r>
            <w:r>
              <w:rPr>
                <w:rFonts w:hint="eastAsia" w:ascii="宋体" w:hAnsi="宋体" w:cs="宋体"/>
                <w:b/>
                <w:bCs/>
                <w:color w:val="auto"/>
                <w:szCs w:val="21"/>
              </w:rPr>
              <w:t>、</w:t>
            </w:r>
            <w:r>
              <w:rPr>
                <w:rFonts w:hint="eastAsia" w:ascii="宋体" w:hAnsi="宋体" w:cs="宋体"/>
                <w:b/>
                <w:bCs/>
                <w:color w:val="auto"/>
                <w:szCs w:val="21"/>
                <w:lang w:eastAsia="zh-CN"/>
              </w:rPr>
              <w:t>其他</w:t>
            </w:r>
            <w:r>
              <w:rPr>
                <w:rFonts w:hint="eastAsia" w:ascii="宋体" w:hAnsi="宋体" w:cs="宋体"/>
                <w:b/>
                <w:bCs/>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865"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val="0"/>
              <w:overflowPunct/>
              <w:topLinePunct/>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1、为了防止虚假应标，项目中标结果公示期间，若有异议，招标方有权要求拟中标投标方提供所投产品以供测试，确保功能参数要求均可满足；若测试达不到应答指标，以虚假应标论处。</w:t>
            </w:r>
          </w:p>
          <w:p>
            <w:pPr>
              <w:spacing w:line="360" w:lineRule="exact"/>
              <w:rPr>
                <w:rFonts w:hint="eastAsia" w:ascii="宋体" w:hAnsi="宋体" w:cs="宋体"/>
                <w:b/>
                <w:bCs/>
                <w:color w:val="auto"/>
                <w:szCs w:val="21"/>
                <w:lang w:eastAsia="zh-CN"/>
              </w:rPr>
            </w:pPr>
            <w:r>
              <w:rPr>
                <w:rFonts w:hint="eastAsia" w:ascii="宋体" w:hAnsi="宋体" w:eastAsia="宋体" w:cs="宋体"/>
                <w:sz w:val="21"/>
                <w:szCs w:val="21"/>
                <w:highlight w:val="none"/>
              </w:rPr>
              <w:t>2、投标人所提供的仪器、设备、资料等主要货物均必须符合国家相关行业强制性标准。</w:t>
            </w:r>
          </w:p>
        </w:tc>
      </w:tr>
    </w:tbl>
    <w:p>
      <w:pPr>
        <w:spacing w:line="428" w:lineRule="exact"/>
        <w:ind w:left="119"/>
        <w:rPr>
          <w:rFonts w:ascii="宋体" w:hAnsi="宋体" w:cs="宋体"/>
          <w:color w:val="auto"/>
          <w:sz w:val="32"/>
          <w:szCs w:val="32"/>
        </w:rPr>
      </w:pPr>
      <w:r>
        <w:rPr>
          <w:rFonts w:hint="eastAsia" w:ascii="宋体" w:hAnsi="宋体" w:cs="宋体"/>
          <w:color w:val="auto"/>
        </w:rPr>
        <w:br w:type="page"/>
      </w:r>
      <w:r>
        <w:rPr>
          <w:rFonts w:hint="eastAsia" w:ascii="宋体" w:hAnsi="宋体" w:cs="宋体"/>
          <w:color w:val="auto"/>
          <w:sz w:val="32"/>
          <w:szCs w:val="32"/>
        </w:rPr>
        <w:t>附件1：</w:t>
      </w:r>
    </w:p>
    <w:p>
      <w:pPr>
        <w:widowControl/>
        <w:spacing w:beforeLines="50" w:afterLines="50" w:line="280" w:lineRule="exact"/>
        <w:jc w:val="center"/>
        <w:rPr>
          <w:rFonts w:ascii="宋体" w:hAnsi="宋体" w:cs="宋体"/>
          <w:b/>
          <w:bCs/>
          <w:color w:val="auto"/>
          <w:kern w:val="0"/>
          <w:sz w:val="30"/>
          <w:szCs w:val="30"/>
        </w:rPr>
      </w:pPr>
      <w:bookmarkStart w:id="61" w:name="_Toc28361_WPSOffice_Level2"/>
      <w:r>
        <w:rPr>
          <w:rFonts w:hint="eastAsia" w:ascii="宋体" w:hAnsi="宋体" w:cs="宋体"/>
          <w:b/>
          <w:bCs/>
          <w:color w:val="auto"/>
          <w:kern w:val="0"/>
          <w:sz w:val="30"/>
          <w:szCs w:val="30"/>
        </w:rPr>
        <w:t>统计上大中小微型企业划分标准</w:t>
      </w:r>
      <w:bookmarkEnd w:id="61"/>
    </w:p>
    <w:tbl>
      <w:tblPr>
        <w:tblStyle w:val="24"/>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blHeader/>
          <w:jc w:val="center"/>
        </w:trPr>
        <w:tc>
          <w:tcPr>
            <w:tcW w:w="2113" w:type="dxa"/>
            <w:noWrap/>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p>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noWrap/>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noWrap/>
            <w:vAlign w:val="center"/>
          </w:tcPr>
          <w:p>
            <w:pPr>
              <w:widowControl/>
              <w:spacing w:line="280" w:lineRule="exact"/>
              <w:jc w:val="left"/>
              <w:rPr>
                <w:rFonts w:ascii="宋体" w:hAnsi="宋体" w:cs="宋体"/>
                <w:color w:val="auto"/>
                <w:spacing w:val="-12"/>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noWrap/>
            <w:vAlign w:val="center"/>
          </w:tcPr>
          <w:p>
            <w:pPr>
              <w:widowControl/>
              <w:spacing w:line="280" w:lineRule="exact"/>
              <w:jc w:val="left"/>
              <w:rPr>
                <w:rFonts w:ascii="宋体" w:hAnsi="宋体" w:cs="宋体"/>
                <w:color w:val="auto"/>
                <w:kern w:val="0"/>
                <w:sz w:val="18"/>
                <w:szCs w:val="18"/>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noWrap/>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280" w:lineRule="exact"/>
        <w:rPr>
          <w:rFonts w:ascii="宋体" w:hAnsi="宋体" w:cs="宋体"/>
          <w:color w:val="auto"/>
          <w:spacing w:val="8"/>
          <w:kern w:val="0"/>
          <w:sz w:val="24"/>
        </w:rPr>
      </w:pPr>
    </w:p>
    <w:p>
      <w:pPr>
        <w:widowControl/>
        <w:rPr>
          <w:rFonts w:ascii="宋体" w:hAnsi="宋体" w:cs="宋体"/>
          <w:color w:val="auto"/>
          <w:kern w:val="0"/>
          <w:szCs w:val="21"/>
        </w:rPr>
      </w:pPr>
      <w:r>
        <w:rPr>
          <w:rFonts w:hint="eastAsia" w:ascii="宋体" w:hAnsi="宋体" w:cs="宋体"/>
          <w:color w:val="auto"/>
          <w:kern w:val="0"/>
          <w:szCs w:val="21"/>
        </w:rPr>
        <w:t>说明：</w:t>
      </w:r>
    </w:p>
    <w:p>
      <w:pPr>
        <w:pStyle w:val="14"/>
        <w:adjustRightInd w:val="0"/>
        <w:ind w:firstLine="420" w:firstLineChars="200"/>
        <w:contextualSpacing/>
        <w:rPr>
          <w:rFonts w:hAnsi="宋体" w:cs="宋体"/>
          <w:color w:val="auto"/>
          <w:kern w:val="0"/>
          <w:szCs w:val="21"/>
        </w:rPr>
      </w:pPr>
      <w:r>
        <w:rPr>
          <w:rFonts w:hint="eastAsia" w:hAnsi="宋体" w:cs="宋体"/>
          <w:color w:val="auto"/>
          <w:kern w:val="0"/>
          <w:szCs w:val="21"/>
        </w:rPr>
        <w:t>1.大型、中型和小型企业须同时满足所列指标的下限，否则下划一档。微型企业只须满足所列指标中的一项即可。</w:t>
      </w:r>
    </w:p>
    <w:p>
      <w:pPr>
        <w:pStyle w:val="14"/>
        <w:adjustRightInd w:val="0"/>
        <w:ind w:firstLine="420" w:firstLineChars="200"/>
        <w:contextualSpacing/>
        <w:rPr>
          <w:rFonts w:hAnsi="宋体" w:cs="宋体"/>
          <w:color w:val="auto"/>
          <w:kern w:val="0"/>
          <w:szCs w:val="21"/>
        </w:rPr>
      </w:pPr>
      <w:r>
        <w:rPr>
          <w:rFonts w:hint="eastAsia" w:hAnsi="宋体" w:cs="宋体"/>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4"/>
        <w:ind w:firstLine="420" w:firstLineChars="200"/>
        <w:rPr>
          <w:rFonts w:hAnsi="宋体" w:cs="宋体"/>
          <w:color w:val="auto"/>
          <w:kern w:val="0"/>
          <w:sz w:val="24"/>
          <w:szCs w:val="24"/>
        </w:rPr>
      </w:pPr>
      <w:r>
        <w:rPr>
          <w:rFonts w:hint="eastAsia" w:hAnsi="宋体" w:cs="宋体"/>
          <w:color w:val="auto"/>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4"/>
        <w:jc w:val="center"/>
        <w:outlineLvl w:val="0"/>
        <w:rPr>
          <w:rFonts w:hAnsi="宋体" w:cs="宋体"/>
          <w:b/>
          <w:color w:val="auto"/>
          <w:sz w:val="36"/>
          <w:szCs w:val="36"/>
        </w:rPr>
      </w:pPr>
      <w:r>
        <w:rPr>
          <w:rFonts w:hint="eastAsia" w:hAnsi="宋体" w:cs="宋体"/>
          <w:color w:val="auto"/>
          <w:szCs w:val="21"/>
        </w:rPr>
        <w:br w:type="page"/>
      </w:r>
      <w:bookmarkStart w:id="62" w:name="_Toc5641"/>
      <w:bookmarkStart w:id="63" w:name="_Toc9505"/>
      <w:bookmarkStart w:id="64" w:name="_Toc5815"/>
      <w:bookmarkStart w:id="65" w:name="_Toc532545044"/>
      <w:bookmarkStart w:id="66" w:name="_Toc15229"/>
      <w:r>
        <w:rPr>
          <w:rFonts w:hint="eastAsia" w:hAnsi="宋体" w:cs="宋体"/>
          <w:b/>
          <w:color w:val="auto"/>
          <w:sz w:val="36"/>
        </w:rPr>
        <w:t>第三章  投标人须知</w:t>
      </w:r>
      <w:bookmarkEnd w:id="62"/>
      <w:bookmarkEnd w:id="63"/>
      <w:bookmarkEnd w:id="64"/>
      <w:bookmarkEnd w:id="65"/>
      <w:bookmarkEnd w:id="66"/>
    </w:p>
    <w:p>
      <w:pPr>
        <w:pStyle w:val="14"/>
        <w:spacing w:line="720" w:lineRule="auto"/>
        <w:jc w:val="center"/>
        <w:outlineLvl w:val="1"/>
        <w:rPr>
          <w:rFonts w:hAnsi="宋体" w:cs="宋体"/>
          <w:b/>
          <w:color w:val="auto"/>
          <w:sz w:val="30"/>
          <w:szCs w:val="30"/>
        </w:rPr>
      </w:pPr>
      <w:bookmarkStart w:id="67" w:name="_Toc2967"/>
      <w:bookmarkStart w:id="68" w:name="_Toc992"/>
      <w:bookmarkStart w:id="69" w:name="_Toc28990"/>
      <w:bookmarkStart w:id="70" w:name="_Toc20955"/>
      <w:r>
        <w:rPr>
          <w:rFonts w:hint="eastAsia" w:hAnsi="宋体" w:cs="宋体"/>
          <w:b/>
          <w:color w:val="auto"/>
          <w:sz w:val="30"/>
          <w:szCs w:val="30"/>
        </w:rPr>
        <w:t>第一节 投标人须知前附表</w:t>
      </w:r>
      <w:bookmarkEnd w:id="67"/>
      <w:bookmarkEnd w:id="68"/>
      <w:bookmarkEnd w:id="69"/>
      <w:bookmarkEnd w:id="70"/>
    </w:p>
    <w:tbl>
      <w:tblPr>
        <w:tblStyle w:val="24"/>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条款号</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项目内容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3</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9"/>
              <w:spacing w:line="360" w:lineRule="exact"/>
              <w:jc w:val="both"/>
              <w:rPr>
                <w:rFonts w:ascii="宋体" w:hAnsi="宋体" w:cs="宋体"/>
                <w:color w:val="auto"/>
                <w:szCs w:val="21"/>
                <w:lang w:val="en-US" w:eastAsia="zh-CN"/>
              </w:rPr>
            </w:pPr>
            <w:r>
              <w:rPr>
                <w:rFonts w:hint="eastAsia" w:ascii="宋体" w:hAnsi="宋体" w:cs="宋体"/>
                <w:color w:val="auto"/>
                <w:szCs w:val="21"/>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6.1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bookmarkStart w:id="71" w:name="_5"/>
            <w:bookmarkEnd w:id="71"/>
            <w:bookmarkStart w:id="72" w:name="_9.2"/>
            <w:bookmarkEnd w:id="72"/>
            <w:bookmarkStart w:id="73" w:name="_8.1"/>
            <w:bookmarkEnd w:id="73"/>
            <w:r>
              <w:rPr>
                <w:rFonts w:hint="eastAsia" w:ascii="宋体" w:hAnsi="宋体" w:cs="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9"/>
              <w:spacing w:line="360" w:lineRule="exact"/>
              <w:jc w:val="both"/>
              <w:rPr>
                <w:rFonts w:ascii="宋体" w:hAnsi="宋体" w:cs="宋体"/>
                <w:color w:val="auto"/>
                <w:szCs w:val="21"/>
                <w:lang w:val="en-US" w:eastAsia="zh-CN"/>
              </w:rPr>
            </w:pPr>
            <w:bookmarkStart w:id="74" w:name="PO_3000001867_PM007_1"/>
            <w:r>
              <w:rPr>
                <w:rFonts w:hint="eastAsia" w:ascii="宋体" w:hAnsi="宋体" w:cs="宋体"/>
                <w:color w:val="auto"/>
                <w:szCs w:val="21"/>
                <w:lang w:val="en-US" w:eastAsia="zh-CN"/>
              </w:rPr>
              <w:t>详见招标公告</w:t>
            </w:r>
            <w:bookmarkEnd w:id="74"/>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6.2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联合体投标要求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r>
              <w:rPr>
                <w:rFonts w:hint="eastAsia" w:ascii="宋体" w:hAnsi="宋体" w:cs="Arial"/>
                <w:color w:val="auto"/>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7.2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是否允许分包</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color w:val="auto"/>
                <w:szCs w:val="21"/>
              </w:rPr>
            </w:pPr>
            <w:bookmarkStart w:id="75" w:name="PO_3000001871_PM044"/>
            <w:bookmarkStart w:id="76" w:name="PO_3000001867_PM044"/>
            <w:r>
              <w:rPr>
                <w:rFonts w:hint="eastAsia" w:ascii="宋体" w:hAnsi="宋体" w:cs="宋体"/>
                <w:color w:val="auto"/>
                <w:szCs w:val="21"/>
                <w:lang w:eastAsia="zh-CN"/>
              </w:rPr>
              <w:sym w:font="Wingdings 2" w:char="0052"/>
            </w:r>
            <w:r>
              <w:rPr>
                <w:rFonts w:hint="eastAsia" w:ascii="宋体" w:hAnsi="宋体" w:cs="宋体"/>
                <w:color w:val="auto"/>
                <w:szCs w:val="21"/>
              </w:rPr>
              <w:t>不允许分包</w:t>
            </w:r>
            <w:bookmarkEnd w:id="75"/>
            <w:r>
              <w:rPr>
                <w:rFonts w:hint="eastAsia" w:ascii="宋体" w:hAnsi="宋体" w:cs="宋体"/>
                <w:color w:val="auto"/>
                <w:szCs w:val="21"/>
              </w:rPr>
              <w:t>。</w:t>
            </w:r>
          </w:p>
          <w:p>
            <w:pPr>
              <w:pStyle w:val="9"/>
              <w:spacing w:line="360" w:lineRule="exact"/>
              <w:rPr>
                <w:rFonts w:ascii="宋体" w:hAnsi="宋体" w:cs="宋体"/>
                <w:color w:val="auto"/>
                <w:szCs w:val="21"/>
                <w:lang w:val="en-US" w:eastAsia="zh-CN"/>
              </w:rPr>
            </w:pPr>
            <w:r>
              <w:rPr>
                <w:rFonts w:hint="eastAsia" w:ascii="宋体" w:hAnsi="宋体" w:cs="宋体"/>
                <w:color w:val="auto"/>
                <w:szCs w:val="21"/>
                <w:lang w:val="en-US" w:eastAsia="zh-CN"/>
              </w:rPr>
              <w:t>□允许分包：</w:t>
            </w:r>
          </w:p>
          <w:bookmarkEnd w:id="76"/>
          <w:p>
            <w:pPr>
              <w:pStyle w:val="9"/>
              <w:spacing w:line="360" w:lineRule="exact"/>
              <w:rPr>
                <w:rFonts w:ascii="宋体" w:hAnsi="宋体" w:cs="宋体"/>
                <w:color w:val="auto"/>
                <w:szCs w:val="21"/>
                <w:lang w:val="en-US" w:eastAsia="zh-CN"/>
              </w:rPr>
            </w:pPr>
            <w:r>
              <w:rPr>
                <w:rFonts w:hint="eastAsia" w:ascii="宋体" w:hAnsi="宋体" w:cs="宋体"/>
                <w:color w:val="auto"/>
                <w:szCs w:val="21"/>
                <w:lang w:val="en-US" w:eastAsia="zh-CN"/>
              </w:rPr>
              <w:t>分包内容：</w:t>
            </w:r>
            <w:r>
              <w:rPr>
                <w:rFonts w:hint="eastAsia" w:ascii="宋体" w:hAnsi="宋体" w:cs="宋体"/>
                <w:color w:val="auto"/>
                <w:szCs w:val="21"/>
                <w:u w:val="single"/>
                <w:lang w:val="en-US" w:eastAsia="zh-CN"/>
              </w:rPr>
              <w:t xml:space="preserve">                                     。</w:t>
            </w:r>
          </w:p>
          <w:p>
            <w:pPr>
              <w:pStyle w:val="9"/>
              <w:spacing w:line="360" w:lineRule="exact"/>
              <w:rPr>
                <w:rFonts w:ascii="宋体" w:hAnsi="宋体" w:cs="宋体"/>
                <w:color w:val="auto"/>
                <w:szCs w:val="21"/>
                <w:lang w:val="en-US" w:eastAsia="zh-CN"/>
              </w:rPr>
            </w:pPr>
            <w:r>
              <w:rPr>
                <w:rFonts w:hint="eastAsia" w:ascii="宋体" w:hAnsi="宋体" w:cs="宋体"/>
                <w:color w:val="auto"/>
                <w:szCs w:val="21"/>
                <w:lang w:val="en-US" w:eastAsia="zh-CN"/>
              </w:rPr>
              <w:t>分包金额或者比例：</w:t>
            </w:r>
            <w:r>
              <w:rPr>
                <w:rFonts w:hint="eastAsia" w:ascii="宋体" w:hAnsi="宋体" w:cs="宋体"/>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10" w:hRule="atLeast"/>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8.4</w:t>
            </w:r>
          </w:p>
        </w:tc>
        <w:tc>
          <w:tcPr>
            <w:tcW w:w="2083" w:type="dxa"/>
            <w:vMerge w:val="restart"/>
            <w:tcBorders>
              <w:top w:val="single" w:color="auto" w:sz="4" w:space="0"/>
              <w:left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提供相同品牌产品且通过资格审查、符合性审查的不同投标人参加同一合同项下投标的获得参加评标资格的投标人或获得中标人推荐资格的确定方式</w:t>
            </w:r>
          </w:p>
        </w:tc>
        <w:tc>
          <w:tcPr>
            <w:tcW w:w="7297" w:type="dxa"/>
            <w:vMerge w:val="restart"/>
            <w:tcBorders>
              <w:top w:val="single" w:color="auto" w:sz="4" w:space="0"/>
              <w:left w:val="single" w:color="auto" w:sz="4" w:space="0"/>
              <w:right w:val="single" w:color="auto" w:sz="4" w:space="0"/>
            </w:tcBorders>
            <w:noWrap/>
            <w:vAlign w:val="center"/>
          </w:tcPr>
          <w:p>
            <w:pPr>
              <w:pStyle w:val="14"/>
              <w:spacing w:line="360" w:lineRule="auto"/>
              <w:rPr>
                <w:rFonts w:hAnsi="宋体" w:cs="宋体"/>
                <w:color w:val="auto"/>
                <w:szCs w:val="21"/>
                <w:lang w:val="en-US" w:eastAsia="zh-CN"/>
              </w:rPr>
            </w:pPr>
            <w:r>
              <w:rPr>
                <w:rFonts w:hint="eastAsia" w:hAnsi="宋体" w:cs="宋体"/>
                <w:color w:val="auto"/>
                <w:szCs w:val="21"/>
                <w:lang w:val="en-US" w:eastAsia="zh-CN"/>
              </w:rPr>
              <w:t>□随机抽取（采用最低评标价法，投标报价相同时；采用综合评分法，评审得分相同时。）</w:t>
            </w:r>
          </w:p>
          <w:p>
            <w:pPr>
              <w:pStyle w:val="14"/>
              <w:spacing w:line="360" w:lineRule="auto"/>
              <w:rPr>
                <w:rFonts w:hAnsi="宋体" w:cs="宋体"/>
                <w:color w:val="auto"/>
                <w:szCs w:val="21"/>
                <w:lang w:val="en-US" w:eastAsia="zh-CN"/>
              </w:rPr>
            </w:pPr>
            <w:r>
              <w:rPr>
                <w:rFonts w:hint="eastAsia" w:hAnsi="宋体" w:cs="宋体"/>
                <w:color w:val="auto"/>
                <w:szCs w:val="21"/>
                <w:lang w:val="en-US" w:eastAsia="zh-CN"/>
              </w:rPr>
              <w:t>□其他方式：</w:t>
            </w:r>
          </w:p>
          <w:p>
            <w:pPr>
              <w:pStyle w:val="14"/>
              <w:spacing w:line="360" w:lineRule="auto"/>
              <w:rPr>
                <w:rFonts w:hAnsi="宋体" w:cs="宋体"/>
                <w:color w:val="auto"/>
                <w:lang w:val="en-US" w:eastAsia="zh-CN"/>
              </w:rPr>
            </w:pPr>
            <w:r>
              <w:rPr>
                <w:rFonts w:hint="eastAsia" w:hAnsi="宋体" w:cs="宋体"/>
                <w:color w:val="auto"/>
                <w:szCs w:val="21"/>
                <w:lang w:val="en-US" w:eastAsia="zh-CN"/>
              </w:rPr>
              <w:sym w:font="Wingdings 2" w:char="0052"/>
            </w:r>
            <w:r>
              <w:rPr>
                <w:rFonts w:hint="eastAsia" w:hAnsi="宋体" w:cs="宋体"/>
                <w:b/>
                <w:bCs/>
                <w:color w:val="auto"/>
                <w:szCs w:val="21"/>
                <w:lang w:val="en-US" w:eastAsia="zh-CN"/>
              </w:rPr>
              <w:t>采用综合评分法，</w:t>
            </w:r>
            <w:r>
              <w:rPr>
                <w:rFonts w:hint="eastAsia" w:hAnsi="宋体" w:cs="宋体"/>
                <w:color w:val="auto"/>
                <w:szCs w:val="21"/>
                <w:lang w:val="en-US" w:eastAsia="zh-CN"/>
              </w:rPr>
              <w:t>评审得分相同的，以投标报价由低到高顺序排列。得分相同且投标报价相同的，依次按技术评分高优先、商务评分高优先、主要技术指标优为先顺序排列，</w:t>
            </w:r>
            <w:r>
              <w:rPr>
                <w:rFonts w:hint="eastAsia" w:hAnsi="宋体" w:cs="宋体"/>
                <w:color w:val="auto"/>
                <w:lang w:val="en-US" w:eastAsia="zh-CN"/>
              </w:rPr>
              <w:t>均相同时，由采购人随机抽取。</w:t>
            </w:r>
          </w:p>
          <w:p>
            <w:pPr>
              <w:pStyle w:val="14"/>
              <w:spacing w:line="360" w:lineRule="auto"/>
              <w:rPr>
                <w:rFonts w:hAnsi="宋体" w:cs="宋体"/>
                <w:color w:val="auto"/>
                <w:szCs w:val="21"/>
                <w:lang w:val="en-US" w:eastAsia="zh-CN"/>
              </w:rPr>
            </w:pPr>
            <w:r>
              <w:rPr>
                <w:rFonts w:hint="eastAsia" w:hAnsi="宋体" w:cs="宋体"/>
                <w:color w:val="auto"/>
                <w:szCs w:val="21"/>
                <w:lang w:val="en-US" w:eastAsia="zh-CN"/>
              </w:rPr>
              <w:t>□</w:t>
            </w:r>
            <w:r>
              <w:rPr>
                <w:rFonts w:hint="eastAsia" w:hAnsi="宋体" w:cs="宋体"/>
                <w:b/>
                <w:bCs/>
                <w:color w:val="auto"/>
                <w:szCs w:val="21"/>
                <w:lang w:val="en-US" w:eastAsia="zh-CN"/>
              </w:rPr>
              <w:t>采用最低评标价法，</w:t>
            </w:r>
            <w:r>
              <w:rPr>
                <w:rFonts w:hint="eastAsia" w:hAnsi="宋体" w:cs="宋体"/>
                <w:color w:val="auto"/>
                <w:szCs w:val="21"/>
                <w:lang w:val="en-US" w:eastAsia="zh-CN"/>
              </w:rPr>
              <w:t>投标总报价相同时，由采购人随机抽取。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8" w:hRule="atLeast"/>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8.5</w:t>
            </w:r>
          </w:p>
        </w:tc>
        <w:tc>
          <w:tcPr>
            <w:tcW w:w="2083" w:type="dxa"/>
            <w:vMerge w:val="continue"/>
            <w:tcBorders>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p>
        </w:tc>
        <w:tc>
          <w:tcPr>
            <w:tcW w:w="7297" w:type="dxa"/>
            <w:vMerge w:val="continue"/>
            <w:tcBorders>
              <w:left w:val="single" w:color="auto" w:sz="4" w:space="0"/>
              <w:bottom w:val="single" w:color="auto" w:sz="4" w:space="0"/>
              <w:right w:val="single" w:color="auto" w:sz="4" w:space="0"/>
            </w:tcBorders>
            <w:noWrap/>
            <w:vAlign w:val="center"/>
          </w:tcPr>
          <w:p>
            <w:pPr>
              <w:pStyle w:val="9"/>
              <w:spacing w:line="360" w:lineRule="exact"/>
              <w:rPr>
                <w:rFonts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11.4</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与本项目相关的政府采购业务澄清、更正及与之相关的事项将在招标公告中“六、其他补充事宜”中网上查询地址上发布</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11.5</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lang w:eastAsia="zh-CN"/>
              </w:rPr>
              <w:sym w:font="Wingdings 2" w:char="0052"/>
            </w:r>
            <w:r>
              <w:rPr>
                <w:rFonts w:hint="eastAsia" w:ascii="宋体" w:hAnsi="宋体" w:cs="宋体"/>
                <w:color w:val="auto"/>
                <w:szCs w:val="21"/>
              </w:rPr>
              <w:t>不组织召开开标前答疑会</w:t>
            </w:r>
          </w:p>
          <w:p>
            <w:pPr>
              <w:snapToGrid w:val="0"/>
              <w:spacing w:line="360" w:lineRule="exact"/>
              <w:rPr>
                <w:rFonts w:ascii="宋体" w:hAnsi="宋体" w:cs="宋体"/>
                <w:color w:val="auto"/>
                <w:szCs w:val="21"/>
              </w:rPr>
            </w:pPr>
            <w:r>
              <w:rPr>
                <w:rFonts w:hint="eastAsia" w:ascii="宋体" w:hAnsi="宋体" w:cs="宋体"/>
                <w:color w:val="auto"/>
                <w:szCs w:val="21"/>
              </w:rPr>
              <w:t>□组织召开开标前答疑会</w:t>
            </w:r>
          </w:p>
          <w:p>
            <w:pPr>
              <w:snapToGrid w:val="0"/>
              <w:spacing w:line="360" w:lineRule="exact"/>
              <w:rPr>
                <w:rFonts w:ascii="宋体" w:hAnsi="宋体" w:cs="宋体"/>
                <w:color w:val="auto"/>
                <w:szCs w:val="21"/>
                <w:u w:val="single"/>
              </w:rPr>
            </w:pPr>
            <w:r>
              <w:rPr>
                <w:rFonts w:hint="eastAsia" w:ascii="宋体" w:hAnsi="宋体" w:cs="宋体"/>
                <w:color w:val="auto"/>
                <w:szCs w:val="21"/>
              </w:rPr>
              <w:t>会议开始时间：年月日 时</w:t>
            </w:r>
            <w:r>
              <w:rPr>
                <w:rFonts w:hint="eastAsia" w:ascii="宋体" w:hAnsi="宋体" w:cs="宋体"/>
                <w:color w:val="auto"/>
                <w:szCs w:val="21"/>
                <w:u w:val="single"/>
              </w:rPr>
              <w:t xml:space="preserve">  分</w:t>
            </w:r>
            <w:r>
              <w:rPr>
                <w:rFonts w:hint="eastAsia" w:ascii="宋体" w:hAnsi="宋体" w:cs="宋体"/>
                <w:color w:val="auto"/>
                <w:szCs w:val="21"/>
              </w:rPr>
              <w:t>，逾期后果自负。会议地点：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nil"/>
              <w:left w:val="single" w:color="auto" w:sz="4" w:space="0"/>
              <w:bottom w:val="nil"/>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13.1</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rPr>
            </w:pPr>
            <w:bookmarkStart w:id="77" w:name="_13.2"/>
            <w:bookmarkEnd w:id="77"/>
            <w:r>
              <w:rPr>
                <w:rFonts w:hint="eastAsia" w:ascii="宋体" w:hAnsi="宋体" w:cs="宋体"/>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rPr>
            </w:pPr>
            <w:r>
              <w:rPr>
                <w:rFonts w:hint="eastAsia" w:ascii="宋体" w:hAnsi="宋体" w:cs="宋体"/>
                <w:color w:val="auto"/>
                <w:szCs w:val="21"/>
              </w:rPr>
              <w:t>1、投标人为法人或者其他组织的，提供营业执照复印件等证明文件（如营业执照或者事业单位法人证书或者</w:t>
            </w:r>
            <w:r>
              <w:rPr>
                <w:rStyle w:val="40"/>
                <w:rFonts w:hint="eastAsia"/>
                <w:color w:val="auto"/>
                <w:sz w:val="21"/>
                <w:szCs w:val="21"/>
              </w:rPr>
              <w:t>执业许可证</w:t>
            </w:r>
            <w:r>
              <w:rPr>
                <w:rFonts w:hint="eastAsia" w:ascii="宋体" w:hAnsi="宋体" w:cs="宋体"/>
                <w:color w:val="auto"/>
                <w:szCs w:val="21"/>
              </w:rPr>
              <w:t>等），投标人为自然人的，提供有效身份证正反面复印件。（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ascii="宋体" w:hAnsi="宋体" w:eastAsia="宋体" w:cs="宋体"/>
                <w:color w:val="auto"/>
                <w:szCs w:val="21"/>
                <w:u w:val="none"/>
              </w:rPr>
            </w:pPr>
            <w:r>
              <w:rPr>
                <w:rFonts w:hint="eastAsia" w:ascii="宋体" w:hAnsi="宋体" w:eastAsia="宋体" w:cs="宋体"/>
                <w:color w:val="auto"/>
                <w:szCs w:val="21"/>
              </w:rPr>
              <w:t>2、投标人依法缴纳税收的相关材料</w:t>
            </w:r>
            <w:r>
              <w:rPr>
                <w:rFonts w:hint="eastAsia" w:ascii="宋体" w:hAnsi="宋体" w:eastAsia="宋体" w:cs="宋体"/>
                <w:color w:val="auto"/>
                <w:szCs w:val="21"/>
                <w:u w:val="none"/>
              </w:rPr>
              <w:t>（提供税款所属时期为</w:t>
            </w:r>
            <w:r>
              <w:rPr>
                <w:rFonts w:hint="eastAsia" w:ascii="宋体" w:hAnsi="宋体" w:eastAsia="宋体" w:cs="宋体"/>
                <w:color w:val="auto"/>
                <w:szCs w:val="21"/>
                <w:u w:val="none"/>
                <w:lang w:val="en-US" w:eastAsia="zh-CN"/>
              </w:rPr>
              <w:t>2023</w:t>
            </w:r>
            <w:r>
              <w:rPr>
                <w:rFonts w:hint="eastAsia" w:ascii="宋体" w:hAnsi="宋体" w:eastAsia="宋体" w:cs="宋体"/>
                <w:color w:val="auto"/>
                <w:szCs w:val="21"/>
                <w:u w:val="none"/>
              </w:rPr>
              <w:t>年</w:t>
            </w:r>
            <w:r>
              <w:rPr>
                <w:rFonts w:hint="eastAsia" w:ascii="宋体" w:hAnsi="宋体" w:eastAsia="宋体" w:cs="宋体"/>
                <w:color w:val="auto"/>
                <w:szCs w:val="21"/>
                <w:u w:val="none"/>
                <w:lang w:val="en-US" w:eastAsia="zh-CN"/>
              </w:rPr>
              <w:t>1</w:t>
            </w:r>
            <w:r>
              <w:rPr>
                <w:rFonts w:hint="eastAsia" w:ascii="宋体" w:hAnsi="宋体" w:eastAsia="宋体" w:cs="宋体"/>
                <w:color w:val="auto"/>
                <w:szCs w:val="21"/>
                <w:u w:val="none"/>
              </w:rPr>
              <w:t>月至投标文件提交截止时间止的任意</w:t>
            </w:r>
            <w:r>
              <w:rPr>
                <w:rFonts w:hint="eastAsia" w:ascii="宋体" w:hAnsi="宋体" w:eastAsia="宋体" w:cs="宋体"/>
                <w:color w:val="auto"/>
                <w:szCs w:val="21"/>
                <w:u w:val="none"/>
                <w:lang w:val="en-US" w:eastAsia="zh-CN"/>
              </w:rPr>
              <w:t>3</w:t>
            </w:r>
            <w:r>
              <w:rPr>
                <w:rFonts w:hint="eastAsia" w:ascii="宋体" w:hAnsi="宋体" w:eastAsia="宋体" w:cs="宋体"/>
                <w:color w:val="auto"/>
                <w:szCs w:val="21"/>
                <w:u w:val="none"/>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u w:val="none"/>
              </w:rPr>
              <w:t>必须提供，否则作无效投标处理</w:t>
            </w:r>
            <w:r>
              <w:rPr>
                <w:rFonts w:hint="eastAsia" w:ascii="宋体" w:hAnsi="宋体" w:eastAsia="宋体" w:cs="宋体"/>
                <w:color w:val="auto"/>
                <w:szCs w:val="21"/>
                <w:u w:val="none"/>
              </w:rPr>
              <w:t>）</w:t>
            </w:r>
          </w:p>
          <w:p>
            <w:pPr>
              <w:snapToGrid w:val="0"/>
              <w:spacing w:line="360" w:lineRule="exact"/>
              <w:jc w:val="left"/>
              <w:rPr>
                <w:rFonts w:ascii="宋体" w:hAnsi="宋体" w:cs="宋体"/>
                <w:color w:val="auto"/>
                <w:szCs w:val="21"/>
              </w:rPr>
            </w:pPr>
            <w:r>
              <w:rPr>
                <w:rFonts w:hint="eastAsia" w:ascii="宋体" w:hAnsi="宋体" w:eastAsia="宋体" w:cs="宋体"/>
                <w:color w:val="auto"/>
                <w:szCs w:val="21"/>
              </w:rPr>
              <w:t>3、投标人依法缴纳社会保障资金的相关材料（提供税款所属时期或缴费起始时间为</w:t>
            </w:r>
            <w:r>
              <w:rPr>
                <w:rFonts w:hint="eastAsia" w:ascii="宋体" w:hAnsi="宋体" w:eastAsia="宋体" w:cs="宋体"/>
                <w:color w:val="auto"/>
                <w:szCs w:val="21"/>
                <w:lang w:val="en-US" w:eastAsia="zh-CN"/>
              </w:rPr>
              <w:t>2023</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月至投标文件提交截止时间止的任意3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pPr>
              <w:snapToGrid w:val="0"/>
              <w:spacing w:line="360" w:lineRule="exact"/>
              <w:jc w:val="left"/>
              <w:rPr>
                <w:rFonts w:ascii="宋体" w:hAnsi="宋体" w:cs="宋体"/>
                <w:color w:val="auto"/>
                <w:szCs w:val="21"/>
              </w:rPr>
            </w:pPr>
            <w:r>
              <w:rPr>
                <w:rFonts w:hint="eastAsia" w:ascii="宋体" w:hAnsi="宋体" w:cs="宋体"/>
                <w:color w:val="auto"/>
                <w:szCs w:val="21"/>
              </w:rPr>
              <w:t>4、投标人财务状况报告（提供2022年度经审计的财务报告复印件或者截标时间前半年内至少一个月能反映财务状况的报表或者投标人自拟的截标时间前半年内至少一个月的财务情况说明）。（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声明函</w:t>
            </w:r>
            <w:r>
              <w:rPr>
                <w:rFonts w:hint="eastAsia" w:ascii="宋体" w:hAnsi="宋体" w:cs="宋体"/>
                <w:color w:val="auto"/>
                <w:szCs w:val="21"/>
              </w:rPr>
              <w:t>（格式后附）。（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r>
              <w:rPr>
                <w:rFonts w:hint="eastAsia" w:ascii="宋体" w:hAnsi="宋体"/>
                <w:color w:val="auto"/>
                <w:szCs w:val="21"/>
              </w:rPr>
              <w:t>本项目的特定资格要求</w:t>
            </w:r>
            <w:r>
              <w:rPr>
                <w:rFonts w:hint="eastAsia" w:ascii="宋体" w:hAnsi="宋体"/>
                <w:color w:val="auto"/>
                <w:szCs w:val="21"/>
                <w:lang w:val="en-US" w:eastAsia="zh-CN"/>
              </w:rPr>
              <w:t>材料</w:t>
            </w:r>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r>
              <w:rPr>
                <w:rFonts w:hint="eastAsia" w:ascii="宋体" w:hAnsi="宋体"/>
                <w:color w:val="auto"/>
                <w:szCs w:val="21"/>
                <w:lang w:eastAsia="zh-CN"/>
              </w:rPr>
              <w:t>：</w:t>
            </w:r>
            <w:r>
              <w:rPr>
                <w:rFonts w:hint="eastAsia" w:ascii="宋体" w:hAnsi="宋体" w:eastAsia="宋体" w:cs="Times New Roman"/>
                <w:color w:val="auto"/>
                <w:szCs w:val="21"/>
                <w:highlight w:val="none"/>
                <w:lang w:val="en-US" w:eastAsia="zh-CN"/>
              </w:rPr>
              <w:t>投标人的</w:t>
            </w:r>
            <w:r>
              <w:rPr>
                <w:rFonts w:hint="eastAsia" w:ascii="宋体" w:hAnsi="宋体" w:eastAsia="宋体" w:cs="Times New Roman"/>
                <w:color w:val="auto"/>
                <w:szCs w:val="21"/>
                <w:highlight w:val="none"/>
              </w:rPr>
              <w:t>国家主管部门颁发的《医疗器械经营企业许可证》（如</w:t>
            </w:r>
            <w:r>
              <w:rPr>
                <w:rFonts w:hint="eastAsia" w:ascii="宋体" w:hAnsi="宋体" w:eastAsia="宋体" w:cs="Times New Roman"/>
                <w:color w:val="auto"/>
                <w:szCs w:val="21"/>
                <w:highlight w:val="none"/>
                <w:lang w:val="en-US" w:eastAsia="zh-CN"/>
              </w:rPr>
              <w:t>投标人</w:t>
            </w:r>
            <w:r>
              <w:rPr>
                <w:rFonts w:hint="eastAsia" w:ascii="宋体" w:hAnsi="宋体" w:eastAsia="宋体" w:cs="Times New Roman"/>
                <w:color w:val="auto"/>
                <w:szCs w:val="21"/>
                <w:highlight w:val="none"/>
              </w:rPr>
              <w:t>为代理经销商），或</w:t>
            </w:r>
            <w:r>
              <w:rPr>
                <w:rFonts w:hint="eastAsia" w:ascii="宋体" w:hAnsi="宋体" w:eastAsia="宋体" w:cs="Times New Roman"/>
                <w:color w:val="auto"/>
                <w:szCs w:val="21"/>
                <w:highlight w:val="none"/>
                <w:lang w:val="en-US" w:eastAsia="zh-CN"/>
              </w:rPr>
              <w:t>投标人的</w:t>
            </w:r>
            <w:r>
              <w:rPr>
                <w:rFonts w:hint="eastAsia" w:ascii="宋体" w:hAnsi="宋体" w:eastAsia="宋体" w:cs="Times New Roman"/>
                <w:color w:val="auto"/>
                <w:szCs w:val="21"/>
                <w:highlight w:val="none"/>
              </w:rPr>
              <w:t>《医疗器械生产企业许可证》（如</w:t>
            </w:r>
            <w:r>
              <w:rPr>
                <w:rFonts w:hint="eastAsia" w:ascii="宋体" w:hAnsi="宋体" w:eastAsia="宋体" w:cs="Times New Roman"/>
                <w:color w:val="auto"/>
                <w:szCs w:val="21"/>
                <w:highlight w:val="none"/>
                <w:lang w:val="en-US" w:eastAsia="zh-CN"/>
              </w:rPr>
              <w:t>投标人</w:t>
            </w:r>
            <w:r>
              <w:rPr>
                <w:rFonts w:hint="eastAsia" w:ascii="宋体" w:hAnsi="宋体" w:eastAsia="宋体" w:cs="Times New Roman"/>
                <w:color w:val="auto"/>
                <w:szCs w:val="21"/>
                <w:highlight w:val="none"/>
              </w:rPr>
              <w:t>为制造商）。</w:t>
            </w:r>
          </w:p>
          <w:p>
            <w:pPr>
              <w:snapToGrid w:val="0"/>
              <w:spacing w:line="360" w:lineRule="exact"/>
              <w:jc w:val="left"/>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、联合体投标协议书（格式后附）。（</w:t>
            </w:r>
            <w:r>
              <w:rPr>
                <w:rFonts w:hint="eastAsia" w:ascii="宋体" w:hAnsi="宋体" w:cs="宋体"/>
                <w:b/>
                <w:color w:val="auto"/>
                <w:szCs w:val="21"/>
              </w:rPr>
              <w:t>联合体投标时必须提供，否则作无效投标处理</w:t>
            </w:r>
            <w:r>
              <w:rPr>
                <w:rFonts w:hint="eastAsia" w:ascii="宋体" w:hAnsi="宋体" w:cs="宋体"/>
                <w:color w:val="auto"/>
                <w:szCs w:val="21"/>
              </w:rPr>
              <w:t>）</w:t>
            </w:r>
          </w:p>
          <w:p>
            <w:pPr>
              <w:snapToGrid w:val="0"/>
              <w:spacing w:line="360" w:lineRule="exact"/>
              <w:jc w:val="left"/>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、除招标文件规定必须提供以外，投标人认为需要提供的其他证明材料（格式自拟）。</w:t>
            </w:r>
          </w:p>
          <w:p>
            <w:pPr>
              <w:snapToGrid w:val="0"/>
              <w:spacing w:line="360" w:lineRule="exact"/>
              <w:jc w:val="left"/>
              <w:rPr>
                <w:rFonts w:ascii="宋体" w:hAnsi="宋体" w:cs="宋体"/>
                <w:b/>
                <w:color w:val="auto"/>
                <w:szCs w:val="21"/>
              </w:rPr>
            </w:pPr>
            <w:r>
              <w:rPr>
                <w:rFonts w:hint="eastAsia" w:ascii="宋体" w:hAnsi="宋体" w:cs="宋体"/>
                <w:b/>
                <w:bCs/>
                <w:color w:val="auto"/>
                <w:szCs w:val="21"/>
              </w:rPr>
              <w:t>注：1.以上标明“必须提供”的材料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p>
          <w:p>
            <w:pPr>
              <w:snapToGrid w:val="0"/>
              <w:spacing w:line="360" w:lineRule="exact"/>
              <w:ind w:firstLine="422" w:firstLineChars="200"/>
              <w:jc w:val="left"/>
              <w:rPr>
                <w:rFonts w:ascii="宋体" w:hAnsi="宋体" w:cs="宋体"/>
                <w:b/>
                <w:bCs/>
                <w:color w:val="auto"/>
                <w:szCs w:val="21"/>
              </w:rPr>
            </w:pPr>
            <w:r>
              <w:rPr>
                <w:rFonts w:hint="eastAsia" w:ascii="宋体" w:hAnsi="宋体" w:cs="宋体"/>
                <w:b/>
                <w:color w:val="auto"/>
                <w:szCs w:val="21"/>
              </w:rPr>
              <w:t>2</w:t>
            </w:r>
            <w:r>
              <w:rPr>
                <w:rFonts w:hint="eastAsia" w:ascii="宋体" w:hAnsi="宋体" w:cs="宋体"/>
                <w:b/>
                <w:bCs/>
                <w:color w:val="auto"/>
                <w:szCs w:val="21"/>
              </w:rPr>
              <w:t>.联合体投标时，第1-</w:t>
            </w:r>
            <w:r>
              <w:rPr>
                <w:rFonts w:hint="eastAsia" w:ascii="宋体" w:hAnsi="宋体" w:cs="宋体"/>
                <w:b/>
                <w:bCs/>
                <w:color w:val="auto"/>
                <w:szCs w:val="21"/>
                <w:lang w:val="en-US" w:eastAsia="zh-CN"/>
              </w:rPr>
              <w:t>6</w:t>
            </w:r>
            <w:r>
              <w:rPr>
                <w:rFonts w:hint="eastAsia" w:ascii="宋体" w:hAnsi="宋体" w:cs="宋体"/>
                <w:b/>
                <w:bCs/>
                <w:color w:val="auto"/>
                <w:szCs w:val="21"/>
              </w:rPr>
              <w:t>项资格证明文件联合体各方均必须分别提供，联合体各方分别盖章和签字，否则投标文件作无效投标处理。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nil"/>
              <w:left w:val="single" w:color="auto" w:sz="4" w:space="0"/>
              <w:bottom w:val="nil"/>
              <w:right w:val="single" w:color="auto" w:sz="4" w:space="0"/>
            </w:tcBorders>
            <w:noWrap/>
            <w:vAlign w:val="center"/>
          </w:tcPr>
          <w:p>
            <w:pPr>
              <w:spacing w:line="360" w:lineRule="exac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rPr>
            </w:pPr>
            <w:bookmarkStart w:id="78" w:name="_13.3"/>
            <w:bookmarkEnd w:id="78"/>
            <w:r>
              <w:rPr>
                <w:rFonts w:hint="eastAsia" w:ascii="宋体" w:hAnsi="宋体" w:cs="宋体"/>
                <w:color w:val="auto"/>
                <w:szCs w:val="21"/>
              </w:rPr>
              <w:t>商务文件组成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rPr>
            </w:pPr>
            <w:r>
              <w:rPr>
                <w:rFonts w:hint="eastAsia" w:ascii="宋体" w:hAnsi="宋体" w:cs="宋体"/>
                <w:color w:val="auto"/>
                <w:szCs w:val="21"/>
              </w:rPr>
              <w:t>1、无串通投标行为的承诺函（格式后附）。（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委托时必须提供，否则作无效投标处理</w:t>
            </w:r>
            <w:r>
              <w:rPr>
                <w:rFonts w:hint="eastAsia" w:ascii="宋体" w:hAnsi="宋体" w:cs="宋体"/>
                <w:color w:val="auto"/>
                <w:szCs w:val="21"/>
              </w:rPr>
              <w:t>）</w:t>
            </w:r>
          </w:p>
          <w:p>
            <w:pPr>
              <w:snapToGrid w:val="0"/>
              <w:spacing w:line="360" w:lineRule="exact"/>
              <w:jc w:val="left"/>
              <w:rPr>
                <w:rFonts w:ascii="宋体" w:hAnsi="宋体" w:cs="宋体"/>
                <w:b/>
                <w:color w:val="auto"/>
                <w:szCs w:val="21"/>
              </w:rPr>
            </w:pPr>
            <w:r>
              <w:rPr>
                <w:rFonts w:hint="eastAsia" w:ascii="宋体" w:hAnsi="宋体" w:cs="宋体"/>
                <w:color w:val="auto"/>
                <w:szCs w:val="21"/>
              </w:rPr>
              <w:t>4、投标保证金提交凭证。</w:t>
            </w:r>
            <w:r>
              <w:rPr>
                <w:rFonts w:hint="eastAsia" w:ascii="宋体" w:hAnsi="宋体" w:cs="宋体"/>
                <w:b/>
                <w:color w:val="auto"/>
                <w:szCs w:val="21"/>
              </w:rPr>
              <w:t>（如有要求，则必须提供，否则作无效投标处理）</w:t>
            </w:r>
          </w:p>
          <w:p>
            <w:pPr>
              <w:snapToGrid w:val="0"/>
              <w:spacing w:line="360" w:lineRule="exact"/>
              <w:jc w:val="left"/>
              <w:rPr>
                <w:rFonts w:ascii="宋体" w:hAnsi="宋体" w:cs="宋体"/>
                <w:color w:val="auto"/>
                <w:szCs w:val="21"/>
              </w:rPr>
            </w:pPr>
            <w:r>
              <w:rPr>
                <w:rFonts w:hint="eastAsia" w:ascii="宋体" w:hAnsi="宋体" w:cs="宋体"/>
                <w:color w:val="auto"/>
                <w:szCs w:val="21"/>
              </w:rPr>
              <w:t>5、商务条款偏离表（格式后附）。（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ascii="宋体" w:hAnsi="宋体" w:cs="宋体"/>
                <w:color w:val="auto"/>
                <w:szCs w:val="21"/>
              </w:rPr>
            </w:pPr>
            <w:r>
              <w:rPr>
                <w:rFonts w:hint="eastAsia" w:ascii="宋体" w:hAnsi="宋体" w:cs="宋体"/>
                <w:color w:val="auto"/>
                <w:szCs w:val="21"/>
              </w:rPr>
              <w:t>6、投标人情况介绍（格式自拟）。</w:t>
            </w:r>
          </w:p>
          <w:p>
            <w:pPr>
              <w:snapToGrid w:val="0"/>
              <w:spacing w:line="360" w:lineRule="exact"/>
              <w:jc w:val="left"/>
              <w:rPr>
                <w:rFonts w:ascii="宋体" w:hAnsi="宋体" w:cs="宋体"/>
                <w:color w:val="auto"/>
                <w:szCs w:val="21"/>
              </w:rPr>
            </w:pPr>
            <w:r>
              <w:rPr>
                <w:rFonts w:hint="eastAsia" w:ascii="宋体" w:hAnsi="宋体" w:cs="宋体"/>
                <w:color w:val="auto"/>
                <w:szCs w:val="21"/>
              </w:rPr>
              <w:t>7、除招标文件规定必须提供以外，投标人认为需要提供的其他证明材料（格式自拟）。（投标人根据“第二章 采购需求”及“第四章 评标方法和评标标准”提供有关证明材料）。</w:t>
            </w:r>
          </w:p>
          <w:p>
            <w:pPr>
              <w:snapToGrid w:val="0"/>
              <w:spacing w:line="360" w:lineRule="exact"/>
              <w:jc w:val="left"/>
              <w:rPr>
                <w:rFonts w:ascii="宋体" w:hAnsi="宋体" w:cs="宋体"/>
                <w:b/>
                <w:bCs/>
                <w:color w:val="auto"/>
                <w:szCs w:val="21"/>
              </w:rPr>
            </w:pPr>
            <w:r>
              <w:rPr>
                <w:rFonts w:hint="eastAsia" w:ascii="宋体" w:hAnsi="宋体" w:cs="宋体"/>
                <w:b/>
                <w:bCs/>
                <w:color w:val="auto"/>
                <w:szCs w:val="21"/>
              </w:rPr>
              <w:t>注：1.法定代表人授权委托书必须由法定代表人及委托代理人签字，并加盖投标人公章，否则作无效投标处理。</w:t>
            </w:r>
          </w:p>
          <w:p>
            <w:pPr>
              <w:snapToGrid w:val="0"/>
              <w:spacing w:line="360" w:lineRule="exact"/>
              <w:ind w:firstLine="422" w:firstLineChars="200"/>
              <w:jc w:val="left"/>
              <w:rPr>
                <w:rFonts w:ascii="宋体" w:hAnsi="宋体" w:cs="宋体"/>
                <w:b/>
                <w:color w:val="auto"/>
                <w:szCs w:val="21"/>
              </w:rPr>
            </w:pPr>
            <w:r>
              <w:rPr>
                <w:rFonts w:hint="eastAsia" w:ascii="宋体" w:hAnsi="宋体" w:cs="宋体"/>
                <w:b/>
                <w:bCs/>
                <w:color w:val="auto"/>
                <w:szCs w:val="21"/>
              </w:rPr>
              <w:t>2.以上标明“必须提供”的材料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vMerge w:val="restart"/>
            <w:tcBorders>
              <w:top w:val="nil"/>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rPr>
            </w:pPr>
            <w:bookmarkStart w:id="79" w:name="_13.4"/>
            <w:bookmarkEnd w:id="79"/>
            <w:r>
              <w:rPr>
                <w:rFonts w:hint="eastAsia" w:ascii="宋体" w:hAnsi="宋体" w:cs="宋体"/>
                <w:color w:val="auto"/>
                <w:szCs w:val="21"/>
              </w:rPr>
              <w:t>技术文件组成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rPr>
            </w:pPr>
            <w:r>
              <w:rPr>
                <w:rFonts w:hint="eastAsia" w:ascii="宋体" w:hAnsi="宋体" w:cs="宋体"/>
                <w:color w:val="auto"/>
                <w:szCs w:val="21"/>
              </w:rPr>
              <w:t>1、技术需求偏离表（格式后附）。（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pPr>
              <w:snapToGrid w:val="0"/>
              <w:spacing w:line="360" w:lineRule="exact"/>
              <w:jc w:val="left"/>
              <w:rPr>
                <w:rFonts w:ascii="宋体" w:hAnsi="宋体" w:cs="宋体"/>
                <w:b/>
                <w:i/>
                <w:iCs/>
                <w:color w:val="auto"/>
                <w:szCs w:val="21"/>
              </w:rPr>
            </w:pPr>
            <w:r>
              <w:rPr>
                <w:rFonts w:hint="eastAsia" w:ascii="宋体" w:hAnsi="宋体" w:cs="宋体"/>
                <w:color w:val="auto"/>
                <w:szCs w:val="21"/>
              </w:rPr>
              <w:t>2、项目实施方案（包括但不限于拟投入实施人员、售后服务承诺、技术培训等）（格式自拟）。</w:t>
            </w:r>
          </w:p>
          <w:p>
            <w:pPr>
              <w:snapToGrid w:val="0"/>
              <w:spacing w:line="360" w:lineRule="exact"/>
              <w:jc w:val="left"/>
              <w:rPr>
                <w:rFonts w:ascii="宋体" w:hAnsi="宋体" w:cs="宋体"/>
                <w:color w:val="auto"/>
                <w:szCs w:val="21"/>
              </w:rPr>
            </w:pPr>
            <w:r>
              <w:rPr>
                <w:rFonts w:hint="eastAsia" w:ascii="宋体" w:hAnsi="宋体" w:cs="宋体"/>
                <w:color w:val="auto"/>
                <w:szCs w:val="21"/>
              </w:rPr>
              <w:t>3、投标产品技术证明资料（包括但不限于投标产品说明书、出厂标准、质量检测报告等）（格式自拟）。</w:t>
            </w:r>
          </w:p>
          <w:p>
            <w:pPr>
              <w:tabs>
                <w:tab w:val="center" w:pos="4153"/>
                <w:tab w:val="right" w:pos="8306"/>
              </w:tabs>
              <w:spacing w:line="360" w:lineRule="exact"/>
              <w:rPr>
                <w:rFonts w:ascii="宋体" w:hAnsi="宋体" w:cs="宋体"/>
                <w:color w:val="auto"/>
                <w:szCs w:val="21"/>
              </w:rPr>
            </w:pPr>
            <w:r>
              <w:rPr>
                <w:rFonts w:hint="eastAsia" w:ascii="宋体" w:hAnsi="宋体" w:cs="宋体"/>
                <w:color w:val="auto"/>
                <w:szCs w:val="21"/>
              </w:rPr>
              <w:t>4、投标产品销售业绩或使用情况及证明资料（格式自拟）。</w:t>
            </w:r>
          </w:p>
          <w:p>
            <w:pPr>
              <w:snapToGrid w:val="0"/>
              <w:spacing w:line="360" w:lineRule="exact"/>
              <w:jc w:val="left"/>
              <w:rPr>
                <w:rFonts w:ascii="宋体" w:hAnsi="宋体" w:cs="宋体"/>
                <w:color w:val="auto"/>
                <w:szCs w:val="21"/>
              </w:rPr>
            </w:pPr>
            <w:r>
              <w:rPr>
                <w:rFonts w:hint="eastAsia" w:ascii="宋体" w:hAnsi="宋体" w:cs="宋体"/>
                <w:color w:val="auto"/>
                <w:szCs w:val="21"/>
              </w:rPr>
              <w:t>5、优惠条件：投标人承诺给予招标人的各种优惠条件，包括售后服务、备品备件、专用耗材等方面的优惠。投标人不得给予赠品或者与采购无关的其他商品、服务（格式自拟）。</w:t>
            </w:r>
          </w:p>
          <w:p>
            <w:pPr>
              <w:snapToGrid w:val="0"/>
              <w:spacing w:line="360" w:lineRule="exact"/>
              <w:jc w:val="left"/>
              <w:rPr>
                <w:rFonts w:ascii="宋体" w:hAnsi="宋体" w:cs="宋体"/>
                <w:color w:val="auto"/>
                <w:szCs w:val="21"/>
              </w:rPr>
            </w:pPr>
            <w:r>
              <w:rPr>
                <w:rFonts w:hint="eastAsia" w:ascii="宋体" w:hAnsi="宋体" w:cs="宋体"/>
                <w:color w:val="auto"/>
                <w:szCs w:val="21"/>
              </w:rPr>
              <w:t>6、投标人对本项目的合理化建议（格式自拟）。</w:t>
            </w:r>
          </w:p>
          <w:p>
            <w:pPr>
              <w:snapToGrid w:val="0"/>
              <w:spacing w:line="360" w:lineRule="exact"/>
              <w:jc w:val="left"/>
              <w:rPr>
                <w:rFonts w:ascii="宋体" w:hAnsi="宋体" w:cs="宋体"/>
                <w:bCs/>
                <w:color w:val="auto"/>
                <w:szCs w:val="21"/>
              </w:rPr>
            </w:pPr>
            <w:r>
              <w:rPr>
                <w:rFonts w:hint="eastAsia" w:ascii="宋体" w:hAnsi="宋体" w:cs="宋体"/>
                <w:color w:val="auto"/>
                <w:szCs w:val="21"/>
              </w:rPr>
              <w:t>7、除招标文件规定必须提供以外，投标人需要说明的其他文件和说明（格式自拟）。</w:t>
            </w:r>
          </w:p>
          <w:p>
            <w:pPr>
              <w:snapToGrid w:val="0"/>
              <w:spacing w:line="360" w:lineRule="exact"/>
              <w:jc w:val="left"/>
              <w:rPr>
                <w:rFonts w:ascii="宋体" w:hAnsi="宋体" w:cs="宋体"/>
                <w:b/>
                <w:bCs/>
                <w:color w:val="auto"/>
                <w:szCs w:val="21"/>
              </w:rPr>
            </w:pPr>
            <w:r>
              <w:rPr>
                <w:rFonts w:hint="eastAsia" w:ascii="宋体" w:hAnsi="宋体" w:cs="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vMerge w:val="continue"/>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rPr>
            </w:pPr>
            <w:r>
              <w:rPr>
                <w:rFonts w:hint="eastAsia" w:ascii="宋体" w:hAnsi="宋体" w:cs="宋体"/>
                <w:color w:val="auto"/>
                <w:szCs w:val="21"/>
              </w:rPr>
              <w:t>报价文件组成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tabs>
                <w:tab w:val="left" w:pos="459"/>
              </w:tabs>
              <w:snapToGrid w:val="0"/>
              <w:spacing w:line="360" w:lineRule="exact"/>
              <w:jc w:val="left"/>
              <w:rPr>
                <w:rFonts w:ascii="宋体" w:hAnsi="宋体" w:cs="宋体"/>
                <w:b/>
                <w:color w:val="auto"/>
                <w:szCs w:val="21"/>
              </w:rPr>
            </w:pPr>
            <w:r>
              <w:rPr>
                <w:rFonts w:hint="eastAsia" w:ascii="宋体" w:hAnsi="宋体" w:cs="宋体"/>
                <w:color w:val="auto"/>
                <w:szCs w:val="21"/>
              </w:rPr>
              <w:t>1、投标函（格式后附）。</w:t>
            </w:r>
            <w:r>
              <w:rPr>
                <w:rFonts w:hint="eastAsia" w:ascii="宋体" w:hAnsi="宋体" w:cs="宋体"/>
                <w:b/>
                <w:color w:val="auto"/>
                <w:szCs w:val="21"/>
              </w:rPr>
              <w:t>（必须提供，否则作无效投标处理）</w:t>
            </w:r>
          </w:p>
          <w:p>
            <w:pPr>
              <w:tabs>
                <w:tab w:val="left" w:pos="459"/>
              </w:tabs>
              <w:snapToGrid w:val="0"/>
              <w:spacing w:line="360" w:lineRule="exact"/>
              <w:jc w:val="left"/>
              <w:rPr>
                <w:rFonts w:hint="eastAsia" w:ascii="宋体" w:hAnsi="宋体" w:cs="宋体"/>
                <w:color w:val="auto"/>
                <w:szCs w:val="21"/>
              </w:rPr>
            </w:pPr>
            <w:r>
              <w:rPr>
                <w:rFonts w:hint="eastAsia" w:ascii="宋体" w:hAnsi="宋体" w:cs="宋体"/>
                <w:color w:val="auto"/>
                <w:szCs w:val="21"/>
              </w:rPr>
              <w:t>2、开标一览表（格式后附）。（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pPr>
              <w:tabs>
                <w:tab w:val="left" w:pos="459"/>
              </w:tabs>
              <w:snapToGrid w:val="0"/>
              <w:spacing w:line="360" w:lineRule="exact"/>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bookmarkStart w:id="279" w:name="_GoBack"/>
            <w:r>
              <w:rPr>
                <w:rFonts w:hint="eastAsia" w:ascii="宋体" w:hAnsi="宋体" w:eastAsia="宋体" w:cs="宋体"/>
                <w:color w:val="auto"/>
                <w:szCs w:val="21"/>
                <w:lang w:val="en-US" w:eastAsia="zh-CN"/>
              </w:rPr>
              <w:t>投标</w:t>
            </w:r>
            <w:r>
              <w:rPr>
                <w:rFonts w:hint="eastAsia" w:ascii="宋体" w:hAnsi="宋体" w:eastAsia="宋体" w:cs="宋体"/>
                <w:color w:val="auto"/>
                <w:szCs w:val="21"/>
              </w:rPr>
              <w:t>报价明细表</w:t>
            </w:r>
            <w:bookmarkEnd w:id="279"/>
            <w:r>
              <w:rPr>
                <w:rFonts w:hint="eastAsia" w:ascii="宋体" w:hAnsi="宋体" w:eastAsia="宋体" w:cs="宋体"/>
                <w:color w:val="auto"/>
                <w:szCs w:val="21"/>
              </w:rPr>
              <w:t>（格式后附）。（</w:t>
            </w:r>
            <w:r>
              <w:rPr>
                <w:rFonts w:hint="eastAsia" w:ascii="宋体" w:hAnsi="宋体" w:eastAsia="宋体" w:cs="宋体"/>
                <w:b/>
                <w:bCs/>
                <w:color w:val="auto"/>
                <w:szCs w:val="21"/>
              </w:rPr>
              <w:t>必须提供，否则作无效投标处理</w:t>
            </w:r>
            <w:r>
              <w:rPr>
                <w:rFonts w:hint="eastAsia" w:ascii="宋体" w:hAnsi="宋体" w:eastAsia="宋体" w:cs="宋体"/>
                <w:color w:val="auto"/>
                <w:szCs w:val="21"/>
              </w:rPr>
              <w:t>）</w:t>
            </w:r>
          </w:p>
          <w:p>
            <w:pPr>
              <w:tabs>
                <w:tab w:val="left" w:pos="459"/>
              </w:tabs>
              <w:snapToGrid w:val="0"/>
              <w:spacing w:line="360" w:lineRule="exact"/>
              <w:jc w:val="left"/>
              <w:rPr>
                <w:rFonts w:ascii="宋体" w:hAnsi="宋体" w:cs="宋体"/>
                <w:i/>
                <w:iCs/>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 w:val="21"/>
                <w:szCs w:val="21"/>
              </w:rPr>
              <w:t>中小企业声明函或者残疾人福利性单位声明函（格式后附）或者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cs="宋体"/>
                <w:color w:val="auto"/>
                <w:sz w:val="21"/>
                <w:szCs w:val="21"/>
              </w:rPr>
              <w:t>属于监狱企业的</w:t>
            </w:r>
            <w:r>
              <w:rPr>
                <w:rFonts w:hint="eastAsia" w:ascii="宋体" w:hAnsi="宋体" w:cs="宋体"/>
                <w:color w:val="auto"/>
                <w:sz w:val="21"/>
                <w:szCs w:val="21"/>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cs="宋体"/>
                <w:color w:val="auto"/>
                <w:sz w:val="21"/>
                <w:szCs w:val="21"/>
              </w:rPr>
              <w:t>；</w:t>
            </w:r>
            <w:r>
              <w:rPr>
                <w:rFonts w:hint="eastAsia" w:ascii="宋体" w:hAnsi="宋体" w:cs="宋体"/>
                <w:b/>
                <w:bCs/>
                <w:color w:val="auto"/>
                <w:sz w:val="21"/>
                <w:szCs w:val="21"/>
              </w:rPr>
              <w:t>（如有请提供）</w:t>
            </w:r>
          </w:p>
          <w:p>
            <w:pPr>
              <w:tabs>
                <w:tab w:val="left" w:pos="459"/>
              </w:tabs>
              <w:snapToGrid w:val="0"/>
              <w:spacing w:line="360" w:lineRule="exact"/>
              <w:jc w:val="left"/>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16.2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bookmarkStart w:id="80" w:name="_16.2"/>
            <w:bookmarkEnd w:id="80"/>
            <w:r>
              <w:rPr>
                <w:rFonts w:hint="eastAsia" w:ascii="宋体" w:hAnsi="宋体" w:cs="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p>
            <w:pPr>
              <w:snapToGrid w:val="0"/>
              <w:spacing w:line="360" w:lineRule="exact"/>
              <w:rPr>
                <w:rFonts w:ascii="宋体" w:hAnsi="宋体" w:cs="宋体"/>
                <w:b/>
                <w:color w:val="auto"/>
                <w:szCs w:val="21"/>
              </w:rPr>
            </w:pPr>
            <w:r>
              <w:rPr>
                <w:rFonts w:hint="eastAsia" w:ascii="宋体" w:hAnsi="宋体" w:cs="宋体"/>
                <w:b/>
                <w:color w:val="auto"/>
                <w:szCs w:val="21"/>
                <w:lang w:eastAsia="zh-CN"/>
              </w:rPr>
              <w:sym w:font="Wingdings 2" w:char="0052"/>
            </w:r>
            <w:r>
              <w:rPr>
                <w:rFonts w:hint="eastAsia" w:ascii="宋体" w:hAnsi="宋体" w:cs="宋体"/>
                <w:b/>
                <w:color w:val="auto"/>
                <w:szCs w:val="21"/>
              </w:rPr>
              <w:t>投标报价包含验收费用</w:t>
            </w:r>
          </w:p>
          <w:p>
            <w:pPr>
              <w:snapToGrid w:val="0"/>
              <w:spacing w:line="360" w:lineRule="exact"/>
              <w:rPr>
                <w:rFonts w:ascii="宋体" w:hAnsi="宋体" w:cs="宋体"/>
                <w:color w:val="auto"/>
                <w:szCs w:val="21"/>
              </w:rPr>
            </w:pPr>
            <w:r>
              <w:rPr>
                <w:rFonts w:hint="eastAsia" w:ascii="宋体" w:hAnsi="宋体" w:cs="宋体"/>
                <w:b/>
                <w:color w:val="auto"/>
                <w:szCs w:val="21"/>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17.2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bookmarkStart w:id="81" w:name="_17.1"/>
            <w:bookmarkEnd w:id="81"/>
            <w:r>
              <w:rPr>
                <w:rFonts w:hint="eastAsia" w:ascii="宋体" w:hAnsi="宋体" w:cs="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自投标截止之日起</w:t>
            </w:r>
            <w:r>
              <w:rPr>
                <w:rFonts w:hint="eastAsia" w:ascii="宋体" w:hAnsi="宋体" w:cs="宋体"/>
                <w:color w:val="auto"/>
                <w:szCs w:val="21"/>
                <w:u w:val="single"/>
              </w:rPr>
              <w:t>90</w:t>
            </w:r>
            <w:r>
              <w:rPr>
                <w:rFonts w:hint="eastAsia" w:ascii="宋体" w:hAnsi="宋体" w:cs="宋体"/>
                <w:color w:val="auto"/>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18</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bookmarkStart w:id="82" w:name="_18"/>
            <w:bookmarkEnd w:id="82"/>
            <w:r>
              <w:rPr>
                <w:rFonts w:hint="eastAsia" w:ascii="宋体" w:hAnsi="宋体" w:cs="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exact"/>
              <w:textAlignment w:val="bottom"/>
              <w:rPr>
                <w:rFonts w:ascii="宋体" w:hAnsi="宋体" w:cs="宋体"/>
                <w:b/>
                <w:bCs/>
                <w:color w:val="auto"/>
                <w:szCs w:val="21"/>
              </w:rPr>
            </w:pPr>
            <w:r>
              <w:rPr>
                <w:rFonts w:hint="eastAsia" w:ascii="宋体" w:hAnsi="宋体" w:cs="宋体"/>
                <w:b/>
                <w:bCs/>
                <w:color w:val="auto"/>
                <w:szCs w:val="21"/>
                <w:lang w:eastAsia="zh-CN"/>
              </w:rPr>
              <w:t>□</w:t>
            </w:r>
            <w:r>
              <w:rPr>
                <w:rFonts w:hint="eastAsia" w:ascii="宋体" w:hAnsi="宋体" w:cs="宋体"/>
                <w:b/>
                <w:bCs/>
                <w:color w:val="auto"/>
                <w:szCs w:val="21"/>
              </w:rPr>
              <w:t>本项目不需要缴纳投标保证金。</w:t>
            </w:r>
          </w:p>
          <w:p>
            <w:pPr>
              <w:snapToGrid w:val="0"/>
              <w:spacing w:line="360" w:lineRule="exact"/>
              <w:rPr>
                <w:rFonts w:ascii="宋体" w:hAnsi="宋体" w:cs="宋体"/>
                <w:b/>
                <w:bCs/>
                <w:color w:val="auto"/>
                <w:szCs w:val="21"/>
              </w:rPr>
            </w:pPr>
            <w:r>
              <w:rPr>
                <w:rFonts w:hint="eastAsia" w:ascii="宋体" w:hAnsi="宋体" w:cs="宋体"/>
                <w:b/>
                <w:bCs/>
                <w:color w:val="auto"/>
                <w:szCs w:val="21"/>
                <w:lang w:eastAsia="zh-CN"/>
              </w:rPr>
              <w:sym w:font="Wingdings 2" w:char="0052"/>
            </w:r>
            <w:r>
              <w:rPr>
                <w:rFonts w:hint="eastAsia" w:ascii="宋体" w:hAnsi="宋体" w:cs="宋体"/>
                <w:b/>
                <w:bCs/>
                <w:color w:val="auto"/>
                <w:szCs w:val="21"/>
              </w:rPr>
              <w:t>本项目需要缴纳投标保证金，相关要求如下：</w:t>
            </w:r>
          </w:p>
          <w:p>
            <w:pPr>
              <w:snapToGrid w:val="0"/>
              <w:spacing w:line="360" w:lineRule="exact"/>
              <w:rPr>
                <w:rFonts w:ascii="宋体" w:hAnsi="宋体" w:cs="宋体"/>
                <w:color w:val="auto"/>
                <w:szCs w:val="21"/>
              </w:rPr>
            </w:pPr>
            <w:r>
              <w:rPr>
                <w:rFonts w:hint="eastAsia" w:ascii="宋体" w:hAnsi="宋体" w:cs="宋体"/>
                <w:color w:val="auto"/>
                <w:szCs w:val="21"/>
              </w:rPr>
              <w:t>1.投标保证金的缴纳方式：详见招标公告</w:t>
            </w:r>
          </w:p>
          <w:p>
            <w:pPr>
              <w:snapToGrid w:val="0"/>
              <w:spacing w:line="360" w:lineRule="exact"/>
              <w:rPr>
                <w:rFonts w:ascii="宋体" w:hAnsi="宋体" w:cs="宋体"/>
                <w:color w:val="auto"/>
                <w:szCs w:val="21"/>
              </w:rPr>
            </w:pPr>
            <w:r>
              <w:rPr>
                <w:rFonts w:hint="eastAsia" w:ascii="宋体" w:hAnsi="宋体" w:cs="宋体"/>
                <w:color w:val="auto"/>
                <w:szCs w:val="21"/>
              </w:rPr>
              <w:t>2.投标保证金的金额：详见招标公告</w:t>
            </w:r>
          </w:p>
          <w:p>
            <w:pPr>
              <w:pStyle w:val="9"/>
              <w:spacing w:line="360" w:lineRule="exact"/>
              <w:rPr>
                <w:rFonts w:ascii="宋体" w:hAnsi="宋体" w:cs="宋体"/>
                <w:color w:val="auto"/>
                <w:szCs w:val="21"/>
                <w:lang w:val="en-US" w:eastAsia="zh-CN"/>
              </w:rPr>
            </w:pPr>
            <w:r>
              <w:rPr>
                <w:rFonts w:hint="eastAsia" w:ascii="宋体" w:hAnsi="宋体" w:cs="宋体"/>
                <w:color w:val="auto"/>
                <w:szCs w:val="21"/>
                <w:lang w:val="en-US" w:eastAsia="zh-CN"/>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lang w:val="en-US" w:eastAsia="zh-CN"/>
              </w:rPr>
              <w:t>否则作无效投标处理</w:t>
            </w:r>
            <w:r>
              <w:rPr>
                <w:rFonts w:hint="eastAsia" w:ascii="宋体" w:hAnsi="宋体" w:cs="宋体"/>
                <w:color w:val="auto"/>
                <w:szCs w:val="21"/>
                <w:lang w:val="en-US" w:eastAsia="zh-CN"/>
              </w:rPr>
              <w:t>。</w:t>
            </w:r>
          </w:p>
          <w:p>
            <w:pPr>
              <w:snapToGrid w:val="0"/>
              <w:spacing w:line="360" w:lineRule="exact"/>
              <w:rPr>
                <w:rFonts w:ascii="宋体" w:hAnsi="宋体" w:cs="宋体"/>
                <w:color w:val="auto"/>
                <w:szCs w:val="21"/>
              </w:rPr>
            </w:pPr>
            <w:r>
              <w:rPr>
                <w:rFonts w:hint="eastAsia" w:ascii="宋体" w:hAnsi="宋体" w:cs="宋体"/>
                <w:color w:val="auto"/>
                <w:szCs w:val="21"/>
              </w:rPr>
              <w:t>4.投标保证金采用支票、汇票、本票或者金融机构、担保机构出具的保函等缴纳方式的，投标人应将支票、汇票、本票或者金融机构、担保机构出具的保函等的复印件作为投标保证金提交凭证，放置于商务文件中，</w:t>
            </w:r>
            <w:r>
              <w:rPr>
                <w:rFonts w:hint="eastAsia" w:ascii="宋体" w:hAnsi="宋体" w:cs="宋体"/>
                <w:b/>
                <w:color w:val="auto"/>
                <w:szCs w:val="21"/>
              </w:rPr>
              <w:t>否则作无效投标处理</w:t>
            </w:r>
            <w:r>
              <w:rPr>
                <w:rFonts w:hint="eastAsia" w:ascii="宋体" w:hAnsi="宋体" w:cs="宋体"/>
                <w:color w:val="auto"/>
                <w:szCs w:val="21"/>
              </w:rPr>
              <w:t>。投标人必须</w:t>
            </w:r>
            <w:r>
              <w:rPr>
                <w:rFonts w:hint="eastAsia" w:ascii="宋体" w:hAnsi="宋体" w:cs="宋体"/>
                <w:color w:val="auto"/>
                <w:kern w:val="0"/>
                <w:szCs w:val="21"/>
              </w:rPr>
              <w:t>在投标截止时间前</w:t>
            </w:r>
            <w:r>
              <w:rPr>
                <w:rFonts w:hint="eastAsia" w:ascii="宋体" w:hAnsi="宋体" w:cs="宋体"/>
                <w:color w:val="auto"/>
                <w:szCs w:val="21"/>
              </w:rPr>
              <w:t>将支票、汇票、本票或者金融、担保机构出具的保函等原件提交给采购代理机构，由采购代理机构向投标人出具回执，并妥善保管。</w:t>
            </w:r>
          </w:p>
          <w:p>
            <w:pPr>
              <w:snapToGrid w:val="0"/>
              <w:spacing w:line="360" w:lineRule="exact"/>
              <w:rPr>
                <w:rFonts w:ascii="宋体" w:hAnsi="宋体" w:cs="宋体"/>
                <w:color w:val="auto"/>
                <w:szCs w:val="21"/>
              </w:rPr>
            </w:pPr>
            <w:r>
              <w:rPr>
                <w:rFonts w:hint="eastAsia" w:ascii="宋体" w:hAnsi="宋体" w:cs="宋体"/>
                <w:color w:val="auto"/>
                <w:szCs w:val="21"/>
              </w:rPr>
              <w:t>5.缴纳投标保证金指定账户：详见招标公告。</w:t>
            </w:r>
          </w:p>
          <w:p>
            <w:pPr>
              <w:snapToGrid w:val="0"/>
              <w:spacing w:line="360" w:lineRule="exact"/>
              <w:rPr>
                <w:rFonts w:ascii="宋体" w:hAnsi="宋体" w:cs="宋体"/>
                <w:color w:val="auto"/>
                <w:szCs w:val="21"/>
              </w:rPr>
            </w:pPr>
            <w:r>
              <w:rPr>
                <w:rFonts w:hint="eastAsia" w:ascii="宋体" w:hAnsi="宋体" w:cs="宋体"/>
                <w:color w:val="auto"/>
                <w:szCs w:val="21"/>
              </w:rPr>
              <w:t>6.投标人为联合体的，可以由联合体中的一方或者多方共同缴纳投标保证金，其缴纳的投标保证金对联合体各方均具有约束力。</w:t>
            </w:r>
          </w:p>
          <w:p>
            <w:pPr>
              <w:snapToGrid w:val="0"/>
              <w:spacing w:line="360" w:lineRule="exact"/>
              <w:rPr>
                <w:rFonts w:ascii="宋体" w:hAnsi="宋体" w:cs="宋体"/>
                <w:b/>
                <w:color w:val="auto"/>
                <w:szCs w:val="21"/>
              </w:rPr>
            </w:pPr>
            <w:r>
              <w:rPr>
                <w:rFonts w:hint="eastAsia" w:ascii="宋体" w:hAnsi="宋体" w:cs="宋体"/>
                <w:b/>
                <w:color w:val="auto"/>
                <w:szCs w:val="21"/>
              </w:rPr>
              <w:t xml:space="preserve">备注： </w:t>
            </w:r>
          </w:p>
          <w:p>
            <w:pPr>
              <w:snapToGrid w:val="0"/>
              <w:spacing w:line="360" w:lineRule="exact"/>
              <w:rPr>
                <w:rFonts w:ascii="宋体" w:hAnsi="宋体" w:cs="宋体"/>
                <w:b/>
                <w:color w:val="auto"/>
                <w:szCs w:val="21"/>
              </w:rPr>
            </w:pPr>
            <w:r>
              <w:rPr>
                <w:rFonts w:hint="eastAsia" w:ascii="宋体" w:hAnsi="宋体" w:cs="宋体"/>
                <w:b/>
                <w:color w:val="auto"/>
                <w:szCs w:val="21"/>
              </w:rPr>
              <w:t>1. 投标保证金在投标截止时间后提交的，或者不按规定缴纳方式缴纳的，或者未足额缴纳的（包含保函额度不足的），视为无效投标保证金。</w:t>
            </w:r>
          </w:p>
          <w:p>
            <w:pPr>
              <w:snapToGrid w:val="0"/>
              <w:spacing w:line="360" w:lineRule="exact"/>
              <w:rPr>
                <w:rFonts w:ascii="宋体" w:hAnsi="宋体" w:cs="宋体"/>
                <w:b/>
                <w:color w:val="auto"/>
                <w:szCs w:val="21"/>
              </w:rPr>
            </w:pPr>
            <w:r>
              <w:rPr>
                <w:rFonts w:hint="eastAsia" w:ascii="宋体" w:hAnsi="宋体" w:cs="宋体"/>
                <w:b/>
                <w:color w:val="auto"/>
                <w:szCs w:val="21"/>
              </w:rPr>
              <w:t>2.投标人采用现金方式或者从个人账户（自然人投标除外）转出的投标保证金，视为无效投标保证金。</w:t>
            </w:r>
          </w:p>
          <w:p>
            <w:pPr>
              <w:snapToGrid w:val="0"/>
              <w:spacing w:line="360" w:lineRule="exact"/>
              <w:rPr>
                <w:rFonts w:ascii="宋体" w:hAnsi="宋体" w:cs="宋体"/>
                <w:b/>
                <w:color w:val="auto"/>
                <w:szCs w:val="21"/>
              </w:rPr>
            </w:pPr>
            <w:r>
              <w:rPr>
                <w:rFonts w:hint="eastAsia" w:ascii="宋体" w:hAnsi="宋体" w:cs="宋体"/>
                <w:b/>
                <w:color w:val="auto"/>
                <w:szCs w:val="21"/>
              </w:rPr>
              <w:t>3.支票、汇票或者本票出现无效或者背书情形的，视为无效投标保证金。</w:t>
            </w:r>
          </w:p>
          <w:p>
            <w:pPr>
              <w:snapToGrid w:val="0"/>
              <w:spacing w:line="360" w:lineRule="exact"/>
              <w:rPr>
                <w:rFonts w:ascii="宋体" w:hAnsi="宋体" w:cs="宋体"/>
                <w:b/>
                <w:color w:val="auto"/>
                <w:szCs w:val="21"/>
              </w:rPr>
            </w:pPr>
            <w:r>
              <w:rPr>
                <w:rFonts w:hint="eastAsia" w:ascii="宋体" w:hAnsi="宋体" w:cs="宋体"/>
                <w:b/>
                <w:color w:val="auto"/>
                <w:szCs w:val="21"/>
              </w:rPr>
              <w:t>4.保函有效期低于投标有效期的，视为无效投标保证金。</w:t>
            </w:r>
          </w:p>
          <w:p>
            <w:pPr>
              <w:autoSpaceDE w:val="0"/>
              <w:autoSpaceDN w:val="0"/>
              <w:snapToGrid w:val="0"/>
              <w:spacing w:line="360" w:lineRule="exact"/>
              <w:textAlignment w:val="bottom"/>
              <w:rPr>
                <w:rFonts w:ascii="宋体" w:hAnsi="宋体" w:cs="宋体"/>
                <w:color w:val="auto"/>
                <w:szCs w:val="21"/>
              </w:rPr>
            </w:pPr>
            <w:r>
              <w:rPr>
                <w:rFonts w:hint="eastAsia" w:ascii="宋体" w:hAnsi="宋体" w:cs="宋体"/>
                <w:b/>
                <w:color w:val="auto"/>
                <w:szCs w:val="21"/>
              </w:rPr>
              <w:t>5.采用金融、担保机构出具保函的，必须为无条件保函，否则视为无效投标保证金</w:t>
            </w:r>
            <w:r>
              <w:rPr>
                <w:rFonts w:hint="eastAsia" w:ascii="宋体" w:hAnsi="宋体" w:cs="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19.1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b/>
                <w:color w:val="auto"/>
                <w:szCs w:val="21"/>
                <w:u w:val="single"/>
              </w:rPr>
            </w:pPr>
            <w:r>
              <w:rPr>
                <w:rFonts w:hint="eastAsia" w:ascii="宋体" w:hAnsi="宋体" w:cs="宋体"/>
                <w:color w:val="auto"/>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rPr>
              <w:t>（注：按照本招标文件“第六章 投标文件格式”编写，第六章未附格式的，由投标人自行拟定。）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20</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exact"/>
              <w:textAlignment w:val="bottom"/>
              <w:rPr>
                <w:rFonts w:ascii="宋体" w:hAnsi="宋体" w:cs="宋体"/>
                <w:color w:val="auto"/>
                <w:szCs w:val="21"/>
              </w:rPr>
            </w:pPr>
            <w:r>
              <w:rPr>
                <w:rFonts w:hint="eastAsia" w:ascii="宋体" w:hAnsi="宋体" w:cs="宋体"/>
                <w:color w:val="auto"/>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860" w:type="dxa"/>
            <w:vMerge w:val="restart"/>
            <w:tcBorders>
              <w:top w:val="single" w:color="auto" w:sz="4" w:space="0"/>
              <w:left w:val="single" w:color="auto" w:sz="4" w:space="0"/>
              <w:bottom w:val="nil"/>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21.1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bookmarkStart w:id="83" w:name="_21.1"/>
            <w:bookmarkEnd w:id="83"/>
            <w:r>
              <w:rPr>
                <w:rFonts w:hint="eastAsia" w:ascii="宋体" w:hAnsi="宋体" w:cs="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u w:val="single"/>
              </w:rPr>
            </w:pPr>
            <w:r>
              <w:rPr>
                <w:rFonts w:hint="eastAsia" w:ascii="宋体" w:hAnsi="宋体" w:cs="宋体"/>
                <w:color w:val="auto"/>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860" w:type="dxa"/>
            <w:vMerge w:val="continue"/>
            <w:tcBorders>
              <w:top w:val="single" w:color="auto" w:sz="4" w:space="0"/>
              <w:left w:val="single" w:color="auto" w:sz="4" w:space="0"/>
              <w:bottom w:val="nil"/>
              <w:right w:val="single" w:color="auto" w:sz="4" w:space="0"/>
            </w:tcBorders>
            <w:noWrap/>
            <w:vAlign w:val="center"/>
          </w:tcPr>
          <w:p>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投标地点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860" w:type="dxa"/>
            <w:vMerge w:val="continue"/>
            <w:tcBorders>
              <w:top w:val="single" w:color="auto" w:sz="4" w:space="0"/>
              <w:left w:val="single" w:color="auto" w:sz="4" w:space="0"/>
              <w:bottom w:val="nil"/>
              <w:right w:val="single" w:color="auto" w:sz="4" w:space="0"/>
            </w:tcBorders>
            <w:noWrap/>
            <w:vAlign w:val="center"/>
          </w:tcPr>
          <w:p>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bCs/>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23</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bookmarkStart w:id="84" w:name="_23"/>
            <w:bookmarkEnd w:id="84"/>
            <w:r>
              <w:rPr>
                <w:rFonts w:hint="eastAsia" w:ascii="宋体" w:hAnsi="宋体" w:cs="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7" w:hRule="atLeast"/>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25.3（2）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bookmarkStart w:id="85" w:name="_25.3"/>
            <w:bookmarkEnd w:id="85"/>
            <w:r>
              <w:rPr>
                <w:rFonts w:hint="eastAsia" w:ascii="宋体" w:hAnsi="宋体" w:cs="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采购人或者采购代理机构在资格审查结束前，对投标人进行信用查询。</w:t>
            </w:r>
          </w:p>
          <w:p>
            <w:pPr>
              <w:snapToGrid w:val="0"/>
              <w:spacing w:line="360" w:lineRule="exact"/>
              <w:rPr>
                <w:rFonts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29.1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bookmarkStart w:id="86" w:name="_26"/>
            <w:bookmarkEnd w:id="86"/>
            <w:bookmarkStart w:id="87" w:name="_28.3"/>
            <w:bookmarkEnd w:id="87"/>
            <w:r>
              <w:rPr>
                <w:rFonts w:hint="eastAsia" w:ascii="宋体" w:hAnsi="宋体" w:cs="宋体"/>
                <w:color w:val="auto"/>
                <w:szCs w:val="21"/>
              </w:rPr>
              <w:t>评标方法</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exact"/>
              <w:textAlignment w:val="bottom"/>
              <w:rPr>
                <w:rFonts w:ascii="宋体" w:hAnsi="宋体" w:cs="宋体"/>
                <w:color w:val="auto"/>
                <w:szCs w:val="21"/>
              </w:rPr>
            </w:pPr>
            <w:r>
              <w:rPr>
                <w:rFonts w:hint="eastAsia" w:ascii="宋体" w:hAnsi="宋体" w:cs="宋体"/>
                <w:color w:val="auto"/>
                <w:szCs w:val="21"/>
                <w:lang w:eastAsia="zh-CN"/>
              </w:rPr>
              <w:sym w:font="Wingdings 2" w:char="0052"/>
            </w:r>
            <w:r>
              <w:rPr>
                <w:rFonts w:hint="eastAsia" w:ascii="宋体" w:hAnsi="宋体" w:cs="宋体"/>
                <w:color w:val="auto"/>
                <w:szCs w:val="21"/>
              </w:rPr>
              <w:t>综合评分法</w:t>
            </w:r>
          </w:p>
          <w:p>
            <w:pPr>
              <w:autoSpaceDE w:val="0"/>
              <w:autoSpaceDN w:val="0"/>
              <w:snapToGrid w:val="0"/>
              <w:spacing w:line="360" w:lineRule="exact"/>
              <w:textAlignment w:val="bottom"/>
              <w:rPr>
                <w:rFonts w:ascii="宋体" w:hAnsi="宋体" w:cs="宋体"/>
                <w:color w:val="auto"/>
                <w:szCs w:val="21"/>
              </w:rPr>
            </w:pPr>
            <w:r>
              <w:rPr>
                <w:rFonts w:hint="eastAsia" w:ascii="宋体" w:hAnsi="宋体" w:cs="宋体"/>
                <w:color w:val="auto"/>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860" w:type="dxa"/>
            <w:tcBorders>
              <w:top w:val="single" w:color="auto" w:sz="4" w:space="0"/>
              <w:left w:val="single" w:color="auto" w:sz="4" w:space="0"/>
              <w:bottom w:val="nil"/>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29.2</w:t>
            </w:r>
          </w:p>
        </w:tc>
        <w:tc>
          <w:tcPr>
            <w:tcW w:w="2083" w:type="dxa"/>
            <w:tcBorders>
              <w:top w:val="single" w:color="auto" w:sz="4" w:space="0"/>
              <w:left w:val="single" w:color="auto" w:sz="4" w:space="0"/>
              <w:bottom w:val="nil"/>
              <w:right w:val="single" w:color="auto" w:sz="4" w:space="0"/>
            </w:tcBorders>
            <w:noWrap/>
            <w:vAlign w:val="center"/>
          </w:tcPr>
          <w:p>
            <w:pPr>
              <w:spacing w:line="360" w:lineRule="exact"/>
              <w:rPr>
                <w:rFonts w:ascii="宋体" w:hAnsi="宋体" w:cs="宋体"/>
                <w:color w:val="auto"/>
                <w:szCs w:val="21"/>
              </w:rPr>
            </w:pPr>
            <w:bookmarkStart w:id="88" w:name="_29.2.2（2）"/>
            <w:bookmarkEnd w:id="88"/>
            <w:r>
              <w:rPr>
                <w:rFonts w:hint="eastAsia" w:ascii="宋体" w:hAnsi="宋体" w:cs="宋体"/>
                <w:color w:val="auto"/>
                <w:szCs w:val="21"/>
              </w:rPr>
              <w:t>允许负偏离项</w:t>
            </w:r>
          </w:p>
        </w:tc>
        <w:tc>
          <w:tcPr>
            <w:tcW w:w="7297" w:type="dxa"/>
            <w:tcBorders>
              <w:top w:val="single" w:color="auto" w:sz="4" w:space="0"/>
              <w:left w:val="single" w:color="auto" w:sz="4" w:space="0"/>
              <w:bottom w:val="nil"/>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pPr>
              <w:snapToGrid w:val="0"/>
              <w:spacing w:line="360" w:lineRule="exact"/>
              <w:rPr>
                <w:rFonts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30.1</w:t>
            </w:r>
          </w:p>
        </w:tc>
        <w:tc>
          <w:tcPr>
            <w:tcW w:w="20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exact"/>
              <w:textAlignment w:val="bottom"/>
              <w:rPr>
                <w:rFonts w:ascii="宋体" w:hAnsi="宋体" w:cs="宋体"/>
                <w:color w:val="auto"/>
                <w:szCs w:val="21"/>
              </w:rPr>
            </w:pPr>
            <w:r>
              <w:rPr>
                <w:rFonts w:hint="eastAsia" w:ascii="宋体" w:hAnsi="宋体" w:cs="宋体"/>
                <w:color w:val="auto"/>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b/>
                <w:bCs/>
                <w:color w:val="auto"/>
              </w:rPr>
            </w:pPr>
            <w:r>
              <w:rPr>
                <w:rFonts w:hint="eastAsia" w:ascii="宋体" w:hAnsi="宋体" w:cs="宋体"/>
                <w:color w:val="auto"/>
                <w:szCs w:val="21"/>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cs="宋体"/>
                <w:b/>
                <w:bCs/>
                <w:i/>
                <w:iCs/>
                <w:color w:val="auto"/>
                <w:szCs w:val="21"/>
              </w:rPr>
            </w:pPr>
            <w:r>
              <w:rPr>
                <w:rFonts w:hint="eastAsia" w:ascii="宋体" w:hAnsi="宋体" w:cs="宋体"/>
                <w:color w:val="auto"/>
                <w:szCs w:val="21"/>
                <w:lang w:eastAsia="zh-CN"/>
              </w:rPr>
              <w:sym w:font="Wingdings 2" w:char="0052"/>
            </w:r>
            <w:r>
              <w:rPr>
                <w:rFonts w:hint="eastAsia" w:ascii="宋体" w:hAnsi="宋体" w:cs="宋体"/>
                <w:color w:val="auto"/>
                <w:szCs w:val="21"/>
              </w:rPr>
              <w:t xml:space="preserve"> 技术分得分高的优先、商务分得分高的优先、项目</w:t>
            </w:r>
            <w:r>
              <w:rPr>
                <w:rFonts w:hint="eastAsia" w:ascii="宋体" w:hAnsi="宋体" w:cs="宋体"/>
                <w:color w:val="auto"/>
                <w:szCs w:val="21"/>
                <w:lang w:eastAsia="zh-CN"/>
              </w:rPr>
              <w:t>维保期</w:t>
            </w:r>
            <w:r>
              <w:rPr>
                <w:rFonts w:hint="eastAsia" w:ascii="宋体" w:hAnsi="宋体" w:cs="宋体"/>
                <w:color w:val="auto"/>
                <w:szCs w:val="21"/>
              </w:rPr>
              <w:t>长优先、交货期短优先、故障响应时间短优先的顺序。</w:t>
            </w:r>
          </w:p>
          <w:p>
            <w:pPr>
              <w:autoSpaceDE w:val="0"/>
              <w:autoSpaceDN w:val="0"/>
              <w:snapToGrid w:val="0"/>
              <w:spacing w:line="360" w:lineRule="exact"/>
              <w:textAlignment w:val="bottom"/>
              <w:rPr>
                <w:rFonts w:ascii="宋体" w:hAnsi="宋体" w:cs="宋体"/>
                <w:b/>
                <w:color w:val="auto"/>
                <w:szCs w:val="21"/>
              </w:rPr>
            </w:pPr>
            <w:r>
              <w:rPr>
                <w:rFonts w:hint="eastAsia" w:ascii="宋体" w:hAnsi="宋体" w:cs="宋体"/>
                <w:color w:val="auto"/>
                <w:szCs w:val="21"/>
              </w:rPr>
              <w:t xml:space="preserve">□ </w:t>
            </w:r>
            <w:r>
              <w:rPr>
                <w:rFonts w:ascii="宋体" w:hAnsi="宋体" w:cs="宋体"/>
                <w:color w:val="auto"/>
              </w:rPr>
              <w:t>采取随机抽取的方式确定</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35</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bookmarkStart w:id="89" w:name="_39.1"/>
            <w:bookmarkEnd w:id="89"/>
            <w:r>
              <w:rPr>
                <w:rFonts w:hint="eastAsia" w:ascii="宋体" w:hAnsi="宋体" w:cs="宋体"/>
                <w:color w:val="auto"/>
                <w:szCs w:val="21"/>
              </w:rPr>
              <w:t>履约保证金</w:t>
            </w:r>
          </w:p>
        </w:tc>
        <w:tc>
          <w:tcPr>
            <w:tcW w:w="7297" w:type="dxa"/>
            <w:tcBorders>
              <w:top w:val="single" w:color="auto" w:sz="4" w:space="0"/>
              <w:left w:val="single" w:color="auto" w:sz="4" w:space="0"/>
              <w:bottom w:val="single" w:color="auto" w:sz="4" w:space="0"/>
              <w:right w:val="single" w:color="auto" w:sz="4" w:space="0"/>
            </w:tcBorders>
            <w:noWrap/>
            <w:vAlign w:val="bottom"/>
          </w:tcPr>
          <w:p>
            <w:pPr>
              <w:spacing w:line="360" w:lineRule="exact"/>
              <w:rPr>
                <w:rFonts w:ascii="宋体" w:hAnsi="宋体" w:cs="宋体"/>
                <w:b/>
                <w:bCs/>
                <w:color w:val="auto"/>
                <w:szCs w:val="21"/>
              </w:rPr>
            </w:pPr>
            <w:r>
              <w:rPr>
                <w:rFonts w:hint="eastAsia" w:ascii="宋体" w:hAnsi="宋体" w:cs="宋体"/>
                <w:b/>
                <w:bCs/>
                <w:color w:val="auto"/>
                <w:szCs w:val="21"/>
                <w:lang w:eastAsia="zh-CN"/>
              </w:rPr>
              <w:sym w:font="Wingdings 2" w:char="00A3"/>
            </w:r>
            <w:r>
              <w:rPr>
                <w:rFonts w:hint="eastAsia" w:ascii="宋体" w:hAnsi="宋体" w:cs="宋体"/>
                <w:b/>
                <w:bCs/>
                <w:color w:val="auto"/>
                <w:szCs w:val="21"/>
              </w:rPr>
              <w:t xml:space="preserve"> 本项目不需要缴</w:t>
            </w:r>
            <w:r>
              <w:rPr>
                <w:rFonts w:hint="eastAsia" w:ascii="宋体" w:hAnsi="宋体" w:cs="宋体"/>
                <w:b/>
                <w:bCs/>
                <w:color w:val="auto"/>
                <w:kern w:val="0"/>
                <w:szCs w:val="21"/>
              </w:rPr>
              <w:t>纳</w:t>
            </w:r>
            <w:r>
              <w:rPr>
                <w:rFonts w:hint="eastAsia" w:ascii="宋体" w:hAnsi="宋体" w:cs="宋体"/>
                <w:b/>
                <w:bCs/>
                <w:color w:val="auto"/>
                <w:szCs w:val="21"/>
              </w:rPr>
              <w:t>履约保证金。</w:t>
            </w:r>
          </w:p>
          <w:p>
            <w:pPr>
              <w:spacing w:line="360" w:lineRule="exact"/>
              <w:rPr>
                <w:rFonts w:ascii="宋体" w:hAnsi="宋体" w:cs="宋体"/>
                <w:b/>
                <w:bCs/>
                <w:color w:val="auto"/>
                <w:szCs w:val="21"/>
              </w:rPr>
            </w:pPr>
            <w:r>
              <w:rPr>
                <w:rFonts w:hint="eastAsia" w:ascii="宋体" w:hAnsi="宋体" w:cs="宋体"/>
                <w:b/>
                <w:bCs/>
                <w:color w:val="auto"/>
                <w:szCs w:val="21"/>
                <w:lang w:eastAsia="zh-CN"/>
              </w:rPr>
              <w:sym w:font="Wingdings 2" w:char="0052"/>
            </w:r>
            <w:r>
              <w:rPr>
                <w:rFonts w:hint="eastAsia" w:ascii="宋体" w:hAnsi="宋体" w:cs="宋体"/>
                <w:b/>
                <w:bCs/>
                <w:color w:val="auto"/>
                <w:szCs w:val="21"/>
              </w:rPr>
              <w:t xml:space="preserve"> 本项目需要缴</w:t>
            </w:r>
            <w:r>
              <w:rPr>
                <w:rFonts w:hint="eastAsia" w:ascii="宋体" w:hAnsi="宋体" w:cs="宋体"/>
                <w:b/>
                <w:bCs/>
                <w:color w:val="auto"/>
                <w:kern w:val="0"/>
                <w:szCs w:val="21"/>
              </w:rPr>
              <w:t>纳</w:t>
            </w:r>
            <w:r>
              <w:rPr>
                <w:rFonts w:hint="eastAsia" w:ascii="宋体" w:hAnsi="宋体" w:cs="宋体"/>
                <w:b/>
                <w:bCs/>
                <w:color w:val="auto"/>
                <w:szCs w:val="21"/>
              </w:rPr>
              <w:t>履约保证金，相关要求如下：</w:t>
            </w:r>
          </w:p>
          <w:p>
            <w:pPr>
              <w:keepNext w:val="0"/>
              <w:keepLines w:val="0"/>
              <w:pageBreakBefore w:val="0"/>
              <w:widowControl w:val="0"/>
              <w:numPr>
                <w:ilvl w:val="0"/>
                <w:numId w:val="1"/>
              </w:numPr>
              <w:kinsoku/>
              <w:wordWrap w:val="0"/>
              <w:overflowPunct/>
              <w:autoSpaceDE w:val="0"/>
              <w:autoSpaceDN w:val="0"/>
              <w:bidi w:val="0"/>
              <w:adjustRightInd/>
              <w:snapToGrid w:val="0"/>
              <w:spacing w:line="360" w:lineRule="auto"/>
              <w:textAlignment w:val="bottom"/>
              <w:rPr>
                <w:rFonts w:hint="eastAsia" w:ascii="宋体" w:hAnsi="宋体" w:eastAsia="宋体" w:cs="宋体"/>
                <w:color w:val="000000"/>
                <w:szCs w:val="21"/>
                <w:highlight w:val="none"/>
                <w:lang w:val="en-US" w:eastAsia="zh-CN"/>
              </w:rPr>
            </w:pPr>
            <w:r>
              <w:rPr>
                <w:rFonts w:hint="eastAsia" w:ascii="宋体" w:hAnsi="宋体" w:cs="宋体"/>
                <w:color w:val="000000"/>
                <w:sz w:val="21"/>
                <w:szCs w:val="21"/>
                <w:highlight w:val="none"/>
                <w:lang w:val="en-US" w:eastAsia="zh-CN"/>
              </w:rPr>
              <w:t>成交</w:t>
            </w:r>
            <w:r>
              <w:rPr>
                <w:rFonts w:hint="eastAsia" w:ascii="宋体" w:hAnsi="宋体" w:eastAsia="宋体" w:cs="宋体"/>
                <w:color w:val="000000"/>
                <w:sz w:val="21"/>
                <w:szCs w:val="21"/>
                <w:highlight w:val="none"/>
              </w:rPr>
              <w:t>人在签订合同15个工作日内</w:t>
            </w:r>
            <w:r>
              <w:rPr>
                <w:rFonts w:hint="eastAsia" w:ascii="宋体" w:hAnsi="宋体" w:eastAsia="宋体" w:cs="宋体"/>
                <w:color w:val="000000"/>
                <w:szCs w:val="21"/>
                <w:highlight w:val="none"/>
                <w:lang w:val="en-US" w:eastAsia="zh-CN"/>
              </w:rPr>
              <w:t>，按合同总金额的5%向采购人递交履约保证金（</w:t>
            </w:r>
            <w:r>
              <w:rPr>
                <w:rFonts w:hint="eastAsia" w:ascii="宋体" w:hAnsi="宋体" w:eastAsia="宋体" w:cs="宋体"/>
                <w:color w:val="000000"/>
                <w:sz w:val="21"/>
                <w:szCs w:val="21"/>
                <w:highlight w:val="none"/>
              </w:rPr>
              <w:t>如</w:t>
            </w:r>
            <w:r>
              <w:rPr>
                <w:rFonts w:hint="eastAsia" w:ascii="宋体" w:hAnsi="宋体" w:cs="宋体"/>
                <w:color w:val="000000"/>
                <w:sz w:val="21"/>
                <w:szCs w:val="21"/>
                <w:highlight w:val="none"/>
                <w:lang w:val="en-US" w:eastAsia="zh-CN"/>
              </w:rPr>
              <w:t>成交</w:t>
            </w:r>
            <w:r>
              <w:rPr>
                <w:rFonts w:hint="eastAsia" w:ascii="宋体" w:hAnsi="宋体" w:eastAsia="宋体" w:cs="宋体"/>
                <w:color w:val="000000"/>
                <w:sz w:val="21"/>
                <w:szCs w:val="21"/>
                <w:highlight w:val="none"/>
              </w:rPr>
              <w:t>人为中小企业的，则为合同</w:t>
            </w:r>
            <w:r>
              <w:rPr>
                <w:rFonts w:hint="eastAsia" w:ascii="宋体" w:hAnsi="宋体" w:eastAsia="宋体" w:cs="宋体"/>
                <w:color w:val="000000"/>
                <w:szCs w:val="21"/>
                <w:highlight w:val="none"/>
                <w:lang w:val="en-US" w:eastAsia="zh-CN"/>
              </w:rPr>
              <w:t>总</w:t>
            </w:r>
            <w:r>
              <w:rPr>
                <w:rFonts w:hint="eastAsia" w:ascii="宋体" w:hAnsi="宋体" w:eastAsia="宋体" w:cs="宋体"/>
                <w:color w:val="000000"/>
                <w:sz w:val="21"/>
                <w:szCs w:val="21"/>
                <w:highlight w:val="none"/>
              </w:rPr>
              <w:t>金额的2%</w:t>
            </w:r>
            <w:r>
              <w:rPr>
                <w:rFonts w:hint="eastAsia" w:ascii="宋体" w:hAnsi="宋体" w:eastAsia="宋体" w:cs="宋体"/>
                <w:color w:val="000000"/>
                <w:szCs w:val="21"/>
                <w:highlight w:val="none"/>
                <w:lang w:val="en-US" w:eastAsia="zh-CN"/>
              </w:rPr>
              <w:t>）。如为保函、保险单，则有效期应不低于12个月。经采购人验收货物符合合同约定，采购人一次性无息退回履约保证金。</w:t>
            </w:r>
          </w:p>
          <w:p>
            <w:pPr>
              <w:keepNext w:val="0"/>
              <w:keepLines w:val="0"/>
              <w:pageBreakBefore w:val="0"/>
              <w:widowControl w:val="0"/>
              <w:numPr>
                <w:ilvl w:val="0"/>
                <w:numId w:val="0"/>
              </w:numPr>
              <w:kinsoku/>
              <w:wordWrap w:val="0"/>
              <w:overflowPunct/>
              <w:autoSpaceDE w:val="0"/>
              <w:autoSpaceDN w:val="0"/>
              <w:bidi w:val="0"/>
              <w:adjustRightInd/>
              <w:snapToGrid w:val="0"/>
              <w:spacing w:line="360" w:lineRule="auto"/>
              <w:textAlignment w:val="bottom"/>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2）履约保证金的递交：</w:t>
            </w:r>
          </w:p>
          <w:p>
            <w:pPr>
              <w:keepNext w:val="0"/>
              <w:keepLines w:val="0"/>
              <w:pageBreakBefore w:val="0"/>
              <w:widowControl w:val="0"/>
              <w:kinsoku/>
              <w:wordWrap w:val="0"/>
              <w:overflowPunct/>
              <w:autoSpaceDE w:val="0"/>
              <w:autoSpaceDN w:val="0"/>
              <w:bidi w:val="0"/>
              <w:adjustRightInd/>
              <w:snapToGrid w:val="0"/>
              <w:spacing w:line="360" w:lineRule="auto"/>
              <w:textAlignment w:val="bottom"/>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履约保证金金额：按合同总金额的5%（</w:t>
            </w:r>
            <w:r>
              <w:rPr>
                <w:rFonts w:hint="eastAsia" w:ascii="宋体" w:hAnsi="宋体" w:eastAsia="宋体" w:cs="宋体"/>
                <w:color w:val="000000"/>
                <w:sz w:val="21"/>
                <w:szCs w:val="21"/>
                <w:highlight w:val="none"/>
              </w:rPr>
              <w:t>如</w:t>
            </w:r>
            <w:r>
              <w:rPr>
                <w:rFonts w:hint="eastAsia" w:ascii="宋体" w:hAnsi="宋体" w:cs="宋体"/>
                <w:color w:val="000000"/>
                <w:sz w:val="21"/>
                <w:szCs w:val="21"/>
                <w:highlight w:val="none"/>
                <w:lang w:val="en-US" w:eastAsia="zh-CN"/>
              </w:rPr>
              <w:t>成交</w:t>
            </w:r>
            <w:r>
              <w:rPr>
                <w:rFonts w:hint="eastAsia" w:ascii="宋体" w:hAnsi="宋体" w:eastAsia="宋体" w:cs="宋体"/>
                <w:color w:val="000000"/>
                <w:sz w:val="21"/>
                <w:szCs w:val="21"/>
                <w:highlight w:val="none"/>
              </w:rPr>
              <w:t>人为中小企业的，则为合同</w:t>
            </w:r>
            <w:r>
              <w:rPr>
                <w:rFonts w:hint="eastAsia" w:ascii="宋体" w:hAnsi="宋体" w:eastAsia="宋体" w:cs="宋体"/>
                <w:color w:val="000000"/>
                <w:szCs w:val="21"/>
                <w:highlight w:val="none"/>
                <w:lang w:val="en-US" w:eastAsia="zh-CN"/>
              </w:rPr>
              <w:t>总</w:t>
            </w:r>
            <w:r>
              <w:rPr>
                <w:rFonts w:hint="eastAsia" w:ascii="宋体" w:hAnsi="宋体" w:eastAsia="宋体" w:cs="宋体"/>
                <w:color w:val="000000"/>
                <w:sz w:val="21"/>
                <w:szCs w:val="21"/>
                <w:highlight w:val="none"/>
              </w:rPr>
              <w:t>金额的2%</w:t>
            </w:r>
            <w:r>
              <w:rPr>
                <w:rFonts w:hint="eastAsia" w:ascii="宋体" w:hAnsi="宋体" w:eastAsia="宋体" w:cs="宋体"/>
                <w:color w:val="000000"/>
                <w:szCs w:val="21"/>
                <w:highlight w:val="none"/>
                <w:lang w:val="en-US" w:eastAsia="zh-CN"/>
              </w:rPr>
              <w:t>）</w:t>
            </w:r>
          </w:p>
          <w:p>
            <w:pPr>
              <w:keepNext w:val="0"/>
              <w:keepLines w:val="0"/>
              <w:pageBreakBefore w:val="0"/>
              <w:widowControl w:val="0"/>
              <w:kinsoku/>
              <w:wordWrap w:val="0"/>
              <w:overflowPunct/>
              <w:autoSpaceDE w:val="0"/>
              <w:autoSpaceDN w:val="0"/>
              <w:bidi w:val="0"/>
              <w:adjustRightInd/>
              <w:snapToGrid w:val="0"/>
              <w:spacing w:line="360" w:lineRule="auto"/>
              <w:textAlignment w:val="bottom"/>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履约保证金递交方式：银行转账、支票、汇票、本票、银行出具的保函或保险机构出具的保函、保险单。</w:t>
            </w:r>
          </w:p>
          <w:p>
            <w:pPr>
              <w:keepNext w:val="0"/>
              <w:keepLines w:val="0"/>
              <w:pageBreakBefore w:val="0"/>
              <w:widowControl w:val="0"/>
              <w:kinsoku/>
              <w:wordWrap w:val="0"/>
              <w:overflowPunct/>
              <w:autoSpaceDE w:val="0"/>
              <w:autoSpaceDN w:val="0"/>
              <w:bidi w:val="0"/>
              <w:adjustRightInd/>
              <w:snapToGrid w:val="0"/>
              <w:spacing w:line="360" w:lineRule="auto"/>
              <w:textAlignment w:val="bottom"/>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保证金指定账户：采购人帐户</w:t>
            </w:r>
          </w:p>
          <w:p>
            <w:pPr>
              <w:keepNext w:val="0"/>
              <w:keepLines w:val="0"/>
              <w:pageBreakBefore w:val="0"/>
              <w:widowControl w:val="0"/>
              <w:kinsoku/>
              <w:wordWrap w:val="0"/>
              <w:overflowPunct/>
              <w:autoSpaceDE w:val="0"/>
              <w:autoSpaceDN w:val="0"/>
              <w:bidi w:val="0"/>
              <w:adjustRightInd/>
              <w:snapToGrid w:val="0"/>
              <w:spacing w:line="360" w:lineRule="auto"/>
              <w:textAlignment w:val="bottom"/>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开户名称：广西医科大学第一附属医院</w:t>
            </w:r>
          </w:p>
          <w:p>
            <w:pPr>
              <w:keepNext w:val="0"/>
              <w:keepLines w:val="0"/>
              <w:pageBreakBefore w:val="0"/>
              <w:widowControl w:val="0"/>
              <w:kinsoku/>
              <w:wordWrap w:val="0"/>
              <w:overflowPunct/>
              <w:autoSpaceDE w:val="0"/>
              <w:autoSpaceDN w:val="0"/>
              <w:bidi w:val="0"/>
              <w:adjustRightInd/>
              <w:snapToGrid w:val="0"/>
              <w:spacing w:line="360" w:lineRule="auto"/>
              <w:textAlignment w:val="bottom"/>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开户银行：中国建设银行股份有限公司南宁医科大支行</w:t>
            </w:r>
          </w:p>
          <w:p>
            <w:pPr>
              <w:autoSpaceDE w:val="0"/>
              <w:autoSpaceDN w:val="0"/>
              <w:snapToGrid w:val="0"/>
              <w:spacing w:line="360" w:lineRule="exact"/>
              <w:jc w:val="left"/>
              <w:textAlignment w:val="bottom"/>
              <w:rPr>
                <w:rFonts w:ascii="宋体" w:hAnsi="宋体" w:cs="宋体"/>
                <w:color w:val="auto"/>
                <w:szCs w:val="21"/>
              </w:rPr>
            </w:pPr>
            <w:r>
              <w:rPr>
                <w:rFonts w:hint="eastAsia" w:ascii="宋体" w:hAnsi="宋体" w:eastAsia="宋体" w:cs="宋体"/>
                <w:color w:val="000000"/>
                <w:szCs w:val="21"/>
                <w:highlight w:val="none"/>
                <w:lang w:val="en-US" w:eastAsia="zh-CN"/>
              </w:rPr>
              <w:t>银行账号：45001604560050501061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36.1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bookmarkStart w:id="90" w:name="_40.1"/>
            <w:bookmarkEnd w:id="90"/>
            <w:r>
              <w:rPr>
                <w:rFonts w:hint="eastAsia" w:ascii="宋体" w:hAnsi="宋体" w:cs="宋体"/>
                <w:color w:val="auto"/>
                <w:szCs w:val="21"/>
              </w:rPr>
              <w:t>签订合同携带的材料</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电子采购合同需要中标人通过有效CA证书进行电子签名与签章（适用于签订电子合同的情形）</w:t>
            </w:r>
          </w:p>
          <w:p>
            <w:pPr>
              <w:snapToGrid w:val="0"/>
              <w:spacing w:line="360" w:lineRule="exact"/>
              <w:rPr>
                <w:rFonts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pPr>
              <w:snapToGrid w:val="0"/>
              <w:spacing w:line="360" w:lineRule="exact"/>
              <w:rPr>
                <w:rFonts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法定代表人负责签订合同的，须携带法定代表人身份证明原件及身份证原件等其他证明材料。（适用于签订纸质合同的情形）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38.2.1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hint="eastAsia" w:ascii="宋体" w:hAnsi="宋体" w:eastAsia="宋体" w:cs="宋体"/>
                <w:color w:val="auto"/>
                <w:szCs w:val="21"/>
                <w:lang w:eastAsia="zh-CN"/>
              </w:rPr>
            </w:pPr>
            <w:r>
              <w:rPr>
                <w:rFonts w:hint="eastAsia" w:ascii="宋体" w:hAnsi="宋体" w:cs="宋体"/>
                <w:color w:val="auto"/>
                <w:szCs w:val="21"/>
              </w:rPr>
              <w:t>（1）名称：</w:t>
            </w:r>
            <w:r>
              <w:rPr>
                <w:rFonts w:hint="eastAsia" w:ascii="宋体" w:hAnsi="宋体" w:cs="宋体"/>
                <w:color w:val="auto"/>
                <w:szCs w:val="21"/>
                <w:lang w:eastAsia="zh-CN"/>
              </w:rPr>
              <w:t>广西医科大学第一附属医院</w:t>
            </w:r>
          </w:p>
          <w:p>
            <w:pPr>
              <w:snapToGrid w:val="0"/>
              <w:spacing w:line="360" w:lineRule="exact"/>
              <w:rPr>
                <w:rFonts w:ascii="宋体" w:hAnsi="宋体" w:cs="宋体"/>
                <w:color w:val="auto"/>
                <w:szCs w:val="21"/>
              </w:rPr>
            </w:pPr>
            <w:r>
              <w:rPr>
                <w:rFonts w:hint="eastAsia" w:ascii="宋体" w:hAnsi="宋体" w:cs="宋体"/>
                <w:color w:val="auto"/>
                <w:szCs w:val="21"/>
              </w:rPr>
              <w:t>联系电话：</w:t>
            </w:r>
          </w:p>
          <w:p>
            <w:pPr>
              <w:snapToGrid w:val="0"/>
              <w:spacing w:line="360" w:lineRule="exact"/>
              <w:rPr>
                <w:rFonts w:ascii="宋体" w:hAnsi="宋体" w:cs="宋体"/>
                <w:color w:val="auto"/>
                <w:szCs w:val="21"/>
              </w:rPr>
            </w:pPr>
            <w:r>
              <w:rPr>
                <w:rFonts w:hint="eastAsia" w:ascii="宋体" w:hAnsi="宋体" w:cs="宋体"/>
                <w:color w:val="auto"/>
                <w:szCs w:val="21"/>
              </w:rPr>
              <w:t>通讯地址：</w:t>
            </w:r>
          </w:p>
          <w:p>
            <w:pPr>
              <w:snapToGrid w:val="0"/>
              <w:spacing w:line="360" w:lineRule="exact"/>
              <w:rPr>
                <w:rFonts w:ascii="宋体" w:hAnsi="宋体" w:cs="宋体"/>
                <w:color w:val="auto"/>
                <w:szCs w:val="21"/>
              </w:rPr>
            </w:pPr>
            <w:r>
              <w:rPr>
                <w:rFonts w:hint="eastAsia" w:ascii="宋体" w:hAnsi="宋体" w:cs="宋体"/>
                <w:color w:val="auto"/>
                <w:szCs w:val="21"/>
              </w:rPr>
              <w:t>（2）名称：广西科联招标中心有限公司</w:t>
            </w:r>
          </w:p>
          <w:p>
            <w:pPr>
              <w:snapToGrid w:val="0"/>
              <w:spacing w:line="360" w:lineRule="exact"/>
              <w:rPr>
                <w:rFonts w:ascii="宋体" w:hAnsi="宋体" w:cs="宋体"/>
                <w:color w:val="auto"/>
                <w:szCs w:val="21"/>
              </w:rPr>
            </w:pPr>
            <w:r>
              <w:rPr>
                <w:rFonts w:hint="eastAsia" w:ascii="宋体" w:hAnsi="宋体" w:cs="宋体"/>
                <w:color w:val="auto"/>
                <w:szCs w:val="21"/>
              </w:rPr>
              <w:t>联系电话：0771-3486228</w:t>
            </w:r>
          </w:p>
          <w:p>
            <w:pPr>
              <w:snapToGrid w:val="0"/>
              <w:spacing w:line="360" w:lineRule="exact"/>
              <w:rPr>
                <w:rFonts w:ascii="宋体" w:hAnsi="宋体" w:cs="宋体"/>
                <w:color w:val="auto"/>
                <w:szCs w:val="21"/>
              </w:rPr>
            </w:pPr>
            <w:r>
              <w:rPr>
                <w:rFonts w:hint="eastAsia" w:ascii="宋体" w:hAnsi="宋体" w:cs="宋体"/>
                <w:color w:val="auto"/>
                <w:szCs w:val="21"/>
              </w:rPr>
              <w:t>通讯地址：广西科联招标中心有限公司307室（广西南宁市大学东路170号广西农机研究院内）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质疑期内每个工作日（北京时间）上午</w:t>
            </w:r>
            <w:r>
              <w:rPr>
                <w:rFonts w:hint="eastAsia" w:ascii="宋体" w:hAnsi="宋体" w:cs="宋体"/>
                <w:color w:val="auto"/>
                <w:szCs w:val="21"/>
                <w:u w:val="single"/>
              </w:rPr>
              <w:t>8</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分到</w:t>
            </w:r>
            <w:r>
              <w:rPr>
                <w:rFonts w:hint="eastAsia" w:ascii="宋体" w:hAnsi="宋体" w:cs="宋体"/>
                <w:color w:val="auto"/>
                <w:szCs w:val="21"/>
                <w:u w:val="single"/>
              </w:rPr>
              <w:t>12</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分，下午</w:t>
            </w:r>
            <w:r>
              <w:rPr>
                <w:rFonts w:hint="eastAsia" w:ascii="宋体" w:hAnsi="宋体" w:cs="宋体"/>
                <w:color w:val="auto"/>
                <w:szCs w:val="21"/>
                <w:u w:val="single"/>
              </w:rPr>
              <w:t>15</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分到</w:t>
            </w:r>
            <w:r>
              <w:rPr>
                <w:rFonts w:hint="eastAsia" w:ascii="宋体" w:hAnsi="宋体" w:cs="宋体"/>
                <w:color w:val="auto"/>
                <w:szCs w:val="21"/>
                <w:u w:val="single"/>
              </w:rPr>
              <w:t>18</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860" w:type="dxa"/>
            <w:tcBorders>
              <w:top w:val="nil"/>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38.3.1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投诉受理方式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1、受理方式：纸质方式受理，投诉书正、副本（经过质疑的事项才可投诉）。</w:t>
            </w:r>
          </w:p>
          <w:p>
            <w:pPr>
              <w:snapToGrid w:val="0"/>
              <w:spacing w:line="360" w:lineRule="exact"/>
              <w:rPr>
                <w:rFonts w:ascii="宋体" w:hAnsi="宋体" w:cs="宋体"/>
                <w:color w:val="auto"/>
                <w:szCs w:val="21"/>
              </w:rPr>
            </w:pPr>
            <w:r>
              <w:rPr>
                <w:rFonts w:hint="eastAsia" w:ascii="宋体" w:hAnsi="宋体" w:cs="宋体"/>
                <w:color w:val="auto"/>
                <w:szCs w:val="21"/>
              </w:rPr>
              <w:t>2、通讯地址：</w:t>
            </w:r>
          </w:p>
          <w:p>
            <w:pPr>
              <w:snapToGrid w:val="0"/>
              <w:spacing w:line="360" w:lineRule="exact"/>
              <w:rPr>
                <w:rFonts w:ascii="宋体" w:hAnsi="宋体" w:cs="宋体"/>
                <w:color w:val="auto"/>
                <w:szCs w:val="21"/>
              </w:rPr>
            </w:pPr>
            <w:r>
              <w:rPr>
                <w:rFonts w:hint="eastAsia" w:ascii="宋体" w:hAnsi="宋体" w:cs="宋体"/>
                <w:color w:val="auto"/>
                <w:szCs w:val="21"/>
              </w:rPr>
              <w:t>名称：广西壮族自治区财政厅政府采购监督管理处</w:t>
            </w:r>
          </w:p>
          <w:p>
            <w:pPr>
              <w:snapToGrid w:val="0"/>
              <w:spacing w:line="360" w:lineRule="exact"/>
              <w:rPr>
                <w:rFonts w:ascii="宋体" w:hAnsi="宋体" w:cs="宋体"/>
                <w:color w:val="auto"/>
                <w:szCs w:val="21"/>
              </w:rPr>
            </w:pPr>
            <w:r>
              <w:rPr>
                <w:rFonts w:hint="eastAsia" w:ascii="宋体" w:hAnsi="宋体" w:cs="宋体"/>
                <w:color w:val="auto"/>
                <w:szCs w:val="21"/>
              </w:rPr>
              <w:t>地址：南宁市桃源路69号广西财政大厦7楼</w:t>
            </w:r>
          </w:p>
          <w:p>
            <w:pPr>
              <w:snapToGrid w:val="0"/>
              <w:spacing w:line="360" w:lineRule="exact"/>
              <w:rPr>
                <w:rFonts w:ascii="宋体" w:hAnsi="宋体" w:cs="宋体"/>
                <w:color w:val="auto"/>
                <w:szCs w:val="21"/>
              </w:rPr>
            </w:pPr>
            <w:r>
              <w:rPr>
                <w:rFonts w:hint="eastAsia" w:ascii="宋体" w:hAnsi="宋体" w:cs="宋体"/>
                <w:color w:val="auto"/>
                <w:szCs w:val="21"/>
              </w:rPr>
              <w:t xml:space="preserve">联系电话：0771-5331544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0" w:hRule="atLeast"/>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40</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bookmarkStart w:id="91" w:name="_41"/>
            <w:bookmarkEnd w:id="91"/>
            <w:bookmarkStart w:id="92" w:name="_42"/>
            <w:bookmarkEnd w:id="92"/>
            <w:r>
              <w:rPr>
                <w:rFonts w:hint="eastAsia" w:ascii="宋体" w:hAnsi="宋体" w:cs="宋体"/>
                <w:color w:val="auto"/>
                <w:szCs w:val="21"/>
              </w:rPr>
              <w:t>采购代理服务费支付方式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line="360" w:lineRule="exact"/>
              <w:rPr>
                <w:rFonts w:hAnsi="宋体" w:cs="宋体"/>
                <w:color w:val="auto"/>
                <w:szCs w:val="21"/>
                <w:lang w:val="en-US" w:eastAsia="zh-CN"/>
              </w:rPr>
            </w:pPr>
            <w:r>
              <w:rPr>
                <w:rFonts w:hint="eastAsia" w:hAnsi="宋体" w:cs="宋体"/>
                <w:color w:val="auto"/>
                <w:szCs w:val="21"/>
                <w:lang w:val="en-US" w:eastAsia="zh-CN"/>
              </w:rPr>
              <w:sym w:font="Wingdings 2" w:char="0052"/>
            </w:r>
            <w:r>
              <w:rPr>
                <w:rFonts w:hint="eastAsia" w:hAnsi="宋体" w:cs="宋体"/>
                <w:color w:val="auto"/>
                <w:szCs w:val="21"/>
                <w:lang w:val="en-US" w:eastAsia="zh-CN"/>
              </w:rPr>
              <w:t>本项目采购代理服务费由</w:t>
            </w:r>
            <w:r>
              <w:rPr>
                <w:rFonts w:hint="eastAsia" w:hAnsi="宋体" w:cs="宋体"/>
                <w:color w:val="auto"/>
                <w:szCs w:val="21"/>
                <w:u w:val="single"/>
                <w:lang w:val="en-US" w:eastAsia="zh-CN"/>
              </w:rPr>
              <w:t>中标人</w:t>
            </w:r>
            <w:r>
              <w:rPr>
                <w:rFonts w:hint="eastAsia" w:hAnsi="宋体" w:cs="宋体"/>
                <w:color w:val="auto"/>
                <w:szCs w:val="21"/>
                <w:lang w:val="en-US" w:eastAsia="zh-CN"/>
              </w:rPr>
              <w:t>在签订合同前，以银行转账、电汇等方式一次性向采购代理机构支付。</w:t>
            </w:r>
          </w:p>
          <w:p>
            <w:pPr>
              <w:pStyle w:val="14"/>
              <w:snapToGrid w:val="0"/>
              <w:spacing w:line="360" w:lineRule="exact"/>
              <w:rPr>
                <w:rFonts w:hAnsi="宋体" w:cs="宋体"/>
                <w:color w:val="auto"/>
                <w:szCs w:val="21"/>
                <w:u w:val="single"/>
                <w:lang w:val="en-US" w:eastAsia="zh-CN"/>
              </w:rPr>
            </w:pPr>
            <w:r>
              <w:rPr>
                <w:rFonts w:hint="eastAsia" w:hAnsi="宋体" w:cs="宋体"/>
                <w:color w:val="auto"/>
                <w:szCs w:val="21"/>
                <w:lang w:val="en-US" w:eastAsia="zh-CN"/>
              </w:rPr>
              <w:t>□采购人支付：。</w:t>
            </w:r>
          </w:p>
          <w:p>
            <w:pPr>
              <w:pStyle w:val="14"/>
              <w:snapToGrid w:val="0"/>
              <w:spacing w:line="360" w:lineRule="exact"/>
              <w:rPr>
                <w:rFonts w:hAnsi="宋体" w:cs="宋体"/>
                <w:color w:val="auto"/>
                <w:szCs w:val="21"/>
                <w:lang w:val="en-US" w:eastAsia="zh-CN"/>
              </w:rPr>
            </w:pPr>
            <w:r>
              <w:rPr>
                <w:rFonts w:hint="eastAsia" w:hAnsi="宋体" w:cs="宋体"/>
                <w:color w:val="auto"/>
                <w:szCs w:val="21"/>
                <w:lang w:val="en-US" w:eastAsia="zh-CN"/>
              </w:rPr>
              <w:t>□本项目不收取采购代理服务费。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21" w:hRule="atLeast"/>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采购代理服务费收取标准</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line="360" w:lineRule="exact"/>
              <w:rPr>
                <w:rFonts w:hAnsi="宋体" w:cs="宋体"/>
                <w:color w:val="auto"/>
                <w:szCs w:val="21"/>
                <w:lang w:val="en-US" w:eastAsia="zh-CN"/>
              </w:rPr>
            </w:pPr>
            <w:bookmarkStart w:id="93" w:name="PO_3000001867_PM025"/>
            <w:r>
              <w:rPr>
                <w:rFonts w:hint="eastAsia" w:hAnsi="宋体" w:cs="宋体"/>
                <w:color w:val="auto"/>
                <w:szCs w:val="21"/>
                <w:lang w:val="en-US" w:eastAsia="zh-CN"/>
              </w:rPr>
              <w:sym w:font="Wingdings 2" w:char="0052"/>
            </w:r>
            <w:r>
              <w:rPr>
                <w:rFonts w:hint="eastAsia" w:hAnsi="宋体" w:cs="宋体"/>
                <w:color w:val="auto"/>
                <w:szCs w:val="21"/>
                <w:lang w:val="en-US" w:eastAsia="zh-CN"/>
              </w:rPr>
              <w:t>以</w:t>
            </w:r>
            <w:r>
              <w:rPr>
                <w:rFonts w:hint="eastAsia" w:hAnsi="宋体" w:cs="宋体"/>
                <w:color w:val="auto"/>
                <w:kern w:val="0"/>
                <w:szCs w:val="21"/>
                <w:lang w:val="en-US" w:eastAsia="zh-CN"/>
              </w:rPr>
              <w:t>项目</w:t>
            </w:r>
            <w:r>
              <w:rPr>
                <w:rFonts w:hint="eastAsia" w:hAnsi="宋体" w:cs="宋体"/>
                <w:color w:val="auto"/>
                <w:szCs w:val="21"/>
                <w:lang w:val="en-US" w:eastAsia="zh-CN"/>
              </w:rPr>
              <w:t>（</w:t>
            </w:r>
            <w:r>
              <w:rPr>
                <w:rFonts w:hint="eastAsia" w:hAnsi="宋体" w:cs="宋体"/>
                <w:color w:val="auto"/>
                <w:szCs w:val="21"/>
                <w:lang w:val="en-US" w:eastAsia="zh-CN"/>
              </w:rPr>
              <w:sym w:font="Wingdings 2" w:char="0052"/>
            </w:r>
            <w:r>
              <w:rPr>
                <w:rFonts w:hint="eastAsia" w:hAnsi="宋体" w:cs="宋体"/>
                <w:color w:val="auto"/>
                <w:szCs w:val="21"/>
                <w:lang w:val="en-US" w:eastAsia="zh-CN"/>
              </w:rPr>
              <w:t>中标金额/□采购预算/□暂定中标金额/□其他）为计费额，按本须知正文第40.2条规定的收费计算标准（</w:t>
            </w:r>
            <w:r>
              <w:rPr>
                <w:rFonts w:hint="eastAsia" w:hAnsi="宋体" w:cs="宋体"/>
                <w:b/>
                <w:bCs/>
                <w:color w:val="auto"/>
                <w:szCs w:val="21"/>
                <w:lang w:val="en-US" w:eastAsia="zh-CN"/>
              </w:rPr>
              <w:t>货物类</w:t>
            </w:r>
            <w:r>
              <w:rPr>
                <w:rFonts w:hint="eastAsia" w:hAnsi="宋体" w:cs="宋体"/>
                <w:color w:val="auto"/>
                <w:szCs w:val="21"/>
                <w:lang w:val="en-US" w:eastAsia="zh-CN"/>
              </w:rPr>
              <w:t>）采用差额定率累进法计算出收费基准价格，采购代理收费以（□收费基准价格/</w:t>
            </w:r>
            <w:r>
              <w:rPr>
                <w:rFonts w:hint="eastAsia" w:hAnsi="宋体" w:cs="宋体"/>
                <w:color w:val="auto"/>
                <w:szCs w:val="21"/>
                <w:lang w:val="en-US" w:eastAsia="zh-CN"/>
              </w:rPr>
              <w:sym w:font="Wingdings 2" w:char="0052"/>
            </w:r>
            <w:r>
              <w:rPr>
                <w:rFonts w:hint="eastAsia" w:hAnsi="宋体" w:cs="宋体"/>
                <w:color w:val="auto"/>
                <w:szCs w:val="21"/>
                <w:lang w:val="en-US" w:eastAsia="zh-CN"/>
              </w:rPr>
              <w:t>收费基准价格下浮</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u w:val="single"/>
              </w:rPr>
              <w:t>%</w:t>
            </w:r>
            <w:r>
              <w:rPr>
                <w:rFonts w:hint="eastAsia" w:hAnsi="宋体" w:cs="宋体"/>
                <w:color w:val="auto"/>
                <w:szCs w:val="21"/>
                <w:lang w:val="en-US" w:eastAsia="zh-CN"/>
              </w:rPr>
              <w:t>/□收费基准价格上浮</w:t>
            </w:r>
            <w:r>
              <w:rPr>
                <w:rFonts w:hint="eastAsia" w:hAnsi="宋体" w:cs="宋体"/>
                <w:color w:val="auto"/>
                <w:szCs w:val="21"/>
                <w:u w:val="single"/>
                <w:lang w:val="en-US" w:eastAsia="zh-CN"/>
              </w:rPr>
              <w:t xml:space="preserve">   %</w:t>
            </w:r>
            <w:r>
              <w:rPr>
                <w:rFonts w:hint="eastAsia" w:hAnsi="宋体" w:cs="宋体"/>
                <w:color w:val="auto"/>
                <w:szCs w:val="21"/>
                <w:lang w:val="en-US" w:eastAsia="zh-CN"/>
              </w:rPr>
              <w:t>）收取。</w:t>
            </w:r>
          </w:p>
          <w:p>
            <w:pPr>
              <w:pStyle w:val="14"/>
              <w:snapToGrid w:val="0"/>
              <w:spacing w:line="360" w:lineRule="exact"/>
              <w:rPr>
                <w:rFonts w:hAnsi="宋体" w:cs="宋体"/>
                <w:color w:val="auto"/>
                <w:szCs w:val="21"/>
                <w:u w:val="single"/>
                <w:lang w:val="en-US" w:eastAsia="zh-CN"/>
              </w:rPr>
            </w:pPr>
            <w:r>
              <w:rPr>
                <w:rFonts w:hint="eastAsia" w:hAnsi="宋体" w:cs="宋体"/>
                <w:color w:val="auto"/>
                <w:szCs w:val="21"/>
                <w:lang w:val="en-US" w:eastAsia="zh-CN"/>
              </w:rPr>
              <w:t>□固定采购代理收费：。</w:t>
            </w:r>
            <w:bookmarkEnd w:id="9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9" w:hRule="atLeast"/>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rPr>
            </w:pPr>
            <w:r>
              <w:rPr>
                <w:rFonts w:hint="eastAsia" w:ascii="宋体" w:hAnsi="宋体" w:cs="宋体"/>
                <w:color w:val="auto"/>
                <w:szCs w:val="21"/>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line="360" w:lineRule="exact"/>
              <w:rPr>
                <w:rFonts w:hAnsi="宋体" w:cs="宋体"/>
                <w:color w:val="auto"/>
                <w:szCs w:val="21"/>
                <w:lang w:val="en-US" w:eastAsia="zh-CN"/>
              </w:rPr>
            </w:pPr>
            <w:r>
              <w:rPr>
                <w:rFonts w:hint="eastAsia" w:hAnsi="宋体" w:cs="宋体"/>
                <w:color w:val="auto"/>
                <w:szCs w:val="21"/>
                <w:lang w:val="en-US" w:eastAsia="zh-CN"/>
              </w:rPr>
              <w:t>开户名称：广西科联招标中心有限公司</w:t>
            </w:r>
          </w:p>
          <w:p>
            <w:pPr>
              <w:pStyle w:val="14"/>
              <w:snapToGrid w:val="0"/>
              <w:spacing w:line="360" w:lineRule="exact"/>
              <w:rPr>
                <w:rFonts w:hAnsi="宋体" w:cs="宋体"/>
                <w:color w:val="auto"/>
                <w:szCs w:val="21"/>
                <w:lang w:val="en-US" w:eastAsia="zh-CN"/>
              </w:rPr>
            </w:pPr>
            <w:r>
              <w:rPr>
                <w:rFonts w:hint="eastAsia" w:hAnsi="宋体" w:cs="宋体"/>
                <w:color w:val="auto"/>
                <w:szCs w:val="21"/>
                <w:lang w:val="en-US" w:eastAsia="zh-CN"/>
              </w:rPr>
              <w:t>开户银行：中国工商银行南宁市高新科技支行</w:t>
            </w:r>
          </w:p>
          <w:p>
            <w:pPr>
              <w:pStyle w:val="14"/>
              <w:snapToGrid w:val="0"/>
              <w:spacing w:line="360" w:lineRule="exact"/>
              <w:rPr>
                <w:rFonts w:hAnsi="宋体" w:cs="宋体"/>
                <w:color w:val="auto"/>
                <w:szCs w:val="21"/>
                <w:lang w:val="en-US" w:eastAsia="zh-CN"/>
              </w:rPr>
            </w:pPr>
            <w:r>
              <w:rPr>
                <w:rFonts w:hint="eastAsia" w:hAnsi="宋体" w:cs="宋体"/>
                <w:color w:val="auto"/>
                <w:szCs w:val="21"/>
                <w:lang w:val="en-US" w:eastAsia="zh-CN"/>
              </w:rPr>
              <w:t>银行账号：2102111229300032105</w:t>
            </w:r>
          </w:p>
          <w:p>
            <w:pPr>
              <w:pStyle w:val="14"/>
              <w:snapToGrid w:val="0"/>
              <w:spacing w:line="360" w:lineRule="exact"/>
              <w:rPr>
                <w:rFonts w:hAnsi="宋体" w:cs="宋体"/>
                <w:color w:val="auto"/>
                <w:szCs w:val="21"/>
                <w:lang w:val="en-US" w:eastAsia="zh-CN"/>
              </w:rPr>
            </w:pPr>
            <w:r>
              <w:rPr>
                <w:rFonts w:hint="eastAsia" w:hAnsi="宋体" w:cs="宋体"/>
                <w:color w:val="auto"/>
                <w:szCs w:val="21"/>
                <w:lang w:val="en-US" w:eastAsia="zh-CN"/>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41.1</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解释</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b/>
                <w:color w:val="auto"/>
                <w:szCs w:val="21"/>
              </w:rPr>
            </w:pPr>
            <w:r>
              <w:rPr>
                <w:rFonts w:hint="eastAsia" w:ascii="宋体" w:hAnsi="宋体" w:cs="宋体"/>
                <w:b/>
                <w:color w:val="auto"/>
                <w:szCs w:val="21"/>
              </w:rPr>
              <w:t>解释：</w:t>
            </w:r>
            <w:r>
              <w:rPr>
                <w:rFonts w:hint="eastAsia" w:ascii="宋体" w:hAnsi="宋体" w:cs="宋体"/>
                <w:color w:val="auto"/>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rPr>
              <w:t>，由采购人或者采购代理机构负责解释。</w:t>
            </w:r>
          </w:p>
          <w:p>
            <w:pPr>
              <w:snapToGrid w:val="0"/>
              <w:spacing w:line="360" w:lineRule="exact"/>
              <w:rPr>
                <w:rFonts w:ascii="宋体" w:hAnsi="宋体" w:cs="宋体"/>
                <w:b/>
                <w:color w:val="auto"/>
                <w:szCs w:val="21"/>
              </w:rPr>
            </w:pPr>
            <w:r>
              <w:rPr>
                <w:rFonts w:hint="eastAsia" w:ascii="宋体" w:hAnsi="宋体" w:cs="宋体"/>
                <w:b/>
                <w:color w:val="auto"/>
                <w:szCs w:val="21"/>
              </w:rPr>
              <w:t>法律责任：</w:t>
            </w:r>
          </w:p>
          <w:p>
            <w:pPr>
              <w:snapToGrid w:val="0"/>
              <w:spacing w:line="360" w:lineRule="exact"/>
              <w:rPr>
                <w:rFonts w:ascii="宋体" w:hAnsi="宋体" w:cs="宋体"/>
                <w:color w:val="auto"/>
                <w:szCs w:val="21"/>
              </w:rPr>
            </w:pPr>
            <w:r>
              <w:rPr>
                <w:rFonts w:hint="eastAsia" w:ascii="宋体" w:hAnsi="宋体" w:cs="宋体"/>
                <w:color w:val="auto"/>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41.2</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rPr>
            </w:pPr>
            <w:r>
              <w:rPr>
                <w:rFonts w:hint="eastAsia" w:ascii="宋体" w:hAnsi="宋体" w:cs="宋体"/>
                <w:color w:val="auto"/>
                <w:szCs w:val="21"/>
              </w:rPr>
              <w:t>其他释义</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9"/>
              <w:spacing w:line="360" w:lineRule="exact"/>
              <w:ind w:firstLine="420" w:firstLineChars="200"/>
              <w:rPr>
                <w:rFonts w:ascii="宋体" w:hAnsi="宋体" w:cs="宋体"/>
                <w:color w:val="auto"/>
                <w:szCs w:val="21"/>
                <w:lang w:val="en-US" w:eastAsia="zh-CN"/>
              </w:rPr>
            </w:pPr>
            <w:r>
              <w:rPr>
                <w:rFonts w:hint="eastAsia" w:ascii="宋体" w:hAnsi="宋体" w:cs="宋体"/>
                <w:color w:val="auto"/>
                <w:szCs w:val="21"/>
                <w:lang w:val="en-US" w:eastAsia="zh-CN"/>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9"/>
              <w:spacing w:line="360" w:lineRule="exact"/>
              <w:ind w:firstLine="420" w:firstLineChars="200"/>
              <w:rPr>
                <w:rFonts w:ascii="宋体" w:hAnsi="宋体" w:cs="宋体"/>
                <w:color w:val="auto"/>
                <w:szCs w:val="21"/>
                <w:lang w:val="en-US" w:eastAsia="zh-CN"/>
              </w:rPr>
            </w:pPr>
            <w:r>
              <w:rPr>
                <w:rFonts w:hint="eastAsia" w:ascii="宋体" w:hAnsi="宋体" w:cs="宋体"/>
                <w:color w:val="auto"/>
                <w:szCs w:val="21"/>
                <w:lang w:val="en-US" w:eastAsia="zh-CN"/>
              </w:rPr>
              <w:t>2.本招标文件中描述投标人的“签字”是指投标人通过指定电子化政府采购平台办理数字证书（CA认证）获得的以投标人法定代表人或者委托代理人姓名制作的电子印章或手写签字。</w:t>
            </w:r>
          </w:p>
          <w:p>
            <w:pPr>
              <w:pStyle w:val="9"/>
              <w:tabs>
                <w:tab w:val="center" w:pos="4153"/>
                <w:tab w:val="right" w:pos="8306"/>
              </w:tabs>
              <w:spacing w:line="360" w:lineRule="exact"/>
              <w:ind w:firstLine="420" w:firstLineChars="200"/>
              <w:rPr>
                <w:rFonts w:ascii="宋体" w:hAnsi="宋体" w:cs="宋体"/>
                <w:color w:val="auto"/>
                <w:szCs w:val="21"/>
                <w:lang w:val="en-US" w:eastAsia="zh-CN"/>
              </w:rPr>
            </w:pPr>
            <w:r>
              <w:rPr>
                <w:rFonts w:hint="eastAsia" w:ascii="宋体" w:hAnsi="宋体" w:cs="宋体"/>
                <w:color w:val="auto"/>
                <w:szCs w:val="21"/>
                <w:lang w:val="en-US" w:eastAsia="zh-CN"/>
              </w:rPr>
              <w:t>3.本招标文件所称的“电子签章”“电子签名”，是指经“政采云”平台认可的CA认证的电子签名数据为表现形式的印章，可用于签署电子投标文件，电子印章与实物印章具有同等法律效力，不因其采用电子化表现形式而否定其法律效力。</w:t>
            </w:r>
          </w:p>
          <w:p>
            <w:pPr>
              <w:pStyle w:val="9"/>
              <w:spacing w:line="360" w:lineRule="exact"/>
              <w:ind w:firstLine="420" w:firstLineChars="200"/>
              <w:rPr>
                <w:rFonts w:ascii="宋体" w:hAnsi="宋体" w:cs="宋体"/>
                <w:color w:val="auto"/>
                <w:szCs w:val="21"/>
                <w:lang w:val="en-US" w:eastAsia="zh-CN"/>
              </w:rPr>
            </w:pPr>
            <w:r>
              <w:rPr>
                <w:rFonts w:hint="eastAsia" w:ascii="宋体" w:hAnsi="宋体" w:cs="宋体"/>
                <w:color w:val="auto"/>
                <w:szCs w:val="21"/>
                <w:lang w:val="en-US" w:eastAsia="zh-CN"/>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9"/>
              <w:spacing w:line="360" w:lineRule="exact"/>
              <w:ind w:firstLine="420" w:firstLineChars="200"/>
              <w:rPr>
                <w:rFonts w:ascii="宋体" w:hAnsi="宋体" w:cs="宋体"/>
                <w:color w:val="auto"/>
                <w:szCs w:val="21"/>
                <w:lang w:val="en-US" w:eastAsia="zh-CN"/>
              </w:rPr>
            </w:pPr>
            <w:r>
              <w:rPr>
                <w:rFonts w:hint="eastAsia" w:ascii="宋体" w:hAnsi="宋体" w:cs="宋体"/>
                <w:color w:val="auto"/>
                <w:szCs w:val="21"/>
                <w:lang w:val="en-US" w:eastAsia="zh-CN"/>
              </w:rPr>
              <w:t>5.自然人投标的，招标文件规定盖公章处由自然人摁手指指印。</w:t>
            </w:r>
          </w:p>
          <w:p>
            <w:pPr>
              <w:pStyle w:val="9"/>
              <w:spacing w:line="360" w:lineRule="exact"/>
              <w:rPr>
                <w:rFonts w:ascii="宋体" w:hAnsi="宋体" w:cs="宋体"/>
                <w:color w:val="auto"/>
                <w:szCs w:val="21"/>
                <w:lang w:val="en-US" w:eastAsia="zh-CN"/>
              </w:rPr>
            </w:pPr>
            <w:r>
              <w:rPr>
                <w:rFonts w:hint="eastAsia" w:ascii="宋体" w:hAnsi="宋体" w:cs="宋体"/>
                <w:color w:val="auto"/>
                <w:szCs w:val="21"/>
                <w:lang w:val="en-US" w:eastAsia="zh-CN"/>
              </w:rPr>
              <w:t xml:space="preserve">    6.本招标文件所称的“以上”“以下”“以内”“届满”，包括本数。所称的“不满”“超过”“以外”，不包括本数。</w:t>
            </w:r>
          </w:p>
        </w:tc>
      </w:tr>
    </w:tbl>
    <w:p>
      <w:pPr>
        <w:pStyle w:val="3"/>
        <w:jc w:val="center"/>
        <w:rPr>
          <w:rFonts w:ascii="宋体" w:hAnsi="宋体" w:eastAsia="宋体" w:cs="宋体"/>
          <w:color w:val="auto"/>
        </w:rPr>
      </w:pPr>
      <w:bookmarkStart w:id="94" w:name="_Toc9224"/>
      <w:bookmarkStart w:id="95" w:name="_Toc21899"/>
      <w:bookmarkStart w:id="96" w:name="_Toc29181"/>
      <w:bookmarkStart w:id="97" w:name="_Toc21704"/>
      <w:r>
        <w:rPr>
          <w:rFonts w:hint="eastAsia" w:ascii="宋体" w:hAnsi="宋体" w:eastAsia="宋体" w:cs="宋体"/>
          <w:color w:val="auto"/>
        </w:rPr>
        <w:br w:type="page"/>
      </w:r>
      <w:r>
        <w:rPr>
          <w:rFonts w:hint="eastAsia" w:ascii="宋体" w:hAnsi="宋体" w:eastAsia="宋体" w:cs="宋体"/>
          <w:color w:val="auto"/>
        </w:rPr>
        <w:t>第二节 投标人须知正文</w:t>
      </w:r>
      <w:bookmarkEnd w:id="94"/>
      <w:bookmarkEnd w:id="95"/>
      <w:bookmarkEnd w:id="96"/>
      <w:bookmarkEnd w:id="97"/>
    </w:p>
    <w:p>
      <w:pPr>
        <w:pStyle w:val="4"/>
        <w:keepNext w:val="0"/>
        <w:keepLines w:val="0"/>
        <w:spacing w:line="400" w:lineRule="exact"/>
        <w:jc w:val="center"/>
        <w:rPr>
          <w:rFonts w:ascii="宋体" w:hAnsi="宋体" w:cs="宋体"/>
          <w:color w:val="auto"/>
        </w:rPr>
      </w:pPr>
      <w:bookmarkStart w:id="98" w:name="_Toc13703"/>
      <w:bookmarkStart w:id="99" w:name="_Toc5656"/>
      <w:bookmarkStart w:id="100" w:name="_Toc2156"/>
      <w:bookmarkStart w:id="101" w:name="_Toc9192"/>
      <w:r>
        <w:rPr>
          <w:rFonts w:hint="eastAsia" w:ascii="宋体" w:hAnsi="宋体" w:cs="宋体"/>
          <w:color w:val="auto"/>
        </w:rPr>
        <w:t>一、总  则</w:t>
      </w:r>
      <w:bookmarkEnd w:id="98"/>
      <w:bookmarkEnd w:id="99"/>
      <w:bookmarkEnd w:id="100"/>
      <w:bookmarkEnd w:id="101"/>
    </w:p>
    <w:p>
      <w:pPr>
        <w:spacing w:line="360" w:lineRule="auto"/>
        <w:ind w:firstLine="480" w:firstLineChars="200"/>
        <w:rPr>
          <w:rFonts w:ascii="宋体" w:hAnsi="宋体" w:cs="宋体"/>
          <w:color w:val="auto"/>
          <w:sz w:val="24"/>
        </w:rPr>
      </w:pPr>
      <w:bookmarkStart w:id="102" w:name="_Toc254970668"/>
      <w:bookmarkStart w:id="103" w:name="_Toc254970527"/>
      <w:r>
        <w:rPr>
          <w:rFonts w:hint="eastAsia" w:ascii="宋体" w:hAnsi="宋体" w:cs="宋体"/>
          <w:color w:val="auto"/>
          <w:sz w:val="24"/>
        </w:rPr>
        <w:t>1.适用范围</w:t>
      </w:r>
      <w:bookmarkEnd w:id="102"/>
      <w:bookmarkEnd w:id="103"/>
    </w:p>
    <w:p>
      <w:pPr>
        <w:spacing w:line="360" w:lineRule="auto"/>
        <w:ind w:firstLine="420" w:firstLineChars="200"/>
        <w:rPr>
          <w:rFonts w:ascii="宋体" w:hAnsi="宋体" w:cs="宋体"/>
          <w:color w:val="auto"/>
          <w:szCs w:val="21"/>
        </w:rPr>
      </w:pPr>
      <w:r>
        <w:rPr>
          <w:rFonts w:hint="eastAsia" w:ascii="宋体" w:hAnsi="宋体" w:cs="宋体"/>
          <w:color w:val="auto"/>
          <w:szCs w:val="21"/>
        </w:rPr>
        <w:t>1.1适用法律：本项目采购人、采购代理机构、投标人、评标委员会的相关行为均受《中华人民共和国政府采购法》、《中华人民共和国政府采购法实施条例》、《</w:t>
      </w:r>
      <w:r>
        <w:rPr>
          <w:rFonts w:ascii="宋体" w:hAnsi="宋体" w:cs="宋体"/>
          <w:color w:val="auto"/>
          <w:kern w:val="0"/>
          <w:szCs w:val="21"/>
        </w:rPr>
        <w:t>政府采购货物和服务招标投标管理办法</w:t>
      </w:r>
      <w:r>
        <w:rPr>
          <w:rFonts w:hint="eastAsia" w:ascii="宋体" w:hAnsi="宋体" w:cs="宋体"/>
          <w:color w:val="auto"/>
          <w:szCs w:val="21"/>
        </w:rPr>
        <w:t>》及本项目本级和上级财政部门政府采购有关规定的约束和保护。</w:t>
      </w:r>
    </w:p>
    <w:p>
      <w:pPr>
        <w:spacing w:line="360" w:lineRule="auto"/>
        <w:ind w:firstLine="420" w:firstLineChars="200"/>
        <w:rPr>
          <w:rFonts w:ascii="宋体" w:hAnsi="宋体" w:cs="宋体"/>
          <w:color w:val="auto"/>
          <w:szCs w:val="21"/>
        </w:rPr>
      </w:pPr>
      <w:r>
        <w:rPr>
          <w:rFonts w:hint="eastAsia" w:ascii="宋体" w:hAnsi="宋体" w:cs="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pPr>
        <w:spacing w:line="360" w:lineRule="auto"/>
        <w:ind w:firstLine="480" w:firstLineChars="200"/>
        <w:rPr>
          <w:rFonts w:ascii="宋体" w:hAnsi="宋体" w:cs="宋体"/>
          <w:color w:val="auto"/>
          <w:sz w:val="24"/>
        </w:rPr>
      </w:pPr>
      <w:bookmarkStart w:id="104" w:name="_Toc254970669"/>
      <w:bookmarkStart w:id="105" w:name="_Toc254970528"/>
      <w:r>
        <w:rPr>
          <w:rFonts w:hint="eastAsia" w:ascii="宋体" w:hAnsi="宋体" w:cs="宋体"/>
          <w:color w:val="auto"/>
          <w:sz w:val="24"/>
        </w:rPr>
        <w:t>2.定义</w:t>
      </w:r>
      <w:bookmarkEnd w:id="104"/>
      <w:bookmarkEnd w:id="105"/>
    </w:p>
    <w:p>
      <w:pPr>
        <w:spacing w:line="360" w:lineRule="auto"/>
        <w:ind w:firstLine="422" w:firstLineChars="200"/>
        <w:rPr>
          <w:rFonts w:ascii="宋体" w:hAnsi="宋体" w:cs="宋体"/>
          <w:b/>
          <w:color w:val="auto"/>
          <w:szCs w:val="21"/>
        </w:rPr>
      </w:pPr>
      <w:r>
        <w:rPr>
          <w:rFonts w:hint="eastAsia" w:ascii="宋体" w:hAnsi="宋体" w:cs="宋体"/>
          <w:b/>
          <w:color w:val="auto"/>
          <w:szCs w:val="21"/>
        </w:rPr>
        <w:t>2.1“采购人”是指依法进行政府采购的国家机关、事业单位、团体组织。</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2.2“采购代理机构” 指政府采购集中采购机构和集中采购机构以外的采购代理机构。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2.3“供应商”是指向采购人提供货物、工程或者服务的法人、其他组织或者自然人。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2.4“投标人”是指响应招标、参加投标竞争的法人、非法人组织或者自然人。</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2.5“货物”是指各种形态和种类的物品，包括原材料、燃料、设备、产品等。</w:t>
      </w:r>
    </w:p>
    <w:p>
      <w:pPr>
        <w:pStyle w:val="6"/>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2.6“售后服务” 是指商品出售以后所提供的各种服务，包含但不限于投标人须承担的备品备件、包装、运输、装卸、保险、货到就位以及安装、调试、培训、保修以及其他各种服务。</w:t>
      </w:r>
    </w:p>
    <w:p>
      <w:pPr>
        <w:pStyle w:val="6"/>
        <w:keepNext w:val="0"/>
        <w:keepLines w:val="0"/>
        <w:spacing w:before="0" w:after="0" w:line="360" w:lineRule="auto"/>
        <w:rPr>
          <w:rFonts w:ascii="宋体" w:hAnsi="宋体" w:cs="宋体"/>
          <w:b w:val="0"/>
          <w:color w:val="auto"/>
          <w:sz w:val="21"/>
          <w:szCs w:val="21"/>
        </w:rPr>
      </w:pPr>
      <w:r>
        <w:rPr>
          <w:rFonts w:hint="eastAsia" w:ascii="宋体" w:hAnsi="宋体" w:cs="宋体"/>
          <w:b w:val="0"/>
          <w:color w:val="auto"/>
          <w:sz w:val="21"/>
          <w:szCs w:val="21"/>
        </w:rPr>
        <w:t xml:space="preserve">    2.7“书面形式”是指合同书、信件和数据电文（包括电报、电传、传真、电子数据交换和电子邮件）等可以有形地表现所载内容的形式。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2.9 “正偏离”，是指投标文件对招标文件“采购需求”中有关条款作出的响应优于条款要求并有利于采购人的情形。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pPr>
        <w:spacing w:line="360" w:lineRule="auto"/>
        <w:ind w:firstLine="480" w:firstLineChars="200"/>
        <w:rPr>
          <w:rFonts w:ascii="宋体" w:hAnsi="宋体" w:cs="宋体"/>
          <w:color w:val="auto"/>
          <w:sz w:val="24"/>
        </w:rPr>
      </w:pPr>
      <w:bookmarkStart w:id="106" w:name="_Toc254970670"/>
      <w:bookmarkStart w:id="107" w:name="_Toc254970529"/>
      <w:r>
        <w:rPr>
          <w:rFonts w:hint="eastAsia" w:ascii="宋体" w:hAnsi="宋体" w:cs="宋体"/>
          <w:color w:val="auto"/>
          <w:sz w:val="24"/>
        </w:rPr>
        <w:t>3.</w:t>
      </w:r>
      <w:bookmarkEnd w:id="106"/>
      <w:bookmarkEnd w:id="107"/>
      <w:r>
        <w:rPr>
          <w:rFonts w:hint="eastAsia" w:ascii="宋体" w:hAnsi="宋体" w:cs="宋体"/>
          <w:color w:val="auto"/>
          <w:sz w:val="24"/>
        </w:rPr>
        <w:t>投标人的资格要求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投标人的资格要求详见“招标公告”。</w:t>
      </w:r>
    </w:p>
    <w:p>
      <w:pPr>
        <w:spacing w:line="360" w:lineRule="auto"/>
        <w:ind w:firstLine="480" w:firstLineChars="200"/>
        <w:rPr>
          <w:rFonts w:ascii="宋体" w:hAnsi="宋体" w:cs="宋体"/>
          <w:color w:val="auto"/>
          <w:sz w:val="24"/>
        </w:rPr>
      </w:pPr>
      <w:bookmarkStart w:id="108" w:name="_Toc254970671"/>
      <w:bookmarkStart w:id="109" w:name="_Toc254970530"/>
      <w:r>
        <w:rPr>
          <w:rFonts w:hint="eastAsia" w:ascii="宋体" w:hAnsi="宋体" w:cs="宋体"/>
          <w:color w:val="auto"/>
          <w:sz w:val="24"/>
        </w:rPr>
        <w:t>4.投标委托</w:t>
      </w:r>
      <w:bookmarkEnd w:id="108"/>
      <w:bookmarkEnd w:id="109"/>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ascii="宋体" w:hAnsi="宋体" w:cs="宋体"/>
          <w:color w:val="auto"/>
          <w:sz w:val="24"/>
        </w:rPr>
      </w:pPr>
      <w:bookmarkStart w:id="110" w:name="_5.投标费用"/>
      <w:bookmarkEnd w:id="110"/>
      <w:bookmarkStart w:id="111" w:name="_Toc254970531"/>
      <w:bookmarkStart w:id="112" w:name="_Toc254970672"/>
      <w:r>
        <w:rPr>
          <w:rFonts w:hint="eastAsia" w:ascii="宋体" w:hAnsi="宋体" w:cs="宋体"/>
          <w:color w:val="auto"/>
          <w:sz w:val="24"/>
        </w:rPr>
        <w:t>5.投标费用</w:t>
      </w:r>
      <w:bookmarkEnd w:id="111"/>
      <w:bookmarkEnd w:id="112"/>
    </w:p>
    <w:p>
      <w:pPr>
        <w:spacing w:line="360" w:lineRule="auto"/>
        <w:ind w:firstLine="420" w:firstLineChars="200"/>
        <w:rPr>
          <w:rFonts w:ascii="宋体" w:hAnsi="宋体" w:cs="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宋体" w:hAnsi="宋体" w:cs="宋体"/>
          <w:color w:val="auto"/>
          <w:sz w:val="24"/>
        </w:rPr>
      </w:pPr>
      <w:r>
        <w:rPr>
          <w:rFonts w:hint="eastAsia" w:ascii="宋体" w:hAnsi="宋体" w:cs="宋体"/>
          <w:color w:val="auto"/>
          <w:sz w:val="24"/>
        </w:rPr>
        <w:t>6.联合体投标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6.1本项目是否接受联合体投标，详见“投标人须知前附表”。</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6.2如接受联合体投标，联合体投标要求详见“投标人须知前附表”。</w:t>
      </w:r>
    </w:p>
    <w:p>
      <w:pPr>
        <w:snapToGrid w:val="0"/>
        <w:spacing w:line="360" w:lineRule="auto"/>
        <w:ind w:firstLine="420" w:firstLineChars="200"/>
        <w:jc w:val="left"/>
        <w:rPr>
          <w:rFonts w:ascii="宋体" w:hAnsi="宋体" w:cs="宋体"/>
          <w:color w:val="auto"/>
          <w:sz w:val="24"/>
          <w:shd w:val="clear" w:color="auto" w:fill="FFFFFF"/>
        </w:rPr>
      </w:pPr>
      <w:r>
        <w:rPr>
          <w:rFonts w:hint="eastAsia" w:ascii="宋体" w:hAnsi="宋体" w:cs="宋体"/>
          <w:bCs/>
          <w:color w:val="auto"/>
          <w:szCs w:val="21"/>
        </w:rPr>
        <w:t>6.3根据《政府采购促进中小企业发展管理办法》（财库[2020]46号）第九条、《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7.转包与分包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7.1 本项目不允许转包。</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7.3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0" w:firstLineChars="200"/>
        <w:rPr>
          <w:rFonts w:ascii="宋体" w:hAnsi="宋体" w:cs="宋体"/>
          <w:color w:val="auto"/>
          <w:sz w:val="24"/>
        </w:rPr>
      </w:pPr>
      <w:bookmarkStart w:id="113" w:name="_Toc254970673"/>
      <w:bookmarkStart w:id="114" w:name="_Toc254970532"/>
      <w:r>
        <w:rPr>
          <w:rFonts w:hint="eastAsia" w:ascii="宋体" w:hAnsi="宋体" w:cs="宋体"/>
          <w:color w:val="auto"/>
          <w:sz w:val="24"/>
        </w:rPr>
        <w:t>8.特别说明：</w:t>
      </w:r>
      <w:bookmarkEnd w:id="113"/>
      <w:bookmarkEnd w:id="114"/>
      <w:bookmarkStart w:id="115" w:name="_8.1提供相同品牌产品且通过资格审查、符合性审查的不同投标人参加同一合"/>
      <w:bookmarkEnd w:id="115"/>
    </w:p>
    <w:p>
      <w:pPr>
        <w:spacing w:line="360" w:lineRule="auto"/>
        <w:ind w:firstLine="422" w:firstLineChars="200"/>
        <w:rPr>
          <w:rFonts w:ascii="宋体" w:hAnsi="宋体" w:cs="宋体"/>
          <w:b/>
          <w:color w:val="auto"/>
          <w:szCs w:val="21"/>
        </w:rPr>
      </w:pPr>
      <w:r>
        <w:rPr>
          <w:rFonts w:hint="eastAsia" w:ascii="宋体" w:hAnsi="宋体" w:cs="宋体"/>
          <w:b/>
          <w:color w:val="auto"/>
          <w:szCs w:val="21"/>
        </w:rPr>
        <w:t>8.1如果本招标文件要求投标人提供资格、信誉、荣誉、业绩与企业认证等材料的，则投标人所提供的以上材料必须为本投标人所拥有。</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8.2投标人应仔细阅读招标文件的所有内容，按照招标文件的要求提交投标文件，并对所提供的全部资料的真实性承担法律责任。</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widowControl/>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pPr>
        <w:widowControl/>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8.5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pPr>
        <w:widowControl/>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8.6非单一产品采购项目，采购人应当根据采购项目技术构成、产品价格比重等合理确定核心产品，并在招标文件中载明。多家投标人提供的核心产品品牌相同的，按前两款规定处理。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80" w:firstLineChars="200"/>
        <w:rPr>
          <w:rFonts w:ascii="宋体" w:hAnsi="宋体" w:cs="宋体"/>
          <w:color w:val="auto"/>
          <w:sz w:val="24"/>
        </w:rPr>
      </w:pPr>
      <w:r>
        <w:rPr>
          <w:rFonts w:hint="eastAsia" w:ascii="宋体" w:hAnsi="宋体" w:cs="宋体"/>
          <w:color w:val="auto"/>
          <w:sz w:val="24"/>
        </w:rPr>
        <w:t>9.回避与串通投标</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9.1在政府采购活动中，采购人员及相关人员与供应商有下列利害关系之一的，应当回避：</w:t>
      </w:r>
    </w:p>
    <w:p>
      <w:pPr>
        <w:spacing w:line="360" w:lineRule="auto"/>
        <w:ind w:firstLine="422" w:firstLineChars="200"/>
        <w:rPr>
          <w:rFonts w:ascii="宋体" w:hAnsi="宋体" w:cs="宋体"/>
          <w:b/>
          <w:bCs/>
          <w:color w:val="auto"/>
        </w:rPr>
      </w:pPr>
      <w:r>
        <w:rPr>
          <w:rFonts w:hint="eastAsia" w:ascii="宋体" w:hAnsi="宋体" w:cs="宋体"/>
          <w:b/>
          <w:bCs/>
          <w:color w:val="auto"/>
        </w:rPr>
        <w:t>（1）参加采购活动前3年内与供应商存在劳动关系。</w:t>
      </w:r>
    </w:p>
    <w:p>
      <w:pPr>
        <w:spacing w:line="360" w:lineRule="auto"/>
        <w:ind w:firstLine="422" w:firstLineChars="200"/>
        <w:rPr>
          <w:rFonts w:ascii="宋体" w:hAnsi="宋体" w:cs="宋体"/>
          <w:b/>
          <w:bCs/>
          <w:color w:val="auto"/>
        </w:rPr>
      </w:pPr>
      <w:r>
        <w:rPr>
          <w:rFonts w:hint="eastAsia" w:ascii="宋体" w:hAnsi="宋体" w:cs="宋体"/>
          <w:b/>
          <w:bCs/>
          <w:color w:val="auto"/>
        </w:rPr>
        <w:t>（2）参加采购活动前3年内担任供应商的董事、监事。</w:t>
      </w:r>
    </w:p>
    <w:p>
      <w:pPr>
        <w:spacing w:line="360" w:lineRule="auto"/>
        <w:ind w:firstLine="422" w:firstLineChars="200"/>
        <w:rPr>
          <w:rFonts w:ascii="宋体" w:hAnsi="宋体" w:cs="宋体"/>
          <w:b/>
          <w:bCs/>
          <w:color w:val="auto"/>
        </w:rPr>
      </w:pPr>
      <w:r>
        <w:rPr>
          <w:rFonts w:hint="eastAsia" w:ascii="宋体" w:hAnsi="宋体" w:cs="宋体"/>
          <w:b/>
          <w:bCs/>
          <w:color w:val="auto"/>
        </w:rPr>
        <w:t>（3）参加采购活动前3年内是供应商的控股股东或者实际控制人。</w:t>
      </w:r>
    </w:p>
    <w:p>
      <w:pPr>
        <w:spacing w:line="360" w:lineRule="auto"/>
        <w:ind w:firstLine="422" w:firstLineChars="200"/>
        <w:rPr>
          <w:rFonts w:ascii="宋体" w:hAnsi="宋体" w:cs="宋体"/>
          <w:b/>
          <w:bCs/>
          <w:color w:val="auto"/>
        </w:rPr>
      </w:pPr>
      <w:r>
        <w:rPr>
          <w:rFonts w:hint="eastAsia" w:ascii="宋体" w:hAnsi="宋体" w:cs="宋体"/>
          <w:b/>
          <w:bCs/>
          <w:color w:val="auto"/>
        </w:rPr>
        <w:t>（4）与供应商的法定代表人或者负责人有夫妻、直系血亲、三代以内旁系血亲或者近姻亲关系。</w:t>
      </w:r>
    </w:p>
    <w:p>
      <w:pPr>
        <w:spacing w:line="360" w:lineRule="auto"/>
        <w:ind w:firstLine="422" w:firstLineChars="200"/>
        <w:rPr>
          <w:rFonts w:ascii="宋体" w:hAnsi="宋体" w:cs="宋体"/>
          <w:b/>
          <w:bCs/>
          <w:color w:val="auto"/>
        </w:rPr>
      </w:pPr>
      <w:r>
        <w:rPr>
          <w:rFonts w:hint="eastAsia" w:ascii="宋体" w:hAnsi="宋体" w:cs="宋体"/>
          <w:b/>
          <w:bCs/>
          <w:color w:val="auto"/>
        </w:rPr>
        <w:t>（5）与供应商有其他可能影响政府采购活动公平、公正进行的关系。</w:t>
      </w:r>
    </w:p>
    <w:p>
      <w:pPr>
        <w:spacing w:line="360" w:lineRule="auto"/>
        <w:ind w:firstLine="422" w:firstLineChars="200"/>
        <w:rPr>
          <w:rFonts w:ascii="宋体" w:hAnsi="宋体" w:cs="宋体"/>
          <w:b/>
          <w:bCs/>
          <w:color w:val="auto"/>
        </w:rPr>
      </w:pPr>
      <w:r>
        <w:rPr>
          <w:rFonts w:hint="eastAsia" w:ascii="宋体" w:hAnsi="宋体" w:cs="宋体"/>
          <w:b/>
          <w:bCs/>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9.2有下列情形之一的视为投标人相互串通投标，投标文件将被视为无效：</w:t>
      </w:r>
    </w:p>
    <w:p>
      <w:pPr>
        <w:tabs>
          <w:tab w:val="center" w:pos="4153"/>
          <w:tab w:val="right" w:pos="8306"/>
        </w:tabs>
        <w:spacing w:line="360" w:lineRule="auto"/>
        <w:ind w:firstLine="422" w:firstLineChars="200"/>
        <w:rPr>
          <w:rFonts w:hint="eastAsia" w:ascii="宋体" w:hAnsi="宋体" w:eastAsia="宋体" w:cs="宋体"/>
          <w:b/>
          <w:color w:val="auto"/>
          <w:lang w:eastAsia="zh-CN"/>
        </w:rPr>
      </w:pPr>
      <w:r>
        <w:rPr>
          <w:rFonts w:hint="eastAsia" w:ascii="宋体" w:hAnsi="宋体" w:cs="宋体"/>
          <w:b/>
          <w:color w:val="auto"/>
        </w:rPr>
        <w:t>（1）不同投标人的投标文件由同一单位或者个人编制。</w:t>
      </w:r>
    </w:p>
    <w:p>
      <w:pPr>
        <w:tabs>
          <w:tab w:val="center" w:pos="4153"/>
          <w:tab w:val="right" w:pos="8306"/>
        </w:tabs>
        <w:spacing w:line="360" w:lineRule="auto"/>
        <w:ind w:firstLine="422" w:firstLineChars="200"/>
        <w:rPr>
          <w:rFonts w:ascii="宋体" w:hAnsi="宋体" w:cs="宋体"/>
          <w:b/>
          <w:color w:val="auto"/>
        </w:rPr>
      </w:pPr>
      <w:r>
        <w:rPr>
          <w:rFonts w:hint="eastAsia" w:ascii="宋体" w:hAnsi="宋体" w:cs="宋体"/>
          <w:b/>
          <w:color w:val="auto"/>
        </w:rPr>
        <w:t>（2）不同投标人委托同一单位或者个人办理投标事宜。</w:t>
      </w:r>
    </w:p>
    <w:p>
      <w:pPr>
        <w:tabs>
          <w:tab w:val="center" w:pos="4153"/>
          <w:tab w:val="right" w:pos="8306"/>
        </w:tabs>
        <w:spacing w:line="360" w:lineRule="auto"/>
        <w:ind w:firstLine="422" w:firstLineChars="200"/>
        <w:rPr>
          <w:rFonts w:ascii="宋体" w:hAnsi="宋体" w:cs="宋体"/>
          <w:b/>
          <w:color w:val="auto"/>
        </w:rPr>
      </w:pPr>
      <w:r>
        <w:rPr>
          <w:rFonts w:hint="eastAsia" w:ascii="宋体" w:hAnsi="宋体" w:cs="宋体"/>
          <w:b/>
          <w:color w:val="auto"/>
        </w:rPr>
        <w:t>（3）不同的投标人的投标文件载明的项目管理员为同一个人。</w:t>
      </w:r>
    </w:p>
    <w:p>
      <w:pPr>
        <w:tabs>
          <w:tab w:val="center" w:pos="4153"/>
          <w:tab w:val="right" w:pos="8306"/>
        </w:tabs>
        <w:spacing w:line="360" w:lineRule="auto"/>
        <w:ind w:firstLine="422" w:firstLineChars="200"/>
        <w:rPr>
          <w:rFonts w:ascii="宋体" w:hAnsi="宋体" w:cs="宋体"/>
          <w:b/>
          <w:color w:val="auto"/>
        </w:rPr>
      </w:pPr>
      <w:r>
        <w:rPr>
          <w:rFonts w:hint="eastAsia" w:ascii="宋体" w:hAnsi="宋体" w:cs="宋体"/>
          <w:b/>
          <w:color w:val="auto"/>
        </w:rPr>
        <w:t>（4）不同投标人的电子投标文件异常一致或者投标报价呈规律性差异。</w:t>
      </w:r>
    </w:p>
    <w:p>
      <w:pPr>
        <w:tabs>
          <w:tab w:val="center" w:pos="4153"/>
          <w:tab w:val="right" w:pos="8306"/>
        </w:tabs>
        <w:spacing w:line="360" w:lineRule="auto"/>
        <w:ind w:firstLine="422" w:firstLineChars="200"/>
        <w:rPr>
          <w:rFonts w:ascii="宋体" w:hAnsi="宋体" w:cs="宋体"/>
          <w:b/>
          <w:color w:val="auto"/>
        </w:rPr>
      </w:pPr>
      <w:r>
        <w:rPr>
          <w:rFonts w:hint="eastAsia" w:ascii="宋体" w:hAnsi="宋体" w:cs="宋体"/>
          <w:b/>
          <w:color w:val="auto"/>
        </w:rPr>
        <w:t>（5）不同投标人的投标文件相互混装。</w:t>
      </w:r>
    </w:p>
    <w:p>
      <w:pPr>
        <w:tabs>
          <w:tab w:val="center" w:pos="4153"/>
          <w:tab w:val="right" w:pos="8306"/>
        </w:tabs>
        <w:spacing w:line="360" w:lineRule="auto"/>
        <w:ind w:firstLine="422" w:firstLineChars="200"/>
        <w:rPr>
          <w:rFonts w:ascii="宋体" w:hAnsi="宋体" w:cs="宋体"/>
          <w:b/>
          <w:color w:val="auto"/>
        </w:rPr>
      </w:pPr>
      <w:r>
        <w:rPr>
          <w:rFonts w:hint="eastAsia" w:ascii="宋体" w:hAnsi="宋体" w:cs="宋体"/>
          <w:b/>
          <w:color w:val="auto"/>
        </w:rPr>
        <w:t>（6）不同投标人的投标保证金从同一单位或者个人账户转出。</w:t>
      </w:r>
    </w:p>
    <w:p>
      <w:pPr>
        <w:spacing w:line="360" w:lineRule="auto"/>
        <w:ind w:firstLine="422" w:firstLineChars="200"/>
        <w:rPr>
          <w:rFonts w:ascii="宋体" w:hAnsi="宋体" w:cs="宋体"/>
          <w:b/>
          <w:bCs/>
          <w:color w:val="auto"/>
          <w:szCs w:val="21"/>
        </w:rPr>
      </w:pPr>
      <w:r>
        <w:rPr>
          <w:rFonts w:hint="eastAsia" w:ascii="宋体" w:hAnsi="宋体" w:cs="宋体"/>
          <w:b/>
          <w:color w:val="auto"/>
        </w:rPr>
        <w:t>9.3供应商有下列情形之一的，属于恶意串通</w:t>
      </w:r>
      <w:r>
        <w:rPr>
          <w:rFonts w:hint="eastAsia" w:ascii="宋体" w:hAnsi="宋体" w:cs="宋体"/>
          <w:b/>
          <w:bCs/>
          <w:color w:val="auto"/>
          <w:szCs w:val="21"/>
        </w:rPr>
        <w:t>行为，将报同级监督管理部门：</w:t>
      </w:r>
    </w:p>
    <w:p>
      <w:pPr>
        <w:spacing w:line="360" w:lineRule="auto"/>
        <w:ind w:firstLine="422" w:firstLineChars="200"/>
        <w:rPr>
          <w:rFonts w:ascii="宋体" w:hAnsi="宋体" w:cs="宋体"/>
          <w:b/>
          <w:bCs/>
          <w:color w:val="auto"/>
        </w:rPr>
      </w:pPr>
      <w:r>
        <w:rPr>
          <w:rFonts w:hint="eastAsia" w:ascii="宋体" w:hAnsi="宋体" w:cs="宋体"/>
          <w:b/>
          <w:bCs/>
          <w:color w:val="auto"/>
        </w:rPr>
        <w:t>（1）供应商直接或者间接从采购人或者采购代理机构处获得其他供应商的相关信息并修改其投标文件。</w:t>
      </w:r>
    </w:p>
    <w:p>
      <w:pPr>
        <w:spacing w:line="360" w:lineRule="auto"/>
        <w:ind w:firstLine="422" w:firstLineChars="200"/>
        <w:rPr>
          <w:rFonts w:ascii="宋体" w:hAnsi="宋体" w:cs="宋体"/>
          <w:b/>
          <w:bCs/>
          <w:color w:val="auto"/>
        </w:rPr>
      </w:pPr>
      <w:r>
        <w:rPr>
          <w:rFonts w:hint="eastAsia" w:ascii="宋体" w:hAnsi="宋体" w:cs="宋体"/>
          <w:b/>
          <w:bCs/>
          <w:color w:val="auto"/>
        </w:rPr>
        <w:t>（2）供应商按照采购人或者采购代理机构的授意撤换、修改投标文件。</w:t>
      </w:r>
    </w:p>
    <w:p>
      <w:pPr>
        <w:spacing w:line="360" w:lineRule="auto"/>
        <w:ind w:firstLine="422" w:firstLineChars="200"/>
        <w:rPr>
          <w:rFonts w:ascii="宋体" w:hAnsi="宋体" w:cs="宋体"/>
          <w:b/>
          <w:bCs/>
          <w:color w:val="auto"/>
        </w:rPr>
      </w:pPr>
      <w:r>
        <w:rPr>
          <w:rFonts w:hint="eastAsia" w:ascii="宋体" w:hAnsi="宋体" w:cs="宋体"/>
          <w:b/>
          <w:bCs/>
          <w:color w:val="auto"/>
        </w:rPr>
        <w:t>（3）供应商之间协商报价、技术方案等投标文件的实质性内容。</w:t>
      </w:r>
    </w:p>
    <w:p>
      <w:pPr>
        <w:spacing w:line="360" w:lineRule="auto"/>
        <w:ind w:firstLine="422" w:firstLineChars="200"/>
        <w:rPr>
          <w:rFonts w:ascii="宋体" w:hAnsi="宋体" w:cs="宋体"/>
          <w:b/>
          <w:bCs/>
          <w:color w:val="auto"/>
        </w:rPr>
      </w:pPr>
      <w:r>
        <w:rPr>
          <w:rFonts w:hint="eastAsia" w:ascii="宋体" w:hAnsi="宋体" w:cs="宋体"/>
          <w:b/>
          <w:bCs/>
          <w:color w:val="auto"/>
        </w:rPr>
        <w:t>（4）属于同一集团、协会、商会等组织成员的供应商按照该组织要求协同参加政府采购活动。</w:t>
      </w:r>
    </w:p>
    <w:p>
      <w:pPr>
        <w:spacing w:line="360" w:lineRule="auto"/>
        <w:ind w:firstLine="422" w:firstLineChars="200"/>
        <w:rPr>
          <w:rFonts w:ascii="宋体" w:hAnsi="宋体" w:cs="宋体"/>
          <w:b/>
          <w:bCs/>
          <w:color w:val="auto"/>
        </w:rPr>
      </w:pPr>
      <w:r>
        <w:rPr>
          <w:rFonts w:hint="eastAsia" w:ascii="宋体" w:hAnsi="宋体" w:cs="宋体"/>
          <w:b/>
          <w:bCs/>
          <w:color w:val="auto"/>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2" w:firstLineChars="200"/>
        <w:rPr>
          <w:rFonts w:ascii="宋体" w:hAnsi="宋体" w:cs="宋体"/>
          <w:b/>
          <w:bCs/>
          <w:color w:val="auto"/>
        </w:rPr>
      </w:pPr>
      <w:r>
        <w:rPr>
          <w:rFonts w:hint="eastAsia" w:ascii="宋体" w:hAnsi="宋体" w:cs="宋体"/>
          <w:b/>
          <w:bCs/>
          <w:color w:val="auto"/>
        </w:rPr>
        <w:t>（6）供应商之间商定部分供应商放弃参加政府采购活动或者放弃中标。</w:t>
      </w:r>
    </w:p>
    <w:p>
      <w:pPr>
        <w:spacing w:line="360" w:lineRule="auto"/>
        <w:ind w:firstLine="422" w:firstLineChars="200"/>
        <w:rPr>
          <w:rFonts w:ascii="宋体" w:hAnsi="宋体" w:cs="宋体"/>
          <w:b/>
          <w:bCs/>
          <w:color w:val="auto"/>
        </w:rPr>
      </w:pPr>
      <w:r>
        <w:rPr>
          <w:rFonts w:hint="eastAsia" w:ascii="宋体" w:hAnsi="宋体" w:cs="宋体"/>
          <w:b/>
          <w:bCs/>
          <w:color w:val="auto"/>
        </w:rPr>
        <w:t>（7）供应商与采购人或者采购代理机构之间、供应商相互之间，为谋求特定供应商中标或者排斥其他供应商的其他串通行为。</w:t>
      </w:r>
    </w:p>
    <w:p>
      <w:pPr>
        <w:pStyle w:val="14"/>
        <w:snapToGrid w:val="0"/>
        <w:spacing w:line="360" w:lineRule="auto"/>
        <w:ind w:left="2" w:leftChars="1" w:firstLine="422" w:firstLineChars="200"/>
        <w:rPr>
          <w:rFonts w:hAnsi="宋体" w:cs="宋体"/>
          <w:b/>
          <w:color w:val="auto"/>
        </w:rPr>
      </w:pPr>
    </w:p>
    <w:p>
      <w:pPr>
        <w:pStyle w:val="4"/>
        <w:keepNext w:val="0"/>
        <w:keepLines w:val="0"/>
        <w:spacing w:line="400" w:lineRule="exact"/>
        <w:jc w:val="center"/>
        <w:rPr>
          <w:rFonts w:ascii="宋体" w:hAnsi="宋体" w:cs="宋体"/>
          <w:color w:val="auto"/>
        </w:rPr>
      </w:pPr>
      <w:bookmarkStart w:id="116" w:name="_Toc254970675"/>
      <w:bookmarkStart w:id="117" w:name="_Toc22070"/>
      <w:bookmarkStart w:id="118" w:name="_Toc4100"/>
      <w:bookmarkStart w:id="119" w:name="_Toc22960"/>
      <w:bookmarkStart w:id="120" w:name="_Toc254970534"/>
      <w:bookmarkStart w:id="121" w:name="_Toc25441"/>
      <w:r>
        <w:rPr>
          <w:rFonts w:hint="eastAsia" w:ascii="宋体" w:hAnsi="宋体" w:cs="宋体"/>
          <w:color w:val="auto"/>
        </w:rPr>
        <w:t>二、招标文件</w:t>
      </w:r>
      <w:bookmarkEnd w:id="116"/>
      <w:bookmarkEnd w:id="117"/>
      <w:bookmarkEnd w:id="118"/>
      <w:bookmarkEnd w:id="119"/>
      <w:bookmarkEnd w:id="120"/>
      <w:bookmarkEnd w:id="121"/>
    </w:p>
    <w:p>
      <w:pPr>
        <w:spacing w:line="360" w:lineRule="auto"/>
        <w:ind w:firstLine="480" w:firstLineChars="200"/>
        <w:rPr>
          <w:rFonts w:ascii="宋体" w:hAnsi="宋体" w:cs="宋体"/>
          <w:color w:val="auto"/>
          <w:sz w:val="24"/>
        </w:rPr>
      </w:pPr>
      <w:r>
        <w:rPr>
          <w:rFonts w:hint="eastAsia" w:ascii="宋体" w:hAnsi="宋体" w:cs="宋体"/>
          <w:color w:val="auto"/>
          <w:sz w:val="24"/>
        </w:rPr>
        <w:t>10.招标文件的组成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第一章 招标公告。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第二章 采购需求。 </w:t>
      </w:r>
    </w:p>
    <w:p>
      <w:pPr>
        <w:spacing w:line="360" w:lineRule="auto"/>
        <w:ind w:firstLine="420" w:firstLineChars="200"/>
        <w:rPr>
          <w:rFonts w:ascii="宋体" w:hAnsi="宋体" w:cs="宋体"/>
          <w:color w:val="auto"/>
          <w:szCs w:val="21"/>
        </w:rPr>
      </w:pPr>
      <w:r>
        <w:rPr>
          <w:rFonts w:hint="eastAsia" w:ascii="宋体" w:hAnsi="宋体" w:cs="宋体"/>
          <w:color w:val="auto"/>
          <w:szCs w:val="21"/>
        </w:rPr>
        <w:t>第三章 投标人须知。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第四章 评标方法和评标标准。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第五章 拟签订的合同文本。</w:t>
      </w:r>
    </w:p>
    <w:p>
      <w:pPr>
        <w:spacing w:line="360" w:lineRule="auto"/>
        <w:ind w:firstLine="420" w:firstLineChars="200"/>
        <w:rPr>
          <w:rFonts w:ascii="宋体" w:hAnsi="宋体" w:cs="宋体"/>
          <w:color w:val="auto"/>
          <w:szCs w:val="21"/>
        </w:rPr>
      </w:pPr>
      <w:r>
        <w:rPr>
          <w:rFonts w:hint="eastAsia" w:ascii="宋体" w:hAnsi="宋体" w:cs="宋体"/>
          <w:color w:val="auto"/>
          <w:szCs w:val="21"/>
        </w:rPr>
        <w:t>第六章 投标文件格式。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第七章 质疑、投诉材料格式</w:t>
      </w:r>
    </w:p>
    <w:p>
      <w:pPr>
        <w:spacing w:line="360" w:lineRule="auto"/>
        <w:ind w:firstLine="420" w:firstLineChars="200"/>
        <w:rPr>
          <w:rFonts w:ascii="宋体" w:hAnsi="宋体" w:cs="宋体"/>
          <w:color w:val="auto"/>
        </w:rPr>
      </w:pPr>
      <w:r>
        <w:rPr>
          <w:rFonts w:hint="eastAsia" w:ascii="宋体" w:hAnsi="宋体" w:cs="宋体"/>
          <w:color w:val="auto"/>
        </w:rPr>
        <w:t>根据本章第11.1项的规定对招标文件所做的澄清、修改，构成招标文件的组成部分。当招标文件与招标文件的澄清和修改就同一内容的表述不一致时，以最后澄清或修改公告为准。</w:t>
      </w:r>
    </w:p>
    <w:p>
      <w:pPr>
        <w:spacing w:line="360" w:lineRule="auto"/>
        <w:ind w:firstLine="480" w:firstLineChars="200"/>
        <w:rPr>
          <w:rFonts w:ascii="宋体" w:hAnsi="宋体" w:cs="宋体"/>
          <w:color w:val="auto"/>
          <w:sz w:val="24"/>
        </w:rPr>
      </w:pPr>
      <w:r>
        <w:rPr>
          <w:rFonts w:hint="eastAsia" w:ascii="宋体" w:hAnsi="宋体" w:cs="宋体"/>
          <w:color w:val="auto"/>
          <w:sz w:val="24"/>
        </w:rPr>
        <w:t>11.招标文件的澄清、修改 、现场考察和答疑会</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pacing w:line="360" w:lineRule="auto"/>
        <w:ind w:firstLine="420" w:firstLineChars="200"/>
        <w:rPr>
          <w:rFonts w:ascii="宋体" w:hAnsi="宋体" w:cs="宋体"/>
          <w:color w:val="auto"/>
        </w:rPr>
      </w:pPr>
      <w:r>
        <w:rPr>
          <w:rFonts w:hint="eastAsia" w:ascii="宋体" w:hAnsi="宋体" w:cs="宋体"/>
          <w:color w:val="auto"/>
        </w:rPr>
        <w:t>11.2 投标人应认真审阅本招标文件，如有疑问，或发现其中有误或有要求不合理的，应在投标人须知前附表规定的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s="宋体"/>
          <w:color w:val="auto"/>
        </w:rPr>
        <w:t>前以书面形式要求采购人或采购代理机构对招标文件予以澄清。否则，由此产生的后果由投标人自行负责。</w:t>
      </w:r>
    </w:p>
    <w:p>
      <w:pPr>
        <w:spacing w:line="360" w:lineRule="auto"/>
        <w:ind w:firstLine="420" w:firstLineChars="200"/>
        <w:rPr>
          <w:rFonts w:ascii="宋体" w:hAnsi="宋体" w:cs="宋体"/>
          <w:color w:val="auto"/>
        </w:rPr>
      </w:pPr>
      <w:r>
        <w:rPr>
          <w:rFonts w:hint="eastAsia" w:ascii="宋体" w:hAns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rPr>
        <w:t>投标人须知前附表”</w:t>
      </w:r>
      <w:r>
        <w:rPr>
          <w:rFonts w:hint="eastAsia" w:ascii="宋体" w:hAnsi="宋体" w:cs="宋体"/>
          <w:color w:val="auto"/>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ascii="宋体" w:hAnsi="宋体" w:cs="宋体"/>
          <w:color w:val="auto"/>
        </w:rPr>
      </w:pPr>
      <w:r>
        <w:rPr>
          <w:rFonts w:hint="eastAsia" w:ascii="宋体" w:hAnsi="宋体" w:cs="宋体"/>
          <w:color w:val="auto"/>
        </w:rPr>
        <w:t>11.4 采购人和采购代理机构可以视采购具体情况，变更投标截止时间和开标时间，将变更时间将在“</w:t>
      </w:r>
      <w:r>
        <w:rPr>
          <w:rFonts w:hint="eastAsia" w:ascii="宋体" w:hAnsi="宋体" w:cs="宋体"/>
          <w:color w:val="auto"/>
          <w:szCs w:val="21"/>
        </w:rPr>
        <w:t>投标人须知前附表”</w:t>
      </w:r>
      <w:r>
        <w:rPr>
          <w:rFonts w:hint="eastAsia" w:ascii="宋体" w:hAnsi="宋体" w:cs="宋体"/>
          <w:color w:val="auto"/>
          <w:kern w:val="0"/>
          <w:szCs w:val="21"/>
        </w:rPr>
        <w:t>规定的政府采购信息发布媒体上</w:t>
      </w:r>
      <w:r>
        <w:rPr>
          <w:rFonts w:hint="eastAsia" w:ascii="宋体" w:hAnsi="宋体" w:cs="宋体"/>
          <w:color w:val="auto"/>
        </w:rPr>
        <w:t>发布更正公告。</w:t>
      </w:r>
    </w:p>
    <w:p>
      <w:pPr>
        <w:spacing w:line="360" w:lineRule="auto"/>
        <w:ind w:firstLine="420" w:firstLineChars="200"/>
        <w:rPr>
          <w:rFonts w:ascii="宋体" w:hAnsi="宋体" w:cs="宋体"/>
          <w:color w:val="auto"/>
        </w:rPr>
      </w:pPr>
      <w:r>
        <w:rPr>
          <w:rFonts w:hint="eastAsia" w:ascii="宋体" w:hAnsi="宋体" w:cs="宋体"/>
          <w:color w:val="auto"/>
        </w:rPr>
        <w:t>11.</w:t>
      </w:r>
      <w:bookmarkStart w:id="122" w:name="_Hlk53134511"/>
      <w:r>
        <w:rPr>
          <w:rFonts w:hint="eastAsia" w:ascii="宋体" w:hAnsi="宋体" w:cs="宋体"/>
          <w:color w:val="auto"/>
        </w:rPr>
        <w:t>5采购人或者采购代理机构可以在招标文件提供期限截止后，组织已获取招标文件的潜在投标人现场考察或者召开开标前答疑会，具体详见“投标人须知前附表”。</w:t>
      </w:r>
    </w:p>
    <w:bookmarkEnd w:id="122"/>
    <w:p>
      <w:pPr>
        <w:pStyle w:val="4"/>
        <w:keepNext w:val="0"/>
        <w:keepLines w:val="0"/>
        <w:spacing w:line="400" w:lineRule="exact"/>
        <w:jc w:val="center"/>
        <w:rPr>
          <w:rFonts w:ascii="宋体" w:hAnsi="宋体" w:cs="宋体"/>
          <w:color w:val="auto"/>
        </w:rPr>
      </w:pPr>
      <w:bookmarkStart w:id="123" w:name="_Toc32490"/>
      <w:bookmarkStart w:id="124" w:name="_Toc23467"/>
      <w:bookmarkStart w:id="125" w:name="_Toc254970676"/>
      <w:bookmarkStart w:id="126" w:name="_Toc254970535"/>
    </w:p>
    <w:p>
      <w:pPr>
        <w:pStyle w:val="4"/>
        <w:keepNext w:val="0"/>
        <w:keepLines w:val="0"/>
        <w:spacing w:line="400" w:lineRule="exact"/>
        <w:jc w:val="center"/>
        <w:rPr>
          <w:rFonts w:ascii="宋体" w:hAnsi="宋体" w:cs="宋体"/>
          <w:color w:val="auto"/>
        </w:rPr>
      </w:pPr>
      <w:bookmarkStart w:id="127" w:name="_Toc13166"/>
      <w:bookmarkStart w:id="128" w:name="_Toc7612"/>
      <w:r>
        <w:rPr>
          <w:rFonts w:hint="eastAsia" w:ascii="宋体" w:hAnsi="宋体" w:cs="宋体"/>
          <w:color w:val="auto"/>
        </w:rPr>
        <w:t>三、投标文件的编制</w:t>
      </w:r>
      <w:bookmarkEnd w:id="123"/>
      <w:bookmarkEnd w:id="124"/>
      <w:bookmarkEnd w:id="125"/>
      <w:bookmarkEnd w:id="126"/>
      <w:bookmarkEnd w:id="127"/>
      <w:bookmarkEnd w:id="128"/>
    </w:p>
    <w:p>
      <w:pPr>
        <w:spacing w:line="360" w:lineRule="auto"/>
        <w:ind w:firstLine="480" w:firstLineChars="200"/>
        <w:rPr>
          <w:rFonts w:ascii="宋体" w:hAnsi="宋体" w:cs="宋体"/>
          <w:color w:val="auto"/>
          <w:sz w:val="24"/>
        </w:rPr>
      </w:pPr>
      <w:bookmarkStart w:id="129" w:name="_Toc254970677"/>
      <w:bookmarkStart w:id="130" w:name="_Toc254970536"/>
      <w:r>
        <w:rPr>
          <w:rFonts w:hint="eastAsia" w:ascii="宋体" w:hAnsi="宋体" w:cs="宋体"/>
          <w:color w:val="auto"/>
          <w:sz w:val="24"/>
        </w:rPr>
        <w:t>12.投标文件的编制原则</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投标人必须按照招标文件的要求编制投标文件。投标文件必须对招标文件提出的要求和条件作出明确响应。</w:t>
      </w:r>
    </w:p>
    <w:p>
      <w:pPr>
        <w:spacing w:line="360" w:lineRule="auto"/>
        <w:ind w:firstLine="480" w:firstLineChars="200"/>
        <w:rPr>
          <w:rFonts w:ascii="宋体" w:hAnsi="宋体" w:cs="宋体"/>
          <w:color w:val="auto"/>
          <w:sz w:val="24"/>
        </w:rPr>
      </w:pPr>
      <w:r>
        <w:rPr>
          <w:rFonts w:hint="eastAsia" w:ascii="宋体" w:hAnsi="宋体" w:cs="宋体"/>
          <w:color w:val="auto"/>
          <w:sz w:val="24"/>
        </w:rPr>
        <w:t>13.投标文件的组成</w:t>
      </w:r>
      <w:bookmarkEnd w:id="129"/>
      <w:bookmarkEnd w:id="130"/>
    </w:p>
    <w:p>
      <w:pPr>
        <w:spacing w:line="360" w:lineRule="auto"/>
        <w:ind w:firstLine="420" w:firstLineChars="200"/>
        <w:rPr>
          <w:rFonts w:ascii="宋体" w:hAnsi="宋体" w:cs="宋体"/>
          <w:color w:val="auto"/>
          <w:szCs w:val="21"/>
        </w:rPr>
      </w:pPr>
      <w:r>
        <w:rPr>
          <w:rFonts w:hint="eastAsia" w:ascii="宋体" w:hAnsi="宋体" w:cs="宋体"/>
          <w:color w:val="auto"/>
          <w:szCs w:val="21"/>
        </w:rPr>
        <w:t>13.1投标文件由报价文件、资格证明文件、商务文件、技术文件四部分组成。</w:t>
      </w:r>
    </w:p>
    <w:p>
      <w:pPr>
        <w:spacing w:line="360" w:lineRule="auto"/>
        <w:ind w:firstLine="420" w:firstLineChars="200"/>
        <w:rPr>
          <w:rFonts w:ascii="宋体" w:hAnsi="宋体" w:cs="宋体"/>
          <w:bCs/>
          <w:color w:val="auto"/>
          <w:szCs w:val="21"/>
        </w:rPr>
      </w:pPr>
      <w:bookmarkStart w:id="131" w:name="_13.2资格证明文件：具体材料见“投标人须知前附表”。"/>
      <w:bookmarkEnd w:id="131"/>
      <w:bookmarkStart w:id="132" w:name="_13.1报价文件:_具体材料见“投标人须知前附表”。"/>
      <w:bookmarkEnd w:id="132"/>
      <w:r>
        <w:rPr>
          <w:rFonts w:hint="eastAsia" w:ascii="宋体" w:hAnsi="宋体" w:cs="宋体"/>
          <w:bCs/>
          <w:color w:val="auto"/>
          <w:szCs w:val="21"/>
        </w:rPr>
        <w:t>（1）资格证明文件：具体材料见“投标人须知前附表”。</w:t>
      </w:r>
    </w:p>
    <w:p>
      <w:pPr>
        <w:spacing w:line="360" w:lineRule="auto"/>
        <w:ind w:firstLine="420" w:firstLineChars="200"/>
        <w:rPr>
          <w:rFonts w:ascii="宋体" w:hAnsi="宋体" w:cs="宋体"/>
          <w:bCs/>
          <w:color w:val="auto"/>
          <w:szCs w:val="21"/>
        </w:rPr>
      </w:pPr>
      <w:bookmarkStart w:id="133" w:name="_13.3商务文件:_具体材料见“投标人须知前附表”。"/>
      <w:bookmarkEnd w:id="133"/>
      <w:r>
        <w:rPr>
          <w:rFonts w:hint="eastAsia" w:ascii="宋体" w:hAnsi="宋体" w:cs="宋体"/>
          <w:bCs/>
          <w:color w:val="auto"/>
          <w:szCs w:val="21"/>
        </w:rPr>
        <w:t>（2）商务文件：具体材料见“投标人须知前附表”。</w:t>
      </w:r>
    </w:p>
    <w:p>
      <w:pPr>
        <w:spacing w:line="360" w:lineRule="auto"/>
        <w:ind w:firstLine="420" w:firstLineChars="200"/>
        <w:rPr>
          <w:rFonts w:ascii="宋体" w:hAnsi="宋体" w:cs="宋体"/>
          <w:bCs/>
          <w:color w:val="auto"/>
          <w:szCs w:val="21"/>
        </w:rPr>
      </w:pPr>
      <w:bookmarkStart w:id="134" w:name="_13.4技术文件：具体材料见“投标人须知前附表”。"/>
      <w:bookmarkEnd w:id="134"/>
      <w:r>
        <w:rPr>
          <w:rFonts w:hint="eastAsia" w:ascii="宋体" w:hAnsi="宋体" w:cs="宋体"/>
          <w:bCs/>
          <w:color w:val="auto"/>
          <w:szCs w:val="21"/>
        </w:rPr>
        <w:t xml:space="preserve">（3）技术文件：具体材料见“投标人须知前附表”。 </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（4）报价文件： 具体材料见“投标人须知前附表”。</w:t>
      </w:r>
    </w:p>
    <w:p>
      <w:pPr>
        <w:spacing w:line="360" w:lineRule="auto"/>
        <w:ind w:firstLine="420" w:firstLineChars="200"/>
        <w:rPr>
          <w:rFonts w:ascii="宋体" w:hAnsi="宋体" w:cs="宋体"/>
          <w:bCs/>
          <w:color w:val="auto"/>
          <w:szCs w:val="21"/>
        </w:rPr>
      </w:pPr>
      <w:bookmarkStart w:id="135" w:name="_13.5投标文件电子版：具体材料见“投标人须知前附表”。"/>
      <w:bookmarkEnd w:id="135"/>
      <w:r>
        <w:rPr>
          <w:rFonts w:hint="eastAsia" w:ascii="宋体" w:hAnsi="宋体" w:cs="宋体"/>
          <w:bCs/>
          <w:color w:val="auto"/>
          <w:szCs w:val="21"/>
        </w:rPr>
        <w:t>13.2投标文件电子版：具体要求见本节19.投标文件编制。</w:t>
      </w:r>
    </w:p>
    <w:p>
      <w:pPr>
        <w:spacing w:line="360" w:lineRule="auto"/>
        <w:ind w:firstLine="480" w:firstLineChars="200"/>
        <w:rPr>
          <w:rFonts w:ascii="宋体" w:hAnsi="宋体" w:cs="宋体"/>
          <w:color w:val="auto"/>
          <w:sz w:val="24"/>
        </w:rPr>
      </w:pPr>
      <w:bookmarkStart w:id="136" w:name="_Toc254970678"/>
      <w:bookmarkStart w:id="137" w:name="_Toc254970537"/>
      <w:r>
        <w:rPr>
          <w:rFonts w:hint="eastAsia" w:ascii="宋体" w:hAnsi="宋体" w:cs="宋体"/>
          <w:color w:val="auto"/>
          <w:sz w:val="24"/>
        </w:rPr>
        <w:t>14.投标文件的语言及计量</w:t>
      </w:r>
      <w:bookmarkEnd w:id="136"/>
      <w:bookmarkEnd w:id="137"/>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14.1语言文字</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14.2投标计量单位</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招标文件已有明确规定的，使用招标文件规定的计量单位。招标文件没有规定的，应采用中华人民共和国法定计量单位，货币种类为人民币，</w:t>
      </w:r>
      <w:r>
        <w:rPr>
          <w:rFonts w:hint="eastAsia" w:ascii="宋体" w:hAnsi="宋体" w:cs="宋体"/>
          <w:b/>
          <w:color w:val="auto"/>
          <w:szCs w:val="21"/>
        </w:rPr>
        <w:t>否则视同未响应</w:t>
      </w:r>
      <w:r>
        <w:rPr>
          <w:rFonts w:hint="eastAsia" w:ascii="宋体" w:hAnsi="宋体" w:cs="宋体"/>
          <w:bCs/>
          <w:color w:val="auto"/>
          <w:szCs w:val="21"/>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15.投标的风险</w:t>
      </w:r>
    </w:p>
    <w:p>
      <w:pPr>
        <w:pStyle w:val="9"/>
        <w:spacing w:line="360" w:lineRule="auto"/>
        <w:ind w:firstLine="420" w:firstLineChars="200"/>
        <w:rPr>
          <w:rFonts w:ascii="宋体" w:hAnsi="宋体" w:cs="宋体"/>
          <w:bCs/>
          <w:color w:val="auto"/>
          <w:szCs w:val="21"/>
        </w:rPr>
      </w:pPr>
      <w:r>
        <w:rPr>
          <w:rFonts w:hint="eastAsia" w:ascii="宋体" w:hAnsi="宋体" w:cs="宋体"/>
          <w:bCs/>
          <w:color w:val="auto"/>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宋体" w:hAnsi="宋体" w:cs="宋体"/>
          <w:color w:val="auto"/>
          <w:sz w:val="24"/>
        </w:rPr>
      </w:pPr>
      <w:bookmarkStart w:id="138" w:name="_Toc254970679"/>
      <w:bookmarkStart w:id="139" w:name="_Toc254970538"/>
      <w:r>
        <w:rPr>
          <w:rFonts w:hint="eastAsia" w:ascii="宋体" w:hAnsi="宋体" w:cs="宋体"/>
          <w:color w:val="auto"/>
          <w:sz w:val="24"/>
        </w:rPr>
        <w:t>16.投标报价</w:t>
      </w:r>
      <w:bookmarkEnd w:id="138"/>
      <w:bookmarkEnd w:id="139"/>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16.1投标报价应</w:t>
      </w:r>
      <w:r>
        <w:rPr>
          <w:rFonts w:hint="eastAsia" w:ascii="宋体" w:hAnsi="宋体" w:cs="宋体"/>
          <w:bCs/>
          <w:color w:val="auto"/>
          <w:szCs w:val="20"/>
        </w:rPr>
        <w:t>按“第六章　投标文件格式”中“开标一览表”格式填写。</w:t>
      </w:r>
    </w:p>
    <w:p>
      <w:pPr>
        <w:spacing w:line="360" w:lineRule="auto"/>
        <w:ind w:firstLine="420" w:firstLineChars="200"/>
        <w:rPr>
          <w:rFonts w:ascii="宋体" w:hAnsi="宋体" w:cs="宋体"/>
          <w:bCs/>
          <w:color w:val="auto"/>
          <w:szCs w:val="21"/>
        </w:rPr>
      </w:pPr>
      <w:bookmarkStart w:id="140" w:name="_16.2投标报价具体定义见投标人须知前附表。"/>
      <w:bookmarkEnd w:id="140"/>
      <w:r>
        <w:rPr>
          <w:rFonts w:hint="eastAsia" w:ascii="宋体" w:hAnsi="宋体" w:cs="宋体"/>
          <w:bCs/>
          <w:color w:val="auto"/>
          <w:szCs w:val="21"/>
        </w:rPr>
        <w:t>16.2投标报价具体包括内容详见“投标人须知前附表”。</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16.3投标人必须就所投</w:t>
      </w:r>
      <w:r>
        <w:rPr>
          <w:rFonts w:hint="eastAsia" w:cs="宋体"/>
          <w:color w:val="auto"/>
          <w:szCs w:val="21"/>
        </w:rPr>
        <w:t>项目</w:t>
      </w:r>
      <w:r>
        <w:rPr>
          <w:rFonts w:hint="eastAsia" w:ascii="宋体" w:hAnsi="宋体" w:cs="宋体"/>
          <w:bCs/>
          <w:color w:val="auto"/>
          <w:szCs w:val="21"/>
        </w:rPr>
        <w:t>的全部内容分别作完整唯一总价报价，不得存在漏项报价。投标人必须就所投</w:t>
      </w:r>
      <w:r>
        <w:rPr>
          <w:rFonts w:hint="eastAsia" w:cs="宋体"/>
          <w:color w:val="auto"/>
          <w:szCs w:val="21"/>
        </w:rPr>
        <w:t>项目</w:t>
      </w:r>
      <w:r>
        <w:rPr>
          <w:rFonts w:hint="eastAsia" w:ascii="宋体" w:hAnsi="宋体" w:cs="宋体"/>
          <w:bCs/>
          <w:color w:val="auto"/>
          <w:szCs w:val="21"/>
        </w:rPr>
        <w:t>的单项内容作唯一报价。</w:t>
      </w:r>
    </w:p>
    <w:p>
      <w:pPr>
        <w:spacing w:line="360" w:lineRule="auto"/>
        <w:ind w:firstLine="480" w:firstLineChars="200"/>
        <w:rPr>
          <w:rFonts w:ascii="宋体" w:hAnsi="宋体" w:cs="宋体"/>
          <w:color w:val="auto"/>
          <w:sz w:val="24"/>
        </w:rPr>
      </w:pPr>
      <w:r>
        <w:rPr>
          <w:rFonts w:hint="eastAsia" w:ascii="宋体" w:hAnsi="宋体" w:cs="宋体"/>
          <w:color w:val="auto"/>
          <w:sz w:val="24"/>
        </w:rPr>
        <w:t>17.投标有效期</w:t>
      </w:r>
    </w:p>
    <w:p>
      <w:pPr>
        <w:spacing w:line="360" w:lineRule="auto"/>
        <w:ind w:firstLine="420" w:firstLineChars="200"/>
        <w:rPr>
          <w:rFonts w:ascii="宋体" w:hAnsi="宋体" w:cs="宋体"/>
          <w:bCs/>
          <w:color w:val="auto"/>
          <w:szCs w:val="21"/>
        </w:rPr>
      </w:pPr>
      <w:bookmarkStart w:id="141" w:name="_17.1投标有效期应按“投标人须知中的前附表”规定的期限。"/>
      <w:bookmarkEnd w:id="141"/>
      <w:r>
        <w:rPr>
          <w:rFonts w:hint="eastAsia" w:ascii="宋体" w:hAnsi="宋体" w:cs="宋体"/>
          <w:bCs/>
          <w:color w:val="auto"/>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17.2</w:t>
      </w:r>
      <w:bookmarkStart w:id="142" w:name="_Toc254970540"/>
      <w:bookmarkStart w:id="143" w:name="_Toc254970681"/>
      <w:r>
        <w:rPr>
          <w:rFonts w:hint="eastAsia" w:ascii="宋体" w:hAnsi="宋体" w:cs="宋体"/>
          <w:bCs/>
          <w:color w:val="auto"/>
          <w:szCs w:val="21"/>
        </w:rPr>
        <w:t xml:space="preserve"> 投标有效期应按规定的期限作出承诺，具体详见“投标人须知前附表”。</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17.3投标人的投标文件在投标有效期内均保持有效。</w:t>
      </w:r>
      <w:bookmarkEnd w:id="142"/>
      <w:bookmarkEnd w:id="143"/>
    </w:p>
    <w:p>
      <w:pPr>
        <w:spacing w:line="360" w:lineRule="auto"/>
        <w:ind w:firstLine="480" w:firstLineChars="200"/>
        <w:rPr>
          <w:rFonts w:ascii="宋体" w:hAnsi="宋体" w:cs="宋体"/>
          <w:color w:val="auto"/>
          <w:sz w:val="24"/>
        </w:rPr>
      </w:pPr>
      <w:bookmarkStart w:id="144" w:name="_18.投标保证金"/>
      <w:bookmarkEnd w:id="144"/>
      <w:bookmarkStart w:id="145" w:name="_Toc254970541"/>
      <w:bookmarkStart w:id="146" w:name="_Toc254970682"/>
      <w:r>
        <w:rPr>
          <w:rFonts w:hint="eastAsia" w:ascii="宋体" w:hAnsi="宋体" w:cs="宋体"/>
          <w:color w:val="auto"/>
          <w:sz w:val="24"/>
        </w:rPr>
        <w:t>18.投标保证金</w:t>
      </w:r>
      <w:bookmarkEnd w:id="145"/>
      <w:bookmarkEnd w:id="146"/>
    </w:p>
    <w:p>
      <w:pPr>
        <w:pStyle w:val="6"/>
        <w:keepNext w:val="0"/>
        <w:keepLines w:val="0"/>
        <w:spacing w:before="0" w:after="0" w:line="360" w:lineRule="auto"/>
        <w:ind w:left="420" w:leftChars="200"/>
        <w:rPr>
          <w:rFonts w:ascii="宋体" w:hAnsi="宋体" w:cs="宋体"/>
          <w:b w:val="0"/>
          <w:color w:val="auto"/>
          <w:sz w:val="21"/>
          <w:szCs w:val="21"/>
        </w:rPr>
      </w:pPr>
      <w:bookmarkStart w:id="147" w:name="_Toc254970683"/>
      <w:bookmarkStart w:id="148" w:name="_Toc254970542"/>
      <w:r>
        <w:rPr>
          <w:rFonts w:hint="eastAsia" w:ascii="宋体" w:hAnsi="宋体" w:cs="宋体"/>
          <w:b w:val="0"/>
          <w:color w:val="auto"/>
          <w:sz w:val="21"/>
          <w:szCs w:val="21"/>
        </w:rPr>
        <w:t>18.1投标人须按“投标人须知前附表” 的规定提交投标保证金。</w:t>
      </w:r>
    </w:p>
    <w:p>
      <w:pPr>
        <w:pStyle w:val="6"/>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18.2投标保证金的退还</w:t>
      </w:r>
    </w:p>
    <w:p>
      <w:pPr>
        <w:pStyle w:val="6"/>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18.2.1未中标人的投标保证金自中标通知书发出之日起4个工作日内退还，退还方式如下：</w:t>
      </w:r>
    </w:p>
    <w:p>
      <w:pPr>
        <w:pStyle w:val="6"/>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（1）采用银行转账方式的，以转账方式退回到投标人银行账户。</w:t>
      </w:r>
    </w:p>
    <w:p>
      <w:pPr>
        <w:pStyle w:val="7"/>
        <w:spacing w:line="360" w:lineRule="auto"/>
        <w:ind w:firstLine="315" w:firstLineChars="150"/>
        <w:rPr>
          <w:rFonts w:ascii="宋体" w:hAnsi="宋体" w:cs="宋体"/>
          <w:color w:val="auto"/>
          <w:szCs w:val="21"/>
        </w:rPr>
      </w:pPr>
      <w:r>
        <w:rPr>
          <w:rFonts w:hint="eastAsia" w:ascii="宋体" w:hAnsi="宋体" w:cs="宋体"/>
          <w:color w:val="auto"/>
          <w:szCs w:val="21"/>
        </w:rPr>
        <w:t xml:space="preserve">（2）采用支票、汇票、本票或者金融机构、担保机构出具的保函等方式的，由投标人代表持相关授权证明材料至采购代理机构办理支票、汇票、本票或者金融机构、担保机构出具的保函等原件退还手续。 </w:t>
      </w:r>
    </w:p>
    <w:p>
      <w:pPr>
        <w:pStyle w:val="6"/>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 xml:space="preserve">18.2.2中标人的投标保证金自采购合同签订之日起4个工作日内退还，退还方式同本须知正文第18.2.1，或者转为中标人的履约保证金。 </w:t>
      </w:r>
    </w:p>
    <w:p>
      <w:pPr>
        <w:pStyle w:val="6"/>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18.3除逾期退还投标保证金和终止招标的情形以外，投标保证金不计息。</w:t>
      </w:r>
    </w:p>
    <w:p>
      <w:pPr>
        <w:pStyle w:val="6"/>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 xml:space="preserve">18.4投标人有下列情形之一的，投标保证金将不予退还： </w:t>
      </w:r>
    </w:p>
    <w:p>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（1）投标人在投标有效期内撤销投标文件的。</w:t>
      </w:r>
    </w:p>
    <w:p>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（2）未按规定提交履约保证金的。</w:t>
      </w:r>
    </w:p>
    <w:p>
      <w:pPr>
        <w:snapToGrid w:val="0"/>
        <w:spacing w:line="360" w:lineRule="auto"/>
        <w:ind w:firstLine="411" w:firstLineChars="196"/>
        <w:jc w:val="left"/>
        <w:rPr>
          <w:rFonts w:ascii="宋体" w:hAnsi="宋体" w:cs="宋体"/>
          <w:color w:val="auto"/>
          <w:szCs w:val="21"/>
        </w:rPr>
      </w:pPr>
      <w:r>
        <w:rPr>
          <w:rFonts w:hint="eastAsia" w:ascii="宋体" w:hAnsi="宋体" w:cs="宋体"/>
          <w:color w:val="auto"/>
          <w:szCs w:val="21"/>
        </w:rPr>
        <w:t>（3）投标人在投标过程中弄虚作假，提供虚假材料的。</w:t>
      </w:r>
    </w:p>
    <w:p>
      <w:pPr>
        <w:snapToGrid w:val="0"/>
        <w:spacing w:line="360" w:lineRule="auto"/>
        <w:ind w:firstLine="411" w:firstLineChars="196"/>
        <w:rPr>
          <w:rFonts w:ascii="宋体" w:hAnsi="宋体" w:cs="宋体"/>
          <w:color w:val="auto"/>
          <w:szCs w:val="21"/>
        </w:rPr>
      </w:pPr>
      <w:r>
        <w:rPr>
          <w:rFonts w:hint="eastAsia" w:ascii="宋体" w:hAnsi="宋体" w:cs="宋体"/>
          <w:color w:val="auto"/>
          <w:szCs w:val="21"/>
        </w:rPr>
        <w:t>（4）中标人无正当理由不与采购人签订合同的。</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（5）投标人出现本章第9.2、9.3情形的。</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（6）其他严重扰乱招投标程序的。</w:t>
      </w:r>
    </w:p>
    <w:p>
      <w:pPr>
        <w:spacing w:line="360" w:lineRule="auto"/>
        <w:ind w:firstLine="480" w:firstLineChars="200"/>
        <w:rPr>
          <w:rFonts w:ascii="宋体" w:hAnsi="宋体" w:cs="宋体"/>
          <w:color w:val="auto"/>
          <w:sz w:val="24"/>
        </w:rPr>
      </w:pPr>
      <w:r>
        <w:rPr>
          <w:rFonts w:hint="eastAsia" w:ascii="宋体" w:hAnsi="宋体" w:cs="宋体"/>
          <w:color w:val="auto"/>
          <w:sz w:val="24"/>
        </w:rPr>
        <w:t>19.投标文件的</w:t>
      </w:r>
      <w:bookmarkEnd w:id="147"/>
      <w:bookmarkEnd w:id="148"/>
      <w:r>
        <w:rPr>
          <w:rFonts w:hint="eastAsia" w:ascii="宋体" w:hAnsi="宋体" w:cs="宋体"/>
          <w:color w:val="auto"/>
          <w:sz w:val="24"/>
        </w:rPr>
        <w:t>编制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49" w:name="_19.2投标文件应按报价文件、资格证明文件、商务文件、技术文件分别编制"/>
      <w:bookmarkEnd w:id="149"/>
    </w:p>
    <w:p>
      <w:pPr>
        <w:pStyle w:val="55"/>
        <w:snapToGrid w:val="0"/>
        <w:spacing w:before="0"/>
        <w:ind w:firstLine="420"/>
        <w:rPr>
          <w:rFonts w:ascii="宋体" w:hAnsi="宋体" w:cs="宋体"/>
          <w:color w:val="auto"/>
          <w:sz w:val="21"/>
          <w:szCs w:val="21"/>
        </w:rPr>
      </w:pPr>
      <w:r>
        <w:rPr>
          <w:rFonts w:hint="eastAsia" w:ascii="宋体" w:hAnsi="宋体" w:cs="宋体"/>
          <w:color w:val="auto"/>
          <w:sz w:val="21"/>
          <w:szCs w:val="21"/>
        </w:rPr>
        <w:t>19.2投标文件按照招标文件第六章格式要求进行签署、盖章。投标人的投标文件未按照招标文件要求签署、盖章的，</w:t>
      </w:r>
      <w:r>
        <w:rPr>
          <w:rFonts w:hint="eastAsia" w:ascii="宋体" w:hAnsi="宋体" w:cs="宋体"/>
          <w:b/>
          <w:color w:val="auto"/>
          <w:sz w:val="21"/>
          <w:szCs w:val="21"/>
        </w:rPr>
        <w:t>其投标无效。</w:t>
      </w:r>
    </w:p>
    <w:p>
      <w:pPr>
        <w:pStyle w:val="55"/>
        <w:snapToGrid w:val="0"/>
        <w:spacing w:before="0"/>
        <w:ind w:firstLine="420"/>
        <w:rPr>
          <w:rFonts w:ascii="宋体" w:hAnsi="宋体" w:cs="宋体"/>
          <w:color w:val="auto"/>
          <w:sz w:val="21"/>
          <w:szCs w:val="21"/>
        </w:rPr>
      </w:pPr>
      <w:r>
        <w:rPr>
          <w:rFonts w:hint="eastAsia" w:ascii="宋体" w:hAnsi="宋体" w:cs="宋体"/>
          <w:color w:val="auto"/>
          <w:sz w:val="21"/>
          <w:szCs w:val="21"/>
        </w:rPr>
        <w:t>19.3为确保网上操作合法、有效和安全，投标人应当在投标截止时间前完成在“政采云”平台的身份认证，确保在电子投标过程中能够对相关数据电文进行加密和使用电子签名。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19.4投标文件中标注的投标人名称应与主体资格证明（如营业执照、事业单位法人证书、执业许可证、自然人身份证等）及公章一致，</w:t>
      </w:r>
      <w:r>
        <w:rPr>
          <w:rFonts w:hint="eastAsia" w:ascii="宋体" w:hAnsi="宋体" w:cs="宋体"/>
          <w:b/>
          <w:bCs/>
          <w:color w:val="auto"/>
          <w:szCs w:val="21"/>
        </w:rPr>
        <w:t>否则作无效投标处理</w:t>
      </w:r>
      <w:r>
        <w:rPr>
          <w:rFonts w:hint="eastAsia" w:ascii="宋体" w:hAnsi="宋体" w:cs="宋体"/>
          <w:b/>
          <w:color w:val="auto"/>
          <w:szCs w:val="21"/>
        </w:rPr>
        <w:t>。</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 xml:space="preserve"> 19.5投标文件应避免涂改、行间插字或者删除</w:t>
      </w:r>
      <w:r>
        <w:rPr>
          <w:rFonts w:hint="eastAsia" w:ascii="宋体" w:hAnsi="宋体" w:cs="宋体"/>
          <w:b/>
          <w:color w:val="auto"/>
          <w:szCs w:val="21"/>
        </w:rPr>
        <w:t>。</w:t>
      </w:r>
    </w:p>
    <w:p>
      <w:pPr>
        <w:spacing w:line="360" w:lineRule="auto"/>
        <w:ind w:firstLine="520" w:firstLineChars="248"/>
        <w:rPr>
          <w:rFonts w:ascii="宋体" w:hAnsi="宋体" w:cs="宋体"/>
          <w:color w:val="auto"/>
        </w:rPr>
      </w:pPr>
      <w:r>
        <w:rPr>
          <w:rFonts w:hint="eastAsia" w:ascii="宋体" w:hAnsi="宋体" w:cs="宋体"/>
          <w:color w:val="auto"/>
        </w:rPr>
        <w:t>19.6 对招标文件的实质性要求和条件作出响应是指投标人必须对招标文件中标注为实质性要求和条件的</w:t>
      </w:r>
      <w:r>
        <w:rPr>
          <w:rFonts w:hint="eastAsia" w:ascii="宋体" w:hAnsi="宋体" w:cs="宋体"/>
          <w:color w:val="auto"/>
          <w:szCs w:val="21"/>
        </w:rPr>
        <w:t>货物内容及要求</w:t>
      </w:r>
      <w:r>
        <w:rPr>
          <w:rFonts w:hint="eastAsia" w:ascii="宋体" w:hAnsi="宋体" w:cs="宋体"/>
          <w:color w:val="auto"/>
        </w:rPr>
        <w:t>、商务条款及其它内容</w:t>
      </w:r>
      <w:r>
        <w:rPr>
          <w:rFonts w:hint="eastAsia" w:ascii="宋体" w:hAnsi="宋体" w:cs="宋体"/>
          <w:b/>
          <w:color w:val="auto"/>
        </w:rPr>
        <w:t>作出满足或者优于原要求和条件的承诺</w:t>
      </w:r>
      <w:r>
        <w:rPr>
          <w:rFonts w:hint="eastAsia" w:ascii="宋体" w:hAnsi="宋体" w:cs="宋体"/>
          <w:color w:val="auto"/>
        </w:rPr>
        <w:t>。</w:t>
      </w:r>
    </w:p>
    <w:p>
      <w:pPr>
        <w:spacing w:line="360" w:lineRule="auto"/>
        <w:ind w:firstLine="422" w:firstLineChars="200"/>
        <w:rPr>
          <w:rFonts w:ascii="宋体" w:hAnsi="宋体" w:cs="宋体"/>
          <w:b/>
          <w:color w:val="auto"/>
          <w:szCs w:val="21"/>
          <w:u w:val="single"/>
        </w:rPr>
      </w:pPr>
      <w:r>
        <w:rPr>
          <w:rFonts w:hint="eastAsia" w:ascii="宋体" w:hAnsi="宋体" w:cs="宋体"/>
          <w:b/>
          <w:color w:val="auto"/>
          <w:szCs w:val="21"/>
          <w:u w:val="single"/>
        </w:rPr>
        <w:t>19.7本项目为全流程电子化项目，异常情况见“第二节 投标人须知正文”中“四、24.2开标程序。</w:t>
      </w:r>
    </w:p>
    <w:p>
      <w:pPr>
        <w:spacing w:line="360" w:lineRule="auto"/>
        <w:ind w:firstLine="480" w:firstLineChars="200"/>
        <w:rPr>
          <w:rFonts w:ascii="宋体" w:hAnsi="宋体" w:cs="宋体"/>
          <w:color w:val="auto"/>
          <w:sz w:val="24"/>
        </w:rPr>
      </w:pPr>
      <w:r>
        <w:rPr>
          <w:rFonts w:hint="eastAsia" w:ascii="宋体" w:hAnsi="宋体" w:cs="宋体"/>
          <w:color w:val="auto"/>
          <w:sz w:val="24"/>
        </w:rPr>
        <w:t>20.备份投标文件</w:t>
      </w:r>
    </w:p>
    <w:p>
      <w:pPr>
        <w:spacing w:line="360" w:lineRule="auto"/>
        <w:ind w:firstLine="420" w:firstLineChars="200"/>
        <w:rPr>
          <w:rFonts w:ascii="宋体" w:hAnsi="宋体" w:cs="宋体"/>
          <w:color w:val="auto"/>
          <w:sz w:val="24"/>
        </w:rPr>
      </w:pPr>
      <w:r>
        <w:rPr>
          <w:rFonts w:hint="eastAsia" w:ascii="宋体" w:hAnsi="宋体" w:cs="宋体"/>
          <w:bCs/>
          <w:color w:val="auto"/>
          <w:szCs w:val="21"/>
        </w:rPr>
        <w:t>详见在“投标人须知前附表”。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21.投标文件的提交</w:t>
      </w:r>
    </w:p>
    <w:p>
      <w:pPr>
        <w:spacing w:line="360" w:lineRule="auto"/>
        <w:ind w:firstLine="420" w:firstLineChars="200"/>
        <w:rPr>
          <w:rFonts w:ascii="宋体" w:hAnsi="宋体" w:cs="宋体"/>
          <w:b/>
          <w:color w:val="auto"/>
        </w:rPr>
      </w:pPr>
      <w:bookmarkStart w:id="150" w:name="_21.1投标人必须在“投标人须知中的前附表”规定的投标文件接收时间和投"/>
      <w:bookmarkEnd w:id="150"/>
      <w:r>
        <w:rPr>
          <w:rFonts w:hint="eastAsia" w:ascii="宋体" w:hAnsi="宋体" w:cs="宋体"/>
          <w:bCs/>
          <w:color w:val="auto"/>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color w:val="auto"/>
        </w:rPr>
        <w:t>“</w:t>
      </w:r>
      <w:r>
        <w:rPr>
          <w:rFonts w:hint="eastAsia" w:ascii="宋体" w:hAnsi="宋体" w:cs="宋体"/>
          <w:bCs/>
          <w:color w:val="auto"/>
          <w:szCs w:val="21"/>
        </w:rPr>
        <w:t xml:space="preserve">政采云”平台。 </w:t>
      </w:r>
    </w:p>
    <w:p>
      <w:pPr>
        <w:spacing w:line="360" w:lineRule="auto"/>
        <w:ind w:firstLine="422" w:firstLineChars="200"/>
        <w:rPr>
          <w:rFonts w:ascii="宋体" w:hAnsi="宋体" w:cs="宋体"/>
          <w:b/>
          <w:color w:val="auto"/>
          <w:szCs w:val="20"/>
        </w:rPr>
      </w:pPr>
      <w:r>
        <w:rPr>
          <w:rFonts w:hint="eastAsia" w:ascii="宋体" w:hAnsi="宋体" w:cs="宋体"/>
          <w:b/>
          <w:color w:val="auto"/>
          <w:szCs w:val="21"/>
        </w:rPr>
        <w:t>21.2未在规定时间内提交或者未按照招标文件要求密封或者标记的电子投标文件，“政采云”平台将拒收。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21.3电子版投标文件提交方式见“招标公告”</w:t>
      </w:r>
      <w:r>
        <w:rPr>
          <w:rFonts w:hint="eastAsia" w:ascii="宋体" w:hAnsi="宋体" w:cs="宋体"/>
          <w:b/>
          <w:color w:val="auto"/>
          <w:szCs w:val="21"/>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22. 投标文件的补充、修改、撤回与退回</w:t>
      </w:r>
      <w:bookmarkStart w:id="151" w:name="_Toc254970684"/>
      <w:bookmarkStart w:id="152" w:name="_Toc254970543"/>
    </w:p>
    <w:p>
      <w:pPr>
        <w:spacing w:line="360" w:lineRule="auto"/>
        <w:ind w:firstLine="420" w:firstLineChars="200"/>
        <w:rPr>
          <w:rFonts w:ascii="宋体" w:hAnsi="宋体" w:cs="宋体"/>
          <w:color w:val="auto"/>
          <w:sz w:val="24"/>
        </w:rPr>
      </w:pPr>
      <w:r>
        <w:rPr>
          <w:rFonts w:hint="eastAsia" w:ascii="宋体" w:hAnsi="宋体" w:cs="宋体"/>
          <w:color w:val="auto"/>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政采云”平台将拒收。</w:t>
      </w:r>
    </w:p>
    <w:p>
      <w:pPr>
        <w:pStyle w:val="55"/>
        <w:spacing w:before="0"/>
        <w:ind w:firstLine="420"/>
        <w:rPr>
          <w:rFonts w:ascii="宋体" w:hAnsi="宋体" w:cs="宋体"/>
          <w:color w:val="auto"/>
          <w:sz w:val="21"/>
          <w:szCs w:val="21"/>
        </w:rPr>
      </w:pPr>
      <w:r>
        <w:rPr>
          <w:rFonts w:hint="eastAsia" w:ascii="宋体" w:hAnsi="宋体" w:cs="宋体"/>
          <w:color w:val="auto"/>
          <w:sz w:val="21"/>
          <w:szCs w:val="21"/>
        </w:rPr>
        <w:t>22.2“政采云”平台收到投标文件，将妥善保存并即时向投标人发出确认回执通知。在投标截止时间前，除投标人补充、修改或者撤回投标文件外，任何单位和个人不得解密或提取投标文件。</w:t>
      </w:r>
    </w:p>
    <w:bookmarkEnd w:id="151"/>
    <w:bookmarkEnd w:id="152"/>
    <w:p>
      <w:pPr>
        <w:spacing w:line="360" w:lineRule="auto"/>
        <w:ind w:firstLine="420" w:firstLineChars="200"/>
        <w:rPr>
          <w:rFonts w:ascii="宋体" w:hAnsi="宋体" w:cs="宋体"/>
          <w:color w:val="auto"/>
          <w:szCs w:val="21"/>
        </w:rPr>
      </w:pPr>
      <w:r>
        <w:rPr>
          <w:rFonts w:hint="eastAsia" w:ascii="宋体" w:hAnsi="宋体" w:cs="宋体"/>
          <w:color w:val="auto"/>
          <w:szCs w:val="21"/>
        </w:rPr>
        <w:t>22.3在投标截止时间止提交电子版投标文件的投标人不足3家时，电子版投标文件由采购代理机构在“政采云”平台操作退回，除此之外采购人和采购代理机构对已提交的投标文件概不退回。</w:t>
      </w:r>
    </w:p>
    <w:p>
      <w:pPr>
        <w:pStyle w:val="2"/>
        <w:rPr>
          <w:color w:val="auto"/>
        </w:rPr>
      </w:pPr>
    </w:p>
    <w:p>
      <w:pPr>
        <w:pStyle w:val="11"/>
        <w:snapToGrid w:val="0"/>
        <w:spacing w:line="400" w:lineRule="exact"/>
        <w:ind w:firstLine="739"/>
        <w:rPr>
          <w:rFonts w:hAnsi="宋体" w:cs="宋体"/>
          <w:snapToGrid w:val="0"/>
          <w:color w:val="auto"/>
          <w:sz w:val="21"/>
          <w:szCs w:val="21"/>
        </w:rPr>
      </w:pPr>
    </w:p>
    <w:p>
      <w:pPr>
        <w:pStyle w:val="4"/>
        <w:keepNext w:val="0"/>
        <w:keepLines w:val="0"/>
        <w:spacing w:line="400" w:lineRule="exact"/>
        <w:jc w:val="center"/>
        <w:rPr>
          <w:rFonts w:ascii="宋体" w:hAnsi="宋体" w:cs="宋体"/>
          <w:color w:val="auto"/>
        </w:rPr>
      </w:pPr>
      <w:bookmarkStart w:id="153" w:name="_Toc20871"/>
      <w:bookmarkStart w:id="154" w:name="_Toc254970685"/>
      <w:bookmarkStart w:id="155" w:name="_Toc254970544"/>
      <w:bookmarkStart w:id="156" w:name="_Toc13173"/>
      <w:bookmarkStart w:id="157" w:name="_Toc6762"/>
      <w:bookmarkStart w:id="158" w:name="_Toc20620"/>
      <w:r>
        <w:rPr>
          <w:rFonts w:hint="eastAsia" w:ascii="宋体" w:hAnsi="宋体" w:cs="宋体"/>
          <w:color w:val="auto"/>
        </w:rPr>
        <w:t>四、开    标</w:t>
      </w:r>
      <w:bookmarkEnd w:id="153"/>
      <w:bookmarkEnd w:id="154"/>
      <w:bookmarkEnd w:id="155"/>
      <w:bookmarkEnd w:id="156"/>
      <w:bookmarkEnd w:id="157"/>
      <w:bookmarkEnd w:id="158"/>
    </w:p>
    <w:p>
      <w:pPr>
        <w:spacing w:line="360" w:lineRule="auto"/>
        <w:ind w:firstLine="480" w:firstLineChars="200"/>
        <w:rPr>
          <w:rFonts w:ascii="宋体" w:hAnsi="宋体" w:cs="宋体"/>
          <w:color w:val="auto"/>
          <w:sz w:val="24"/>
        </w:rPr>
      </w:pPr>
      <w:bookmarkStart w:id="159" w:name="_23.开标时间和地点"/>
      <w:bookmarkEnd w:id="159"/>
      <w:r>
        <w:rPr>
          <w:rFonts w:hint="eastAsia" w:ascii="宋体" w:hAnsi="宋体" w:cs="宋体"/>
          <w:color w:val="auto"/>
          <w:sz w:val="24"/>
        </w:rPr>
        <w:t>23.开标时间和地点</w:t>
      </w:r>
    </w:p>
    <w:p>
      <w:pPr>
        <w:spacing w:line="360" w:lineRule="auto"/>
        <w:ind w:firstLine="420" w:firstLineChars="200"/>
        <w:rPr>
          <w:rFonts w:ascii="宋体" w:hAnsi="宋体" w:cs="宋体"/>
          <w:bCs/>
          <w:color w:val="auto"/>
        </w:rPr>
      </w:pPr>
      <w:r>
        <w:rPr>
          <w:rFonts w:hint="eastAsia" w:ascii="宋体" w:hAnsi="宋体" w:cs="宋体"/>
          <w:bCs/>
          <w:color w:val="auto"/>
        </w:rPr>
        <w:t>23.1开标时间及地点详见“投标人须知前附表”</w:t>
      </w:r>
    </w:p>
    <w:p>
      <w:pPr>
        <w:spacing w:line="360" w:lineRule="auto"/>
        <w:ind w:firstLine="420" w:firstLineChars="200"/>
        <w:rPr>
          <w:rFonts w:ascii="宋体" w:hAnsi="宋体" w:cs="宋体"/>
          <w:color w:val="auto"/>
        </w:rPr>
      </w:pPr>
      <w:r>
        <w:rPr>
          <w:rFonts w:hint="eastAsia" w:ascii="宋体" w:hAnsi="宋体" w:cs="宋体"/>
          <w:color w:val="auto"/>
        </w:rPr>
        <w:t>23.2如</w:t>
      </w:r>
      <w:r>
        <w:rPr>
          <w:rFonts w:hint="eastAsia" w:ascii="宋体" w:hAnsi="宋体" w:cs="宋体"/>
          <w:bCs/>
          <w:color w:val="auto"/>
        </w:rPr>
        <w:t>投标人成功解密投标文件，但未在“政采云”电子开标大厅参加开标的，视同认可开标过程和结果，</w:t>
      </w:r>
      <w:r>
        <w:rPr>
          <w:rFonts w:hint="eastAsia" w:ascii="宋体" w:hAnsi="宋体" w:cs="宋体"/>
          <w:color w:val="auto"/>
        </w:rPr>
        <w:t>由此产生的后果由投标人自行负责。 投标人不足3家的，不得开标。</w:t>
      </w:r>
    </w:p>
    <w:p>
      <w:pPr>
        <w:spacing w:line="360" w:lineRule="auto"/>
        <w:ind w:firstLine="480" w:firstLineChars="200"/>
        <w:rPr>
          <w:rFonts w:ascii="宋体" w:hAnsi="宋体" w:cs="宋体"/>
          <w:color w:val="auto"/>
          <w:sz w:val="24"/>
        </w:rPr>
      </w:pPr>
      <w:r>
        <w:rPr>
          <w:rFonts w:hint="eastAsia" w:ascii="宋体" w:hAnsi="宋体" w:cs="宋体"/>
          <w:color w:val="auto"/>
          <w:sz w:val="24"/>
        </w:rPr>
        <w:t>24.开标程序</w:t>
      </w:r>
    </w:p>
    <w:p>
      <w:pPr>
        <w:autoSpaceDE w:val="0"/>
        <w:autoSpaceDN w:val="0"/>
        <w:adjustRightInd w:val="0"/>
        <w:spacing w:line="440" w:lineRule="exact"/>
        <w:ind w:firstLine="420" w:firstLineChars="200"/>
        <w:rPr>
          <w:rFonts w:ascii="宋体" w:hAnsi="宋体" w:cs="宋体"/>
          <w:color w:val="auto"/>
          <w:kern w:val="0"/>
          <w:szCs w:val="21"/>
        </w:rPr>
      </w:pPr>
      <w:r>
        <w:rPr>
          <w:rFonts w:hint="eastAsia" w:ascii="宋体" w:hAnsi="宋体" w:cs="宋体"/>
          <w:bCs/>
          <w:color w:val="auto"/>
          <w:szCs w:val="21"/>
        </w:rPr>
        <w:t>24.1</w:t>
      </w:r>
      <w:r>
        <w:rPr>
          <w:rFonts w:hint="eastAsia" w:ascii="宋体" w:hAnsi="宋体" w:cs="宋体"/>
          <w:color w:val="auto"/>
          <w:kern w:val="0"/>
          <w:szCs w:val="21"/>
        </w:rPr>
        <w:t>开标形式：</w:t>
      </w:r>
    </w:p>
    <w:p>
      <w:pPr>
        <w:autoSpaceDE w:val="0"/>
        <w:autoSpaceDN w:val="0"/>
        <w:adjustRightInd w:val="0"/>
        <w:spacing w:line="440" w:lineRule="exact"/>
        <w:ind w:firstLine="420" w:firstLineChars="200"/>
        <w:rPr>
          <w:rFonts w:ascii="宋体" w:hAnsi="宋体" w:cs="宋体"/>
          <w:bCs/>
          <w:color w:val="auto"/>
          <w:szCs w:val="21"/>
        </w:rPr>
      </w:pPr>
      <w:r>
        <w:rPr>
          <w:rFonts w:hint="eastAsia" w:ascii="宋体" w:hAnsi="宋体" w:cs="宋体"/>
          <w:color w:val="auto"/>
          <w:szCs w:val="21"/>
        </w:rPr>
        <w:t>（1）</w:t>
      </w:r>
      <w:r>
        <w:rPr>
          <w:rFonts w:hint="eastAsia" w:ascii="宋体" w:hAnsi="宋体" w:cs="宋体"/>
          <w:bCs/>
          <w:color w:val="auto"/>
          <w:szCs w:val="21"/>
        </w:rPr>
        <w:t>开标的准备工作由采购代理机构负责落实，采购代理机构必须基于“政采云”平台依法抽取评审专家，如采购代理机构未按规定抽取专家的，视为本次开评标无效，应当重新采购。</w:t>
      </w:r>
    </w:p>
    <w:p>
      <w:pPr>
        <w:autoSpaceDE w:val="0"/>
        <w:autoSpaceDN w:val="0"/>
        <w:adjustRightInd w:val="0"/>
        <w:spacing w:line="440" w:lineRule="exact"/>
        <w:ind w:firstLine="420" w:firstLineChars="200"/>
        <w:rPr>
          <w:rFonts w:ascii="宋体" w:hAnsi="宋体" w:cs="宋体"/>
          <w:bCs/>
          <w:color w:val="auto"/>
          <w:szCs w:val="21"/>
        </w:rPr>
      </w:pPr>
      <w:r>
        <w:rPr>
          <w:rFonts w:hint="eastAsia" w:ascii="宋体" w:hAnsi="宋体" w:cs="宋体"/>
          <w:bCs/>
          <w:color w:val="auto"/>
          <w:szCs w:val="21"/>
        </w:rPr>
        <w:t>（2）采购代理机构将按照招标文件规定的时间通过“政采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cs="宋体"/>
          <w:bCs/>
          <w:color w:val="auto"/>
          <w:szCs w:val="21"/>
        </w:rPr>
      </w:pPr>
      <w:r>
        <w:rPr>
          <w:rFonts w:hint="eastAsia" w:ascii="宋体" w:hAnsi="宋体" w:cs="宋体"/>
          <w:bCs/>
          <w:color w:val="auto"/>
          <w:szCs w:val="21"/>
        </w:rPr>
        <w:t>24.2开标程序：</w:t>
      </w:r>
    </w:p>
    <w:p>
      <w:pPr>
        <w:autoSpaceDE w:val="0"/>
        <w:autoSpaceDN w:val="0"/>
        <w:adjustRightInd w:val="0"/>
        <w:spacing w:line="440" w:lineRule="exact"/>
        <w:ind w:firstLine="420" w:firstLineChars="200"/>
        <w:rPr>
          <w:rFonts w:ascii="宋体" w:hAnsi="宋体" w:cs="宋体"/>
          <w:b/>
          <w:color w:val="auto"/>
          <w:kern w:val="1"/>
          <w:szCs w:val="21"/>
        </w:rPr>
      </w:pPr>
      <w:r>
        <w:rPr>
          <w:rFonts w:hint="eastAsia" w:hAnsi="宋体" w:cs="宋体"/>
          <w:bCs/>
          <w:color w:val="auto"/>
          <w:szCs w:val="21"/>
        </w:rPr>
        <w:t>（1）</w:t>
      </w:r>
      <w:r>
        <w:rPr>
          <w:rFonts w:hint="eastAsia" w:hAnsi="宋体" w:cs="宋体"/>
          <w:b/>
          <w:color w:val="auto"/>
          <w:szCs w:val="21"/>
        </w:rPr>
        <w:t>解密电子投标文件。</w:t>
      </w:r>
      <w:r>
        <w:rPr>
          <w:rFonts w:ascii="宋体" w:hAnsi="宋体" w:cs="仿宋"/>
          <w:b/>
          <w:color w:val="auto"/>
          <w:kern w:val="1"/>
          <w:szCs w:val="21"/>
        </w:rPr>
        <w:t>“</w:t>
      </w:r>
      <w:r>
        <w:rPr>
          <w:rFonts w:ascii="宋体" w:hAnsi="宋体" w:cs="仿宋"/>
          <w:color w:val="auto"/>
          <w:kern w:val="1"/>
          <w:szCs w:val="21"/>
        </w:rPr>
        <w:t>政采云”平台按开标时间自动提取所有投标文件。采购代理机构依托“政采云”平台</w:t>
      </w:r>
      <w:r>
        <w:rPr>
          <w:rFonts w:ascii="宋体" w:hAnsi="宋体" w:cs="宋体"/>
          <w:color w:val="auto"/>
          <w:kern w:val="1"/>
          <w:szCs w:val="21"/>
        </w:rPr>
        <w:t>向各投标人发出电子加密投标文件【开始解密】通知，由投标人</w:t>
      </w:r>
      <w:r>
        <w:rPr>
          <w:rFonts w:hint="eastAsia" w:ascii="宋体" w:hAnsi="宋体" w:cs="宋体"/>
          <w:color w:val="auto"/>
          <w:kern w:val="1"/>
          <w:szCs w:val="21"/>
        </w:rPr>
        <w:t>在</w:t>
      </w:r>
      <w:r>
        <w:rPr>
          <w:rFonts w:ascii="宋体" w:hAnsi="宋体" w:cs="宋体"/>
          <w:color w:val="auto"/>
          <w:kern w:val="1"/>
          <w:szCs w:val="21"/>
        </w:rPr>
        <w:t>规定的时间内自行</w:t>
      </w:r>
      <w:r>
        <w:rPr>
          <w:rFonts w:hint="eastAsia" w:ascii="宋体" w:hAnsi="宋体" w:cs="宋体"/>
          <w:color w:val="auto"/>
          <w:kern w:val="1"/>
          <w:szCs w:val="21"/>
        </w:rPr>
        <w:t>将</w:t>
      </w:r>
      <w:r>
        <w:rPr>
          <w:rFonts w:ascii="宋体" w:hAnsi="宋体" w:cs="宋体"/>
          <w:color w:val="auto"/>
          <w:kern w:val="1"/>
          <w:szCs w:val="21"/>
        </w:rPr>
        <w:t>投标文件</w:t>
      </w:r>
      <w:r>
        <w:rPr>
          <w:rFonts w:hint="eastAsia" w:ascii="宋体" w:hAnsi="宋体" w:cs="宋体"/>
          <w:color w:val="auto"/>
          <w:kern w:val="1"/>
          <w:szCs w:val="21"/>
        </w:rPr>
        <w:t>在线</w:t>
      </w:r>
      <w:r>
        <w:rPr>
          <w:rFonts w:ascii="宋体" w:hAnsi="宋体" w:cs="宋体"/>
          <w:color w:val="auto"/>
          <w:kern w:val="1"/>
          <w:szCs w:val="21"/>
        </w:rPr>
        <w:t>解密。投标人的法定代表人或其委托代理人</w:t>
      </w:r>
      <w:r>
        <w:rPr>
          <w:rFonts w:ascii="宋体" w:hAnsi="宋体" w:cs="宋体"/>
          <w:b/>
          <w:color w:val="auto"/>
          <w:kern w:val="1"/>
          <w:szCs w:val="21"/>
        </w:rPr>
        <w:t>须携带加密时所用的CA锁准时登录到“政采云”平台电子开标大厅签到并对电子投标文件</w:t>
      </w:r>
      <w:r>
        <w:rPr>
          <w:rFonts w:hint="eastAsia" w:ascii="宋体" w:hAnsi="宋体" w:cs="宋体"/>
          <w:b/>
          <w:color w:val="auto"/>
          <w:kern w:val="1"/>
          <w:szCs w:val="21"/>
        </w:rPr>
        <w:t>在线</w:t>
      </w:r>
      <w:r>
        <w:rPr>
          <w:rFonts w:ascii="宋体" w:hAnsi="宋体" w:cs="宋体"/>
          <w:b/>
          <w:color w:val="auto"/>
          <w:kern w:val="1"/>
          <w:szCs w:val="21"/>
        </w:rPr>
        <w:t>解密</w:t>
      </w:r>
      <w:r>
        <w:rPr>
          <w:rFonts w:ascii="宋体" w:hAnsi="宋体" w:cs="宋体"/>
          <w:color w:val="auto"/>
          <w:kern w:val="1"/>
          <w:szCs w:val="21"/>
        </w:rPr>
        <w:t>。</w:t>
      </w:r>
      <w:r>
        <w:rPr>
          <w:rFonts w:ascii="宋体" w:hAnsi="宋体" w:cs="仿宋"/>
          <w:color w:val="auto"/>
          <w:kern w:val="1"/>
          <w:szCs w:val="21"/>
        </w:rPr>
        <w:t>投标文件未按时解密</w:t>
      </w:r>
      <w:r>
        <w:rPr>
          <w:rFonts w:ascii="宋体" w:hAnsi="宋体" w:cs="宋体"/>
          <w:color w:val="auto"/>
          <w:kern w:val="1"/>
          <w:szCs w:val="21"/>
        </w:rPr>
        <w:t>的，</w:t>
      </w:r>
      <w:r>
        <w:rPr>
          <w:rFonts w:ascii="宋体" w:hAnsi="宋体" w:cs="宋体"/>
          <w:b/>
          <w:color w:val="auto"/>
          <w:kern w:val="1"/>
          <w:szCs w:val="21"/>
        </w:rPr>
        <w:t>均视为无效投标。</w:t>
      </w:r>
    </w:p>
    <w:p>
      <w:pPr>
        <w:autoSpaceDE w:val="0"/>
        <w:autoSpaceDN w:val="0"/>
        <w:adjustRightInd w:val="0"/>
        <w:spacing w:line="440" w:lineRule="exact"/>
        <w:ind w:firstLine="420" w:firstLineChars="200"/>
        <w:rPr>
          <w:rFonts w:hAnsi="宋体" w:cs="宋体"/>
          <w:color w:val="auto"/>
          <w:szCs w:val="21"/>
        </w:rPr>
      </w:pPr>
      <w:r>
        <w:rPr>
          <w:rFonts w:hint="eastAsia" w:hAnsi="宋体" w:cs="宋体"/>
          <w:color w:val="auto"/>
          <w:szCs w:val="21"/>
        </w:rPr>
        <w:t>（解密</w:t>
      </w:r>
      <w:r>
        <w:rPr>
          <w:rFonts w:hint="eastAsia" w:hAnsi="宋体" w:cs="宋体"/>
          <w:bCs/>
          <w:color w:val="auto"/>
          <w:szCs w:val="21"/>
        </w:rPr>
        <w:t>异常情况处理：详见本章</w:t>
      </w:r>
      <w:r>
        <w:rPr>
          <w:rFonts w:hint="eastAsia" w:hAnsi="宋体" w:cs="宋体"/>
          <w:color w:val="auto"/>
        </w:rPr>
        <w:t>29.3 电子交易活动的中止。</w:t>
      </w:r>
      <w:r>
        <w:rPr>
          <w:rFonts w:hint="eastAsia"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b/>
          <w:color w:val="auto"/>
          <w:szCs w:val="21"/>
        </w:rPr>
        <w:t>电子唱标。</w:t>
      </w:r>
      <w:r>
        <w:rPr>
          <w:rFonts w:hint="eastAsia" w:ascii="宋体" w:hAnsi="宋体" w:cs="宋体"/>
          <w:color w:val="auto"/>
          <w:szCs w:val="21"/>
        </w:rPr>
        <w:t>投标文件解密结束，各投标人报价均在“政采云”平台远程不见面开标大厅展示。</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（5）开标结束。</w:t>
      </w:r>
    </w:p>
    <w:p>
      <w:pPr>
        <w:pStyle w:val="14"/>
        <w:snapToGrid w:val="0"/>
        <w:spacing w:line="440" w:lineRule="exact"/>
        <w:ind w:firstLine="422" w:firstLineChars="200"/>
        <w:rPr>
          <w:rFonts w:hAnsi="宋体" w:cs="宋体"/>
          <w:color w:val="auto"/>
          <w:szCs w:val="21"/>
        </w:rPr>
      </w:pPr>
      <w:r>
        <w:rPr>
          <w:rFonts w:hint="eastAsia" w:hAnsi="宋体" w:cs="宋体"/>
          <w:b/>
          <w:bCs/>
          <w:color w:val="auto"/>
          <w:szCs w:val="21"/>
        </w:rPr>
        <w:t>特别说明：</w:t>
      </w:r>
      <w:r>
        <w:rPr>
          <w:rFonts w:hint="eastAsia" w:hAnsi="宋体" w:cs="宋体"/>
          <w:color w:val="auto"/>
          <w:szCs w:val="21"/>
        </w:rPr>
        <w:t>如遇“政采云”平台电子化开标或评审程序调整的，按调整后执行。</w:t>
      </w:r>
    </w:p>
    <w:p>
      <w:pPr>
        <w:pStyle w:val="8"/>
        <w:rPr>
          <w:rFonts w:hAnsi="宋体" w:cs="宋体"/>
          <w:color w:val="auto"/>
        </w:rPr>
      </w:pPr>
      <w:r>
        <w:rPr>
          <w:color w:val="auto"/>
        </w:rPr>
        <w:br w:type="page"/>
      </w:r>
    </w:p>
    <w:p>
      <w:pPr>
        <w:pStyle w:val="4"/>
        <w:keepNext w:val="0"/>
        <w:keepLines w:val="0"/>
        <w:spacing w:line="400" w:lineRule="exact"/>
        <w:jc w:val="center"/>
        <w:rPr>
          <w:rFonts w:ascii="宋体" w:hAnsi="宋体" w:cs="宋体"/>
          <w:color w:val="auto"/>
        </w:rPr>
      </w:pPr>
      <w:bookmarkStart w:id="160" w:name="_Toc31687"/>
      <w:bookmarkStart w:id="161" w:name="_Toc10935"/>
      <w:bookmarkStart w:id="162" w:name="_Toc29757"/>
      <w:bookmarkStart w:id="163" w:name="_Toc30961"/>
      <w:r>
        <w:rPr>
          <w:rFonts w:hint="eastAsia" w:ascii="宋体" w:hAnsi="宋体" w:cs="宋体"/>
          <w:color w:val="auto"/>
        </w:rPr>
        <w:t>五、资格审查</w:t>
      </w:r>
      <w:bookmarkEnd w:id="160"/>
      <w:bookmarkEnd w:id="161"/>
      <w:bookmarkEnd w:id="162"/>
      <w:bookmarkEnd w:id="163"/>
    </w:p>
    <w:p>
      <w:pPr>
        <w:pStyle w:val="6"/>
        <w:keepNext w:val="0"/>
        <w:keepLines w:val="0"/>
        <w:spacing w:before="0" w:after="0" w:line="360" w:lineRule="auto"/>
        <w:ind w:firstLine="482" w:firstLineChars="200"/>
        <w:rPr>
          <w:rFonts w:ascii="宋体" w:hAnsi="宋体" w:cs="宋体"/>
          <w:color w:val="auto"/>
          <w:sz w:val="24"/>
        </w:rPr>
      </w:pPr>
      <w:r>
        <w:rPr>
          <w:rFonts w:hint="eastAsia" w:ascii="宋体" w:hAnsi="宋体" w:cs="宋体"/>
          <w:color w:val="auto"/>
          <w:sz w:val="24"/>
        </w:rPr>
        <w:t>25.资格审查</w:t>
      </w:r>
    </w:p>
    <w:p>
      <w:pPr>
        <w:spacing w:line="360" w:lineRule="auto"/>
        <w:ind w:firstLine="422" w:firstLineChars="200"/>
        <w:rPr>
          <w:rFonts w:ascii="宋体" w:hAnsi="宋体" w:cs="宋体"/>
          <w:b/>
          <w:bCs/>
          <w:color w:val="auto"/>
          <w:szCs w:val="20"/>
        </w:rPr>
      </w:pPr>
      <w:r>
        <w:rPr>
          <w:rFonts w:hint="eastAsia" w:ascii="宋体" w:hAnsi="宋体" w:cs="宋体"/>
          <w:b/>
          <w:bCs/>
          <w:color w:val="auto"/>
          <w:szCs w:val="20"/>
        </w:rPr>
        <w:t>25.1开标结束后，采购人或采购代理机构依法通过电子投标文件对投标人的资格进行线上审查。</w:t>
      </w:r>
    </w:p>
    <w:p>
      <w:pPr>
        <w:spacing w:line="360" w:lineRule="auto"/>
        <w:ind w:firstLine="420" w:firstLineChars="200"/>
        <w:rPr>
          <w:rFonts w:ascii="宋体" w:hAnsi="宋体" w:cs="宋体"/>
          <w:color w:val="auto"/>
        </w:rPr>
      </w:pPr>
      <w:r>
        <w:rPr>
          <w:rFonts w:hint="eastAsia" w:ascii="宋体" w:hAnsi="宋体" w:cs="宋体"/>
          <w:color w:val="auto"/>
        </w:rPr>
        <w:t>25.2资格审查标准为本“招标文件”中“投标人须知前附表”13.1点载明对投标人资格要求的条件。本项目资格审查采用合格制，凡符合招标文件规定的投标人资格要求的投标人均通过资格审查。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cs="宋体"/>
          <w:b/>
          <w:bCs/>
          <w:color w:val="auto"/>
          <w:szCs w:val="20"/>
        </w:rPr>
      </w:pPr>
      <w:bookmarkStart w:id="164" w:name="_25.3_投标人有下列情形之一的，资格审查不通过而导致其投标无效："/>
      <w:bookmarkEnd w:id="164"/>
      <w:r>
        <w:rPr>
          <w:rFonts w:hint="eastAsia" w:ascii="宋体" w:hAnsi="宋体" w:cs="宋体"/>
          <w:b/>
          <w:bCs/>
          <w:color w:val="auto"/>
          <w:szCs w:val="20"/>
        </w:rPr>
        <w:t>25.3投标人有下列情形之一的，资格审查不通过，作无效投标处理：</w:t>
      </w:r>
    </w:p>
    <w:p>
      <w:pPr>
        <w:spacing w:line="360" w:lineRule="auto"/>
        <w:ind w:firstLine="420" w:firstLineChars="200"/>
        <w:rPr>
          <w:rFonts w:ascii="宋体" w:hAnsi="宋体" w:cs="宋体"/>
          <w:color w:val="auto"/>
        </w:rPr>
      </w:pPr>
      <w:r>
        <w:rPr>
          <w:rFonts w:hint="eastAsia" w:hAnsi="宋体"/>
          <w:color w:val="auto"/>
        </w:rPr>
        <w:t>（1）不具备招标文件中规定的资格要求的。（注：其中信用查询规则见“投标人须知前附表”，“政采云”平台已与“信用中国”平台做接口，</w:t>
      </w:r>
      <w:r>
        <w:rPr>
          <w:rFonts w:hint="eastAsia" w:ascii="宋体" w:hAnsi="宋体" w:cs="宋体"/>
          <w:color w:val="auto"/>
          <w:szCs w:val="20"/>
        </w:rPr>
        <w:t>采购人或者采购代理机构</w:t>
      </w:r>
      <w:r>
        <w:rPr>
          <w:rFonts w:hint="eastAsia" w:ascii="宋体" w:hAnsi="宋体" w:cs="宋体"/>
          <w:color w:val="auto"/>
        </w:rPr>
        <w:t>可直接在线查询）</w:t>
      </w:r>
    </w:p>
    <w:p>
      <w:pPr>
        <w:spacing w:line="360" w:lineRule="auto"/>
        <w:ind w:firstLine="420" w:firstLineChars="200"/>
        <w:rPr>
          <w:rFonts w:ascii="宋体" w:hAnsi="宋体" w:cs="宋体"/>
          <w:color w:val="auto"/>
        </w:rPr>
      </w:pPr>
      <w:r>
        <w:rPr>
          <w:rFonts w:hint="eastAsia" w:ascii="宋体" w:hAnsi="宋体" w:cs="宋体"/>
          <w:color w:val="auto"/>
        </w:rPr>
        <w:t>（2）投标文件未提供任一项“投标人须知前附表”资格证明文件规定的“必须提供”的文件资料的。</w:t>
      </w:r>
    </w:p>
    <w:p>
      <w:pPr>
        <w:spacing w:line="360" w:lineRule="auto"/>
        <w:ind w:firstLine="420" w:firstLineChars="200"/>
        <w:rPr>
          <w:rFonts w:ascii="宋体" w:hAnsi="宋体" w:cs="宋体"/>
          <w:color w:val="auto"/>
        </w:rPr>
      </w:pPr>
      <w:r>
        <w:rPr>
          <w:rFonts w:hint="eastAsia" w:ascii="宋体" w:hAnsi="宋体" w:cs="宋体"/>
          <w:color w:val="auto"/>
        </w:rPr>
        <w:t>（3）投标文件提供的资格证明文件出现任一项不符合“投标人须知前附表”资格证明文件规定的“必须提供”的文件资料要求或者无效的。</w:t>
      </w:r>
    </w:p>
    <w:p>
      <w:pPr>
        <w:pStyle w:val="6"/>
        <w:keepNext w:val="0"/>
        <w:keepLines w:val="0"/>
        <w:spacing w:before="0" w:after="0" w:line="360" w:lineRule="auto"/>
        <w:ind w:firstLine="420" w:firstLineChars="200"/>
        <w:rPr>
          <w:rFonts w:ascii="宋体" w:hAnsi="宋体" w:cs="宋体"/>
          <w:b w:val="0"/>
          <w:bCs w:val="0"/>
          <w:color w:val="auto"/>
          <w:sz w:val="21"/>
          <w:szCs w:val="20"/>
        </w:rPr>
      </w:pPr>
      <w:r>
        <w:rPr>
          <w:rFonts w:hint="eastAsia" w:ascii="宋体" w:hAnsi="宋体" w:cs="宋体"/>
          <w:b w:val="0"/>
          <w:bCs w:val="0"/>
          <w:color w:val="auto"/>
          <w:sz w:val="21"/>
          <w:szCs w:val="20"/>
        </w:rPr>
        <w:t>25.4资格审查的合格投标人不足3家的，不得评标。</w:t>
      </w:r>
    </w:p>
    <w:p>
      <w:pPr>
        <w:pStyle w:val="4"/>
        <w:keepNext w:val="0"/>
        <w:keepLines w:val="0"/>
        <w:spacing w:line="360" w:lineRule="auto"/>
        <w:jc w:val="center"/>
        <w:rPr>
          <w:rFonts w:ascii="宋体" w:hAnsi="宋体" w:cs="宋体"/>
          <w:color w:val="auto"/>
        </w:rPr>
      </w:pPr>
      <w:bookmarkStart w:id="165" w:name="_Toc10753"/>
      <w:bookmarkStart w:id="166" w:name="_Toc17458"/>
      <w:bookmarkStart w:id="167" w:name="_Toc23135"/>
      <w:bookmarkStart w:id="168" w:name="_Toc29675"/>
      <w:r>
        <w:rPr>
          <w:rFonts w:hint="eastAsia" w:ascii="宋体" w:hAnsi="宋体" w:cs="宋体"/>
          <w:color w:val="auto"/>
        </w:rPr>
        <w:t>六、评   标</w:t>
      </w:r>
      <w:bookmarkEnd w:id="165"/>
      <w:bookmarkEnd w:id="166"/>
      <w:bookmarkEnd w:id="167"/>
      <w:bookmarkEnd w:id="168"/>
    </w:p>
    <w:p>
      <w:pPr>
        <w:spacing w:line="360" w:lineRule="auto"/>
        <w:ind w:firstLine="480" w:firstLineChars="200"/>
        <w:rPr>
          <w:rFonts w:ascii="宋体" w:hAnsi="宋体" w:cs="宋体"/>
          <w:color w:val="auto"/>
          <w:sz w:val="24"/>
        </w:rPr>
      </w:pPr>
      <w:bookmarkStart w:id="169" w:name="_26.组建评标委员会"/>
      <w:bookmarkEnd w:id="169"/>
      <w:r>
        <w:rPr>
          <w:rFonts w:hint="eastAsia" w:ascii="宋体" w:hAnsi="宋体" w:cs="宋体"/>
          <w:color w:val="auto"/>
          <w:sz w:val="24"/>
        </w:rPr>
        <w:t>26.组建评标委员会</w:t>
      </w:r>
    </w:p>
    <w:p>
      <w:pPr>
        <w:spacing w:line="360" w:lineRule="auto"/>
        <w:ind w:firstLine="420" w:firstLineChars="200"/>
        <w:rPr>
          <w:rFonts w:ascii="宋体" w:hAnsi="宋体" w:cs="宋体"/>
          <w:color w:val="auto"/>
        </w:rPr>
      </w:pPr>
      <w:r>
        <w:rPr>
          <w:rFonts w:hint="eastAsia" w:ascii="宋体" w:hAnsi="宋体" w:cs="宋体"/>
          <w:color w:val="auto"/>
        </w:rPr>
        <w:t>评标委员会由政府采购评审专家 5 人和采购人代表2 人，共7 人组成。</w:t>
      </w:r>
    </w:p>
    <w:p>
      <w:pPr>
        <w:spacing w:line="360" w:lineRule="auto"/>
        <w:ind w:firstLine="420" w:firstLineChars="200"/>
        <w:rPr>
          <w:rFonts w:ascii="宋体" w:hAnsi="宋体" w:cs="宋体"/>
          <w:color w:val="auto"/>
        </w:rPr>
      </w:pPr>
      <w:r>
        <w:rPr>
          <w:rFonts w:hint="eastAsia" w:ascii="宋体" w:hAnsi="宋体" w:cs="宋体"/>
          <w:color w:val="auto"/>
        </w:rPr>
        <w:t>参加过采购项目前期咨询论证的专家，不得参加该采购项目的评审活动。</w:t>
      </w:r>
    </w:p>
    <w:p>
      <w:pPr>
        <w:spacing w:line="360" w:lineRule="auto"/>
        <w:ind w:firstLine="480" w:firstLineChars="200"/>
        <w:rPr>
          <w:rFonts w:ascii="宋体" w:hAnsi="宋体" w:cs="宋体"/>
          <w:color w:val="auto"/>
          <w:sz w:val="24"/>
        </w:rPr>
      </w:pPr>
      <w:r>
        <w:rPr>
          <w:rFonts w:hint="eastAsia" w:ascii="宋体" w:hAnsi="宋体" w:cs="宋体"/>
          <w:color w:val="auto"/>
          <w:sz w:val="24"/>
        </w:rPr>
        <w:t>27.评标的依据</w:t>
      </w:r>
    </w:p>
    <w:p>
      <w:pPr>
        <w:spacing w:line="360" w:lineRule="auto"/>
        <w:ind w:firstLine="420" w:firstLineChars="200"/>
        <w:rPr>
          <w:rFonts w:ascii="宋体" w:hAnsi="宋体" w:cs="宋体"/>
          <w:color w:val="auto"/>
        </w:rPr>
      </w:pPr>
      <w:r>
        <w:rPr>
          <w:rFonts w:hint="eastAsia" w:ascii="宋体" w:hAnsi="宋体" w:cs="宋体"/>
          <w:color w:val="auto"/>
        </w:rPr>
        <w:t>评标委员会以招标文件为依据对投标文件进行评审，“第四章 评标方法和评标标准”没有规定的方法、评审因素和标准，不作为评标依据。</w:t>
      </w:r>
    </w:p>
    <w:p>
      <w:pPr>
        <w:spacing w:line="360" w:lineRule="auto"/>
        <w:ind w:firstLine="480" w:firstLineChars="200"/>
        <w:rPr>
          <w:rFonts w:ascii="宋体" w:hAnsi="宋体" w:cs="宋体"/>
          <w:color w:val="auto"/>
          <w:sz w:val="24"/>
        </w:rPr>
      </w:pPr>
      <w:r>
        <w:rPr>
          <w:rFonts w:hint="eastAsia" w:ascii="宋体" w:hAnsi="宋体" w:cs="宋体"/>
          <w:color w:val="auto"/>
          <w:sz w:val="24"/>
        </w:rPr>
        <w:t>28.评标原则</w:t>
      </w:r>
    </w:p>
    <w:p>
      <w:pPr>
        <w:spacing w:line="360" w:lineRule="auto"/>
        <w:ind w:firstLine="420" w:firstLineChars="200"/>
        <w:rPr>
          <w:rFonts w:ascii="宋体" w:hAnsi="宋体" w:cs="宋体"/>
          <w:color w:val="auto"/>
        </w:rPr>
      </w:pPr>
      <w:r>
        <w:rPr>
          <w:rFonts w:hint="eastAsia" w:ascii="宋体" w:hAnsi="宋体" w:cs="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ascii="宋体" w:hAnsi="宋体" w:cs="宋体"/>
          <w:color w:val="auto"/>
        </w:rPr>
      </w:pPr>
      <w:r>
        <w:rPr>
          <w:rFonts w:hint="eastAsia" w:ascii="宋体" w:hAnsi="宋体" w:cs="宋体"/>
          <w:color w:val="auto"/>
        </w:rPr>
        <w:t>28.</w:t>
      </w:r>
      <w:r>
        <w:rPr>
          <w:rFonts w:hint="eastAsia" w:ascii="宋体" w:hAnsi="宋体" w:cs="宋体"/>
          <w:color w:val="auto"/>
          <w:lang w:val="en-US" w:eastAsia="zh-CN"/>
        </w:rPr>
        <w:t>2</w:t>
      </w:r>
      <w:r>
        <w:rPr>
          <w:rFonts w:hint="eastAsia" w:ascii="宋体" w:hAnsi="宋体" w:cs="宋体"/>
          <w:color w:val="auto"/>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ascii="宋体" w:hAnsi="宋体" w:cs="宋体"/>
          <w:color w:val="auto"/>
        </w:rPr>
      </w:pPr>
      <w:r>
        <w:rPr>
          <w:rFonts w:hint="eastAsia" w:ascii="宋体" w:hAnsi="宋体" w:cs="宋体"/>
          <w:color w:val="auto"/>
        </w:rPr>
        <w:t>28.</w:t>
      </w:r>
      <w:r>
        <w:rPr>
          <w:rFonts w:hint="eastAsia" w:ascii="宋体" w:hAnsi="宋体" w:cs="宋体"/>
          <w:color w:val="auto"/>
          <w:lang w:val="en-US" w:eastAsia="zh-CN"/>
        </w:rPr>
        <w:t>3</w:t>
      </w:r>
      <w:r>
        <w:rPr>
          <w:rFonts w:hint="eastAsia" w:ascii="宋体" w:hAnsi="宋体" w:cs="宋体"/>
          <w:color w:val="auto"/>
        </w:rPr>
        <w:t>评标过程的监控。本项目电子评标过程实行网上留痕、全程录音、录像监控，投标人在评标过程中所进行的试图影响评标结果的不公正活动，可能导致其投标作无效处理。</w:t>
      </w:r>
    </w:p>
    <w:p>
      <w:pPr>
        <w:pStyle w:val="2"/>
        <w:spacing w:line="360" w:lineRule="auto"/>
        <w:ind w:firstLine="420" w:firstLineChars="200"/>
        <w:rPr>
          <w:rFonts w:ascii="宋体" w:hAnsi="宋体" w:cs="宋体"/>
          <w:color w:val="auto"/>
          <w:sz w:val="21"/>
          <w:szCs w:val="21"/>
        </w:rPr>
      </w:pPr>
      <w:r>
        <w:rPr>
          <w:rFonts w:hint="eastAsia" w:ascii="宋体" w:hAnsi="宋体" w:cs="宋体"/>
          <w:color w:val="auto"/>
          <w:sz w:val="21"/>
          <w:szCs w:val="24"/>
        </w:rPr>
        <w:t>28.</w:t>
      </w:r>
      <w:r>
        <w:rPr>
          <w:rFonts w:hint="eastAsia" w:ascii="宋体" w:hAnsi="宋体" w:cs="宋体"/>
          <w:color w:val="auto"/>
          <w:sz w:val="21"/>
          <w:szCs w:val="24"/>
          <w:lang w:val="en-US" w:eastAsia="zh-CN"/>
        </w:rPr>
        <w:t>4</w:t>
      </w:r>
      <w:r>
        <w:rPr>
          <w:rFonts w:hint="eastAsia" w:ascii="宋体" w:hAnsi="宋体" w:cs="宋体"/>
          <w:color w:val="auto"/>
          <w:sz w:val="2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宋体" w:hAnsi="宋体" w:cs="宋体"/>
          <w:color w:val="auto"/>
          <w:sz w:val="24"/>
        </w:rPr>
      </w:pPr>
      <w:r>
        <w:rPr>
          <w:rFonts w:hint="eastAsia" w:ascii="宋体" w:hAnsi="宋体" w:cs="宋体"/>
          <w:color w:val="auto"/>
          <w:sz w:val="24"/>
        </w:rPr>
        <w:t>29.评标方法和评标标准</w:t>
      </w:r>
    </w:p>
    <w:p>
      <w:pPr>
        <w:spacing w:line="360" w:lineRule="auto"/>
        <w:ind w:firstLine="420" w:firstLineChars="200"/>
        <w:rPr>
          <w:rFonts w:ascii="宋体" w:hAnsi="宋体" w:cs="宋体"/>
          <w:color w:val="auto"/>
        </w:rPr>
      </w:pPr>
      <w:r>
        <w:rPr>
          <w:rFonts w:hint="eastAsia" w:ascii="宋体" w:hAnsi="宋体" w:cs="宋体"/>
          <w:color w:val="auto"/>
        </w:rPr>
        <w:t>29.1本项目的评标方法详见“投标人须知前附表”。</w:t>
      </w:r>
    </w:p>
    <w:p>
      <w:pPr>
        <w:spacing w:line="360" w:lineRule="auto"/>
        <w:ind w:firstLine="420" w:firstLineChars="200"/>
        <w:rPr>
          <w:rFonts w:ascii="宋体" w:hAnsi="宋体" w:cs="宋体"/>
          <w:color w:val="auto"/>
        </w:rPr>
      </w:pPr>
      <w:r>
        <w:rPr>
          <w:rFonts w:hint="eastAsia" w:ascii="宋体" w:hAnsi="宋体" w:cs="宋体"/>
          <w:color w:val="auto"/>
        </w:rPr>
        <w:t>29.2 评标委员会按照</w:t>
      </w:r>
      <w:r>
        <w:rPr>
          <w:rFonts w:hint="eastAsia" w:ascii="宋体" w:hAnsi="宋体" w:cs="宋体"/>
          <w:b/>
          <w:color w:val="auto"/>
        </w:rPr>
        <w:t>“第四章 评标方法和评标标准”</w:t>
      </w:r>
      <w:r>
        <w:rPr>
          <w:rFonts w:hint="eastAsia" w:ascii="宋体" w:hAnsi="宋体" w:cs="宋体"/>
          <w:color w:val="auto"/>
        </w:rPr>
        <w:t>规定的方法、评审因素、标准和程序对投标文件进行评审。</w:t>
      </w:r>
    </w:p>
    <w:p>
      <w:pPr>
        <w:spacing w:line="360" w:lineRule="auto"/>
        <w:ind w:firstLine="420" w:firstLineChars="200"/>
        <w:rPr>
          <w:rFonts w:ascii="宋体" w:hAnsi="宋体" w:cs="宋体"/>
          <w:color w:val="auto"/>
        </w:rPr>
      </w:pPr>
      <w:r>
        <w:rPr>
          <w:rFonts w:hint="eastAsia" w:ascii="宋体" w:hAnsi="宋体" w:cs="宋体"/>
          <w:color w:val="auto"/>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auto"/>
        </w:rPr>
      </w:pPr>
      <w:r>
        <w:rPr>
          <w:rFonts w:hint="eastAsia" w:ascii="宋体" w:hAnsi="宋体" w:cs="宋体"/>
          <w:color w:val="auto"/>
        </w:rPr>
        <w:t xml:space="preserve">（1）电子交易平台发生故障而无法登录访问的。 </w:t>
      </w:r>
    </w:p>
    <w:p>
      <w:pPr>
        <w:spacing w:line="360" w:lineRule="auto"/>
        <w:ind w:firstLine="420" w:firstLineChars="200"/>
        <w:rPr>
          <w:rFonts w:ascii="宋体" w:hAnsi="宋体" w:cs="宋体"/>
          <w:color w:val="auto"/>
        </w:rPr>
      </w:pPr>
      <w:r>
        <w:rPr>
          <w:rFonts w:hint="eastAsia" w:ascii="宋体" w:hAnsi="宋体" w:cs="宋体"/>
          <w:color w:val="auto"/>
        </w:rPr>
        <w:t>（2）电子交易平台应用或数据库出现错误，不能进行正常操作的。</w:t>
      </w:r>
    </w:p>
    <w:p>
      <w:pPr>
        <w:spacing w:line="360" w:lineRule="auto"/>
        <w:ind w:firstLine="420" w:firstLineChars="200"/>
        <w:rPr>
          <w:rFonts w:ascii="宋体" w:hAnsi="宋体" w:cs="宋体"/>
          <w:color w:val="auto"/>
        </w:rPr>
      </w:pPr>
      <w:r>
        <w:rPr>
          <w:rFonts w:hint="eastAsia" w:ascii="宋体" w:hAnsi="宋体" w:cs="宋体"/>
          <w:color w:val="auto"/>
        </w:rPr>
        <w:t>（3）电子交易平台发现严重安全漏洞，有潜在泄密危险的。</w:t>
      </w:r>
    </w:p>
    <w:p>
      <w:pPr>
        <w:spacing w:line="360" w:lineRule="auto"/>
        <w:ind w:firstLine="420" w:firstLineChars="200"/>
        <w:rPr>
          <w:rFonts w:ascii="宋体" w:hAnsi="宋体" w:cs="宋体"/>
          <w:color w:val="auto"/>
        </w:rPr>
      </w:pPr>
      <w:r>
        <w:rPr>
          <w:rFonts w:hint="eastAsia" w:ascii="宋体" w:hAnsi="宋体" w:cs="宋体"/>
          <w:color w:val="auto"/>
        </w:rPr>
        <w:t xml:space="preserve">（4）病毒发作导致不能进行正常操作的。 </w:t>
      </w:r>
    </w:p>
    <w:p>
      <w:pPr>
        <w:spacing w:line="360" w:lineRule="auto"/>
        <w:ind w:firstLine="420" w:firstLineChars="200"/>
        <w:rPr>
          <w:rFonts w:ascii="宋体" w:hAnsi="宋体" w:cs="宋体"/>
          <w:color w:val="auto"/>
        </w:rPr>
      </w:pPr>
      <w:r>
        <w:rPr>
          <w:rFonts w:hint="eastAsia" w:ascii="宋体" w:hAnsi="宋体" w:cs="宋体"/>
          <w:color w:val="auto"/>
        </w:rPr>
        <w:t>（5）其他无法保证电子交易的公平、公正和安全的情况。</w:t>
      </w:r>
    </w:p>
    <w:p>
      <w:pPr>
        <w:spacing w:line="360" w:lineRule="auto"/>
        <w:ind w:firstLine="420" w:firstLineChars="200"/>
        <w:rPr>
          <w:rFonts w:ascii="宋体" w:hAnsi="宋体" w:cs="宋体"/>
          <w:color w:val="auto"/>
        </w:rPr>
      </w:pPr>
      <w:r>
        <w:rPr>
          <w:rFonts w:hint="eastAsia" w:ascii="宋体" w:hAns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4"/>
        <w:snapToGrid w:val="0"/>
        <w:spacing w:line="400" w:lineRule="exact"/>
        <w:ind w:firstLine="420" w:firstLineChars="200"/>
        <w:rPr>
          <w:rFonts w:hAnsi="宋体" w:cs="宋体"/>
          <w:color w:val="auto"/>
        </w:rPr>
      </w:pPr>
    </w:p>
    <w:p>
      <w:pPr>
        <w:pStyle w:val="4"/>
        <w:keepNext w:val="0"/>
        <w:keepLines w:val="0"/>
        <w:spacing w:line="400" w:lineRule="exact"/>
        <w:jc w:val="center"/>
        <w:rPr>
          <w:rFonts w:ascii="宋体" w:hAnsi="宋体" w:cs="宋体"/>
          <w:color w:val="auto"/>
        </w:rPr>
      </w:pPr>
      <w:bookmarkStart w:id="170" w:name="_Toc254970687"/>
      <w:bookmarkStart w:id="171" w:name="_Toc254970546"/>
      <w:bookmarkStart w:id="172" w:name="_Toc20927"/>
      <w:bookmarkStart w:id="173" w:name="_Toc6053"/>
      <w:bookmarkStart w:id="174" w:name="_Toc16461"/>
      <w:bookmarkStart w:id="175" w:name="_Toc11609"/>
      <w:r>
        <w:rPr>
          <w:rFonts w:hint="eastAsia" w:ascii="宋体" w:hAnsi="宋体" w:cs="宋体"/>
          <w:color w:val="auto"/>
        </w:rPr>
        <w:t>七、</w:t>
      </w:r>
      <w:bookmarkEnd w:id="170"/>
      <w:bookmarkEnd w:id="171"/>
      <w:r>
        <w:rPr>
          <w:rFonts w:hint="eastAsia" w:ascii="宋体" w:hAnsi="宋体" w:cs="宋体"/>
          <w:color w:val="auto"/>
        </w:rPr>
        <w:t>中标和合同</w:t>
      </w:r>
      <w:bookmarkEnd w:id="172"/>
      <w:bookmarkEnd w:id="173"/>
      <w:bookmarkEnd w:id="174"/>
      <w:bookmarkEnd w:id="175"/>
    </w:p>
    <w:p>
      <w:pPr>
        <w:spacing w:line="360" w:lineRule="auto"/>
        <w:ind w:firstLine="480" w:firstLineChars="200"/>
        <w:rPr>
          <w:rFonts w:ascii="宋体" w:hAnsi="宋体" w:cs="宋体"/>
          <w:color w:val="auto"/>
          <w:sz w:val="24"/>
        </w:rPr>
      </w:pPr>
      <w:r>
        <w:rPr>
          <w:rFonts w:hint="eastAsia" w:ascii="宋体" w:hAnsi="宋体" w:cs="宋体"/>
          <w:color w:val="auto"/>
          <w:sz w:val="24"/>
        </w:rPr>
        <w:t>30.确定中标人</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30.1</w:t>
      </w:r>
      <w:r>
        <w:rPr>
          <w:rFonts w:hint="eastAsia" w:ascii="宋体" w:hAnsi="宋体" w:cs="宋体"/>
          <w:color w:val="auto"/>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rPr>
        <w:t>中标候选人并列的，由采购人或者采购人委托评标委员会按照</w:t>
      </w:r>
      <w:r>
        <w:rPr>
          <w:rFonts w:hint="eastAsia" w:ascii="宋体" w:hAnsi="宋体" w:cs="宋体"/>
          <w:color w:val="auto"/>
        </w:rPr>
        <w:t>“投标人须知前附表”</w:t>
      </w:r>
      <w:r>
        <w:rPr>
          <w:rFonts w:ascii="宋体" w:hAnsi="宋体" w:cs="宋体"/>
          <w:color w:val="auto"/>
        </w:rPr>
        <w:t>规定的方式确定中标人</w:t>
      </w:r>
      <w:r>
        <w:rPr>
          <w:rFonts w:hint="eastAsia" w:ascii="宋体" w:hAnsi="宋体" w:cs="宋体"/>
          <w:color w:val="auto"/>
        </w:rPr>
        <w:t>。</w:t>
      </w:r>
      <w:r>
        <w:rPr>
          <w:rFonts w:ascii="宋体" w:hAnsi="宋体" w:cs="宋体"/>
          <w:color w:val="auto"/>
        </w:rPr>
        <w:t>招标文件未规定的，采取随机抽取的方式确定。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30.3中标人无正当理由拒签合同的，根据《中华人民共和国政府采购法》第七十七条第一款规定处理。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30.4根据《中华人民共和国民法典》</w:t>
      </w:r>
      <w:r>
        <w:rPr>
          <w:rFonts w:hint="eastAsia" w:ascii="宋体" w:hAnsi="宋体" w:cs="宋体"/>
          <w:color w:val="auto"/>
          <w:sz w:val="19"/>
          <w:szCs w:val="19"/>
        </w:rPr>
        <w:t>第五百六十三条</w:t>
      </w:r>
      <w:r>
        <w:rPr>
          <w:rFonts w:hint="eastAsia" w:ascii="宋体" w:hAnsi="宋体" w:cs="宋体"/>
          <w:color w:val="auto"/>
          <w:szCs w:val="21"/>
        </w:rPr>
        <w:t>，因不可抗力致使不能实现合同目的的，当事人可以解除合同。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31. 结果公告</w:t>
      </w:r>
    </w:p>
    <w:p>
      <w:pPr>
        <w:spacing w:line="360" w:lineRule="auto"/>
        <w:ind w:firstLine="420" w:firstLineChars="200"/>
        <w:rPr>
          <w:rFonts w:ascii="宋体" w:hAnsi="宋体" w:cs="宋体"/>
          <w:color w:val="auto"/>
        </w:rPr>
      </w:pPr>
      <w:r>
        <w:rPr>
          <w:rFonts w:hint="eastAsia" w:ascii="宋体" w:hAnsi="宋体" w:cs="宋体"/>
          <w:color w:val="auto"/>
          <w:szCs w:val="21"/>
        </w:rPr>
        <w:t>31.1</w:t>
      </w:r>
      <w:r>
        <w:rPr>
          <w:rFonts w:hint="eastAsia" w:ascii="宋体" w:hAnsi="宋体" w:cs="宋体"/>
          <w:color w:val="auto"/>
        </w:rPr>
        <w:t>在中标人确定之日起2个工作日内，由采购代理机构</w:t>
      </w:r>
      <w:r>
        <w:rPr>
          <w:rFonts w:hint="eastAsia" w:ascii="宋体" w:hAnsi="宋体" w:cs="宋体"/>
          <w:b/>
          <w:color w:val="auto"/>
          <w:szCs w:val="21"/>
        </w:rPr>
        <w:t>在招标公告发布媒体上</w:t>
      </w:r>
      <w:r>
        <w:rPr>
          <w:rFonts w:hint="eastAsia" w:ascii="宋体" w:hAnsi="宋体" w:cs="宋体"/>
          <w:color w:val="auto"/>
        </w:rPr>
        <w:t>发布中标结果公告，中标结果公告期限为1个工作日，发布中标结果公告的同时向中标人发出中标通知书。</w:t>
      </w:r>
      <w:r>
        <w:rPr>
          <w:rFonts w:hint="eastAsia" w:ascii="宋体" w:hAnsi="宋体" w:cs="宋体"/>
          <w:b/>
          <w:color w:val="auto"/>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rPr>
        <w:t>排名第二的中标候选人因前款规定的同样原因被取消中标资格的，采购人可以依法确定排名第三的中标候选人为中标人，以此类推。</w:t>
      </w:r>
    </w:p>
    <w:p>
      <w:pPr>
        <w:spacing w:line="360" w:lineRule="auto"/>
        <w:ind w:firstLine="420" w:firstLineChars="200"/>
        <w:rPr>
          <w:rFonts w:ascii="宋体" w:hAnsi="宋体" w:cs="宋体"/>
          <w:color w:val="auto"/>
          <w:szCs w:val="21"/>
        </w:rPr>
      </w:pPr>
      <w:r>
        <w:rPr>
          <w:rFonts w:hint="eastAsia" w:ascii="宋体" w:hAnsi="宋体" w:cs="宋体"/>
          <w:color w:val="auto"/>
          <w:szCs w:val="21"/>
        </w:rPr>
        <w:t>以上信息查询记录及相关证据与采购文件一并保存。</w:t>
      </w:r>
    </w:p>
    <w:p>
      <w:pPr>
        <w:spacing w:line="360" w:lineRule="auto"/>
        <w:ind w:firstLine="420" w:firstLineChars="200"/>
        <w:rPr>
          <w:rFonts w:ascii="宋体" w:hAnsi="宋体" w:cs="宋体"/>
          <w:color w:val="auto"/>
          <w:szCs w:val="21"/>
        </w:rPr>
      </w:pPr>
      <w:r>
        <w:rPr>
          <w:rFonts w:hint="eastAsia" w:ascii="宋体" w:hAnsi="宋体" w:cs="宋体"/>
          <w:color w:val="auto"/>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ascii="宋体" w:hAnsi="宋体" w:cs="宋体"/>
          <w:color w:val="auto"/>
          <w:sz w:val="24"/>
        </w:rPr>
      </w:pPr>
      <w:r>
        <w:rPr>
          <w:rFonts w:hint="eastAsia" w:ascii="宋体" w:hAnsi="宋体" w:cs="宋体"/>
          <w:color w:val="auto"/>
          <w:sz w:val="24"/>
        </w:rPr>
        <w:t>32.发出中标通知书</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32.1在发布中标公告的同时，采购代理机构向中标人通过“政采云”平台发出电子中标通知书。</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32.2对未通过资格审查的投标人，采购人或采购代理机构应当告知其未通过的原因。采用综合评分办法评审的，采购人或采购机构还应当告知未中标人本人的评审得分与排序。</w:t>
      </w:r>
    </w:p>
    <w:p>
      <w:pPr>
        <w:spacing w:line="360" w:lineRule="auto"/>
        <w:ind w:firstLine="480" w:firstLineChars="200"/>
        <w:rPr>
          <w:rFonts w:ascii="宋体" w:hAnsi="宋体" w:cs="宋体"/>
          <w:color w:val="auto"/>
          <w:sz w:val="24"/>
        </w:rPr>
      </w:pPr>
      <w:r>
        <w:rPr>
          <w:rFonts w:hint="eastAsia" w:ascii="宋体" w:hAnsi="宋体" w:cs="宋体"/>
          <w:color w:val="auto"/>
          <w:sz w:val="24"/>
        </w:rPr>
        <w:t>33. 无义务解释未中标原因</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采购代理机构无义务向未中标的投标人解释未中标原因和退还投标文件。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34.合同授予标准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合同将授予被确定实质上响应招标文件要求，具备履行合同能力的中标人（招标文件另有约定多名中标人的除外）。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35.履约保证金</w:t>
      </w:r>
    </w:p>
    <w:p>
      <w:pPr>
        <w:pStyle w:val="6"/>
        <w:keepNext w:val="0"/>
        <w:keepLines w:val="0"/>
        <w:spacing w:before="0" w:after="0" w:line="360" w:lineRule="auto"/>
        <w:ind w:firstLine="315" w:firstLineChars="150"/>
        <w:rPr>
          <w:rFonts w:ascii="宋体" w:hAnsi="宋体" w:cs="宋体"/>
          <w:b w:val="0"/>
          <w:color w:val="auto"/>
          <w:sz w:val="21"/>
          <w:szCs w:val="21"/>
        </w:rPr>
      </w:pPr>
      <w:bookmarkStart w:id="176" w:name="_39.1中标人须于签订合同前按本须知前附表规定的金额转账或电汇到指定账"/>
      <w:bookmarkEnd w:id="176"/>
      <w:r>
        <w:rPr>
          <w:rFonts w:hint="eastAsia" w:ascii="宋体" w:hAnsi="宋体" w:cs="宋体"/>
          <w:b w:val="0"/>
          <w:color w:val="auto"/>
          <w:sz w:val="21"/>
          <w:szCs w:val="21"/>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pStyle w:val="6"/>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35.2签订合同后，如中标人不按双方签订的合同规定履约，则没收其全部履约保证金，履约保证金不足以赔偿损失的，按实际损失赔偿。</w:t>
      </w:r>
    </w:p>
    <w:p>
      <w:pPr>
        <w:pStyle w:val="6"/>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35.3在履约保证金退还日期前，若中标人的开户名称、开户银行、账号有变动的，请以书面形式通知履约保证金收取单位，否则由此产生的后果由中标人自行承担。</w:t>
      </w:r>
    </w:p>
    <w:p>
      <w:pPr>
        <w:spacing w:line="360" w:lineRule="auto"/>
        <w:ind w:firstLine="480" w:firstLineChars="200"/>
        <w:rPr>
          <w:rFonts w:ascii="宋体" w:hAnsi="宋体" w:cs="宋体"/>
          <w:color w:val="auto"/>
          <w:sz w:val="24"/>
        </w:rPr>
      </w:pPr>
      <w:r>
        <w:rPr>
          <w:rFonts w:hint="eastAsia" w:ascii="宋体" w:hAnsi="宋体" w:cs="宋体"/>
          <w:color w:val="auto"/>
          <w:sz w:val="24"/>
        </w:rPr>
        <w:t>36.签订合同</w:t>
      </w:r>
    </w:p>
    <w:p>
      <w:pPr>
        <w:spacing w:line="360" w:lineRule="auto"/>
        <w:ind w:firstLine="422" w:firstLineChars="200"/>
        <w:rPr>
          <w:rFonts w:ascii="宋体" w:hAnsi="宋体" w:cs="宋体"/>
          <w:color w:val="auto"/>
          <w:szCs w:val="21"/>
        </w:rPr>
      </w:pPr>
      <w:bookmarkStart w:id="177" w:name="_40.1投标人接到中标通知书后，按须知前附表规定向采购人出示相关资格证"/>
      <w:bookmarkEnd w:id="177"/>
      <w:r>
        <w:rPr>
          <w:rFonts w:hint="eastAsia" w:ascii="宋体" w:hAnsi="宋体" w:cs="宋体"/>
          <w:b/>
          <w:bCs/>
          <w:color w:val="auto"/>
          <w:szCs w:val="21"/>
        </w:rPr>
        <w:t>36.1</w:t>
      </w:r>
      <w:r>
        <w:rPr>
          <w:rFonts w:hint="eastAsia" w:ascii="宋体" w:hAnsi="宋体" w:cs="宋体"/>
          <w:color w:val="auto"/>
          <w:szCs w:val="21"/>
        </w:rPr>
        <w:t>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36.2采购合同由采购人与中标人根据招标文件、投标文件等内容通过政府采购电子交易平台在线签订，自动备案。（适用于签订电子合同的情形）</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采购合同由采购人与中标人根据招标文件、投标文件等内容签订。（适用于签订纸质合同的情形）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36.3签订合同时间：按中标通知书规定的时间与采购人签订合同。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36.6采购人或中标人不得单方面向合同另一方提出任何招标文件没有约定的条件或不合理的要求，作为签订合同的条件。也不得协商另行订立背离招标文件和合同实质性内容的协议。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36.7如签订合同并生效后，中标人无故拒绝或延期，除按照合同条款处理外，将承担相应的法律责任。</w:t>
      </w:r>
    </w:p>
    <w:p>
      <w:pPr>
        <w:spacing w:line="360" w:lineRule="auto"/>
        <w:ind w:firstLine="480" w:firstLineChars="200"/>
        <w:rPr>
          <w:rFonts w:ascii="宋体" w:hAnsi="宋体" w:cs="宋体"/>
          <w:color w:val="auto"/>
          <w:sz w:val="24"/>
        </w:rPr>
      </w:pPr>
      <w:bookmarkStart w:id="178" w:name="_41.政府采购合同公告"/>
      <w:bookmarkEnd w:id="178"/>
      <w:r>
        <w:rPr>
          <w:rFonts w:hint="eastAsia" w:ascii="宋体" w:hAnsi="宋体" w:cs="宋体"/>
          <w:color w:val="auto"/>
          <w:sz w:val="24"/>
        </w:rPr>
        <w:t>37.政府采购合同公告</w:t>
      </w:r>
    </w:p>
    <w:p>
      <w:pPr>
        <w:spacing w:line="360" w:lineRule="auto"/>
        <w:ind w:firstLine="420" w:firstLineChars="200"/>
        <w:rPr>
          <w:rFonts w:ascii="宋体" w:hAnsi="宋体" w:cs="宋体"/>
          <w:color w:val="auto"/>
        </w:rPr>
      </w:pPr>
      <w:r>
        <w:rPr>
          <w:rFonts w:hint="eastAsia" w:cs="宋体"/>
          <w:color w:val="auto"/>
          <w:kern w:val="1"/>
        </w:rPr>
        <w:t>采购人应当自政府采购合同签订之日起2个工作日内，将政府采购合同</w:t>
      </w:r>
      <w:r>
        <w:rPr>
          <w:rFonts w:hint="eastAsia" w:ascii="宋体" w:hAnsi="宋体" w:cs="宋体"/>
          <w:bCs/>
          <w:color w:val="auto"/>
          <w:kern w:val="1"/>
        </w:rPr>
        <w:t>在</w:t>
      </w:r>
      <w:r>
        <w:rPr>
          <w:rFonts w:hint="eastAsia"/>
          <w:color w:val="auto"/>
        </w:rPr>
        <w:t>省级以上人民政府财政部门指定的</w:t>
      </w:r>
      <w:r>
        <w:rPr>
          <w:rFonts w:hint="eastAsia" w:ascii="宋体" w:hAnsi="宋体" w:cs="宋体"/>
          <w:bCs/>
          <w:color w:val="auto"/>
          <w:kern w:val="1"/>
        </w:rPr>
        <w:t>媒体上</w:t>
      </w:r>
      <w:r>
        <w:rPr>
          <w:rFonts w:hint="eastAsia" w:cs="宋体"/>
          <w:color w:val="auto"/>
          <w:kern w:val="1"/>
        </w:rPr>
        <w:t>公告，</w:t>
      </w:r>
      <w:r>
        <w:rPr>
          <w:rFonts w:cs="宋体"/>
          <w:color w:val="auto"/>
          <w:kern w:val="1"/>
        </w:rPr>
        <w:t>但政府采购合同中涉及国家秘密、商业秘密的内容除外。</w:t>
      </w:r>
    </w:p>
    <w:p>
      <w:pPr>
        <w:spacing w:line="360" w:lineRule="auto"/>
        <w:ind w:firstLine="480" w:firstLineChars="200"/>
        <w:rPr>
          <w:rFonts w:ascii="宋体" w:hAnsi="宋体" w:cs="宋体"/>
          <w:color w:val="auto"/>
          <w:sz w:val="24"/>
        </w:rPr>
      </w:pPr>
      <w:r>
        <w:rPr>
          <w:rFonts w:hint="eastAsia" w:ascii="宋体" w:hAnsi="宋体" w:cs="宋体"/>
          <w:color w:val="auto"/>
          <w:sz w:val="24"/>
        </w:rPr>
        <w:t>38. 询问、质疑和投诉</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38.1询问</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38.1.1供应商在开标前对政府采购活动事项有疑问的，可以向采购人或采购代理机构项目负责人提出询问。</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38.1.2采购人或采购人委托的采购代理机构自受理询问之日起3个工作日内对供应商依法提出的询问作出答复，</w:t>
      </w:r>
      <w:r>
        <w:rPr>
          <w:rFonts w:hint="eastAsia" w:ascii="宋体" w:hAnsi="宋体" w:cs="宋体"/>
          <w:color w:val="auto"/>
        </w:rPr>
        <w:t>但答复内容不得涉及商业秘密</w:t>
      </w:r>
      <w:r>
        <w:rPr>
          <w:rFonts w:hint="eastAsia" w:ascii="宋体" w:hAnsi="宋体" w:cs="宋体"/>
          <w:bCs/>
          <w:color w:val="auto"/>
          <w:szCs w:val="21"/>
        </w:rPr>
        <w:t>。</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38.1.3 询问事项可能影响中标结果的，采购人应当暂停签订合同，已经签订合同的，应当中止履行合同。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38.2质疑</w:t>
      </w:r>
    </w:p>
    <w:p>
      <w:pPr>
        <w:spacing w:line="360" w:lineRule="auto"/>
        <w:ind w:firstLine="420" w:firstLineChars="200"/>
        <w:rPr>
          <w:rFonts w:ascii="宋体" w:hAnsi="宋体" w:cs="宋体"/>
          <w:b/>
          <w:color w:val="auto"/>
          <w:szCs w:val="21"/>
        </w:rPr>
      </w:pPr>
      <w:r>
        <w:rPr>
          <w:rFonts w:hint="eastAsia" w:ascii="宋体" w:hAnsi="宋体" w:cs="宋体"/>
          <w:bCs/>
          <w:color w:val="auto"/>
          <w:szCs w:val="21"/>
        </w:rPr>
        <w:t>38.2.1</w:t>
      </w:r>
      <w:r>
        <w:rPr>
          <w:rFonts w:hint="eastAsia" w:ascii="宋体" w:hAnsi="宋体" w:cs="宋体"/>
          <w:b/>
          <w:color w:val="auto"/>
          <w:szCs w:val="21"/>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ascii="宋体" w:hAnsi="宋体" w:cs="宋体"/>
          <w:bCs/>
          <w:color w:val="auto"/>
        </w:rPr>
      </w:pPr>
      <w:r>
        <w:rPr>
          <w:rFonts w:hint="eastAsia" w:ascii="宋体" w:hAnsi="宋体" w:cs="宋体"/>
          <w:bCs/>
          <w:color w:val="auto"/>
        </w:rPr>
        <w:t>（1）潜在供应商依法获取招标文件后，认为采购文件使自己的权益受到损害的，应当在招标文件公告期限届满之日起7个工作日内提出质疑。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pPr>
        <w:spacing w:line="360" w:lineRule="auto"/>
        <w:ind w:firstLine="420" w:firstLineChars="200"/>
        <w:rPr>
          <w:rFonts w:ascii="宋体" w:hAnsi="宋体" w:cs="宋体"/>
          <w:bCs/>
          <w:color w:val="auto"/>
        </w:rPr>
      </w:pPr>
      <w:r>
        <w:rPr>
          <w:rFonts w:hint="eastAsia" w:ascii="宋体" w:hAnsi="宋体" w:cs="宋体"/>
          <w:bCs/>
          <w:color w:val="auto"/>
        </w:rPr>
        <w:t>（3）供应商认为中标或者成交结果使自己的权益受到损害的，应当在中标或者成交结果公告期限届满之日起7个工作日内提出质疑，由采购人受理并负责答复。</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38.2.2供应商质疑实行实名制，其质疑应当有具体的质疑事项及事实根据，质疑应当坚持依法依规、诚实信用原则，不得进行虚假、恶意质疑。</w:t>
      </w:r>
    </w:p>
    <w:p>
      <w:pPr>
        <w:spacing w:line="360" w:lineRule="auto"/>
        <w:ind w:firstLine="420" w:firstLineChars="200"/>
        <w:rPr>
          <w:rFonts w:ascii="宋体" w:hAnsi="宋体" w:cs="宋体"/>
          <w:bCs/>
          <w:color w:val="auto"/>
        </w:rPr>
      </w:pPr>
      <w:r>
        <w:rPr>
          <w:rFonts w:hint="eastAsia" w:ascii="宋体" w:hAnsi="宋体" w:cs="宋体"/>
          <w:bCs/>
          <w:color w:val="auto"/>
          <w:szCs w:val="21"/>
        </w:rPr>
        <w:t>38.2.3</w:t>
      </w:r>
      <w:r>
        <w:rPr>
          <w:rFonts w:hint="eastAsia" w:ascii="宋体" w:hAns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rPr>
        <w:t>。</w:t>
      </w:r>
    </w:p>
    <w:p>
      <w:pPr>
        <w:spacing w:line="360" w:lineRule="auto"/>
        <w:ind w:firstLine="422" w:firstLineChars="200"/>
        <w:rPr>
          <w:rFonts w:ascii="宋体" w:hAnsi="宋体" w:cs="宋体"/>
          <w:b/>
          <w:bCs/>
          <w:color w:val="auto"/>
        </w:rPr>
      </w:pPr>
      <w:r>
        <w:rPr>
          <w:rFonts w:hint="eastAsia" w:ascii="宋体" w:hAnsi="宋体" w:cs="宋体"/>
          <w:b/>
          <w:bCs/>
          <w:color w:val="auto"/>
        </w:rPr>
        <w:t>38.2.4 质疑供应商提起质疑应当符合下列条件：</w:t>
      </w:r>
    </w:p>
    <w:p>
      <w:pPr>
        <w:spacing w:line="360" w:lineRule="auto"/>
        <w:ind w:firstLine="420" w:firstLineChars="200"/>
        <w:rPr>
          <w:rFonts w:ascii="宋体" w:hAnsi="宋体" w:cs="宋体"/>
          <w:bCs/>
          <w:color w:val="auto"/>
        </w:rPr>
      </w:pPr>
      <w:r>
        <w:rPr>
          <w:rFonts w:hint="eastAsia" w:ascii="宋体" w:hAnsi="宋体" w:cs="宋体"/>
          <w:bCs/>
          <w:color w:val="auto"/>
        </w:rPr>
        <w:t>（1）质疑供应商是参与所质疑</w:t>
      </w:r>
      <w:r>
        <w:rPr>
          <w:rFonts w:hint="eastAsia" w:ascii="宋体" w:hAnsi="宋体" w:cs="宋体"/>
          <w:bCs/>
          <w:color w:val="auto"/>
          <w:szCs w:val="21"/>
        </w:rPr>
        <w:t>项目</w:t>
      </w:r>
      <w:r>
        <w:rPr>
          <w:rFonts w:hint="eastAsia" w:ascii="宋体" w:hAnsi="宋体" w:cs="宋体"/>
          <w:bCs/>
          <w:color w:val="auto"/>
        </w:rPr>
        <w:t>采购活动的供应商（潜在供应商已依法获取可质疑的采购文件的，可以对该采购文件质疑）。</w:t>
      </w:r>
    </w:p>
    <w:p>
      <w:pPr>
        <w:spacing w:line="360" w:lineRule="auto"/>
        <w:ind w:firstLine="420" w:firstLineChars="200"/>
        <w:rPr>
          <w:rFonts w:ascii="宋体" w:hAnsi="宋体" w:cs="宋体"/>
          <w:bCs/>
          <w:color w:val="auto"/>
        </w:rPr>
      </w:pPr>
      <w:r>
        <w:rPr>
          <w:rFonts w:hint="eastAsia" w:ascii="宋体" w:hAnsi="宋体" w:cs="宋体"/>
          <w:bCs/>
          <w:color w:val="auto"/>
        </w:rPr>
        <w:t>（2）质疑函内容符合本章第38.2.5项的规定。</w:t>
      </w:r>
    </w:p>
    <w:p>
      <w:pPr>
        <w:spacing w:line="360" w:lineRule="auto"/>
        <w:ind w:firstLine="420" w:firstLineChars="200"/>
        <w:rPr>
          <w:rFonts w:ascii="宋体" w:hAnsi="宋体" w:cs="宋体"/>
          <w:bCs/>
          <w:color w:val="auto"/>
        </w:rPr>
      </w:pPr>
      <w:r>
        <w:rPr>
          <w:rFonts w:hint="eastAsia" w:ascii="宋体" w:hAnsi="宋体" w:cs="宋体"/>
          <w:bCs/>
          <w:color w:val="auto"/>
        </w:rPr>
        <w:t>（3）在质疑有效期限内提起质疑。</w:t>
      </w:r>
    </w:p>
    <w:p>
      <w:pPr>
        <w:spacing w:line="360" w:lineRule="auto"/>
        <w:ind w:firstLine="420" w:firstLineChars="200"/>
        <w:rPr>
          <w:rFonts w:ascii="宋体" w:hAnsi="宋体" w:cs="宋体"/>
          <w:bCs/>
          <w:color w:val="auto"/>
        </w:rPr>
      </w:pPr>
      <w:r>
        <w:rPr>
          <w:rFonts w:hint="eastAsia" w:ascii="宋体" w:hAnsi="宋体" w:cs="宋体"/>
          <w:bCs/>
          <w:color w:val="auto"/>
        </w:rPr>
        <w:t xml:space="preserve">（4）属于所质疑的采购人或采购人委托的采购代理机构组织的采购活动。 </w:t>
      </w:r>
    </w:p>
    <w:p>
      <w:pPr>
        <w:spacing w:line="360" w:lineRule="auto"/>
        <w:ind w:firstLine="420" w:firstLineChars="200"/>
        <w:rPr>
          <w:rFonts w:ascii="宋体" w:hAnsi="宋体" w:cs="宋体"/>
          <w:bCs/>
          <w:color w:val="auto"/>
        </w:rPr>
      </w:pPr>
      <w:r>
        <w:rPr>
          <w:rFonts w:hint="eastAsia" w:ascii="宋体" w:hAnsi="宋体" w:cs="宋体"/>
          <w:bCs/>
          <w:color w:val="auto"/>
        </w:rPr>
        <w:t>（5）供应商对同一采购程序环节的质疑应当在质疑有效期内一次性提出。</w:t>
      </w:r>
    </w:p>
    <w:p>
      <w:pPr>
        <w:spacing w:line="360" w:lineRule="auto"/>
        <w:ind w:firstLine="420" w:firstLineChars="200"/>
        <w:rPr>
          <w:rFonts w:ascii="宋体" w:hAnsi="宋体" w:cs="宋体"/>
          <w:bCs/>
          <w:color w:val="auto"/>
        </w:rPr>
      </w:pPr>
      <w:r>
        <w:rPr>
          <w:rFonts w:hint="eastAsia" w:ascii="宋体" w:hAnsi="宋体" w:cs="宋体"/>
          <w:bCs/>
          <w:color w:val="auto"/>
        </w:rPr>
        <w:t>（6）供应商提交质疑应当提交必要的证明材料，证明材料应以合法手段取得。</w:t>
      </w:r>
    </w:p>
    <w:p>
      <w:pPr>
        <w:spacing w:line="360" w:lineRule="auto"/>
        <w:ind w:firstLine="420" w:firstLineChars="200"/>
        <w:rPr>
          <w:rFonts w:ascii="宋体" w:hAnsi="宋体" w:cs="宋体"/>
          <w:color w:val="auto"/>
        </w:rPr>
      </w:pPr>
      <w:r>
        <w:rPr>
          <w:rFonts w:hint="eastAsia" w:ascii="宋体" w:hAnsi="宋体" w:cs="宋体"/>
          <w:bCs/>
          <w:color w:val="auto"/>
        </w:rPr>
        <w:t>（7）财政部门规定的其他条件。</w:t>
      </w:r>
    </w:p>
    <w:p>
      <w:pPr>
        <w:spacing w:line="360" w:lineRule="auto"/>
        <w:ind w:firstLine="422" w:firstLineChars="200"/>
        <w:rPr>
          <w:rFonts w:ascii="宋体" w:hAnsi="宋体" w:cs="宋体"/>
          <w:b/>
          <w:color w:val="auto"/>
          <w:szCs w:val="21"/>
        </w:rPr>
      </w:pPr>
      <w:bookmarkStart w:id="179" w:name="_9.2质疑、投诉应当采用书面形式，质疑函、投诉书均应明确阐述招标文件、"/>
      <w:bookmarkEnd w:id="179"/>
      <w:r>
        <w:rPr>
          <w:rFonts w:hint="eastAsia" w:ascii="宋体" w:hAnsi="宋体" w:cs="宋体"/>
          <w:b/>
          <w:bCs/>
          <w:color w:val="auto"/>
          <w:szCs w:val="21"/>
        </w:rPr>
        <w:t xml:space="preserve"> 38.2.5 </w:t>
      </w:r>
      <w:r>
        <w:rPr>
          <w:rFonts w:hint="eastAsia" w:ascii="宋体" w:hAnsi="宋体" w:cs="宋体"/>
          <w:b/>
          <w:color w:val="auto"/>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color w:val="auto"/>
        </w:rPr>
        <w:t>：</w:t>
      </w:r>
    </w:p>
    <w:p>
      <w:pPr>
        <w:spacing w:line="360" w:lineRule="auto"/>
        <w:ind w:firstLine="420" w:firstLineChars="200"/>
        <w:rPr>
          <w:rFonts w:ascii="宋体" w:hAnsi="宋体" w:cs="宋体"/>
          <w:bCs/>
          <w:color w:val="auto"/>
        </w:rPr>
      </w:pPr>
      <w:r>
        <w:rPr>
          <w:rFonts w:hint="eastAsia" w:ascii="宋体" w:hAnsi="宋体" w:cs="宋体"/>
          <w:bCs/>
          <w:color w:val="auto"/>
        </w:rPr>
        <w:t>（1）供应商的姓名或者名称、地址、邮编、联系人及联系电话。</w:t>
      </w:r>
    </w:p>
    <w:p>
      <w:pPr>
        <w:spacing w:line="360" w:lineRule="auto"/>
        <w:ind w:firstLine="420" w:firstLineChars="200"/>
        <w:rPr>
          <w:rFonts w:ascii="宋体" w:hAnsi="宋体" w:cs="宋体"/>
          <w:bCs/>
          <w:color w:val="auto"/>
        </w:rPr>
      </w:pPr>
      <w:r>
        <w:rPr>
          <w:rFonts w:hint="eastAsia" w:ascii="宋体" w:hAnsi="宋体" w:cs="宋体"/>
          <w:bCs/>
          <w:color w:val="auto"/>
        </w:rPr>
        <w:t>（2）质疑项目的名称、编号。</w:t>
      </w:r>
    </w:p>
    <w:p>
      <w:pPr>
        <w:spacing w:line="360" w:lineRule="auto"/>
        <w:ind w:firstLine="420" w:firstLineChars="200"/>
        <w:rPr>
          <w:rFonts w:ascii="宋体" w:hAnsi="宋体" w:cs="宋体"/>
          <w:bCs/>
          <w:color w:val="auto"/>
        </w:rPr>
      </w:pPr>
      <w:r>
        <w:rPr>
          <w:rFonts w:hint="eastAsia" w:ascii="宋体" w:hAnsi="宋体" w:cs="宋体"/>
          <w:bCs/>
          <w:color w:val="auto"/>
        </w:rPr>
        <w:t>（3）具体、明确的质疑事项和与质疑事项相关的请求。</w:t>
      </w:r>
    </w:p>
    <w:p>
      <w:pPr>
        <w:spacing w:line="360" w:lineRule="auto"/>
        <w:ind w:firstLine="420" w:firstLineChars="200"/>
        <w:rPr>
          <w:rFonts w:ascii="宋体" w:hAnsi="宋体" w:cs="宋体"/>
          <w:bCs/>
          <w:color w:val="auto"/>
        </w:rPr>
      </w:pPr>
      <w:r>
        <w:rPr>
          <w:rFonts w:hint="eastAsia" w:ascii="宋体" w:hAnsi="宋体" w:cs="宋体"/>
          <w:bCs/>
          <w:color w:val="auto"/>
        </w:rPr>
        <w:t>（4）事实依据（列明权益受到损害的事实和理由）。</w:t>
      </w:r>
    </w:p>
    <w:p>
      <w:pPr>
        <w:spacing w:line="360" w:lineRule="auto"/>
        <w:ind w:firstLine="420" w:firstLineChars="200"/>
        <w:rPr>
          <w:rFonts w:ascii="宋体" w:hAnsi="宋体" w:cs="宋体"/>
          <w:bCs/>
          <w:color w:val="auto"/>
        </w:rPr>
      </w:pPr>
      <w:r>
        <w:rPr>
          <w:rFonts w:hint="eastAsia" w:ascii="宋体" w:hAnsi="宋体" w:cs="宋体"/>
          <w:bCs/>
          <w:color w:val="auto"/>
        </w:rPr>
        <w:t>（5）必要的法律依据。</w:t>
      </w:r>
    </w:p>
    <w:p>
      <w:pPr>
        <w:spacing w:line="360" w:lineRule="auto"/>
        <w:ind w:firstLine="420" w:firstLineChars="200"/>
        <w:rPr>
          <w:rFonts w:ascii="宋体" w:hAnsi="宋体" w:cs="宋体"/>
          <w:bCs/>
          <w:color w:val="auto"/>
        </w:rPr>
      </w:pPr>
      <w:r>
        <w:rPr>
          <w:rFonts w:hint="eastAsia" w:ascii="宋体" w:hAnsi="宋体" w:cs="宋体"/>
          <w:bCs/>
          <w:color w:val="auto"/>
        </w:rPr>
        <w:t>（6）提出质疑的日期。</w:t>
      </w:r>
    </w:p>
    <w:p>
      <w:pPr>
        <w:spacing w:line="360" w:lineRule="auto"/>
        <w:ind w:firstLine="420" w:firstLineChars="200"/>
        <w:rPr>
          <w:rFonts w:ascii="宋体" w:hAnsi="宋体" w:cs="宋体"/>
          <w:bCs/>
          <w:color w:val="auto"/>
        </w:rPr>
      </w:pPr>
      <w:r>
        <w:rPr>
          <w:rFonts w:hint="eastAsia" w:ascii="宋体" w:hAnsi="宋体" w:cs="宋体"/>
          <w:bCs/>
          <w:color w:val="auto"/>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cs="宋体"/>
          <w:b/>
          <w:color w:val="auto"/>
          <w:szCs w:val="20"/>
        </w:rPr>
      </w:pPr>
      <w:r>
        <w:rPr>
          <w:rFonts w:hint="eastAsia" w:ascii="宋体" w:hAnsi="宋体" w:cs="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ascii="宋体" w:hAnsi="宋体" w:cs="宋体"/>
          <w:bCs/>
          <w:color w:val="auto"/>
          <w:szCs w:val="21"/>
        </w:rPr>
      </w:pPr>
      <w:r>
        <w:rPr>
          <w:rFonts w:hint="eastAsia" w:ascii="宋体" w:hAnsi="宋体" w:cs="宋体"/>
          <w:color w:val="auto"/>
          <w:szCs w:val="21"/>
        </w:rPr>
        <w:t>3</w:t>
      </w:r>
      <w:r>
        <w:rPr>
          <w:rFonts w:hint="eastAsia" w:ascii="宋体" w:hAnsi="宋体" w:cs="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ascii="宋体" w:hAnsi="宋体" w:cs="宋体"/>
          <w:bCs/>
          <w:color w:val="auto"/>
        </w:rPr>
      </w:pPr>
      <w:r>
        <w:rPr>
          <w:rFonts w:hint="eastAsia" w:ascii="宋体" w:hAnsi="宋体" w:cs="宋体"/>
          <w:bCs/>
          <w:color w:val="auto"/>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宋体" w:hAnsi="宋体" w:cs="宋体"/>
          <w:bCs/>
          <w:color w:val="auto"/>
        </w:rPr>
      </w:pPr>
      <w:r>
        <w:rPr>
          <w:rFonts w:hint="eastAsia" w:ascii="宋体" w:hAnsi="宋体" w:cs="宋体"/>
          <w:bCs/>
          <w:color w:val="auto"/>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宋体" w:hAnsi="宋体" w:cs="宋体"/>
          <w:bCs/>
          <w:color w:val="auto"/>
        </w:rPr>
      </w:pPr>
      <w:r>
        <w:rPr>
          <w:rFonts w:hint="eastAsia" w:ascii="宋体" w:hAnsi="宋体" w:cs="宋体"/>
          <w:bCs/>
          <w:color w:val="auto"/>
        </w:rPr>
        <w:t>质疑答复导致中标结果改变的，采购人或者采购代理机构应当将有关情况书面报告</w:t>
      </w:r>
      <w:r>
        <w:rPr>
          <w:rFonts w:hint="eastAsia" w:ascii="宋体" w:hAnsi="宋体" w:cs="宋体"/>
          <w:color w:val="auto"/>
          <w:szCs w:val="21"/>
        </w:rPr>
        <w:t>本级财政部门</w:t>
      </w:r>
      <w:r>
        <w:rPr>
          <w:rFonts w:hint="eastAsia" w:ascii="宋体" w:hAnsi="宋体" w:cs="宋体"/>
          <w:bCs/>
          <w:color w:val="auto"/>
        </w:rPr>
        <w:t>。</w:t>
      </w:r>
    </w:p>
    <w:p>
      <w:pPr>
        <w:spacing w:line="360" w:lineRule="auto"/>
        <w:ind w:firstLine="422" w:firstLineChars="200"/>
        <w:rPr>
          <w:rFonts w:ascii="宋体" w:hAnsi="宋体" w:cs="宋体"/>
          <w:b/>
          <w:color w:val="auto"/>
        </w:rPr>
      </w:pPr>
      <w:r>
        <w:rPr>
          <w:rFonts w:hint="eastAsia" w:ascii="宋体" w:hAnsi="宋体" w:cs="宋体"/>
          <w:b/>
          <w:color w:val="auto"/>
        </w:rPr>
        <w:t>38.3投诉</w:t>
      </w:r>
    </w:p>
    <w:p>
      <w:pPr>
        <w:spacing w:line="360" w:lineRule="auto"/>
        <w:ind w:firstLine="422" w:firstLineChars="200"/>
        <w:rPr>
          <w:rFonts w:ascii="宋体" w:hAnsi="宋体" w:cs="宋体"/>
          <w:bCs/>
          <w:color w:val="auto"/>
        </w:rPr>
      </w:pPr>
      <w:r>
        <w:rPr>
          <w:rFonts w:hint="eastAsia" w:ascii="宋体" w:hAnsi="宋体" w:cs="宋体"/>
          <w:b/>
          <w:color w:val="auto"/>
        </w:rPr>
        <w:t>38.3</w:t>
      </w:r>
      <w:r>
        <w:rPr>
          <w:rFonts w:hint="eastAsia" w:ascii="宋体" w:hAnsi="宋体" w:cs="宋体"/>
          <w:bCs/>
          <w:color w:val="auto"/>
        </w:rPr>
        <w:t>.</w:t>
      </w:r>
      <w:r>
        <w:rPr>
          <w:rFonts w:hint="eastAsia" w:ascii="宋体" w:hAnsi="宋体" w:cs="宋体"/>
          <w:b/>
          <w:bCs/>
          <w:color w:val="auto"/>
        </w:rPr>
        <w:t xml:space="preserve">1 </w:t>
      </w:r>
      <w:r>
        <w:rPr>
          <w:rFonts w:hint="eastAsia" w:ascii="宋体" w:hAnsi="宋体" w:cs="宋体"/>
          <w:bCs/>
          <w:color w:val="auto"/>
        </w:rPr>
        <w:t xml:space="preserve"> 供应商认为采购文件、采购过程、中标和成交结果使自己的合法权益受到损害的，应当首先依法向采购人或采购人委托的</w:t>
      </w:r>
      <w:r>
        <w:rPr>
          <w:rFonts w:hint="eastAsia" w:ascii="宋体" w:hAnsi="宋体" w:cs="宋体"/>
          <w:color w:val="auto"/>
        </w:rPr>
        <w:t>采购代理机构</w:t>
      </w:r>
      <w:r>
        <w:rPr>
          <w:rFonts w:hint="eastAsia" w:ascii="宋体" w:hAnsi="宋体" w:cs="宋体"/>
          <w:bCs/>
          <w:color w:val="auto"/>
        </w:rPr>
        <w:t>提出质疑。对采购人或</w:t>
      </w:r>
      <w:r>
        <w:rPr>
          <w:rFonts w:hint="eastAsia" w:ascii="宋体" w:hAnsi="宋体" w:cs="宋体"/>
          <w:color w:val="auto"/>
        </w:rPr>
        <w:t>采购代理机构</w:t>
      </w:r>
      <w:r>
        <w:rPr>
          <w:rFonts w:hint="eastAsia" w:ascii="宋体" w:hAnsi="宋体" w:cs="宋体"/>
          <w:bCs/>
          <w:color w:val="auto"/>
        </w:rPr>
        <w:t>的答复不满意，或者采购人或</w:t>
      </w:r>
      <w:r>
        <w:rPr>
          <w:rFonts w:hint="eastAsia" w:ascii="宋体" w:hAnsi="宋体" w:cs="宋体"/>
          <w:color w:val="auto"/>
        </w:rPr>
        <w:t>采购代理机构</w:t>
      </w:r>
      <w:r>
        <w:rPr>
          <w:rFonts w:hint="eastAsia" w:ascii="宋体" w:hAnsi="宋体" w:cs="宋体"/>
          <w:bCs/>
          <w:color w:val="auto"/>
        </w:rPr>
        <w:t>未在规定期限内做出答复的，供应商可以在答复期满后15个工作日内向本级财政部门提起投诉，投诉联系方式见“投标人须知前附表”。</w:t>
      </w:r>
    </w:p>
    <w:p>
      <w:pPr>
        <w:spacing w:line="360" w:lineRule="auto"/>
        <w:ind w:firstLine="422" w:firstLineChars="200"/>
        <w:rPr>
          <w:rFonts w:ascii="宋体" w:hAnsi="宋体" w:cs="宋体"/>
          <w:b/>
          <w:color w:val="auto"/>
        </w:rPr>
      </w:pPr>
      <w:r>
        <w:rPr>
          <w:rFonts w:hint="eastAsia" w:ascii="宋体" w:hAnsi="宋体" w:cs="宋体"/>
          <w:b/>
          <w:color w:val="auto"/>
        </w:rPr>
        <w:t>38.3.2  投诉人投诉时，应当提交投诉书，并按照被投诉采购人、采购代理机构和与投诉事项有关的供应商数量提供投诉书的副本。投诉书</w:t>
      </w:r>
      <w:r>
        <w:rPr>
          <w:rFonts w:hint="eastAsia" w:ascii="宋体" w:hAnsi="宋体" w:cs="宋体"/>
          <w:b/>
          <w:color w:val="auto"/>
          <w:szCs w:val="21"/>
        </w:rPr>
        <w:t>应当包括下列主要内容</w:t>
      </w:r>
      <w:r>
        <w:rPr>
          <w:rFonts w:hint="eastAsia" w:ascii="宋体" w:hAnsi="宋体" w:cs="宋体"/>
          <w:b/>
          <w:color w:val="auto"/>
        </w:rPr>
        <w:t>（如材料中有外文资料应同时附上对应的中文译本）（投诉书格式后附）</w:t>
      </w:r>
      <w:r>
        <w:rPr>
          <w:rFonts w:hint="eastAsia" w:ascii="宋体" w:hAnsi="宋体" w:cs="宋体"/>
          <w:b/>
          <w:color w:val="auto"/>
          <w:szCs w:val="21"/>
        </w:rPr>
        <w:t>：</w:t>
      </w:r>
    </w:p>
    <w:p>
      <w:pPr>
        <w:spacing w:line="360" w:lineRule="auto"/>
        <w:ind w:firstLine="420" w:firstLineChars="200"/>
        <w:rPr>
          <w:rFonts w:ascii="宋体" w:hAnsi="宋体" w:cs="宋体"/>
          <w:color w:val="auto"/>
        </w:rPr>
      </w:pPr>
      <w:r>
        <w:rPr>
          <w:rFonts w:hint="eastAsia" w:ascii="宋体" w:hAnsi="宋体" w:cs="宋体"/>
          <w:color w:val="auto"/>
        </w:rPr>
        <w:t xml:space="preserve">（1）投诉人和被投诉人的名称、地址、邮编、联系人及联系电话等。 </w:t>
      </w:r>
    </w:p>
    <w:p>
      <w:pPr>
        <w:spacing w:line="360" w:lineRule="auto"/>
        <w:ind w:firstLine="420" w:firstLineChars="200"/>
        <w:rPr>
          <w:rFonts w:ascii="宋体" w:hAnsi="宋体" w:cs="宋体"/>
          <w:color w:val="auto"/>
        </w:rPr>
      </w:pPr>
      <w:r>
        <w:rPr>
          <w:rFonts w:hint="eastAsia" w:ascii="宋体" w:hAnsi="宋体" w:cs="宋体"/>
          <w:color w:val="auto"/>
        </w:rPr>
        <w:t xml:space="preserve">（2）质疑和质疑答复情况及相关证明材料。 </w:t>
      </w:r>
    </w:p>
    <w:p>
      <w:pPr>
        <w:spacing w:line="360" w:lineRule="auto"/>
        <w:ind w:firstLine="420" w:firstLineChars="200"/>
        <w:rPr>
          <w:rFonts w:ascii="宋体" w:hAnsi="宋体" w:cs="宋体"/>
          <w:color w:val="auto"/>
        </w:rPr>
      </w:pPr>
      <w:r>
        <w:rPr>
          <w:rFonts w:hint="eastAsia" w:ascii="宋体" w:hAnsi="宋体" w:cs="宋体"/>
          <w:color w:val="auto"/>
        </w:rPr>
        <w:t>（3）具体、明确的投诉事项和与投诉事项相关的投诉请求。</w:t>
      </w:r>
    </w:p>
    <w:p>
      <w:pPr>
        <w:spacing w:line="360" w:lineRule="auto"/>
        <w:ind w:firstLine="420" w:firstLineChars="200"/>
        <w:rPr>
          <w:rFonts w:ascii="宋体" w:hAnsi="宋体" w:cs="宋体"/>
          <w:color w:val="auto"/>
        </w:rPr>
      </w:pPr>
      <w:r>
        <w:rPr>
          <w:rFonts w:hint="eastAsia" w:ascii="宋体" w:hAnsi="宋体" w:cs="宋体"/>
          <w:color w:val="auto"/>
        </w:rPr>
        <w:t>（4）事实依据。</w:t>
      </w:r>
    </w:p>
    <w:p>
      <w:pPr>
        <w:spacing w:line="360" w:lineRule="auto"/>
        <w:ind w:firstLine="420" w:firstLineChars="200"/>
        <w:rPr>
          <w:rFonts w:ascii="宋体" w:hAnsi="宋体" w:cs="宋体"/>
          <w:color w:val="auto"/>
        </w:rPr>
      </w:pPr>
      <w:r>
        <w:rPr>
          <w:rFonts w:hint="eastAsia" w:ascii="宋体" w:hAnsi="宋体" w:cs="宋体"/>
          <w:color w:val="auto"/>
        </w:rPr>
        <w:t>（5）法律依据。</w:t>
      </w:r>
    </w:p>
    <w:p>
      <w:pPr>
        <w:spacing w:line="360" w:lineRule="auto"/>
        <w:ind w:firstLine="420" w:firstLineChars="200"/>
        <w:rPr>
          <w:rFonts w:ascii="宋体" w:hAnsi="宋体" w:cs="宋体"/>
          <w:color w:val="auto"/>
        </w:rPr>
      </w:pPr>
      <w:r>
        <w:rPr>
          <w:rFonts w:hint="eastAsia" w:ascii="宋体" w:hAnsi="宋体" w:cs="宋体"/>
          <w:color w:val="auto"/>
        </w:rPr>
        <w:t>（6）提起投诉的日期。</w:t>
      </w:r>
      <w:r>
        <w:rPr>
          <w:rFonts w:hint="eastAsia" w:ascii="宋体" w:hAnsi="宋体" w:cs="宋体"/>
          <w:color w:val="auto"/>
        </w:rPr>
        <w:tab/>
      </w:r>
    </w:p>
    <w:p>
      <w:pPr>
        <w:spacing w:line="360" w:lineRule="auto"/>
        <w:ind w:firstLine="420" w:firstLineChars="200"/>
        <w:rPr>
          <w:rFonts w:ascii="宋体" w:hAnsi="宋体" w:cs="宋体"/>
          <w:bCs/>
          <w:color w:val="auto"/>
        </w:rPr>
      </w:pPr>
      <w:r>
        <w:rPr>
          <w:rFonts w:hint="eastAsia" w:ascii="宋体" w:hAnsi="宋体" w:cs="宋体"/>
          <w:bCs/>
          <w:color w:val="auto"/>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ascii="宋体" w:hAnsi="宋体" w:cs="宋体"/>
          <w:bCs/>
          <w:color w:val="auto"/>
        </w:rPr>
      </w:pPr>
      <w:r>
        <w:rPr>
          <w:rFonts w:hint="eastAsia" w:ascii="宋体" w:hAnsi="宋体" w:cs="宋体"/>
          <w:b/>
          <w:color w:val="auto"/>
        </w:rPr>
        <w:t xml:space="preserve">38.3.3  </w:t>
      </w:r>
      <w:r>
        <w:rPr>
          <w:rFonts w:hint="eastAsia" w:ascii="宋体" w:hAnsi="宋体" w:cs="宋体"/>
          <w:color w:val="auto"/>
        </w:rPr>
        <w:t>投诉人可以委托代理人办理投诉事务。</w:t>
      </w:r>
      <w:r>
        <w:rPr>
          <w:rFonts w:hint="eastAsia" w:ascii="宋体" w:hAnsi="宋体" w:cs="宋体"/>
          <w:bCs/>
          <w:color w:val="auto"/>
        </w:rPr>
        <w:t>委托代理人应熟悉相关业务情况。</w:t>
      </w:r>
      <w:r>
        <w:rPr>
          <w:rFonts w:hint="eastAsia" w:ascii="宋体" w:hAnsi="宋体" w:cs="宋体"/>
          <w:color w:val="auto"/>
        </w:rPr>
        <w:t>代理人办理投诉事务时，除提交投诉书外，还应当提交投诉人的授权委托书和委托代理人身份证明复印件。</w:t>
      </w:r>
    </w:p>
    <w:p>
      <w:pPr>
        <w:spacing w:line="360" w:lineRule="auto"/>
        <w:ind w:firstLine="422" w:firstLineChars="200"/>
        <w:rPr>
          <w:rFonts w:ascii="宋体" w:hAnsi="宋体" w:cs="宋体"/>
          <w:color w:val="auto"/>
        </w:rPr>
      </w:pPr>
      <w:r>
        <w:rPr>
          <w:rFonts w:hint="eastAsia" w:ascii="宋体" w:hAnsi="宋体" w:cs="宋体"/>
          <w:b/>
          <w:color w:val="auto"/>
        </w:rPr>
        <w:t>38.3.4</w:t>
      </w:r>
      <w:r>
        <w:rPr>
          <w:rFonts w:hint="eastAsia" w:ascii="宋体" w:hAnsi="宋体" w:cs="宋体"/>
          <w:color w:val="auto"/>
        </w:rPr>
        <w:t xml:space="preserve">  投诉人提起投诉应当符合下列条件：</w:t>
      </w:r>
    </w:p>
    <w:p>
      <w:pPr>
        <w:spacing w:line="360" w:lineRule="auto"/>
        <w:ind w:firstLine="420" w:firstLineChars="200"/>
        <w:rPr>
          <w:rFonts w:ascii="宋体" w:hAnsi="宋体" w:cs="宋体"/>
          <w:color w:val="auto"/>
        </w:rPr>
      </w:pPr>
      <w:r>
        <w:rPr>
          <w:rFonts w:hint="eastAsia" w:ascii="宋体" w:hAnsi="宋体" w:cs="宋体"/>
          <w:color w:val="auto"/>
        </w:rPr>
        <w:t>（1）投诉人是参与所投诉政府采购活动的供应商。</w:t>
      </w:r>
    </w:p>
    <w:p>
      <w:pPr>
        <w:spacing w:line="360" w:lineRule="auto"/>
        <w:ind w:firstLine="420" w:firstLineChars="200"/>
        <w:rPr>
          <w:rFonts w:ascii="宋体" w:hAnsi="宋体" w:cs="宋体"/>
          <w:color w:val="auto"/>
        </w:rPr>
      </w:pPr>
      <w:r>
        <w:rPr>
          <w:rFonts w:hint="eastAsia" w:ascii="宋体" w:hAnsi="宋体" w:cs="宋体"/>
          <w:color w:val="auto"/>
        </w:rPr>
        <w:t>（2）提起投诉前已依法进行质疑。</w:t>
      </w:r>
    </w:p>
    <w:p>
      <w:pPr>
        <w:spacing w:line="360" w:lineRule="auto"/>
        <w:ind w:firstLine="420" w:firstLineChars="200"/>
        <w:rPr>
          <w:rFonts w:ascii="宋体" w:hAnsi="宋体" w:cs="宋体"/>
          <w:color w:val="auto"/>
        </w:rPr>
      </w:pPr>
      <w:r>
        <w:rPr>
          <w:rFonts w:hint="eastAsia" w:ascii="宋体" w:hAnsi="宋体" w:cs="宋体"/>
          <w:color w:val="auto"/>
        </w:rPr>
        <w:t>（3）投诉书内容符合本章第38.3.2项的规定。</w:t>
      </w:r>
    </w:p>
    <w:p>
      <w:pPr>
        <w:spacing w:line="360" w:lineRule="auto"/>
        <w:ind w:firstLine="420" w:firstLineChars="200"/>
        <w:rPr>
          <w:rFonts w:ascii="宋体" w:hAnsi="宋体" w:cs="宋体"/>
          <w:color w:val="auto"/>
        </w:rPr>
      </w:pPr>
      <w:r>
        <w:rPr>
          <w:rFonts w:hint="eastAsia" w:ascii="宋体" w:hAnsi="宋体" w:cs="宋体"/>
          <w:color w:val="auto"/>
        </w:rPr>
        <w:t>（4）在投诉有效期限内提起投诉。</w:t>
      </w:r>
    </w:p>
    <w:p>
      <w:pPr>
        <w:spacing w:line="360" w:lineRule="auto"/>
        <w:ind w:firstLine="420" w:firstLineChars="200"/>
        <w:rPr>
          <w:rFonts w:ascii="宋体" w:hAnsi="宋体" w:cs="宋体"/>
          <w:color w:val="auto"/>
        </w:rPr>
      </w:pPr>
      <w:r>
        <w:rPr>
          <w:rFonts w:hint="eastAsia" w:ascii="宋体" w:hAnsi="宋体" w:cs="宋体"/>
          <w:color w:val="auto"/>
        </w:rPr>
        <w:t>（5）同一投诉事项未经</w:t>
      </w:r>
      <w:r>
        <w:rPr>
          <w:rFonts w:hint="eastAsia" w:ascii="宋体" w:hAnsi="宋体" w:cs="宋体"/>
          <w:bCs/>
          <w:color w:val="auto"/>
        </w:rPr>
        <w:t>财政部门</w:t>
      </w:r>
      <w:r>
        <w:rPr>
          <w:rFonts w:hint="eastAsia" w:ascii="宋体" w:hAnsi="宋体" w:cs="宋体"/>
          <w:color w:val="auto"/>
        </w:rPr>
        <w:t>投诉处理。</w:t>
      </w:r>
    </w:p>
    <w:p>
      <w:pPr>
        <w:spacing w:line="360" w:lineRule="auto"/>
        <w:ind w:firstLine="420" w:firstLineChars="200"/>
        <w:rPr>
          <w:rFonts w:hint="eastAsia" w:ascii="宋体" w:hAnsi="宋体" w:cs="宋体"/>
          <w:color w:val="auto"/>
        </w:rPr>
      </w:pPr>
      <w:r>
        <w:rPr>
          <w:rFonts w:hint="eastAsia" w:ascii="宋体" w:hAnsi="宋体" w:cs="宋体"/>
          <w:color w:val="auto"/>
        </w:rPr>
        <w:t>（6）国务院财政部门规定的其他条件。</w:t>
      </w:r>
    </w:p>
    <w:p>
      <w:pPr>
        <w:spacing w:line="360" w:lineRule="auto"/>
        <w:ind w:firstLine="422" w:firstLineChars="200"/>
        <w:rPr>
          <w:rFonts w:hint="eastAsia" w:ascii="宋体" w:hAnsi="宋体" w:cs="宋体"/>
          <w:b/>
          <w:color w:val="auto"/>
        </w:rPr>
      </w:pPr>
      <w:r>
        <w:rPr>
          <w:rFonts w:hint="eastAsia" w:ascii="宋体" w:hAnsi="宋体" w:cs="宋体"/>
          <w:b/>
          <w:color w:val="auto"/>
          <w:lang w:val="en-US" w:eastAsia="zh-CN"/>
        </w:rPr>
        <w:t>38.3.5</w:t>
      </w:r>
      <w:r>
        <w:rPr>
          <w:rFonts w:hint="eastAsia" w:ascii="宋体" w:hAnsi="宋体" w:cs="宋体"/>
          <w:color w:val="auto"/>
        </w:rPr>
        <w:t>供应商应明确知悉投诉可能产生的后果并承担相应的责任：</w:t>
      </w:r>
    </w:p>
    <w:p>
      <w:pPr>
        <w:spacing w:line="360" w:lineRule="auto"/>
        <w:ind w:firstLine="420" w:firstLineChars="200"/>
        <w:rPr>
          <w:rFonts w:hint="eastAsia" w:ascii="宋体" w:hAnsi="宋体" w:cs="宋体"/>
          <w:color w:val="auto"/>
        </w:rPr>
      </w:pPr>
      <w:r>
        <w:rPr>
          <w:rFonts w:hint="eastAsia" w:ascii="宋体" w:hAnsi="宋体" w:cs="宋体"/>
          <w:color w:val="auto"/>
        </w:rPr>
        <w:t>按照《政府采购质疑和投诉办法》（中华人民共和国财政部令第94号）第三十七条：投诉人在全国范围12个月内三次以上投诉查无实据的，由财政部门列入不良行为记录名单。</w:t>
      </w:r>
    </w:p>
    <w:p>
      <w:pPr>
        <w:spacing w:line="360" w:lineRule="auto"/>
        <w:ind w:firstLine="420" w:firstLineChars="200"/>
        <w:rPr>
          <w:rFonts w:hint="eastAsia" w:ascii="宋体" w:hAnsi="宋体" w:cs="宋体"/>
          <w:color w:val="auto"/>
        </w:rPr>
      </w:pPr>
      <w:r>
        <w:rPr>
          <w:rFonts w:hint="eastAsia" w:ascii="宋体" w:hAnsi="宋体" w:cs="宋体"/>
          <w:color w:val="auto"/>
        </w:rPr>
        <w:t>投诉人有下列行为之一的，属于虚假、恶意投诉，由财政部门列入不良行为记录名单，禁止其1至3年内参加政府采购活动：</w:t>
      </w:r>
    </w:p>
    <w:p>
      <w:pPr>
        <w:spacing w:line="360" w:lineRule="auto"/>
        <w:ind w:firstLine="420" w:firstLineChars="200"/>
        <w:rPr>
          <w:rFonts w:hint="eastAsia" w:ascii="宋体" w:hAnsi="宋体" w:cs="宋体"/>
          <w:color w:val="auto"/>
        </w:rPr>
      </w:pPr>
      <w:r>
        <w:rPr>
          <w:rFonts w:hint="eastAsia" w:ascii="宋体" w:hAnsi="宋体" w:cs="宋体"/>
          <w:color w:val="auto"/>
        </w:rPr>
        <w:t>（一）捏造事实；</w:t>
      </w:r>
    </w:p>
    <w:p>
      <w:pPr>
        <w:spacing w:line="360" w:lineRule="auto"/>
        <w:ind w:firstLine="420" w:firstLineChars="200"/>
        <w:rPr>
          <w:rFonts w:hint="eastAsia" w:ascii="宋体" w:hAnsi="宋体" w:cs="宋体"/>
          <w:color w:val="auto"/>
        </w:rPr>
      </w:pPr>
      <w:r>
        <w:rPr>
          <w:rFonts w:hint="eastAsia" w:ascii="宋体" w:hAnsi="宋体" w:cs="宋体"/>
          <w:color w:val="auto"/>
        </w:rPr>
        <w:t>（二）提供虚假材料；</w:t>
      </w:r>
    </w:p>
    <w:p>
      <w:pPr>
        <w:spacing w:line="360" w:lineRule="auto"/>
        <w:ind w:firstLine="420" w:firstLineChars="200"/>
        <w:rPr>
          <w:rFonts w:hint="eastAsia" w:ascii="宋体" w:hAnsi="宋体" w:cs="宋体"/>
          <w:color w:val="auto"/>
        </w:rPr>
      </w:pPr>
      <w:r>
        <w:rPr>
          <w:rFonts w:hint="eastAsia" w:ascii="宋体" w:hAnsi="宋体" w:cs="宋体"/>
          <w:color w:val="auto"/>
        </w:rPr>
        <w:t>（三）以非法手段取得证明材料。证据来源的合法性存在明显疑问，投诉人无法证明其取得方式合法的，视为以非法手段取得证明材料。</w:t>
      </w:r>
    </w:p>
    <w:p>
      <w:pPr>
        <w:pStyle w:val="10"/>
        <w:rPr>
          <w:color w:val="auto"/>
        </w:rPr>
      </w:pPr>
    </w:p>
    <w:p>
      <w:pPr>
        <w:pStyle w:val="4"/>
        <w:ind w:firstLine="4498" w:firstLineChars="1400"/>
        <w:rPr>
          <w:rFonts w:ascii="宋体" w:hAnsi="宋体" w:cs="宋体"/>
          <w:color w:val="auto"/>
        </w:rPr>
      </w:pPr>
      <w:bookmarkStart w:id="180" w:name="_Toc18873"/>
      <w:bookmarkStart w:id="181" w:name="_Toc28886"/>
      <w:bookmarkStart w:id="182" w:name="_Toc22303"/>
      <w:bookmarkStart w:id="183" w:name="_Toc17335"/>
      <w:r>
        <w:rPr>
          <w:rFonts w:hint="eastAsia" w:ascii="宋体" w:hAnsi="宋体" w:cs="宋体"/>
          <w:color w:val="auto"/>
        </w:rPr>
        <w:t>八、验收</w:t>
      </w:r>
      <w:bookmarkEnd w:id="180"/>
      <w:bookmarkEnd w:id="181"/>
      <w:bookmarkEnd w:id="182"/>
      <w:bookmarkEnd w:id="183"/>
    </w:p>
    <w:p>
      <w:pPr>
        <w:spacing w:line="360" w:lineRule="auto"/>
        <w:ind w:firstLine="422" w:firstLineChars="200"/>
        <w:rPr>
          <w:rFonts w:ascii="宋体" w:hAnsi="宋体" w:cs="宋体"/>
          <w:b/>
          <w:color w:val="auto"/>
        </w:rPr>
      </w:pPr>
      <w:r>
        <w:rPr>
          <w:rFonts w:hint="eastAsia" w:ascii="宋体" w:hAnsi="宋体" w:cs="宋体"/>
          <w:b/>
          <w:color w:val="auto"/>
        </w:rPr>
        <w:t>39.验收</w:t>
      </w:r>
    </w:p>
    <w:p>
      <w:pPr>
        <w:tabs>
          <w:tab w:val="left" w:pos="0"/>
        </w:tabs>
        <w:spacing w:line="360" w:lineRule="auto"/>
        <w:ind w:firstLine="480"/>
        <w:rPr>
          <w:rFonts w:ascii="宋体" w:hAnsi="宋体" w:cs="宋体"/>
          <w:color w:val="auto"/>
        </w:rPr>
      </w:pPr>
      <w:r>
        <w:rPr>
          <w:rFonts w:hint="eastAsia" w:ascii="宋体" w:hAnsi="宋体" w:cs="宋体"/>
          <w:color w:val="auto"/>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ascii="宋体" w:hAnsi="宋体" w:cs="宋体"/>
          <w:color w:val="auto"/>
        </w:rPr>
      </w:pPr>
      <w:r>
        <w:rPr>
          <w:rFonts w:hint="eastAsia" w:ascii="宋体" w:hAnsi="宋体" w:cs="宋体"/>
          <w:color w:val="auto"/>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rPr>
      </w:pPr>
      <w:r>
        <w:rPr>
          <w:rFonts w:hint="eastAsia" w:ascii="宋体" w:hAnsi="宋体" w:cs="宋体"/>
          <w:color w:val="auto"/>
        </w:rPr>
        <w:t>39.3严格按照采购合同开展履约验收。采购人成立验收小组，按照采购合同的约定对中标人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rPr>
      </w:pPr>
      <w:r>
        <w:rPr>
          <w:rFonts w:hint="eastAsia" w:ascii="宋体" w:hAnsi="宋体" w:cs="宋体"/>
          <w:color w:val="auto"/>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Style w:val="4"/>
        <w:keepNext w:val="0"/>
        <w:keepLines w:val="0"/>
        <w:spacing w:line="360" w:lineRule="auto"/>
        <w:jc w:val="center"/>
        <w:rPr>
          <w:rFonts w:ascii="宋体" w:hAnsi="宋体" w:cs="宋体"/>
          <w:color w:val="auto"/>
        </w:rPr>
      </w:pPr>
      <w:bookmarkStart w:id="184" w:name="_八、其他事项"/>
      <w:bookmarkEnd w:id="184"/>
      <w:bookmarkStart w:id="185" w:name="_Toc22183"/>
      <w:bookmarkStart w:id="186" w:name="_Toc13415"/>
      <w:bookmarkStart w:id="187" w:name="_Toc30046"/>
      <w:bookmarkStart w:id="188" w:name="_Toc18658"/>
    </w:p>
    <w:p>
      <w:pPr>
        <w:pStyle w:val="4"/>
        <w:keepNext w:val="0"/>
        <w:keepLines w:val="0"/>
        <w:spacing w:line="360" w:lineRule="auto"/>
        <w:jc w:val="center"/>
        <w:rPr>
          <w:rFonts w:ascii="宋体" w:hAnsi="宋体" w:cs="宋体"/>
          <w:color w:val="auto"/>
        </w:rPr>
      </w:pPr>
      <w:r>
        <w:rPr>
          <w:rFonts w:hint="eastAsia" w:ascii="宋体" w:hAnsi="宋体" w:cs="宋体"/>
          <w:color w:val="auto"/>
        </w:rPr>
        <w:t>九、其他事项</w:t>
      </w:r>
      <w:bookmarkEnd w:id="185"/>
      <w:bookmarkEnd w:id="186"/>
      <w:bookmarkEnd w:id="187"/>
      <w:bookmarkEnd w:id="188"/>
    </w:p>
    <w:p>
      <w:pPr>
        <w:spacing w:line="360" w:lineRule="auto"/>
        <w:ind w:firstLine="480" w:firstLineChars="200"/>
        <w:rPr>
          <w:rFonts w:ascii="宋体" w:hAnsi="宋体" w:cs="宋体"/>
          <w:color w:val="auto"/>
          <w:sz w:val="24"/>
        </w:rPr>
      </w:pPr>
      <w:bookmarkStart w:id="189" w:name="_42.代理服务费"/>
      <w:bookmarkEnd w:id="189"/>
      <w:r>
        <w:rPr>
          <w:rFonts w:hint="eastAsia" w:ascii="宋体" w:hAnsi="宋体" w:cs="宋体"/>
          <w:color w:val="auto"/>
          <w:sz w:val="24"/>
        </w:rPr>
        <w:t>40.采购代理服务费</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40.1采购代理服务费收费标准及缴费账户详见“投标人须知前附表”，投标人为联合体的，可以由联合体中的一方或者多方共同缴纳采购代理服务费。</w:t>
      </w:r>
    </w:p>
    <w:p>
      <w:pPr>
        <w:pStyle w:val="6"/>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40.2采购代理服务费收费标准：</w:t>
      </w:r>
    </w:p>
    <w:tbl>
      <w:tblPr>
        <w:tblStyle w:val="24"/>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l2br w:val="single" w:color="auto" w:sz="4" w:space="0"/>
            </w:tcBorders>
            <w:noWrap/>
          </w:tcPr>
          <w:p>
            <w:pPr>
              <w:spacing w:line="360" w:lineRule="auto"/>
              <w:rPr>
                <w:rFonts w:ascii="宋体" w:hAnsi="宋体" w:cs="宋体"/>
                <w:color w:val="auto"/>
                <w:szCs w:val="21"/>
              </w:rPr>
            </w:pPr>
            <w:r>
              <w:rPr>
                <w:rFonts w:hint="eastAsia" w:ascii="宋体" w:hAnsi="宋体" w:cs="宋体"/>
                <w:color w:val="auto"/>
                <w:szCs w:val="21"/>
              </w:rPr>
              <w:t xml:space="preserve">               费率</w:t>
            </w:r>
          </w:p>
          <w:p>
            <w:pPr>
              <w:spacing w:line="360" w:lineRule="auto"/>
              <w:rPr>
                <w:rFonts w:ascii="宋体" w:hAnsi="宋体" w:cs="宋体"/>
                <w:color w:val="auto"/>
                <w:szCs w:val="21"/>
              </w:rPr>
            </w:pPr>
            <w:r>
              <w:rPr>
                <w:rFonts w:hint="eastAsia" w:ascii="宋体" w:hAnsi="宋体" w:cs="宋体"/>
                <w:color w:val="auto"/>
                <w:szCs w:val="21"/>
              </w:rPr>
              <w:t>中标金额</w:t>
            </w:r>
          </w:p>
        </w:tc>
        <w:tc>
          <w:tcPr>
            <w:tcW w:w="1659" w:type="dxa"/>
            <w:noWrap/>
            <w:vAlign w:val="center"/>
          </w:tcPr>
          <w:p>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687" w:type="dxa"/>
            <w:noWrap/>
            <w:vAlign w:val="center"/>
          </w:tcPr>
          <w:p>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659" w:type="dxa"/>
            <w:noWrap/>
            <w:vAlign w:val="center"/>
          </w:tcPr>
          <w:p>
            <w:pPr>
              <w:spacing w:line="360" w:lineRule="auto"/>
              <w:jc w:val="center"/>
              <w:rPr>
                <w:rFonts w:ascii="宋体" w:hAnsi="宋体" w:cs="宋体"/>
                <w:color w:val="auto"/>
                <w:szCs w:val="21"/>
              </w:rPr>
            </w:pPr>
            <w:r>
              <w:rPr>
                <w:rFonts w:hint="eastAsia" w:ascii="宋体" w:hAnsi="宋体" w:cs="宋体"/>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rPr>
            </w:pPr>
            <w:r>
              <w:rPr>
                <w:rFonts w:hint="eastAsia" w:ascii="宋体" w:hAnsi="宋体" w:cs="宋体"/>
                <w:color w:val="auto"/>
                <w:szCs w:val="21"/>
              </w:rPr>
              <w:t>100万元以下</w:t>
            </w:r>
          </w:p>
        </w:tc>
        <w:tc>
          <w:tcPr>
            <w:tcW w:w="1659" w:type="dxa"/>
            <w:noWrap/>
          </w:tcPr>
          <w:p>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687"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659"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rPr>
            </w:pPr>
            <w:r>
              <w:rPr>
                <w:rFonts w:hint="eastAsia" w:ascii="宋体" w:hAnsi="宋体" w:cs="宋体"/>
                <w:color w:val="auto"/>
                <w:szCs w:val="21"/>
              </w:rPr>
              <w:t>100～500万元</w:t>
            </w:r>
          </w:p>
        </w:tc>
        <w:tc>
          <w:tcPr>
            <w:tcW w:w="1659"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687"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659"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rPr>
            </w:pPr>
            <w:r>
              <w:rPr>
                <w:rFonts w:hint="eastAsia" w:ascii="宋体" w:hAnsi="宋体" w:cs="宋体"/>
                <w:color w:val="auto"/>
                <w:szCs w:val="21"/>
              </w:rPr>
              <w:t>500～1000万元</w:t>
            </w:r>
          </w:p>
        </w:tc>
        <w:tc>
          <w:tcPr>
            <w:tcW w:w="1659" w:type="dxa"/>
            <w:noWrap/>
          </w:tcPr>
          <w:p>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687"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659"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rPr>
            </w:pPr>
            <w:r>
              <w:rPr>
                <w:rFonts w:hint="eastAsia" w:ascii="宋体" w:hAnsi="宋体" w:cs="宋体"/>
                <w:color w:val="auto"/>
                <w:szCs w:val="21"/>
              </w:rPr>
              <w:t>1000～5000万元</w:t>
            </w:r>
          </w:p>
        </w:tc>
        <w:tc>
          <w:tcPr>
            <w:tcW w:w="1659"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687"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659"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rPr>
            </w:pPr>
            <w:r>
              <w:rPr>
                <w:rFonts w:hint="eastAsia" w:ascii="宋体" w:hAnsi="宋体" w:cs="宋体"/>
                <w:color w:val="auto"/>
                <w:szCs w:val="21"/>
              </w:rPr>
              <w:t>5000万元～1亿元</w:t>
            </w:r>
          </w:p>
        </w:tc>
        <w:tc>
          <w:tcPr>
            <w:tcW w:w="1659"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687"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659" w:type="dxa"/>
            <w:noWra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rPr>
            </w:pPr>
            <w:r>
              <w:rPr>
                <w:rFonts w:hint="eastAsia" w:ascii="宋体" w:hAnsi="宋体" w:cs="宋体"/>
                <w:color w:val="auto"/>
                <w:szCs w:val="21"/>
              </w:rPr>
              <w:t>1～5亿元</w:t>
            </w:r>
          </w:p>
        </w:tc>
        <w:tc>
          <w:tcPr>
            <w:tcW w:w="1659" w:type="dxa"/>
            <w:noWrap/>
          </w:tcPr>
          <w:p>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687" w:type="dxa"/>
            <w:noWrap/>
          </w:tcPr>
          <w:p>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659" w:type="dxa"/>
            <w:noWrap/>
          </w:tcPr>
          <w:p>
            <w:pPr>
              <w:spacing w:line="360" w:lineRule="auto"/>
              <w:rPr>
                <w:rFonts w:ascii="宋体" w:hAnsi="宋体" w:cs="宋体"/>
                <w:color w:val="auto"/>
                <w:szCs w:val="21"/>
              </w:rPr>
            </w:pPr>
            <w:r>
              <w:rPr>
                <w:rFonts w:hint="eastAsia" w:ascii="宋体" w:hAnsi="宋体" w:cs="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rPr>
            </w:pPr>
            <w:r>
              <w:rPr>
                <w:rFonts w:hint="eastAsia" w:ascii="宋体" w:hAnsi="宋体" w:cs="宋体"/>
                <w:color w:val="auto"/>
                <w:szCs w:val="21"/>
              </w:rPr>
              <w:t>5～10亿元</w:t>
            </w:r>
          </w:p>
        </w:tc>
        <w:tc>
          <w:tcPr>
            <w:tcW w:w="1659" w:type="dxa"/>
            <w:noWra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687" w:type="dxa"/>
            <w:noWrap/>
          </w:tcPr>
          <w:p>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659" w:type="dxa"/>
            <w:noWra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rPr>
            </w:pPr>
            <w:r>
              <w:rPr>
                <w:rFonts w:hint="eastAsia" w:ascii="宋体" w:hAnsi="宋体" w:cs="宋体"/>
                <w:color w:val="auto"/>
                <w:szCs w:val="21"/>
              </w:rPr>
              <w:t>10～50亿元</w:t>
            </w:r>
          </w:p>
        </w:tc>
        <w:tc>
          <w:tcPr>
            <w:tcW w:w="1659" w:type="dxa"/>
            <w:noWra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687" w:type="dxa"/>
            <w:noWrap/>
          </w:tcPr>
          <w:p>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659" w:type="dxa"/>
            <w:noWra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rPr>
            </w:pPr>
            <w:r>
              <w:rPr>
                <w:rFonts w:hint="eastAsia" w:ascii="宋体" w:hAnsi="宋体" w:cs="宋体"/>
                <w:color w:val="auto"/>
                <w:szCs w:val="21"/>
              </w:rPr>
              <w:t>50～100亿元</w:t>
            </w:r>
          </w:p>
        </w:tc>
        <w:tc>
          <w:tcPr>
            <w:tcW w:w="1659" w:type="dxa"/>
            <w:noWrap/>
          </w:tcPr>
          <w:p>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687" w:type="dxa"/>
            <w:noWrap/>
          </w:tcPr>
          <w:p>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659" w:type="dxa"/>
            <w:noWrap/>
          </w:tcPr>
          <w:p>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rPr>
            </w:pPr>
            <w:r>
              <w:rPr>
                <w:rFonts w:hint="eastAsia" w:ascii="宋体" w:hAnsi="宋体" w:cs="宋体"/>
                <w:color w:val="auto"/>
                <w:szCs w:val="21"/>
              </w:rPr>
              <w:t>100亿以上</w:t>
            </w:r>
          </w:p>
        </w:tc>
        <w:tc>
          <w:tcPr>
            <w:tcW w:w="1659" w:type="dxa"/>
            <w:noWrap/>
          </w:tcPr>
          <w:p>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687" w:type="dxa"/>
            <w:noWrap/>
          </w:tcPr>
          <w:p>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659" w:type="dxa"/>
            <w:noWrap/>
          </w:tcPr>
          <w:p>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注: </w:t>
      </w:r>
    </w:p>
    <w:p>
      <w:pPr>
        <w:spacing w:line="360" w:lineRule="auto"/>
        <w:ind w:firstLine="420" w:firstLineChars="200"/>
        <w:rPr>
          <w:rFonts w:ascii="宋体" w:hAnsi="宋体" w:cs="宋体"/>
          <w:color w:val="auto"/>
          <w:szCs w:val="21"/>
        </w:rPr>
      </w:pPr>
      <w:r>
        <w:rPr>
          <w:rFonts w:hint="eastAsia" w:ascii="宋体" w:hAnsi="宋体" w:cs="宋体"/>
          <w:color w:val="auto"/>
          <w:szCs w:val="21"/>
        </w:rPr>
        <w:t>（1）按本表费率计算的收费为采购代理的收费基准价格。</w:t>
      </w:r>
    </w:p>
    <w:p>
      <w:pPr>
        <w:spacing w:line="360" w:lineRule="auto"/>
        <w:ind w:firstLine="420" w:firstLineChars="200"/>
        <w:rPr>
          <w:rFonts w:ascii="宋体" w:hAnsi="宋体" w:cs="宋体"/>
          <w:color w:val="auto"/>
          <w:szCs w:val="21"/>
        </w:rPr>
      </w:pPr>
      <w:r>
        <w:rPr>
          <w:rFonts w:hint="eastAsia" w:ascii="宋体" w:hAnsi="宋体" w:cs="宋体"/>
          <w:color w:val="auto"/>
          <w:szCs w:val="21"/>
        </w:rPr>
        <w:t>（2）采购代理收费按差额定率累进法计算。</w:t>
      </w:r>
    </w:p>
    <w:p>
      <w:pPr>
        <w:spacing w:line="360" w:lineRule="auto"/>
        <w:ind w:firstLine="420" w:firstLineChars="200"/>
        <w:rPr>
          <w:rFonts w:ascii="宋体" w:hAnsi="宋体" w:cs="宋体"/>
          <w:color w:val="auto"/>
          <w:szCs w:val="21"/>
        </w:rPr>
      </w:pPr>
      <w:r>
        <w:rPr>
          <w:rFonts w:hint="eastAsia" w:ascii="宋体" w:hAnsi="宋体" w:cs="宋体"/>
          <w:color w:val="auto"/>
          <w:szCs w:val="21"/>
        </w:rPr>
        <w:t>例如：某货物采购代理业务中标金额或者暂定价为200万元，计算采购代理收费额如下：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100 万元×l.5 ％＝ 1.5 万元</w:t>
      </w:r>
    </w:p>
    <w:p>
      <w:pPr>
        <w:spacing w:line="360" w:lineRule="auto"/>
        <w:ind w:firstLine="420" w:firstLineChars="200"/>
        <w:rPr>
          <w:rFonts w:ascii="宋体" w:hAnsi="宋体" w:cs="宋体"/>
          <w:color w:val="auto"/>
          <w:szCs w:val="21"/>
        </w:rPr>
      </w:pPr>
      <w:r>
        <w:rPr>
          <w:rFonts w:hint="eastAsia" w:ascii="宋体" w:hAnsi="宋体" w:cs="宋体"/>
          <w:color w:val="auto"/>
          <w:szCs w:val="21"/>
        </w:rPr>
        <w:t>（ 200 － 100 ）万元 ×1.1％＝1.1万元</w:t>
      </w:r>
    </w:p>
    <w:p>
      <w:pPr>
        <w:pStyle w:val="14"/>
        <w:snapToGrid w:val="0"/>
        <w:spacing w:before="120" w:after="120" w:line="360" w:lineRule="auto"/>
        <w:ind w:firstLine="420" w:firstLineChars="200"/>
        <w:rPr>
          <w:rFonts w:hAnsi="宋体" w:cs="宋体"/>
          <w:color w:val="auto"/>
        </w:rPr>
      </w:pPr>
      <w:r>
        <w:rPr>
          <w:rFonts w:hint="eastAsia" w:hAnsi="宋体" w:cs="宋体"/>
          <w:color w:val="auto"/>
        </w:rPr>
        <w:t>合计收费＝ 1.5+1.1＝ 2.6 （万元）</w:t>
      </w:r>
    </w:p>
    <w:p>
      <w:pPr>
        <w:spacing w:line="360" w:lineRule="auto"/>
        <w:ind w:firstLine="480" w:firstLineChars="200"/>
        <w:rPr>
          <w:rFonts w:ascii="宋体" w:hAnsi="宋体" w:cs="宋体"/>
          <w:color w:val="auto"/>
          <w:sz w:val="24"/>
        </w:rPr>
      </w:pPr>
      <w:r>
        <w:rPr>
          <w:rFonts w:hint="eastAsia" w:ascii="宋体" w:hAnsi="宋体" w:cs="宋体"/>
          <w:color w:val="auto"/>
          <w:sz w:val="24"/>
        </w:rPr>
        <w:t>41. 需要补充的其他内容</w:t>
      </w:r>
    </w:p>
    <w:p>
      <w:pPr>
        <w:spacing w:line="360" w:lineRule="auto"/>
        <w:ind w:firstLine="420" w:firstLineChars="200"/>
        <w:rPr>
          <w:rFonts w:ascii="宋体" w:hAnsi="宋体" w:cs="宋体"/>
          <w:color w:val="auto"/>
        </w:rPr>
      </w:pPr>
      <w:r>
        <w:rPr>
          <w:rFonts w:hint="eastAsia" w:ascii="宋体" w:hAnsi="宋体" w:cs="宋体"/>
          <w:color w:val="auto"/>
        </w:rPr>
        <w:t>41.1本招标文件解释规则详见“投标人须知前附表”。</w:t>
      </w:r>
    </w:p>
    <w:p>
      <w:pPr>
        <w:spacing w:line="360" w:lineRule="auto"/>
        <w:ind w:firstLine="420" w:firstLineChars="200"/>
        <w:rPr>
          <w:rFonts w:ascii="宋体" w:hAnsi="宋体" w:cs="宋体"/>
          <w:color w:val="auto"/>
        </w:rPr>
      </w:pPr>
      <w:r>
        <w:rPr>
          <w:rFonts w:hint="eastAsia" w:ascii="宋体" w:hAnsi="宋体" w:cs="宋体"/>
          <w:color w:val="auto"/>
        </w:rPr>
        <w:t>41.2 其他事项详见“投标人须知前附表”。</w:t>
      </w:r>
    </w:p>
    <w:p>
      <w:pPr>
        <w:pStyle w:val="14"/>
        <w:spacing w:line="360" w:lineRule="auto"/>
        <w:ind w:firstLine="420" w:firstLineChars="200"/>
        <w:rPr>
          <w:rFonts w:hAnsi="宋体" w:cs="宋体"/>
          <w:color w:val="auto"/>
        </w:rPr>
      </w:pPr>
      <w:r>
        <w:rPr>
          <w:rFonts w:hint="eastAsia" w:hAnsi="宋体" w:cs="宋体"/>
          <w:color w:val="auto"/>
        </w:rPr>
        <w:t>41.3</w:t>
      </w:r>
      <w:bookmarkStart w:id="190" w:name="_Hlk65857140"/>
      <w:r>
        <w:rPr>
          <w:rFonts w:hint="eastAsia" w:hAnsi="宋体" w:cs="宋体"/>
          <w:color w:val="auto"/>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pPr>
        <w:pStyle w:val="14"/>
        <w:spacing w:before="120" w:after="120" w:line="360" w:lineRule="auto"/>
        <w:ind w:firstLine="420" w:firstLineChars="200"/>
        <w:contextualSpacing/>
        <w:rPr>
          <w:rFonts w:hAnsi="宋体" w:cs="宋体"/>
          <w:color w:val="auto"/>
        </w:rPr>
      </w:pPr>
      <w:r>
        <w:rPr>
          <w:rFonts w:hint="eastAsia" w:hAnsi="宋体" w:cs="宋体"/>
          <w:color w:val="auto"/>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4"/>
        <w:spacing w:before="120" w:after="120" w:line="360" w:lineRule="auto"/>
        <w:ind w:firstLine="420" w:firstLineChars="200"/>
        <w:contextualSpacing/>
        <w:rPr>
          <w:rFonts w:hAnsi="宋体" w:cs="宋体"/>
          <w:color w:val="auto"/>
        </w:rPr>
      </w:pPr>
      <w:r>
        <w:rPr>
          <w:rFonts w:hint="eastAsia" w:hAnsi="宋体" w:cs="宋体"/>
          <w:color w:val="auto"/>
        </w:rPr>
        <w:t>依据本文件规定享受扶持政策获得政府采购合同的，小微企业不得将合同分包给大中型企业，中型企业不得将合同分包给大型企业。</w:t>
      </w:r>
      <w:bookmarkEnd w:id="190"/>
    </w:p>
    <w:p>
      <w:pPr>
        <w:spacing w:line="360" w:lineRule="auto"/>
        <w:ind w:firstLine="480" w:firstLineChars="200"/>
        <w:rPr>
          <w:rFonts w:ascii="宋体" w:hAnsi="宋体" w:cs="宋体"/>
          <w:color w:val="auto"/>
          <w:sz w:val="24"/>
        </w:rPr>
      </w:pPr>
      <w:r>
        <w:rPr>
          <w:rFonts w:hint="eastAsia" w:ascii="宋体" w:hAnsi="宋体" w:cs="宋体"/>
          <w:color w:val="auto"/>
          <w:sz w:val="24"/>
        </w:rPr>
        <w:t>42. 广西线上“政采贷”政策告知函：</w:t>
      </w:r>
    </w:p>
    <w:p>
      <w:pPr>
        <w:spacing w:line="580" w:lineRule="exact"/>
        <w:jc w:val="center"/>
        <w:rPr>
          <w:rFonts w:ascii="宋体" w:hAnsi="宋体" w:cs="宋体"/>
          <w:color w:val="auto"/>
          <w:sz w:val="32"/>
          <w:szCs w:val="32"/>
        </w:rPr>
      </w:pPr>
      <w:r>
        <w:rPr>
          <w:rFonts w:hint="eastAsia" w:ascii="宋体" w:hAnsi="宋体" w:cs="宋体"/>
          <w:color w:val="auto"/>
          <w:sz w:val="32"/>
          <w:szCs w:val="32"/>
        </w:rPr>
        <w:t>广西线上“政采贷”政策告知函</w:t>
      </w:r>
    </w:p>
    <w:p>
      <w:pPr>
        <w:spacing w:line="360" w:lineRule="auto"/>
        <w:rPr>
          <w:rFonts w:ascii="宋体" w:hAnsi="宋体" w:cs="宋体"/>
          <w:color w:val="auto"/>
          <w:szCs w:val="21"/>
        </w:rPr>
      </w:pPr>
      <w:r>
        <w:rPr>
          <w:rFonts w:hint="eastAsia" w:ascii="宋体" w:hAnsi="宋体" w:cs="宋体"/>
          <w:color w:val="auto"/>
          <w:szCs w:val="21"/>
        </w:rPr>
        <w:t>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欢迎贵公司参与广西政府采购活动！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相关金融产品和银行业金融机构联系方式，可在中征应收账款融资服务平台查询（网址：https://www.crcrfsp.com/，客服电话：400-009-0001）。</w:t>
      </w:r>
    </w:p>
    <w:p>
      <w:pPr>
        <w:widowControl/>
        <w:ind w:firstLine="420" w:firstLineChars="200"/>
        <w:rPr>
          <w:rFonts w:ascii="宋体" w:hAnsi="宋体" w:cs="宋体"/>
          <w:color w:val="auto"/>
        </w:rPr>
      </w:pPr>
    </w:p>
    <w:p>
      <w:pPr>
        <w:spacing w:line="360" w:lineRule="auto"/>
        <w:ind w:firstLine="420" w:firstLineChars="200"/>
        <w:jc w:val="left"/>
        <w:rPr>
          <w:rFonts w:ascii="宋体" w:hAnsi="宋体" w:cs="宋体"/>
          <w:color w:val="auto"/>
        </w:rPr>
      </w:pPr>
      <w:r>
        <w:rPr>
          <w:rFonts w:hint="eastAsia" w:ascii="宋体" w:hAnsi="宋体" w:cs="宋体"/>
          <w:color w:val="auto"/>
        </w:rPr>
        <w:br w:type="page"/>
      </w:r>
      <w:bookmarkStart w:id="191" w:name="_Toc532545043"/>
    </w:p>
    <w:p>
      <w:pPr>
        <w:pStyle w:val="14"/>
        <w:jc w:val="center"/>
        <w:outlineLvl w:val="0"/>
        <w:rPr>
          <w:rFonts w:hAnsi="宋体" w:cs="宋体"/>
          <w:b/>
          <w:color w:val="auto"/>
          <w:sz w:val="36"/>
        </w:rPr>
      </w:pPr>
      <w:bookmarkStart w:id="192" w:name="_Toc5517"/>
      <w:bookmarkStart w:id="193" w:name="_Toc18150"/>
      <w:bookmarkStart w:id="194" w:name="_Toc25066"/>
      <w:bookmarkStart w:id="195" w:name="_Toc22348"/>
      <w:r>
        <w:rPr>
          <w:rFonts w:hint="eastAsia" w:hAnsi="宋体" w:cs="宋体"/>
          <w:b/>
          <w:color w:val="auto"/>
          <w:sz w:val="36"/>
        </w:rPr>
        <w:t xml:space="preserve">第四章  </w:t>
      </w:r>
      <w:bookmarkEnd w:id="191"/>
      <w:bookmarkEnd w:id="192"/>
      <w:bookmarkEnd w:id="193"/>
      <w:r>
        <w:rPr>
          <w:rFonts w:hint="eastAsia" w:hAnsi="宋体" w:cs="宋体"/>
          <w:b/>
          <w:color w:val="auto"/>
          <w:sz w:val="36"/>
        </w:rPr>
        <w:t>评标方法和评标标准</w:t>
      </w:r>
      <w:bookmarkEnd w:id="194"/>
      <w:bookmarkEnd w:id="195"/>
    </w:p>
    <w:p>
      <w:pPr>
        <w:pStyle w:val="14"/>
        <w:jc w:val="center"/>
        <w:outlineLvl w:val="1"/>
        <w:rPr>
          <w:rFonts w:hAnsi="宋体" w:cs="宋体"/>
          <w:b/>
          <w:bCs/>
          <w:color w:val="auto"/>
          <w:sz w:val="32"/>
          <w:szCs w:val="32"/>
        </w:rPr>
      </w:pPr>
      <w:bookmarkStart w:id="196" w:name="_Toc3364"/>
      <w:bookmarkStart w:id="197" w:name="_Toc2086"/>
      <w:bookmarkStart w:id="198" w:name="_Toc18908"/>
      <w:bookmarkStart w:id="199" w:name="_Toc31286"/>
      <w:r>
        <w:rPr>
          <w:rFonts w:hint="eastAsia" w:hAnsi="宋体" w:cs="宋体"/>
          <w:b/>
          <w:bCs/>
          <w:color w:val="auto"/>
          <w:sz w:val="32"/>
          <w:szCs w:val="32"/>
        </w:rPr>
        <w:t>第一节 评标方法</w:t>
      </w:r>
      <w:bookmarkEnd w:id="196"/>
      <w:bookmarkEnd w:id="197"/>
      <w:bookmarkEnd w:id="198"/>
      <w:bookmarkEnd w:id="199"/>
    </w:p>
    <w:p>
      <w:pPr>
        <w:pStyle w:val="14"/>
        <w:tabs>
          <w:tab w:val="left" w:pos="2472"/>
        </w:tabs>
        <w:spacing w:line="460" w:lineRule="exact"/>
        <w:ind w:firstLine="420" w:firstLineChars="200"/>
        <w:rPr>
          <w:rFonts w:hAnsi="宋体" w:cs="宋体"/>
          <w:color w:val="auto"/>
          <w:szCs w:val="21"/>
        </w:rPr>
      </w:pPr>
      <w:r>
        <w:rPr>
          <w:rFonts w:hint="eastAsia" w:hAnsi="宋体" w:cs="宋体"/>
          <w:color w:val="auto"/>
          <w:szCs w:val="21"/>
        </w:rPr>
        <w:t>本项目采用</w:t>
      </w:r>
      <w:r>
        <w:rPr>
          <w:rFonts w:hint="eastAsia" w:hAnsi="宋体" w:cs="宋体"/>
          <w:color w:val="auto"/>
          <w:szCs w:val="21"/>
          <w:u w:val="single"/>
        </w:rPr>
        <w:t>以下勾选的方式</w:t>
      </w:r>
      <w:r>
        <w:rPr>
          <w:rFonts w:hint="eastAsia" w:hAnsi="宋体" w:cs="宋体"/>
          <w:color w:val="auto"/>
          <w:szCs w:val="21"/>
        </w:rPr>
        <w:t>进行评审。</w:t>
      </w:r>
    </w:p>
    <w:p>
      <w:pPr>
        <w:pStyle w:val="14"/>
        <w:tabs>
          <w:tab w:val="left" w:pos="2472"/>
        </w:tabs>
        <w:spacing w:line="460" w:lineRule="exact"/>
        <w:ind w:firstLine="420" w:firstLineChars="200"/>
        <w:rPr>
          <w:rFonts w:hAnsi="宋体" w:cs="宋体"/>
          <w:color w:val="auto"/>
        </w:rPr>
      </w:pPr>
      <w:r>
        <w:rPr>
          <w:rFonts w:hint="eastAsia" w:hAnsi="宋体" w:cs="宋体"/>
          <w:color w:val="auto"/>
          <w:szCs w:val="21"/>
        </w:rPr>
        <w:t>□最低评标价法，是指投标文件满足招标文件</w:t>
      </w:r>
      <w:r>
        <w:rPr>
          <w:rFonts w:hint="eastAsia" w:hAnsi="宋体" w:cs="宋体"/>
          <w:color w:val="auto"/>
        </w:rPr>
        <w:t>全部实质性要求，且投标报价最低的投标人为中标候选人的评标方法。</w:t>
      </w:r>
    </w:p>
    <w:p>
      <w:pPr>
        <w:pStyle w:val="14"/>
        <w:tabs>
          <w:tab w:val="left" w:pos="2472"/>
        </w:tabs>
        <w:spacing w:line="460" w:lineRule="exact"/>
        <w:ind w:firstLine="420" w:firstLineChars="200"/>
        <w:rPr>
          <w:rFonts w:hAnsi="宋体" w:cs="宋体"/>
          <w:color w:val="auto"/>
          <w:sz w:val="24"/>
        </w:rPr>
      </w:pPr>
      <w:r>
        <w:rPr>
          <w:rFonts w:hint="eastAsia" w:hAnsi="宋体" w:cs="宋体"/>
          <w:color w:val="auto"/>
        </w:rPr>
        <w:t xml:space="preserve">☑综合评分法，是指投标文件满足招标文件全部实质性要求，且按照评审因素的量化指标评审得分最高的投标人为中标候选人的评标方法。 </w:t>
      </w:r>
    </w:p>
    <w:p>
      <w:pPr>
        <w:pStyle w:val="14"/>
        <w:spacing w:line="360" w:lineRule="auto"/>
        <w:ind w:firstLine="420"/>
        <w:rPr>
          <w:rFonts w:hAnsi="宋体" w:cs="宋体"/>
          <w:color w:val="auto"/>
        </w:rPr>
      </w:pPr>
    </w:p>
    <w:p>
      <w:pPr>
        <w:pStyle w:val="14"/>
        <w:tabs>
          <w:tab w:val="left" w:pos="2472"/>
        </w:tabs>
        <w:spacing w:line="460" w:lineRule="exact"/>
        <w:jc w:val="center"/>
        <w:outlineLvl w:val="1"/>
        <w:rPr>
          <w:rFonts w:hAnsi="宋体" w:cs="宋体"/>
          <w:b/>
          <w:bCs/>
          <w:color w:val="auto"/>
          <w:sz w:val="32"/>
          <w:szCs w:val="32"/>
        </w:rPr>
      </w:pPr>
      <w:bookmarkStart w:id="200" w:name="_Toc6695"/>
      <w:bookmarkStart w:id="201" w:name="_Toc12508"/>
      <w:bookmarkStart w:id="202" w:name="_Toc13037"/>
      <w:bookmarkStart w:id="203" w:name="_Toc13065"/>
      <w:r>
        <w:rPr>
          <w:rFonts w:hint="eastAsia" w:hAnsi="宋体" w:cs="宋体"/>
          <w:b/>
          <w:bCs/>
          <w:color w:val="auto"/>
          <w:sz w:val="32"/>
          <w:szCs w:val="32"/>
        </w:rPr>
        <w:t>第二节 评标程序</w:t>
      </w:r>
      <w:bookmarkEnd w:id="200"/>
      <w:bookmarkEnd w:id="201"/>
      <w:bookmarkEnd w:id="202"/>
      <w:bookmarkEnd w:id="203"/>
    </w:p>
    <w:p>
      <w:pPr>
        <w:spacing w:line="360" w:lineRule="auto"/>
        <w:ind w:firstLine="422" w:firstLineChars="200"/>
        <w:rPr>
          <w:rFonts w:ascii="宋体" w:hAnsi="宋体" w:cs="宋体"/>
          <w:b/>
          <w:color w:val="auto"/>
          <w:szCs w:val="21"/>
        </w:rPr>
      </w:pPr>
      <w:r>
        <w:rPr>
          <w:rFonts w:hint="eastAsia" w:ascii="宋体" w:hAnsi="宋体" w:cs="宋体"/>
          <w:b/>
          <w:color w:val="auto"/>
          <w:szCs w:val="21"/>
        </w:rPr>
        <w:t>1.符合性审查</w:t>
      </w:r>
    </w:p>
    <w:p>
      <w:pPr>
        <w:spacing w:line="360" w:lineRule="auto"/>
        <w:ind w:firstLine="420" w:firstLineChars="200"/>
        <w:rPr>
          <w:rFonts w:ascii="宋体" w:hAnsi="宋体" w:cs="宋体"/>
          <w:color w:val="auto"/>
        </w:rPr>
      </w:pPr>
      <w:r>
        <w:rPr>
          <w:rFonts w:hint="eastAsia" w:ascii="宋体" w:hAnsi="宋体" w:cs="宋体"/>
          <w:color w:val="auto"/>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2.符合性审查不通过而导致投标无效的情形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投标人的投标文件中存在对招标文件的任何实质性要求和条件的负偏离，将被视为投标无效。</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2.1在报价评审时，如发现下列情形之一的，将被视为投标无效：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（1）投标文件未提供“投标人须知前附表”第13.1条规定中“必须提供”的文件资料的。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（2）未采用人民币报价或者未按照招标文件标明的币种报价的。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（3）报价超出招标文件规定最高限价，或者超出采购预算金额的。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（4）投标人未就所投项目进行报价或者存在漏项报价。投标人未就所投</w:t>
      </w:r>
      <w:r>
        <w:rPr>
          <w:rFonts w:hint="eastAsia" w:cs="宋体"/>
          <w:color w:val="auto"/>
          <w:szCs w:val="21"/>
        </w:rPr>
        <w:t>项目</w:t>
      </w:r>
      <w:r>
        <w:rPr>
          <w:rFonts w:hint="eastAsia" w:ascii="宋体" w:hAnsi="宋体" w:cs="宋体"/>
          <w:color w:val="auto"/>
          <w:szCs w:val="21"/>
        </w:rPr>
        <w:t>的单项内容作唯一报价。投标人未就所投项目的全部内容作唯一总价报价。存在有选择、有条件报价的（招标文件允许有备选方案或者其他约定的除外）。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（5）修正后的报价，投标人不确认的。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（6）投标人属于本章第5条第（4）项情形的。</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2.2在商务评审时，如发现下列情形之一的，将被视为投标无效：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（1）投标文件未按招标文件要求签署、盖章的。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（2）委托代理人未能出具有效身份证明或者出具的身份证明与授权委托书中的信息不符的。 </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（3）为无效投标保证金的或者未按照招标文件的规定提交投标保证金的。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（4）投标文件未提供“投标人须知前附表”第13.1条规定中“必须提供”或者“委托时必须提供”的文件资料的。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（5）投标有效期、项目完成时间（交货时间、货物完成时间或者服务期等）、</w:t>
      </w:r>
      <w:r>
        <w:rPr>
          <w:rFonts w:hint="eastAsia" w:ascii="宋体" w:hAnsi="宋体" w:cs="宋体"/>
          <w:color w:val="auto"/>
          <w:szCs w:val="21"/>
          <w:lang w:eastAsia="zh-CN"/>
        </w:rPr>
        <w:t>维保期</w:t>
      </w:r>
      <w:r>
        <w:rPr>
          <w:rFonts w:hint="eastAsia" w:ascii="宋体" w:hAnsi="宋体" w:cs="宋体"/>
          <w:color w:val="auto"/>
          <w:szCs w:val="21"/>
        </w:rPr>
        <w:t>及招标文件中标“▲”的商务条款发生负偏离的。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（6）商务条款评审允许负偏离的条款数超过“投标人须知前附表”规定项数的。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（7）投标文件的实质性内容未使用中文表述、使用计量单位不符合招标文件要求的。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（8）投标文件中的文件资料因填写不齐全或者内容虚假或者出现其他情形而导致被评标委员会认定无效的。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（9）投标文件含有采购人不能接受的附加条件的。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（10）未响应招标文件实质性要求的。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（11）属于投标人须知正文第9.2条情形的。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（12）法律、法规和招标文件规定的其他无效情形。</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2.3在技术评审时，如发现下列情形之一的，将被视为投标无效：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（1）不满足招标文件要求的货物内容、技术要求、安全、质量标准，或者与招标文件中标“▲”的技术需求发生负偏离的。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（4）虚假投标，或者出现其他情形而导致被评标委员会认定无效的。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（5）招标文件要求提供技术方案的，投标技术方案不明确，招标文件未允许但存在一个或者一个以上备选（替代）投标方案的。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3.澄清补正、说明或者补正</w:t>
      </w:r>
    </w:p>
    <w:p>
      <w:pPr>
        <w:spacing w:line="360" w:lineRule="auto"/>
        <w:ind w:firstLine="420" w:firstLineChars="200"/>
        <w:rPr>
          <w:rFonts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w:t>
      </w:r>
      <w:r>
        <w:rPr>
          <w:rFonts w:hint="eastAsia" w:ascii="宋体" w:hAnsi="宋体" w:cs="宋体"/>
          <w:b/>
          <w:bCs/>
          <w:color w:val="auto"/>
          <w:szCs w:val="21"/>
        </w:rPr>
        <w:t>投标人未在规定时间内进行澄清、说明或者补正的，有可能对评审产生影响</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4.投标文件修正</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4.1投标文件报价出现前后不一致的，按照下列规定修正： </w:t>
      </w:r>
    </w:p>
    <w:p>
      <w:pPr>
        <w:spacing w:line="360" w:lineRule="auto"/>
        <w:ind w:firstLine="420" w:firstLineChars="200"/>
        <w:rPr>
          <w:rFonts w:ascii="宋体" w:hAnsi="宋体" w:cs="宋体"/>
          <w:color w:val="auto"/>
        </w:rPr>
      </w:pPr>
      <w:r>
        <w:rPr>
          <w:rFonts w:hint="eastAsia" w:ascii="宋体" w:hAnsi="宋体" w:cs="宋体"/>
          <w:color w:val="auto"/>
        </w:rPr>
        <w:t>（1）报价文件中“开标一览表”内容与投标文件中相应内容不一致的，以“开标一览表”为准。</w:t>
      </w:r>
    </w:p>
    <w:p>
      <w:pPr>
        <w:spacing w:line="360" w:lineRule="auto"/>
        <w:ind w:firstLine="420" w:firstLineChars="200"/>
        <w:rPr>
          <w:rFonts w:ascii="宋体" w:hAnsi="宋体" w:cs="宋体"/>
          <w:color w:val="auto"/>
        </w:rPr>
      </w:pPr>
      <w:r>
        <w:rPr>
          <w:rFonts w:hint="eastAsia" w:ascii="宋体" w:hAnsi="宋体" w:cs="宋体"/>
          <w:color w:val="auto"/>
        </w:rPr>
        <w:t>（2）大写金额和小写金额不一致的，以大写金额为准。</w:t>
      </w:r>
    </w:p>
    <w:p>
      <w:pPr>
        <w:spacing w:line="360" w:lineRule="auto"/>
        <w:ind w:firstLine="420" w:firstLineChars="200"/>
        <w:rPr>
          <w:rFonts w:ascii="宋体" w:hAnsi="宋体" w:cs="宋体"/>
          <w:color w:val="auto"/>
        </w:rPr>
      </w:pPr>
      <w:r>
        <w:rPr>
          <w:rFonts w:hint="eastAsia" w:ascii="宋体" w:hAnsi="宋体" w:cs="宋体"/>
          <w:color w:val="auto"/>
        </w:rPr>
        <w:t>（3）单价金额小数点或者百分比有明显错位的，以开标一览表的总价为准，并修改单价。</w:t>
      </w:r>
    </w:p>
    <w:p>
      <w:pPr>
        <w:spacing w:line="360" w:lineRule="auto"/>
        <w:ind w:firstLine="420" w:firstLineChars="200"/>
        <w:rPr>
          <w:rFonts w:ascii="宋体" w:hAnsi="宋体" w:cs="宋体"/>
          <w:color w:val="auto"/>
        </w:rPr>
      </w:pPr>
      <w:r>
        <w:rPr>
          <w:rFonts w:hint="eastAsia" w:ascii="宋体" w:hAnsi="宋体" w:cs="宋体"/>
          <w:color w:val="auto"/>
        </w:rPr>
        <w:t>（4）总价金额与按单价汇总金额不一致的，以单价金额计算结果为准。</w:t>
      </w:r>
    </w:p>
    <w:p>
      <w:pPr>
        <w:spacing w:line="360" w:lineRule="auto"/>
        <w:ind w:firstLine="420" w:firstLineChars="200"/>
        <w:rPr>
          <w:rFonts w:ascii="宋体" w:hAnsi="宋体" w:cs="宋体"/>
          <w:color w:val="auto"/>
        </w:rPr>
      </w:pPr>
      <w:r>
        <w:rPr>
          <w:rFonts w:hint="eastAsia" w:ascii="宋体" w:hAnsi="宋体" w:cs="宋体"/>
          <w:color w:val="auto"/>
        </w:rPr>
        <w:t>同时出现两种以上不一致的，按照以上（1）-（4）规定的顺序修正。</w:t>
      </w:r>
      <w:r>
        <w:rPr>
          <w:rFonts w:hint="eastAsia" w:ascii="宋体" w:hAnsi="宋体" w:cs="宋体"/>
          <w:b/>
          <w:bCs/>
          <w:color w:val="auto"/>
        </w:rPr>
        <w:t>修正后的报价经投标人确认后产生约束力，投标人不确认的，其投标无效</w:t>
      </w:r>
      <w:r>
        <w:rPr>
          <w:rFonts w:hint="eastAsia" w:ascii="宋体" w:hAnsi="宋体" w:cs="宋体"/>
          <w:color w:val="auto"/>
        </w:rPr>
        <w:t>。</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4.2经投标人确认修正后的报价若超过采购预算金额或者最高限价，投标人的投标文件作无效投标处理。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4.3经投标人确认修正后的报价作为签订合同的依据，并以此报价计算价格分。</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5.比较与评价</w:t>
      </w:r>
    </w:p>
    <w:p>
      <w:pPr>
        <w:tabs>
          <w:tab w:val="center" w:pos="4153"/>
          <w:tab w:val="right" w:pos="8306"/>
        </w:tabs>
        <w:spacing w:line="360" w:lineRule="auto"/>
        <w:ind w:firstLine="420" w:firstLineChars="200"/>
        <w:rPr>
          <w:color w:val="auto"/>
        </w:rPr>
      </w:pPr>
      <w:r>
        <w:rPr>
          <w:rFonts w:hint="eastAsia" w:ascii="宋体" w:hAnsi="宋体" w:cs="宋体"/>
          <w:color w:val="auto"/>
        </w:rPr>
        <w:t>（1）</w:t>
      </w:r>
      <w:r>
        <w:rPr>
          <w:rFonts w:hint="eastAsia" w:ascii="宋体" w:hAnsi="宋体" w:cs="宋体"/>
          <w:color w:val="auto"/>
          <w:szCs w:val="21"/>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color w:val="auto"/>
        </w:rPr>
      </w:pPr>
      <w:r>
        <w:rPr>
          <w:rFonts w:hint="eastAsia" w:ascii="宋体" w:hAnsi="宋体" w:cs="宋体"/>
          <w:color w:val="auto"/>
        </w:rPr>
        <w:t>（2）评标委员会按照招标文件中规定的评标方法和评标标准，对符合性审查合格的投标文件进行商务和技术评估，综合比较与评价。</w:t>
      </w:r>
    </w:p>
    <w:p>
      <w:pPr>
        <w:spacing w:line="360" w:lineRule="auto"/>
        <w:ind w:firstLine="420" w:firstLineChars="200"/>
        <w:rPr>
          <w:rFonts w:ascii="宋体" w:hAnsi="宋体" w:cs="宋体"/>
          <w:color w:val="auto"/>
        </w:rPr>
      </w:pPr>
      <w:r>
        <w:rPr>
          <w:rFonts w:hint="eastAsia" w:ascii="宋体" w:hAnsi="宋体" w:cs="宋体"/>
          <w:color w:val="auto"/>
        </w:rPr>
        <w:t>（3）评标委员会各成员独立对每个投标人的投标文件进行评价，并汇总每个投标人的得分。</w:t>
      </w:r>
    </w:p>
    <w:p>
      <w:pPr>
        <w:spacing w:line="360" w:lineRule="auto"/>
        <w:ind w:firstLine="422" w:firstLineChars="200"/>
        <w:rPr>
          <w:rFonts w:ascii="宋体" w:hAnsi="宋体" w:cs="宋体"/>
          <w:b/>
          <w:bCs/>
          <w:color w:val="auto"/>
        </w:rPr>
      </w:pPr>
      <w:r>
        <w:rPr>
          <w:rFonts w:hint="eastAsia" w:ascii="宋体" w:hAnsi="宋体" w:cs="宋体"/>
          <w:b/>
          <w:bCs/>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ascii="宋体" w:hAnsi="宋体" w:cs="宋体"/>
          <w:color w:val="auto"/>
        </w:rPr>
      </w:pPr>
      <w:r>
        <w:rPr>
          <w:rFonts w:hint="eastAsia" w:ascii="宋体" w:hAnsi="宋体" w:cs="宋体"/>
          <w:color w:val="auto"/>
        </w:rPr>
        <w:t>（5）评标委员会按照招标文件中规定的评标方法和标准计算各投标人的报价得分。在评标过程中，不得去掉报价中的最高报价和最低报价。</w:t>
      </w:r>
    </w:p>
    <w:p>
      <w:pPr>
        <w:spacing w:line="360" w:lineRule="auto"/>
        <w:ind w:firstLine="420" w:firstLineChars="200"/>
        <w:rPr>
          <w:rFonts w:ascii="宋体" w:hAnsi="宋体" w:cs="宋体"/>
          <w:color w:val="auto"/>
        </w:rPr>
      </w:pPr>
      <w:r>
        <w:rPr>
          <w:rFonts w:hint="eastAsia" w:ascii="宋体" w:hAnsi="宋体" w:cs="宋体"/>
          <w:color w:val="auto"/>
        </w:rPr>
        <w:t>（6）各投标人的得分为评标委员会各成员的有效评分的算术平均数。</w:t>
      </w:r>
    </w:p>
    <w:p>
      <w:pPr>
        <w:spacing w:line="360" w:lineRule="auto"/>
        <w:ind w:firstLine="420" w:firstLineChars="200"/>
        <w:rPr>
          <w:rFonts w:ascii="宋体" w:hAnsi="宋体" w:cs="宋体"/>
          <w:color w:val="auto"/>
        </w:rPr>
      </w:pPr>
      <w:r>
        <w:rPr>
          <w:rFonts w:hint="eastAsia" w:ascii="宋体" w:hAnsi="宋体" w:cs="宋体"/>
          <w:color w:val="auto"/>
        </w:rPr>
        <w:t>（7）评标委员会按照招标文件中的规定推荐中标候选人。</w:t>
      </w:r>
    </w:p>
    <w:p>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tabs>
          <w:tab w:val="center" w:pos="4153"/>
          <w:tab w:val="right" w:pos="8306"/>
        </w:tabs>
        <w:spacing w:line="360" w:lineRule="auto"/>
        <w:ind w:firstLine="422" w:firstLineChars="200"/>
        <w:rPr>
          <w:rFonts w:ascii="宋体" w:hAnsi="宋体" w:cs="宋体"/>
          <w:b/>
          <w:bCs/>
          <w:color w:val="auto"/>
        </w:rPr>
      </w:pPr>
      <w:r>
        <w:rPr>
          <w:rFonts w:hint="eastAsia" w:ascii="宋体" w:hAnsi="宋体" w:cs="宋体"/>
          <w:b/>
          <w:bCs/>
          <w:color w:val="auto"/>
        </w:rPr>
        <w:t>6.评审复核</w:t>
      </w:r>
    </w:p>
    <w:p>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6.1评标报告签署前，评标委员会要对评审结果进行复核，复核意见要体现在评标报告中。</w:t>
      </w:r>
    </w:p>
    <w:p>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6.2评标结果汇总完成后，除下列情形外，任何人不得修改评标结果：</w:t>
      </w:r>
    </w:p>
    <w:p>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　　（一）分值汇总计算错误的。</w:t>
      </w:r>
    </w:p>
    <w:p>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　　（二）分项评分超出评分标准范围的。</w:t>
      </w:r>
    </w:p>
    <w:p>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　　（三）评标委员会成员对客观评审因素评分不一致的。</w:t>
      </w:r>
    </w:p>
    <w:p>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　　（四）经评标委员会认定评分畸高、畸低的。</w:t>
      </w:r>
    </w:p>
    <w:p>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
        <w:jc w:val="center"/>
        <w:rPr>
          <w:rFonts w:ascii="宋体" w:hAnsi="宋体" w:eastAsia="宋体" w:cs="宋体"/>
          <w:b w:val="0"/>
          <w:color w:val="auto"/>
          <w:sz w:val="30"/>
          <w:szCs w:val="30"/>
        </w:rPr>
      </w:pPr>
      <w:bookmarkStart w:id="204" w:name="_Toc25387"/>
      <w:bookmarkStart w:id="205" w:name="_Toc32041"/>
      <w:bookmarkStart w:id="206" w:name="_Toc17655"/>
      <w:bookmarkStart w:id="207" w:name="_Toc17840"/>
      <w:r>
        <w:rPr>
          <w:rFonts w:hint="eastAsia" w:ascii="宋体" w:hAnsi="宋体" w:eastAsia="宋体" w:cs="宋体"/>
          <w:b w:val="0"/>
          <w:color w:val="auto"/>
          <w:sz w:val="30"/>
          <w:szCs w:val="30"/>
        </w:rPr>
        <w:br w:type="page"/>
      </w:r>
      <w:r>
        <w:rPr>
          <w:rFonts w:hint="eastAsia" w:ascii="宋体" w:hAnsi="宋体" w:eastAsia="宋体" w:cs="宋体"/>
          <w:b w:val="0"/>
          <w:color w:val="auto"/>
          <w:sz w:val="30"/>
          <w:szCs w:val="30"/>
        </w:rPr>
        <w:t>第三节 评分标准</w:t>
      </w:r>
      <w:bookmarkEnd w:id="204"/>
      <w:bookmarkEnd w:id="205"/>
      <w:bookmarkEnd w:id="206"/>
      <w:bookmarkEnd w:id="207"/>
    </w:p>
    <w:p>
      <w:pPr>
        <w:pStyle w:val="14"/>
        <w:jc w:val="center"/>
        <w:rPr>
          <w:rFonts w:hint="eastAsia" w:hAnsi="宋体" w:cs="宋体"/>
          <w:b/>
          <w:color w:val="auto"/>
          <w:sz w:val="30"/>
          <w:szCs w:val="30"/>
        </w:rPr>
      </w:pPr>
      <w:r>
        <w:rPr>
          <w:rFonts w:hint="eastAsia" w:hAnsi="宋体" w:cs="宋体"/>
          <w:b/>
          <w:color w:val="auto"/>
          <w:sz w:val="30"/>
          <w:szCs w:val="30"/>
        </w:rPr>
        <w:t>综合评分法</w:t>
      </w:r>
    </w:p>
    <w:p>
      <w:pPr>
        <w:pStyle w:val="4"/>
        <w:keepNext w:val="0"/>
        <w:keepLines w:val="0"/>
        <w:spacing w:before="0" w:after="0" w:line="240" w:lineRule="auto"/>
        <w:jc w:val="both"/>
        <w:rPr>
          <w:color w:val="auto"/>
        </w:rPr>
      </w:pPr>
      <w:r>
        <w:rPr>
          <w:rFonts w:hint="eastAsia" w:ascii="宋体" w:hAnsi="宋体" w:eastAsia="宋体" w:cs="宋体"/>
          <w:b w:val="0"/>
          <w:bCs w:val="0"/>
          <w:color w:val="auto"/>
          <w:sz w:val="21"/>
          <w:szCs w:val="13"/>
        </w:rPr>
        <w:t>注：计分方法按四舍五入取至百分位。</w:t>
      </w:r>
    </w:p>
    <w:tbl>
      <w:tblPr>
        <w:tblStyle w:val="24"/>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24"/>
        <w:gridCol w:w="1499"/>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0" w:type="dxa"/>
            <w:gridSpan w:val="2"/>
            <w:noWrap w:val="0"/>
            <w:vAlign w:val="center"/>
          </w:tcPr>
          <w:p>
            <w:pPr>
              <w:adjustRightInd w:val="0"/>
              <w:snapToGrid w:val="0"/>
              <w:spacing w:line="300" w:lineRule="auto"/>
              <w:jc w:val="center"/>
              <w:textAlignment w:val="baseline"/>
              <w:rPr>
                <w:rFonts w:hint="eastAsia" w:ascii="宋体" w:hAnsi="宋体" w:eastAsia="宋体" w:cs="宋体"/>
                <w:color w:val="auto"/>
                <w:szCs w:val="21"/>
              </w:rPr>
            </w:pPr>
            <w:bookmarkStart w:id="208" w:name="_Toc5054"/>
            <w:bookmarkStart w:id="209" w:name="_Toc28332"/>
            <w:bookmarkStart w:id="210" w:name="_Toc30734"/>
            <w:bookmarkStart w:id="211" w:name="_Toc1251"/>
            <w:r>
              <w:rPr>
                <w:rFonts w:hint="eastAsia" w:ascii="宋体" w:hAnsi="宋体" w:eastAsia="宋体" w:cs="宋体"/>
                <w:b/>
                <w:color w:val="auto"/>
                <w:szCs w:val="21"/>
              </w:rPr>
              <w:t>序号</w:t>
            </w:r>
          </w:p>
        </w:tc>
        <w:tc>
          <w:tcPr>
            <w:tcW w:w="1499" w:type="dxa"/>
            <w:noWrap w:val="0"/>
            <w:vAlign w:val="center"/>
          </w:tcPr>
          <w:p>
            <w:pPr>
              <w:adjustRightInd w:val="0"/>
              <w:snapToGrid w:val="0"/>
              <w:spacing w:line="300" w:lineRule="auto"/>
              <w:jc w:val="center"/>
              <w:textAlignment w:val="baseline"/>
              <w:rPr>
                <w:rFonts w:hint="eastAsia" w:ascii="宋体" w:hAnsi="宋体" w:eastAsia="宋体" w:cs="宋体"/>
                <w:color w:val="auto"/>
                <w:szCs w:val="21"/>
              </w:rPr>
            </w:pPr>
            <w:r>
              <w:rPr>
                <w:rFonts w:hint="eastAsia" w:ascii="宋体" w:hAnsi="宋体" w:eastAsia="宋体" w:cs="宋体"/>
                <w:b/>
                <w:color w:val="auto"/>
                <w:szCs w:val="21"/>
              </w:rPr>
              <w:t>评审因素</w:t>
            </w:r>
          </w:p>
        </w:tc>
        <w:tc>
          <w:tcPr>
            <w:tcW w:w="6916" w:type="dxa"/>
            <w:noWrap w:val="0"/>
            <w:vAlign w:val="center"/>
          </w:tcPr>
          <w:p>
            <w:pPr>
              <w:adjustRightInd w:val="0"/>
              <w:snapToGrid w:val="0"/>
              <w:spacing w:line="300" w:lineRule="auto"/>
              <w:jc w:val="center"/>
              <w:textAlignment w:val="baseline"/>
              <w:rPr>
                <w:rFonts w:hint="eastAsia" w:ascii="宋体" w:hAnsi="宋体" w:eastAsia="宋体" w:cs="宋体"/>
                <w:color w:val="auto"/>
                <w:szCs w:val="21"/>
              </w:rPr>
            </w:pPr>
            <w:r>
              <w:rPr>
                <w:rFonts w:hint="eastAsia" w:ascii="宋体" w:hAnsi="宋体" w:eastAsia="宋体" w:cs="宋体"/>
                <w:b/>
                <w:color w:val="auto"/>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6" w:type="dxa"/>
            <w:noWrap w:val="0"/>
            <w:vAlign w:val="center"/>
          </w:tcPr>
          <w:p>
            <w:pPr>
              <w:adjustRightInd w:val="0"/>
              <w:snapToGrid w:val="0"/>
              <w:spacing w:line="30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1</w:t>
            </w:r>
          </w:p>
        </w:tc>
        <w:tc>
          <w:tcPr>
            <w:tcW w:w="1224" w:type="dxa"/>
            <w:noWrap w:val="0"/>
            <w:vAlign w:val="center"/>
          </w:tcPr>
          <w:p>
            <w:pPr>
              <w:adjustRightInd w:val="0"/>
              <w:snapToGrid w:val="0"/>
              <w:spacing w:line="30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价格分</w:t>
            </w:r>
          </w:p>
          <w:p>
            <w:pPr>
              <w:adjustRightInd w:val="0"/>
              <w:snapToGrid w:val="0"/>
              <w:spacing w:line="300" w:lineRule="auto"/>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（满分40分）</w:t>
            </w:r>
          </w:p>
        </w:tc>
        <w:tc>
          <w:tcPr>
            <w:tcW w:w="1499" w:type="dxa"/>
            <w:noWrap w:val="0"/>
            <w:vAlign w:val="center"/>
          </w:tcPr>
          <w:p>
            <w:pPr>
              <w:adjustRightInd w:val="0"/>
              <w:snapToGrid w:val="0"/>
              <w:spacing w:line="30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投标报价</w:t>
            </w:r>
          </w:p>
        </w:tc>
        <w:tc>
          <w:tcPr>
            <w:tcW w:w="6916" w:type="dxa"/>
            <w:noWrap w:val="0"/>
            <w:vAlign w:val="center"/>
          </w:tcPr>
          <w:p>
            <w:pPr>
              <w:snapToGrid w:val="0"/>
              <w:spacing w:line="300" w:lineRule="auto"/>
              <w:ind w:firstLine="233" w:firstLineChars="111"/>
              <w:rPr>
                <w:rFonts w:hint="eastAsia" w:ascii="宋体" w:hAnsi="宋体" w:eastAsia="宋体" w:cs="宋体"/>
                <w:bCs/>
                <w:color w:val="auto"/>
                <w:szCs w:val="21"/>
              </w:rPr>
            </w:pPr>
            <w:r>
              <w:rPr>
                <w:rFonts w:hint="eastAsia" w:ascii="宋体" w:hAnsi="宋体" w:eastAsia="宋体" w:cs="宋体"/>
                <w:bCs/>
                <w:color w:val="auto"/>
                <w:szCs w:val="21"/>
              </w:rPr>
              <w:t>（1）评标报价为投标人的投标报价进行政策性扣除后的价格，评标报价只是作为评标时使用。最终中标人的中标金额等于投标报价。</w:t>
            </w:r>
          </w:p>
          <w:p>
            <w:pPr>
              <w:snapToGrid w:val="0"/>
              <w:spacing w:line="300" w:lineRule="auto"/>
              <w:ind w:firstLine="233" w:firstLineChars="111"/>
              <w:rPr>
                <w:rFonts w:hint="eastAsia" w:ascii="宋体" w:hAnsi="宋体" w:eastAsia="宋体" w:cs="宋体"/>
                <w:color w:val="auto"/>
                <w:szCs w:val="21"/>
              </w:rPr>
            </w:pPr>
            <w:r>
              <w:rPr>
                <w:rFonts w:hint="eastAsia" w:ascii="宋体" w:hAnsi="宋体" w:eastAsia="宋体" w:cs="宋体"/>
                <w:bCs/>
                <w:color w:val="auto"/>
                <w:szCs w:val="21"/>
              </w:rPr>
              <w:t>（2）按照《政府采购促进中小企业发展管理办法》（财库〔2020〕46号）的规定，投标人在其投标文件中提供《中小企业声明函》，且其投标产品全部为小型和微型企业产品的，按《关于进一步加大政府采购支持中小企业力度的通知》（财库〔2022〕19号）、《广西壮族自治区财政厅关于进一步发挥政府采购政策功能促进企业发展的通知》（桂财采〔2022〕30号）的规定对其最后报价给予20%的扣除。</w:t>
            </w:r>
          </w:p>
          <w:p>
            <w:pPr>
              <w:snapToGrid w:val="0"/>
              <w:spacing w:line="300" w:lineRule="auto"/>
              <w:ind w:firstLine="233" w:firstLineChars="111"/>
              <w:rPr>
                <w:rFonts w:hint="eastAsia" w:ascii="宋体" w:hAnsi="宋体" w:eastAsia="宋体" w:cs="宋体"/>
                <w:bCs/>
                <w:color w:val="auto"/>
                <w:szCs w:val="21"/>
              </w:rPr>
            </w:pPr>
            <w:r>
              <w:rPr>
                <w:rFonts w:hint="eastAsia" w:ascii="宋体" w:hAnsi="宋体" w:eastAsia="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Cs w:val="21"/>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Cs w:val="21"/>
              </w:rPr>
              <w:t>不重复享受政策。</w:t>
            </w:r>
          </w:p>
          <w:p>
            <w:pPr>
              <w:snapToGrid w:val="0"/>
              <w:spacing w:line="300" w:lineRule="auto"/>
              <w:ind w:firstLine="233" w:firstLineChars="111"/>
              <w:rPr>
                <w:rFonts w:hint="eastAsia" w:ascii="宋体" w:hAnsi="宋体" w:eastAsia="宋体" w:cs="宋体"/>
                <w:bCs/>
                <w:color w:val="auto"/>
                <w:szCs w:val="21"/>
              </w:rPr>
            </w:pPr>
            <w:r>
              <w:rPr>
                <w:rFonts w:hint="eastAsia" w:ascii="宋体" w:hAnsi="宋体" w:eastAsia="宋体" w:cs="宋体"/>
                <w:color w:val="auto"/>
                <w:szCs w:val="21"/>
              </w:rPr>
              <w:t>（4）按照</w:t>
            </w:r>
            <w:r>
              <w:rPr>
                <w:rFonts w:hint="eastAsia" w:ascii="宋体" w:hAnsi="宋体" w:eastAsia="宋体" w:cs="宋体"/>
                <w:bCs/>
                <w:color w:val="auto"/>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rPr>
              <w:t>残疾人福利性单位参加政府采购活动时，应当提供该通知规定的《残疾人福利性单位声明函》，并对声明的真实性负责。</w:t>
            </w:r>
            <w:r>
              <w:rPr>
                <w:rFonts w:hint="eastAsia" w:ascii="宋体" w:hAnsi="宋体" w:eastAsia="宋体" w:cs="宋体"/>
                <w:bCs/>
                <w:color w:val="auto"/>
                <w:szCs w:val="21"/>
              </w:rPr>
              <w:t>残疾人福利性单位属于小型、微型企业的，不重复享受政策。</w:t>
            </w:r>
          </w:p>
          <w:p>
            <w:pPr>
              <w:snapToGrid w:val="0"/>
              <w:spacing w:line="300" w:lineRule="auto"/>
              <w:ind w:firstLine="233" w:firstLineChars="111"/>
              <w:rPr>
                <w:rFonts w:hint="eastAsia" w:ascii="宋体" w:hAnsi="宋体" w:eastAsia="宋体" w:cs="宋体"/>
                <w:bCs/>
                <w:color w:val="auto"/>
                <w:szCs w:val="21"/>
              </w:rPr>
            </w:pPr>
            <w:r>
              <w:rPr>
                <w:rFonts w:hint="eastAsia" w:ascii="宋体" w:hAnsi="宋体" w:eastAsia="宋体" w:cs="宋体"/>
                <w:bCs/>
                <w:color w:val="auto"/>
                <w:szCs w:val="21"/>
              </w:rPr>
              <w:t>（5）政策性扣除计算方法。</w:t>
            </w:r>
          </w:p>
          <w:p>
            <w:pPr>
              <w:snapToGrid w:val="0"/>
              <w:spacing w:line="300" w:lineRule="auto"/>
              <w:ind w:firstLine="443" w:firstLineChars="211"/>
              <w:rPr>
                <w:rFonts w:hint="eastAsia" w:ascii="宋体" w:hAnsi="宋体" w:eastAsia="宋体" w:cs="宋体"/>
                <w:color w:val="auto"/>
                <w:szCs w:val="21"/>
              </w:rPr>
            </w:pPr>
            <w:r>
              <w:rPr>
                <w:rFonts w:hint="eastAsia" w:ascii="宋体" w:hAnsi="宋体" w:eastAsia="宋体" w:cs="宋体"/>
                <w:bCs/>
                <w:color w:val="auto"/>
                <w:szCs w:val="21"/>
              </w:rPr>
              <w:t>在货物采购项目中，投标人投标全部货物由小型和微型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w:t>
            </w:r>
            <w:r>
              <w:rPr>
                <w:rFonts w:hint="eastAsia" w:ascii="宋体" w:hAnsi="宋体" w:eastAsia="宋体" w:cs="宋体"/>
                <w:bCs/>
                <w:color w:val="auto"/>
                <w:szCs w:val="21"/>
                <w:u w:val="single"/>
              </w:rPr>
              <w:t>4</w:t>
            </w:r>
            <w:r>
              <w:rPr>
                <w:rFonts w:hint="eastAsia" w:ascii="宋体" w:hAnsi="宋体" w:eastAsia="宋体" w:cs="宋体"/>
                <w:bCs/>
                <w:color w:val="auto"/>
                <w:szCs w:val="21"/>
              </w:rPr>
              <w:t>%）。除上述情况外，评标报价=投标报价。</w:t>
            </w:r>
          </w:p>
          <w:p>
            <w:pPr>
              <w:snapToGrid w:val="0"/>
              <w:spacing w:line="300" w:lineRule="auto"/>
              <w:ind w:firstLine="233" w:firstLineChars="111"/>
              <w:rPr>
                <w:rFonts w:hint="eastAsia" w:ascii="宋体" w:hAnsi="宋体" w:eastAsia="宋体" w:cs="宋体"/>
                <w:bCs/>
                <w:color w:val="auto"/>
                <w:szCs w:val="21"/>
              </w:rPr>
            </w:pPr>
            <w:r>
              <w:rPr>
                <w:rFonts w:hint="eastAsia" w:ascii="宋体" w:hAnsi="宋体" w:eastAsia="宋体" w:cs="宋体"/>
                <w:bCs/>
                <w:color w:val="auto"/>
                <w:szCs w:val="21"/>
              </w:rPr>
              <w:t>（6）满足招标文件要求且评标报价最低的评标报价为评标基准价，其价格分为满分。</w:t>
            </w:r>
          </w:p>
          <w:p>
            <w:pPr>
              <w:snapToGrid w:val="0"/>
              <w:spacing w:line="300" w:lineRule="auto"/>
              <w:ind w:firstLine="233" w:firstLineChars="111"/>
              <w:rPr>
                <w:rFonts w:hint="eastAsia" w:ascii="宋体" w:hAnsi="宋体" w:eastAsia="宋体" w:cs="宋体"/>
                <w:bCs/>
                <w:color w:val="auto"/>
                <w:szCs w:val="21"/>
              </w:rPr>
            </w:pPr>
            <w:r>
              <w:rPr>
                <w:rFonts w:hint="eastAsia" w:ascii="宋体" w:hAnsi="宋体" w:eastAsia="宋体" w:cs="宋体"/>
                <w:bCs/>
                <w:color w:val="auto"/>
                <w:szCs w:val="21"/>
              </w:rPr>
              <w:t xml:space="preserve">（7）价格分计算公式：        </w:t>
            </w:r>
          </w:p>
          <w:p>
            <w:pPr>
              <w:snapToGrid w:val="0"/>
              <w:spacing w:line="300" w:lineRule="auto"/>
              <w:ind w:firstLine="233" w:firstLineChars="111"/>
              <w:rPr>
                <w:rFonts w:hint="eastAsia" w:ascii="宋体" w:hAnsi="宋体" w:eastAsia="宋体" w:cs="宋体"/>
                <w:bCs/>
                <w:color w:val="auto"/>
                <w:szCs w:val="20"/>
              </w:rPr>
            </w:pPr>
            <w:r>
              <w:rPr>
                <w:rFonts w:hint="eastAsia" w:ascii="宋体" w:hAnsi="宋体" w:eastAsia="宋体" w:cs="宋体"/>
                <w:bCs/>
                <w:color w:val="auto"/>
                <w:szCs w:val="20"/>
              </w:rPr>
              <w:t>价格分=(评标基准价／评标报价)×</w:t>
            </w:r>
            <w:r>
              <w:rPr>
                <w:rFonts w:hint="eastAsia" w:ascii="宋体" w:hAnsi="宋体" w:eastAsia="宋体" w:cs="宋体"/>
                <w:bCs/>
                <w:color w:val="auto"/>
                <w:szCs w:val="20"/>
                <w:u w:val="single"/>
              </w:rPr>
              <w:t>40</w:t>
            </w:r>
            <w:r>
              <w:rPr>
                <w:rFonts w:hint="eastAsia" w:ascii="宋体" w:hAnsi="宋体" w:eastAsia="宋体" w:cs="宋体"/>
                <w:bCs/>
                <w:color w:val="auto"/>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66" w:type="dxa"/>
            <w:vMerge w:val="restart"/>
            <w:noWrap w:val="0"/>
            <w:vAlign w:val="center"/>
          </w:tcPr>
          <w:p>
            <w:pPr>
              <w:adjustRightInd w:val="0"/>
              <w:snapToGrid w:val="0"/>
              <w:spacing w:line="30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2</w:t>
            </w:r>
          </w:p>
        </w:tc>
        <w:tc>
          <w:tcPr>
            <w:tcW w:w="1224" w:type="dxa"/>
            <w:vMerge w:val="restart"/>
            <w:noWrap w:val="0"/>
            <w:vAlign w:val="center"/>
          </w:tcPr>
          <w:p>
            <w:pPr>
              <w:adjustRightInd w:val="0"/>
              <w:snapToGrid w:val="0"/>
              <w:spacing w:line="300" w:lineRule="auto"/>
              <w:ind w:left="-105" w:leftChars="-50" w:right="-105" w:rightChars="-50"/>
              <w:jc w:val="center"/>
              <w:textAlignment w:val="baseline"/>
              <w:rPr>
                <w:rFonts w:hint="eastAsia" w:ascii="宋体" w:hAnsi="宋体" w:eastAsia="宋体" w:cs="宋体"/>
                <w:b/>
                <w:bCs/>
                <w:color w:val="auto"/>
                <w:szCs w:val="21"/>
              </w:rPr>
            </w:pPr>
            <w:r>
              <w:rPr>
                <w:rFonts w:hint="eastAsia" w:ascii="宋体" w:hAnsi="宋体" w:eastAsia="宋体" w:cs="宋体"/>
                <w:b/>
                <w:bCs/>
                <w:color w:val="auto"/>
                <w:szCs w:val="21"/>
              </w:rPr>
              <w:t>技术分</w:t>
            </w:r>
          </w:p>
          <w:p>
            <w:pPr>
              <w:adjustRightInd w:val="0"/>
              <w:snapToGrid w:val="0"/>
              <w:spacing w:line="300" w:lineRule="auto"/>
              <w:ind w:left="-105" w:leftChars="-50" w:right="-105" w:rightChars="-50"/>
              <w:jc w:val="center"/>
              <w:textAlignment w:val="baseline"/>
              <w:rPr>
                <w:rFonts w:hint="eastAsia" w:ascii="宋体" w:hAnsi="宋体" w:eastAsia="宋体" w:cs="宋体"/>
                <w:color w:val="auto"/>
                <w:spacing w:val="-18"/>
                <w:szCs w:val="21"/>
              </w:rPr>
            </w:pPr>
            <w:r>
              <w:rPr>
                <w:rFonts w:hint="eastAsia" w:ascii="宋体" w:hAnsi="宋体" w:eastAsia="宋体" w:cs="宋体"/>
                <w:bCs/>
                <w:color w:val="auto"/>
                <w:szCs w:val="21"/>
              </w:rPr>
              <w:t>（</w:t>
            </w:r>
            <w:r>
              <w:rPr>
                <w:rFonts w:hint="eastAsia" w:ascii="宋体" w:hAnsi="宋体" w:eastAsia="宋体" w:cs="宋体"/>
                <w:color w:val="auto"/>
                <w:szCs w:val="21"/>
              </w:rPr>
              <w:t>满分</w:t>
            </w:r>
            <w:r>
              <w:rPr>
                <w:rFonts w:hint="eastAsia" w:ascii="宋体" w:hAnsi="宋体" w:cs="宋体"/>
                <w:color w:val="auto"/>
                <w:szCs w:val="21"/>
                <w:lang w:val="en-US" w:eastAsia="zh-CN"/>
              </w:rPr>
              <w:t>39</w:t>
            </w:r>
            <w:r>
              <w:rPr>
                <w:rFonts w:hint="eastAsia" w:ascii="宋体" w:hAnsi="宋体" w:eastAsia="宋体" w:cs="宋体"/>
                <w:color w:val="auto"/>
                <w:szCs w:val="21"/>
              </w:rPr>
              <w:t>分</w:t>
            </w:r>
            <w:r>
              <w:rPr>
                <w:rFonts w:hint="eastAsia" w:ascii="宋体" w:hAnsi="宋体" w:eastAsia="宋体" w:cs="宋体"/>
                <w:bCs/>
                <w:color w:val="auto"/>
                <w:szCs w:val="21"/>
              </w:rPr>
              <w:t>）</w:t>
            </w:r>
          </w:p>
        </w:tc>
        <w:tc>
          <w:tcPr>
            <w:tcW w:w="1499" w:type="dxa"/>
            <w:noWrap w:val="0"/>
            <w:vAlign w:val="center"/>
          </w:tcPr>
          <w:p>
            <w:pPr>
              <w:adjustRightInd w:val="0"/>
              <w:snapToGrid w:val="0"/>
              <w:spacing w:line="300" w:lineRule="auto"/>
              <w:jc w:val="center"/>
              <w:textAlignment w:val="baseline"/>
              <w:rPr>
                <w:rFonts w:hint="eastAsia" w:ascii="宋体" w:hAnsi="宋体" w:eastAsia="宋体" w:cs="宋体"/>
                <w:b/>
                <w:bCs/>
                <w:color w:val="auto"/>
                <w:szCs w:val="21"/>
              </w:rPr>
            </w:pPr>
            <w:r>
              <w:rPr>
                <w:rFonts w:hint="eastAsia" w:ascii="宋体" w:hAnsi="宋体" w:eastAsia="宋体" w:cs="宋体"/>
                <w:b/>
                <w:bCs/>
                <w:color w:val="auto"/>
                <w:szCs w:val="21"/>
                <w:lang w:eastAsia="zh-CN"/>
              </w:rPr>
              <w:t>一般</w:t>
            </w:r>
            <w:r>
              <w:rPr>
                <w:rFonts w:hint="eastAsia" w:ascii="宋体" w:hAnsi="宋体" w:eastAsia="宋体" w:cs="宋体"/>
                <w:b/>
                <w:bCs/>
                <w:color w:val="auto"/>
                <w:szCs w:val="21"/>
              </w:rPr>
              <w:t>指标响应程度分</w:t>
            </w:r>
          </w:p>
          <w:p>
            <w:pPr>
              <w:adjustRightInd w:val="0"/>
              <w:snapToGrid w:val="0"/>
              <w:spacing w:line="300" w:lineRule="auto"/>
              <w:jc w:val="center"/>
              <w:textAlignment w:val="baseline"/>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color w:val="auto"/>
                <w:szCs w:val="21"/>
              </w:rPr>
              <w:t>满分</w:t>
            </w:r>
            <w:r>
              <w:rPr>
                <w:rFonts w:hint="eastAsia" w:ascii="宋体" w:hAnsi="宋体" w:cs="宋体"/>
                <w:bCs/>
                <w:color w:val="auto"/>
                <w:szCs w:val="21"/>
                <w:lang w:val="en-US" w:eastAsia="zh-CN"/>
              </w:rPr>
              <w:t>15</w:t>
            </w:r>
            <w:r>
              <w:rPr>
                <w:rFonts w:hint="eastAsia" w:ascii="宋体" w:hAnsi="宋体" w:eastAsia="宋体" w:cs="宋体"/>
                <w:bCs/>
                <w:color w:val="auto"/>
                <w:szCs w:val="21"/>
              </w:rPr>
              <w:t>分）</w:t>
            </w:r>
          </w:p>
        </w:tc>
        <w:tc>
          <w:tcPr>
            <w:tcW w:w="6916" w:type="dxa"/>
            <w:noWrap w:val="0"/>
            <w:vAlign w:val="center"/>
          </w:tcPr>
          <w:p>
            <w:pPr>
              <w:pStyle w:val="59"/>
              <w:spacing w:line="320" w:lineRule="exact"/>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 xml:space="preserve">一档（0分）：经评审认定的一般指标有＞2项负偏离项； </w:t>
            </w:r>
          </w:p>
          <w:p>
            <w:pPr>
              <w:pStyle w:val="59"/>
              <w:spacing w:line="320" w:lineRule="exact"/>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二档（5分）：经评审认定的一般指标有2项负偏离项；</w:t>
            </w:r>
          </w:p>
          <w:p>
            <w:pPr>
              <w:pStyle w:val="59"/>
              <w:spacing w:line="320" w:lineRule="exact"/>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三档（10分）：经评审认定的一般指标有1项负偏离项；</w:t>
            </w:r>
          </w:p>
          <w:p>
            <w:pPr>
              <w:pStyle w:val="59"/>
              <w:spacing w:line="320" w:lineRule="exact"/>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 xml:space="preserve">四档（15分）：经评审认定的全部一般指标无负偏离。 </w:t>
            </w:r>
          </w:p>
          <w:p>
            <w:pPr>
              <w:pStyle w:val="59"/>
              <w:spacing w:line="320" w:lineRule="exact"/>
              <w:rPr>
                <w:rFonts w:hint="eastAsia" w:ascii="宋体" w:hAnsi="宋体" w:eastAsia="宋体" w:cs="宋体"/>
                <w:color w:val="auto"/>
              </w:rPr>
            </w:pPr>
            <w:r>
              <w:rPr>
                <w:rFonts w:hint="eastAsia" w:ascii="宋体" w:hAnsi="宋体" w:eastAsia="宋体" w:cs="宋体"/>
                <w:color w:val="auto"/>
                <w:kern w:val="2"/>
                <w:highlight w:val="none"/>
                <w:lang w:val="en-US" w:eastAsia="zh-CN"/>
              </w:rPr>
              <w:t>注：一般指标指未标注“▲”及“★”的技术要求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66" w:type="dxa"/>
            <w:vMerge w:val="continue"/>
            <w:noWrap w:val="0"/>
            <w:vAlign w:val="center"/>
          </w:tcPr>
          <w:p>
            <w:pPr>
              <w:adjustRightInd w:val="0"/>
              <w:snapToGrid w:val="0"/>
              <w:spacing w:line="300" w:lineRule="auto"/>
              <w:jc w:val="center"/>
              <w:textAlignment w:val="baseline"/>
              <w:rPr>
                <w:rFonts w:hint="eastAsia" w:ascii="宋体" w:hAnsi="宋体" w:eastAsia="宋体" w:cs="宋体"/>
                <w:b/>
                <w:color w:val="auto"/>
                <w:szCs w:val="21"/>
              </w:rPr>
            </w:pPr>
          </w:p>
        </w:tc>
        <w:tc>
          <w:tcPr>
            <w:tcW w:w="1224" w:type="dxa"/>
            <w:vMerge w:val="continue"/>
            <w:noWrap w:val="0"/>
            <w:vAlign w:val="center"/>
          </w:tcPr>
          <w:p>
            <w:pPr>
              <w:adjustRightInd w:val="0"/>
              <w:snapToGrid w:val="0"/>
              <w:spacing w:line="300" w:lineRule="auto"/>
              <w:ind w:left="-105" w:leftChars="-50" w:right="-105" w:rightChars="-50"/>
              <w:jc w:val="center"/>
              <w:textAlignment w:val="baseline"/>
              <w:rPr>
                <w:rFonts w:hint="eastAsia" w:ascii="宋体" w:hAnsi="宋体" w:eastAsia="宋体" w:cs="宋体"/>
                <w:bCs/>
                <w:color w:val="auto"/>
                <w:szCs w:val="21"/>
              </w:rPr>
            </w:pPr>
          </w:p>
        </w:tc>
        <w:tc>
          <w:tcPr>
            <w:tcW w:w="1499"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技术</w:t>
            </w:r>
            <w:r>
              <w:rPr>
                <w:rFonts w:hint="eastAsia" w:ascii="宋体" w:hAnsi="宋体" w:eastAsia="宋体" w:cs="宋体"/>
                <w:color w:val="auto"/>
                <w:szCs w:val="21"/>
                <w:highlight w:val="none"/>
              </w:rPr>
              <w:t>方案（满分12分）</w:t>
            </w:r>
          </w:p>
        </w:tc>
        <w:tc>
          <w:tcPr>
            <w:tcW w:w="6916" w:type="dxa"/>
            <w:noWrap w:val="0"/>
            <w:vAlign w:val="center"/>
          </w:tcPr>
          <w:p>
            <w:pPr>
              <w:pStyle w:val="59"/>
              <w:spacing w:line="320" w:lineRule="exact"/>
              <w:rPr>
                <w:rFonts w:hint="eastAsia" w:ascii="宋体" w:hAnsi="宋体" w:eastAsia="宋体" w:cs="宋体"/>
                <w:color w:val="auto"/>
                <w:kern w:val="2"/>
                <w:highlight w:val="none"/>
              </w:rPr>
            </w:pPr>
            <w:r>
              <w:rPr>
                <w:rFonts w:hint="eastAsia" w:ascii="宋体" w:hAnsi="宋体" w:eastAsia="宋体" w:cs="宋体"/>
                <w:color w:val="auto"/>
                <w:kern w:val="2"/>
                <w:highlight w:val="none"/>
              </w:rPr>
              <w:t>一档（0分）：未提供方案或方案过于简单</w:t>
            </w:r>
            <w:r>
              <w:rPr>
                <w:rFonts w:hint="eastAsia" w:ascii="宋体" w:hAnsi="宋体" w:eastAsia="宋体" w:cs="宋体"/>
                <w:color w:val="auto"/>
                <w:kern w:val="2"/>
                <w:highlight w:val="none"/>
                <w:lang w:val="en-US" w:eastAsia="zh-CN"/>
              </w:rPr>
              <w:t>而</w:t>
            </w:r>
            <w:r>
              <w:rPr>
                <w:rFonts w:hint="eastAsia" w:ascii="宋体" w:hAnsi="宋体" w:eastAsia="宋体" w:cs="宋体"/>
                <w:color w:val="auto"/>
                <w:kern w:val="2"/>
                <w:highlight w:val="none"/>
              </w:rPr>
              <w:t>技术措施</w:t>
            </w:r>
            <w:r>
              <w:rPr>
                <w:rFonts w:hint="eastAsia" w:ascii="宋体" w:hAnsi="宋体" w:eastAsia="宋体" w:cs="宋体"/>
                <w:color w:val="auto"/>
                <w:kern w:val="2"/>
                <w:highlight w:val="none"/>
                <w:lang w:val="en-US" w:eastAsia="zh-CN"/>
              </w:rPr>
              <w:t>不具备</w:t>
            </w:r>
            <w:r>
              <w:rPr>
                <w:rFonts w:hint="eastAsia" w:ascii="宋体" w:hAnsi="宋体" w:eastAsia="宋体" w:cs="宋体"/>
                <w:color w:val="auto"/>
                <w:kern w:val="2"/>
                <w:highlight w:val="none"/>
              </w:rPr>
              <w:t>合理性、可行性、针对性</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科学合理性</w:t>
            </w:r>
            <w:r>
              <w:rPr>
                <w:rFonts w:hint="eastAsia" w:ascii="宋体" w:hAnsi="宋体" w:eastAsia="宋体" w:cs="宋体"/>
                <w:color w:val="auto"/>
                <w:szCs w:val="21"/>
                <w:highlight w:val="none"/>
              </w:rPr>
              <w:t>无法满足项目基本需求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或者表述内容有冗余而不清晰</w:t>
            </w:r>
            <w:r>
              <w:rPr>
                <w:rFonts w:hint="eastAsia" w:ascii="宋体" w:hAnsi="宋体" w:eastAsia="宋体" w:cs="宋体"/>
                <w:color w:val="auto"/>
                <w:kern w:val="2"/>
                <w:highlight w:val="none"/>
              </w:rPr>
              <w:t>。</w:t>
            </w:r>
          </w:p>
          <w:p>
            <w:pPr>
              <w:pStyle w:val="59"/>
              <w:spacing w:line="320" w:lineRule="exact"/>
              <w:rPr>
                <w:rFonts w:hint="eastAsia" w:ascii="宋体" w:hAnsi="宋体" w:eastAsia="宋体" w:cs="宋体"/>
                <w:color w:val="auto"/>
                <w:kern w:val="2"/>
                <w:highlight w:val="none"/>
              </w:rPr>
            </w:pPr>
            <w:r>
              <w:rPr>
                <w:rFonts w:hint="eastAsia" w:ascii="宋体" w:hAnsi="宋体" w:eastAsia="宋体" w:cs="宋体"/>
                <w:color w:val="auto"/>
                <w:kern w:val="2"/>
                <w:highlight w:val="none"/>
              </w:rPr>
              <w:t>二档（4分）：方案详细合理，技术措施的可行性贴合本项目实际需求，对本项目的技术重点、难点有了解和认识，制定出了具有严密性的作业流程</w:t>
            </w:r>
            <w:r>
              <w:rPr>
                <w:rFonts w:hint="eastAsia" w:ascii="宋体" w:hAnsi="宋体" w:eastAsia="宋体" w:cs="宋体"/>
                <w:color w:val="auto"/>
                <w:kern w:val="2"/>
                <w:highlight w:val="none"/>
                <w:lang w:eastAsia="zh-CN"/>
              </w:rPr>
              <w:t>，</w:t>
            </w:r>
            <w:r>
              <w:rPr>
                <w:rFonts w:hint="eastAsia" w:ascii="宋体" w:hAnsi="宋体" w:eastAsia="宋体" w:cs="宋体"/>
                <w:color w:val="auto"/>
                <w:szCs w:val="21"/>
                <w:highlight w:val="none"/>
              </w:rPr>
              <w:t>基本满足</w:t>
            </w:r>
            <w:r>
              <w:rPr>
                <w:rFonts w:hint="eastAsia" w:ascii="宋体" w:hAnsi="宋体" w:eastAsia="宋体" w:cs="宋体"/>
                <w:color w:val="auto"/>
                <w:szCs w:val="21"/>
                <w:highlight w:val="none"/>
                <w:lang w:val="en-US" w:eastAsia="zh-CN"/>
              </w:rPr>
              <w:t>采购单位的</w:t>
            </w:r>
            <w:r>
              <w:rPr>
                <w:rFonts w:hint="eastAsia" w:ascii="宋体" w:hAnsi="宋体" w:eastAsia="宋体" w:cs="宋体"/>
                <w:color w:val="auto"/>
                <w:szCs w:val="21"/>
                <w:highlight w:val="none"/>
              </w:rPr>
              <w:t>要求</w:t>
            </w:r>
            <w:r>
              <w:rPr>
                <w:rFonts w:hint="eastAsia" w:ascii="宋体" w:hAnsi="宋体" w:eastAsia="宋体" w:cs="宋体"/>
                <w:color w:val="auto"/>
                <w:kern w:val="2"/>
                <w:highlight w:val="none"/>
              </w:rPr>
              <w:t>。</w:t>
            </w:r>
          </w:p>
          <w:p>
            <w:pPr>
              <w:pStyle w:val="59"/>
              <w:spacing w:line="320" w:lineRule="exact"/>
              <w:rPr>
                <w:rFonts w:hint="eastAsia" w:ascii="宋体" w:hAnsi="宋体" w:eastAsia="宋体" w:cs="宋体"/>
                <w:color w:val="auto"/>
                <w:kern w:val="2"/>
                <w:highlight w:val="none"/>
              </w:rPr>
            </w:pPr>
            <w:r>
              <w:rPr>
                <w:rFonts w:hint="eastAsia" w:ascii="宋体" w:hAnsi="宋体" w:eastAsia="宋体" w:cs="宋体"/>
                <w:color w:val="auto"/>
                <w:kern w:val="2"/>
                <w:highlight w:val="none"/>
              </w:rPr>
              <w:t>三档（8分）：方案详细合理、目标明确，对采购单位实际需求具有了解，针对本项目的技术重点、难点提出的质量控制、进度控制方案详细合理</w:t>
            </w:r>
            <w:r>
              <w:rPr>
                <w:rFonts w:hint="eastAsia" w:ascii="宋体" w:hAnsi="宋体" w:eastAsia="宋体" w:cs="宋体"/>
                <w:color w:val="auto"/>
                <w:kern w:val="2"/>
                <w:highlight w:val="none"/>
                <w:lang w:val="en-US" w:eastAsia="zh-CN"/>
              </w:rPr>
              <w:t>，具有</w:t>
            </w:r>
            <w:r>
              <w:rPr>
                <w:rFonts w:hint="eastAsia" w:ascii="宋体" w:hAnsi="宋体" w:eastAsia="宋体" w:cs="宋体"/>
                <w:color w:val="auto"/>
                <w:kern w:val="2"/>
                <w:highlight w:val="none"/>
              </w:rPr>
              <w:t>针对性，科学合理</w:t>
            </w:r>
            <w:r>
              <w:rPr>
                <w:rFonts w:hint="eastAsia" w:ascii="宋体" w:hAnsi="宋体" w:eastAsia="宋体" w:cs="宋体"/>
                <w:color w:val="auto"/>
                <w:kern w:val="2"/>
                <w:highlight w:val="none"/>
                <w:lang w:val="en-US" w:eastAsia="zh-CN"/>
              </w:rPr>
              <w:t>性</w:t>
            </w:r>
            <w:r>
              <w:rPr>
                <w:rFonts w:hint="eastAsia" w:ascii="宋体" w:hAnsi="宋体" w:eastAsia="宋体" w:cs="宋体"/>
                <w:color w:val="auto"/>
                <w:kern w:val="2"/>
                <w:highlight w:val="none"/>
              </w:rPr>
              <w:t>，制定的作业流程能满足项目需求，具有可行性。</w:t>
            </w:r>
          </w:p>
          <w:p>
            <w:pPr>
              <w:pStyle w:val="59"/>
              <w:spacing w:line="320" w:lineRule="exact"/>
              <w:rPr>
                <w:rFonts w:hint="eastAsia" w:ascii="宋体" w:hAnsi="宋体" w:eastAsia="宋体" w:cs="宋体"/>
                <w:bCs/>
                <w:color w:val="auto"/>
                <w:szCs w:val="21"/>
                <w:highlight w:val="none"/>
              </w:rPr>
            </w:pPr>
            <w:r>
              <w:rPr>
                <w:rFonts w:hint="eastAsia" w:ascii="宋体" w:hAnsi="宋体" w:eastAsia="宋体" w:cs="宋体"/>
                <w:color w:val="auto"/>
                <w:kern w:val="2"/>
                <w:highlight w:val="none"/>
              </w:rPr>
              <w:t>四档（12分）：能够准确理解本项目的建设背景、目标、范围；能够把握本项目的技术重点、难点；制订明确的作业流程，详细制订技术方案，所用技术</w:t>
            </w:r>
            <w:r>
              <w:rPr>
                <w:rFonts w:hint="eastAsia" w:ascii="宋体" w:hAnsi="宋体" w:eastAsia="宋体" w:cs="宋体"/>
                <w:color w:val="auto"/>
                <w:kern w:val="2"/>
                <w:highlight w:val="none"/>
                <w:lang w:val="en-US" w:eastAsia="zh-CN"/>
              </w:rPr>
              <w:t>能够完全满足项目需求</w:t>
            </w:r>
            <w:r>
              <w:rPr>
                <w:rFonts w:hint="eastAsia" w:ascii="宋体" w:hAnsi="宋体" w:eastAsia="宋体" w:cs="宋体"/>
                <w:color w:val="auto"/>
                <w:kern w:val="2"/>
                <w:highlight w:val="none"/>
              </w:rPr>
              <w:t>；提出了专业、可行的质量控制、进度控制的目标、方法、措施；科学合理，内容严谨，完全满足国家规范和采购单位的实际使用需求；</w:t>
            </w:r>
            <w:r>
              <w:rPr>
                <w:rFonts w:hint="eastAsia" w:ascii="宋体" w:hAnsi="宋体" w:cs="宋体"/>
                <w:color w:val="auto"/>
                <w:kern w:val="2"/>
                <w:highlight w:val="none"/>
                <w:lang w:eastAsia="zh-CN"/>
              </w:rPr>
              <w:t>各部件</w:t>
            </w:r>
            <w:r>
              <w:rPr>
                <w:rFonts w:hint="eastAsia" w:ascii="宋体" w:hAnsi="宋体" w:eastAsia="宋体" w:cs="宋体"/>
                <w:color w:val="auto"/>
                <w:kern w:val="2"/>
                <w:highlight w:val="none"/>
              </w:rPr>
              <w:t>之间配置协调，能够提出有利于项目进展的意见和建议，具有前瞻性。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66" w:type="dxa"/>
            <w:vMerge w:val="continue"/>
            <w:noWrap w:val="0"/>
            <w:vAlign w:val="top"/>
          </w:tcPr>
          <w:p>
            <w:pPr>
              <w:adjustRightInd w:val="0"/>
              <w:snapToGrid w:val="0"/>
              <w:spacing w:line="300" w:lineRule="auto"/>
              <w:jc w:val="center"/>
              <w:textAlignment w:val="baseline"/>
              <w:rPr>
                <w:rFonts w:hint="eastAsia" w:ascii="宋体" w:hAnsi="宋体" w:eastAsia="宋体" w:cs="宋体"/>
                <w:b/>
                <w:color w:val="auto"/>
                <w:szCs w:val="21"/>
              </w:rPr>
            </w:pPr>
          </w:p>
        </w:tc>
        <w:tc>
          <w:tcPr>
            <w:tcW w:w="1224" w:type="dxa"/>
            <w:vMerge w:val="continue"/>
            <w:noWrap w:val="0"/>
            <w:vAlign w:val="top"/>
          </w:tcPr>
          <w:p>
            <w:pPr>
              <w:adjustRightInd w:val="0"/>
              <w:snapToGrid w:val="0"/>
              <w:spacing w:line="300" w:lineRule="auto"/>
              <w:jc w:val="center"/>
              <w:textAlignment w:val="baseline"/>
              <w:rPr>
                <w:rFonts w:hint="eastAsia" w:ascii="宋体" w:hAnsi="宋体" w:eastAsia="宋体" w:cs="宋体"/>
                <w:color w:val="auto"/>
                <w:szCs w:val="21"/>
              </w:rPr>
            </w:pPr>
          </w:p>
        </w:tc>
        <w:tc>
          <w:tcPr>
            <w:tcW w:w="1499" w:type="dxa"/>
            <w:noWrap w:val="0"/>
            <w:tcMar>
              <w:left w:w="57" w:type="dxa"/>
              <w:right w:w="57" w:type="dxa"/>
            </w:tcMar>
            <w:vAlign w:val="center"/>
          </w:tcPr>
          <w:p>
            <w:pPr>
              <w:pStyle w:val="59"/>
              <w:spacing w:line="320" w:lineRule="exact"/>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项目实施方案</w:t>
            </w:r>
          </w:p>
          <w:p>
            <w:pPr>
              <w:pStyle w:val="59"/>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（满分12分）</w:t>
            </w:r>
          </w:p>
        </w:tc>
        <w:tc>
          <w:tcPr>
            <w:tcW w:w="6916" w:type="dxa"/>
            <w:noWrap w:val="0"/>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根据项目实施方案科学性、针对性、前瞻性、保障措施得力，对于实施中难点的理解和实施重点的把握，是否制定了切实可行的应急方案，考虑交货、安装、调试、安装环境准备、项目验收等对</w:t>
            </w:r>
            <w:r>
              <w:rPr>
                <w:rFonts w:hint="eastAsia" w:ascii="宋体" w:hAnsi="宋体" w:eastAsia="宋体" w:cs="宋体"/>
                <w:color w:val="auto"/>
                <w:kern w:val="2"/>
                <w:sz w:val="21"/>
                <w:szCs w:val="24"/>
                <w:highlight w:val="none"/>
                <w:lang w:val="en-US" w:eastAsia="zh-CN" w:bidi="ar-SA"/>
              </w:rPr>
              <w:t>采购单位</w:t>
            </w:r>
            <w:r>
              <w:rPr>
                <w:rFonts w:hint="eastAsia" w:ascii="宋体" w:hAnsi="宋体" w:eastAsia="宋体" w:cs="宋体"/>
                <w:color w:val="auto"/>
                <w:szCs w:val="21"/>
                <w:highlight w:val="none"/>
              </w:rPr>
              <w:t>的有利性，以及能否保证项目顺利实施等情况进行综合评定。</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 (0分)：实施方案</w:t>
            </w:r>
            <w:r>
              <w:rPr>
                <w:rFonts w:hint="eastAsia" w:ascii="宋体" w:hAnsi="宋体" w:eastAsia="宋体" w:cs="宋体"/>
                <w:color w:val="auto"/>
                <w:highlight w:val="none"/>
                <w:lang w:val="en-US" w:eastAsia="zh-CN"/>
              </w:rPr>
              <w:t>过于</w:t>
            </w:r>
            <w:r>
              <w:rPr>
                <w:rFonts w:hint="eastAsia" w:ascii="宋体" w:hAnsi="宋体" w:eastAsia="宋体" w:cs="宋体"/>
                <w:color w:val="auto"/>
                <w:highlight w:val="none"/>
              </w:rPr>
              <w:t>简单</w:t>
            </w:r>
            <w:r>
              <w:rPr>
                <w:rFonts w:hint="eastAsia" w:ascii="宋体" w:hAnsi="宋体" w:eastAsia="宋体" w:cs="宋体"/>
                <w:color w:val="auto"/>
                <w:highlight w:val="none"/>
                <w:lang w:val="en-US" w:eastAsia="zh-CN"/>
              </w:rPr>
              <w:t>而并未针对采购文件基本要求进行实质性的细化</w:t>
            </w:r>
            <w:r>
              <w:rPr>
                <w:rFonts w:hint="eastAsia" w:ascii="宋体" w:hAnsi="宋体" w:eastAsia="宋体" w:cs="宋体"/>
                <w:color w:val="auto"/>
                <w:highlight w:val="none"/>
              </w:rPr>
              <w:t>，或</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rPr>
              <w:t>没有从项目具体需求出发，</w:t>
            </w:r>
            <w:r>
              <w:rPr>
                <w:rFonts w:hint="eastAsia" w:ascii="宋体" w:hAnsi="宋体" w:eastAsia="宋体" w:cs="宋体"/>
                <w:color w:val="auto"/>
                <w:highlight w:val="none"/>
                <w:lang w:val="en-US" w:eastAsia="zh-CN"/>
              </w:rPr>
              <w:t>表述内容对</w:t>
            </w:r>
            <w:r>
              <w:rPr>
                <w:rFonts w:hint="eastAsia" w:ascii="宋体" w:hAnsi="宋体" w:eastAsia="宋体" w:cs="宋体"/>
                <w:color w:val="auto"/>
                <w:highlight w:val="none"/>
              </w:rPr>
              <w:t>满足本项目基本需求</w:t>
            </w:r>
            <w:r>
              <w:rPr>
                <w:rFonts w:hint="eastAsia" w:ascii="宋体" w:hAnsi="宋体" w:eastAsia="宋体" w:cs="宋体"/>
                <w:color w:val="auto"/>
                <w:highlight w:val="none"/>
                <w:lang w:val="en-US" w:eastAsia="zh-CN"/>
              </w:rPr>
              <w:t>无整体保障性</w:t>
            </w:r>
            <w:r>
              <w:rPr>
                <w:rFonts w:hint="eastAsia" w:ascii="宋体" w:hAnsi="宋体" w:eastAsia="宋体" w:cs="宋体"/>
                <w:color w:val="auto"/>
                <w:szCs w:val="21"/>
                <w:highlight w:val="none"/>
              </w:rPr>
              <w:t>，无法满足项目的实施。</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 (4分)：实施方案</w:t>
            </w:r>
            <w:r>
              <w:rPr>
                <w:rFonts w:hint="eastAsia" w:ascii="宋体" w:hAnsi="宋体" w:eastAsia="宋体" w:cs="宋体"/>
                <w:color w:val="auto"/>
                <w:highlight w:val="none"/>
              </w:rPr>
              <w:t>仅对采购单位提出的要求进行了部分细化</w:t>
            </w:r>
            <w:r>
              <w:rPr>
                <w:rFonts w:hint="eastAsia" w:ascii="宋体" w:hAnsi="宋体" w:eastAsia="宋体" w:cs="宋体"/>
                <w:color w:val="auto"/>
                <w:szCs w:val="21"/>
                <w:highlight w:val="none"/>
              </w:rPr>
              <w:t>，对项目实施目标、实施过程、实现思路有基本描述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但</w:t>
            </w:r>
            <w:r>
              <w:rPr>
                <w:rFonts w:hint="eastAsia" w:ascii="宋体" w:hAnsi="宋体" w:eastAsia="宋体" w:cs="宋体"/>
                <w:color w:val="auto"/>
                <w:highlight w:val="none"/>
              </w:rPr>
              <w:t>各项措施缺乏针对性，</w:t>
            </w:r>
            <w:r>
              <w:rPr>
                <w:rFonts w:hint="eastAsia" w:ascii="宋体" w:hAnsi="宋体" w:eastAsia="宋体" w:cs="宋体"/>
                <w:color w:val="auto"/>
                <w:highlight w:val="none"/>
                <w:lang w:val="en-US" w:eastAsia="zh-CN"/>
              </w:rPr>
              <w:t>提供的内容</w:t>
            </w:r>
            <w:r>
              <w:rPr>
                <w:rFonts w:hint="eastAsia" w:ascii="宋体" w:hAnsi="宋体" w:eastAsia="宋体" w:cs="宋体"/>
                <w:color w:val="auto"/>
                <w:highlight w:val="none"/>
              </w:rPr>
              <w:t>对采购单位使用需求响应的具体措施缺乏充分的合理性，</w:t>
            </w:r>
            <w:r>
              <w:rPr>
                <w:rFonts w:hint="eastAsia" w:ascii="宋体" w:hAnsi="宋体" w:eastAsia="宋体" w:cs="宋体"/>
                <w:color w:val="auto"/>
                <w:highlight w:val="none"/>
                <w:lang w:val="en-US" w:eastAsia="zh-CN"/>
              </w:rPr>
              <w:t>实现方式仅能满足项目基本需求</w:t>
            </w:r>
            <w:r>
              <w:rPr>
                <w:rFonts w:hint="eastAsia" w:ascii="宋体" w:hAnsi="宋体" w:eastAsia="宋体" w:cs="宋体"/>
                <w:color w:val="auto"/>
                <w:szCs w:val="21"/>
                <w:highlight w:val="none"/>
              </w:rPr>
              <w:t>。</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 (8分)：实施方案基本满足项目实施要求，对项目实施目标、实施过程、实现思路设计</w:t>
            </w:r>
            <w:r>
              <w:rPr>
                <w:rFonts w:hint="eastAsia" w:ascii="宋体" w:hAnsi="宋体" w:eastAsia="宋体" w:cs="宋体"/>
                <w:color w:val="auto"/>
                <w:highlight w:val="none"/>
              </w:rPr>
              <w:t>进行了</w:t>
            </w:r>
            <w:r>
              <w:rPr>
                <w:rFonts w:hint="eastAsia" w:ascii="宋体" w:hAnsi="宋体" w:eastAsia="宋体" w:cs="宋体"/>
                <w:color w:val="auto"/>
                <w:highlight w:val="none"/>
                <w:lang w:val="en-US" w:eastAsia="zh-CN"/>
              </w:rPr>
              <w:t>全面</w:t>
            </w:r>
            <w:r>
              <w:rPr>
                <w:rFonts w:hint="eastAsia" w:ascii="宋体" w:hAnsi="宋体" w:eastAsia="宋体" w:cs="宋体"/>
                <w:color w:val="auto"/>
                <w:highlight w:val="none"/>
              </w:rPr>
              <w:t>细化，各项措施针对采购单位需求提出，考虑到了项目实际需求、设置合理</w:t>
            </w:r>
            <w:r>
              <w:rPr>
                <w:rFonts w:hint="eastAsia" w:ascii="宋体" w:hAnsi="宋体" w:eastAsia="宋体" w:cs="宋体"/>
                <w:color w:val="auto"/>
                <w:szCs w:val="21"/>
                <w:highlight w:val="none"/>
              </w:rPr>
              <w:t>。</w:t>
            </w:r>
          </w:p>
          <w:p>
            <w:pPr>
              <w:spacing w:line="32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四档 (12分)：实施方案详细，对项目实施目标、实施过程、实现思路有详细的阐述。能够提供科学合理的项目实施流程，符合本项目切实可行的项目实施计划，以及项目的分工安排计划。整体方案能够体现出投标人对本项目的理解和对同类项目有实施经验。</w:t>
            </w:r>
            <w:r>
              <w:rPr>
                <w:rFonts w:hint="eastAsia" w:ascii="宋体" w:hAnsi="宋体" w:eastAsia="宋体" w:cs="宋体"/>
                <w:color w:val="auto"/>
                <w:highlight w:val="none"/>
              </w:rPr>
              <w:t>对采购单位、采购项目的特点均有针对性</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jc w:val="center"/>
        </w:trPr>
        <w:tc>
          <w:tcPr>
            <w:tcW w:w="566" w:type="dxa"/>
            <w:vMerge w:val="restart"/>
            <w:noWrap w:val="0"/>
            <w:vAlign w:val="center"/>
          </w:tcPr>
          <w:p>
            <w:pPr>
              <w:snapToGrid w:val="0"/>
              <w:spacing w:line="300" w:lineRule="auto"/>
              <w:jc w:val="center"/>
              <w:rPr>
                <w:rFonts w:hint="eastAsia" w:ascii="宋体" w:hAnsi="宋体" w:eastAsia="宋体" w:cs="宋体"/>
                <w:b/>
                <w:color w:val="auto"/>
                <w:szCs w:val="21"/>
              </w:rPr>
            </w:pPr>
            <w:r>
              <w:rPr>
                <w:rFonts w:hint="eastAsia" w:ascii="宋体" w:hAnsi="宋体" w:eastAsia="宋体" w:cs="宋体"/>
                <w:b/>
                <w:color w:val="auto"/>
                <w:szCs w:val="21"/>
              </w:rPr>
              <w:t>3</w:t>
            </w:r>
          </w:p>
        </w:tc>
        <w:tc>
          <w:tcPr>
            <w:tcW w:w="1224" w:type="dxa"/>
            <w:vMerge w:val="restart"/>
            <w:noWrap w:val="0"/>
            <w:vAlign w:val="center"/>
          </w:tcPr>
          <w:p>
            <w:pPr>
              <w:snapToGrid w:val="0"/>
              <w:spacing w:line="300" w:lineRule="auto"/>
              <w:jc w:val="center"/>
              <w:rPr>
                <w:rFonts w:hint="eastAsia" w:ascii="宋体" w:hAnsi="宋体" w:eastAsia="宋体" w:cs="宋体"/>
                <w:b/>
                <w:color w:val="auto"/>
                <w:szCs w:val="21"/>
              </w:rPr>
            </w:pPr>
            <w:r>
              <w:rPr>
                <w:rFonts w:hint="eastAsia" w:ascii="宋体" w:hAnsi="宋体" w:eastAsia="宋体" w:cs="宋体"/>
                <w:b/>
                <w:color w:val="auto"/>
                <w:szCs w:val="21"/>
              </w:rPr>
              <w:t>商务分</w:t>
            </w:r>
            <w:r>
              <w:rPr>
                <w:rFonts w:hint="eastAsia" w:ascii="宋体" w:hAnsi="宋体" w:eastAsia="宋体" w:cs="宋体"/>
                <w:bCs/>
                <w:color w:val="auto"/>
                <w:szCs w:val="21"/>
              </w:rPr>
              <w:t>（</w:t>
            </w:r>
            <w:r>
              <w:rPr>
                <w:rFonts w:hint="eastAsia" w:ascii="宋体" w:hAnsi="宋体" w:eastAsia="宋体" w:cs="宋体"/>
                <w:color w:val="auto"/>
                <w:szCs w:val="21"/>
              </w:rPr>
              <w:t>满分</w:t>
            </w:r>
            <w:r>
              <w:rPr>
                <w:rFonts w:hint="eastAsia" w:ascii="宋体" w:hAnsi="宋体" w:cs="宋体"/>
                <w:color w:val="auto"/>
                <w:szCs w:val="21"/>
                <w:lang w:val="en-US" w:eastAsia="zh-CN"/>
              </w:rPr>
              <w:t>21</w:t>
            </w:r>
            <w:r>
              <w:rPr>
                <w:rFonts w:hint="eastAsia" w:ascii="宋体" w:hAnsi="宋体" w:eastAsia="宋体" w:cs="宋体"/>
                <w:bCs/>
                <w:color w:val="auto"/>
                <w:szCs w:val="21"/>
              </w:rPr>
              <w:t>分）</w:t>
            </w:r>
          </w:p>
        </w:tc>
        <w:tc>
          <w:tcPr>
            <w:tcW w:w="1499" w:type="dxa"/>
            <w:noWrap w:val="0"/>
            <w:tcMar>
              <w:left w:w="57" w:type="dxa"/>
              <w:right w:w="57" w:type="dxa"/>
            </w:tcMar>
            <w:vAlign w:val="center"/>
          </w:tcPr>
          <w:p>
            <w:pPr>
              <w:adjustRightInd w:val="0"/>
              <w:snapToGrid w:val="0"/>
              <w:spacing w:line="30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履约能力分</w:t>
            </w:r>
          </w:p>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（满分5分）</w:t>
            </w:r>
          </w:p>
        </w:tc>
        <w:tc>
          <w:tcPr>
            <w:tcW w:w="6916" w:type="dxa"/>
            <w:noWrap w:val="0"/>
            <w:vAlign w:val="center"/>
          </w:tcPr>
          <w:p>
            <w:pPr>
              <w:keepNext w:val="0"/>
              <w:keepLines w:val="0"/>
              <w:pageBreakBefore w:val="0"/>
              <w:widowControl w:val="0"/>
              <w:kinsoku/>
              <w:wordWrap/>
              <w:overflowPunct/>
              <w:topLinePunct w:val="0"/>
              <w:autoSpaceDE/>
              <w:autoSpaceDN/>
              <w:bidi w:val="0"/>
              <w:snapToGrid w:val="0"/>
              <w:spacing w:line="360" w:lineRule="exact"/>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1、投标人或所投货物生产厂家通过以下类型认证的：质量管理体系认证（ISO9001系列）、ISO13485医疗器械质量管理体系认证、环境管理体系认证（ISO14001系列）的，提供证书扫描件每有1类得1分，最高得2分。</w:t>
            </w:r>
          </w:p>
          <w:p>
            <w:pPr>
              <w:keepNext w:val="0"/>
              <w:keepLines w:val="0"/>
              <w:pageBreakBefore w:val="0"/>
              <w:widowControl w:val="0"/>
              <w:kinsoku/>
              <w:wordWrap/>
              <w:overflowPunct/>
              <w:topLinePunct w:val="0"/>
              <w:autoSpaceDE/>
              <w:autoSpaceDN/>
              <w:bidi w:val="0"/>
              <w:snapToGrid w:val="0"/>
              <w:spacing w:line="360" w:lineRule="exact"/>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2、2020年1月1日至投标截止时间止，可提供核心产品销售业绩的（业绩可以是供应商的，也可以是制造商或者其他代理商），提供3项业绩得基础分1分，能提供4项业绩得2分，能提供5项业绩或以上得3分，满分3分。</w:t>
            </w:r>
          </w:p>
          <w:p>
            <w:pPr>
              <w:snapToGrid w:val="0"/>
              <w:spacing w:line="300" w:lineRule="auto"/>
              <w:rPr>
                <w:rFonts w:hint="eastAsia" w:ascii="宋体" w:hAnsi="宋体" w:eastAsia="宋体" w:cs="宋体"/>
                <w:color w:val="auto"/>
                <w:highlight w:val="none"/>
              </w:rPr>
            </w:pPr>
            <w:r>
              <w:rPr>
                <w:rFonts w:hint="eastAsia" w:ascii="宋体" w:hAnsi="宋体" w:eastAsia="宋体" w:cs="宋体"/>
                <w:color w:val="auto"/>
                <w:kern w:val="2"/>
                <w:sz w:val="21"/>
                <w:szCs w:val="20"/>
                <w:lang w:val="en-US" w:eastAsia="zh-CN" w:bidi="ar-SA"/>
              </w:rPr>
              <w:t>注：提供合同或中标通知书或验收报告或其他有第三方出具（或参与出具）证明的复印件。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566" w:type="dxa"/>
            <w:vMerge w:val="continue"/>
            <w:noWrap w:val="0"/>
            <w:vAlign w:val="top"/>
          </w:tcPr>
          <w:p>
            <w:pPr>
              <w:adjustRightInd w:val="0"/>
              <w:snapToGrid w:val="0"/>
              <w:spacing w:line="300" w:lineRule="auto"/>
              <w:jc w:val="center"/>
              <w:textAlignment w:val="baseline"/>
              <w:rPr>
                <w:rFonts w:hint="eastAsia" w:ascii="宋体" w:hAnsi="宋体" w:eastAsia="宋体" w:cs="宋体"/>
                <w:b/>
                <w:color w:val="auto"/>
                <w:szCs w:val="21"/>
              </w:rPr>
            </w:pPr>
          </w:p>
        </w:tc>
        <w:tc>
          <w:tcPr>
            <w:tcW w:w="1224" w:type="dxa"/>
            <w:vMerge w:val="continue"/>
            <w:noWrap w:val="0"/>
            <w:vAlign w:val="center"/>
          </w:tcPr>
          <w:p>
            <w:pPr>
              <w:spacing w:line="320" w:lineRule="exact"/>
              <w:jc w:val="center"/>
              <w:rPr>
                <w:rFonts w:hint="eastAsia" w:ascii="宋体" w:hAnsi="宋体" w:eastAsia="宋体" w:cs="宋体"/>
                <w:color w:val="auto"/>
                <w:szCs w:val="21"/>
              </w:rPr>
            </w:pPr>
          </w:p>
        </w:tc>
        <w:tc>
          <w:tcPr>
            <w:tcW w:w="1499" w:type="dxa"/>
            <w:noWrap w:val="0"/>
            <w:tcMar>
              <w:left w:w="57" w:type="dxa"/>
              <w:right w:w="57" w:type="dxa"/>
            </w:tcMar>
            <w:vAlign w:val="top"/>
          </w:tcPr>
          <w:p>
            <w:pPr>
              <w:pStyle w:val="59"/>
              <w:spacing w:line="320" w:lineRule="exact"/>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制造商授权</w:t>
            </w:r>
          </w:p>
          <w:p>
            <w:pPr>
              <w:pStyle w:val="59"/>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6916" w:type="dxa"/>
            <w:noWrap w:val="0"/>
            <w:vAlign w:val="center"/>
          </w:tcPr>
          <w:p>
            <w:pPr>
              <w:pStyle w:val="59"/>
              <w:spacing w:line="320" w:lineRule="exact"/>
              <w:jc w:val="both"/>
              <w:rPr>
                <w:rFonts w:hint="eastAsia" w:ascii="宋体" w:hAnsi="宋体" w:eastAsia="宋体" w:cs="宋体"/>
                <w:color w:val="auto"/>
                <w:highlight w:val="none"/>
              </w:rPr>
            </w:pPr>
            <w:r>
              <w:rPr>
                <w:rFonts w:hint="eastAsia" w:ascii="宋体" w:hAnsi="宋体" w:eastAsia="宋体" w:cs="宋体"/>
                <w:color w:val="auto"/>
                <w:kern w:val="2"/>
                <w:highlight w:val="none"/>
              </w:rPr>
              <w:t>提供核心产品的制造商授权书及售后服务承诺书的得</w:t>
            </w:r>
            <w:r>
              <w:rPr>
                <w:rFonts w:hint="eastAsia" w:ascii="宋体" w:hAnsi="宋体" w:eastAsia="宋体" w:cs="宋体"/>
                <w:color w:val="auto"/>
                <w:kern w:val="2"/>
                <w:highlight w:val="none"/>
                <w:lang w:val="en-US" w:eastAsia="zh-CN"/>
              </w:rPr>
              <w:t>3</w:t>
            </w:r>
            <w:r>
              <w:rPr>
                <w:rFonts w:hint="eastAsia" w:ascii="宋体" w:hAnsi="宋体" w:eastAsia="宋体" w:cs="宋体"/>
                <w:color w:val="auto"/>
                <w:kern w:val="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566" w:type="dxa"/>
            <w:vMerge w:val="continue"/>
            <w:noWrap w:val="0"/>
            <w:vAlign w:val="center"/>
          </w:tcPr>
          <w:p>
            <w:pPr>
              <w:snapToGrid w:val="0"/>
              <w:spacing w:line="300" w:lineRule="auto"/>
              <w:jc w:val="center"/>
              <w:rPr>
                <w:rFonts w:hint="eastAsia" w:ascii="宋体" w:hAnsi="宋体" w:eastAsia="宋体" w:cs="宋体"/>
                <w:b/>
                <w:color w:val="auto"/>
                <w:szCs w:val="21"/>
              </w:rPr>
            </w:pPr>
          </w:p>
        </w:tc>
        <w:tc>
          <w:tcPr>
            <w:tcW w:w="1224" w:type="dxa"/>
            <w:vMerge w:val="continue"/>
            <w:noWrap w:val="0"/>
            <w:vAlign w:val="center"/>
          </w:tcPr>
          <w:p>
            <w:pPr>
              <w:snapToGrid w:val="0"/>
              <w:spacing w:line="300" w:lineRule="auto"/>
              <w:jc w:val="center"/>
              <w:rPr>
                <w:rFonts w:hint="eastAsia" w:ascii="宋体" w:hAnsi="宋体" w:eastAsia="宋体" w:cs="宋体"/>
                <w:b/>
                <w:color w:val="auto"/>
                <w:szCs w:val="21"/>
              </w:rPr>
            </w:pPr>
          </w:p>
        </w:tc>
        <w:tc>
          <w:tcPr>
            <w:tcW w:w="1499" w:type="dxa"/>
            <w:noWrap w:val="0"/>
            <w:tcMar>
              <w:left w:w="57" w:type="dxa"/>
              <w:right w:w="57" w:type="dxa"/>
            </w:tcMar>
            <w:vAlign w:val="center"/>
          </w:tcPr>
          <w:p>
            <w:pPr>
              <w:snapToGrid w:val="0"/>
              <w:spacing w:line="30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售后服务分</w:t>
            </w:r>
          </w:p>
          <w:p>
            <w:pPr>
              <w:snapToGrid w:val="0"/>
              <w:spacing w:line="300" w:lineRule="auto"/>
              <w:jc w:val="center"/>
              <w:rPr>
                <w:rFonts w:hint="eastAsia" w:ascii="宋体" w:hAnsi="宋体" w:eastAsia="宋体" w:cs="宋体"/>
                <w:strike/>
                <w:color w:val="auto"/>
                <w:szCs w:val="21"/>
              </w:rPr>
            </w:pPr>
            <w:r>
              <w:rPr>
                <w:rFonts w:hint="eastAsia" w:ascii="宋体" w:hAnsi="宋体" w:eastAsia="宋体" w:cs="宋体"/>
                <w:color w:val="auto"/>
                <w:kern w:val="0"/>
                <w:szCs w:val="21"/>
              </w:rPr>
              <w:t>（满分</w:t>
            </w:r>
            <w:r>
              <w:rPr>
                <w:rFonts w:hint="eastAsia" w:ascii="宋体" w:hAnsi="宋体" w:cs="宋体"/>
                <w:color w:val="auto"/>
                <w:kern w:val="0"/>
                <w:szCs w:val="21"/>
                <w:lang w:val="en-US" w:eastAsia="zh-CN"/>
              </w:rPr>
              <w:t>12</w:t>
            </w:r>
            <w:r>
              <w:rPr>
                <w:rFonts w:hint="eastAsia" w:ascii="宋体" w:hAnsi="宋体" w:eastAsia="宋体" w:cs="宋体"/>
                <w:color w:val="auto"/>
                <w:kern w:val="0"/>
                <w:szCs w:val="21"/>
              </w:rPr>
              <w:t>分）</w:t>
            </w:r>
          </w:p>
        </w:tc>
        <w:tc>
          <w:tcPr>
            <w:tcW w:w="6916" w:type="dxa"/>
            <w:noWrap w:val="0"/>
            <w:vAlign w:val="center"/>
          </w:tcPr>
          <w:p>
            <w:pPr>
              <w:pStyle w:val="14"/>
              <w:snapToGrid w:val="0"/>
              <w:spacing w:line="300" w:lineRule="auto"/>
              <w:jc w:val="left"/>
              <w:rPr>
                <w:rFonts w:hint="eastAsia" w:ascii="宋体" w:hAnsi="宋体" w:eastAsia="宋体" w:cs="宋体"/>
                <w:color w:val="auto"/>
              </w:rPr>
            </w:pPr>
            <w:r>
              <w:rPr>
                <w:rFonts w:hint="eastAsia" w:ascii="宋体" w:hAnsi="宋体" w:eastAsia="宋体" w:cs="宋体"/>
                <w:color w:val="auto"/>
              </w:rPr>
              <w:t>由评标委员会根据投标人的售后服务方案，包括安装要求及方案、样机调试效果、实现功能要求及后续追加性能的解决方案、材质、结构以及设备特定的技术要求、保修期、保修期内和保修期外保修维修养护具体措施、安全保障措施、服务响应时间、服务质量保障、服务项目流程设计、承诺响应时间、应急处理方案、驻场人员、技术人员资质水平等内容，进行综合评定并打分：</w:t>
            </w:r>
          </w:p>
          <w:p>
            <w:pPr>
              <w:pStyle w:val="14"/>
              <w:snapToGrid w:val="0"/>
              <w:spacing w:line="300" w:lineRule="auto"/>
              <w:jc w:val="left"/>
              <w:rPr>
                <w:rFonts w:hint="eastAsia" w:ascii="宋体" w:hAnsi="宋体" w:eastAsia="宋体" w:cs="宋体"/>
                <w:color w:val="auto"/>
              </w:rPr>
            </w:pPr>
            <w:r>
              <w:rPr>
                <w:rFonts w:hint="eastAsia" w:ascii="宋体" w:hAnsi="宋体" w:eastAsia="宋体" w:cs="宋体"/>
                <w:color w:val="auto"/>
              </w:rPr>
              <w:t>一档（0分）：售后服务方案并未针对采购文件基本要求进行实质性的细化，或服务承诺没有从项目具体需求出发，表述内容对满足本项目基本需求无整体保障性。</w:t>
            </w:r>
          </w:p>
          <w:p>
            <w:pPr>
              <w:pStyle w:val="14"/>
              <w:snapToGrid w:val="0"/>
              <w:spacing w:line="300" w:lineRule="auto"/>
              <w:jc w:val="left"/>
              <w:rPr>
                <w:rFonts w:hint="eastAsia" w:ascii="宋体" w:hAnsi="宋体" w:eastAsia="宋体" w:cs="宋体"/>
                <w:color w:val="auto"/>
              </w:rPr>
            </w:pPr>
            <w:r>
              <w:rPr>
                <w:rFonts w:hint="eastAsia" w:ascii="宋体" w:hAnsi="宋体" w:eastAsia="宋体" w:cs="宋体"/>
                <w:color w:val="auto"/>
              </w:rPr>
              <w:t>二档（</w:t>
            </w:r>
            <w:r>
              <w:rPr>
                <w:rFonts w:hint="eastAsia" w:hAnsi="宋体" w:cs="宋体"/>
                <w:color w:val="auto"/>
                <w:lang w:val="en-US" w:eastAsia="zh-CN"/>
              </w:rPr>
              <w:t>4</w:t>
            </w:r>
            <w:r>
              <w:rPr>
                <w:rFonts w:hint="eastAsia" w:ascii="宋体" w:hAnsi="宋体" w:eastAsia="宋体" w:cs="宋体"/>
                <w:color w:val="auto"/>
              </w:rPr>
              <w:t>分）：仅对采购单位提出的要求进行了部分细化，售后服务承诺书中各项措施缺乏针对性，提供的内容对采购单位使用需求响应的具体措施缺乏充分的合理性，效率响应性承诺或实现方式仅能满足项目基本需求。</w:t>
            </w:r>
          </w:p>
          <w:p>
            <w:pPr>
              <w:pStyle w:val="14"/>
              <w:snapToGrid w:val="0"/>
              <w:spacing w:line="300" w:lineRule="auto"/>
              <w:jc w:val="left"/>
              <w:rPr>
                <w:rFonts w:hint="eastAsia" w:ascii="宋体" w:hAnsi="宋体" w:eastAsia="宋体" w:cs="宋体"/>
                <w:color w:val="auto"/>
              </w:rPr>
            </w:pPr>
            <w:r>
              <w:rPr>
                <w:rFonts w:hint="eastAsia" w:ascii="宋体" w:hAnsi="宋体" w:eastAsia="宋体" w:cs="宋体"/>
                <w:color w:val="auto"/>
              </w:rPr>
              <w:t>三档（</w:t>
            </w:r>
            <w:r>
              <w:rPr>
                <w:rFonts w:hint="eastAsia" w:hAnsi="宋体" w:cs="宋体"/>
                <w:color w:val="auto"/>
                <w:lang w:val="en-US" w:eastAsia="zh-CN"/>
              </w:rPr>
              <w:t>8</w:t>
            </w:r>
            <w:r>
              <w:rPr>
                <w:rFonts w:hint="eastAsia" w:ascii="宋体" w:hAnsi="宋体" w:eastAsia="宋体" w:cs="宋体"/>
                <w:color w:val="auto"/>
              </w:rPr>
              <w:t>分）：售后服务方案具体细致，在满足二档的基础上，对采购文件的基本要求进行了全面细化，各项措施针对采购单位需求提出，考虑到了项目实际需求、设置合理。</w:t>
            </w:r>
          </w:p>
          <w:p>
            <w:pPr>
              <w:pStyle w:val="14"/>
              <w:snapToGrid w:val="0"/>
              <w:spacing w:line="300" w:lineRule="auto"/>
              <w:jc w:val="left"/>
              <w:rPr>
                <w:rFonts w:hint="eastAsia" w:ascii="宋体" w:hAnsi="宋体" w:eastAsia="宋体" w:cs="宋体"/>
                <w:bCs/>
                <w:strike/>
                <w:color w:val="auto"/>
                <w:szCs w:val="21"/>
              </w:rPr>
            </w:pPr>
            <w:r>
              <w:rPr>
                <w:rFonts w:hint="eastAsia" w:ascii="宋体" w:hAnsi="宋体" w:eastAsia="宋体" w:cs="宋体"/>
                <w:color w:val="auto"/>
              </w:rPr>
              <w:t>四档（</w:t>
            </w:r>
            <w:r>
              <w:rPr>
                <w:rFonts w:hint="eastAsia" w:hAnsi="宋体" w:cs="宋体"/>
                <w:color w:val="auto"/>
                <w:lang w:val="en-US" w:eastAsia="zh-CN"/>
              </w:rPr>
              <w:t>12</w:t>
            </w:r>
            <w:r>
              <w:rPr>
                <w:rFonts w:hint="eastAsia" w:ascii="宋体" w:hAnsi="宋体" w:eastAsia="宋体" w:cs="宋体"/>
                <w:color w:val="auto"/>
              </w:rPr>
              <w:t>分）：在满足三档要求的情况下，售后服务方案周密详尽，售后服务承诺书条款对采购单位、采购项目的特点均有针对性，服务宗旨明确、服务方案的设计充分合理、响应机制充分满足使用需求，后续跟踪服务具体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566" w:type="dxa"/>
            <w:vMerge w:val="continue"/>
            <w:noWrap w:val="0"/>
            <w:vAlign w:val="center"/>
          </w:tcPr>
          <w:p>
            <w:pPr>
              <w:snapToGrid w:val="0"/>
              <w:spacing w:line="300" w:lineRule="auto"/>
              <w:jc w:val="center"/>
              <w:rPr>
                <w:rFonts w:hint="eastAsia" w:ascii="宋体" w:hAnsi="宋体" w:eastAsia="宋体" w:cs="宋体"/>
                <w:b/>
                <w:color w:val="auto"/>
                <w:szCs w:val="21"/>
              </w:rPr>
            </w:pPr>
          </w:p>
        </w:tc>
        <w:tc>
          <w:tcPr>
            <w:tcW w:w="1224" w:type="dxa"/>
            <w:vMerge w:val="continue"/>
            <w:noWrap w:val="0"/>
            <w:vAlign w:val="center"/>
          </w:tcPr>
          <w:p>
            <w:pPr>
              <w:snapToGrid w:val="0"/>
              <w:spacing w:line="300" w:lineRule="auto"/>
              <w:jc w:val="center"/>
              <w:rPr>
                <w:rFonts w:hint="eastAsia" w:ascii="宋体" w:hAnsi="宋体" w:eastAsia="宋体" w:cs="宋体"/>
                <w:b/>
                <w:color w:val="auto"/>
                <w:szCs w:val="21"/>
              </w:rPr>
            </w:pPr>
          </w:p>
        </w:tc>
        <w:tc>
          <w:tcPr>
            <w:tcW w:w="149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政策分</w:t>
            </w:r>
          </w:p>
          <w:p>
            <w:pPr>
              <w:keepNext w:val="0"/>
              <w:keepLines w:val="0"/>
              <w:pageBreakBefore w:val="0"/>
              <w:widowControl w:val="0"/>
              <w:kinsoku/>
              <w:wordWrap/>
              <w:overflowPunct/>
              <w:topLinePunct w:val="0"/>
              <w:autoSpaceDE/>
              <w:autoSpaceDN/>
              <w:bidi w:val="0"/>
              <w:snapToGrid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（满分</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rPr>
              <w:t>分）</w:t>
            </w:r>
          </w:p>
        </w:tc>
        <w:tc>
          <w:tcPr>
            <w:tcW w:w="6916" w:type="dxa"/>
            <w:noWrap w:val="0"/>
            <w:vAlign w:val="center"/>
          </w:tcPr>
          <w:p>
            <w:pPr>
              <w:keepNext w:val="0"/>
              <w:keepLines w:val="0"/>
              <w:pageBreakBefore w:val="0"/>
              <w:widowControl w:val="0"/>
              <w:kinsoku/>
              <w:wordWrap/>
              <w:overflowPunct/>
              <w:topLinePunct w:val="0"/>
              <w:autoSpaceDE/>
              <w:autoSpaceDN/>
              <w:bidi w:val="0"/>
              <w:snapToGrid w:val="0"/>
              <w:spacing w:line="360" w:lineRule="exact"/>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属于财政部《节能产品政府采购品目清单》内优先采购（清单内未标注“★”的品目）的产品[投标文件中提供有效的认证证书复印件及品目清单（标注出投标产品在品目清单中所属的品目），并加盖投标人公章]，</w:t>
            </w:r>
            <w:r>
              <w:rPr>
                <w:rFonts w:hint="eastAsia" w:ascii="宋体" w:hAnsi="宋体" w:eastAsia="宋体" w:cs="宋体"/>
                <w:bCs/>
                <w:color w:val="auto"/>
                <w:szCs w:val="20"/>
                <w:highlight w:val="none"/>
                <w:lang w:val="en-US" w:eastAsia="zh-CN"/>
              </w:rPr>
              <w:t>每项得</w:t>
            </w:r>
            <w:r>
              <w:rPr>
                <w:rFonts w:hint="eastAsia" w:ascii="宋体" w:hAnsi="宋体" w:eastAsia="宋体" w:cs="宋体"/>
                <w:bCs/>
                <w:color w:val="auto"/>
                <w:szCs w:val="20"/>
                <w:highlight w:val="none"/>
                <w:u w:val="single"/>
                <w:lang w:val="en-US" w:eastAsia="zh-CN"/>
              </w:rPr>
              <w:t>0.5</w:t>
            </w:r>
            <w:r>
              <w:rPr>
                <w:rFonts w:hint="eastAsia" w:ascii="宋体" w:hAnsi="宋体" w:eastAsia="宋体" w:cs="宋体"/>
                <w:bCs/>
                <w:color w:val="auto"/>
                <w:szCs w:val="20"/>
                <w:highlight w:val="none"/>
              </w:rPr>
              <w:t>分，满分</w:t>
            </w:r>
            <w:r>
              <w:rPr>
                <w:rFonts w:hint="eastAsia" w:ascii="宋体" w:hAnsi="宋体" w:eastAsia="宋体" w:cs="宋体"/>
                <w:bCs/>
                <w:color w:val="auto"/>
                <w:szCs w:val="20"/>
                <w:highlight w:val="none"/>
                <w:u w:val="single"/>
                <w:lang w:val="en-US" w:eastAsia="zh-CN"/>
              </w:rPr>
              <w:t>0.5</w:t>
            </w:r>
            <w:r>
              <w:rPr>
                <w:rFonts w:hint="eastAsia" w:ascii="宋体" w:hAnsi="宋体" w:eastAsia="宋体" w:cs="宋体"/>
                <w:bCs/>
                <w:color w:val="auto"/>
                <w:szCs w:val="20"/>
                <w:highlight w:val="none"/>
              </w:rPr>
              <w:t>分。</w:t>
            </w:r>
          </w:p>
          <w:p>
            <w:pPr>
              <w:keepNext w:val="0"/>
              <w:keepLines w:val="0"/>
              <w:pageBreakBefore w:val="0"/>
              <w:widowControl w:val="0"/>
              <w:kinsoku/>
              <w:wordWrap/>
              <w:overflowPunct/>
              <w:topLinePunct w:val="0"/>
              <w:autoSpaceDE/>
              <w:autoSpaceDN/>
              <w:bidi w:val="0"/>
              <w:snapToGrid w:val="0"/>
              <w:spacing w:line="360" w:lineRule="exact"/>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（2）属于财政部《环境标志产品政府采购品目清单》内的产品[投标文件中提供有效的认证证书复印件及品目清单（标注出投标产品在品目清单中所属的品目），并加盖投标人公章]，</w:t>
            </w:r>
            <w:r>
              <w:rPr>
                <w:rFonts w:hint="eastAsia" w:ascii="宋体" w:hAnsi="宋体" w:eastAsia="宋体" w:cs="宋体"/>
                <w:bCs/>
                <w:color w:val="auto"/>
                <w:szCs w:val="20"/>
                <w:highlight w:val="none"/>
                <w:lang w:val="en-US" w:eastAsia="zh-CN"/>
              </w:rPr>
              <w:t>每项得</w:t>
            </w:r>
            <w:r>
              <w:rPr>
                <w:rFonts w:hint="eastAsia" w:ascii="宋体" w:hAnsi="宋体" w:eastAsia="宋体" w:cs="宋体"/>
                <w:bCs/>
                <w:color w:val="auto"/>
                <w:szCs w:val="20"/>
                <w:highlight w:val="none"/>
                <w:u w:val="single"/>
                <w:lang w:val="en-US" w:eastAsia="zh-CN"/>
              </w:rPr>
              <w:t>0.5</w:t>
            </w:r>
            <w:r>
              <w:rPr>
                <w:rFonts w:hint="eastAsia" w:ascii="宋体" w:hAnsi="宋体" w:eastAsia="宋体" w:cs="宋体"/>
                <w:bCs/>
                <w:color w:val="auto"/>
                <w:szCs w:val="20"/>
                <w:highlight w:val="none"/>
              </w:rPr>
              <w:t>分，满分</w:t>
            </w:r>
            <w:r>
              <w:rPr>
                <w:rFonts w:hint="eastAsia" w:ascii="宋体" w:hAnsi="宋体" w:eastAsia="宋体" w:cs="宋体"/>
                <w:bCs/>
                <w:color w:val="auto"/>
                <w:szCs w:val="20"/>
                <w:highlight w:val="none"/>
                <w:u w:val="single"/>
                <w:lang w:val="en-US" w:eastAsia="zh-CN"/>
              </w:rPr>
              <w:t>0.5</w:t>
            </w:r>
            <w:r>
              <w:rPr>
                <w:rFonts w:hint="eastAsia" w:ascii="宋体" w:hAnsi="宋体" w:eastAsia="宋体" w:cs="宋体"/>
                <w:bCs/>
                <w:color w:val="auto"/>
                <w:szCs w:val="20"/>
                <w:highlight w:val="none"/>
              </w:rPr>
              <w:t>分；</w:t>
            </w:r>
          </w:p>
          <w:p>
            <w:pPr>
              <w:keepNext w:val="0"/>
              <w:keepLines w:val="0"/>
              <w:pageBreakBefore w:val="0"/>
              <w:widowControl w:val="0"/>
              <w:kinsoku/>
              <w:wordWrap/>
              <w:overflowPunct/>
              <w:topLinePunct w:val="0"/>
              <w:autoSpaceDE/>
              <w:autoSpaceDN/>
              <w:bidi w:val="0"/>
              <w:snapToGrid w:val="0"/>
              <w:spacing w:line="360" w:lineRule="exact"/>
              <w:rPr>
                <w:rFonts w:hint="eastAsia" w:ascii="宋体" w:hAnsi="宋体" w:eastAsia="宋体" w:cs="宋体"/>
                <w:color w:val="auto"/>
                <w:highlight w:val="none"/>
              </w:rPr>
            </w:pPr>
            <w:r>
              <w:rPr>
                <w:rFonts w:hint="eastAsia" w:ascii="宋体" w:hAnsi="宋体" w:eastAsia="宋体" w:cs="宋体"/>
                <w:bCs/>
                <w:color w:val="auto"/>
                <w:szCs w:val="20"/>
                <w:highlight w:val="none"/>
              </w:rPr>
              <w:t>（3）非节能、环境标志产品的不得分。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5" w:type="dxa"/>
            <w:gridSpan w:val="4"/>
            <w:noWrap w:val="0"/>
            <w:vAlign w:val="center"/>
          </w:tcPr>
          <w:p>
            <w:pPr>
              <w:snapToGrid w:val="0"/>
              <w:spacing w:line="300" w:lineRule="auto"/>
              <w:ind w:firstLine="420"/>
              <w:rPr>
                <w:rFonts w:hint="eastAsia" w:ascii="宋体" w:hAnsi="宋体" w:eastAsia="宋体" w:cs="宋体"/>
                <w:bCs/>
                <w:color w:val="auto"/>
                <w:szCs w:val="20"/>
              </w:rPr>
            </w:pPr>
            <w:r>
              <w:rPr>
                <w:rFonts w:hint="eastAsia" w:ascii="宋体" w:hAnsi="宋体" w:eastAsia="宋体" w:cs="宋体"/>
                <w:b/>
                <w:bCs/>
                <w:color w:val="auto"/>
                <w:szCs w:val="20"/>
              </w:rPr>
              <w:t xml:space="preserve">总得分=1+2+3 </w:t>
            </w:r>
            <w:r>
              <w:rPr>
                <w:rFonts w:hint="eastAsia" w:ascii="宋体" w:hAnsi="宋体" w:eastAsia="宋体" w:cs="宋体"/>
                <w:b/>
                <w:color w:val="auto"/>
                <w:szCs w:val="20"/>
              </w:rPr>
              <w:t xml:space="preserve">                                                        总分值：100分</w:t>
            </w:r>
          </w:p>
        </w:tc>
      </w:tr>
    </w:tbl>
    <w:p>
      <w:pPr>
        <w:jc w:val="center"/>
        <w:rPr>
          <w:b/>
          <w:bCs/>
          <w:color w:val="auto"/>
        </w:rPr>
      </w:pPr>
    </w:p>
    <w:p>
      <w:pPr>
        <w:rPr>
          <w:color w:val="auto"/>
        </w:rPr>
      </w:pPr>
      <w:r>
        <w:rPr>
          <w:rFonts w:hint="eastAsia"/>
          <w:color w:val="auto"/>
        </w:rPr>
        <w:br w:type="page"/>
      </w:r>
    </w:p>
    <w:p>
      <w:pPr>
        <w:pStyle w:val="3"/>
        <w:jc w:val="center"/>
        <w:rPr>
          <w:rFonts w:ascii="宋体" w:hAnsi="宋体" w:eastAsia="宋体" w:cs="宋体"/>
          <w:b w:val="0"/>
          <w:color w:val="auto"/>
          <w:sz w:val="30"/>
          <w:szCs w:val="30"/>
        </w:rPr>
      </w:pPr>
      <w:r>
        <w:rPr>
          <w:rFonts w:hint="eastAsia" w:ascii="宋体" w:hAnsi="宋体" w:eastAsia="宋体" w:cs="宋体"/>
          <w:b w:val="0"/>
          <w:color w:val="auto"/>
          <w:sz w:val="30"/>
          <w:szCs w:val="30"/>
        </w:rPr>
        <w:t>第四节 中标候选人推荐原则</w:t>
      </w:r>
      <w:bookmarkEnd w:id="208"/>
      <w:bookmarkEnd w:id="209"/>
      <w:bookmarkEnd w:id="210"/>
      <w:bookmarkEnd w:id="211"/>
    </w:p>
    <w:p>
      <w:pPr>
        <w:spacing w:line="360" w:lineRule="auto"/>
        <w:ind w:left="472"/>
        <w:contextualSpacing/>
        <w:rPr>
          <w:rFonts w:ascii="宋体" w:hAnsi="宋体" w:cs="宋体"/>
          <w:b/>
          <w:bCs/>
          <w:color w:val="auto"/>
          <w:sz w:val="24"/>
        </w:rPr>
      </w:pPr>
      <w:r>
        <w:rPr>
          <w:rFonts w:hint="eastAsia" w:ascii="宋体" w:hAnsi="宋体" w:cs="宋体"/>
          <w:b/>
          <w:bCs/>
          <w:color w:val="auto"/>
          <w:sz w:val="24"/>
        </w:rPr>
        <w:t>（一）综合评分法</w:t>
      </w:r>
    </w:p>
    <w:p>
      <w:pPr>
        <w:spacing w:line="360" w:lineRule="auto"/>
        <w:ind w:firstLine="420" w:firstLineChars="200"/>
        <w:rPr>
          <w:rFonts w:ascii="宋体" w:hAnsi="宋体" w:cs="宋体"/>
          <w:color w:val="auto"/>
          <w:szCs w:val="20"/>
        </w:rPr>
      </w:pPr>
      <w:r>
        <w:rPr>
          <w:rFonts w:hint="eastAsia" w:ascii="宋体" w:hAnsi="宋体" w:cs="宋体"/>
          <w:color w:val="auto"/>
          <w:szCs w:val="20"/>
        </w:rPr>
        <w:t>1.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spacing w:line="360" w:lineRule="auto"/>
        <w:ind w:firstLine="420" w:firstLineChars="200"/>
        <w:rPr>
          <w:rFonts w:ascii="宋体" w:hAnsi="宋体" w:cs="宋体"/>
          <w:color w:val="auto"/>
          <w:szCs w:val="20"/>
        </w:rPr>
      </w:pPr>
      <w:r>
        <w:rPr>
          <w:rFonts w:hint="eastAsia" w:ascii="宋体" w:hAnsi="宋体" w:cs="宋体"/>
          <w:color w:val="auto"/>
          <w:szCs w:val="20"/>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8.5条款规定推荐，确定后其他同品牌投标人不作为中标候选人。</w:t>
      </w:r>
    </w:p>
    <w:p>
      <w:pPr>
        <w:spacing w:line="360" w:lineRule="auto"/>
        <w:ind w:firstLine="482" w:firstLineChars="200"/>
        <w:rPr>
          <w:rFonts w:ascii="宋体" w:hAnsi="宋体" w:cs="宋体"/>
          <w:color w:val="auto"/>
          <w:szCs w:val="20"/>
        </w:rPr>
      </w:pPr>
      <w:r>
        <w:rPr>
          <w:rFonts w:hint="eastAsia" w:ascii="宋体" w:hAnsi="宋体" w:cs="宋体"/>
          <w:b/>
          <w:bCs/>
          <w:color w:val="auto"/>
          <w:sz w:val="24"/>
        </w:rPr>
        <w:t>（二）最低评标报价法</w:t>
      </w:r>
    </w:p>
    <w:p>
      <w:pPr>
        <w:spacing w:line="360" w:lineRule="auto"/>
        <w:ind w:firstLine="420" w:firstLineChars="200"/>
        <w:rPr>
          <w:rFonts w:ascii="宋体" w:hAnsi="宋体" w:cs="宋体"/>
          <w:color w:val="auto"/>
          <w:szCs w:val="20"/>
        </w:rPr>
      </w:pPr>
      <w:r>
        <w:rPr>
          <w:rFonts w:hint="eastAsia" w:ascii="宋体" w:hAnsi="宋体" w:cs="宋体"/>
          <w:color w:val="auto"/>
          <w:szCs w:val="20"/>
        </w:rPr>
        <w:t>1.评标委员会将按照有效评标报价从低到高顺序排列，评标报价相同的并列。投标文件满足招标文件全部实质性要求且评标报价最低的投标人为排名第一的中标候选人。</w:t>
      </w:r>
    </w:p>
    <w:p>
      <w:pPr>
        <w:spacing w:line="360" w:lineRule="auto"/>
        <w:ind w:firstLine="420" w:firstLineChars="200"/>
        <w:rPr>
          <w:rFonts w:ascii="宋体" w:hAnsi="宋体" w:cs="宋体"/>
          <w:color w:val="auto"/>
          <w:szCs w:val="20"/>
        </w:rPr>
      </w:pPr>
      <w:r>
        <w:rPr>
          <w:rFonts w:hint="eastAsia" w:ascii="宋体" w:hAnsi="宋体" w:cs="宋体"/>
          <w:color w:val="auto"/>
          <w:szCs w:val="20"/>
        </w:rPr>
        <w:t>2. 根据《政府采购货物和服务招标投标管理办法》（财政部令第87号）第三十一条第一款规定，采用最低评标价法的采购项目，提供相同品牌产品的不同投标人参加同一合同项下投标的，以其中通过资格审查、符合性审查且报价最低的参加评标；报价相同的，按照“投标人须知前附表”8.4条款的规定推荐。</w:t>
      </w:r>
    </w:p>
    <w:p>
      <w:pPr>
        <w:pStyle w:val="14"/>
        <w:spacing w:line="360" w:lineRule="auto"/>
        <w:ind w:firstLine="420" w:firstLineChars="200"/>
        <w:rPr>
          <w:rFonts w:hAnsi="宋体" w:cs="宋体"/>
          <w:color w:val="auto"/>
        </w:rPr>
      </w:pPr>
    </w:p>
    <w:p>
      <w:pPr>
        <w:pStyle w:val="14"/>
        <w:tabs>
          <w:tab w:val="left" w:pos="2472"/>
        </w:tabs>
        <w:spacing w:line="480" w:lineRule="exact"/>
        <w:ind w:firstLine="420" w:firstLineChars="200"/>
        <w:rPr>
          <w:rFonts w:hAnsi="宋体" w:cs="宋体"/>
          <w:color w:val="auto"/>
        </w:rPr>
      </w:pPr>
    </w:p>
    <w:p>
      <w:pPr>
        <w:pStyle w:val="3"/>
        <w:spacing w:line="360" w:lineRule="auto"/>
        <w:ind w:firstLine="600" w:firstLineChars="200"/>
        <w:jc w:val="center"/>
        <w:rPr>
          <w:rFonts w:ascii="宋体" w:hAnsi="宋体" w:eastAsia="宋体" w:cs="宋体"/>
          <w:b w:val="0"/>
          <w:color w:val="auto"/>
          <w:sz w:val="30"/>
          <w:szCs w:val="30"/>
        </w:rPr>
      </w:pPr>
      <w:bookmarkStart w:id="212" w:name="_Toc29998"/>
      <w:bookmarkStart w:id="213" w:name="_Toc671"/>
      <w:bookmarkStart w:id="214" w:name="_Toc8014"/>
      <w:bookmarkStart w:id="215" w:name="_Toc21738"/>
      <w:r>
        <w:rPr>
          <w:rFonts w:hint="eastAsia" w:ascii="宋体" w:hAnsi="宋体" w:eastAsia="宋体" w:cs="宋体"/>
          <w:b w:val="0"/>
          <w:color w:val="auto"/>
          <w:sz w:val="30"/>
          <w:szCs w:val="30"/>
        </w:rPr>
        <w:t>第五节 评标报告</w:t>
      </w:r>
      <w:bookmarkEnd w:id="212"/>
      <w:bookmarkEnd w:id="213"/>
      <w:bookmarkEnd w:id="214"/>
      <w:bookmarkEnd w:id="215"/>
    </w:p>
    <w:p>
      <w:pPr>
        <w:pStyle w:val="55"/>
        <w:spacing w:before="0"/>
        <w:ind w:firstLine="482"/>
        <w:rPr>
          <w:rFonts w:ascii="宋体" w:hAnsi="宋体" w:cs="宋体"/>
          <w:b/>
          <w:bCs/>
          <w:color w:val="auto"/>
          <w:szCs w:val="24"/>
        </w:rPr>
      </w:pPr>
      <w:r>
        <w:rPr>
          <w:rFonts w:hint="eastAsia" w:ascii="宋体" w:hAnsi="宋体" w:cs="宋体"/>
          <w:b/>
          <w:bCs/>
          <w:color w:val="auto"/>
          <w:szCs w:val="24"/>
        </w:rPr>
        <w:t>（一）评标报告与推荐中标候选人</w:t>
      </w:r>
    </w:p>
    <w:p>
      <w:pPr>
        <w:pStyle w:val="14"/>
        <w:tabs>
          <w:tab w:val="left" w:pos="2472"/>
        </w:tabs>
        <w:spacing w:line="360" w:lineRule="auto"/>
        <w:ind w:firstLine="420" w:firstLineChars="200"/>
        <w:rPr>
          <w:rFonts w:hAnsi="宋体" w:cs="宋体"/>
          <w:color w:val="auto"/>
        </w:rPr>
      </w:pPr>
      <w:r>
        <w:rPr>
          <w:rFonts w:hint="eastAsia" w:hAnsi="宋体" w:cs="宋体"/>
          <w:color w:val="auto"/>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（二）评标争议事项处理</w:t>
      </w:r>
    </w:p>
    <w:p>
      <w:pPr>
        <w:pStyle w:val="14"/>
        <w:tabs>
          <w:tab w:val="left" w:pos="2472"/>
        </w:tabs>
        <w:spacing w:line="360" w:lineRule="auto"/>
        <w:ind w:firstLine="420" w:firstLineChars="200"/>
        <w:rPr>
          <w:rFonts w:hAnsi="宋体" w:cs="宋体"/>
          <w:color w:val="auto"/>
        </w:rPr>
      </w:pPr>
      <w:r>
        <w:rPr>
          <w:rFonts w:hint="eastAsia" w:hAnsi="宋体" w:cs="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pPr>
        <w:pStyle w:val="14"/>
        <w:tabs>
          <w:tab w:val="left" w:pos="2472"/>
        </w:tabs>
        <w:spacing w:line="460" w:lineRule="exact"/>
        <w:jc w:val="center"/>
        <w:rPr>
          <w:rFonts w:hAnsi="宋体" w:cs="宋体"/>
          <w:b/>
          <w:color w:val="auto"/>
          <w:sz w:val="36"/>
        </w:rPr>
      </w:pPr>
      <w:r>
        <w:rPr>
          <w:rFonts w:hint="eastAsia" w:hAnsi="宋体" w:cs="宋体"/>
          <w:b/>
          <w:color w:val="auto"/>
          <w:sz w:val="36"/>
        </w:rPr>
        <w:br w:type="page"/>
      </w:r>
    </w:p>
    <w:p>
      <w:pPr>
        <w:rPr>
          <w:rFonts w:hAnsi="宋体" w:cs="宋体"/>
          <w:b/>
          <w:color w:val="auto"/>
          <w:sz w:val="36"/>
        </w:rPr>
      </w:pPr>
    </w:p>
    <w:p>
      <w:pPr>
        <w:rPr>
          <w:rFonts w:hAnsi="宋体" w:cs="宋体"/>
          <w:b/>
          <w:color w:val="auto"/>
          <w:sz w:val="36"/>
        </w:rPr>
      </w:pPr>
    </w:p>
    <w:p>
      <w:pPr>
        <w:rPr>
          <w:rFonts w:hAnsi="宋体" w:cs="宋体"/>
          <w:b/>
          <w:color w:val="auto"/>
          <w:sz w:val="36"/>
        </w:rPr>
      </w:pPr>
    </w:p>
    <w:p>
      <w:pPr>
        <w:rPr>
          <w:rFonts w:hAnsi="宋体" w:cs="宋体"/>
          <w:b/>
          <w:color w:val="auto"/>
          <w:sz w:val="36"/>
        </w:rPr>
      </w:pPr>
    </w:p>
    <w:p>
      <w:pPr>
        <w:rPr>
          <w:rFonts w:hAnsi="宋体" w:cs="宋体"/>
          <w:b/>
          <w:color w:val="auto"/>
          <w:sz w:val="36"/>
        </w:rPr>
      </w:pPr>
    </w:p>
    <w:p>
      <w:pPr>
        <w:rPr>
          <w:rFonts w:hAnsi="宋体" w:cs="宋体"/>
          <w:b/>
          <w:color w:val="auto"/>
          <w:sz w:val="36"/>
        </w:rPr>
      </w:pPr>
    </w:p>
    <w:p>
      <w:pPr>
        <w:rPr>
          <w:rFonts w:hAnsi="宋体" w:cs="宋体"/>
          <w:b/>
          <w:color w:val="auto"/>
          <w:sz w:val="36"/>
        </w:rPr>
      </w:pPr>
    </w:p>
    <w:p>
      <w:pPr>
        <w:rPr>
          <w:rFonts w:hAnsi="宋体" w:cs="宋体"/>
          <w:b/>
          <w:color w:val="auto"/>
          <w:sz w:val="36"/>
        </w:rPr>
      </w:pPr>
    </w:p>
    <w:p>
      <w:pPr>
        <w:rPr>
          <w:rFonts w:hAnsi="宋体" w:cs="宋体"/>
          <w:b/>
          <w:color w:val="auto"/>
          <w:sz w:val="36"/>
        </w:rPr>
      </w:pPr>
    </w:p>
    <w:p>
      <w:pPr>
        <w:rPr>
          <w:rFonts w:hAnsi="宋体" w:cs="宋体"/>
          <w:b/>
          <w:color w:val="auto"/>
          <w:sz w:val="36"/>
        </w:rPr>
      </w:pPr>
    </w:p>
    <w:p>
      <w:pPr>
        <w:rPr>
          <w:rFonts w:hAnsi="宋体" w:cs="宋体"/>
          <w:b/>
          <w:color w:val="auto"/>
          <w:sz w:val="36"/>
        </w:rPr>
      </w:pPr>
    </w:p>
    <w:p>
      <w:pPr>
        <w:rPr>
          <w:rFonts w:hAnsi="宋体" w:cs="宋体"/>
          <w:b/>
          <w:color w:val="auto"/>
          <w:sz w:val="36"/>
        </w:rPr>
      </w:pPr>
    </w:p>
    <w:p>
      <w:pPr>
        <w:rPr>
          <w:rFonts w:hAnsi="宋体" w:cs="宋体"/>
          <w:b/>
          <w:color w:val="auto"/>
          <w:sz w:val="36"/>
        </w:rPr>
      </w:pPr>
    </w:p>
    <w:p>
      <w:pPr>
        <w:rPr>
          <w:rFonts w:hAnsi="宋体" w:cs="宋体"/>
          <w:b/>
          <w:color w:val="auto"/>
          <w:sz w:val="36"/>
        </w:rPr>
      </w:pPr>
    </w:p>
    <w:p>
      <w:pPr>
        <w:pStyle w:val="14"/>
        <w:tabs>
          <w:tab w:val="left" w:pos="2472"/>
        </w:tabs>
        <w:spacing w:line="460" w:lineRule="exact"/>
        <w:jc w:val="center"/>
        <w:outlineLvl w:val="0"/>
        <w:rPr>
          <w:rFonts w:hAnsi="宋体" w:cs="宋体"/>
          <w:b/>
          <w:color w:val="auto"/>
          <w:sz w:val="36"/>
        </w:rPr>
      </w:pPr>
      <w:bookmarkStart w:id="216" w:name="_Toc1169"/>
      <w:bookmarkStart w:id="217" w:name="_Toc30669"/>
      <w:bookmarkStart w:id="218" w:name="_Toc5426"/>
      <w:bookmarkStart w:id="219" w:name="_Toc17443"/>
      <w:r>
        <w:rPr>
          <w:rFonts w:hint="eastAsia" w:hAnsi="宋体" w:cs="宋体"/>
          <w:b/>
          <w:color w:val="auto"/>
          <w:sz w:val="36"/>
        </w:rPr>
        <w:t>第五章 拟签订的合同文本</w:t>
      </w:r>
      <w:bookmarkEnd w:id="216"/>
      <w:bookmarkEnd w:id="217"/>
      <w:bookmarkEnd w:id="218"/>
      <w:bookmarkEnd w:id="219"/>
    </w:p>
    <w:p>
      <w:pPr>
        <w:adjustRightInd w:val="0"/>
        <w:snapToGrid w:val="0"/>
        <w:spacing w:line="360" w:lineRule="auto"/>
        <w:jc w:val="center"/>
        <w:rPr>
          <w:rFonts w:ascii="宋体" w:hAnsi="宋体" w:cs="宋体"/>
          <w:b/>
          <w:bCs/>
          <w:color w:val="auto"/>
          <w:sz w:val="32"/>
          <w:szCs w:val="32"/>
        </w:rPr>
      </w:pPr>
      <w:r>
        <w:rPr>
          <w:rFonts w:hint="eastAsia" w:ascii="宋体" w:hAnsi="宋体" w:cs="宋体"/>
          <w:bCs/>
          <w:color w:val="auto"/>
          <w:szCs w:val="20"/>
        </w:rPr>
        <w:br w:type="page"/>
      </w:r>
      <w:r>
        <w:rPr>
          <w:rFonts w:hint="eastAsia" w:ascii="宋体" w:hAnsi="宋体" w:eastAsia="宋体" w:cs="宋体"/>
          <w:b/>
          <w:bCs/>
          <w:color w:val="auto"/>
          <w:sz w:val="40"/>
          <w:szCs w:val="40"/>
        </w:rPr>
        <w:t>货物采购合同（</w:t>
      </w:r>
      <w:r>
        <w:rPr>
          <w:rFonts w:hint="eastAsia" w:ascii="宋体" w:hAnsi="宋体" w:eastAsia="宋体" w:cs="宋体"/>
          <w:b/>
          <w:bCs/>
          <w:color w:val="auto"/>
          <w:sz w:val="40"/>
          <w:szCs w:val="40"/>
          <w:lang w:val="en-US" w:eastAsia="zh-CN"/>
        </w:rPr>
        <w:t>2023</w:t>
      </w:r>
      <w:r>
        <w:rPr>
          <w:rFonts w:hint="eastAsia" w:ascii="宋体" w:hAnsi="宋体" w:eastAsia="宋体" w:cs="宋体"/>
          <w:b/>
          <w:bCs/>
          <w:color w:val="auto"/>
          <w:sz w:val="40"/>
          <w:szCs w:val="40"/>
        </w:rPr>
        <w:t>年版）</w:t>
      </w:r>
    </w:p>
    <w:p>
      <w:pPr>
        <w:spacing w:line="240" w:lineRule="auto"/>
        <w:jc w:val="both"/>
        <w:rPr>
          <w:rFonts w:hint="eastAsia" w:ascii="宋体" w:hAnsi="宋体" w:eastAsia="宋体" w:cs="Times New Roman"/>
          <w:color w:val="auto"/>
          <w:sz w:val="21"/>
          <w:szCs w:val="21"/>
          <w:lang w:eastAsia="zh-CN"/>
        </w:rPr>
      </w:pPr>
    </w:p>
    <w:p>
      <w:pPr>
        <w:tabs>
          <w:tab w:val="left" w:pos="720"/>
        </w:tabs>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合同</w:t>
      </w:r>
      <w:r>
        <w:rPr>
          <w:rFonts w:ascii="宋体" w:hAnsi="宋体" w:eastAsia="宋体" w:cs="宋体"/>
          <w:b/>
          <w:color w:val="auto"/>
          <w:sz w:val="24"/>
        </w:rPr>
        <w:t>名称：</w:t>
      </w:r>
      <w:r>
        <w:rPr>
          <w:rFonts w:hint="eastAsia" w:ascii="宋体" w:hAnsi="宋体" w:eastAsia="宋体" w:cs="宋体"/>
          <w:b/>
          <w:color w:val="auto"/>
          <w:sz w:val="24"/>
        </w:rPr>
        <w:t xml:space="preserve"> </w:t>
      </w:r>
    </w:p>
    <w:p>
      <w:pPr>
        <w:tabs>
          <w:tab w:val="left" w:pos="720"/>
        </w:tabs>
        <w:spacing w:line="360" w:lineRule="auto"/>
        <w:jc w:val="left"/>
        <w:rPr>
          <w:rFonts w:ascii="宋体" w:hAnsi="宋体" w:eastAsia="宋体" w:cs="宋体"/>
          <w:b/>
          <w:color w:val="auto"/>
          <w:sz w:val="24"/>
        </w:rPr>
      </w:pPr>
      <w:r>
        <w:rPr>
          <w:rFonts w:hint="eastAsia" w:ascii="宋体" w:hAnsi="宋体" w:eastAsia="宋体" w:cs="宋体"/>
          <w:b/>
          <w:color w:val="auto"/>
          <w:sz w:val="24"/>
          <w:lang w:eastAsia="zh-CN"/>
        </w:rPr>
        <w:t>合同编号：</w:t>
      </w:r>
      <w:r>
        <w:rPr>
          <w:rFonts w:hint="eastAsia" w:ascii="宋体" w:hAnsi="宋体" w:eastAsia="宋体" w:cs="宋体"/>
          <w:b/>
          <w:color w:val="auto"/>
          <w:sz w:val="24"/>
        </w:rPr>
        <w:t xml:space="preserve">                          </w:t>
      </w:r>
    </w:p>
    <w:p>
      <w:pPr>
        <w:tabs>
          <w:tab w:val="left" w:pos="720"/>
        </w:tabs>
        <w:spacing w:line="360" w:lineRule="auto"/>
        <w:rPr>
          <w:rFonts w:ascii="宋体" w:hAnsi="宋体" w:eastAsia="宋体" w:cs="宋体"/>
          <w:b/>
          <w:color w:val="auto"/>
          <w:sz w:val="24"/>
        </w:rPr>
      </w:pPr>
      <w:r>
        <w:rPr>
          <w:rFonts w:hint="eastAsia" w:ascii="宋体" w:hAnsi="宋体" w:eastAsia="宋体" w:cs="宋体"/>
          <w:b/>
          <w:color w:val="auto"/>
          <w:sz w:val="24"/>
        </w:rPr>
        <w:t>甲方（采购方）：</w:t>
      </w:r>
      <w:r>
        <w:rPr>
          <w:rFonts w:hint="eastAsia" w:ascii="宋体" w:hAnsi="宋体" w:eastAsia="宋体" w:cs="宋体"/>
          <w:color w:val="auto"/>
          <w:sz w:val="24"/>
        </w:rPr>
        <w:t>广西医科大学第一附属医院</w:t>
      </w:r>
    </w:p>
    <w:p>
      <w:pPr>
        <w:tabs>
          <w:tab w:val="left" w:pos="720"/>
        </w:tabs>
        <w:spacing w:line="360" w:lineRule="auto"/>
        <w:rPr>
          <w:rFonts w:hint="eastAsia" w:ascii="宋体" w:hAnsi="宋体" w:eastAsia="宋体" w:cs="宋体"/>
          <w:b/>
          <w:color w:val="auto"/>
          <w:sz w:val="24"/>
        </w:rPr>
      </w:pPr>
      <w:r>
        <w:rPr>
          <w:rFonts w:hint="eastAsia" w:ascii="宋体" w:hAnsi="宋体" w:eastAsia="宋体" w:cs="宋体"/>
          <w:b/>
          <w:color w:val="auto"/>
          <w:sz w:val="24"/>
        </w:rPr>
        <w:t>乙方（供应方）：</w:t>
      </w:r>
    </w:p>
    <w:p>
      <w:pPr>
        <w:tabs>
          <w:tab w:val="left" w:pos="720"/>
        </w:tabs>
        <w:spacing w:line="360" w:lineRule="auto"/>
        <w:rPr>
          <w:rFonts w:hint="eastAsia" w:ascii="宋体" w:hAnsi="宋体" w:eastAsia="宋体" w:cs="宋体"/>
          <w:b/>
          <w:color w:val="auto"/>
          <w:sz w:val="24"/>
          <w:lang w:eastAsia="zh-CN"/>
        </w:rPr>
      </w:pPr>
      <w:r>
        <w:rPr>
          <w:rFonts w:hint="eastAsia" w:ascii="宋体" w:hAnsi="宋体" w:eastAsia="宋体" w:cs="宋体"/>
          <w:b/>
          <w:color w:val="auto"/>
          <w:sz w:val="24"/>
          <w:lang w:eastAsia="zh-CN"/>
        </w:rPr>
        <w:t>签订地点：</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lang w:eastAsia="zh-CN"/>
        </w:rPr>
        <w:t>签订时间：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w:t>
      </w:r>
    </w:p>
    <w:p>
      <w:pPr>
        <w:tabs>
          <w:tab w:val="left" w:pos="72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法》及广西壮族自治区关于政府采购的相关文件等规范性文件的规定，按照招投标文件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采购文件规定条款和</w:t>
      </w:r>
      <w:r>
        <w:rPr>
          <w:rFonts w:hint="eastAsia" w:ascii="宋体" w:hAnsi="宋体" w:eastAsia="宋体" w:cs="宋体"/>
          <w:color w:val="auto"/>
          <w:sz w:val="24"/>
          <w:szCs w:val="24"/>
          <w:highlight w:val="none"/>
          <w:lang w:eastAsia="zh-CN"/>
        </w:rPr>
        <w:t>中标/成交</w:t>
      </w:r>
      <w:r>
        <w:rPr>
          <w:rFonts w:hint="eastAsia" w:ascii="宋体" w:hAnsi="宋体" w:eastAsia="宋体" w:cs="宋体"/>
          <w:color w:val="auto"/>
          <w:sz w:val="24"/>
          <w:szCs w:val="24"/>
          <w:highlight w:val="none"/>
        </w:rPr>
        <w:t>供应商承诺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甲乙双方签订本合同</w:t>
      </w:r>
      <w:r>
        <w:rPr>
          <w:rFonts w:hint="eastAsia" w:ascii="宋体" w:hAnsi="宋体" w:eastAsia="宋体" w:cs="宋体"/>
          <w:color w:val="auto"/>
          <w:sz w:val="24"/>
          <w:szCs w:val="24"/>
          <w:highlight w:val="none"/>
          <w:lang w:eastAsia="zh-CN"/>
        </w:rPr>
        <w:t>。</w:t>
      </w:r>
    </w:p>
    <w:p>
      <w:pPr>
        <w:numPr>
          <w:ilvl w:val="0"/>
          <w:numId w:val="0"/>
        </w:numPr>
        <w:spacing w:line="360" w:lineRule="auto"/>
        <w:ind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kern w:val="2"/>
          <w:sz w:val="24"/>
          <w:szCs w:val="24"/>
          <w:lang w:val="en-US" w:eastAsia="zh-CN" w:bidi="ar-SA"/>
        </w:rPr>
        <w:t>一、</w:t>
      </w:r>
      <w:r>
        <w:rPr>
          <w:rFonts w:hint="eastAsia" w:ascii="宋体" w:hAnsi="宋体" w:eastAsia="宋体" w:cs="Times New Roman"/>
          <w:b/>
          <w:color w:val="auto"/>
          <w:sz w:val="24"/>
          <w:szCs w:val="24"/>
        </w:rPr>
        <w:t>采购货物信息表</w:t>
      </w:r>
      <w:r>
        <w:rPr>
          <w:rFonts w:hint="eastAsia" w:ascii="宋体" w:hAnsi="宋体" w:eastAsia="宋体" w:cs="Times New Roman"/>
          <w:color w:val="auto"/>
          <w:sz w:val="24"/>
          <w:szCs w:val="24"/>
        </w:rPr>
        <w:t>：</w:t>
      </w:r>
    </w:p>
    <w:tbl>
      <w:tblPr>
        <w:tblStyle w:val="24"/>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799"/>
        <w:gridCol w:w="675"/>
        <w:gridCol w:w="1440"/>
        <w:gridCol w:w="885"/>
        <w:gridCol w:w="1335"/>
        <w:gridCol w:w="810"/>
        <w:gridCol w:w="132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9" w:type="dxa"/>
            <w:noWrap w:val="0"/>
            <w:vAlign w:val="center"/>
          </w:tcPr>
          <w:p>
            <w:pPr>
              <w:spacing w:line="360" w:lineRule="auto"/>
              <w:ind w:right="-42" w:rightChars="-2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799"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物品名称</w:t>
            </w:r>
          </w:p>
        </w:tc>
        <w:tc>
          <w:tcPr>
            <w:tcW w:w="675"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国别</w:t>
            </w:r>
          </w:p>
        </w:tc>
        <w:tc>
          <w:tcPr>
            <w:tcW w:w="1440"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生产厂家</w:t>
            </w:r>
          </w:p>
        </w:tc>
        <w:tc>
          <w:tcPr>
            <w:tcW w:w="885"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335"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810"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320"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单价(元)</w:t>
            </w:r>
          </w:p>
        </w:tc>
        <w:tc>
          <w:tcPr>
            <w:tcW w:w="1322"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kern w:val="0"/>
                <w:sz w:val="21"/>
                <w:szCs w:val="21"/>
              </w:rPr>
            </w:pPr>
          </w:p>
        </w:tc>
        <w:tc>
          <w:tcPr>
            <w:tcW w:w="179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675" w:type="dxa"/>
            <w:noWrap w:val="0"/>
            <w:vAlign w:val="center"/>
          </w:tcPr>
          <w:p>
            <w:pPr>
              <w:spacing w:line="360" w:lineRule="auto"/>
              <w:jc w:val="center"/>
              <w:rPr>
                <w:rFonts w:hint="eastAsia" w:ascii="宋体" w:hAnsi="宋体" w:eastAsia="宋体" w:cs="宋体"/>
                <w:color w:val="auto"/>
                <w:sz w:val="21"/>
                <w:szCs w:val="21"/>
              </w:rPr>
            </w:pPr>
          </w:p>
        </w:tc>
        <w:tc>
          <w:tcPr>
            <w:tcW w:w="1440" w:type="dxa"/>
            <w:noWrap w:val="0"/>
            <w:vAlign w:val="center"/>
          </w:tcPr>
          <w:p>
            <w:pPr>
              <w:spacing w:line="360" w:lineRule="auto"/>
              <w:jc w:val="center"/>
              <w:rPr>
                <w:rFonts w:hint="eastAsia" w:ascii="宋体" w:hAnsi="宋体" w:eastAsia="宋体" w:cs="宋体"/>
                <w:color w:val="auto"/>
                <w:sz w:val="21"/>
                <w:szCs w:val="21"/>
              </w:rPr>
            </w:pPr>
          </w:p>
        </w:tc>
        <w:tc>
          <w:tcPr>
            <w:tcW w:w="885" w:type="dxa"/>
            <w:noWrap w:val="0"/>
            <w:vAlign w:val="center"/>
          </w:tcPr>
          <w:p>
            <w:pPr>
              <w:spacing w:line="360" w:lineRule="auto"/>
              <w:jc w:val="center"/>
              <w:rPr>
                <w:rFonts w:hint="eastAsia" w:ascii="宋体" w:hAnsi="宋体" w:eastAsia="宋体" w:cs="宋体"/>
                <w:color w:val="auto"/>
                <w:sz w:val="21"/>
                <w:szCs w:val="21"/>
              </w:rPr>
            </w:pPr>
          </w:p>
        </w:tc>
        <w:tc>
          <w:tcPr>
            <w:tcW w:w="1335" w:type="dxa"/>
            <w:noWrap w:val="0"/>
            <w:vAlign w:val="center"/>
          </w:tcPr>
          <w:p>
            <w:pPr>
              <w:spacing w:line="360" w:lineRule="auto"/>
              <w:jc w:val="center"/>
              <w:rPr>
                <w:rFonts w:hint="eastAsia" w:ascii="宋体" w:hAnsi="宋体" w:eastAsia="宋体" w:cs="宋体"/>
                <w:color w:val="auto"/>
                <w:sz w:val="21"/>
                <w:szCs w:val="21"/>
              </w:rPr>
            </w:pPr>
          </w:p>
        </w:tc>
        <w:tc>
          <w:tcPr>
            <w:tcW w:w="810"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p>
        </w:tc>
        <w:tc>
          <w:tcPr>
            <w:tcW w:w="1320"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c>
          <w:tcPr>
            <w:tcW w:w="1322"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kern w:val="0"/>
                <w:sz w:val="21"/>
                <w:szCs w:val="21"/>
              </w:rPr>
            </w:pPr>
          </w:p>
        </w:tc>
        <w:tc>
          <w:tcPr>
            <w:tcW w:w="179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p>
        </w:tc>
        <w:tc>
          <w:tcPr>
            <w:tcW w:w="675" w:type="dxa"/>
            <w:noWrap w:val="0"/>
            <w:vAlign w:val="center"/>
          </w:tcPr>
          <w:p>
            <w:pPr>
              <w:spacing w:line="360" w:lineRule="auto"/>
              <w:jc w:val="center"/>
              <w:rPr>
                <w:rFonts w:hint="eastAsia" w:ascii="宋体" w:hAnsi="宋体" w:eastAsia="宋体" w:cs="宋体"/>
                <w:color w:val="auto"/>
                <w:sz w:val="21"/>
                <w:szCs w:val="21"/>
              </w:rPr>
            </w:pPr>
          </w:p>
        </w:tc>
        <w:tc>
          <w:tcPr>
            <w:tcW w:w="1440" w:type="dxa"/>
            <w:noWrap w:val="0"/>
            <w:vAlign w:val="center"/>
          </w:tcPr>
          <w:p>
            <w:pPr>
              <w:spacing w:line="360" w:lineRule="auto"/>
              <w:jc w:val="center"/>
              <w:rPr>
                <w:rFonts w:hint="eastAsia" w:ascii="宋体" w:hAnsi="宋体" w:eastAsia="宋体" w:cs="宋体"/>
                <w:color w:val="auto"/>
                <w:sz w:val="21"/>
                <w:szCs w:val="21"/>
              </w:rPr>
            </w:pPr>
          </w:p>
        </w:tc>
        <w:tc>
          <w:tcPr>
            <w:tcW w:w="885" w:type="dxa"/>
            <w:noWrap w:val="0"/>
            <w:vAlign w:val="center"/>
          </w:tcPr>
          <w:p>
            <w:pPr>
              <w:spacing w:line="360" w:lineRule="auto"/>
              <w:jc w:val="center"/>
              <w:rPr>
                <w:rFonts w:hint="eastAsia" w:ascii="宋体" w:hAnsi="宋体" w:eastAsia="宋体" w:cs="宋体"/>
                <w:color w:val="auto"/>
                <w:sz w:val="21"/>
                <w:szCs w:val="21"/>
              </w:rPr>
            </w:pPr>
          </w:p>
        </w:tc>
        <w:tc>
          <w:tcPr>
            <w:tcW w:w="1335" w:type="dxa"/>
            <w:noWrap w:val="0"/>
            <w:vAlign w:val="center"/>
          </w:tcPr>
          <w:p>
            <w:pPr>
              <w:spacing w:line="360" w:lineRule="auto"/>
              <w:jc w:val="center"/>
              <w:rPr>
                <w:rFonts w:hint="eastAsia" w:ascii="宋体" w:hAnsi="宋体" w:eastAsia="宋体" w:cs="宋体"/>
                <w:color w:val="auto"/>
                <w:sz w:val="21"/>
                <w:szCs w:val="21"/>
              </w:rPr>
            </w:pPr>
          </w:p>
        </w:tc>
        <w:tc>
          <w:tcPr>
            <w:tcW w:w="810"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p>
        </w:tc>
        <w:tc>
          <w:tcPr>
            <w:tcW w:w="1320"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c>
          <w:tcPr>
            <w:tcW w:w="1322"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kern w:val="0"/>
                <w:sz w:val="21"/>
                <w:szCs w:val="21"/>
              </w:rPr>
            </w:pPr>
          </w:p>
        </w:tc>
        <w:tc>
          <w:tcPr>
            <w:tcW w:w="179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p>
        </w:tc>
        <w:tc>
          <w:tcPr>
            <w:tcW w:w="675" w:type="dxa"/>
            <w:noWrap w:val="0"/>
            <w:vAlign w:val="center"/>
          </w:tcPr>
          <w:p>
            <w:pPr>
              <w:spacing w:line="360" w:lineRule="auto"/>
              <w:jc w:val="center"/>
              <w:rPr>
                <w:rFonts w:hint="eastAsia" w:ascii="宋体" w:hAnsi="宋体" w:eastAsia="宋体" w:cs="宋体"/>
                <w:color w:val="auto"/>
                <w:sz w:val="21"/>
                <w:szCs w:val="21"/>
              </w:rPr>
            </w:pPr>
          </w:p>
        </w:tc>
        <w:tc>
          <w:tcPr>
            <w:tcW w:w="1440" w:type="dxa"/>
            <w:noWrap w:val="0"/>
            <w:vAlign w:val="center"/>
          </w:tcPr>
          <w:p>
            <w:pPr>
              <w:spacing w:line="360" w:lineRule="auto"/>
              <w:jc w:val="center"/>
              <w:rPr>
                <w:rFonts w:hint="eastAsia" w:ascii="宋体" w:hAnsi="宋体" w:eastAsia="宋体" w:cs="宋体"/>
                <w:color w:val="auto"/>
                <w:sz w:val="21"/>
                <w:szCs w:val="21"/>
                <w:lang w:val="en-US" w:eastAsia="zh-CN"/>
              </w:rPr>
            </w:pPr>
          </w:p>
        </w:tc>
        <w:tc>
          <w:tcPr>
            <w:tcW w:w="885" w:type="dxa"/>
            <w:noWrap w:val="0"/>
            <w:vAlign w:val="center"/>
          </w:tcPr>
          <w:p>
            <w:pPr>
              <w:spacing w:line="360" w:lineRule="auto"/>
              <w:jc w:val="center"/>
              <w:rPr>
                <w:rFonts w:hint="eastAsia" w:ascii="宋体" w:hAnsi="宋体" w:eastAsia="宋体" w:cs="宋体"/>
                <w:color w:val="auto"/>
                <w:sz w:val="21"/>
                <w:szCs w:val="21"/>
              </w:rPr>
            </w:pPr>
          </w:p>
        </w:tc>
        <w:tc>
          <w:tcPr>
            <w:tcW w:w="1335" w:type="dxa"/>
            <w:noWrap w:val="0"/>
            <w:vAlign w:val="center"/>
          </w:tcPr>
          <w:p>
            <w:pPr>
              <w:spacing w:line="360" w:lineRule="auto"/>
              <w:jc w:val="center"/>
              <w:rPr>
                <w:rFonts w:hint="eastAsia" w:ascii="宋体" w:hAnsi="宋体" w:eastAsia="宋体" w:cs="宋体"/>
                <w:color w:val="auto"/>
                <w:sz w:val="21"/>
                <w:szCs w:val="21"/>
              </w:rPr>
            </w:pPr>
          </w:p>
        </w:tc>
        <w:tc>
          <w:tcPr>
            <w:tcW w:w="810"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p>
        </w:tc>
        <w:tc>
          <w:tcPr>
            <w:tcW w:w="1320"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c>
          <w:tcPr>
            <w:tcW w:w="1322"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kern w:val="0"/>
                <w:sz w:val="21"/>
                <w:szCs w:val="21"/>
              </w:rPr>
            </w:pPr>
          </w:p>
        </w:tc>
        <w:tc>
          <w:tcPr>
            <w:tcW w:w="179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p>
        </w:tc>
        <w:tc>
          <w:tcPr>
            <w:tcW w:w="675" w:type="dxa"/>
            <w:noWrap w:val="0"/>
            <w:vAlign w:val="center"/>
          </w:tcPr>
          <w:p>
            <w:pPr>
              <w:spacing w:line="360" w:lineRule="auto"/>
              <w:jc w:val="center"/>
              <w:rPr>
                <w:rFonts w:hint="eastAsia" w:ascii="宋体" w:hAnsi="宋体" w:eastAsia="宋体" w:cs="宋体"/>
                <w:color w:val="auto"/>
                <w:sz w:val="21"/>
                <w:szCs w:val="21"/>
              </w:rPr>
            </w:pPr>
          </w:p>
        </w:tc>
        <w:tc>
          <w:tcPr>
            <w:tcW w:w="1440" w:type="dxa"/>
            <w:noWrap w:val="0"/>
            <w:vAlign w:val="center"/>
          </w:tcPr>
          <w:p>
            <w:pPr>
              <w:widowControl/>
              <w:spacing w:line="360" w:lineRule="auto"/>
              <w:jc w:val="center"/>
              <w:rPr>
                <w:rFonts w:hint="eastAsia" w:ascii="宋体" w:hAnsi="宋体" w:eastAsia="宋体" w:cs="宋体"/>
                <w:b/>
                <w:bCs/>
                <w:color w:val="auto"/>
                <w:sz w:val="21"/>
                <w:szCs w:val="21"/>
              </w:rPr>
            </w:pPr>
          </w:p>
        </w:tc>
        <w:tc>
          <w:tcPr>
            <w:tcW w:w="885" w:type="dxa"/>
            <w:noWrap w:val="0"/>
            <w:vAlign w:val="center"/>
          </w:tcPr>
          <w:p>
            <w:pPr>
              <w:spacing w:line="360" w:lineRule="auto"/>
              <w:jc w:val="center"/>
              <w:rPr>
                <w:rFonts w:hint="eastAsia" w:ascii="宋体" w:hAnsi="宋体" w:eastAsia="宋体" w:cs="宋体"/>
                <w:color w:val="auto"/>
                <w:sz w:val="21"/>
                <w:szCs w:val="21"/>
              </w:rPr>
            </w:pPr>
          </w:p>
        </w:tc>
        <w:tc>
          <w:tcPr>
            <w:tcW w:w="1335" w:type="dxa"/>
            <w:noWrap w:val="0"/>
            <w:vAlign w:val="center"/>
          </w:tcPr>
          <w:p>
            <w:pPr>
              <w:widowControl/>
              <w:spacing w:line="360" w:lineRule="auto"/>
              <w:jc w:val="center"/>
              <w:rPr>
                <w:rFonts w:hint="eastAsia" w:ascii="宋体" w:hAnsi="宋体" w:eastAsia="宋体" w:cs="宋体"/>
                <w:color w:val="auto"/>
                <w:sz w:val="21"/>
                <w:szCs w:val="21"/>
              </w:rPr>
            </w:pPr>
          </w:p>
        </w:tc>
        <w:tc>
          <w:tcPr>
            <w:tcW w:w="810"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p>
        </w:tc>
        <w:tc>
          <w:tcPr>
            <w:tcW w:w="1320"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c>
          <w:tcPr>
            <w:tcW w:w="1322"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kern w:val="0"/>
                <w:sz w:val="21"/>
                <w:szCs w:val="21"/>
              </w:rPr>
            </w:pPr>
          </w:p>
        </w:tc>
        <w:tc>
          <w:tcPr>
            <w:tcW w:w="179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p>
        </w:tc>
        <w:tc>
          <w:tcPr>
            <w:tcW w:w="675" w:type="dxa"/>
            <w:noWrap w:val="0"/>
            <w:vAlign w:val="center"/>
          </w:tcPr>
          <w:p>
            <w:pPr>
              <w:spacing w:line="360" w:lineRule="auto"/>
              <w:jc w:val="center"/>
              <w:rPr>
                <w:rFonts w:hint="eastAsia" w:ascii="宋体" w:hAnsi="宋体" w:eastAsia="宋体" w:cs="宋体"/>
                <w:color w:val="auto"/>
                <w:sz w:val="21"/>
                <w:szCs w:val="21"/>
              </w:rPr>
            </w:pPr>
          </w:p>
        </w:tc>
        <w:tc>
          <w:tcPr>
            <w:tcW w:w="1440" w:type="dxa"/>
            <w:noWrap w:val="0"/>
            <w:vAlign w:val="center"/>
          </w:tcPr>
          <w:p>
            <w:pPr>
              <w:widowControl/>
              <w:spacing w:line="360" w:lineRule="auto"/>
              <w:jc w:val="center"/>
              <w:rPr>
                <w:rFonts w:hint="eastAsia" w:ascii="宋体" w:hAnsi="宋体" w:eastAsia="宋体" w:cs="宋体"/>
                <w:color w:val="auto"/>
                <w:sz w:val="21"/>
                <w:szCs w:val="21"/>
              </w:rPr>
            </w:pPr>
          </w:p>
        </w:tc>
        <w:tc>
          <w:tcPr>
            <w:tcW w:w="885" w:type="dxa"/>
            <w:noWrap w:val="0"/>
            <w:vAlign w:val="center"/>
          </w:tcPr>
          <w:p>
            <w:pPr>
              <w:spacing w:line="360" w:lineRule="auto"/>
              <w:jc w:val="center"/>
              <w:rPr>
                <w:rFonts w:hint="eastAsia" w:ascii="宋体" w:hAnsi="宋体" w:eastAsia="宋体" w:cs="宋体"/>
                <w:color w:val="auto"/>
                <w:sz w:val="21"/>
                <w:szCs w:val="21"/>
              </w:rPr>
            </w:pPr>
          </w:p>
        </w:tc>
        <w:tc>
          <w:tcPr>
            <w:tcW w:w="1335" w:type="dxa"/>
            <w:noWrap w:val="0"/>
            <w:vAlign w:val="center"/>
          </w:tcPr>
          <w:p>
            <w:pPr>
              <w:widowControl/>
              <w:spacing w:line="360" w:lineRule="auto"/>
              <w:jc w:val="center"/>
              <w:rPr>
                <w:rFonts w:hint="eastAsia" w:ascii="宋体" w:hAnsi="宋体" w:eastAsia="宋体" w:cs="宋体"/>
                <w:color w:val="auto"/>
                <w:sz w:val="21"/>
                <w:szCs w:val="21"/>
              </w:rPr>
            </w:pPr>
          </w:p>
        </w:tc>
        <w:tc>
          <w:tcPr>
            <w:tcW w:w="810"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p>
        </w:tc>
        <w:tc>
          <w:tcPr>
            <w:tcW w:w="1320"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c>
          <w:tcPr>
            <w:tcW w:w="1322"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kern w:val="0"/>
                <w:sz w:val="21"/>
                <w:szCs w:val="21"/>
              </w:rPr>
            </w:pPr>
          </w:p>
        </w:tc>
        <w:tc>
          <w:tcPr>
            <w:tcW w:w="1799"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p>
        </w:tc>
        <w:tc>
          <w:tcPr>
            <w:tcW w:w="675" w:type="dxa"/>
            <w:noWrap w:val="0"/>
            <w:vAlign w:val="center"/>
          </w:tcPr>
          <w:p>
            <w:pPr>
              <w:spacing w:line="360" w:lineRule="auto"/>
              <w:jc w:val="center"/>
              <w:rPr>
                <w:rFonts w:hint="eastAsia" w:ascii="宋体" w:hAnsi="宋体" w:eastAsia="宋体" w:cs="宋体"/>
                <w:color w:val="auto"/>
                <w:sz w:val="21"/>
                <w:szCs w:val="21"/>
              </w:rPr>
            </w:pPr>
          </w:p>
        </w:tc>
        <w:tc>
          <w:tcPr>
            <w:tcW w:w="1440" w:type="dxa"/>
            <w:noWrap w:val="0"/>
            <w:vAlign w:val="center"/>
          </w:tcPr>
          <w:p>
            <w:pPr>
              <w:widowControl/>
              <w:spacing w:line="360" w:lineRule="auto"/>
              <w:jc w:val="center"/>
              <w:rPr>
                <w:rFonts w:hint="eastAsia" w:ascii="宋体" w:hAnsi="宋体" w:eastAsia="宋体" w:cs="宋体"/>
                <w:color w:val="auto"/>
                <w:sz w:val="21"/>
                <w:szCs w:val="21"/>
              </w:rPr>
            </w:pPr>
          </w:p>
        </w:tc>
        <w:tc>
          <w:tcPr>
            <w:tcW w:w="885" w:type="dxa"/>
            <w:noWrap w:val="0"/>
            <w:vAlign w:val="center"/>
          </w:tcPr>
          <w:p>
            <w:pPr>
              <w:spacing w:line="360" w:lineRule="auto"/>
              <w:jc w:val="center"/>
              <w:rPr>
                <w:rFonts w:hint="eastAsia" w:ascii="宋体" w:hAnsi="宋体" w:eastAsia="宋体" w:cs="宋体"/>
                <w:color w:val="auto"/>
                <w:sz w:val="21"/>
                <w:szCs w:val="21"/>
              </w:rPr>
            </w:pPr>
          </w:p>
        </w:tc>
        <w:tc>
          <w:tcPr>
            <w:tcW w:w="1335" w:type="dxa"/>
            <w:noWrap w:val="0"/>
            <w:vAlign w:val="center"/>
          </w:tcPr>
          <w:p>
            <w:pPr>
              <w:widowControl/>
              <w:spacing w:line="360" w:lineRule="auto"/>
              <w:jc w:val="center"/>
              <w:rPr>
                <w:rFonts w:hint="eastAsia" w:ascii="宋体" w:hAnsi="宋体" w:eastAsia="宋体" w:cs="宋体"/>
                <w:color w:val="auto"/>
                <w:sz w:val="21"/>
                <w:szCs w:val="21"/>
                <w:lang w:val="en-US" w:eastAsia="zh-CN"/>
              </w:rPr>
            </w:pPr>
          </w:p>
        </w:tc>
        <w:tc>
          <w:tcPr>
            <w:tcW w:w="810" w:type="dxa"/>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right="0" w:rightChars="0" w:firstLine="0" w:firstLineChars="0"/>
              <w:jc w:val="center"/>
              <w:textAlignment w:val="center"/>
              <w:rPr>
                <w:rFonts w:hint="eastAsia" w:ascii="宋体" w:hAnsi="宋体" w:eastAsia="宋体" w:cs="宋体"/>
                <w:color w:val="auto"/>
                <w:sz w:val="21"/>
                <w:szCs w:val="21"/>
              </w:rPr>
            </w:pPr>
          </w:p>
        </w:tc>
        <w:tc>
          <w:tcPr>
            <w:tcW w:w="1320"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c>
          <w:tcPr>
            <w:tcW w:w="1322"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9"/>
            <w:noWrap w:val="0"/>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Times New Roman"/>
                <w:color w:val="auto"/>
                <w:sz w:val="24"/>
                <w:szCs w:val="24"/>
              </w:rPr>
              <w:t xml:space="preserve">合同合计金额（含税价）：人民币 </w:t>
            </w:r>
            <w:r>
              <w:rPr>
                <w:rFonts w:ascii="宋体" w:hAnsi="宋体" w:eastAsia="宋体" w:cs="Times New Roman"/>
                <w:color w:val="auto"/>
                <w:sz w:val="24"/>
                <w:szCs w:val="24"/>
              </w:rPr>
              <w:t xml:space="preserve">           </w:t>
            </w:r>
            <w:r>
              <w:rPr>
                <w:rFonts w:hint="eastAsia" w:ascii="宋体" w:hAnsi="宋体" w:eastAsia="宋体" w:cs="Times New Roman"/>
                <w:bCs/>
                <w:color w:val="auto"/>
                <w:sz w:val="24"/>
                <w:szCs w:val="24"/>
              </w:rPr>
              <w:t>整</w:t>
            </w:r>
            <w:r>
              <w:rPr>
                <w:rFonts w:hint="eastAsia" w:ascii="宋体" w:hAnsi="宋体" w:eastAsia="宋体" w:cs="Times New Roman"/>
                <w:color w:val="auto"/>
                <w:sz w:val="24"/>
                <w:szCs w:val="24"/>
              </w:rPr>
              <w:t>（</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9"/>
            <w:noWrap w:val="0"/>
            <w:vAlign w:val="center"/>
          </w:tcPr>
          <w:p>
            <w:pPr>
              <w:spacing w:line="360" w:lineRule="auto"/>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备注：合同合计金额包括但不限于：设备（材料）采购运输及安装（施工）、调试、验收、技术指导、售后服务费，技术规范中特别要求的或出厂标准供应的备品备件（备品备件费）、拆装特殊工具（工具费）和易损件、包装固定费、运输费、运输保险费、税收在内的直至系统运行交付使用的一切全部费用。如招投标文件</w:t>
            </w:r>
            <w:r>
              <w:rPr>
                <w:rFonts w:hint="eastAsia"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eastAsia="zh-CN"/>
              </w:rPr>
              <w:t>采购文件</w:t>
            </w:r>
            <w:r>
              <w:rPr>
                <w:rFonts w:hint="eastAsia" w:ascii="宋体" w:hAnsi="宋体" w:eastAsia="宋体" w:cs="Times New Roman"/>
                <w:color w:val="auto"/>
                <w:sz w:val="24"/>
                <w:szCs w:val="24"/>
              </w:rPr>
              <w:t>对其另有规定的，从其规定。</w:t>
            </w:r>
          </w:p>
        </w:tc>
      </w:tr>
    </w:tbl>
    <w:p>
      <w:pPr>
        <w:numPr>
          <w:ilvl w:val="0"/>
          <w:numId w:val="0"/>
        </w:numPr>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二、货物品质及特性</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1、货物配置、附件清单及货物生产厂商提供的标准同属本合同组成部分，具有同等法律效力。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2、货物质量及技术要求</w:t>
      </w:r>
      <w:r>
        <w:rPr>
          <w:rFonts w:hint="eastAsia" w:ascii="宋体" w:hAnsi="宋体" w:eastAsia="宋体" w:cs="宋体"/>
          <w:color w:val="auto"/>
          <w:sz w:val="24"/>
          <w:szCs w:val="24"/>
          <w:lang w:val="en-US" w:eastAsia="zh-CN"/>
        </w:rPr>
        <w:t>应符合</w:t>
      </w:r>
      <w:r>
        <w:rPr>
          <w:rFonts w:hint="eastAsia" w:ascii="宋体" w:hAnsi="宋体" w:eastAsia="宋体" w:cs="宋体"/>
          <w:color w:val="auto"/>
          <w:sz w:val="24"/>
          <w:szCs w:val="24"/>
        </w:rPr>
        <w:t>按</w:t>
      </w:r>
      <w:r>
        <w:rPr>
          <w:rFonts w:hint="eastAsia" w:ascii="宋体" w:hAnsi="宋体" w:eastAsia="宋体" w:cs="宋体"/>
          <w:color w:val="auto"/>
          <w:sz w:val="24"/>
          <w:szCs w:val="24"/>
          <w:lang w:val="en-US" w:eastAsia="zh-CN"/>
        </w:rPr>
        <w:t>国家、行业及生产厂家</w:t>
      </w:r>
      <w:r>
        <w:rPr>
          <w:rFonts w:hint="eastAsia" w:ascii="宋体" w:hAnsi="宋体" w:eastAsia="宋体" w:cs="宋体"/>
          <w:color w:val="auto"/>
          <w:sz w:val="24"/>
          <w:szCs w:val="24"/>
        </w:rPr>
        <w:t>的标准。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3、保修及维修日期、标准按货物生产商提供标准。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、乙方所提供的货物型号、技术规格、技术参数等质量必须与招投标文件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和承诺相一致。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、乙方所提供的货物必须是全新、未使用过的且符合国家安全质量标准的原装的合格产品，且在正常安装、使用和保养条件下，其使用寿命期内各项指标均达到质量要求。</w:t>
      </w:r>
    </w:p>
    <w:p>
      <w:pPr>
        <w:numPr>
          <w:ilvl w:val="0"/>
          <w:numId w:val="0"/>
        </w:numPr>
        <w:spacing w:line="360" w:lineRule="auto"/>
        <w:ind w:firstLine="482" w:firstLineChars="200"/>
        <w:jc w:val="left"/>
        <w:rPr>
          <w:rFonts w:ascii="宋体" w:hAnsi="宋体" w:eastAsia="宋体" w:cs="Times New Roman"/>
          <w:b/>
          <w:color w:val="auto"/>
          <w:sz w:val="24"/>
          <w:szCs w:val="24"/>
          <w:u w:val="single"/>
        </w:rPr>
      </w:pPr>
      <w:r>
        <w:rPr>
          <w:rFonts w:hint="eastAsia" w:ascii="宋体" w:hAnsi="宋体" w:eastAsia="宋体" w:cs="宋体"/>
          <w:b/>
          <w:color w:val="auto"/>
          <w:sz w:val="24"/>
          <w:szCs w:val="24"/>
        </w:rPr>
        <w:t>三、</w:t>
      </w:r>
      <w:r>
        <w:rPr>
          <w:rFonts w:hint="eastAsia" w:ascii="宋体" w:hAnsi="宋体" w:eastAsia="宋体" w:cs="宋体"/>
          <w:b/>
          <w:bCs/>
          <w:color w:val="auto"/>
          <w:kern w:val="0"/>
          <w:sz w:val="24"/>
          <w:szCs w:val="24"/>
        </w:rPr>
        <w:t>运输到货安排及验收</w:t>
      </w:r>
    </w:p>
    <w:p>
      <w:pPr>
        <w:spacing w:line="440" w:lineRule="atLeast"/>
        <w:ind w:firstLine="480" w:firstLineChars="200"/>
        <w:rPr>
          <w:rFonts w:ascii="宋体" w:hAnsi="宋体" w:eastAsia="宋体" w:cs="Times New Roman"/>
          <w:color w:val="auto"/>
          <w:sz w:val="24"/>
          <w:szCs w:val="24"/>
        </w:rPr>
      </w:pPr>
      <w:r>
        <w:rPr>
          <w:rFonts w:hint="eastAsia" w:ascii="宋体" w:hAnsi="宋体" w:eastAsia="宋体" w:cs="宋体"/>
          <w:bCs/>
          <w:color w:val="auto"/>
          <w:kern w:val="0"/>
          <w:sz w:val="24"/>
          <w:szCs w:val="24"/>
        </w:rPr>
        <w:t>1、甲方指定交货地点为</w:t>
      </w:r>
      <w:r>
        <w:rPr>
          <w:rFonts w:hint="eastAsia" w:ascii="宋体" w:hAnsi="宋体" w:eastAsia="宋体" w:cs="Times New Roman"/>
          <w:b/>
          <w:color w:val="auto"/>
          <w:sz w:val="24"/>
          <w:szCs w:val="24"/>
          <w:u w:val="single"/>
        </w:rPr>
        <w:t xml:space="preserve">   </w:t>
      </w:r>
      <w:r>
        <w:rPr>
          <w:rFonts w:ascii="宋体" w:hAnsi="宋体" w:eastAsia="宋体" w:cs="Times New Roman"/>
          <w:b/>
          <w:color w:val="auto"/>
          <w:sz w:val="24"/>
          <w:szCs w:val="24"/>
          <w:u w:val="single"/>
        </w:rPr>
        <w:t xml:space="preserve">         </w:t>
      </w:r>
      <w:r>
        <w:rPr>
          <w:rFonts w:hint="eastAsia" w:ascii="宋体" w:hAnsi="宋体" w:eastAsia="宋体" w:cs="Times New Roman"/>
          <w:b/>
          <w:color w:val="auto"/>
          <w:sz w:val="24"/>
          <w:szCs w:val="24"/>
          <w:u w:val="single"/>
        </w:rPr>
        <w:t xml:space="preserve">   </w:t>
      </w:r>
      <w:r>
        <w:rPr>
          <w:rFonts w:hint="eastAsia" w:ascii="宋体" w:hAnsi="宋体" w:eastAsia="宋体" w:cs="Times New Roman"/>
          <w:color w:val="auto"/>
          <w:sz w:val="24"/>
          <w:szCs w:val="24"/>
        </w:rPr>
        <w:t>，甲方指定接货人为</w:t>
      </w:r>
      <w:r>
        <w:rPr>
          <w:rFonts w:hint="eastAsia" w:ascii="宋体" w:hAnsi="宋体" w:eastAsia="宋体" w:cs="Times New Roman"/>
          <w:b/>
          <w:color w:val="auto"/>
          <w:sz w:val="24"/>
          <w:szCs w:val="24"/>
          <w:u w:val="single"/>
        </w:rPr>
        <w:t xml:space="preserve">   </w:t>
      </w:r>
      <w:r>
        <w:rPr>
          <w:rFonts w:ascii="宋体" w:hAnsi="宋体" w:eastAsia="宋体" w:cs="Times New Roman"/>
          <w:b/>
          <w:color w:val="auto"/>
          <w:sz w:val="24"/>
          <w:szCs w:val="24"/>
          <w:u w:val="single"/>
        </w:rPr>
        <w:t xml:space="preserve">    </w:t>
      </w:r>
      <w:r>
        <w:rPr>
          <w:rFonts w:hint="eastAsia" w:ascii="宋体" w:hAnsi="宋体" w:eastAsia="宋体" w:cs="Times New Roman"/>
          <w:b/>
          <w:color w:val="auto"/>
          <w:sz w:val="24"/>
          <w:szCs w:val="24"/>
          <w:u w:val="single"/>
        </w:rPr>
        <w:t xml:space="preserve">  </w:t>
      </w:r>
      <w:r>
        <w:rPr>
          <w:rFonts w:hint="eastAsia" w:ascii="宋体" w:hAnsi="宋体" w:eastAsia="宋体" w:cs="Times New Roman"/>
          <w:color w:val="auto"/>
          <w:sz w:val="24"/>
          <w:szCs w:val="24"/>
        </w:rPr>
        <w:t>，联系方式：</w:t>
      </w:r>
      <w:r>
        <w:rPr>
          <w:rFonts w:hint="eastAsia" w:ascii="宋体" w:hAnsi="宋体" w:eastAsia="宋体" w:cs="Times New Roman"/>
          <w:b/>
          <w:color w:val="auto"/>
          <w:sz w:val="24"/>
          <w:szCs w:val="24"/>
          <w:u w:val="single"/>
        </w:rPr>
        <w:t xml:space="preserve">  </w:t>
      </w:r>
      <w:r>
        <w:rPr>
          <w:rFonts w:ascii="宋体" w:hAnsi="宋体" w:eastAsia="宋体" w:cs="Times New Roman"/>
          <w:b/>
          <w:color w:val="auto"/>
          <w:sz w:val="24"/>
          <w:szCs w:val="24"/>
          <w:u w:val="single"/>
        </w:rPr>
        <w:t xml:space="preserve">        </w:t>
      </w:r>
      <w:r>
        <w:rPr>
          <w:rFonts w:hint="eastAsia" w:ascii="宋体" w:hAnsi="宋体" w:eastAsia="宋体" w:cs="Times New Roman"/>
          <w:b/>
          <w:color w:val="auto"/>
          <w:sz w:val="24"/>
          <w:szCs w:val="24"/>
          <w:u w:val="single"/>
        </w:rPr>
        <w:t xml:space="preserve">    </w:t>
      </w:r>
      <w:r>
        <w:rPr>
          <w:rFonts w:hint="eastAsia" w:ascii="宋体" w:hAnsi="宋体" w:eastAsia="宋体" w:cs="Times New Roman"/>
          <w:color w:val="auto"/>
          <w:sz w:val="24"/>
          <w:szCs w:val="24"/>
        </w:rPr>
        <w:t>。甲方如要求变更交货地点或接货人的，应在合同约定的交货期限届满前</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u w:val="single"/>
        </w:rPr>
        <w:t>2</w:t>
      </w:r>
      <w:r>
        <w:rPr>
          <w:rFonts w:hint="eastAsia" w:ascii="宋体" w:hAnsi="宋体" w:eastAsia="宋体" w:cs="Times New Roman"/>
          <w:color w:val="auto"/>
          <w:sz w:val="24"/>
          <w:szCs w:val="24"/>
        </w:rPr>
        <w:t>天通知乙方。</w:t>
      </w:r>
    </w:p>
    <w:p>
      <w:pPr>
        <w:widowControl/>
        <w:wordWrap w:val="0"/>
        <w:spacing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bCs/>
          <w:color w:val="auto"/>
          <w:kern w:val="0"/>
          <w:sz w:val="24"/>
          <w:szCs w:val="24"/>
        </w:rPr>
        <w:t>2、</w:t>
      </w:r>
      <w:r>
        <w:rPr>
          <w:rFonts w:hint="eastAsia" w:ascii="宋体" w:hAnsi="宋体" w:eastAsia="宋体" w:cs="宋体"/>
          <w:color w:val="auto"/>
          <w:sz w:val="24"/>
          <w:szCs w:val="24"/>
        </w:rPr>
        <w:t>乙方需通知甲方货物已送达</w:t>
      </w:r>
      <w:r>
        <w:rPr>
          <w:rFonts w:hint="eastAsia" w:ascii="宋体" w:hAnsi="宋体" w:eastAsia="宋体" w:cs="宋体"/>
          <w:color w:val="auto"/>
          <w:sz w:val="24"/>
          <w:szCs w:val="24"/>
          <w:lang w:val="en-US" w:eastAsia="zh-Hans"/>
        </w:rPr>
        <w:t>时间</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甲方在设备运抵指定交货地点、经核对无误后应向乙方出具列明交货符合或不符的项目。</w:t>
      </w:r>
    </w:p>
    <w:p>
      <w:pPr>
        <w:wordWrap w:val="0"/>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3、交货期：</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乙方在本合同签订之日起</w:t>
      </w:r>
      <w:r>
        <w:rPr>
          <w:rFonts w:hint="eastAsia" w:ascii="宋体" w:hAnsi="宋体" w:cs="Times New Roman"/>
          <w:color w:val="auto"/>
          <w:sz w:val="24"/>
          <w:szCs w:val="24"/>
          <w:u w:val="single"/>
          <w:lang w:val="en-US" w:eastAsia="zh-CN"/>
        </w:rPr>
        <w:t>60</w:t>
      </w:r>
      <w:r>
        <w:rPr>
          <w:rFonts w:hint="eastAsia" w:ascii="宋体" w:hAnsi="宋体" w:cs="宋体"/>
          <w:color w:val="auto"/>
          <w:kern w:val="0"/>
          <w:sz w:val="24"/>
          <w:szCs w:val="24"/>
          <w:lang w:eastAsia="zh-CN"/>
        </w:rPr>
        <w:t>日历日</w:t>
      </w:r>
      <w:r>
        <w:rPr>
          <w:rFonts w:hint="eastAsia" w:ascii="宋体" w:hAnsi="宋体" w:eastAsia="宋体" w:cs="宋体"/>
          <w:color w:val="auto"/>
          <w:kern w:val="0"/>
          <w:sz w:val="24"/>
          <w:szCs w:val="24"/>
        </w:rPr>
        <w:t>内将货物运至交货地点</w:t>
      </w:r>
      <w:r>
        <w:rPr>
          <w:rFonts w:hint="eastAsia" w:ascii="宋体" w:hAnsi="宋体" w:eastAsia="宋体" w:cs="宋体"/>
          <w:color w:val="auto"/>
          <w:sz w:val="24"/>
          <w:szCs w:val="24"/>
          <w:highlight w:val="none"/>
          <w:u w:val="none"/>
          <w:lang w:eastAsia="zh-Hans"/>
        </w:rPr>
        <w:t>。</w:t>
      </w:r>
      <w:r>
        <w:rPr>
          <w:rFonts w:hint="eastAsia" w:ascii="宋体" w:hAnsi="宋体" w:eastAsia="宋体" w:cs="宋体"/>
          <w:color w:val="auto"/>
          <w:sz w:val="24"/>
          <w:szCs w:val="24"/>
        </w:rPr>
        <w:t>乙方应将所提供货物的装箱清单、质量检验证明书、用户手册、原厂保修卡、随机资料、工具和备品、备件等附于货物内交付给甲方，如有缺失应及时补齐，否则视为逾期交货。</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lang w:val="en-US" w:eastAsia="zh-Hans"/>
        </w:rPr>
        <w:t>乙方应于货物送至交货地点之日起</w:t>
      </w:r>
      <w:r>
        <w:rPr>
          <w:rFonts w:hint="eastAsia" w:ascii="宋体" w:hAnsi="宋体" w:eastAsia="宋体" w:cs="宋体"/>
          <w:color w:val="auto"/>
          <w:sz w:val="24"/>
          <w:szCs w:val="24"/>
          <w:highlight w:val="none"/>
          <w:u w:val="single"/>
          <w:lang w:val="en-US" w:eastAsia="zh-CN"/>
        </w:rPr>
        <w:t>30日历日</w:t>
      </w:r>
      <w:r>
        <w:rPr>
          <w:rFonts w:hint="eastAsia" w:ascii="宋体" w:hAnsi="宋体" w:eastAsia="宋体" w:cs="宋体"/>
          <w:color w:val="auto"/>
          <w:sz w:val="24"/>
          <w:szCs w:val="24"/>
          <w:highlight w:val="none"/>
          <w:u w:val="single"/>
          <w:lang w:val="en-US" w:eastAsia="zh-Hans"/>
        </w:rPr>
        <w:t>完成</w:t>
      </w:r>
      <w:r>
        <w:rPr>
          <w:rFonts w:hint="eastAsia" w:ascii="宋体" w:hAnsi="宋体" w:eastAsia="宋体" w:cs="宋体"/>
          <w:color w:val="auto"/>
          <w:sz w:val="24"/>
          <w:szCs w:val="24"/>
          <w:highlight w:val="none"/>
          <w:u w:val="single"/>
          <w:lang w:eastAsia="zh-CN"/>
        </w:rPr>
        <w:t>安装调试完毕且通过验收。若为进口、软件服务、大型、复杂或技术性强的设备，可</w:t>
      </w:r>
      <w:r>
        <w:rPr>
          <w:rFonts w:hint="eastAsia" w:ascii="宋体" w:hAnsi="宋体" w:eastAsia="宋体" w:cs="宋体"/>
          <w:color w:val="auto"/>
          <w:sz w:val="24"/>
          <w:szCs w:val="24"/>
          <w:highlight w:val="none"/>
          <w:u w:val="single"/>
          <w:lang w:val="en-US" w:eastAsia="zh-CN"/>
        </w:rPr>
        <w:t>在甲方组建的验收小组同意的情况下，</w:t>
      </w:r>
      <w:r>
        <w:rPr>
          <w:rFonts w:hint="eastAsia" w:ascii="宋体" w:hAnsi="宋体" w:eastAsia="宋体" w:cs="宋体"/>
          <w:color w:val="auto"/>
          <w:sz w:val="24"/>
          <w:szCs w:val="24"/>
          <w:highlight w:val="none"/>
          <w:u w:val="single"/>
          <w:lang w:eastAsia="zh-CN"/>
        </w:rPr>
        <w:t>依情况延长至180日历日</w:t>
      </w:r>
      <w:r>
        <w:rPr>
          <w:rFonts w:hint="eastAsia" w:ascii="宋体" w:hAnsi="宋体" w:eastAsia="宋体" w:cs="宋体"/>
          <w:color w:val="auto"/>
          <w:sz w:val="24"/>
          <w:szCs w:val="24"/>
        </w:rPr>
        <w:t>。</w:t>
      </w:r>
    </w:p>
    <w:p>
      <w:pPr>
        <w:widowControl/>
        <w:spacing w:line="440" w:lineRule="atLeast"/>
        <w:ind w:firstLine="480" w:firstLineChars="200"/>
        <w:jc w:val="left"/>
        <w:rPr>
          <w:rFonts w:hint="eastAsia" w:ascii="宋体" w:hAnsi="宋体" w:eastAsia="宋体" w:cs="Times New Roman"/>
          <w:color w:val="auto"/>
          <w:sz w:val="24"/>
          <w:szCs w:val="24"/>
        </w:rPr>
      </w:pPr>
      <w:r>
        <w:rPr>
          <w:rFonts w:hint="eastAsia" w:ascii="宋体" w:hAnsi="宋体" w:eastAsia="宋体" w:cs="宋体"/>
          <w:bCs/>
          <w:color w:val="auto"/>
          <w:kern w:val="0"/>
          <w:sz w:val="24"/>
          <w:szCs w:val="24"/>
        </w:rPr>
        <w:t>4、运输费和保险费：由</w:t>
      </w:r>
      <w:r>
        <w:rPr>
          <w:rFonts w:hint="eastAsia" w:ascii="宋体" w:hAnsi="宋体" w:eastAsia="宋体" w:cs="宋体"/>
          <w:bCs/>
          <w:color w:val="auto"/>
          <w:kern w:val="0"/>
          <w:sz w:val="24"/>
          <w:szCs w:val="24"/>
          <w:u w:val="single"/>
        </w:rPr>
        <w:t>乙方</w:t>
      </w:r>
      <w:r>
        <w:rPr>
          <w:rFonts w:hint="eastAsia" w:ascii="宋体" w:hAnsi="宋体" w:eastAsia="宋体" w:cs="宋体"/>
          <w:color w:val="auto"/>
          <w:kern w:val="0"/>
          <w:sz w:val="24"/>
          <w:szCs w:val="24"/>
        </w:rPr>
        <w:t>承担。</w:t>
      </w:r>
      <w:r>
        <w:rPr>
          <w:rFonts w:hint="eastAsia" w:ascii="宋体" w:hAnsi="宋体" w:eastAsia="宋体" w:cs="Times New Roman"/>
          <w:color w:val="auto"/>
          <w:sz w:val="24"/>
          <w:szCs w:val="24"/>
        </w:rPr>
        <w:t>乙方在将货物交由承运商后因不可抗力因素造成的风险由乙方承担。</w:t>
      </w:r>
    </w:p>
    <w:p>
      <w:pPr>
        <w:widowControl/>
        <w:wordWrap w:val="0"/>
        <w:spacing w:line="360" w:lineRule="auto"/>
        <w:ind w:firstLine="480" w:firstLineChars="200"/>
        <w:jc w:val="left"/>
        <w:rPr>
          <w:rFonts w:hint="eastAsia" w:ascii="宋体" w:hAnsi="宋体" w:eastAsia="宋体" w:cs="Times New Roman"/>
          <w:color w:val="auto"/>
          <w:sz w:val="24"/>
          <w:szCs w:val="24"/>
        </w:rPr>
      </w:pPr>
      <w:r>
        <w:rPr>
          <w:rFonts w:hint="eastAsia" w:ascii="宋体" w:hAnsi="宋体" w:eastAsia="宋体" w:cs="宋体"/>
          <w:color w:val="auto"/>
          <w:sz w:val="24"/>
          <w:szCs w:val="24"/>
        </w:rPr>
        <w:t>乙方负责货物运输，货物运输合理损耗及计算方法：</w:t>
      </w:r>
      <w:r>
        <w:rPr>
          <w:rFonts w:hint="eastAsia" w:ascii="宋体" w:hAnsi="宋体" w:eastAsia="宋体" w:cs="宋体"/>
          <w:color w:val="auto"/>
          <w:sz w:val="24"/>
          <w:szCs w:val="24"/>
          <w:u w:val="single"/>
        </w:rPr>
        <w:t>货物运输保险费已包含在合同总价中，乙方须确保货物安全无损地运抵安装地点。本项目合同不接受损耗</w:t>
      </w:r>
      <w:r>
        <w:rPr>
          <w:rFonts w:hint="eastAsia" w:ascii="宋体" w:hAnsi="宋体" w:eastAsia="宋体" w:cs="宋体"/>
          <w:color w:val="auto"/>
          <w:sz w:val="24"/>
          <w:szCs w:val="24"/>
        </w:rPr>
        <w:t>。</w:t>
      </w:r>
    </w:p>
    <w:p>
      <w:pPr>
        <w:widowControl/>
        <w:spacing w:line="44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若乙方交付货物不符或交付的货物有损坏的，甲方有权拒绝接收货物并通知乙方。乙方应在收到通知当日予更换并承担因更换而产生的运输费用，且交货期限不顺延；若乙方因客观原因不能收回货物的，应通知甲方将货物暂存放于交货地点（暂存时间不超过一日），但货物在暂存期间</w:t>
      </w:r>
      <w:r>
        <w:rPr>
          <w:rFonts w:hint="eastAsia" w:ascii="宋体" w:hAnsi="宋体" w:eastAsia="宋体" w:cs="Times New Roman"/>
          <w:color w:val="auto"/>
          <w:sz w:val="24"/>
          <w:szCs w:val="24"/>
        </w:rPr>
        <w:t>因不可抗力因素造成</w:t>
      </w:r>
      <w:r>
        <w:rPr>
          <w:rFonts w:hint="eastAsia" w:ascii="宋体" w:hAnsi="宋体" w:eastAsia="宋体" w:cs="宋体"/>
          <w:color w:val="auto"/>
          <w:kern w:val="0"/>
          <w:sz w:val="24"/>
          <w:szCs w:val="24"/>
        </w:rPr>
        <w:t>的损毁或灭失风险由乙方承担。</w:t>
      </w:r>
    </w:p>
    <w:p>
      <w:pPr>
        <w:widowControl/>
        <w:spacing w:line="440" w:lineRule="atLeast"/>
        <w:ind w:firstLine="480" w:firstLineChars="200"/>
        <w:jc w:val="left"/>
        <w:rPr>
          <w:rFonts w:ascii="宋体" w:hAnsi="宋体" w:eastAsia="宋体" w:cs="Times New Roman"/>
          <w:color w:val="auto"/>
          <w:sz w:val="24"/>
          <w:szCs w:val="24"/>
        </w:rPr>
      </w:pPr>
      <w:r>
        <w:rPr>
          <w:rFonts w:hint="eastAsia" w:ascii="宋体" w:hAnsi="宋体" w:eastAsia="宋体" w:cs="宋体"/>
          <w:color w:val="auto"/>
          <w:kern w:val="0"/>
          <w:sz w:val="24"/>
          <w:szCs w:val="24"/>
        </w:rPr>
        <w:t>乙方逾期交付符合本合同约定的货物的，每逾期一日，应向甲方支付</w:t>
      </w:r>
      <w:r>
        <w:rPr>
          <w:rFonts w:hint="eastAsia" w:ascii="宋体" w:hAnsi="宋体" w:eastAsia="宋体" w:cs="Times New Roman"/>
          <w:color w:val="auto"/>
          <w:sz w:val="24"/>
          <w:szCs w:val="24"/>
        </w:rPr>
        <w:t>订购货物价格总额千分之三的逾期违约金。</w:t>
      </w:r>
    </w:p>
    <w:p>
      <w:pPr>
        <w:spacing w:line="440" w:lineRule="atLeast"/>
        <w:ind w:firstLine="480" w:firstLineChars="200"/>
        <w:rPr>
          <w:rFonts w:ascii="宋体" w:hAnsi="宋体" w:eastAsia="宋体" w:cs="Times New Roman"/>
          <w:color w:val="auto"/>
          <w:sz w:val="24"/>
          <w:szCs w:val="24"/>
        </w:rPr>
      </w:pPr>
      <w:r>
        <w:rPr>
          <w:rFonts w:hint="eastAsia" w:ascii="宋体" w:hAnsi="宋体" w:eastAsia="宋体" w:cs="宋体"/>
          <w:color w:val="auto"/>
          <w:kern w:val="0"/>
          <w:sz w:val="24"/>
          <w:szCs w:val="24"/>
        </w:rPr>
        <w:t>6、</w:t>
      </w:r>
      <w:r>
        <w:rPr>
          <w:rFonts w:hint="eastAsia" w:ascii="宋体" w:hAnsi="宋体" w:eastAsia="宋体" w:cs="Times New Roman"/>
          <w:color w:val="auto"/>
          <w:sz w:val="24"/>
          <w:szCs w:val="24"/>
        </w:rPr>
        <w:t>当货物到达甲方指定交货地点时，甲方应立即与承运商签订货物破损证明，并将此证明在甲方收到货物之日起两个工作日内提交乙方，否则相应损失由甲方自行承担。甲方签收此批货物，或者得到乙方明确的书面通知后将该批货物返还给乙方。</w:t>
      </w:r>
    </w:p>
    <w:p>
      <w:pPr>
        <w:widowControl/>
        <w:spacing w:line="44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7、甲方无正当理由拒绝收货的（不可抗力因素除外），应承担由此造成的乙方损失，且乙方有权随时解除本合同，在合同正式解除前，甲方仍需向乙方支付拒绝接收货物部分的货款每天</w:t>
      </w:r>
      <w:r>
        <w:rPr>
          <w:rFonts w:ascii="宋体" w:hAnsi="宋体" w:eastAsia="宋体" w:cs="宋体"/>
          <w:color w:val="auto"/>
          <w:kern w:val="0"/>
          <w:sz w:val="24"/>
          <w:szCs w:val="24"/>
        </w:rPr>
        <w:t>3</w:t>
      </w:r>
      <w:r>
        <w:rPr>
          <w:rFonts w:hint="eastAsia" w:ascii="宋体" w:hAnsi="宋体" w:eastAsia="宋体" w:cs="宋体"/>
          <w:color w:val="auto"/>
          <w:kern w:val="0"/>
          <w:sz w:val="24"/>
          <w:szCs w:val="24"/>
        </w:rPr>
        <w:t>‰的违约金。</w:t>
      </w:r>
    </w:p>
    <w:p>
      <w:pPr>
        <w:wordWrap w:val="0"/>
        <w:spacing w:line="360" w:lineRule="auto"/>
        <w:ind w:firstLine="480" w:firstLineChars="200"/>
        <w:rPr>
          <w:rFonts w:hint="eastAsia" w:ascii="宋体" w:hAnsi="宋体" w:eastAsia="宋体" w:cs="宋体"/>
          <w:color w:val="auto"/>
          <w:sz w:val="24"/>
          <w:szCs w:val="24"/>
          <w:highlight w:val="none"/>
        </w:rPr>
      </w:pPr>
      <w:r>
        <w:rPr>
          <w:rFonts w:hint="default" w:ascii="宋体" w:hAnsi="宋体" w:eastAsia="宋体" w:cs="宋体"/>
          <w:color w:val="auto"/>
          <w:sz w:val="24"/>
          <w:szCs w:val="24"/>
        </w:rPr>
        <w:t>8</w:t>
      </w:r>
      <w:r>
        <w:rPr>
          <w:rFonts w:hint="eastAsia" w:ascii="宋体" w:hAnsi="宋体" w:eastAsia="宋体" w:cs="宋体"/>
          <w:color w:val="auto"/>
          <w:sz w:val="24"/>
          <w:szCs w:val="24"/>
        </w:rPr>
        <w:t>、甲方对乙方提交的货物依据招标文件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上的技术规格要求和国家有关质量标准进行现场初步验收。外观、说明书符合招标文件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highlight w:val="none"/>
        </w:rPr>
        <w:t>技术要求的，给予签收，初步验收不合格的不予签收</w:t>
      </w:r>
      <w:r>
        <w:rPr>
          <w:rFonts w:hint="eastAsia" w:ascii="宋体" w:hAnsi="宋体" w:eastAsia="宋体" w:cs="宋体"/>
          <w:color w:val="auto"/>
          <w:sz w:val="24"/>
          <w:szCs w:val="24"/>
          <w:highlight w:val="none"/>
          <w:lang w:eastAsia="zh-Hans"/>
        </w:rPr>
        <w:t>。</w:t>
      </w:r>
    </w:p>
    <w:p>
      <w:pPr>
        <w:spacing w:line="360" w:lineRule="auto"/>
        <w:ind w:firstLine="241" w:firstLineChars="10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（二）安装和培训</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1、甲方应提供必要安装条件（如场地、电源、水源等），乙方负责安装。</w:t>
      </w:r>
    </w:p>
    <w:p>
      <w:pPr>
        <w:wordWrap w:val="0"/>
        <w:spacing w:line="360" w:lineRule="auto"/>
        <w:ind w:firstLine="480" w:firstLineChars="200"/>
        <w:rPr>
          <w:rFonts w:hint="eastAsia" w:ascii="宋体" w:hAnsi="宋体" w:eastAsia="宋体" w:cs="宋体"/>
          <w:b/>
          <w:bCs/>
          <w:color w:val="auto"/>
          <w:kern w:val="0"/>
          <w:sz w:val="24"/>
          <w:szCs w:val="24"/>
          <w:lang w:val="en-US" w:eastAsia="zh-Hans"/>
        </w:rPr>
      </w:pPr>
      <w:r>
        <w:rPr>
          <w:rFonts w:hint="eastAsia" w:ascii="宋体" w:hAnsi="宋体" w:eastAsia="宋体" w:cs="宋体"/>
          <w:color w:val="auto"/>
          <w:sz w:val="24"/>
          <w:szCs w:val="24"/>
        </w:rPr>
        <w:t>2、乙方负责甲方有关人员的培训。</w:t>
      </w:r>
      <w:r>
        <w:rPr>
          <w:rFonts w:hint="eastAsia" w:ascii="宋体" w:hAnsi="宋体" w:eastAsia="宋体" w:cs="宋体"/>
          <w:color w:val="auto"/>
          <w:sz w:val="24"/>
          <w:szCs w:val="24"/>
          <w:highlight w:val="none"/>
          <w:u w:val="single"/>
        </w:rPr>
        <w:t>为</w:t>
      </w:r>
      <w:r>
        <w:rPr>
          <w:rFonts w:hint="eastAsia" w:ascii="宋体" w:hAnsi="宋体" w:eastAsia="宋体"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提供</w:t>
      </w:r>
      <w:r>
        <w:rPr>
          <w:rFonts w:hint="eastAsia" w:ascii="宋体" w:hAnsi="宋体" w:eastAsia="宋体" w:cs="宋体"/>
          <w:color w:val="auto"/>
          <w:sz w:val="24"/>
          <w:szCs w:val="24"/>
          <w:highlight w:val="none"/>
          <w:u w:val="single"/>
        </w:rPr>
        <w:t>装机使用培训≥2天，跟进强化培训：1天，维修保养培训：1天。培训人数不少于2人。在</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文件</w:t>
      </w:r>
      <w:r>
        <w:rPr>
          <w:rFonts w:hint="eastAsia" w:ascii="宋体" w:hAnsi="宋体" w:eastAsia="宋体" w:cs="宋体"/>
          <w:color w:val="auto"/>
          <w:sz w:val="24"/>
          <w:szCs w:val="24"/>
          <w:highlight w:val="none"/>
          <w:u w:val="single"/>
          <w:lang w:eastAsia="zh-CN"/>
        </w:rPr>
        <w:t>（响应文件）</w:t>
      </w:r>
      <w:r>
        <w:rPr>
          <w:rFonts w:hint="eastAsia" w:ascii="宋体" w:hAnsi="宋体" w:eastAsia="宋体" w:cs="宋体"/>
          <w:color w:val="auto"/>
          <w:sz w:val="24"/>
          <w:szCs w:val="24"/>
          <w:highlight w:val="none"/>
          <w:u w:val="single"/>
        </w:rPr>
        <w:t>中提供完善的技术培训方案，保证使用人员正常操作设备的各种功能。</w:t>
      </w:r>
      <w:r>
        <w:rPr>
          <w:rFonts w:hint="eastAsia" w:ascii="宋体" w:hAnsi="宋体" w:eastAsia="宋体" w:cs="宋体"/>
          <w:color w:val="auto"/>
          <w:sz w:val="24"/>
          <w:szCs w:val="24"/>
          <w:u w:val="single"/>
        </w:rPr>
        <w:t>费用应包含在报价中。</w:t>
      </w:r>
    </w:p>
    <w:p>
      <w:pPr>
        <w:spacing w:line="360" w:lineRule="auto"/>
        <w:ind w:firstLine="241" w:firstLineChars="10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lang w:val="en-US" w:eastAsia="zh-CN"/>
        </w:rPr>
        <w:t>（三）调试和验收</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到后，乙方需负责安装并培训甲方的使用操作人员，并协助甲方一起调试，直到符合技术要求，并对验收文件进行整理，列出清单，作为甲方收货验收和使用的技术条件依据，检验的结果应随货物交甲方，甲方才做最终验收。甲方应当在安装、调试完后</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个工作日内进行验收，逾期不验收的，乙方可视同验收合格</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货物质量等验收期内无法发现的隐蔽瑕疵问题除外</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。验收合格后由甲乙双方签署货物验收单并加盖采购单位公章，甲乙双方各执一份。甲方对验收有异议的，在验收后五个工作日内以书面形式向乙方提出，乙方应自收到甲方书面异议后五日内及时予以解决。</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2、对技术复杂的货物，</w:t>
      </w:r>
      <w:r>
        <w:rPr>
          <w:rFonts w:hint="eastAsia" w:ascii="宋体" w:hAnsi="宋体" w:eastAsia="宋体" w:cs="宋体"/>
          <w:color w:val="auto"/>
          <w:sz w:val="24"/>
          <w:szCs w:val="24"/>
          <w:highlight w:val="none"/>
          <w:lang w:val="en-US" w:eastAsia="zh-Hans"/>
        </w:rPr>
        <w:t>甲方、乙方对货物问题存在争议时，</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Hans"/>
        </w:rPr>
        <w:t>可委托</w:t>
      </w:r>
      <w:r>
        <w:rPr>
          <w:rFonts w:hint="eastAsia" w:ascii="宋体" w:hAnsi="宋体" w:eastAsia="宋体" w:cs="宋体"/>
          <w:color w:val="auto"/>
          <w:sz w:val="24"/>
          <w:szCs w:val="24"/>
          <w:highlight w:val="none"/>
        </w:rPr>
        <w:t>国家认可的专业检测机构参与初步验收及最终验收，并由其出具质量检测报告，其验收时间以该项目验收方案确定的验收时间为准，验收结果以该项目验收报告结论为准。</w:t>
      </w:r>
      <w:r>
        <w:rPr>
          <w:rFonts w:hint="eastAsia" w:ascii="宋体" w:hAnsi="宋体" w:eastAsia="宋体" w:cs="宋体"/>
          <w:color w:val="auto"/>
          <w:sz w:val="24"/>
          <w:szCs w:val="24"/>
          <w:highlight w:val="none"/>
          <w:lang w:val="en-US" w:eastAsia="zh-Hans"/>
        </w:rPr>
        <w:t>如果检测机构检测结论合格的，检测费用由乙方承担，甲方可直接从应付款项中直接抵减。</w:t>
      </w:r>
      <w:r>
        <w:rPr>
          <w:rFonts w:hint="eastAsia" w:ascii="宋体" w:hAnsi="宋体" w:eastAsia="宋体" w:cs="宋体"/>
          <w:color w:val="auto"/>
          <w:sz w:val="24"/>
          <w:szCs w:val="24"/>
          <w:highlight w:val="none"/>
        </w:rPr>
        <w:t>在验收过程中发现乙方有违约问题，</w:t>
      </w:r>
      <w:r>
        <w:rPr>
          <w:rFonts w:hint="eastAsia" w:ascii="宋体" w:hAnsi="宋体" w:eastAsia="宋体" w:cs="宋体"/>
          <w:color w:val="auto"/>
          <w:sz w:val="24"/>
          <w:szCs w:val="24"/>
          <w:highlight w:val="none"/>
          <w:lang w:val="en-US" w:eastAsia="zh-Hans"/>
        </w:rPr>
        <w:t>乙方须承担违约责任，甲方</w:t>
      </w:r>
      <w:r>
        <w:rPr>
          <w:rFonts w:hint="eastAsia" w:ascii="宋体" w:hAnsi="宋体" w:eastAsia="宋体" w:cs="宋体"/>
          <w:color w:val="auto"/>
          <w:sz w:val="24"/>
          <w:szCs w:val="24"/>
          <w:highlight w:val="none"/>
        </w:rPr>
        <w:t xml:space="preserve">可暂缓资金结算，待违约问题解决后，方可办理资金结算事宜。 </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3、验收时乙方必须在现场，验收完毕后作出验收结果报告，验收费用由乙方负责。</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采购文件中“技术参数与商务需求、投标人响应和承诺的技术参数及性能和国家有关标准”中若另有专项要求，按其规定。</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5、验收后如发现存在未按照本合同约定（含响应文件）交付货物及服务的，甲方永久保留无偿追溯</w:t>
      </w:r>
      <w:r>
        <w:rPr>
          <w:rFonts w:hint="eastAsia" w:ascii="宋体" w:hAnsi="宋体" w:eastAsia="宋体" w:cs="宋体"/>
          <w:color w:val="auto"/>
          <w:sz w:val="24"/>
          <w:szCs w:val="24"/>
          <w:lang w:val="en-US" w:eastAsia="zh-Hans"/>
        </w:rPr>
        <w:t>违约及损失赔偿的</w:t>
      </w:r>
      <w:r>
        <w:rPr>
          <w:rFonts w:hint="eastAsia" w:ascii="宋体" w:hAnsi="宋体" w:eastAsia="宋体" w:cs="宋体"/>
          <w:color w:val="auto"/>
          <w:sz w:val="24"/>
          <w:szCs w:val="24"/>
        </w:rPr>
        <w:t>权利。</w:t>
      </w:r>
    </w:p>
    <w:p>
      <w:pPr>
        <w:wordWrap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w:t>
      </w:r>
      <w:r>
        <w:rPr>
          <w:rFonts w:hint="eastAsia" w:ascii="宋体" w:hAnsi="宋体" w:eastAsia="宋体" w:cs="宋体"/>
          <w:b/>
          <w:bCs/>
          <w:color w:val="auto"/>
          <w:sz w:val="24"/>
          <w:szCs w:val="24"/>
          <w:highlight w:val="none"/>
        </w:rPr>
        <w:t>项目实施过程中的安全生产要求</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应遵守国家关于安全生产有关管理规定，严格按安全标准组织项目实施，并随时接受招标</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人安全检查人员实施的监督检查，采取必要的安全防护措施，消除事故隐患。由于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安全措施不力造成事故的责任和因此发生的费用，由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应对己方实施人员进行安全教育，并对他们的安全负责。</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实施人员的生产用水、用电、项目实施用临时办公场地等。</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投标人提供的产品必须符合《中华人民共和国的环境保护法》及其他相关环保法律、法规、标准等规定的要求，环保检测分析方法采用中华人民共和国现行的国家规定的方法。噪声检测应符合GB 3768的规定，不得大于80dB(A)。</w:t>
      </w:r>
    </w:p>
    <w:p>
      <w:pPr>
        <w:widowControl/>
        <w:spacing w:line="360" w:lineRule="auto"/>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五</w:t>
      </w:r>
      <w:r>
        <w:rPr>
          <w:rFonts w:hint="eastAsia" w:ascii="宋体" w:hAnsi="宋体" w:eastAsia="宋体" w:cs="宋体"/>
          <w:b/>
          <w:bCs/>
          <w:color w:val="auto"/>
          <w:kern w:val="0"/>
          <w:sz w:val="24"/>
          <w:szCs w:val="24"/>
        </w:rPr>
        <w:t>、</w:t>
      </w:r>
      <w:r>
        <w:rPr>
          <w:rFonts w:hint="eastAsia" w:ascii="宋体" w:hAnsi="宋体" w:eastAsia="宋体" w:cs="宋体"/>
          <w:b/>
          <w:color w:val="auto"/>
          <w:sz w:val="24"/>
          <w:szCs w:val="24"/>
        </w:rPr>
        <w:t>质量保证和售后服务</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1、乙方应按招标文件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规定的货物性能、技术要求、质量标准向甲方提供全新的、从未使用过的且符合国家安全质量标准的原装的合格产品。不符合要求者，</w:t>
      </w:r>
      <w:r>
        <w:rPr>
          <w:rFonts w:hint="eastAsia" w:ascii="宋体" w:hAnsi="宋体" w:eastAsia="宋体" w:cs="宋体"/>
          <w:color w:val="auto"/>
          <w:sz w:val="24"/>
          <w:szCs w:val="24"/>
          <w:lang w:val="en-US" w:eastAsia="zh-Hans"/>
        </w:rPr>
        <w:t>甲方有权</w:t>
      </w:r>
      <w:r>
        <w:rPr>
          <w:rFonts w:hint="eastAsia" w:ascii="宋体" w:hAnsi="宋体" w:eastAsia="宋体" w:cs="宋体"/>
          <w:color w:val="auto"/>
          <w:sz w:val="24"/>
          <w:szCs w:val="24"/>
        </w:rPr>
        <w:t>按以下办法处理</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乙方应无条件配合</w:t>
      </w:r>
      <w:r>
        <w:rPr>
          <w:rFonts w:hint="eastAsia" w:ascii="宋体" w:hAnsi="宋体" w:eastAsia="宋体" w:cs="宋体"/>
          <w:color w:val="auto"/>
          <w:sz w:val="24"/>
          <w:szCs w:val="24"/>
        </w:rPr>
        <w:t>：</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1.1、更换：由乙方承担所发生的全部费用。 </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1.2、退货处理：乙方应退还甲方支付的合同款，同时应承担该货物的直接费用（运输、保险、检验、货款利息及银行手续费等）。</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2、售后服务：</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2.1、乙方应按照国家有关法律法规和“三包”规定以及招投标文件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和本合同所附的《服务承诺》，为甲方提供售后服务。</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2.2、货物保修期：按国家有关产品“三包”规定执行“三包”，所有货物</w:t>
      </w:r>
      <w:r>
        <w:rPr>
          <w:rFonts w:hint="eastAsia" w:ascii="宋体" w:hAnsi="宋体" w:eastAsia="宋体" w:cs="宋体"/>
          <w:color w:val="auto"/>
          <w:sz w:val="24"/>
          <w:szCs w:val="24"/>
          <w:lang w:eastAsia="zh-CN"/>
        </w:rPr>
        <w:t>维保期</w:t>
      </w:r>
      <w:r>
        <w:rPr>
          <w:rFonts w:hint="eastAsia" w:ascii="宋体" w:hAnsi="宋体" w:eastAsia="宋体" w:cs="宋体"/>
          <w:color w:val="auto"/>
          <w:sz w:val="24"/>
          <w:szCs w:val="24"/>
        </w:rPr>
        <w:t>从最终验收合格之日</w:t>
      </w:r>
      <w:r>
        <w:rPr>
          <w:rFonts w:hint="eastAsia" w:ascii="宋体" w:hAnsi="宋体" w:eastAsia="宋体" w:cs="宋体"/>
          <w:color w:val="auto"/>
          <w:sz w:val="24"/>
          <w:szCs w:val="24"/>
          <w:highlight w:val="none"/>
        </w:rPr>
        <w:t>起计算不少于三年（含三年），如在本分</w:t>
      </w:r>
      <w:r>
        <w:rPr>
          <w:rFonts w:hint="eastAsia" w:ascii="宋体" w:hAnsi="宋体" w:eastAsia="宋体" w:cs="宋体"/>
          <w:color w:val="auto"/>
          <w:sz w:val="24"/>
          <w:szCs w:val="24"/>
        </w:rPr>
        <w:t>标“货物参数”有专项要求的，从其规定。</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2.3、响应时间要求：</w:t>
      </w:r>
    </w:p>
    <w:p>
      <w:pPr>
        <w:wordWrap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保修期内，设备发生故障时接到通知后30分钟内响应，6小时内到达现场维修，48小时内解决问题；保修期满后，按照保修期内售后服务内容及标准继续提供维保服务，直至甲方确认更换维保单位或设备报废。不能因保修期满而出现缓修、拒修等情况，维修所产生费用由乙方和甲方另行结算。维保金额每年不得超过合同额的10%，维保成本超过该数额的一概由乙方自行承担，项目保修期满后可签订维护和售后服务合同，具体事项以实际谈判为准。</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2.4、提供终身维修、保养服务，提供详细的保养计划。</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2.5、如不按照售后服务要求提供服务的，乙方应每次向甲方支付违约金壹万元。</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2.6、乙方提供的服务承诺和售后服务及保修期责任等其它具体约定事项。</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2.7、开放接口供其他系统同步数据，及与其他系统接口个性化开发。费用应包含在报价中。</w:t>
      </w:r>
    </w:p>
    <w:p>
      <w:pPr>
        <w:wordWrap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2.8、若采购方新建院区或新增医联体医院，系统部署延伸至新建院区或新增医联体医院，需保证新建院区或新增医联体医院内软件建设标准同原部署院区设计软件标准一致（费用应包含在报价中）</w:t>
      </w:r>
      <w:r>
        <w:rPr>
          <w:rFonts w:hint="eastAsia" w:ascii="宋体" w:hAnsi="宋体" w:cs="宋体"/>
          <w:color w:val="auto"/>
          <w:sz w:val="24"/>
          <w:szCs w:val="24"/>
          <w:lang w:val="en-US" w:eastAsia="zh-CN"/>
        </w:rPr>
        <w:t>。</w:t>
      </w:r>
    </w:p>
    <w:p>
      <w:pPr>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、货款支付</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当采购数量与实际使用数量不一致时，乙方应根据实际使用量供货，合同的最终结算金额按实际使用量乘以成交单价进行计算。</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付款方式：本合同货款采用以下第</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val="0"/>
          <w:bCs/>
          <w:color w:val="auto"/>
          <w:sz w:val="24"/>
          <w:szCs w:val="24"/>
          <w:u w:val="single"/>
          <w:lang w:val="en-US" w:eastAsia="zh-CN"/>
        </w:rPr>
        <w:t>2</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种方式支付。</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1、乙方交付全部货物且经甲方验收合格之日起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个工作日内支付全部货款。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期付款：</w:t>
      </w:r>
    </w:p>
    <w:p>
      <w:pPr>
        <w:spacing w:line="36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第一期：合同生效以及具备实施条件后10个工作日内甲方向乙方支付合同款</w:t>
      </w:r>
      <w:r>
        <w:rPr>
          <w:rFonts w:hint="eastAsia" w:ascii="宋体" w:hAnsi="宋体" w:eastAsia="宋体" w:cs="宋体"/>
          <w:color w:val="auto"/>
          <w:sz w:val="24"/>
          <w:szCs w:val="24"/>
          <w:u w:val="none"/>
          <w:lang w:eastAsia="zh-CN"/>
        </w:rPr>
        <w:t>的</w:t>
      </w:r>
      <w:r>
        <w:rPr>
          <w:rFonts w:hint="eastAsia" w:ascii="宋体" w:hAnsi="宋体" w:eastAsia="宋体" w:cs="宋体"/>
          <w:color w:val="auto"/>
          <w:sz w:val="24"/>
          <w:szCs w:val="24"/>
          <w:u w:val="none"/>
        </w:rPr>
        <w:t>50%做为预付款；</w:t>
      </w:r>
    </w:p>
    <w:p>
      <w:pPr>
        <w:spacing w:line="36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第二期：全部货物到达指定地点、安装调试并验收合格后，凭双方签署验收合格证，乙方开具全额增值税发票给甲方，甲方支付至总合同金额的95%。</w:t>
      </w:r>
    </w:p>
    <w:p>
      <w:pPr>
        <w:spacing w:line="36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第三期：经甲方验收配套服务符合合同约定，并办理相关确认手续后10个工作日内，甲方支付至总合同金额的100%。</w:t>
      </w:r>
    </w:p>
    <w:p>
      <w:pPr>
        <w:spacing w:line="36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3、甲方应将预付款及货款付至乙方指定的以下银行账户：</w:t>
      </w:r>
    </w:p>
    <w:p>
      <w:pPr>
        <w:spacing w:line="36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开户名称： </w:t>
      </w:r>
    </w:p>
    <w:p>
      <w:pPr>
        <w:spacing w:line="360" w:lineRule="auto"/>
        <w:ind w:firstLine="480" w:firstLineChars="2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开户行：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u w:val="none"/>
        </w:rPr>
        <w:t xml:space="preserve">账号： </w:t>
      </w:r>
      <w:r>
        <w:rPr>
          <w:rFonts w:hint="eastAsia" w:ascii="宋体" w:hAnsi="宋体" w:eastAsia="宋体" w:cs="宋体"/>
          <w:color w:val="auto"/>
          <w:sz w:val="24"/>
          <w:szCs w:val="24"/>
          <w:highlight w:val="none"/>
        </w:rPr>
        <w:t xml:space="preserve"> </w:t>
      </w:r>
    </w:p>
    <w:p>
      <w:pPr>
        <w:numPr>
          <w:ilvl w:val="0"/>
          <w:numId w:val="2"/>
        </w:numPr>
        <w:spacing w:line="360" w:lineRule="auto"/>
        <w:ind w:firstLine="482" w:firstLineChars="200"/>
        <w:jc w:val="left"/>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履约保证金</w:t>
      </w:r>
    </w:p>
    <w:p>
      <w:pPr>
        <w:keepNext w:val="0"/>
        <w:keepLines w:val="0"/>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1、</w:t>
      </w:r>
      <w:r>
        <w:rPr>
          <w:rFonts w:hint="eastAsia" w:ascii="宋体" w:hAnsi="宋体" w:eastAsia="宋体" w:cs="宋体"/>
          <w:color w:val="000000"/>
          <w:sz w:val="24"/>
          <w:szCs w:val="24"/>
          <w:u w:val="none"/>
          <w:lang w:eastAsia="zh-CN"/>
        </w:rPr>
        <w:t>乙方</w:t>
      </w:r>
      <w:r>
        <w:rPr>
          <w:rFonts w:hint="eastAsia" w:ascii="宋体" w:hAnsi="宋体" w:eastAsia="宋体" w:cs="宋体"/>
          <w:color w:val="000000"/>
          <w:sz w:val="24"/>
          <w:szCs w:val="24"/>
          <w:u w:val="none"/>
        </w:rPr>
        <w:t>在签订合同15个工作日内</w:t>
      </w:r>
      <w:r>
        <w:rPr>
          <w:rFonts w:hint="eastAsia" w:ascii="宋体" w:hAnsi="宋体" w:eastAsia="宋体" w:cs="宋体"/>
          <w:color w:val="000000"/>
          <w:sz w:val="24"/>
          <w:szCs w:val="24"/>
          <w:u w:val="none"/>
          <w:lang w:val="en-US" w:eastAsia="zh-CN"/>
        </w:rPr>
        <w:t>，按合同总金额的5%向甲方递交履约保证金（</w:t>
      </w:r>
      <w:r>
        <w:rPr>
          <w:rFonts w:hint="eastAsia" w:ascii="宋体" w:hAnsi="宋体" w:eastAsia="宋体" w:cs="宋体"/>
          <w:color w:val="000000"/>
          <w:sz w:val="24"/>
          <w:szCs w:val="24"/>
          <w:u w:val="none"/>
        </w:rPr>
        <w:t>如</w:t>
      </w:r>
      <w:r>
        <w:rPr>
          <w:rFonts w:hint="eastAsia" w:ascii="宋体" w:hAnsi="宋体" w:eastAsia="宋体" w:cs="宋体"/>
          <w:color w:val="000000"/>
          <w:sz w:val="24"/>
          <w:szCs w:val="24"/>
          <w:u w:val="none"/>
          <w:lang w:eastAsia="zh-CN"/>
        </w:rPr>
        <w:t>乙方</w:t>
      </w:r>
      <w:r>
        <w:rPr>
          <w:rFonts w:hint="eastAsia" w:ascii="宋体" w:hAnsi="宋体" w:eastAsia="宋体" w:cs="宋体"/>
          <w:color w:val="000000"/>
          <w:sz w:val="24"/>
          <w:szCs w:val="24"/>
          <w:u w:val="none"/>
        </w:rPr>
        <w:t>为中小企业的，则为合同</w:t>
      </w:r>
      <w:r>
        <w:rPr>
          <w:rFonts w:hint="eastAsia" w:ascii="宋体" w:hAnsi="宋体" w:eastAsia="宋体" w:cs="宋体"/>
          <w:color w:val="000000"/>
          <w:sz w:val="24"/>
          <w:szCs w:val="24"/>
          <w:u w:val="none"/>
          <w:lang w:val="en-US" w:eastAsia="zh-CN"/>
        </w:rPr>
        <w:t>总</w:t>
      </w:r>
      <w:r>
        <w:rPr>
          <w:rFonts w:hint="eastAsia" w:ascii="宋体" w:hAnsi="宋体" w:eastAsia="宋体" w:cs="宋体"/>
          <w:color w:val="000000"/>
          <w:sz w:val="24"/>
          <w:szCs w:val="24"/>
          <w:u w:val="none"/>
        </w:rPr>
        <w:t>金额的2%</w:t>
      </w:r>
      <w:r>
        <w:rPr>
          <w:rFonts w:hint="eastAsia" w:ascii="宋体" w:hAnsi="宋体" w:eastAsia="宋体" w:cs="宋体"/>
          <w:color w:val="000000"/>
          <w:sz w:val="24"/>
          <w:szCs w:val="24"/>
          <w:u w:val="none"/>
          <w:lang w:val="en-US" w:eastAsia="zh-CN"/>
        </w:rPr>
        <w:t>）。如为保函、保险单，则有效期应不低于12个月。</w:t>
      </w:r>
      <w:r>
        <w:rPr>
          <w:rFonts w:hint="eastAsia" w:ascii="宋体" w:hAnsi="宋体" w:cs="宋体"/>
          <w:color w:val="000000"/>
          <w:sz w:val="24"/>
          <w:szCs w:val="24"/>
          <w:u w:val="none"/>
          <w:lang w:val="en-US" w:eastAsia="zh-CN"/>
        </w:rPr>
        <w:t>经甲方验收货物符合合同约定，甲方一次性无息退回履约保证金</w:t>
      </w:r>
      <w:r>
        <w:rPr>
          <w:rFonts w:hint="eastAsia" w:ascii="宋体" w:hAnsi="宋体" w:eastAsia="宋体" w:cs="宋体"/>
          <w:color w:val="000000"/>
          <w:sz w:val="24"/>
          <w:szCs w:val="24"/>
          <w:u w:val="none"/>
          <w:lang w:val="en-US" w:eastAsia="zh-CN"/>
        </w:rPr>
        <w:t>。</w:t>
      </w:r>
    </w:p>
    <w:p>
      <w:pPr>
        <w:keepNext w:val="0"/>
        <w:keepLines w:val="0"/>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2、履约保证金的递交：</w:t>
      </w:r>
    </w:p>
    <w:p>
      <w:pPr>
        <w:keepNext w:val="0"/>
        <w:keepLines w:val="0"/>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履约保证金金额：按合同总金额的5%（</w:t>
      </w:r>
      <w:r>
        <w:rPr>
          <w:rFonts w:hint="eastAsia" w:ascii="宋体" w:hAnsi="宋体" w:eastAsia="宋体" w:cs="宋体"/>
          <w:color w:val="000000"/>
          <w:sz w:val="24"/>
          <w:szCs w:val="24"/>
          <w:u w:val="none"/>
        </w:rPr>
        <w:t>如</w:t>
      </w:r>
      <w:r>
        <w:rPr>
          <w:rFonts w:hint="eastAsia" w:ascii="宋体" w:hAnsi="宋体" w:eastAsia="宋体" w:cs="宋体"/>
          <w:color w:val="000000"/>
          <w:sz w:val="24"/>
          <w:szCs w:val="24"/>
          <w:u w:val="none"/>
          <w:lang w:eastAsia="zh-CN"/>
        </w:rPr>
        <w:t>乙方</w:t>
      </w:r>
      <w:r>
        <w:rPr>
          <w:rFonts w:hint="eastAsia" w:ascii="宋体" w:hAnsi="宋体" w:eastAsia="宋体" w:cs="宋体"/>
          <w:color w:val="000000"/>
          <w:sz w:val="24"/>
          <w:szCs w:val="24"/>
          <w:u w:val="none"/>
        </w:rPr>
        <w:t>为中小企业的，则为合同</w:t>
      </w:r>
      <w:r>
        <w:rPr>
          <w:rFonts w:hint="eastAsia" w:ascii="宋体" w:hAnsi="宋体" w:eastAsia="宋体" w:cs="宋体"/>
          <w:color w:val="000000"/>
          <w:sz w:val="24"/>
          <w:szCs w:val="24"/>
          <w:u w:val="none"/>
          <w:lang w:val="en-US" w:eastAsia="zh-CN"/>
        </w:rPr>
        <w:t>总</w:t>
      </w:r>
      <w:r>
        <w:rPr>
          <w:rFonts w:hint="eastAsia" w:ascii="宋体" w:hAnsi="宋体" w:eastAsia="宋体" w:cs="宋体"/>
          <w:color w:val="000000"/>
          <w:sz w:val="24"/>
          <w:szCs w:val="24"/>
          <w:u w:val="none"/>
        </w:rPr>
        <w:t>金额的2%</w:t>
      </w:r>
      <w:r>
        <w:rPr>
          <w:rFonts w:hint="eastAsia" w:ascii="宋体" w:hAnsi="宋体" w:eastAsia="宋体" w:cs="宋体"/>
          <w:color w:val="000000"/>
          <w:sz w:val="24"/>
          <w:szCs w:val="24"/>
          <w:u w:val="none"/>
          <w:lang w:val="en-US" w:eastAsia="zh-CN"/>
        </w:rPr>
        <w:t>）</w:t>
      </w:r>
    </w:p>
    <w:p>
      <w:pPr>
        <w:keepNext w:val="0"/>
        <w:keepLines w:val="0"/>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履约保证金递交方式：银行转账、支票、汇票、本票、银行出具的保函或保险机构出具的保函、保险单。</w:t>
      </w:r>
    </w:p>
    <w:p>
      <w:pPr>
        <w:keepNext w:val="0"/>
        <w:keepLines w:val="0"/>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保证金指定账户：甲方帐户</w:t>
      </w:r>
    </w:p>
    <w:p>
      <w:pPr>
        <w:keepNext w:val="0"/>
        <w:keepLines w:val="0"/>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开户名称：广西医科大学第一附属医院</w:t>
      </w:r>
    </w:p>
    <w:p>
      <w:pPr>
        <w:keepNext w:val="0"/>
        <w:keepLines w:val="0"/>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开户银行：中国建设银行股份有限公司南宁医科大支行</w:t>
      </w:r>
    </w:p>
    <w:p>
      <w:pPr>
        <w:keepNext w:val="0"/>
        <w:keepLines w:val="0"/>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银行账号：45001604560050501061</w:t>
      </w:r>
    </w:p>
    <w:p>
      <w:pPr>
        <w:numPr>
          <w:ilvl w:val="0"/>
          <w:numId w:val="2"/>
        </w:num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税费及发票</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color w:val="auto"/>
          <w:sz w:val="24"/>
          <w:szCs w:val="24"/>
          <w:highlight w:val="none"/>
        </w:rPr>
        <w:t>本合同执行中相关一切税费均由乙方承担。</w:t>
      </w:r>
    </w:p>
    <w:p>
      <w:pPr>
        <w:wordWrap w:val="0"/>
        <w:spacing w:line="36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2、发票要求：付款前乙方必须提供真实、有效、合法的正式发票，如</w:t>
      </w:r>
      <w:r>
        <w:rPr>
          <w:rFonts w:hint="eastAsia" w:ascii="宋体" w:hAnsi="宋体" w:eastAsia="宋体" w:cs="宋体"/>
          <w:color w:val="auto"/>
          <w:sz w:val="24"/>
          <w:szCs w:val="24"/>
          <w:highlight w:val="none"/>
          <w:u w:val="none"/>
          <w:lang w:eastAsia="zh-CN"/>
        </w:rPr>
        <w:t>乙方</w:t>
      </w:r>
      <w:r>
        <w:rPr>
          <w:rFonts w:hint="eastAsia" w:ascii="宋体" w:hAnsi="宋体" w:eastAsia="宋体" w:cs="宋体"/>
          <w:color w:val="auto"/>
          <w:sz w:val="24"/>
          <w:szCs w:val="24"/>
          <w:highlight w:val="none"/>
          <w:u w:val="none"/>
        </w:rPr>
        <w:t>提供虚假发票，除须向</w:t>
      </w:r>
      <w:r>
        <w:rPr>
          <w:rFonts w:hint="eastAsia" w:ascii="宋体" w:hAnsi="宋体" w:eastAsia="宋体" w:cs="宋体"/>
          <w:color w:val="auto"/>
          <w:sz w:val="24"/>
          <w:szCs w:val="24"/>
          <w:highlight w:val="none"/>
          <w:u w:val="none"/>
          <w:lang w:eastAsia="zh-CN"/>
        </w:rPr>
        <w:t>甲方</w:t>
      </w:r>
      <w:r>
        <w:rPr>
          <w:rFonts w:hint="eastAsia" w:ascii="宋体" w:hAnsi="宋体" w:eastAsia="宋体" w:cs="宋体"/>
          <w:color w:val="auto"/>
          <w:sz w:val="24"/>
          <w:szCs w:val="24"/>
          <w:highlight w:val="none"/>
          <w:u w:val="none"/>
        </w:rPr>
        <w:t>补开合法发票外，须赔偿</w:t>
      </w:r>
      <w:r>
        <w:rPr>
          <w:rFonts w:hint="eastAsia" w:ascii="宋体" w:hAnsi="宋体" w:eastAsia="宋体" w:cs="宋体"/>
          <w:color w:val="auto"/>
          <w:sz w:val="24"/>
          <w:szCs w:val="24"/>
          <w:highlight w:val="none"/>
          <w:u w:val="none"/>
          <w:lang w:eastAsia="zh-CN"/>
        </w:rPr>
        <w:t>甲方</w:t>
      </w:r>
      <w:r>
        <w:rPr>
          <w:rFonts w:hint="eastAsia" w:ascii="宋体" w:hAnsi="宋体" w:eastAsia="宋体" w:cs="宋体"/>
          <w:color w:val="auto"/>
          <w:sz w:val="24"/>
          <w:szCs w:val="24"/>
          <w:highlight w:val="none"/>
          <w:u w:val="none"/>
        </w:rPr>
        <w:t>发票票面金额一倍的违约金，且</w:t>
      </w:r>
      <w:r>
        <w:rPr>
          <w:rFonts w:hint="eastAsia" w:ascii="宋体" w:hAnsi="宋体" w:eastAsia="宋体" w:cs="宋体"/>
          <w:color w:val="auto"/>
          <w:sz w:val="24"/>
          <w:szCs w:val="24"/>
          <w:highlight w:val="none"/>
          <w:u w:val="none"/>
          <w:lang w:eastAsia="zh-CN"/>
        </w:rPr>
        <w:t>甲方</w:t>
      </w:r>
      <w:r>
        <w:rPr>
          <w:rFonts w:hint="eastAsia" w:ascii="宋体" w:hAnsi="宋体" w:eastAsia="宋体" w:cs="宋体"/>
          <w:color w:val="auto"/>
          <w:sz w:val="24"/>
          <w:szCs w:val="24"/>
          <w:highlight w:val="none"/>
          <w:u w:val="none"/>
        </w:rPr>
        <w:t>有权终止合同，</w:t>
      </w:r>
      <w:r>
        <w:rPr>
          <w:rFonts w:hint="eastAsia" w:ascii="宋体" w:hAnsi="宋体" w:eastAsia="宋体" w:cs="宋体"/>
          <w:color w:val="auto"/>
          <w:sz w:val="24"/>
          <w:szCs w:val="24"/>
          <w:highlight w:val="none"/>
          <w:u w:val="none"/>
          <w:lang w:val="en-US" w:eastAsia="zh-CN"/>
        </w:rPr>
        <w:t>乙方</w:t>
      </w:r>
      <w:r>
        <w:rPr>
          <w:rFonts w:hint="eastAsia" w:ascii="宋体" w:hAnsi="宋体" w:eastAsia="宋体" w:cs="宋体"/>
          <w:color w:val="auto"/>
          <w:sz w:val="24"/>
          <w:szCs w:val="24"/>
          <w:highlight w:val="none"/>
          <w:u w:val="none"/>
        </w:rPr>
        <w:t>不得提出异议，因终止合同而产生的一切损失均由</w:t>
      </w:r>
      <w:r>
        <w:rPr>
          <w:rFonts w:hint="eastAsia" w:ascii="宋体" w:hAnsi="宋体" w:eastAsia="宋体" w:cs="宋体"/>
          <w:color w:val="auto"/>
          <w:sz w:val="24"/>
          <w:szCs w:val="24"/>
          <w:highlight w:val="none"/>
          <w:u w:val="none"/>
          <w:lang w:eastAsia="zh-CN"/>
        </w:rPr>
        <w:t>乙方</w:t>
      </w:r>
      <w:r>
        <w:rPr>
          <w:rFonts w:hint="eastAsia" w:ascii="宋体" w:hAnsi="宋体" w:eastAsia="宋体" w:cs="宋体"/>
          <w:color w:val="auto"/>
          <w:sz w:val="24"/>
          <w:szCs w:val="24"/>
          <w:highlight w:val="none"/>
          <w:u w:val="none"/>
        </w:rPr>
        <w:t>承担。</w:t>
      </w:r>
    </w:p>
    <w:p>
      <w:pPr>
        <w:spacing w:line="360" w:lineRule="auto"/>
        <w:ind w:firstLine="482" w:firstLineChars="200"/>
        <w:jc w:val="left"/>
        <w:rPr>
          <w:rFonts w:hint="eastAsia" w:ascii="宋体" w:hAnsi="宋体" w:eastAsia="宋体" w:cs="宋体"/>
          <w:b/>
          <w:color w:val="auto"/>
          <w:kern w:val="0"/>
          <w:sz w:val="24"/>
          <w:szCs w:val="24"/>
          <w:lang w:eastAsia="zh-CN"/>
        </w:rPr>
      </w:pPr>
      <w:r>
        <w:rPr>
          <w:rFonts w:hint="eastAsia" w:ascii="宋体" w:hAnsi="宋体" w:cs="宋体"/>
          <w:b/>
          <w:color w:val="auto"/>
          <w:sz w:val="24"/>
          <w:szCs w:val="24"/>
          <w:lang w:eastAsia="zh-CN"/>
        </w:rPr>
        <w:t>九</w:t>
      </w: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eastAsia="zh-CN"/>
        </w:rPr>
        <w:t>权力保证</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1、乙方应保证所提供货物在使用时不会侵犯任何第三方的专利权、商标权、工业设计权或其他权利。</w:t>
      </w:r>
    </w:p>
    <w:p>
      <w:pPr>
        <w:wordWrap w:val="0"/>
        <w:spacing w:line="360" w:lineRule="auto"/>
        <w:ind w:firstLine="480" w:firstLineChars="200"/>
        <w:rPr>
          <w:rFonts w:hint="eastAsia" w:ascii="宋体" w:hAnsi="宋体" w:eastAsia="宋体" w:cs="宋体"/>
          <w:color w:val="auto"/>
          <w:sz w:val="24"/>
          <w:szCs w:val="24"/>
        </w:rPr>
      </w:pPr>
      <w:r>
        <w:rPr>
          <w:rFonts w:hint="default" w:ascii="宋体" w:hAnsi="宋体" w:eastAsia="宋体" w:cs="宋体"/>
          <w:color w:val="auto"/>
          <w:sz w:val="24"/>
          <w:szCs w:val="24"/>
        </w:rPr>
        <w:t>2</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rPr>
        <w:t>乙方应按招标文件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规定的时间向甲方提供使用货物的有关技术资料。</w:t>
      </w:r>
    </w:p>
    <w:p>
      <w:pPr>
        <w:wordWrap w:val="0"/>
        <w:spacing w:line="360" w:lineRule="auto"/>
        <w:ind w:firstLine="480" w:firstLineChars="200"/>
        <w:rPr>
          <w:rFonts w:hint="eastAsia" w:ascii="宋体" w:hAnsi="宋体" w:eastAsia="宋体" w:cs="宋体"/>
          <w:color w:val="auto"/>
          <w:sz w:val="24"/>
          <w:szCs w:val="24"/>
        </w:rPr>
      </w:pPr>
      <w:r>
        <w:rPr>
          <w:rFonts w:hint="default" w:ascii="宋体" w:hAnsi="宋体" w:eastAsia="宋体" w:cs="宋体"/>
          <w:color w:val="auto"/>
          <w:sz w:val="24"/>
          <w:szCs w:val="24"/>
        </w:rPr>
        <w:t>3</w:t>
      </w:r>
      <w:r>
        <w:rPr>
          <w:rFonts w:hint="eastAsia" w:ascii="宋体" w:hAnsi="宋体" w:eastAsia="宋体" w:cs="宋体"/>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ordWrap w:val="0"/>
        <w:spacing w:line="360" w:lineRule="auto"/>
        <w:ind w:firstLine="480" w:firstLineChars="200"/>
        <w:rPr>
          <w:rFonts w:hint="eastAsia" w:ascii="宋体" w:hAnsi="宋体" w:eastAsia="宋体" w:cs="宋体"/>
          <w:color w:val="auto"/>
          <w:sz w:val="24"/>
          <w:szCs w:val="24"/>
        </w:rPr>
      </w:pPr>
      <w:r>
        <w:rPr>
          <w:rFonts w:hint="default" w:ascii="宋体" w:hAnsi="宋体" w:eastAsia="宋体" w:cs="宋体"/>
          <w:color w:val="auto"/>
          <w:sz w:val="24"/>
          <w:szCs w:val="24"/>
        </w:rPr>
        <w:t>4</w:t>
      </w:r>
      <w:r>
        <w:rPr>
          <w:rFonts w:hint="eastAsia" w:ascii="宋体" w:hAnsi="宋体" w:eastAsia="宋体" w:cs="宋体"/>
          <w:color w:val="auto"/>
          <w:sz w:val="24"/>
          <w:szCs w:val="24"/>
        </w:rPr>
        <w:t>、</w:t>
      </w:r>
      <w:r>
        <w:rPr>
          <w:rFonts w:hint="eastAsia" w:ascii="宋体" w:hAnsi="宋体" w:eastAsia="宋体" w:cs="Times New Roman"/>
          <w:color w:val="auto"/>
          <w:sz w:val="24"/>
          <w:szCs w:val="24"/>
          <w:lang w:val="en-US" w:eastAsia="zh-Hans"/>
        </w:rPr>
        <w:t>乙方应保证</w:t>
      </w:r>
      <w:r>
        <w:rPr>
          <w:rFonts w:hint="eastAsia" w:ascii="宋体" w:hAnsi="宋体" w:eastAsia="宋体" w:cs="Times New Roman"/>
          <w:color w:val="auto"/>
          <w:sz w:val="24"/>
          <w:szCs w:val="24"/>
        </w:rPr>
        <w:t>货物的所有权就归乙方所有或者有权处分，</w:t>
      </w:r>
      <w:r>
        <w:rPr>
          <w:rFonts w:hint="eastAsia" w:ascii="宋体" w:hAnsi="宋体" w:eastAsia="宋体" w:cs="宋体"/>
          <w:color w:val="auto"/>
          <w:sz w:val="24"/>
          <w:szCs w:val="24"/>
        </w:rPr>
        <w:t>乙方保证所交付的货物的所有权完全属于乙方且无任何抵押、质押、查封等产权瑕疵。</w:t>
      </w:r>
    </w:p>
    <w:p>
      <w:pPr>
        <w:wordWrap w:val="0"/>
        <w:spacing w:line="360" w:lineRule="auto"/>
        <w:ind w:firstLine="480" w:firstLineChars="200"/>
        <w:rPr>
          <w:rFonts w:hint="eastAsia" w:ascii="宋体" w:hAnsi="宋体" w:eastAsia="宋体" w:cs="宋体"/>
          <w:b/>
          <w:color w:val="auto"/>
          <w:kern w:val="0"/>
          <w:sz w:val="24"/>
          <w:szCs w:val="24"/>
          <w:lang w:eastAsia="zh-CN"/>
        </w:rPr>
      </w:pPr>
      <w:r>
        <w:rPr>
          <w:rFonts w:hint="default" w:ascii="宋体" w:hAnsi="宋体" w:eastAsia="宋体" w:cs="宋体"/>
          <w:color w:val="auto"/>
          <w:sz w:val="24"/>
          <w:szCs w:val="24"/>
        </w:rPr>
        <w:t>5</w:t>
      </w:r>
      <w:r>
        <w:rPr>
          <w:rFonts w:hint="eastAsia" w:ascii="宋体" w:hAnsi="宋体" w:eastAsia="宋体" w:cs="宋体"/>
          <w:color w:val="auto"/>
          <w:sz w:val="24"/>
          <w:szCs w:val="24"/>
        </w:rPr>
        <w:t>、乙方就交付给甲方的货物，负有保证第三人不得向甲方主张任何权利的义务。</w:t>
      </w:r>
    </w:p>
    <w:p>
      <w:pPr>
        <w:spacing w:line="360" w:lineRule="auto"/>
        <w:ind w:firstLine="482" w:firstLineChars="200"/>
        <w:jc w:val="left"/>
        <w:rPr>
          <w:rFonts w:hint="eastAsia" w:ascii="宋体" w:hAnsi="宋体" w:eastAsia="宋体" w:cs="宋体"/>
          <w:b/>
          <w:color w:val="auto"/>
          <w:kern w:val="0"/>
          <w:sz w:val="24"/>
          <w:szCs w:val="24"/>
        </w:rPr>
      </w:pPr>
      <w:r>
        <w:rPr>
          <w:rFonts w:hint="eastAsia" w:ascii="宋体" w:hAnsi="宋体" w:cs="宋体"/>
          <w:b/>
          <w:color w:val="auto"/>
          <w:kern w:val="0"/>
          <w:sz w:val="24"/>
          <w:szCs w:val="24"/>
          <w:lang w:eastAsia="zh-CN"/>
        </w:rPr>
        <w:t>十</w:t>
      </w:r>
      <w:r>
        <w:rPr>
          <w:rFonts w:hint="eastAsia" w:ascii="宋体" w:hAnsi="宋体" w:eastAsia="宋体" w:cs="宋体"/>
          <w:b/>
          <w:color w:val="auto"/>
          <w:kern w:val="0"/>
          <w:sz w:val="24"/>
          <w:szCs w:val="24"/>
          <w:lang w:eastAsia="zh-CN"/>
        </w:rPr>
        <w:t>、</w:t>
      </w:r>
      <w:r>
        <w:rPr>
          <w:rFonts w:hint="eastAsia" w:ascii="宋体" w:hAnsi="宋体" w:eastAsia="宋体" w:cs="宋体"/>
          <w:b/>
          <w:bCs/>
          <w:color w:val="auto"/>
          <w:sz w:val="24"/>
          <w:szCs w:val="24"/>
        </w:rPr>
        <w:t>违约责任</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2、乙方提供的货物如侵犯了第三方合法权益而引发的任何纠纷或诉讼，均由乙方负责交涉并承担全部责任。</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3、因包装、运输引起的货物损坏，按质量不合格处理。</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4、甲方无故延期接收货物、乙方逾期交货的，每天向对方偿付违约货款额3‰违约金，但违约金累计不得超过违约货款额</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，超过</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天对方有权解除合同，违约方承担因此给对方造成的经济损失，甲方延期付货款的，每天向乙方偿付延期货款额</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滞纳金，但滞纳金累计不得超过延期货款额</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 xml:space="preserve">。 </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5、乙方未按本合同和投标文件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中规定的服务承诺提供售后服务的，乙方应每次向甲方支付违约金壹万元。</w:t>
      </w:r>
    </w:p>
    <w:p>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6、乙方提供的货物在</w:t>
      </w:r>
      <w:r>
        <w:rPr>
          <w:rFonts w:hint="eastAsia" w:ascii="宋体" w:hAnsi="宋体" w:eastAsia="宋体" w:cs="宋体"/>
          <w:color w:val="auto"/>
          <w:sz w:val="24"/>
          <w:szCs w:val="24"/>
          <w:lang w:eastAsia="zh-CN"/>
        </w:rPr>
        <w:t>维保期</w:t>
      </w:r>
      <w:r>
        <w:rPr>
          <w:rFonts w:hint="eastAsia" w:ascii="宋体" w:hAnsi="宋体" w:eastAsia="宋体" w:cs="宋体"/>
          <w:color w:val="auto"/>
          <w:sz w:val="24"/>
          <w:szCs w:val="24"/>
        </w:rPr>
        <w:t>内，因设计、工艺或材料的缺陷和其它质量原因造成的问题，由乙方负责，费用从剩余款项中扣除，不足另补。</w:t>
      </w:r>
    </w:p>
    <w:p>
      <w:pPr>
        <w:wordWrap w:val="0"/>
        <w:spacing w:line="360" w:lineRule="auto"/>
        <w:ind w:firstLine="480" w:firstLineChars="200"/>
        <w:rPr>
          <w:rFonts w:hint="eastAsia" w:ascii="宋体" w:hAnsi="宋体" w:eastAsia="宋体" w:cs="宋体"/>
          <w:b/>
          <w:color w:val="auto"/>
          <w:kern w:val="0"/>
          <w:sz w:val="24"/>
          <w:szCs w:val="24"/>
        </w:rPr>
      </w:pPr>
      <w:r>
        <w:rPr>
          <w:rFonts w:hint="eastAsia" w:ascii="宋体" w:hAnsi="宋体" w:eastAsia="宋体" w:cs="宋体"/>
          <w:color w:val="auto"/>
          <w:sz w:val="24"/>
          <w:szCs w:val="24"/>
        </w:rPr>
        <w:t>7、其它违约行为按违约货款额5%收取违约金并赔偿经济损失。</w:t>
      </w:r>
    </w:p>
    <w:p>
      <w:pPr>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kern w:val="0"/>
          <w:sz w:val="24"/>
          <w:szCs w:val="24"/>
          <w:lang w:eastAsia="zh-CN"/>
        </w:rPr>
        <w:t>十</w:t>
      </w:r>
      <w:r>
        <w:rPr>
          <w:rFonts w:hint="eastAsia" w:ascii="宋体" w:hAnsi="宋体" w:cs="宋体"/>
          <w:b/>
          <w:color w:val="auto"/>
          <w:kern w:val="0"/>
          <w:sz w:val="24"/>
          <w:szCs w:val="24"/>
          <w:lang w:eastAsia="zh-CN"/>
        </w:rPr>
        <w:t>一</w:t>
      </w:r>
      <w:r>
        <w:rPr>
          <w:rFonts w:hint="eastAsia" w:ascii="宋体" w:hAnsi="宋体" w:eastAsia="宋体" w:cs="宋体"/>
          <w:b/>
          <w:color w:val="auto"/>
          <w:kern w:val="0"/>
          <w:sz w:val="24"/>
          <w:szCs w:val="24"/>
          <w:lang w:eastAsia="zh-CN"/>
        </w:rPr>
        <w:t>、</w:t>
      </w:r>
      <w:r>
        <w:rPr>
          <w:rFonts w:hint="eastAsia" w:ascii="宋体" w:hAnsi="宋体" w:eastAsia="宋体" w:cs="宋体"/>
          <w:b/>
          <w:color w:val="auto"/>
          <w:sz w:val="24"/>
          <w:szCs w:val="24"/>
        </w:rPr>
        <w:t>货物所有权及风险转移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1、货物的所有权就应归乙方所有或者有权处分，乙方就交付给甲方的货物，负有保证第三人不得向甲方主张任何权利的义务。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2、货物毁损、灭失的风险，在货物交付之前由乙方承担，交付之后由甲方承担。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3、在甲方未付清全部货款前，本合同附件所列设备无论在何地点，所有权均归乙方所有，乙方有权在本合同无法履行的前提下，以任何方式收回已交付甲方的所有设备。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不可抗力事件延续一百二十天以上，双方应通过友好协商，确定是否继续履行合同</w:t>
      </w:r>
    </w:p>
    <w:p>
      <w:pPr>
        <w:widowControl/>
        <w:spacing w:line="360" w:lineRule="auto"/>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十</w:t>
      </w:r>
      <w:r>
        <w:rPr>
          <w:rFonts w:hint="eastAsia" w:ascii="宋体" w:hAnsi="宋体" w:cs="宋体"/>
          <w:b/>
          <w:bCs/>
          <w:color w:val="auto"/>
          <w:kern w:val="0"/>
          <w:sz w:val="24"/>
          <w:szCs w:val="24"/>
          <w:lang w:eastAsia="zh-CN"/>
        </w:rPr>
        <w:t>二</w:t>
      </w:r>
      <w:r>
        <w:rPr>
          <w:rFonts w:hint="eastAsia" w:ascii="宋体" w:hAnsi="宋体" w:eastAsia="宋体" w:cs="宋体"/>
          <w:b/>
          <w:bCs/>
          <w:color w:val="auto"/>
          <w:kern w:val="0"/>
          <w:sz w:val="24"/>
          <w:szCs w:val="24"/>
        </w:rPr>
        <w:t>、争议解决</w:t>
      </w:r>
    </w:p>
    <w:p>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1、因货物质量问题发生争议的，应邀请国家认可的质量检测机构对货物质量进行鉴定。货物符合标准的，鉴定费由甲方承担；货物不符合标准的，鉴定费由乙方承担。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2、因履行本合同引起的或与本合同有关的争议，甲乙双方应首先通过友好协商解决，如果协商不能解决，可向甲方所在地人民法院提起诉讼。</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、解决合同纠纷产生的律师费、诉讼费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诉讼保险</w:t>
      </w:r>
      <w:r>
        <w:rPr>
          <w:rFonts w:hint="eastAsia" w:ascii="宋体" w:hAnsi="宋体" w:eastAsia="宋体" w:cs="宋体"/>
          <w:color w:val="auto"/>
          <w:sz w:val="24"/>
          <w:szCs w:val="24"/>
        </w:rPr>
        <w:t>等各种有关费用,由败诉方承担。</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、诉讼期间，本合同继续履行。</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eastAsia="zh-CN"/>
        </w:rPr>
        <w:t>十</w:t>
      </w:r>
      <w:r>
        <w:rPr>
          <w:rFonts w:hint="eastAsia" w:ascii="宋体" w:hAnsi="宋体" w:cs="宋体"/>
          <w:b/>
          <w:bCs/>
          <w:color w:val="auto"/>
          <w:kern w:val="0"/>
          <w:sz w:val="24"/>
          <w:szCs w:val="24"/>
          <w:lang w:eastAsia="zh-CN"/>
        </w:rPr>
        <w:t>三</w:t>
      </w:r>
      <w:r>
        <w:rPr>
          <w:rFonts w:hint="eastAsia" w:ascii="宋体" w:hAnsi="宋体" w:eastAsia="宋体" w:cs="宋体"/>
          <w:b/>
          <w:bCs/>
          <w:color w:val="auto"/>
          <w:kern w:val="0"/>
          <w:sz w:val="24"/>
          <w:szCs w:val="24"/>
        </w:rPr>
        <w:t>、</w:t>
      </w:r>
      <w:r>
        <w:rPr>
          <w:rFonts w:hint="eastAsia" w:ascii="宋体" w:hAnsi="宋体" w:eastAsia="宋体" w:cs="宋体"/>
          <w:b/>
          <w:bCs/>
          <w:color w:val="auto"/>
          <w:sz w:val="24"/>
          <w:szCs w:val="24"/>
        </w:rPr>
        <w:t>合同的变更、终止与转让</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1、本合同一经签订，甲乙双方不得擅自变更、中止或终止。</w:t>
      </w:r>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2、乙方不得擅自转让（无进口资格的供应商委托进口货物除外）其应履行的合同义务。</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kern w:val="0"/>
          <w:sz w:val="24"/>
          <w:szCs w:val="24"/>
          <w:lang w:eastAsia="zh-CN"/>
        </w:rPr>
        <w:t>十</w:t>
      </w:r>
      <w:r>
        <w:rPr>
          <w:rFonts w:hint="eastAsia" w:ascii="宋体" w:hAnsi="宋体" w:cs="宋体"/>
          <w:b/>
          <w:bCs/>
          <w:color w:val="auto"/>
          <w:kern w:val="0"/>
          <w:sz w:val="24"/>
          <w:szCs w:val="24"/>
          <w:lang w:eastAsia="zh-CN"/>
        </w:rPr>
        <w:t>四</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1、收货确认单作为本合同的有效组成部分，与本协议具有同等法律效力。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2、本合同未尽事宜，可经双方协商签订书面补充协议，补充协议的内容与本合同的内容不一致的，以补充协议的内容为准。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3、本合同一式</w:t>
      </w:r>
      <w:r>
        <w:rPr>
          <w:rFonts w:hint="eastAsia" w:ascii="宋体" w:hAnsi="宋体" w:eastAsia="宋体" w:cs="宋体"/>
          <w:color w:val="auto"/>
          <w:sz w:val="24"/>
          <w:szCs w:val="24"/>
          <w:lang w:eastAsia="zh-CN"/>
        </w:rPr>
        <w:t>陆</w:t>
      </w:r>
      <w:r>
        <w:rPr>
          <w:rFonts w:hint="eastAsia" w:ascii="宋体" w:hAnsi="宋体" w:eastAsia="宋体" w:cs="宋体"/>
          <w:color w:val="auto"/>
          <w:sz w:val="24"/>
          <w:szCs w:val="24"/>
        </w:rPr>
        <w:t>份，甲方执</w:t>
      </w:r>
      <w:r>
        <w:rPr>
          <w:rFonts w:hint="eastAsia" w:ascii="宋体" w:hAnsi="宋体" w:eastAsia="宋体" w:cs="宋体"/>
          <w:color w:val="auto"/>
          <w:sz w:val="24"/>
          <w:szCs w:val="24"/>
          <w:lang w:eastAsia="zh-CN"/>
        </w:rPr>
        <w:t>叁</w:t>
      </w:r>
      <w:r>
        <w:rPr>
          <w:rFonts w:hint="eastAsia" w:ascii="宋体" w:hAnsi="宋体" w:eastAsia="宋体" w:cs="宋体"/>
          <w:color w:val="auto"/>
          <w:sz w:val="24"/>
          <w:szCs w:val="24"/>
        </w:rPr>
        <w:t>份，乙方执贰份，</w:t>
      </w:r>
      <w:r>
        <w:rPr>
          <w:rFonts w:hint="eastAsia" w:ascii="宋体" w:hAnsi="宋体" w:eastAsia="宋体" w:cs="宋体"/>
          <w:color w:val="auto"/>
          <w:sz w:val="24"/>
          <w:szCs w:val="24"/>
          <w:lang w:val="en-US" w:eastAsia="zh-CN"/>
        </w:rPr>
        <w:t>代理机构执壹份，</w:t>
      </w:r>
      <w:r>
        <w:rPr>
          <w:rFonts w:hint="eastAsia" w:ascii="宋体" w:hAnsi="宋体" w:eastAsia="宋体" w:cs="宋体"/>
          <w:color w:val="auto"/>
          <w:sz w:val="24"/>
          <w:szCs w:val="24"/>
        </w:rPr>
        <w:t>经甲、乙双方各自授权代表签字并加盖双方各自公章或合同专用章后生效。</w:t>
      </w:r>
    </w:p>
    <w:p>
      <w:pPr>
        <w:wordWrap w:val="0"/>
        <w:snapToGrid w:val="0"/>
        <w:spacing w:line="360" w:lineRule="auto"/>
        <w:ind w:firstLine="420" w:firstLineChars="200"/>
        <w:rPr>
          <w:rFonts w:hint="eastAsia" w:ascii="宋体" w:hAnsi="宋体" w:eastAsia="宋体" w:cs="宋体"/>
          <w:color w:val="auto"/>
          <w:sz w:val="21"/>
          <w:szCs w:val="21"/>
        </w:rPr>
      </w:pPr>
    </w:p>
    <w:tbl>
      <w:tblPr>
        <w:tblStyle w:val="24"/>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甲方（章） </w:t>
            </w:r>
            <w:r>
              <w:rPr>
                <w:rFonts w:hint="eastAsia" w:ascii="宋体" w:hAnsi="宋体" w:eastAsia="宋体" w:cs="宋体"/>
                <w:b/>
                <w:bCs/>
                <w:color w:val="auto"/>
                <w:sz w:val="24"/>
                <w:szCs w:val="24"/>
                <w:lang w:eastAsia="zh-CN"/>
              </w:rPr>
              <w:t>广西医科大学第一附属医院</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pPr>
              <w:snapToGrid w:val="0"/>
              <w:spacing w:before="120" w:line="360" w:lineRule="auto"/>
              <w:ind w:firstLine="1080" w:firstLineChars="45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乙方（章）</w:t>
            </w:r>
            <w:r>
              <w:rPr>
                <w:rFonts w:hint="eastAsia" w:ascii="宋体" w:hAnsi="宋体" w:eastAsia="宋体" w:cs="宋体"/>
                <w:color w:val="auto"/>
                <w:sz w:val="24"/>
                <w:szCs w:val="24"/>
              </w:rPr>
              <w:t xml:space="preserve">              </w:t>
            </w:r>
          </w:p>
          <w:p>
            <w:pPr>
              <w:snapToGrid w:val="0"/>
              <w:spacing w:before="120"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单位地址：广西南宁市双拥路6号</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电话：0771-5356387</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lang w:eastAsia="zh-CN"/>
              </w:rPr>
              <w:t>广西南宁建行医科大支行</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eastAsia="宋体" w:cs="宋体"/>
                <w:color w:val="auto"/>
                <w:sz w:val="24"/>
                <w:szCs w:val="24"/>
                <w:lang w:val="en-US" w:eastAsia="zh-CN"/>
              </w:rPr>
              <w:t>4500 1604 5600 5050 1061</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r>
    </w:tbl>
    <w:p>
      <w:pPr>
        <w:spacing w:before="120" w:line="320" w:lineRule="atLeast"/>
        <w:jc w:val="left"/>
        <w:outlineLvl w:val="1"/>
        <w:rPr>
          <w:rFonts w:hint="eastAsia" w:ascii="宋体" w:hAnsi="宋体" w:eastAsia="宋体" w:cs="宋体"/>
          <w:color w:val="auto"/>
          <w:sz w:val="24"/>
          <w:szCs w:val="24"/>
        </w:rPr>
      </w:pPr>
    </w:p>
    <w:p>
      <w:pPr>
        <w:spacing w:line="360" w:lineRule="auto"/>
        <w:outlineLvl w:val="0"/>
        <w:rPr>
          <w:rFonts w:ascii="宋体" w:hAnsi="宋体" w:cs="宋体"/>
          <w:b/>
          <w:color w:val="auto"/>
          <w:sz w:val="36"/>
          <w:szCs w:val="20"/>
        </w:rPr>
      </w:pPr>
    </w:p>
    <w:p>
      <w:pPr>
        <w:pStyle w:val="14"/>
        <w:spacing w:line="360" w:lineRule="auto"/>
        <w:ind w:left="178" w:leftChars="85"/>
        <w:rPr>
          <w:rFonts w:hAnsi="宋体" w:cs="宋体"/>
          <w:color w:val="auto"/>
        </w:rPr>
      </w:pPr>
      <w:r>
        <w:rPr>
          <w:rFonts w:hint="eastAsia" w:hAnsi="宋体" w:cs="宋体"/>
          <w:color w:val="auto"/>
        </w:rPr>
        <w:br w:type="page"/>
      </w: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outlineLvl w:val="0"/>
        <w:rPr>
          <w:rFonts w:hAnsi="宋体" w:cs="宋体"/>
          <w:b/>
          <w:color w:val="auto"/>
          <w:sz w:val="36"/>
        </w:rPr>
      </w:pPr>
      <w:bookmarkStart w:id="220" w:name="_Toc7880"/>
      <w:bookmarkStart w:id="221" w:name="_Toc20288"/>
      <w:bookmarkStart w:id="222" w:name="_Toc23759"/>
      <w:bookmarkStart w:id="223" w:name="_Toc14291"/>
      <w:r>
        <w:rPr>
          <w:rFonts w:hint="eastAsia" w:hAnsi="宋体" w:cs="宋体"/>
          <w:b/>
          <w:color w:val="auto"/>
          <w:sz w:val="36"/>
        </w:rPr>
        <w:t>第六章 投标文件格式</w:t>
      </w:r>
      <w:bookmarkEnd w:id="220"/>
      <w:bookmarkEnd w:id="221"/>
      <w:bookmarkEnd w:id="222"/>
      <w:bookmarkEnd w:id="223"/>
    </w:p>
    <w:p>
      <w:pPr>
        <w:pStyle w:val="14"/>
        <w:ind w:firstLine="411" w:firstLineChars="196"/>
        <w:jc w:val="center"/>
        <w:outlineLvl w:val="1"/>
        <w:rPr>
          <w:rFonts w:hAnsi="宋体" w:cs="宋体"/>
          <w:b/>
          <w:bCs/>
          <w:color w:val="auto"/>
          <w:sz w:val="28"/>
          <w:szCs w:val="28"/>
        </w:rPr>
      </w:pPr>
      <w:bookmarkStart w:id="224" w:name="_Toc24554"/>
      <w:bookmarkStart w:id="225" w:name="_Toc22716"/>
      <w:bookmarkStart w:id="226" w:name="_Toc5213"/>
      <w:bookmarkStart w:id="227" w:name="_Toc1470"/>
      <w:r>
        <w:rPr>
          <w:rFonts w:hint="eastAsia" w:hAnsi="宋体" w:cs="宋体"/>
          <w:color w:val="auto"/>
        </w:rPr>
        <w:br w:type="page"/>
      </w:r>
      <w:bookmarkEnd w:id="224"/>
      <w:bookmarkEnd w:id="225"/>
      <w:bookmarkEnd w:id="226"/>
      <w:bookmarkEnd w:id="227"/>
      <w:bookmarkStart w:id="228" w:name="_Toc18461"/>
      <w:r>
        <w:rPr>
          <w:rFonts w:hint="eastAsia" w:hAnsi="宋体" w:cs="宋体"/>
          <w:b/>
          <w:bCs/>
          <w:color w:val="auto"/>
          <w:sz w:val="28"/>
          <w:szCs w:val="28"/>
        </w:rPr>
        <w:t>第一节 投标文件封面</w:t>
      </w:r>
      <w:bookmarkEnd w:id="228"/>
    </w:p>
    <w:p>
      <w:pPr>
        <w:spacing w:beforeLines="50" w:afterLines="50"/>
        <w:jc w:val="center"/>
        <w:rPr>
          <w:rFonts w:ascii="宋体" w:hAnsi="宋体" w:cs="宋体"/>
          <w:color w:val="auto"/>
          <w:spacing w:val="20"/>
          <w:sz w:val="44"/>
          <w:szCs w:val="44"/>
        </w:rPr>
      </w:pPr>
    </w:p>
    <w:p>
      <w:pPr>
        <w:spacing w:beforeLines="50" w:afterLines="50"/>
        <w:jc w:val="center"/>
        <w:rPr>
          <w:rFonts w:ascii="宋体" w:hAnsi="宋体" w:cs="宋体"/>
          <w:color w:val="auto"/>
          <w:spacing w:val="20"/>
          <w:sz w:val="44"/>
          <w:szCs w:val="44"/>
        </w:rPr>
      </w:pPr>
    </w:p>
    <w:p>
      <w:pPr>
        <w:spacing w:beforeLines="50" w:afterLines="50"/>
        <w:jc w:val="center"/>
        <w:rPr>
          <w:rFonts w:ascii="宋体" w:hAnsi="宋体" w:cs="宋体"/>
          <w:color w:val="auto"/>
          <w:spacing w:val="40"/>
          <w:w w:val="110"/>
          <w:sz w:val="44"/>
          <w:szCs w:val="44"/>
        </w:rPr>
      </w:pPr>
      <w:r>
        <w:rPr>
          <w:rFonts w:hint="eastAsia" w:ascii="宋体" w:hAnsi="宋体" w:cs="宋体"/>
          <w:color w:val="auto"/>
          <w:spacing w:val="40"/>
          <w:w w:val="110"/>
          <w:sz w:val="44"/>
          <w:szCs w:val="44"/>
        </w:rPr>
        <w:t>投标文件</w:t>
      </w:r>
    </w:p>
    <w:p>
      <w:pPr>
        <w:jc w:val="center"/>
        <w:rPr>
          <w:rFonts w:ascii="宋体" w:hAnsi="宋体" w:cs="宋体"/>
          <w:color w:val="auto"/>
          <w:sz w:val="24"/>
        </w:rPr>
      </w:pPr>
      <w:r>
        <w:rPr>
          <w:rFonts w:hint="eastAsia" w:ascii="宋体" w:hAnsi="宋体" w:cs="宋体"/>
          <w:color w:val="auto"/>
          <w:sz w:val="24"/>
        </w:rPr>
        <w:t>（电子投标文件）</w:t>
      </w:r>
    </w:p>
    <w:tbl>
      <w:tblPr>
        <w:tblStyle w:val="24"/>
        <w:tblW w:w="8520" w:type="dxa"/>
        <w:jc w:val="center"/>
        <w:tblInd w:w="0" w:type="dxa"/>
        <w:tblLayout w:type="fixed"/>
        <w:tblCellMar>
          <w:top w:w="0" w:type="dxa"/>
          <w:left w:w="108" w:type="dxa"/>
          <w:bottom w:w="0" w:type="dxa"/>
          <w:right w:w="108" w:type="dxa"/>
        </w:tblCellMar>
      </w:tblPr>
      <w:tblGrid>
        <w:gridCol w:w="1755"/>
        <w:gridCol w:w="6765"/>
      </w:tblGrid>
      <w:tr>
        <w:tblPrEx>
          <w:tblLayout w:type="fixed"/>
          <w:tblCellMar>
            <w:top w:w="0" w:type="dxa"/>
            <w:left w:w="108" w:type="dxa"/>
            <w:bottom w:w="0" w:type="dxa"/>
            <w:right w:w="108" w:type="dxa"/>
          </w:tblCellMar>
        </w:tblPrEx>
        <w:trPr>
          <w:trHeight w:val="1122" w:hRule="atLeast"/>
          <w:jc w:val="center"/>
        </w:trPr>
        <w:tc>
          <w:tcPr>
            <w:tcW w:w="1755" w:type="dxa"/>
            <w:noWrap/>
            <w:vAlign w:val="bottom"/>
          </w:tcPr>
          <w:p>
            <w:pPr>
              <w:jc w:val="distribute"/>
              <w:rPr>
                <w:rFonts w:ascii="宋体" w:hAnsi="宋体" w:cs="宋体"/>
                <w:color w:val="auto"/>
                <w:sz w:val="24"/>
              </w:rPr>
            </w:pPr>
            <w:r>
              <w:rPr>
                <w:rFonts w:hint="eastAsia" w:ascii="宋体" w:hAnsi="宋体" w:cs="宋体"/>
                <w:color w:val="auto"/>
                <w:sz w:val="24"/>
              </w:rPr>
              <w:t>项目名称：</w:t>
            </w:r>
          </w:p>
        </w:tc>
        <w:tc>
          <w:tcPr>
            <w:tcW w:w="6765" w:type="dxa"/>
            <w:tcBorders>
              <w:top w:val="nil"/>
              <w:left w:val="nil"/>
              <w:bottom w:val="single" w:color="000000" w:sz="4" w:space="0"/>
              <w:right w:val="nil"/>
            </w:tcBorders>
            <w:noWrap/>
            <w:vAlign w:val="bottom"/>
          </w:tcPr>
          <w:p>
            <w:pPr>
              <w:jc w:val="left"/>
              <w:rPr>
                <w:rFonts w:ascii="宋体" w:hAnsi="宋体" w:cs="宋体"/>
                <w:color w:val="auto"/>
                <w:sz w:val="24"/>
              </w:rPr>
            </w:pPr>
          </w:p>
        </w:tc>
      </w:tr>
      <w:tr>
        <w:tblPrEx>
          <w:tblLayout w:type="fixed"/>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color w:val="auto"/>
                <w:sz w:val="24"/>
              </w:rPr>
            </w:pPr>
            <w:r>
              <w:rPr>
                <w:rFonts w:hint="eastAsia" w:ascii="宋体" w:hAnsi="宋体" w:cs="宋体"/>
                <w:color w:val="auto"/>
                <w:sz w:val="24"/>
              </w:rPr>
              <w:t>采购方式：</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color w:val="auto"/>
                <w:sz w:val="24"/>
              </w:rPr>
            </w:pPr>
            <w:bookmarkStart w:id="229" w:name="PO_3000001867_PM003"/>
            <w:r>
              <w:rPr>
                <w:rFonts w:hint="eastAsia" w:ascii="宋体" w:hAnsi="宋体" w:cs="宋体"/>
                <w:color w:val="auto"/>
                <w:sz w:val="24"/>
              </w:rPr>
              <w:t>在线投标响应</w:t>
            </w:r>
            <w:bookmarkEnd w:id="229"/>
          </w:p>
        </w:tc>
      </w:tr>
      <w:tr>
        <w:tblPrEx>
          <w:tblLayout w:type="fixed"/>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color w:val="auto"/>
                <w:sz w:val="24"/>
              </w:rPr>
            </w:pPr>
            <w:r>
              <w:rPr>
                <w:rFonts w:hint="eastAsia" w:ascii="宋体" w:hAnsi="宋体" w:cs="宋体"/>
                <w:color w:val="auto"/>
                <w:sz w:val="24"/>
              </w:rPr>
              <w:t>项目编号：</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color w:val="auto"/>
                <w:sz w:val="24"/>
              </w:rPr>
            </w:pPr>
          </w:p>
        </w:tc>
      </w:tr>
      <w:tr>
        <w:tblPrEx>
          <w:tblLayout w:type="fixed"/>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color w:val="auto"/>
                <w:sz w:val="24"/>
              </w:rPr>
            </w:pPr>
            <w:r>
              <w:rPr>
                <w:rFonts w:hint="eastAsia" w:ascii="宋体" w:hAnsi="宋体" w:cs="宋体"/>
                <w:color w:val="auto"/>
                <w:sz w:val="24"/>
              </w:rPr>
              <w:t>所投分标：</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color w:val="auto"/>
                <w:sz w:val="24"/>
              </w:rPr>
            </w:pPr>
            <w:r>
              <w:rPr>
                <w:rFonts w:hint="eastAsia" w:ascii="宋体" w:hAnsi="宋体" w:cs="宋体"/>
                <w:i/>
                <w:iCs/>
                <w:color w:val="auto"/>
                <w:sz w:val="24"/>
              </w:rPr>
              <w:t>（如有则填写，无分标时填写“无”或者留空）</w:t>
            </w:r>
          </w:p>
        </w:tc>
      </w:tr>
      <w:tr>
        <w:tblPrEx>
          <w:tblLayout w:type="fixed"/>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color w:val="auto"/>
                <w:sz w:val="24"/>
              </w:rPr>
            </w:pPr>
            <w:r>
              <w:rPr>
                <w:rFonts w:hint="eastAsia" w:ascii="宋体" w:hAnsi="宋体" w:cs="宋体"/>
                <w:color w:val="auto"/>
                <w:sz w:val="24"/>
              </w:rPr>
              <w:t>投标人名称：</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color w:val="auto"/>
                <w:sz w:val="24"/>
              </w:rPr>
            </w:pPr>
          </w:p>
        </w:tc>
      </w:tr>
      <w:tr>
        <w:tblPrEx>
          <w:tblLayout w:type="fixed"/>
          <w:tblCellMar>
            <w:top w:w="0" w:type="dxa"/>
            <w:left w:w="108" w:type="dxa"/>
            <w:bottom w:w="0" w:type="dxa"/>
            <w:right w:w="108" w:type="dxa"/>
          </w:tblCellMar>
        </w:tblPrEx>
        <w:trPr>
          <w:trHeight w:val="597" w:hRule="atLeast"/>
          <w:jc w:val="center"/>
        </w:trPr>
        <w:tc>
          <w:tcPr>
            <w:tcW w:w="1755" w:type="dxa"/>
            <w:noWrap/>
            <w:vAlign w:val="bottom"/>
          </w:tcPr>
          <w:p>
            <w:pPr>
              <w:jc w:val="distribute"/>
              <w:rPr>
                <w:rFonts w:ascii="宋体" w:hAnsi="宋体" w:cs="宋体"/>
                <w:color w:val="auto"/>
                <w:sz w:val="24"/>
              </w:rPr>
            </w:pPr>
            <w:r>
              <w:rPr>
                <w:rFonts w:hint="eastAsia" w:ascii="宋体" w:hAnsi="宋体" w:cs="宋体"/>
                <w:color w:val="auto"/>
                <w:sz w:val="24"/>
              </w:rPr>
              <w:t>投标人地址：</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color w:val="auto"/>
                <w:sz w:val="24"/>
              </w:rPr>
            </w:pPr>
          </w:p>
        </w:tc>
      </w:tr>
    </w:tbl>
    <w:p>
      <w:pPr>
        <w:ind w:firstLine="4200" w:firstLineChars="1750"/>
        <w:rPr>
          <w:rFonts w:ascii="宋体" w:hAnsi="宋体" w:cs="宋体"/>
          <w:color w:val="auto"/>
          <w:sz w:val="24"/>
        </w:rPr>
      </w:pPr>
    </w:p>
    <w:p>
      <w:pPr>
        <w:ind w:firstLine="4200" w:firstLineChars="1750"/>
        <w:rPr>
          <w:rFonts w:ascii="宋体" w:hAnsi="宋体" w:cs="宋体"/>
          <w:color w:val="auto"/>
          <w:sz w:val="24"/>
        </w:rPr>
      </w:pPr>
    </w:p>
    <w:p>
      <w:pPr>
        <w:ind w:firstLine="4200" w:firstLineChars="1750"/>
        <w:rPr>
          <w:rFonts w:ascii="宋体" w:hAnsi="宋体" w:cs="宋体"/>
          <w:color w:val="auto"/>
          <w:sz w:val="24"/>
        </w:rPr>
      </w:pPr>
    </w:p>
    <w:p>
      <w:pPr>
        <w:ind w:firstLine="5880" w:firstLineChars="2450"/>
        <w:rPr>
          <w:rFonts w:ascii="宋体" w:hAnsi="宋体" w:cs="宋体"/>
          <w:color w:val="auto"/>
          <w:sz w:val="24"/>
        </w:rPr>
      </w:pPr>
      <w:r>
        <w:rPr>
          <w:rFonts w:hint="eastAsia" w:ascii="宋体" w:hAnsi="宋体" w:cs="宋体"/>
          <w:color w:val="auto"/>
          <w:sz w:val="24"/>
        </w:rPr>
        <w:t>投标截止时间前不得解密</w:t>
      </w:r>
    </w:p>
    <w:p>
      <w:pPr>
        <w:ind w:firstLine="6480" w:firstLineChars="2700"/>
        <w:rPr>
          <w:rFonts w:ascii="宋体" w:hAnsi="宋体" w:cs="宋体"/>
          <w:color w:val="auto"/>
          <w:sz w:val="24"/>
        </w:rPr>
      </w:pPr>
      <w:r>
        <w:rPr>
          <w:rFonts w:hint="eastAsia" w:ascii="宋体" w:hAnsi="宋体" w:cs="宋体"/>
          <w:color w:val="auto"/>
          <w:sz w:val="24"/>
        </w:rPr>
        <w:t>年   月   日</w:t>
      </w:r>
    </w:p>
    <w:p>
      <w:pPr>
        <w:jc w:val="center"/>
        <w:outlineLvl w:val="1"/>
        <w:rPr>
          <w:rFonts w:ascii="宋体" w:hAnsi="宋体" w:cs="宋体"/>
          <w:b/>
          <w:bCs/>
          <w:color w:val="auto"/>
          <w:sz w:val="28"/>
          <w:szCs w:val="28"/>
        </w:rPr>
      </w:pPr>
      <w:bookmarkStart w:id="230" w:name="_Toc26915"/>
      <w:bookmarkStart w:id="231" w:name="_Toc29743"/>
      <w:bookmarkStart w:id="232" w:name="_Toc30455"/>
      <w:bookmarkStart w:id="233" w:name="_Toc247"/>
      <w:bookmarkStart w:id="234" w:name="_Toc16447"/>
      <w:r>
        <w:rPr>
          <w:rFonts w:hint="eastAsia" w:ascii="宋体" w:hAnsi="宋体" w:cs="宋体"/>
          <w:b/>
          <w:bCs/>
          <w:color w:val="auto"/>
          <w:sz w:val="28"/>
          <w:szCs w:val="28"/>
        </w:rPr>
        <w:br w:type="page"/>
      </w:r>
      <w:r>
        <w:rPr>
          <w:rFonts w:hint="eastAsia" w:ascii="宋体" w:hAnsi="宋体" w:cs="宋体"/>
          <w:b/>
          <w:bCs/>
          <w:color w:val="auto"/>
          <w:sz w:val="28"/>
          <w:szCs w:val="28"/>
        </w:rPr>
        <w:t>第二节 资格证明文件格式</w:t>
      </w:r>
      <w:bookmarkEnd w:id="230"/>
      <w:bookmarkEnd w:id="231"/>
      <w:bookmarkEnd w:id="232"/>
      <w:bookmarkEnd w:id="233"/>
      <w:bookmarkEnd w:id="234"/>
    </w:p>
    <w:p>
      <w:pPr>
        <w:spacing w:line="360" w:lineRule="auto"/>
        <w:ind w:firstLine="420"/>
        <w:rPr>
          <w:rFonts w:ascii="宋体" w:hAnsi="宋体" w:cs="宋体"/>
          <w:color w:val="auto"/>
          <w:sz w:val="24"/>
        </w:rPr>
      </w:pPr>
    </w:p>
    <w:p>
      <w:pPr>
        <w:spacing w:line="360" w:lineRule="auto"/>
        <w:ind w:firstLine="420"/>
        <w:rPr>
          <w:rFonts w:ascii="宋体" w:hAnsi="宋体" w:cs="宋体"/>
          <w:b/>
          <w:bCs/>
          <w:color w:val="auto"/>
          <w:sz w:val="24"/>
        </w:rPr>
      </w:pPr>
      <w:r>
        <w:rPr>
          <w:rFonts w:hint="eastAsia" w:ascii="宋体" w:hAnsi="宋体" w:cs="宋体"/>
          <w:b/>
          <w:bCs/>
          <w:color w:val="auto"/>
          <w:sz w:val="28"/>
          <w:szCs w:val="28"/>
        </w:rPr>
        <w:t>1.资格证明文件封面的格式：</w:t>
      </w:r>
    </w:p>
    <w:p>
      <w:pPr>
        <w:ind w:left="2940"/>
        <w:rPr>
          <w:color w:val="auto"/>
        </w:rPr>
      </w:pPr>
    </w:p>
    <w:p>
      <w:pPr>
        <w:snapToGrid w:val="0"/>
        <w:spacing w:beforeLines="50" w:after="50"/>
        <w:rPr>
          <w:rFonts w:ascii="宋体" w:hAnsi="宋体" w:cs="宋体"/>
          <w:bCs/>
          <w:color w:val="auto"/>
          <w:sz w:val="32"/>
          <w:szCs w:val="20"/>
        </w:rPr>
      </w:pPr>
      <w:r>
        <w:rPr>
          <w:rFonts w:hint="eastAsia" w:ascii="宋体" w:hAnsi="宋体" w:cs="宋体"/>
          <w:bCs/>
          <w:color w:val="auto"/>
        </w:rPr>
        <w:t>电子投标文件</w:t>
      </w:r>
    </w:p>
    <w:p>
      <w:pPr>
        <w:snapToGrid w:val="0"/>
        <w:spacing w:beforeLines="50" w:after="50"/>
        <w:rPr>
          <w:rFonts w:ascii="宋体" w:hAnsi="宋体" w:cs="宋体"/>
          <w:color w:val="auto"/>
          <w:sz w:val="24"/>
          <w:szCs w:val="20"/>
        </w:rPr>
      </w:pPr>
    </w:p>
    <w:p>
      <w:pPr>
        <w:snapToGrid w:val="0"/>
        <w:spacing w:beforeLines="50" w:after="50"/>
        <w:jc w:val="center"/>
        <w:rPr>
          <w:rFonts w:ascii="宋体" w:hAnsi="宋体" w:cs="宋体"/>
          <w:b/>
          <w:color w:val="auto"/>
          <w:sz w:val="32"/>
          <w:szCs w:val="32"/>
        </w:rPr>
      </w:pPr>
    </w:p>
    <w:p>
      <w:pPr>
        <w:snapToGrid w:val="0"/>
        <w:spacing w:beforeLines="50" w:after="50"/>
        <w:jc w:val="center"/>
        <w:rPr>
          <w:rFonts w:ascii="宋体" w:hAnsi="宋体" w:cs="宋体"/>
          <w:b/>
          <w:color w:val="auto"/>
          <w:sz w:val="24"/>
          <w:szCs w:val="20"/>
        </w:rPr>
      </w:pPr>
      <w:r>
        <w:rPr>
          <w:rFonts w:hint="eastAsia" w:ascii="宋体" w:hAnsi="宋体" w:cs="宋体"/>
          <w:b/>
          <w:color w:val="auto"/>
          <w:sz w:val="32"/>
          <w:szCs w:val="32"/>
        </w:rPr>
        <w:t>资格证明文件</w:t>
      </w: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ind w:firstLine="540" w:firstLineChars="225"/>
        <w:rPr>
          <w:rFonts w:ascii="宋体" w:hAnsi="宋体" w:cs="宋体"/>
          <w:bCs/>
          <w:color w:val="auto"/>
          <w:sz w:val="24"/>
          <w:szCs w:val="20"/>
        </w:rPr>
      </w:pPr>
      <w:r>
        <w:rPr>
          <w:rFonts w:hint="eastAsia" w:ascii="宋体" w:hAnsi="宋体" w:cs="宋体"/>
          <w:bCs/>
          <w:color w:val="auto"/>
          <w:sz w:val="24"/>
        </w:rPr>
        <w:t>项目名称：</w:t>
      </w:r>
    </w:p>
    <w:p>
      <w:pPr>
        <w:snapToGrid w:val="0"/>
        <w:spacing w:beforeLines="50" w:after="50"/>
        <w:ind w:firstLine="540" w:firstLineChars="225"/>
        <w:rPr>
          <w:rFonts w:ascii="宋体" w:hAnsi="宋体" w:cs="宋体"/>
          <w:bCs/>
          <w:color w:val="auto"/>
          <w:sz w:val="24"/>
        </w:rPr>
      </w:pPr>
      <w:r>
        <w:rPr>
          <w:rFonts w:hint="eastAsia" w:ascii="宋体" w:hAnsi="宋体" w:cs="宋体"/>
          <w:bCs/>
          <w:color w:val="auto"/>
          <w:sz w:val="24"/>
        </w:rPr>
        <w:t>项目编号：</w:t>
      </w:r>
    </w:p>
    <w:p>
      <w:pPr>
        <w:snapToGrid w:val="0"/>
        <w:spacing w:beforeLines="50" w:after="50"/>
        <w:ind w:firstLine="540" w:firstLineChars="225"/>
        <w:rPr>
          <w:rFonts w:ascii="宋体" w:hAnsi="宋体" w:cs="宋体"/>
          <w:bCs/>
          <w:color w:val="auto"/>
          <w:sz w:val="24"/>
          <w:szCs w:val="20"/>
        </w:rPr>
      </w:pPr>
    </w:p>
    <w:p>
      <w:pPr>
        <w:snapToGrid w:val="0"/>
        <w:spacing w:beforeLines="50" w:after="50"/>
        <w:ind w:firstLine="540" w:firstLineChars="225"/>
        <w:rPr>
          <w:rFonts w:ascii="宋体" w:hAnsi="宋体" w:cs="宋体"/>
          <w:bCs/>
          <w:color w:val="auto"/>
          <w:sz w:val="24"/>
        </w:rPr>
      </w:pPr>
      <w:r>
        <w:rPr>
          <w:rFonts w:hint="eastAsia" w:ascii="宋体" w:hAnsi="宋体" w:cs="宋体"/>
          <w:bCs/>
          <w:color w:val="auto"/>
          <w:sz w:val="24"/>
        </w:rPr>
        <w:t>所投分标（如有则填写，无分标时填写“无”或者留空）：</w:t>
      </w:r>
    </w:p>
    <w:p>
      <w:pPr>
        <w:snapToGrid w:val="0"/>
        <w:spacing w:before="50" w:after="50"/>
        <w:ind w:firstLine="540" w:firstLineChars="225"/>
        <w:rPr>
          <w:rFonts w:ascii="宋体" w:hAnsi="宋体" w:cs="宋体"/>
          <w:bCs/>
          <w:color w:val="auto"/>
          <w:sz w:val="24"/>
        </w:rPr>
      </w:pPr>
    </w:p>
    <w:p>
      <w:pPr>
        <w:snapToGrid w:val="0"/>
        <w:spacing w:before="50" w:after="50"/>
        <w:ind w:firstLine="540" w:firstLineChars="225"/>
        <w:rPr>
          <w:rFonts w:ascii="宋体" w:hAnsi="宋体" w:cs="宋体"/>
          <w:bCs/>
          <w:color w:val="auto"/>
          <w:sz w:val="24"/>
        </w:rPr>
      </w:pPr>
      <w:r>
        <w:rPr>
          <w:rFonts w:hint="eastAsia" w:ascii="宋体" w:hAnsi="宋体" w:cs="宋体"/>
          <w:bCs/>
          <w:color w:val="auto"/>
          <w:sz w:val="24"/>
        </w:rPr>
        <w:t>投标人名称：</w:t>
      </w:r>
    </w:p>
    <w:p>
      <w:pPr>
        <w:snapToGrid w:val="0"/>
        <w:spacing w:before="50" w:after="50"/>
        <w:ind w:firstLine="540" w:firstLineChars="225"/>
        <w:rPr>
          <w:rFonts w:ascii="宋体" w:hAnsi="宋体" w:cs="宋体"/>
          <w:bCs/>
          <w:color w:val="auto"/>
          <w:sz w:val="24"/>
        </w:rPr>
      </w:pPr>
    </w:p>
    <w:p>
      <w:pPr>
        <w:snapToGrid w:val="0"/>
        <w:spacing w:before="50" w:after="50"/>
        <w:ind w:firstLine="960" w:firstLineChars="400"/>
        <w:rPr>
          <w:rFonts w:ascii="宋体" w:hAnsi="宋体" w:cs="宋体"/>
          <w:bCs/>
          <w:color w:val="auto"/>
          <w:sz w:val="24"/>
        </w:rPr>
      </w:pPr>
    </w:p>
    <w:p>
      <w:pPr>
        <w:snapToGrid w:val="0"/>
        <w:spacing w:beforeLines="50" w:after="50"/>
        <w:ind w:firstLine="645"/>
        <w:jc w:val="center"/>
        <w:rPr>
          <w:rFonts w:ascii="宋体" w:hAnsi="宋体" w:cs="宋体"/>
          <w:color w:val="auto"/>
          <w:sz w:val="24"/>
        </w:rPr>
      </w:pPr>
      <w:r>
        <w:rPr>
          <w:rFonts w:hint="eastAsia" w:ascii="宋体" w:hAnsi="宋体" w:cs="宋体"/>
          <w:color w:val="auto"/>
          <w:sz w:val="24"/>
        </w:rPr>
        <w:t>年  月  日</w:t>
      </w:r>
    </w:p>
    <w:p>
      <w:pPr>
        <w:rPr>
          <w:rFonts w:ascii="宋体" w:hAnsi="宋体" w:cs="宋体"/>
          <w:b/>
          <w:color w:val="auto"/>
          <w:kern w:val="0"/>
          <w:sz w:val="28"/>
          <w:szCs w:val="28"/>
        </w:rPr>
      </w:pPr>
      <w:r>
        <w:rPr>
          <w:rFonts w:hint="eastAsia" w:ascii="宋体" w:hAnsi="宋体" w:cs="宋体"/>
          <w:b/>
          <w:color w:val="auto"/>
          <w:kern w:val="0"/>
          <w:sz w:val="28"/>
          <w:szCs w:val="28"/>
        </w:rPr>
        <w:br w:type="page"/>
      </w:r>
      <w:r>
        <w:rPr>
          <w:rFonts w:hint="eastAsia" w:ascii="宋体" w:hAnsi="宋体" w:cs="宋体"/>
          <w:b/>
          <w:color w:val="auto"/>
          <w:kern w:val="0"/>
          <w:sz w:val="28"/>
          <w:szCs w:val="28"/>
        </w:rPr>
        <w:t>2.资格证明文件目录</w:t>
      </w:r>
    </w:p>
    <w:p>
      <w:pPr>
        <w:snapToGrid w:val="0"/>
        <w:spacing w:line="360" w:lineRule="auto"/>
        <w:rPr>
          <w:rFonts w:ascii="宋体" w:hAnsi="宋体" w:cs="宋体"/>
          <w:color w:val="auto"/>
          <w:kern w:val="0"/>
          <w:sz w:val="24"/>
        </w:rPr>
      </w:pPr>
      <w:r>
        <w:rPr>
          <w:rFonts w:hint="eastAsia" w:ascii="宋体" w:hAnsi="宋体" w:cs="宋体"/>
          <w:color w:val="auto"/>
          <w:kern w:val="0"/>
          <w:sz w:val="24"/>
        </w:rPr>
        <w:t>根据招标文件规定及投标人提供的材料自行编写目录（部分格式后附）。</w:t>
      </w:r>
    </w:p>
    <w:p>
      <w:pPr>
        <w:snapToGrid w:val="0"/>
        <w:spacing w:line="360" w:lineRule="auto"/>
        <w:rPr>
          <w:rFonts w:ascii="宋体" w:hAnsi="宋体" w:cs="宋体"/>
          <w:b/>
          <w:color w:val="auto"/>
          <w:kern w:val="0"/>
          <w:sz w:val="32"/>
          <w:szCs w:val="32"/>
          <w:lang w:val="zh-CN"/>
        </w:rPr>
      </w:pPr>
    </w:p>
    <w:p>
      <w:pPr>
        <w:snapToGrid w:val="0"/>
        <w:spacing w:line="360" w:lineRule="auto"/>
        <w:ind w:right="480"/>
        <w:rPr>
          <w:rFonts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3.</w:t>
      </w:r>
      <w:r>
        <w:rPr>
          <w:rFonts w:hint="eastAsia" w:ascii="宋体" w:hAnsi="宋体" w:cs="宋体"/>
          <w:b/>
          <w:color w:val="auto"/>
          <w:sz w:val="28"/>
          <w:szCs w:val="28"/>
          <w:lang w:eastAsia="zh-CN"/>
        </w:rPr>
        <w:t>声明函</w:t>
      </w:r>
      <w:r>
        <w:rPr>
          <w:rFonts w:hint="eastAsia" w:ascii="宋体" w:hAnsi="宋体" w:cs="宋体"/>
          <w:b/>
          <w:color w:val="auto"/>
          <w:sz w:val="28"/>
          <w:szCs w:val="28"/>
        </w:rPr>
        <w:t>的格式</w:t>
      </w:r>
      <w:r>
        <w:rPr>
          <w:rFonts w:hint="eastAsia"/>
          <w:color w:val="auto"/>
          <w:sz w:val="28"/>
          <w:szCs w:val="28"/>
        </w:rPr>
        <w:t>：</w:t>
      </w:r>
    </w:p>
    <w:p>
      <w:pPr>
        <w:snapToGrid w:val="0"/>
        <w:jc w:val="left"/>
        <w:rPr>
          <w:color w:val="auto"/>
          <w:sz w:val="18"/>
          <w:szCs w:val="18"/>
        </w:rPr>
      </w:pPr>
    </w:p>
    <w:p>
      <w:pPr>
        <w:snapToGrid w:val="0"/>
        <w:spacing w:before="50" w:afterLines="50"/>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声明函</w:t>
      </w:r>
    </w:p>
    <w:p>
      <w:pPr>
        <w:tabs>
          <w:tab w:val="left" w:pos="7200"/>
        </w:tabs>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bookmarkStart w:id="235" w:name="PO_3000001919_PM031"/>
      <w:r>
        <w:rPr>
          <w:rFonts w:hint="eastAsia" w:ascii="宋体" w:hAnsi="宋体" w:eastAsia="宋体" w:cs="宋体"/>
          <w:color w:val="auto"/>
          <w:szCs w:val="21"/>
          <w:u w:val="single"/>
          <w:lang w:eastAsia="zh-CN"/>
        </w:rPr>
        <w:t>广西科联招标中心有限公司</w:t>
      </w:r>
      <w:bookmarkEnd w:id="235"/>
    </w:p>
    <w:p>
      <w:pPr>
        <w:widowControl w:val="0"/>
        <w:snapToGrid w:val="0"/>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i/>
          <w:iCs/>
          <w:color w:val="auto"/>
          <w:kern w:val="2"/>
          <w:sz w:val="21"/>
          <w:szCs w:val="21"/>
          <w:u w:val="single"/>
          <w:lang w:val="en-US" w:eastAsia="zh-CN" w:bidi="ar-SA"/>
        </w:rPr>
        <w:t>（投标人名称）</w:t>
      </w:r>
      <w:r>
        <w:rPr>
          <w:rFonts w:hint="eastAsia" w:ascii="宋体" w:hAnsi="宋体" w:eastAsia="宋体" w:cs="宋体"/>
          <w:color w:val="auto"/>
          <w:kern w:val="2"/>
          <w:sz w:val="21"/>
          <w:szCs w:val="21"/>
          <w:lang w:val="en-US" w:eastAsia="zh-CN" w:bidi="ar-SA"/>
        </w:rPr>
        <w:t>系中华人民共和国合法供应商，经营地址</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w:t>
      </w: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eastAsia="宋体" w:cs="Times New Roman"/>
          <w:i/>
          <w:iCs/>
          <w:color w:val="auto"/>
          <w:szCs w:val="21"/>
          <w:highlight w:val="none"/>
          <w:u w:val="single"/>
          <w:lang w:eastAsia="zh-CN"/>
        </w:rPr>
        <w:t>（项目名称）</w:t>
      </w:r>
      <w:r>
        <w:rPr>
          <w:rFonts w:hint="eastAsia" w:ascii="宋体" w:hAnsi="宋体" w:eastAsia="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）项目的投标，为便于贵方公正、择优地确定中标人，我方就本次投标有关事项郑重声明如下：</w:t>
      </w:r>
    </w:p>
    <w:p>
      <w:pPr>
        <w:widowControl w:val="0"/>
        <w:snapToGrid w:val="0"/>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1、我方向贵方提交的所有投标文件、资料都是准确的和真实的。</w:t>
      </w: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在此，我方宣布同意如下：</w:t>
      </w:r>
    </w:p>
    <w:p>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（1）将按</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文件的约定履行合同责任和义务；</w:t>
      </w:r>
    </w:p>
    <w:p>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（2）已详细审查</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全部</w:t>
      </w:r>
      <w:r>
        <w:rPr>
          <w:rFonts w:hint="eastAsia" w:ascii="宋体" w:hAnsi="宋体" w:eastAsia="宋体" w:cs="宋体"/>
          <w:color w:val="auto"/>
          <w:kern w:val="0"/>
          <w:sz w:val="21"/>
          <w:szCs w:val="21"/>
          <w:lang w:val="en-US" w:eastAsia="zh-CN"/>
        </w:rPr>
        <w:t>内容</w:t>
      </w:r>
      <w:r>
        <w:rPr>
          <w:rFonts w:hint="eastAsia" w:ascii="宋体" w:hAnsi="宋体" w:eastAsia="宋体" w:cs="宋体"/>
          <w:color w:val="auto"/>
          <w:sz w:val="21"/>
          <w:szCs w:val="21"/>
        </w:rPr>
        <w:t>，包括澄清或者更正公告（如有）；</w:t>
      </w:r>
    </w:p>
    <w:p>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（3）同意提供按照贵方可能要求的与</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有关的一切数据或者资料。</w:t>
      </w:r>
    </w:p>
    <w:p>
      <w:pPr>
        <w:widowControl w:val="0"/>
        <w:snapToGrid w:val="0"/>
        <w:jc w:val="left"/>
        <w:rPr>
          <w:rFonts w:hint="eastAsia" w:ascii="Times New Roman" w:hAnsi="Times New Roman" w:eastAsia="宋体" w:cs="Times New Roman"/>
          <w:color w:val="auto"/>
          <w:kern w:val="2"/>
          <w:sz w:val="18"/>
          <w:szCs w:val="18"/>
          <w:lang w:val="en-US" w:eastAsia="zh-CN" w:bidi="ar-SA"/>
        </w:rPr>
      </w:pP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eastAsia="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pPr>
        <w:spacing w:line="360" w:lineRule="exact"/>
        <w:ind w:firstLine="420" w:firstLineChars="200"/>
        <w:contextualSpacing/>
        <w:rPr>
          <w:rFonts w:hint="eastAsia" w:ascii="宋体" w:hAnsi="宋体" w:eastAsia="宋体" w:cs="宋体"/>
          <w:i/>
          <w:iCs/>
          <w:color w:val="auto"/>
          <w:sz w:val="21"/>
          <w:szCs w:val="21"/>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 w:val="21"/>
          <w:szCs w:val="21"/>
        </w:rPr>
        <w:t>根据《中华人民共和国政府采购法实施条例》第五十条要求对政府采购合同进行公告，但政府采购合同中涉及国家秘密、商业秘密的内容除外。我方就对本次</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文件进行注明如下：</w:t>
      </w:r>
      <w:r>
        <w:rPr>
          <w:rFonts w:hint="eastAsia" w:ascii="宋体" w:hAnsi="宋体" w:eastAsia="宋体" w:cs="宋体"/>
          <w:i/>
          <w:iCs/>
          <w:color w:val="auto"/>
          <w:sz w:val="21"/>
          <w:szCs w:val="21"/>
        </w:rPr>
        <w:t>（两项内容中必须选择一项）</w:t>
      </w:r>
    </w:p>
    <w:p>
      <w:pPr>
        <w:spacing w:line="360" w:lineRule="exact"/>
        <w:ind w:firstLine="420" w:firstLineChars="200"/>
        <w:contextualSpacing/>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□我方本次</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eastAsia="宋体" w:cs="宋体"/>
          <w:color w:val="auto"/>
          <w:kern w:val="0"/>
          <w:sz w:val="21"/>
          <w:szCs w:val="21"/>
        </w:rPr>
        <w:t>内容中</w:t>
      </w:r>
      <w:r>
        <w:rPr>
          <w:rFonts w:hint="eastAsia" w:ascii="宋体" w:hAnsi="宋体" w:eastAsia="宋体" w:cs="宋体"/>
          <w:color w:val="auto"/>
          <w:sz w:val="21"/>
          <w:szCs w:val="21"/>
        </w:rPr>
        <w:t>未</w:t>
      </w:r>
      <w:r>
        <w:rPr>
          <w:rFonts w:hint="eastAsia" w:ascii="宋体" w:hAnsi="宋体" w:eastAsia="宋体" w:cs="宋体"/>
          <w:color w:val="auto"/>
          <w:kern w:val="0"/>
          <w:sz w:val="21"/>
          <w:szCs w:val="21"/>
        </w:rPr>
        <w:t>涉及商业秘密</w:t>
      </w:r>
      <w:r>
        <w:rPr>
          <w:rFonts w:hint="eastAsia" w:ascii="宋体" w:hAnsi="宋体" w:eastAsia="宋体" w:cs="宋体"/>
          <w:color w:val="auto"/>
          <w:kern w:val="0"/>
          <w:sz w:val="21"/>
          <w:szCs w:val="21"/>
          <w:lang w:eastAsia="zh-CN"/>
        </w:rPr>
        <w:t>。</w:t>
      </w:r>
    </w:p>
    <w:p>
      <w:pPr>
        <w:spacing w:line="360" w:lineRule="exact"/>
        <w:ind w:firstLine="420" w:firstLineChars="200"/>
        <w:contextualSpacing/>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□我方本次</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eastAsia="宋体" w:cs="宋体"/>
          <w:color w:val="auto"/>
          <w:kern w:val="0"/>
          <w:sz w:val="21"/>
          <w:szCs w:val="21"/>
        </w:rPr>
        <w:t>涉及商业秘密的内容有：</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lang w:eastAsia="zh-CN"/>
        </w:rPr>
        <w:t>。</w:t>
      </w:r>
    </w:p>
    <w:p>
      <w:pPr>
        <w:widowControl w:val="0"/>
        <w:snapToGrid w:val="0"/>
        <w:jc w:val="left"/>
        <w:rPr>
          <w:rFonts w:hint="default" w:ascii="Times New Roman" w:hAnsi="Times New Roman" w:eastAsia="宋体" w:cs="Times New Roman"/>
          <w:color w:val="auto"/>
          <w:kern w:val="2"/>
          <w:sz w:val="18"/>
          <w:szCs w:val="18"/>
          <w:lang w:val="en-US" w:eastAsia="zh-CN" w:bidi="ar-SA"/>
        </w:rPr>
      </w:pPr>
    </w:p>
    <w:p>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eastAsia="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eastAsia="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pPr>
        <w:tabs>
          <w:tab w:val="left" w:pos="939"/>
        </w:tabs>
        <w:spacing w:line="360" w:lineRule="exact"/>
        <w:ind w:left="141" w:leftChars="67" w:firstLine="315" w:firstLineChars="150"/>
        <w:contextualSpacing/>
        <w:rPr>
          <w:rFonts w:hint="eastAsia" w:ascii="宋体" w:hAnsi="宋体" w:eastAsia="宋体" w:cs="宋体"/>
          <w:color w:val="auto"/>
          <w:sz w:val="21"/>
          <w:szCs w:val="21"/>
        </w:rPr>
      </w:pPr>
      <w:r>
        <w:rPr>
          <w:rFonts w:hint="eastAsia" w:ascii="宋体" w:hAnsi="宋体" w:eastAsia="宋体" w:cs="宋体"/>
          <w:color w:val="auto"/>
          <w:sz w:val="21"/>
          <w:szCs w:val="21"/>
        </w:rPr>
        <w:t>特此承诺。</w:t>
      </w:r>
    </w:p>
    <w:p>
      <w:pPr>
        <w:snapToGrid w:val="0"/>
        <w:spacing w:before="50" w:after="165" w:afterLines="50"/>
        <w:ind w:firstLine="181" w:firstLineChars="10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rPr>
        <w:t>其</w:t>
      </w:r>
      <w:r>
        <w:rPr>
          <w:rFonts w:hint="eastAsia" w:ascii="宋体" w:hAnsi="宋体" w:eastAsia="宋体" w:cs="宋体"/>
          <w:b/>
          <w:bCs/>
          <w:color w:val="auto"/>
          <w:sz w:val="18"/>
          <w:szCs w:val="18"/>
          <w:lang w:val="en-US" w:eastAsia="zh-CN"/>
        </w:rPr>
        <w:t>投标</w:t>
      </w:r>
      <w:r>
        <w:rPr>
          <w:rFonts w:hint="eastAsia" w:ascii="宋体" w:hAnsi="宋体" w:eastAsia="宋体" w:cs="宋体"/>
          <w:b/>
          <w:bCs/>
          <w:color w:val="auto"/>
          <w:sz w:val="18"/>
          <w:szCs w:val="18"/>
        </w:rPr>
        <w:t>文件</w:t>
      </w:r>
      <w:r>
        <w:rPr>
          <w:rFonts w:hint="eastAsia" w:ascii="宋体" w:hAnsi="宋体" w:eastAsia="宋体" w:cs="宋体"/>
          <w:b/>
          <w:bCs/>
          <w:color w:val="auto"/>
          <w:sz w:val="18"/>
          <w:szCs w:val="18"/>
          <w:lang w:eastAsia="zh-CN"/>
        </w:rPr>
        <w:t>作无效</w:t>
      </w:r>
      <w:r>
        <w:rPr>
          <w:rFonts w:hint="eastAsia" w:ascii="宋体" w:hAnsi="宋体" w:eastAsia="宋体" w:cs="宋体"/>
          <w:b/>
          <w:bCs/>
          <w:color w:val="auto"/>
          <w:sz w:val="18"/>
          <w:szCs w:val="18"/>
        </w:rPr>
        <w:t>响应处理</w:t>
      </w:r>
      <w:r>
        <w:rPr>
          <w:rFonts w:hint="eastAsia" w:ascii="宋体" w:hAnsi="宋体" w:eastAsia="宋体" w:cs="Times New Roman"/>
          <w:b/>
          <w:color w:val="auto"/>
          <w:sz w:val="18"/>
          <w:szCs w:val="18"/>
          <w:highlight w:val="none"/>
        </w:rPr>
        <w:t>。</w:t>
      </w:r>
    </w:p>
    <w:p>
      <w:pPr>
        <w:snapToGrid w:val="0"/>
        <w:spacing w:before="50" w:after="331" w:afterLines="100"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before="50" w:afterLines="100" w:line="360" w:lineRule="auto"/>
        <w:ind w:left="7428" w:leftChars="2223" w:hanging="2760" w:hangingChars="1150"/>
        <w:jc w:val="left"/>
        <w:rPr>
          <w:rFonts w:ascii="宋体" w:hAnsi="宋体" w:cs="宋体"/>
          <w:b/>
          <w:bCs/>
          <w:color w:val="auto"/>
          <w:sz w:val="30"/>
          <w:szCs w:val="30"/>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投标人名称(盖公章)：</w:t>
      </w:r>
      <w:r>
        <w:rPr>
          <w:rFonts w:hint="eastAsia" w:ascii="宋体" w:hAnsi="宋体" w:eastAsia="宋体" w:cs="宋体"/>
          <w:color w:val="auto"/>
          <w:szCs w:val="21"/>
        </w:rPr>
        <w:t xml:space="preserve">                                     </w:t>
      </w:r>
      <w:r>
        <w:rPr>
          <w:rFonts w:hint="eastAsia" w:ascii="宋体" w:hAnsi="宋体" w:eastAsia="宋体" w:cs="宋体"/>
          <w:color w:val="auto"/>
          <w:sz w:val="24"/>
          <w:szCs w:val="24"/>
        </w:rPr>
        <w:t>年    月    日</w:t>
      </w:r>
    </w:p>
    <w:p>
      <w:pPr>
        <w:rPr>
          <w:rFonts w:ascii="宋体" w:hAnsi="宋体" w:cs="宋体"/>
          <w:b/>
          <w:bCs/>
          <w:color w:val="auto"/>
          <w:sz w:val="28"/>
          <w:szCs w:val="28"/>
        </w:rPr>
      </w:pPr>
      <w:r>
        <w:rPr>
          <w:rFonts w:hint="eastAsia" w:ascii="宋体" w:hAnsi="宋体" w:cs="宋体"/>
          <w:b/>
          <w:bCs/>
          <w:color w:val="auto"/>
          <w:sz w:val="28"/>
          <w:szCs w:val="28"/>
        </w:rPr>
        <w:br w:type="page"/>
      </w:r>
      <w:r>
        <w:rPr>
          <w:rFonts w:hint="eastAsia" w:ascii="宋体" w:hAnsi="宋体" w:cs="宋体"/>
          <w:b/>
          <w:bCs/>
          <w:color w:val="auto"/>
          <w:sz w:val="28"/>
          <w:szCs w:val="28"/>
        </w:rPr>
        <w:t>4.联合体投标协议书的格式：</w:t>
      </w:r>
    </w:p>
    <w:p>
      <w:pPr>
        <w:jc w:val="center"/>
        <w:rPr>
          <w:rFonts w:ascii="宋体" w:hAnsi="宋体" w:cs="宋体"/>
          <w:color w:val="auto"/>
          <w:sz w:val="28"/>
          <w:szCs w:val="28"/>
        </w:rPr>
      </w:pPr>
      <w:r>
        <w:rPr>
          <w:rFonts w:hint="eastAsia" w:ascii="宋体" w:hAnsi="宋体" w:cs="宋体"/>
          <w:b/>
          <w:bCs/>
          <w:color w:val="auto"/>
          <w:sz w:val="28"/>
          <w:szCs w:val="28"/>
        </w:rPr>
        <w:t>联合体投标协议书</w:t>
      </w:r>
    </w:p>
    <w:p>
      <w:pPr>
        <w:autoSpaceDE w:val="0"/>
        <w:autoSpaceDN w:val="0"/>
        <w:adjustRightInd w:val="0"/>
        <w:jc w:val="left"/>
        <w:rPr>
          <w:rFonts w:ascii="宋体" w:hAnsi="宋体" w:cs="宋体"/>
          <w:color w:val="auto"/>
          <w:kern w:val="0"/>
          <w:szCs w:val="21"/>
          <w:u w:val="single"/>
        </w:rPr>
      </w:pPr>
    </w:p>
    <w:p>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（所有成员单位名称）自愿组成联合体，共同参加</w:t>
      </w:r>
      <w:bookmarkStart w:id="236" w:name="PO_3000001919_PM031_1"/>
      <w:r>
        <w:rPr>
          <w:rFonts w:hint="eastAsia" w:ascii="宋体" w:hAnsi="宋体" w:cs="宋体"/>
          <w:color w:val="auto"/>
          <w:kern w:val="0"/>
          <w:szCs w:val="21"/>
          <w:u w:val="single"/>
        </w:rPr>
        <w:t>广西科联招标中心有限公司</w:t>
      </w:r>
      <w:bookmarkEnd w:id="236"/>
      <w:r>
        <w:rPr>
          <w:rFonts w:hint="eastAsia" w:ascii="宋体" w:hAnsi="宋体" w:cs="宋体"/>
          <w:color w:val="auto"/>
          <w:kern w:val="0"/>
          <w:szCs w:val="21"/>
        </w:rPr>
        <w:t>组织的</w:t>
      </w:r>
      <w:r>
        <w:rPr>
          <w:rFonts w:hint="eastAsia" w:ascii="宋体" w:hAnsi="宋体" w:cs="宋体"/>
          <w:i/>
          <w:iCs/>
          <w:color w:val="auto"/>
          <w:kern w:val="0"/>
          <w:szCs w:val="21"/>
          <w:u w:val="single"/>
        </w:rPr>
        <w:t>（项目名称）</w:t>
      </w:r>
      <w:r>
        <w:rPr>
          <w:rFonts w:hint="eastAsia" w:ascii="宋体" w:hAnsi="宋体" w:cs="宋体"/>
          <w:color w:val="auto"/>
          <w:kern w:val="0"/>
          <w:szCs w:val="21"/>
        </w:rPr>
        <w:t>（项目编号：）投标。现就联合体投标事宜订立如下协议：</w:t>
      </w:r>
    </w:p>
    <w:p>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1、（某成员单位名称）为联合体名称牵头人。</w:t>
      </w:r>
    </w:p>
    <w:p>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联合体各成员将严格按照招标文件、投标文件和合同的要求全面履行义务，并向采购人承担连带责任。</w:t>
      </w:r>
    </w:p>
    <w:p>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4、联合体各成员单位内部的职责分工如下：。</w:t>
      </w:r>
    </w:p>
    <w:p>
      <w:pPr>
        <w:spacing w:line="440" w:lineRule="exact"/>
        <w:ind w:firstLine="420" w:firstLineChars="200"/>
        <w:rPr>
          <w:rFonts w:ascii="宋体" w:hAnsi="宋体" w:cs="宋体"/>
          <w:color w:val="auto"/>
          <w:szCs w:val="21"/>
        </w:rPr>
      </w:pPr>
      <w:r>
        <w:rPr>
          <w:rFonts w:hint="eastAsia" w:ascii="宋体" w:hAnsi="宋体" w:cs="宋体"/>
          <w:color w:val="auto"/>
          <w:kern w:val="0"/>
          <w:szCs w:val="20"/>
        </w:rPr>
        <w:t>5、本联合体中，</w:t>
      </w:r>
      <w:r>
        <w:rPr>
          <w:rFonts w:hint="eastAsia" w:ascii="宋体" w:hAnsi="宋体" w:cs="宋体"/>
          <w:color w:val="auto"/>
          <w:kern w:val="0"/>
          <w:szCs w:val="20"/>
          <w:u w:val="single"/>
        </w:rPr>
        <w:t>（某成员单位名称）为</w:t>
      </w:r>
      <w:r>
        <w:rPr>
          <w:rFonts w:hint="eastAsia" w:ascii="宋体" w:hAnsi="宋体" w:cs="宋体"/>
          <w:color w:val="auto"/>
          <w:szCs w:val="20"/>
        </w:rPr>
        <w:t>（请填写：中型、小型、微型）企业，其协议合同金额占联合体协议合同总金额的%。【如联合体成员中有小型、微型企业的，请填写此条，否则无需填写。如联合体成员中有多个小型、微型企业的，请逐一列出。】</w:t>
      </w:r>
    </w:p>
    <w:p>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7、本协议书一式份，联合体成员和采购代理机构各执一份。</w:t>
      </w:r>
    </w:p>
    <w:p>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牵头人名称：（公章/电子签章）</w:t>
      </w:r>
    </w:p>
    <w:p>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法定代表人或其委托代理人：（手写签名/电子签名）</w:t>
      </w:r>
    </w:p>
    <w:p>
      <w:pPr>
        <w:autoSpaceDE w:val="0"/>
        <w:autoSpaceDN w:val="0"/>
        <w:adjustRightInd w:val="0"/>
        <w:spacing w:line="440" w:lineRule="exact"/>
        <w:jc w:val="left"/>
        <w:rPr>
          <w:rFonts w:ascii="宋体" w:hAnsi="宋体" w:cs="宋体"/>
          <w:color w:val="auto"/>
          <w:kern w:val="0"/>
          <w:szCs w:val="21"/>
        </w:rPr>
      </w:pPr>
    </w:p>
    <w:p>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成员一名称：（公章/电子签章）</w:t>
      </w:r>
    </w:p>
    <w:p>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法定代表人或其委托代理人：（手写签名/电子签名）</w:t>
      </w:r>
    </w:p>
    <w:p>
      <w:pPr>
        <w:autoSpaceDE w:val="0"/>
        <w:autoSpaceDN w:val="0"/>
        <w:adjustRightInd w:val="0"/>
        <w:spacing w:line="440" w:lineRule="exact"/>
        <w:jc w:val="left"/>
        <w:rPr>
          <w:rFonts w:ascii="宋体" w:hAnsi="宋体" w:cs="宋体"/>
          <w:color w:val="auto"/>
          <w:kern w:val="0"/>
          <w:szCs w:val="21"/>
        </w:rPr>
      </w:pPr>
    </w:p>
    <w:p>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成员二名称：（公章/电子签章）</w:t>
      </w:r>
    </w:p>
    <w:p>
      <w:pPr>
        <w:spacing w:line="440" w:lineRule="exact"/>
        <w:rPr>
          <w:rFonts w:ascii="宋体" w:hAnsi="宋体" w:cs="宋体"/>
          <w:color w:val="auto"/>
          <w:kern w:val="0"/>
          <w:szCs w:val="21"/>
        </w:rPr>
      </w:pPr>
      <w:r>
        <w:rPr>
          <w:rFonts w:hint="eastAsia" w:ascii="宋体" w:hAnsi="宋体" w:cs="宋体"/>
          <w:color w:val="auto"/>
          <w:kern w:val="0"/>
          <w:szCs w:val="21"/>
        </w:rPr>
        <w:t>法定代表人或其委托代理人：（手写签名/电子签名）</w:t>
      </w:r>
    </w:p>
    <w:p>
      <w:pPr>
        <w:overflowPunct w:val="0"/>
        <w:spacing w:line="440" w:lineRule="exact"/>
        <w:ind w:firstLine="420" w:firstLineChars="175"/>
        <w:rPr>
          <w:rFonts w:ascii="宋体" w:hAnsi="宋体" w:cs="宋体"/>
          <w:color w:val="auto"/>
          <w:sz w:val="24"/>
          <w:szCs w:val="20"/>
        </w:rPr>
      </w:pPr>
      <w:r>
        <w:rPr>
          <w:rFonts w:hint="eastAsia" w:ascii="宋体" w:hAnsi="宋体" w:cs="宋体"/>
          <w:color w:val="auto"/>
          <w:sz w:val="24"/>
          <w:szCs w:val="20"/>
        </w:rPr>
        <w:t>……</w:t>
      </w:r>
    </w:p>
    <w:p>
      <w:pPr>
        <w:overflowPunct w:val="0"/>
        <w:spacing w:line="480" w:lineRule="exact"/>
        <w:ind w:firstLine="420" w:firstLineChars="175"/>
        <w:rPr>
          <w:rFonts w:ascii="宋体" w:hAnsi="宋体" w:cs="宋体"/>
          <w:color w:val="auto"/>
          <w:sz w:val="24"/>
          <w:szCs w:val="20"/>
        </w:rPr>
      </w:pPr>
    </w:p>
    <w:p>
      <w:pPr>
        <w:overflowPunct w:val="0"/>
        <w:ind w:firstLine="7140" w:firstLineChars="2975"/>
        <w:rPr>
          <w:rFonts w:ascii="宋体" w:hAnsi="宋体" w:cs="宋体"/>
          <w:color w:val="auto"/>
          <w:sz w:val="24"/>
          <w:szCs w:val="20"/>
        </w:rPr>
      </w:pPr>
      <w:r>
        <w:rPr>
          <w:rFonts w:hint="eastAsia" w:ascii="宋体" w:hAnsi="宋体" w:cs="宋体"/>
          <w:color w:val="auto"/>
          <w:sz w:val="24"/>
          <w:szCs w:val="20"/>
        </w:rPr>
        <w:tab/>
      </w:r>
      <w:r>
        <w:rPr>
          <w:rFonts w:hint="eastAsia" w:ascii="宋体" w:hAnsi="宋体" w:cs="宋体"/>
          <w:color w:val="auto"/>
          <w:sz w:val="24"/>
          <w:szCs w:val="20"/>
        </w:rPr>
        <w:t xml:space="preserve">年  </w:t>
      </w:r>
      <w:r>
        <w:rPr>
          <w:rFonts w:hint="eastAsia" w:ascii="宋体" w:hAnsi="宋体" w:cs="宋体"/>
          <w:color w:val="auto"/>
          <w:sz w:val="24"/>
          <w:szCs w:val="20"/>
        </w:rPr>
        <w:tab/>
      </w:r>
      <w:r>
        <w:rPr>
          <w:rFonts w:hint="eastAsia" w:ascii="宋体" w:hAnsi="宋体" w:cs="宋体"/>
          <w:color w:val="auto"/>
          <w:sz w:val="24"/>
          <w:szCs w:val="20"/>
        </w:rPr>
        <w:t xml:space="preserve">月  </w:t>
      </w:r>
      <w:r>
        <w:rPr>
          <w:rFonts w:hint="eastAsia" w:ascii="宋体" w:hAnsi="宋体" w:cs="宋体"/>
          <w:color w:val="auto"/>
          <w:sz w:val="24"/>
          <w:szCs w:val="20"/>
        </w:rPr>
        <w:tab/>
      </w:r>
      <w:r>
        <w:rPr>
          <w:rFonts w:hint="eastAsia" w:ascii="宋体" w:hAnsi="宋体" w:cs="宋体"/>
          <w:color w:val="auto"/>
          <w:sz w:val="24"/>
          <w:szCs w:val="20"/>
        </w:rPr>
        <w:t>日</w:t>
      </w:r>
    </w:p>
    <w:p>
      <w:pPr>
        <w:spacing w:line="600" w:lineRule="exact"/>
        <w:jc w:val="center"/>
        <w:rPr>
          <w:rFonts w:ascii="宋体" w:hAnsi="宋体" w:cs="宋体"/>
          <w:color w:val="auto"/>
          <w:szCs w:val="20"/>
        </w:rPr>
      </w:pPr>
    </w:p>
    <w:p>
      <w:pPr>
        <w:jc w:val="center"/>
        <w:outlineLvl w:val="1"/>
        <w:rPr>
          <w:rFonts w:ascii="宋体" w:hAnsi="宋体" w:cs="宋体"/>
          <w:color w:val="auto"/>
          <w:szCs w:val="21"/>
        </w:rPr>
      </w:pPr>
      <w:r>
        <w:rPr>
          <w:rFonts w:hint="eastAsia" w:ascii="宋体" w:hAnsi="宋体" w:cs="宋体"/>
          <w:color w:val="auto"/>
          <w:szCs w:val="21"/>
        </w:rPr>
        <w:br w:type="page"/>
      </w:r>
    </w:p>
    <w:p>
      <w:pPr>
        <w:jc w:val="center"/>
        <w:outlineLvl w:val="1"/>
        <w:rPr>
          <w:rFonts w:ascii="宋体" w:hAnsi="宋体" w:cs="宋体"/>
          <w:b/>
          <w:bCs/>
          <w:color w:val="auto"/>
          <w:sz w:val="28"/>
          <w:szCs w:val="28"/>
        </w:rPr>
      </w:pPr>
      <w:bookmarkStart w:id="237" w:name="_Toc13859"/>
      <w:bookmarkStart w:id="238" w:name="_Toc22991"/>
      <w:bookmarkStart w:id="239" w:name="_Toc13558"/>
      <w:bookmarkStart w:id="240" w:name="_Toc19686838"/>
      <w:bookmarkStart w:id="241" w:name="_Toc15031"/>
      <w:bookmarkStart w:id="242" w:name="_Toc32555"/>
      <w:r>
        <w:rPr>
          <w:rFonts w:hint="eastAsia" w:ascii="宋体" w:hAnsi="宋体" w:cs="宋体"/>
          <w:b/>
          <w:bCs/>
          <w:color w:val="auto"/>
          <w:sz w:val="28"/>
          <w:szCs w:val="28"/>
        </w:rPr>
        <w:t>第三节 商务文件格式</w:t>
      </w:r>
      <w:bookmarkEnd w:id="237"/>
      <w:bookmarkEnd w:id="238"/>
      <w:bookmarkEnd w:id="239"/>
      <w:bookmarkEnd w:id="240"/>
      <w:bookmarkEnd w:id="241"/>
      <w:bookmarkEnd w:id="242"/>
    </w:p>
    <w:p>
      <w:pPr>
        <w:snapToGrid w:val="0"/>
        <w:spacing w:beforeLines="50" w:after="50"/>
        <w:rPr>
          <w:rFonts w:ascii="宋体" w:hAnsi="宋体" w:cs="宋体"/>
          <w:color w:val="auto"/>
          <w:sz w:val="30"/>
          <w:szCs w:val="20"/>
        </w:rPr>
      </w:pPr>
    </w:p>
    <w:p>
      <w:pPr>
        <w:snapToGrid w:val="0"/>
        <w:spacing w:beforeLines="50" w:after="50"/>
        <w:rPr>
          <w:rFonts w:ascii="宋体" w:hAnsi="宋体" w:cs="宋体"/>
          <w:b/>
          <w:color w:val="auto"/>
          <w:sz w:val="28"/>
          <w:szCs w:val="28"/>
        </w:rPr>
      </w:pPr>
      <w:r>
        <w:rPr>
          <w:rFonts w:hint="eastAsia" w:ascii="宋体" w:hAnsi="宋体" w:cs="宋体"/>
          <w:b/>
          <w:color w:val="auto"/>
          <w:sz w:val="28"/>
          <w:szCs w:val="28"/>
        </w:rPr>
        <w:t>1.商务文件封面的格式：</w:t>
      </w:r>
    </w:p>
    <w:p>
      <w:pPr>
        <w:snapToGrid w:val="0"/>
        <w:jc w:val="left"/>
        <w:rPr>
          <w:color w:val="auto"/>
          <w:sz w:val="18"/>
          <w:szCs w:val="18"/>
        </w:rPr>
      </w:pPr>
    </w:p>
    <w:p>
      <w:pPr>
        <w:snapToGrid w:val="0"/>
        <w:spacing w:beforeLines="50" w:after="50"/>
        <w:rPr>
          <w:rFonts w:ascii="宋体" w:hAnsi="宋体" w:cs="宋体"/>
          <w:bCs/>
          <w:color w:val="auto"/>
          <w:sz w:val="32"/>
          <w:szCs w:val="20"/>
        </w:rPr>
      </w:pPr>
      <w:r>
        <w:rPr>
          <w:rFonts w:hint="eastAsia" w:ascii="宋体" w:hAnsi="宋体" w:cs="宋体"/>
          <w:bCs/>
          <w:color w:val="auto"/>
        </w:rPr>
        <w:t xml:space="preserve">             电子投标文件</w:t>
      </w:r>
    </w:p>
    <w:p>
      <w:pPr>
        <w:snapToGrid w:val="0"/>
        <w:spacing w:beforeLines="50" w:after="50"/>
        <w:rPr>
          <w:rFonts w:ascii="宋体" w:hAnsi="宋体" w:cs="宋体"/>
          <w:color w:val="auto"/>
          <w:sz w:val="24"/>
          <w:szCs w:val="20"/>
        </w:rPr>
      </w:pPr>
    </w:p>
    <w:p>
      <w:pPr>
        <w:snapToGrid w:val="0"/>
        <w:spacing w:beforeLines="50" w:after="50"/>
        <w:jc w:val="center"/>
        <w:rPr>
          <w:rFonts w:ascii="宋体" w:hAnsi="宋体" w:cs="宋体"/>
          <w:b/>
          <w:color w:val="auto"/>
          <w:sz w:val="32"/>
          <w:szCs w:val="32"/>
        </w:rPr>
      </w:pPr>
    </w:p>
    <w:p>
      <w:pPr>
        <w:snapToGrid w:val="0"/>
        <w:spacing w:beforeLines="50" w:after="50"/>
        <w:jc w:val="center"/>
        <w:rPr>
          <w:rFonts w:ascii="宋体" w:hAnsi="宋体" w:cs="宋体"/>
          <w:b/>
          <w:color w:val="auto"/>
          <w:sz w:val="24"/>
          <w:szCs w:val="20"/>
        </w:rPr>
      </w:pPr>
      <w:r>
        <w:rPr>
          <w:rFonts w:hint="eastAsia" w:ascii="宋体" w:hAnsi="宋体" w:cs="宋体"/>
          <w:b/>
          <w:color w:val="auto"/>
          <w:sz w:val="32"/>
          <w:szCs w:val="32"/>
        </w:rPr>
        <w:t>商务文件</w:t>
      </w:r>
    </w:p>
    <w:p>
      <w:pPr>
        <w:snapToGrid w:val="0"/>
        <w:spacing w:beforeLines="50" w:after="50"/>
        <w:rPr>
          <w:rFonts w:ascii="宋体" w:hAnsi="宋体" w:cs="宋体"/>
          <w:bCs/>
          <w:color w:val="auto"/>
          <w:sz w:val="24"/>
          <w:szCs w:val="20"/>
        </w:rPr>
      </w:pPr>
    </w:p>
    <w:p>
      <w:pPr>
        <w:snapToGrid w:val="0"/>
        <w:spacing w:beforeLines="50" w:after="50"/>
        <w:ind w:firstLine="540" w:firstLineChars="225"/>
        <w:rPr>
          <w:rFonts w:ascii="宋体" w:hAnsi="宋体" w:cs="宋体"/>
          <w:bCs/>
          <w:color w:val="auto"/>
          <w:sz w:val="24"/>
        </w:rPr>
      </w:pPr>
    </w:p>
    <w:p>
      <w:pPr>
        <w:snapToGrid w:val="0"/>
        <w:spacing w:beforeLines="50" w:after="50"/>
        <w:ind w:firstLine="540" w:firstLineChars="225"/>
        <w:rPr>
          <w:rFonts w:ascii="宋体" w:hAnsi="宋体" w:cs="宋体"/>
          <w:bCs/>
          <w:color w:val="auto"/>
          <w:sz w:val="24"/>
        </w:rPr>
      </w:pPr>
    </w:p>
    <w:p>
      <w:pPr>
        <w:snapToGrid w:val="0"/>
        <w:spacing w:beforeLines="50" w:after="50"/>
        <w:ind w:firstLine="540" w:firstLineChars="225"/>
        <w:rPr>
          <w:rFonts w:ascii="宋体" w:hAnsi="宋体" w:cs="宋体"/>
          <w:bCs/>
          <w:color w:val="auto"/>
          <w:sz w:val="24"/>
        </w:rPr>
      </w:pPr>
      <w:r>
        <w:rPr>
          <w:rFonts w:hint="eastAsia" w:ascii="宋体" w:hAnsi="宋体" w:cs="宋体"/>
          <w:bCs/>
          <w:color w:val="auto"/>
          <w:sz w:val="24"/>
        </w:rPr>
        <w:t>项目名称：</w:t>
      </w:r>
    </w:p>
    <w:p>
      <w:pPr>
        <w:snapToGrid w:val="0"/>
        <w:spacing w:beforeLines="50" w:after="50"/>
        <w:ind w:firstLine="540" w:firstLineChars="225"/>
        <w:rPr>
          <w:rFonts w:ascii="宋体" w:hAnsi="宋体" w:cs="宋体"/>
          <w:bCs/>
          <w:color w:val="auto"/>
          <w:sz w:val="24"/>
          <w:szCs w:val="20"/>
        </w:rPr>
      </w:pPr>
    </w:p>
    <w:p>
      <w:pPr>
        <w:snapToGrid w:val="0"/>
        <w:spacing w:beforeLines="50" w:after="50"/>
        <w:ind w:firstLine="540" w:firstLineChars="225"/>
        <w:rPr>
          <w:rFonts w:ascii="宋体" w:hAnsi="宋体" w:cs="宋体"/>
          <w:bCs/>
          <w:color w:val="auto"/>
          <w:sz w:val="24"/>
        </w:rPr>
      </w:pPr>
      <w:r>
        <w:rPr>
          <w:rFonts w:hint="eastAsia" w:ascii="宋体" w:hAnsi="宋体" w:cs="宋体"/>
          <w:bCs/>
          <w:color w:val="auto"/>
          <w:sz w:val="24"/>
        </w:rPr>
        <w:t>项目编号：</w:t>
      </w:r>
    </w:p>
    <w:p>
      <w:pPr>
        <w:snapToGrid w:val="0"/>
        <w:spacing w:beforeLines="50" w:after="50"/>
        <w:ind w:firstLine="540" w:firstLineChars="225"/>
        <w:rPr>
          <w:rFonts w:ascii="宋体" w:hAnsi="宋体" w:cs="宋体"/>
          <w:bCs/>
          <w:color w:val="auto"/>
          <w:sz w:val="24"/>
          <w:szCs w:val="20"/>
        </w:rPr>
      </w:pPr>
    </w:p>
    <w:p>
      <w:pPr>
        <w:snapToGrid w:val="0"/>
        <w:spacing w:beforeLines="50" w:after="50"/>
        <w:ind w:firstLine="540" w:firstLineChars="225"/>
        <w:rPr>
          <w:rFonts w:ascii="宋体" w:hAnsi="宋体" w:cs="宋体"/>
          <w:bCs/>
          <w:color w:val="auto"/>
          <w:sz w:val="24"/>
        </w:rPr>
      </w:pPr>
      <w:r>
        <w:rPr>
          <w:rFonts w:hint="eastAsia" w:ascii="宋体" w:hAnsi="宋体" w:cs="宋体"/>
          <w:bCs/>
          <w:color w:val="auto"/>
          <w:sz w:val="24"/>
        </w:rPr>
        <w:t>所投分标（如有则填写，无分标时填写“无”或者留空）：</w:t>
      </w:r>
    </w:p>
    <w:p>
      <w:pPr>
        <w:snapToGrid w:val="0"/>
        <w:spacing w:beforeLines="50" w:after="50"/>
        <w:ind w:firstLine="540" w:firstLineChars="225"/>
        <w:rPr>
          <w:rFonts w:ascii="宋体" w:hAnsi="宋体" w:cs="宋体"/>
          <w:bCs/>
          <w:color w:val="auto"/>
          <w:sz w:val="24"/>
          <w:szCs w:val="20"/>
        </w:rPr>
      </w:pPr>
    </w:p>
    <w:p>
      <w:pPr>
        <w:snapToGrid w:val="0"/>
        <w:spacing w:before="50" w:after="50"/>
        <w:ind w:firstLine="540" w:firstLineChars="225"/>
        <w:rPr>
          <w:rFonts w:ascii="宋体" w:hAnsi="宋体" w:cs="宋体"/>
          <w:bCs/>
          <w:color w:val="auto"/>
          <w:sz w:val="24"/>
        </w:rPr>
      </w:pPr>
      <w:r>
        <w:rPr>
          <w:rFonts w:hint="eastAsia" w:ascii="宋体" w:hAnsi="宋体" w:cs="宋体"/>
          <w:bCs/>
          <w:color w:val="auto"/>
          <w:sz w:val="24"/>
        </w:rPr>
        <w:t>投标人名称：</w:t>
      </w:r>
    </w:p>
    <w:p>
      <w:pPr>
        <w:snapToGrid w:val="0"/>
        <w:spacing w:before="50" w:after="50"/>
        <w:ind w:firstLine="540" w:firstLineChars="225"/>
        <w:rPr>
          <w:rFonts w:ascii="宋体" w:hAnsi="宋体" w:cs="宋体"/>
          <w:bCs/>
          <w:color w:val="auto"/>
          <w:sz w:val="24"/>
        </w:rPr>
      </w:pPr>
    </w:p>
    <w:p>
      <w:pPr>
        <w:snapToGrid w:val="0"/>
        <w:spacing w:before="50" w:after="50"/>
        <w:ind w:firstLine="540" w:firstLineChars="225"/>
        <w:rPr>
          <w:rFonts w:ascii="宋体" w:hAnsi="宋体" w:cs="宋体"/>
          <w:bCs/>
          <w:color w:val="auto"/>
          <w:sz w:val="24"/>
        </w:rPr>
      </w:pPr>
      <w:r>
        <w:rPr>
          <w:rFonts w:hint="eastAsia" w:ascii="宋体" w:hAnsi="宋体" w:cs="宋体"/>
          <w:bCs/>
          <w:color w:val="auto"/>
          <w:sz w:val="24"/>
        </w:rPr>
        <w:t>投标人地址：</w:t>
      </w:r>
    </w:p>
    <w:p>
      <w:pPr>
        <w:snapToGrid w:val="0"/>
        <w:spacing w:before="50" w:after="50"/>
        <w:ind w:firstLine="960" w:firstLineChars="400"/>
        <w:rPr>
          <w:rFonts w:ascii="宋体" w:hAnsi="宋体" w:cs="宋体"/>
          <w:bCs/>
          <w:color w:val="auto"/>
          <w:sz w:val="24"/>
        </w:rPr>
      </w:pPr>
    </w:p>
    <w:p>
      <w:pPr>
        <w:snapToGrid w:val="0"/>
        <w:spacing w:beforeLines="50" w:after="50"/>
        <w:ind w:firstLine="645"/>
        <w:rPr>
          <w:rFonts w:ascii="宋体" w:hAnsi="宋体" w:cs="宋体"/>
          <w:color w:val="auto"/>
          <w:sz w:val="24"/>
        </w:rPr>
      </w:pPr>
    </w:p>
    <w:p>
      <w:pPr>
        <w:snapToGrid w:val="0"/>
        <w:spacing w:beforeLines="50" w:after="50"/>
        <w:ind w:firstLine="645"/>
        <w:rPr>
          <w:rFonts w:ascii="宋体" w:hAnsi="宋体" w:cs="宋体"/>
          <w:color w:val="auto"/>
          <w:sz w:val="24"/>
        </w:rPr>
      </w:pPr>
    </w:p>
    <w:p>
      <w:pPr>
        <w:snapToGrid w:val="0"/>
        <w:spacing w:beforeLines="50" w:after="50"/>
        <w:ind w:firstLine="4329" w:firstLineChars="1804"/>
        <w:rPr>
          <w:rFonts w:ascii="宋体" w:hAnsi="宋体" w:cs="宋体"/>
          <w:color w:val="auto"/>
          <w:sz w:val="24"/>
        </w:rPr>
      </w:pPr>
      <w:r>
        <w:rPr>
          <w:rFonts w:hint="eastAsia" w:ascii="宋体" w:hAnsi="宋体" w:cs="宋体"/>
          <w:color w:val="auto"/>
          <w:sz w:val="24"/>
        </w:rPr>
        <w:t>年   月   日</w:t>
      </w:r>
    </w:p>
    <w:p>
      <w:pPr>
        <w:spacing w:line="360" w:lineRule="auto"/>
        <w:ind w:right="420"/>
        <w:rPr>
          <w:rFonts w:ascii="宋体" w:hAnsi="宋体" w:cs="宋体"/>
          <w:color w:val="auto"/>
          <w:sz w:val="24"/>
          <w:szCs w:val="20"/>
        </w:rPr>
      </w:pPr>
    </w:p>
    <w:p>
      <w:pPr>
        <w:spacing w:line="360" w:lineRule="auto"/>
        <w:ind w:right="420"/>
        <w:rPr>
          <w:rFonts w:ascii="宋体" w:hAnsi="宋体" w:cs="宋体"/>
          <w:color w:val="auto"/>
          <w:sz w:val="24"/>
          <w:szCs w:val="20"/>
        </w:rPr>
      </w:pPr>
      <w:r>
        <w:rPr>
          <w:rFonts w:hint="eastAsia" w:ascii="宋体" w:hAnsi="宋体" w:cs="宋体"/>
          <w:b/>
          <w:bCs/>
          <w:color w:val="auto"/>
          <w:sz w:val="28"/>
          <w:szCs w:val="28"/>
        </w:rPr>
        <w:br w:type="page"/>
      </w:r>
      <w:r>
        <w:rPr>
          <w:rFonts w:hint="eastAsia" w:ascii="宋体" w:hAnsi="宋体" w:cs="宋体"/>
          <w:b/>
          <w:bCs/>
          <w:color w:val="auto"/>
          <w:sz w:val="28"/>
          <w:szCs w:val="28"/>
        </w:rPr>
        <w:t>2.商务文件目录</w:t>
      </w:r>
    </w:p>
    <w:p>
      <w:pPr>
        <w:spacing w:line="360" w:lineRule="auto"/>
        <w:ind w:right="420"/>
        <w:rPr>
          <w:rFonts w:ascii="宋体" w:hAnsi="宋体" w:cs="宋体"/>
          <w:b/>
          <w:color w:val="auto"/>
          <w:kern w:val="0"/>
          <w:sz w:val="36"/>
          <w:szCs w:val="36"/>
        </w:rPr>
      </w:pPr>
      <w:r>
        <w:rPr>
          <w:rFonts w:hint="eastAsia" w:ascii="宋体" w:hAnsi="宋体" w:cs="宋体"/>
          <w:color w:val="auto"/>
          <w:kern w:val="0"/>
          <w:sz w:val="24"/>
        </w:rPr>
        <w:t>根据招标文件规定及投标人提供的材料自行编写目录（部分格式后附）。</w:t>
      </w:r>
    </w:p>
    <w:p>
      <w:pPr>
        <w:rPr>
          <w:rFonts w:ascii="宋体" w:hAnsi="宋体" w:cs="宋体"/>
          <w:b/>
          <w:color w:val="auto"/>
          <w:kern w:val="0"/>
          <w:sz w:val="24"/>
        </w:rPr>
      </w:pPr>
    </w:p>
    <w:p>
      <w:pPr>
        <w:spacing w:line="360" w:lineRule="auto"/>
        <w:rPr>
          <w:rFonts w:ascii="宋体" w:hAnsi="宋体" w:cs="宋体"/>
          <w:b/>
          <w:bCs/>
          <w:color w:val="auto"/>
          <w:sz w:val="24"/>
        </w:rPr>
      </w:pPr>
    </w:p>
    <w:p>
      <w:pPr>
        <w:snapToGrid w:val="0"/>
        <w:spacing w:beforeLines="50" w:after="50"/>
        <w:rPr>
          <w:rFonts w:ascii="宋体" w:hAnsi="宋体" w:cs="宋体"/>
          <w:b/>
          <w:bCs/>
          <w:color w:val="auto"/>
          <w:sz w:val="28"/>
          <w:szCs w:val="28"/>
        </w:rPr>
      </w:pPr>
      <w:r>
        <w:rPr>
          <w:rFonts w:hint="eastAsia" w:ascii="宋体" w:hAnsi="宋体" w:cs="宋体"/>
          <w:b/>
          <w:bCs/>
          <w:color w:val="auto"/>
          <w:sz w:val="28"/>
          <w:szCs w:val="28"/>
        </w:rPr>
        <w:br w:type="page"/>
      </w:r>
      <w:r>
        <w:rPr>
          <w:rFonts w:hint="eastAsia" w:ascii="宋体" w:hAnsi="宋体" w:cs="宋体"/>
          <w:b/>
          <w:bCs/>
          <w:color w:val="auto"/>
          <w:sz w:val="28"/>
          <w:szCs w:val="28"/>
        </w:rPr>
        <w:t>3.无串通投标行为的承诺函的格式：</w:t>
      </w:r>
    </w:p>
    <w:p>
      <w:pPr>
        <w:snapToGrid w:val="0"/>
        <w:spacing w:beforeLines="50" w:after="50"/>
        <w:ind w:left="420"/>
        <w:jc w:val="center"/>
        <w:rPr>
          <w:rFonts w:ascii="宋体" w:hAnsi="宋体" w:cs="宋体"/>
          <w:b/>
          <w:color w:val="auto"/>
          <w:sz w:val="28"/>
          <w:szCs w:val="28"/>
        </w:rPr>
      </w:pPr>
    </w:p>
    <w:p>
      <w:pPr>
        <w:snapToGrid w:val="0"/>
        <w:spacing w:beforeLines="50" w:after="50"/>
        <w:ind w:left="420"/>
        <w:jc w:val="center"/>
        <w:rPr>
          <w:rFonts w:ascii="宋体" w:hAnsi="宋体" w:cs="宋体"/>
          <w:b/>
          <w:color w:val="auto"/>
          <w:sz w:val="28"/>
          <w:szCs w:val="28"/>
        </w:rPr>
      </w:pPr>
      <w:r>
        <w:rPr>
          <w:rFonts w:hint="eastAsia" w:ascii="宋体" w:hAnsi="宋体" w:cs="宋体"/>
          <w:b/>
          <w:color w:val="auto"/>
          <w:sz w:val="28"/>
          <w:szCs w:val="28"/>
        </w:rPr>
        <w:t>参加本项目无</w:t>
      </w:r>
      <w:r>
        <w:rPr>
          <w:rFonts w:hint="eastAsia" w:ascii="宋体" w:hAnsi="宋体" w:cs="宋体"/>
          <w:b/>
          <w:bCs/>
          <w:color w:val="auto"/>
          <w:sz w:val="28"/>
          <w:szCs w:val="28"/>
        </w:rPr>
        <w:t>串通投标</w:t>
      </w:r>
      <w:r>
        <w:rPr>
          <w:rFonts w:hint="eastAsia" w:ascii="宋体" w:hAnsi="宋体" w:cs="宋体"/>
          <w:b/>
          <w:color w:val="auto"/>
          <w:sz w:val="28"/>
          <w:szCs w:val="28"/>
        </w:rPr>
        <w:t>行为的承诺函</w:t>
      </w:r>
    </w:p>
    <w:p>
      <w:pPr>
        <w:snapToGrid w:val="0"/>
        <w:spacing w:beforeLines="50" w:after="50"/>
        <w:rPr>
          <w:rFonts w:ascii="宋体" w:hAnsi="宋体" w:cs="宋体"/>
          <w:b/>
          <w:color w:val="auto"/>
          <w:szCs w:val="21"/>
        </w:rPr>
      </w:pPr>
    </w:p>
    <w:p>
      <w:pPr>
        <w:snapToGrid w:val="0"/>
        <w:spacing w:beforeLines="50" w:after="50" w:line="360" w:lineRule="auto"/>
        <w:jc w:val="left"/>
        <w:rPr>
          <w:rFonts w:ascii="宋体" w:hAnsi="宋体" w:cs="宋体"/>
          <w:b/>
          <w:color w:val="auto"/>
          <w:szCs w:val="21"/>
        </w:rPr>
      </w:pPr>
      <w:r>
        <w:rPr>
          <w:rFonts w:hint="eastAsia" w:ascii="宋体" w:hAnsi="宋体" w:cs="宋体"/>
          <w:b/>
          <w:color w:val="auto"/>
          <w:szCs w:val="21"/>
        </w:rPr>
        <w:t>一、我方承诺无下列相互串通投标的情形：</w:t>
      </w:r>
    </w:p>
    <w:p>
      <w:pPr>
        <w:snapToGrid w:val="0"/>
        <w:spacing w:beforeLines="50" w:after="50" w:line="360" w:lineRule="auto"/>
        <w:ind w:firstLine="411" w:firstLineChars="196"/>
        <w:jc w:val="left"/>
        <w:rPr>
          <w:rFonts w:hint="eastAsia" w:ascii="宋体" w:hAnsi="宋体" w:eastAsia="宋体" w:cs="宋体"/>
          <w:color w:val="auto"/>
          <w:szCs w:val="21"/>
          <w:lang w:eastAsia="zh-CN"/>
        </w:rPr>
      </w:pPr>
      <w:r>
        <w:rPr>
          <w:rFonts w:hint="eastAsia" w:ascii="宋体" w:hAnsi="宋体" w:cs="宋体"/>
          <w:color w:val="auto"/>
          <w:szCs w:val="21"/>
        </w:rPr>
        <w:t>1.不同投标人的投标文件由同一单位或者个人编制。</w:t>
      </w:r>
    </w:p>
    <w:p>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2.不同投标人委托同一单位或者个人办理投标事宜。</w:t>
      </w:r>
    </w:p>
    <w:p>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3.不同的投标人的投标文件载明的项目管理员为同一个人。</w:t>
      </w:r>
    </w:p>
    <w:p>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4.不同投标人的投标文件异常一致或者投标报价呈规律性差异。</w:t>
      </w:r>
    </w:p>
    <w:p>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5.不同投标人的投标文件相互混装。</w:t>
      </w:r>
    </w:p>
    <w:p>
      <w:pPr>
        <w:snapToGrid w:val="0"/>
        <w:spacing w:beforeLines="50" w:after="50" w:line="360" w:lineRule="auto"/>
        <w:ind w:firstLine="411" w:firstLineChars="196"/>
        <w:jc w:val="lef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.不同投标人的投标保证金从同一单位或者个人账户转出。</w:t>
      </w:r>
    </w:p>
    <w:p>
      <w:pPr>
        <w:snapToGrid w:val="0"/>
        <w:spacing w:beforeLines="50" w:after="50" w:line="360" w:lineRule="auto"/>
        <w:jc w:val="left"/>
        <w:rPr>
          <w:rFonts w:ascii="宋体" w:hAnsi="宋体" w:cs="宋体"/>
          <w:color w:val="auto"/>
          <w:szCs w:val="21"/>
        </w:rPr>
      </w:pPr>
      <w:r>
        <w:rPr>
          <w:rFonts w:hint="eastAsia" w:ascii="宋体" w:hAnsi="宋体" w:cs="宋体"/>
          <w:b/>
          <w:color w:val="auto"/>
          <w:szCs w:val="21"/>
        </w:rPr>
        <w:t>二、我方承诺无下列恶意串通的情形：</w:t>
      </w:r>
    </w:p>
    <w:p>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1.投标人直接或者间接从采购人或者采购代理机构处获得其他投标人的相关信息并修改其投标文件。</w:t>
      </w:r>
    </w:p>
    <w:p>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2.投标人按照采购人或者采购代理机构的授意撤换、修改投标文件。</w:t>
      </w:r>
    </w:p>
    <w:p>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3.投标人之间协商报价、技术方案等投标文件的实质性内容。</w:t>
      </w:r>
    </w:p>
    <w:p>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4.属于同一集团、协会、商会等组织成员的投标人按照该组织要求协同参加政府采购活动。</w:t>
      </w:r>
    </w:p>
    <w:p>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6.投标人之间商定部分投标人放弃参加政府采购活动或者放弃中标。</w:t>
      </w:r>
    </w:p>
    <w:p>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7.投标人与采购人或者采购代理机构之间、投标人相互之间，为谋求特定投标人中标或者排斥其他投标人的其他串通行为。</w:t>
      </w:r>
    </w:p>
    <w:p>
      <w:pPr>
        <w:snapToGrid w:val="0"/>
        <w:spacing w:beforeLines="50" w:after="50" w:line="360" w:lineRule="auto"/>
        <w:ind w:firstLine="413" w:firstLineChars="196"/>
        <w:jc w:val="left"/>
        <w:rPr>
          <w:rFonts w:ascii="宋体" w:hAnsi="宋体" w:cs="宋体"/>
          <w:b/>
          <w:color w:val="auto"/>
          <w:szCs w:val="21"/>
        </w:rPr>
      </w:pPr>
      <w:r>
        <w:rPr>
          <w:rFonts w:hint="eastAsia" w:ascii="宋体" w:hAnsi="宋体" w:cs="宋体"/>
          <w:b/>
          <w:bCs/>
          <w:color w:val="auto"/>
          <w:szCs w:val="21"/>
        </w:rPr>
        <w:t>以上情形一经核查属实，接受政府采购监管部门对我方认定存在围标串标行为，我方愿意承担一切后果，并不再寻求任何旨在减轻或者免除法律责任的辩解</w:t>
      </w:r>
      <w:r>
        <w:rPr>
          <w:rFonts w:hint="eastAsia" w:ascii="宋体" w:hAnsi="宋体" w:cs="宋体"/>
          <w:b/>
          <w:color w:val="auto"/>
          <w:szCs w:val="21"/>
        </w:rPr>
        <w:t>。</w:t>
      </w:r>
    </w:p>
    <w:p>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投标人名称(盖公章)：</w:t>
      </w:r>
    </w:p>
    <w:p>
      <w:pPr>
        <w:snapToGrid w:val="0"/>
        <w:spacing w:line="360" w:lineRule="auto"/>
        <w:ind w:firstLine="5160" w:firstLineChars="2150"/>
        <w:rPr>
          <w:rFonts w:hint="eastAsia" w:ascii="宋体" w:hAnsi="宋体" w:eastAsia="宋体" w:cs="宋体"/>
          <w:color w:val="auto"/>
          <w:kern w:val="0"/>
          <w:sz w:val="24"/>
          <w:lang w:val="zh-CN" w:eastAsia="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eastAsia="zh-CN"/>
        </w:rPr>
        <w:t>年  月  日</w:t>
      </w:r>
    </w:p>
    <w:p>
      <w:pPr>
        <w:snapToGrid w:val="0"/>
        <w:spacing w:before="295" w:after="295" w:line="360" w:lineRule="auto"/>
        <w:rPr>
          <w:rFonts w:ascii="宋体" w:hAnsi="宋体" w:cs="宋体"/>
          <w:b/>
          <w:color w:val="auto"/>
          <w:sz w:val="24"/>
          <w:szCs w:val="20"/>
        </w:rPr>
      </w:pPr>
      <w:r>
        <w:rPr>
          <w:rFonts w:hint="eastAsia" w:ascii="宋体" w:hAnsi="宋体" w:cs="宋体"/>
          <w:b/>
          <w:color w:val="auto"/>
          <w:sz w:val="24"/>
          <w:szCs w:val="20"/>
        </w:rPr>
        <w:br w:type="page"/>
      </w:r>
      <w:r>
        <w:rPr>
          <w:rFonts w:hint="eastAsia" w:ascii="宋体" w:hAnsi="宋体" w:cs="宋体"/>
          <w:b/>
          <w:bCs/>
          <w:color w:val="auto"/>
          <w:sz w:val="28"/>
          <w:szCs w:val="28"/>
        </w:rPr>
        <w:t>4.法定代表人身份证明的格式：</w:t>
      </w:r>
    </w:p>
    <w:p>
      <w:pPr>
        <w:spacing w:beforeLines="100" w:afterLines="50"/>
        <w:ind w:left="540"/>
        <w:jc w:val="center"/>
        <w:rPr>
          <w:rFonts w:ascii="宋体" w:hAnsi="宋体" w:cs="宋体"/>
          <w:b/>
          <w:color w:val="auto"/>
          <w:sz w:val="32"/>
          <w:szCs w:val="32"/>
        </w:rPr>
      </w:pPr>
    </w:p>
    <w:p>
      <w:pPr>
        <w:spacing w:beforeLines="100" w:afterLines="50"/>
        <w:ind w:left="540"/>
        <w:jc w:val="center"/>
        <w:rPr>
          <w:rFonts w:ascii="宋体" w:hAnsi="宋体" w:cs="宋体"/>
          <w:color w:val="auto"/>
          <w:sz w:val="32"/>
          <w:szCs w:val="32"/>
        </w:rPr>
      </w:pPr>
      <w:r>
        <w:rPr>
          <w:rFonts w:hint="eastAsia" w:ascii="宋体" w:hAnsi="宋体" w:cs="宋体"/>
          <w:b/>
          <w:color w:val="auto"/>
          <w:sz w:val="32"/>
          <w:szCs w:val="32"/>
        </w:rPr>
        <w:t>法定代表人身份证明</w:t>
      </w:r>
    </w:p>
    <w:p>
      <w:pPr>
        <w:spacing w:line="500" w:lineRule="exact"/>
        <w:ind w:left="540"/>
        <w:rPr>
          <w:rFonts w:ascii="宋体" w:hAnsi="宋体" w:cs="宋体"/>
          <w:color w:val="auto"/>
          <w:sz w:val="24"/>
        </w:rPr>
      </w:pPr>
      <w:r>
        <w:rPr>
          <w:rFonts w:hint="eastAsia" w:ascii="宋体" w:hAnsi="宋体" w:cs="宋体"/>
          <w:color w:val="auto"/>
          <w:sz w:val="24"/>
        </w:rPr>
        <w:t>投 标 人：</w:t>
      </w:r>
    </w:p>
    <w:p>
      <w:pPr>
        <w:spacing w:line="500" w:lineRule="exact"/>
        <w:ind w:left="540"/>
        <w:rPr>
          <w:rFonts w:ascii="宋体" w:hAnsi="宋体" w:cs="宋体"/>
          <w:color w:val="auto"/>
          <w:sz w:val="24"/>
        </w:rPr>
      </w:pPr>
      <w:r>
        <w:rPr>
          <w:rFonts w:hint="eastAsia" w:ascii="宋体" w:hAnsi="宋体" w:cs="宋体"/>
          <w:color w:val="auto"/>
          <w:sz w:val="24"/>
        </w:rPr>
        <w:t>地    址：</w:t>
      </w:r>
    </w:p>
    <w:p>
      <w:pPr>
        <w:spacing w:line="500" w:lineRule="exact"/>
        <w:ind w:left="540"/>
        <w:rPr>
          <w:rFonts w:ascii="宋体" w:hAnsi="宋体" w:cs="宋体"/>
          <w:color w:val="auto"/>
          <w:sz w:val="24"/>
        </w:rPr>
      </w:pPr>
      <w:r>
        <w:rPr>
          <w:rFonts w:hint="eastAsia" w:ascii="宋体" w:hAnsi="宋体" w:cs="宋体"/>
          <w:color w:val="auto"/>
          <w:sz w:val="24"/>
        </w:rPr>
        <w:t>姓    名：性      别：</w:t>
      </w:r>
    </w:p>
    <w:p>
      <w:pPr>
        <w:spacing w:line="500" w:lineRule="exact"/>
        <w:ind w:left="540"/>
        <w:rPr>
          <w:rFonts w:ascii="宋体" w:hAnsi="宋体" w:cs="宋体"/>
          <w:color w:val="auto"/>
          <w:sz w:val="24"/>
          <w:u w:val="single"/>
        </w:rPr>
      </w:pPr>
      <w:r>
        <w:rPr>
          <w:rFonts w:hint="eastAsia" w:ascii="宋体" w:hAnsi="宋体" w:cs="宋体"/>
          <w:color w:val="auto"/>
          <w:sz w:val="24"/>
        </w:rPr>
        <w:t>年    龄：职      务：</w:t>
      </w:r>
    </w:p>
    <w:p>
      <w:pPr>
        <w:spacing w:line="500" w:lineRule="exact"/>
        <w:ind w:left="540"/>
        <w:rPr>
          <w:rFonts w:ascii="宋体" w:hAnsi="宋体" w:cs="宋体"/>
          <w:color w:val="auto"/>
          <w:sz w:val="24"/>
        </w:rPr>
      </w:pPr>
      <w:r>
        <w:rPr>
          <w:rFonts w:hint="eastAsia" w:ascii="宋体" w:hAnsi="宋体" w:cs="宋体"/>
          <w:color w:val="auto"/>
          <w:sz w:val="24"/>
        </w:rPr>
        <w:t>身份证号码：</w:t>
      </w:r>
    </w:p>
    <w:p>
      <w:pPr>
        <w:spacing w:line="500" w:lineRule="exact"/>
        <w:ind w:left="54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的法定代表人。</w:t>
      </w:r>
    </w:p>
    <w:p>
      <w:pPr>
        <w:spacing w:line="500" w:lineRule="exact"/>
        <w:ind w:left="540"/>
        <w:rPr>
          <w:rFonts w:ascii="宋体" w:hAnsi="宋体" w:cs="宋体"/>
          <w:color w:val="auto"/>
          <w:sz w:val="24"/>
        </w:rPr>
      </w:pPr>
      <w:r>
        <w:rPr>
          <w:rFonts w:hint="eastAsia" w:ascii="宋体" w:hAnsi="宋体" w:cs="宋体"/>
          <w:color w:val="auto"/>
          <w:sz w:val="24"/>
        </w:rPr>
        <w:t>特此证明。</w:t>
      </w:r>
    </w:p>
    <w:p>
      <w:pPr>
        <w:spacing w:line="500" w:lineRule="exact"/>
        <w:ind w:left="540"/>
        <w:rPr>
          <w:rFonts w:ascii="宋体" w:hAnsi="宋体" w:cs="宋体"/>
          <w:color w:val="auto"/>
          <w:sz w:val="24"/>
        </w:rPr>
      </w:pPr>
    </w:p>
    <w:p>
      <w:pPr>
        <w:spacing w:line="500" w:lineRule="exact"/>
        <w:ind w:left="540"/>
        <w:rPr>
          <w:rFonts w:ascii="宋体" w:hAnsi="宋体" w:cs="宋体"/>
          <w:color w:val="auto"/>
          <w:sz w:val="24"/>
        </w:rPr>
      </w:pPr>
    </w:p>
    <w:p>
      <w:pPr>
        <w:spacing w:line="500" w:lineRule="exact"/>
        <w:ind w:left="540"/>
        <w:rPr>
          <w:rFonts w:ascii="宋体" w:hAnsi="宋体" w:cs="宋体"/>
          <w:color w:val="auto"/>
          <w:sz w:val="24"/>
        </w:rPr>
      </w:pPr>
      <w:r>
        <w:rPr>
          <w:rFonts w:hint="eastAsia" w:ascii="宋体" w:hAnsi="宋体" w:cs="宋体"/>
          <w:color w:val="auto"/>
          <w:sz w:val="24"/>
        </w:rPr>
        <w:t>附件：法定代表人有效身份证正反面复印件</w:t>
      </w:r>
    </w:p>
    <w:p>
      <w:pPr>
        <w:spacing w:line="500" w:lineRule="exact"/>
        <w:ind w:left="540"/>
        <w:rPr>
          <w:rFonts w:ascii="宋体" w:hAnsi="宋体" w:cs="宋体"/>
          <w:color w:val="auto"/>
          <w:sz w:val="24"/>
        </w:rPr>
      </w:pPr>
    </w:p>
    <w:p>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投标人名称(盖公章)：</w:t>
      </w:r>
    </w:p>
    <w:p>
      <w:pPr>
        <w:snapToGrid w:val="0"/>
        <w:spacing w:line="360" w:lineRule="auto"/>
        <w:ind w:firstLine="5160" w:firstLineChars="2150"/>
        <w:rPr>
          <w:rFonts w:hint="eastAsia" w:ascii="宋体" w:hAnsi="宋体" w:eastAsia="宋体" w:cs="宋体"/>
          <w:color w:val="auto"/>
          <w:kern w:val="0"/>
          <w:sz w:val="24"/>
          <w:lang w:val="zh-CN" w:eastAsia="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eastAsia="zh-CN"/>
        </w:rPr>
        <w:t>年  月  日</w:t>
      </w:r>
    </w:p>
    <w:p>
      <w:pPr>
        <w:snapToGrid w:val="0"/>
        <w:spacing w:beforeLines="50" w:after="50"/>
        <w:jc w:val="center"/>
        <w:rPr>
          <w:rFonts w:ascii="宋体" w:hAnsi="宋体" w:cs="宋体"/>
          <w:b/>
          <w:color w:val="auto"/>
          <w:sz w:val="24"/>
        </w:rPr>
      </w:pPr>
    </w:p>
    <w:p>
      <w:pPr>
        <w:snapToGrid w:val="0"/>
        <w:spacing w:beforeLines="50" w:after="50"/>
        <w:ind w:firstLine="600" w:firstLineChars="250"/>
        <w:jc w:val="left"/>
        <w:rPr>
          <w:rFonts w:ascii="宋体" w:hAnsi="宋体" w:cs="宋体"/>
          <w:color w:val="auto"/>
          <w:sz w:val="24"/>
        </w:rPr>
      </w:pPr>
      <w:r>
        <w:rPr>
          <w:rFonts w:hint="eastAsia" w:ascii="宋体" w:hAnsi="宋体" w:cs="宋体"/>
          <w:color w:val="auto"/>
          <w:sz w:val="24"/>
        </w:rPr>
        <w:t>注：自然人投标的无需提供</w:t>
      </w:r>
    </w:p>
    <w:p>
      <w:pPr>
        <w:snapToGrid w:val="0"/>
        <w:spacing w:beforeLines="50" w:after="50"/>
        <w:ind w:firstLine="600" w:firstLineChars="250"/>
        <w:jc w:val="left"/>
        <w:rPr>
          <w:rFonts w:ascii="宋体" w:hAnsi="宋体" w:cs="宋体"/>
          <w:color w:val="auto"/>
          <w:sz w:val="24"/>
        </w:rPr>
      </w:pPr>
    </w:p>
    <w:p>
      <w:pPr>
        <w:snapToGrid w:val="0"/>
        <w:spacing w:beforeLines="50" w:after="50"/>
        <w:ind w:firstLine="602" w:firstLineChars="250"/>
        <w:jc w:val="left"/>
        <w:rPr>
          <w:rFonts w:ascii="宋体" w:hAnsi="宋体" w:cs="宋体"/>
          <w:b/>
          <w:color w:val="auto"/>
          <w:sz w:val="24"/>
          <w:szCs w:val="20"/>
        </w:rPr>
      </w:pPr>
    </w:p>
    <w:tbl>
      <w:tblPr>
        <w:tblStyle w:val="24"/>
        <w:tblpPr w:leftFromText="180" w:rightFromText="180" w:vertAnchor="text" w:horzAnchor="margin" w:tblpY="116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5" w:hRule="atLeast"/>
        </w:trPr>
        <w:tc>
          <w:tcPr>
            <w:tcW w:w="9748"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法定代表人有效身份证复印件粘帖处（正、反面）</w:t>
            </w:r>
          </w:p>
        </w:tc>
      </w:tr>
    </w:tbl>
    <w:p>
      <w:pPr>
        <w:snapToGrid w:val="0"/>
        <w:spacing w:before="295" w:after="295" w:line="360" w:lineRule="auto"/>
        <w:jc w:val="left"/>
        <w:rPr>
          <w:rFonts w:ascii="宋体" w:hAnsi="宋体" w:cs="宋体"/>
          <w:b/>
          <w:color w:val="auto"/>
          <w:sz w:val="24"/>
          <w:szCs w:val="20"/>
        </w:rPr>
      </w:pPr>
      <w:r>
        <w:rPr>
          <w:rFonts w:hint="eastAsia" w:ascii="宋体" w:hAnsi="宋体" w:cs="宋体"/>
          <w:b/>
          <w:color w:val="auto"/>
          <w:sz w:val="24"/>
          <w:szCs w:val="20"/>
        </w:rPr>
        <w:t>附件：</w:t>
      </w:r>
      <w:r>
        <w:rPr>
          <w:rFonts w:hint="eastAsia" w:ascii="宋体" w:hAnsi="宋体" w:cs="宋体"/>
          <w:b/>
          <w:color w:val="auto"/>
          <w:sz w:val="24"/>
          <w:szCs w:val="20"/>
        </w:rPr>
        <w:br w:type="page"/>
      </w:r>
      <w:r>
        <w:rPr>
          <w:rFonts w:hint="eastAsia" w:ascii="宋体" w:hAnsi="宋体" w:cs="宋体"/>
          <w:b/>
          <w:bCs/>
          <w:color w:val="auto"/>
          <w:sz w:val="30"/>
          <w:szCs w:val="30"/>
        </w:rPr>
        <w:t>5.法定代表人授权委托书的格式：</w:t>
      </w:r>
    </w:p>
    <w:p>
      <w:pPr>
        <w:snapToGrid w:val="0"/>
        <w:spacing w:beforeLines="50" w:after="50"/>
        <w:jc w:val="center"/>
        <w:rPr>
          <w:rFonts w:ascii="宋体" w:hAnsi="宋体" w:cs="宋体"/>
          <w:b/>
          <w:color w:val="auto"/>
          <w:sz w:val="32"/>
          <w:szCs w:val="32"/>
        </w:rPr>
      </w:pPr>
      <w:r>
        <w:rPr>
          <w:rFonts w:hint="eastAsia" w:ascii="宋体" w:hAnsi="宋体" w:cs="宋体"/>
          <w:b/>
          <w:color w:val="auto"/>
          <w:sz w:val="32"/>
          <w:szCs w:val="32"/>
        </w:rPr>
        <w:t>法定代表人授权委托书</w:t>
      </w:r>
      <w:r>
        <w:rPr>
          <w:rFonts w:hint="eastAsia" w:ascii="宋体" w:hAnsi="宋体" w:cs="宋体"/>
          <w:b/>
          <w:bCs/>
          <w:color w:val="auto"/>
          <w:sz w:val="30"/>
          <w:szCs w:val="30"/>
        </w:rPr>
        <w:t>（如有委托时）</w:t>
      </w:r>
    </w:p>
    <w:p>
      <w:pPr>
        <w:snapToGrid w:val="0"/>
        <w:spacing w:beforeLines="50" w:after="50"/>
        <w:jc w:val="center"/>
        <w:rPr>
          <w:rFonts w:ascii="宋体" w:hAnsi="宋体" w:cs="宋体"/>
          <w:b/>
          <w:color w:val="auto"/>
          <w:sz w:val="24"/>
        </w:rPr>
      </w:pPr>
    </w:p>
    <w:p>
      <w:pPr>
        <w:spacing w:line="440" w:lineRule="exact"/>
        <w:ind w:firstLine="420" w:firstLineChars="200"/>
        <w:rPr>
          <w:rFonts w:ascii="宋体" w:hAnsi="宋体" w:cs="宋体"/>
          <w:color w:val="auto"/>
          <w:szCs w:val="20"/>
        </w:rPr>
      </w:pPr>
      <w:r>
        <w:rPr>
          <w:rFonts w:hint="eastAsia" w:ascii="宋体" w:hAnsi="宋体" w:cs="宋体"/>
          <w:color w:val="auto"/>
          <w:szCs w:val="20"/>
        </w:rPr>
        <w:t>致：</w:t>
      </w:r>
      <w:bookmarkStart w:id="243" w:name="PO_3000001919_PM031_2"/>
      <w:r>
        <w:rPr>
          <w:rFonts w:hint="eastAsia" w:ascii="宋体" w:hAnsi="宋体" w:cs="宋体"/>
          <w:color w:val="auto"/>
          <w:szCs w:val="20"/>
          <w:u w:val="single"/>
        </w:rPr>
        <w:t>广西科联招标中心有限公司</w:t>
      </w:r>
      <w:bookmarkEnd w:id="243"/>
    </w:p>
    <w:p>
      <w:pPr>
        <w:spacing w:line="440" w:lineRule="exact"/>
        <w:ind w:firstLine="420" w:firstLineChars="200"/>
        <w:rPr>
          <w:rFonts w:ascii="宋体" w:hAnsi="宋体" w:cs="宋体"/>
          <w:color w:val="auto"/>
          <w:szCs w:val="20"/>
        </w:rPr>
      </w:pPr>
      <w:r>
        <w:rPr>
          <w:rFonts w:hint="eastAsia" w:ascii="宋体" w:hAnsi="宋体" w:cs="宋体"/>
          <w:color w:val="auto"/>
          <w:szCs w:val="20"/>
        </w:rPr>
        <w:t>本人（姓名）系（投标人名称）的法定代表人，现授权我单位在职正式员工（姓名和职务）为我方代理人。代理人根据授权，以我方名义签署、澄清、说明、补正、递交、撤回、修改贵方组织的</w:t>
      </w:r>
      <w:r>
        <w:rPr>
          <w:rFonts w:hint="eastAsia" w:ascii="宋体" w:hAnsi="宋体" w:cs="宋体"/>
          <w:i/>
          <w:iCs/>
          <w:color w:val="auto"/>
          <w:szCs w:val="20"/>
          <w:u w:val="single"/>
        </w:rPr>
        <w:t>（项目名称）</w:t>
      </w:r>
      <w:r>
        <w:rPr>
          <w:rFonts w:hint="eastAsia" w:ascii="宋体" w:hAnsi="宋体" w:cs="宋体"/>
          <w:color w:val="auto"/>
          <w:szCs w:val="20"/>
        </w:rPr>
        <w:t>项目（项目编号：）的投标文件、签订合同和处理一切有关事宜，其法律后果由我方承担。</w:t>
      </w:r>
    </w:p>
    <w:p>
      <w:pPr>
        <w:spacing w:line="440" w:lineRule="exact"/>
        <w:ind w:firstLine="420" w:firstLineChars="200"/>
        <w:rPr>
          <w:rFonts w:ascii="宋体" w:hAnsi="宋体" w:cs="宋体"/>
          <w:color w:val="auto"/>
          <w:szCs w:val="20"/>
        </w:rPr>
      </w:pPr>
      <w:r>
        <w:rPr>
          <w:rFonts w:hint="eastAsia" w:ascii="宋体" w:hAnsi="宋体" w:cs="宋体"/>
          <w:color w:val="auto"/>
          <w:szCs w:val="20"/>
        </w:rPr>
        <w:t>本授权书于年月日签字生效，委托期限：。</w:t>
      </w:r>
    </w:p>
    <w:p>
      <w:pPr>
        <w:spacing w:line="360" w:lineRule="auto"/>
        <w:ind w:firstLine="420"/>
        <w:rPr>
          <w:rFonts w:ascii="宋体" w:hAnsi="宋体" w:cs="宋体"/>
          <w:color w:val="auto"/>
          <w:szCs w:val="20"/>
        </w:rPr>
      </w:pPr>
      <w:r>
        <w:rPr>
          <w:rFonts w:hint="eastAsia" w:ascii="宋体" w:hAnsi="宋体" w:cs="宋体"/>
          <w:color w:val="auto"/>
          <w:szCs w:val="20"/>
        </w:rPr>
        <w:t>代理人无转委托权。</w:t>
      </w:r>
    </w:p>
    <w:p>
      <w:pPr>
        <w:spacing w:line="360" w:lineRule="auto"/>
        <w:ind w:firstLine="420"/>
        <w:rPr>
          <w:rFonts w:ascii="宋体" w:hAnsi="宋体" w:cs="宋体"/>
          <w:color w:val="auto"/>
          <w:szCs w:val="20"/>
        </w:rPr>
      </w:pPr>
    </w:p>
    <w:p>
      <w:pPr>
        <w:spacing w:line="360" w:lineRule="auto"/>
        <w:ind w:firstLine="420"/>
        <w:rPr>
          <w:rFonts w:ascii="宋体" w:hAnsi="宋体" w:cs="宋体"/>
          <w:color w:val="auto"/>
          <w:szCs w:val="20"/>
          <w:u w:val="single"/>
        </w:rPr>
      </w:pPr>
      <w:r>
        <w:rPr>
          <w:rFonts w:hint="eastAsia" w:ascii="宋体" w:hAnsi="宋体" w:cs="宋体"/>
          <w:color w:val="auto"/>
          <w:szCs w:val="20"/>
        </w:rPr>
        <w:t>投标人（或联合体投标</w:t>
      </w:r>
      <w:r>
        <w:rPr>
          <w:rFonts w:hint="eastAsia" w:ascii="宋体" w:hAnsi="宋体" w:cs="宋体"/>
          <w:color w:val="auto"/>
          <w:kern w:val="0"/>
          <w:szCs w:val="21"/>
        </w:rPr>
        <w:t>牵头人名称</w:t>
      </w:r>
      <w:r>
        <w:rPr>
          <w:rFonts w:hint="eastAsia" w:ascii="宋体" w:hAnsi="宋体" w:cs="宋体"/>
          <w:color w:val="auto"/>
          <w:szCs w:val="20"/>
        </w:rPr>
        <w:t>）（盖单位公章）：</w:t>
      </w:r>
    </w:p>
    <w:p>
      <w:pPr>
        <w:spacing w:line="360" w:lineRule="auto"/>
        <w:ind w:firstLine="420"/>
        <w:rPr>
          <w:rFonts w:ascii="宋体" w:hAnsi="宋体" w:cs="宋体"/>
          <w:color w:val="auto"/>
          <w:szCs w:val="20"/>
          <w:u w:val="single"/>
        </w:rPr>
      </w:pPr>
      <w:r>
        <w:rPr>
          <w:rFonts w:hint="eastAsia" w:ascii="宋体" w:hAnsi="宋体" w:cs="宋体"/>
          <w:color w:val="auto"/>
          <w:szCs w:val="20"/>
        </w:rPr>
        <w:t>法定代表人（签字）：</w:t>
      </w:r>
    </w:p>
    <w:p>
      <w:pPr>
        <w:spacing w:line="360" w:lineRule="auto"/>
        <w:ind w:firstLine="420"/>
        <w:rPr>
          <w:rFonts w:ascii="宋体" w:hAnsi="宋体" w:cs="宋体"/>
          <w:color w:val="auto"/>
          <w:szCs w:val="20"/>
          <w:u w:val="single"/>
        </w:rPr>
      </w:pPr>
      <w:r>
        <w:rPr>
          <w:rFonts w:hint="eastAsia" w:ascii="宋体" w:hAnsi="宋体" w:cs="宋体"/>
          <w:color w:val="auto"/>
          <w:szCs w:val="20"/>
        </w:rPr>
        <w:t>法定代表人身份证号码：</w:t>
      </w:r>
    </w:p>
    <w:p>
      <w:pPr>
        <w:spacing w:line="360" w:lineRule="auto"/>
        <w:ind w:firstLine="420" w:firstLineChars="200"/>
        <w:rPr>
          <w:rFonts w:ascii="宋体" w:hAnsi="宋体" w:cs="宋体"/>
          <w:color w:val="auto"/>
          <w:szCs w:val="20"/>
        </w:rPr>
      </w:pPr>
      <w:r>
        <w:rPr>
          <w:rFonts w:hint="eastAsia" w:ascii="宋体" w:hAnsi="宋体" w:cs="宋体"/>
          <w:color w:val="auto"/>
          <w:szCs w:val="20"/>
        </w:rPr>
        <w:t>委托代理人（签字）：</w:t>
      </w:r>
    </w:p>
    <w:p>
      <w:pPr>
        <w:spacing w:line="360" w:lineRule="auto"/>
        <w:ind w:firstLine="420"/>
        <w:rPr>
          <w:rFonts w:ascii="宋体" w:hAnsi="宋体" w:cs="宋体"/>
          <w:color w:val="auto"/>
          <w:szCs w:val="20"/>
          <w:u w:val="single"/>
        </w:rPr>
      </w:pPr>
      <w:r>
        <w:rPr>
          <w:rFonts w:hint="eastAsia" w:ascii="宋体" w:hAnsi="宋体" w:cs="宋体"/>
          <w:color w:val="auto"/>
          <w:szCs w:val="20"/>
        </w:rPr>
        <w:t>委托代理人身份证号码：</w:t>
      </w:r>
    </w:p>
    <w:p>
      <w:pPr>
        <w:spacing w:line="360" w:lineRule="auto"/>
        <w:ind w:firstLine="420"/>
        <w:rPr>
          <w:rFonts w:ascii="宋体" w:hAnsi="宋体" w:cs="宋体"/>
          <w:color w:val="auto"/>
          <w:szCs w:val="20"/>
          <w:u w:val="single"/>
        </w:rPr>
      </w:pPr>
    </w:p>
    <w:p>
      <w:pPr>
        <w:spacing w:line="360" w:lineRule="auto"/>
        <w:ind w:firstLine="420"/>
        <w:rPr>
          <w:rFonts w:ascii="宋体" w:hAnsi="宋体" w:cs="宋体"/>
          <w:color w:val="auto"/>
          <w:szCs w:val="20"/>
          <w:u w:val="single"/>
        </w:rPr>
      </w:pPr>
      <w:r>
        <w:rPr>
          <w:rFonts w:hint="eastAsia" w:ascii="宋体" w:hAnsi="宋体" w:cs="宋体"/>
          <w:color w:val="auto"/>
          <w:kern w:val="0"/>
          <w:szCs w:val="21"/>
        </w:rPr>
        <w:t>成员一名称：</w:t>
      </w:r>
      <w:r>
        <w:rPr>
          <w:rFonts w:hint="eastAsia" w:ascii="宋体" w:hAnsi="宋体" w:cs="宋体"/>
          <w:color w:val="auto"/>
          <w:szCs w:val="20"/>
        </w:rPr>
        <w:t>（盖单位公章）：</w:t>
      </w:r>
    </w:p>
    <w:p>
      <w:pPr>
        <w:spacing w:line="360" w:lineRule="auto"/>
        <w:ind w:firstLine="420"/>
        <w:rPr>
          <w:rFonts w:ascii="宋体" w:hAnsi="宋体" w:cs="宋体"/>
          <w:color w:val="auto"/>
          <w:szCs w:val="20"/>
          <w:u w:val="single"/>
        </w:rPr>
      </w:pPr>
      <w:r>
        <w:rPr>
          <w:rFonts w:hint="eastAsia" w:ascii="宋体" w:hAnsi="宋体" w:cs="宋体"/>
          <w:color w:val="auto"/>
          <w:szCs w:val="20"/>
        </w:rPr>
        <w:t>法定代表人（签字）：</w:t>
      </w:r>
    </w:p>
    <w:p>
      <w:pPr>
        <w:spacing w:line="360" w:lineRule="auto"/>
        <w:ind w:firstLine="420"/>
        <w:rPr>
          <w:rFonts w:ascii="宋体" w:hAnsi="宋体" w:cs="宋体"/>
          <w:color w:val="auto"/>
          <w:szCs w:val="20"/>
          <w:u w:val="single"/>
        </w:rPr>
      </w:pP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成员二名称：（盖单位公章）</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法定代表人或其委托代理人：（签字）</w:t>
      </w:r>
    </w:p>
    <w:p>
      <w:pPr>
        <w:ind w:firstLine="420" w:firstLineChars="200"/>
        <w:rPr>
          <w:rFonts w:ascii="宋体" w:hAnsi="宋体" w:cs="宋体"/>
          <w:color w:val="auto"/>
          <w:szCs w:val="20"/>
        </w:rPr>
      </w:pPr>
      <w:r>
        <w:rPr>
          <w:rFonts w:hint="eastAsia" w:ascii="宋体" w:hAnsi="宋体" w:cs="宋体"/>
          <w:color w:val="auto"/>
          <w:szCs w:val="20"/>
        </w:rPr>
        <w:t>......</w:t>
      </w:r>
    </w:p>
    <w:p>
      <w:pPr>
        <w:spacing w:line="360" w:lineRule="auto"/>
        <w:rPr>
          <w:rFonts w:ascii="宋体" w:hAnsi="宋体" w:cs="宋体"/>
          <w:color w:val="auto"/>
          <w:szCs w:val="21"/>
        </w:rPr>
      </w:pPr>
      <w:r>
        <w:rPr>
          <w:rFonts w:hint="eastAsia" w:ascii="宋体" w:hAnsi="宋体" w:cs="宋体"/>
          <w:color w:val="auto"/>
          <w:szCs w:val="21"/>
        </w:rPr>
        <w:t>注：</w:t>
      </w:r>
    </w:p>
    <w:p>
      <w:pPr>
        <w:spacing w:line="360" w:lineRule="auto"/>
        <w:rPr>
          <w:rFonts w:ascii="宋体" w:hAnsi="宋体" w:cs="宋体"/>
          <w:color w:val="auto"/>
          <w:szCs w:val="21"/>
        </w:rPr>
      </w:pPr>
      <w:r>
        <w:rPr>
          <w:rFonts w:hint="eastAsia" w:ascii="宋体" w:hAnsi="宋体" w:cs="宋体"/>
          <w:color w:val="auto"/>
          <w:szCs w:val="21"/>
        </w:rPr>
        <w:t>1.法定代表人和委托代理人必须在授权委托书上亲笔签名，不得使用印章、签名章或者其他电子制版签名代替，</w:t>
      </w:r>
      <w:r>
        <w:rPr>
          <w:rFonts w:hint="eastAsia" w:ascii="宋体" w:hAnsi="宋体" w:cs="宋体"/>
          <w:b/>
          <w:bCs/>
          <w:color w:val="auto"/>
          <w:szCs w:val="21"/>
        </w:rPr>
        <w:t>否则作无效投标处理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2.以联合体形式投标的，本授权委托书应由联合体牵头人的法定代表人按上述规定签署。</w:t>
      </w:r>
    </w:p>
    <w:p>
      <w:pPr>
        <w:snapToGrid w:val="0"/>
        <w:spacing w:before="50" w:afterLines="50" w:line="360" w:lineRule="auto"/>
        <w:jc w:val="left"/>
        <w:rPr>
          <w:rFonts w:ascii="宋体" w:hAnsi="宋体" w:cs="宋体"/>
          <w:color w:val="auto"/>
          <w:szCs w:val="21"/>
        </w:rPr>
      </w:pPr>
      <w:r>
        <w:rPr>
          <w:rFonts w:hint="eastAsia" w:ascii="宋体" w:hAnsi="宋体" w:cs="宋体"/>
          <w:color w:val="auto"/>
          <w:szCs w:val="21"/>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Lines="50" w:line="360" w:lineRule="auto"/>
        <w:jc w:val="left"/>
        <w:rPr>
          <w:rFonts w:ascii="宋体" w:hAnsi="宋体" w:cs="宋体"/>
          <w:color w:val="auto"/>
          <w:szCs w:val="21"/>
        </w:rPr>
      </w:pPr>
      <w:r>
        <w:rPr>
          <w:rFonts w:hint="eastAsia" w:ascii="宋体" w:hAnsi="宋体" w:cs="宋体"/>
          <w:color w:val="auto"/>
          <w:szCs w:val="21"/>
        </w:rPr>
        <w:t>4. 若为联合体投标须各方签字或盖章。</w:t>
      </w: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w:t>
      </w:r>
    </w:p>
    <w:tbl>
      <w:tblPr>
        <w:tblStyle w:val="24"/>
        <w:tblpPr w:leftFromText="180" w:rightFromText="180" w:vertAnchor="text" w:horzAnchor="margin" w:tblpY="263"/>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0" w:hRule="atLeast"/>
        </w:trPr>
        <w:tc>
          <w:tcPr>
            <w:tcW w:w="9724" w:type="dxa"/>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bCs/>
                <w:color w:val="auto"/>
                <w:sz w:val="24"/>
              </w:rPr>
              <w:t>委托代理人有效</w:t>
            </w:r>
            <w:r>
              <w:rPr>
                <w:rFonts w:hint="eastAsia" w:ascii="宋体" w:hAnsi="宋体" w:cs="宋体"/>
                <w:b/>
                <w:color w:val="auto"/>
                <w:sz w:val="24"/>
              </w:rPr>
              <w:t>身份证复印件粘帖处（正、反面）</w:t>
            </w:r>
          </w:p>
        </w:tc>
      </w:tr>
    </w:tbl>
    <w:p>
      <w:pPr>
        <w:rPr>
          <w:rFonts w:ascii="宋体" w:hAnsi="宋体" w:cs="宋体"/>
          <w:b/>
          <w:color w:val="auto"/>
          <w:sz w:val="24"/>
          <w:szCs w:val="20"/>
        </w:rPr>
      </w:pPr>
      <w:r>
        <w:rPr>
          <w:rFonts w:hint="eastAsia" w:ascii="宋体" w:hAnsi="宋体" w:cs="宋体"/>
          <w:color w:val="auto"/>
          <w:sz w:val="24"/>
        </w:rPr>
        <w:br w:type="page"/>
      </w:r>
      <w:r>
        <w:rPr>
          <w:rFonts w:hint="eastAsia" w:ascii="宋体" w:hAnsi="宋体" w:cs="宋体"/>
          <w:b/>
          <w:color w:val="auto"/>
          <w:sz w:val="28"/>
          <w:szCs w:val="28"/>
        </w:rPr>
        <w:t>6.商务条款偏离表的格式：</w:t>
      </w:r>
    </w:p>
    <w:p>
      <w:pPr>
        <w:snapToGrid w:val="0"/>
        <w:spacing w:beforeLines="50" w:after="50"/>
        <w:rPr>
          <w:rFonts w:ascii="宋体" w:hAnsi="宋体" w:cs="宋体"/>
          <w:color w:val="auto"/>
        </w:rPr>
      </w:pPr>
    </w:p>
    <w:p>
      <w:pPr>
        <w:jc w:val="center"/>
        <w:rPr>
          <w:rFonts w:ascii="宋体" w:hAnsi="宋体" w:cs="宋体"/>
          <w:b/>
          <w:bCs/>
          <w:color w:val="auto"/>
          <w:sz w:val="30"/>
          <w:szCs w:val="30"/>
        </w:rPr>
      </w:pPr>
      <w:r>
        <w:rPr>
          <w:rFonts w:hint="eastAsia" w:ascii="宋体" w:hAnsi="宋体" w:cs="宋体"/>
          <w:b/>
          <w:bCs/>
          <w:color w:val="auto"/>
          <w:sz w:val="30"/>
          <w:szCs w:val="30"/>
        </w:rPr>
        <w:t>商务条款偏离表</w:t>
      </w:r>
    </w:p>
    <w:p>
      <w:pPr>
        <w:jc w:val="center"/>
        <w:rPr>
          <w:rFonts w:ascii="宋体" w:hAnsi="宋体" w:cs="宋体"/>
          <w:color w:val="auto"/>
          <w:sz w:val="30"/>
          <w:szCs w:val="20"/>
        </w:rPr>
      </w:pPr>
    </w:p>
    <w:p>
      <w:pPr>
        <w:spacing w:line="360" w:lineRule="auto"/>
        <w:contextualSpacing/>
        <w:rPr>
          <w:rFonts w:ascii="宋体" w:hAnsi="宋体" w:cs="宋体"/>
          <w:color w:val="auto"/>
          <w:sz w:val="24"/>
        </w:rPr>
      </w:pPr>
    </w:p>
    <w:p>
      <w:pPr>
        <w:spacing w:line="480" w:lineRule="auto"/>
        <w:contextualSpacing/>
        <w:rPr>
          <w:rFonts w:ascii="宋体" w:hAnsi="宋体" w:cs="宋体"/>
          <w:color w:val="auto"/>
          <w:sz w:val="24"/>
          <w:u w:val="single"/>
        </w:rPr>
      </w:pPr>
      <w:r>
        <w:rPr>
          <w:rFonts w:hint="eastAsia" w:ascii="宋体" w:hAnsi="宋体" w:cs="宋体"/>
          <w:color w:val="auto"/>
          <w:sz w:val="24"/>
        </w:rPr>
        <w:t>项目名称：</w:t>
      </w:r>
    </w:p>
    <w:p>
      <w:pPr>
        <w:spacing w:line="480" w:lineRule="auto"/>
        <w:contextualSpacing/>
        <w:jc w:val="left"/>
        <w:rPr>
          <w:rFonts w:ascii="宋体" w:hAnsi="宋体" w:cs="宋体"/>
          <w:color w:val="auto"/>
          <w:sz w:val="24"/>
        </w:rPr>
      </w:pPr>
      <w:r>
        <w:rPr>
          <w:rFonts w:hint="eastAsia" w:ascii="宋体" w:hAnsi="宋体" w:cs="宋体"/>
          <w:color w:val="auto"/>
          <w:sz w:val="24"/>
        </w:rPr>
        <w:t>项目编号：</w:t>
      </w:r>
    </w:p>
    <w:p>
      <w:pPr>
        <w:spacing w:line="480" w:lineRule="auto"/>
        <w:ind w:left="-422" w:leftChars="-201" w:firstLine="424"/>
        <w:rPr>
          <w:rFonts w:ascii="宋体" w:hAnsi="宋体" w:cs="宋体"/>
          <w:color w:val="auto"/>
          <w:sz w:val="24"/>
        </w:rPr>
      </w:pPr>
      <w:r>
        <w:rPr>
          <w:rFonts w:hint="eastAsia" w:ascii="宋体" w:hAnsi="宋体" w:cs="宋体"/>
          <w:color w:val="auto"/>
          <w:sz w:val="24"/>
        </w:rPr>
        <w:t>所投分标</w:t>
      </w:r>
      <w:r>
        <w:rPr>
          <w:rFonts w:hint="eastAsia" w:ascii="宋体" w:hAnsi="宋体" w:cs="宋体"/>
          <w:color w:val="auto"/>
          <w:szCs w:val="21"/>
        </w:rPr>
        <w:t>（此处有分标时填写具体分标号，无分标时填写“无”）</w:t>
      </w:r>
      <w:r>
        <w:rPr>
          <w:rFonts w:hint="eastAsia" w:ascii="宋体" w:hAnsi="宋体" w:cs="宋体"/>
          <w:color w:val="auto"/>
          <w:sz w:val="24"/>
        </w:rPr>
        <w:t>：</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429"/>
        <w:gridCol w:w="3229"/>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项号</w:t>
            </w:r>
          </w:p>
        </w:tc>
        <w:tc>
          <w:tcPr>
            <w:tcW w:w="342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招标文件的商务需求</w:t>
            </w:r>
          </w:p>
        </w:tc>
        <w:tc>
          <w:tcPr>
            <w:tcW w:w="322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投标文件承诺的商务条款</w:t>
            </w:r>
          </w:p>
        </w:tc>
        <w:tc>
          <w:tcPr>
            <w:tcW w:w="1146"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rPr>
            </w:pPr>
            <w:r>
              <w:rPr>
                <w:rFonts w:hint="eastAsia" w:ascii="宋体" w:hAnsi="宋体" w:cs="宋体"/>
                <w:color w:val="auto"/>
                <w:szCs w:val="21"/>
              </w:rPr>
              <w:t>一</w:t>
            </w:r>
          </w:p>
        </w:tc>
        <w:tc>
          <w:tcPr>
            <w:tcW w:w="3429"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rPr>
            </w:pPr>
          </w:p>
        </w:tc>
        <w:tc>
          <w:tcPr>
            <w:tcW w:w="1146"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rPr>
            </w:pPr>
            <w:r>
              <w:rPr>
                <w:rFonts w:hint="eastAsia" w:ascii="宋体" w:hAnsi="宋体" w:cs="宋体"/>
                <w:color w:val="auto"/>
                <w:szCs w:val="21"/>
              </w:rPr>
              <w:t>二</w:t>
            </w:r>
          </w:p>
        </w:tc>
        <w:tc>
          <w:tcPr>
            <w:tcW w:w="3429"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rPr>
            </w:pPr>
          </w:p>
        </w:tc>
        <w:tc>
          <w:tcPr>
            <w:tcW w:w="1146"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rPr>
            </w:pPr>
            <w:r>
              <w:rPr>
                <w:rFonts w:hint="eastAsia" w:ascii="宋体" w:hAnsi="宋体" w:cs="宋体"/>
                <w:color w:val="auto"/>
                <w:szCs w:val="21"/>
              </w:rPr>
              <w:t>...</w:t>
            </w:r>
          </w:p>
        </w:tc>
        <w:tc>
          <w:tcPr>
            <w:tcW w:w="3429"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rPr>
            </w:pPr>
          </w:p>
        </w:tc>
        <w:tc>
          <w:tcPr>
            <w:tcW w:w="1146"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color w:val="auto"/>
                <w:szCs w:val="21"/>
              </w:rPr>
            </w:pPr>
          </w:p>
        </w:tc>
      </w:tr>
    </w:tbl>
    <w:p>
      <w:pPr>
        <w:spacing w:line="360" w:lineRule="auto"/>
        <w:ind w:left="-708" w:leftChars="-337"/>
        <w:rPr>
          <w:rFonts w:ascii="宋体" w:hAnsi="宋体" w:cs="宋体"/>
          <w:color w:val="auto"/>
          <w:szCs w:val="20"/>
        </w:rPr>
      </w:pPr>
    </w:p>
    <w:p>
      <w:pPr>
        <w:spacing w:line="360" w:lineRule="auto"/>
        <w:ind w:left="-708" w:leftChars="-337" w:firstLine="420" w:firstLineChars="200"/>
        <w:rPr>
          <w:rFonts w:ascii="宋体" w:hAnsi="宋体" w:cs="宋体"/>
          <w:color w:val="auto"/>
          <w:szCs w:val="20"/>
        </w:rPr>
      </w:pPr>
      <w:r>
        <w:rPr>
          <w:rFonts w:hint="eastAsia" w:ascii="宋体" w:hAnsi="宋体" w:cs="宋体"/>
          <w:color w:val="auto"/>
          <w:szCs w:val="20"/>
        </w:rPr>
        <w:t>注：</w:t>
      </w:r>
    </w:p>
    <w:p>
      <w:pPr>
        <w:spacing w:line="360" w:lineRule="auto"/>
        <w:ind w:left="-708" w:leftChars="-337" w:firstLine="420" w:firstLineChars="200"/>
        <w:rPr>
          <w:rFonts w:ascii="宋体" w:hAnsi="宋体" w:cs="宋体"/>
          <w:color w:val="auto"/>
          <w:szCs w:val="20"/>
        </w:rPr>
      </w:pPr>
      <w:r>
        <w:rPr>
          <w:rFonts w:hint="eastAsia" w:ascii="宋体" w:hAnsi="宋体" w:cs="宋体"/>
          <w:color w:val="auto"/>
          <w:szCs w:val="20"/>
        </w:rPr>
        <w:t>1.表格内容均需按要求填写并加盖投标人公章。</w:t>
      </w:r>
    </w:p>
    <w:p>
      <w:pPr>
        <w:spacing w:line="360" w:lineRule="auto"/>
        <w:ind w:left="-708" w:leftChars="-337" w:firstLine="420" w:firstLineChars="200"/>
        <w:rPr>
          <w:rFonts w:ascii="宋体" w:hAnsi="宋体" w:cs="宋体"/>
          <w:color w:val="auto"/>
          <w:sz w:val="24"/>
        </w:rPr>
      </w:pPr>
      <w:r>
        <w:rPr>
          <w:rFonts w:hint="eastAsia" w:ascii="宋体" w:hAnsi="宋体" w:cs="宋体"/>
          <w:color w:val="auto"/>
          <w:szCs w:val="20"/>
        </w:rPr>
        <w:t xml:space="preserve">2.请逐条对应本项目招标文件“第二章  </w:t>
      </w:r>
      <w:r>
        <w:rPr>
          <w:rFonts w:hint="eastAsia" w:ascii="宋体" w:hAnsi="宋体" w:cs="宋体"/>
          <w:b/>
          <w:color w:val="auto"/>
          <w:szCs w:val="21"/>
        </w:rPr>
        <w:t>采购需求</w:t>
      </w:r>
      <w:r>
        <w:rPr>
          <w:rFonts w:hint="eastAsia" w:ascii="宋体" w:hAnsi="宋体" w:cs="宋体"/>
          <w:color w:val="auto"/>
          <w:szCs w:val="20"/>
        </w:rPr>
        <w:t>”中“商务条款”的要求，详细填写相应的具体内容。“偏离说明”一栏应当选择“正偏离”或“负偏离”或“无偏离”进行填写。</w:t>
      </w:r>
    </w:p>
    <w:p>
      <w:pPr>
        <w:spacing w:line="360" w:lineRule="auto"/>
        <w:ind w:left="-708" w:leftChars="-337" w:firstLine="420" w:firstLineChars="200"/>
        <w:rPr>
          <w:rFonts w:ascii="宋体" w:hAnsi="宋体" w:cs="宋体"/>
          <w:color w:val="auto"/>
          <w:szCs w:val="20"/>
        </w:rPr>
      </w:pPr>
      <w:r>
        <w:rPr>
          <w:rFonts w:hint="eastAsia" w:ascii="宋体" w:hAnsi="宋体" w:cs="宋体"/>
          <w:color w:val="auto"/>
          <w:szCs w:val="20"/>
        </w:rPr>
        <w:t>3.当投标文件的商务内容低于招标文件要求时，投标人应当如实写明“负偏离”。</w:t>
      </w:r>
    </w:p>
    <w:p>
      <w:pPr>
        <w:snapToGrid w:val="0"/>
        <w:spacing w:before="50" w:after="50"/>
        <w:rPr>
          <w:rFonts w:ascii="宋体" w:hAnsi="宋体" w:cs="宋体"/>
          <w:color w:val="auto"/>
          <w:sz w:val="24"/>
        </w:rPr>
      </w:pPr>
    </w:p>
    <w:p>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投标人名称(盖公章)：</w:t>
      </w:r>
    </w:p>
    <w:p>
      <w:pPr>
        <w:snapToGrid w:val="0"/>
        <w:spacing w:line="360" w:lineRule="auto"/>
        <w:ind w:firstLine="5160" w:firstLineChars="2150"/>
        <w:rPr>
          <w:rFonts w:hint="eastAsia" w:ascii="宋体" w:hAnsi="宋体" w:eastAsia="宋体" w:cs="宋体"/>
          <w:color w:val="auto"/>
          <w:kern w:val="0"/>
          <w:sz w:val="24"/>
          <w:lang w:val="zh-CN" w:eastAsia="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eastAsia="zh-CN"/>
        </w:rPr>
        <w:t>年  月  日</w:t>
      </w:r>
    </w:p>
    <w:p>
      <w:pPr>
        <w:snapToGrid w:val="0"/>
        <w:spacing w:beforeLines="50" w:after="50"/>
        <w:jc w:val="left"/>
        <w:rPr>
          <w:rFonts w:ascii="宋体" w:hAnsi="宋体" w:cs="宋体"/>
          <w:b/>
          <w:bCs/>
          <w:color w:val="auto"/>
          <w:sz w:val="30"/>
          <w:szCs w:val="30"/>
        </w:rPr>
      </w:pPr>
      <w:r>
        <w:rPr>
          <w:rFonts w:hint="eastAsia" w:ascii="宋体" w:hAnsi="宋体" w:cs="宋体"/>
          <w:b/>
          <w:bCs/>
          <w:color w:val="auto"/>
          <w:sz w:val="30"/>
          <w:szCs w:val="30"/>
        </w:rPr>
        <w:br w:type="page"/>
      </w:r>
      <w:r>
        <w:rPr>
          <w:rFonts w:hint="eastAsia" w:ascii="宋体" w:hAnsi="宋体" w:cs="宋体"/>
          <w:b/>
          <w:bCs/>
          <w:color w:val="auto"/>
          <w:sz w:val="30"/>
          <w:szCs w:val="30"/>
        </w:rPr>
        <w:t>7.投标人类似的业绩证明文件（如有要求）：</w:t>
      </w:r>
    </w:p>
    <w:p>
      <w:pPr>
        <w:snapToGrid w:val="0"/>
        <w:ind w:left="480" w:hanging="480" w:hangingChars="200"/>
        <w:rPr>
          <w:rFonts w:ascii="宋体" w:hAnsi="宋体" w:cs="宋体"/>
          <w:color w:val="auto"/>
          <w:sz w:val="24"/>
        </w:rPr>
      </w:pPr>
    </w:p>
    <w:p>
      <w:pPr>
        <w:snapToGrid w:val="0"/>
        <w:ind w:left="480" w:hanging="480" w:hangingChars="200"/>
        <w:rPr>
          <w:rFonts w:ascii="宋体" w:hAnsi="宋体" w:cs="宋体"/>
          <w:color w:val="auto"/>
          <w:sz w:val="24"/>
        </w:rPr>
      </w:pPr>
    </w:p>
    <w:p>
      <w:pPr>
        <w:autoSpaceDE w:val="0"/>
        <w:autoSpaceDN w:val="0"/>
        <w:spacing w:line="360" w:lineRule="auto"/>
        <w:ind w:firstLine="120"/>
        <w:rPr>
          <w:rFonts w:ascii="宋体" w:hAnsi="宋体" w:cs="宋体"/>
          <w:color w:val="auto"/>
          <w:sz w:val="24"/>
        </w:rPr>
      </w:pPr>
      <w:r>
        <w:rPr>
          <w:rFonts w:hint="eastAsia" w:ascii="宋体" w:hAnsi="宋体" w:cs="宋体"/>
          <w:b/>
          <w:color w:val="auto"/>
          <w:sz w:val="24"/>
        </w:rPr>
        <w:t>附表:相关项目业绩一览表（投标人类似项目合同复印件、用户验收报告、用户评价意见格式自拟）</w:t>
      </w:r>
    </w:p>
    <w:tbl>
      <w:tblPr>
        <w:tblStyle w:val="24"/>
        <w:tblW w:w="9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4"/>
        <w:gridCol w:w="1813"/>
        <w:gridCol w:w="1687"/>
        <w:gridCol w:w="1016"/>
        <w:gridCol w:w="1016"/>
        <w:gridCol w:w="1018"/>
        <w:gridCol w:w="1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trPr>
        <w:tc>
          <w:tcPr>
            <w:tcW w:w="1224"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采购人</w:t>
            </w:r>
          </w:p>
          <w:p>
            <w:pPr>
              <w:snapToGrid w:val="0"/>
              <w:spacing w:line="240" w:lineRule="exact"/>
              <w:jc w:val="center"/>
              <w:rPr>
                <w:rFonts w:ascii="宋体" w:hAnsi="宋体" w:cs="宋体"/>
                <w:color w:val="auto"/>
                <w:sz w:val="24"/>
              </w:rPr>
            </w:pPr>
            <w:r>
              <w:rPr>
                <w:rFonts w:hint="eastAsia" w:ascii="宋体" w:hAnsi="宋体" w:cs="宋体"/>
                <w:color w:val="auto"/>
                <w:sz w:val="24"/>
              </w:rPr>
              <w:t>名称</w:t>
            </w:r>
          </w:p>
        </w:tc>
        <w:tc>
          <w:tcPr>
            <w:tcW w:w="1813"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项目名称</w:t>
            </w:r>
          </w:p>
        </w:tc>
        <w:tc>
          <w:tcPr>
            <w:tcW w:w="1687"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合同金额</w:t>
            </w:r>
          </w:p>
          <w:p>
            <w:pPr>
              <w:snapToGrid w:val="0"/>
              <w:spacing w:line="240" w:lineRule="exact"/>
              <w:jc w:val="center"/>
              <w:rPr>
                <w:rFonts w:ascii="宋体" w:hAnsi="宋体" w:cs="宋体"/>
                <w:color w:val="auto"/>
                <w:sz w:val="24"/>
              </w:rPr>
            </w:pPr>
            <w:r>
              <w:rPr>
                <w:rFonts w:hint="eastAsia" w:ascii="宋体" w:hAnsi="宋体" w:cs="宋体"/>
                <w:color w:val="auto"/>
                <w:sz w:val="24"/>
              </w:rPr>
              <w:t>（万元）</w:t>
            </w:r>
          </w:p>
        </w:tc>
        <w:tc>
          <w:tcPr>
            <w:tcW w:w="3050"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附件在投标文件中页码</w:t>
            </w:r>
          </w:p>
        </w:tc>
        <w:tc>
          <w:tcPr>
            <w:tcW w:w="1938"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采购人联系人及</w:t>
            </w:r>
          </w:p>
          <w:p>
            <w:pPr>
              <w:snapToGrid w:val="0"/>
              <w:spacing w:line="240" w:lineRule="exact"/>
              <w:jc w:val="center"/>
              <w:rPr>
                <w:rFonts w:ascii="宋体" w:hAnsi="宋体" w:cs="宋体"/>
                <w:color w:val="auto"/>
                <w:sz w:val="24"/>
              </w:rPr>
            </w:pPr>
            <w:r>
              <w:rPr>
                <w:rFonts w:hint="eastAsia" w:ascii="宋体" w:hAnsi="宋体" w:cs="宋体"/>
                <w:color w:val="auto"/>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122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 w:val="24"/>
              </w:rPr>
            </w:pPr>
          </w:p>
        </w:tc>
        <w:tc>
          <w:tcPr>
            <w:tcW w:w="181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 w:val="24"/>
              </w:rPr>
            </w:pPr>
          </w:p>
        </w:tc>
        <w:tc>
          <w:tcPr>
            <w:tcW w:w="168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 w:val="24"/>
              </w:rPr>
            </w:pPr>
          </w:p>
        </w:tc>
        <w:tc>
          <w:tcPr>
            <w:tcW w:w="1016"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合同</w:t>
            </w:r>
          </w:p>
        </w:tc>
        <w:tc>
          <w:tcPr>
            <w:tcW w:w="1016"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验收</w:t>
            </w:r>
          </w:p>
          <w:p>
            <w:pPr>
              <w:snapToGrid w:val="0"/>
              <w:spacing w:line="240" w:lineRule="exact"/>
              <w:jc w:val="center"/>
              <w:rPr>
                <w:rFonts w:ascii="宋体" w:hAnsi="宋体" w:cs="宋体"/>
                <w:color w:val="auto"/>
                <w:sz w:val="24"/>
              </w:rPr>
            </w:pPr>
            <w:r>
              <w:rPr>
                <w:rFonts w:hint="eastAsia" w:ascii="宋体" w:hAnsi="宋体" w:cs="宋体"/>
                <w:color w:val="auto"/>
                <w:sz w:val="24"/>
              </w:rPr>
              <w:t>报告</w:t>
            </w:r>
          </w:p>
        </w:tc>
        <w:tc>
          <w:tcPr>
            <w:tcW w:w="1018"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用户</w:t>
            </w:r>
          </w:p>
          <w:p>
            <w:pPr>
              <w:snapToGrid w:val="0"/>
              <w:spacing w:line="240" w:lineRule="exact"/>
              <w:jc w:val="center"/>
              <w:rPr>
                <w:rFonts w:ascii="宋体" w:hAnsi="宋体" w:cs="宋体"/>
                <w:color w:val="auto"/>
                <w:sz w:val="24"/>
              </w:rPr>
            </w:pPr>
            <w:r>
              <w:rPr>
                <w:rFonts w:hint="eastAsia" w:ascii="宋体" w:hAnsi="宋体" w:cs="宋体"/>
                <w:color w:val="auto"/>
                <w:sz w:val="24"/>
              </w:rPr>
              <w:t>评价</w:t>
            </w:r>
          </w:p>
        </w:tc>
        <w:tc>
          <w:tcPr>
            <w:tcW w:w="193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1224"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s="宋体"/>
                <w:color w:val="auto"/>
                <w:sz w:val="24"/>
              </w:rPr>
            </w:pPr>
          </w:p>
        </w:tc>
        <w:tc>
          <w:tcPr>
            <w:tcW w:w="1687"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s="宋体"/>
                <w:color w:val="auto"/>
                <w:sz w:val="24"/>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s="宋体"/>
                <w:color w:val="auto"/>
                <w:sz w:val="24"/>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s="宋体"/>
                <w:color w:val="auto"/>
                <w:sz w:val="24"/>
              </w:rPr>
            </w:pPr>
          </w:p>
        </w:tc>
        <w:tc>
          <w:tcPr>
            <w:tcW w:w="1018"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s="宋体"/>
                <w:color w:val="auto"/>
                <w:sz w:val="24"/>
              </w:rPr>
            </w:pPr>
          </w:p>
        </w:tc>
        <w:tc>
          <w:tcPr>
            <w:tcW w:w="1938"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68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93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1224"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68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93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68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93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68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01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c>
          <w:tcPr>
            <w:tcW w:w="193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cs="宋体"/>
                <w:color w:val="auto"/>
                <w:sz w:val="24"/>
              </w:rPr>
            </w:pPr>
          </w:p>
        </w:tc>
      </w:tr>
    </w:tbl>
    <w:p>
      <w:pPr>
        <w:spacing w:line="360" w:lineRule="auto"/>
        <w:ind w:left="72"/>
        <w:rPr>
          <w:rFonts w:ascii="宋体" w:hAnsi="宋体" w:cs="宋体"/>
          <w:color w:val="auto"/>
          <w:szCs w:val="20"/>
        </w:rPr>
      </w:pPr>
      <w:r>
        <w:rPr>
          <w:rFonts w:hint="eastAsia" w:ascii="宋体" w:hAnsi="宋体" w:cs="宋体"/>
          <w:color w:val="auto"/>
          <w:szCs w:val="20"/>
        </w:rPr>
        <w:t>注：投标人可参照上述的格式自行编制，须随表提交相应的合同复印件和用户单位验收证明并注明所在投标人商务技术文件页码。</w:t>
      </w:r>
    </w:p>
    <w:p>
      <w:pPr>
        <w:snapToGrid w:val="0"/>
        <w:spacing w:line="360" w:lineRule="auto"/>
        <w:ind w:firstLine="4935" w:firstLineChars="2350"/>
        <w:rPr>
          <w:rFonts w:ascii="宋体" w:hAnsi="宋体" w:cs="宋体"/>
          <w:color w:val="auto"/>
          <w:szCs w:val="21"/>
        </w:rPr>
      </w:pPr>
    </w:p>
    <w:p>
      <w:pPr>
        <w:snapToGrid w:val="0"/>
        <w:spacing w:line="360" w:lineRule="auto"/>
        <w:ind w:firstLine="4935" w:firstLineChars="2350"/>
        <w:rPr>
          <w:rFonts w:ascii="宋体" w:hAnsi="宋体" w:cs="宋体"/>
          <w:color w:val="auto"/>
          <w:szCs w:val="21"/>
        </w:rPr>
      </w:pPr>
    </w:p>
    <w:p>
      <w:pPr>
        <w:snapToGrid w:val="0"/>
        <w:spacing w:line="360" w:lineRule="auto"/>
        <w:ind w:left="5187" w:leftChars="2470" w:firstLine="5280" w:firstLineChars="2200"/>
        <w:rPr>
          <w:rFonts w:ascii="宋体" w:hAnsi="宋体" w:cs="宋体"/>
          <w:color w:val="auto"/>
          <w:kern w:val="0"/>
          <w:sz w:val="24"/>
        </w:rPr>
      </w:pPr>
      <w:r>
        <w:rPr>
          <w:rFonts w:hint="eastAsia" w:ascii="宋体" w:hAnsi="宋体" w:cs="宋体"/>
          <w:color w:val="auto"/>
          <w:kern w:val="0"/>
          <w:sz w:val="24"/>
          <w:lang w:val="zh-CN"/>
        </w:rPr>
        <w:t>投标人名称(盖公章)：</w:t>
      </w:r>
    </w:p>
    <w:p>
      <w:pPr>
        <w:snapToGrid w:val="0"/>
        <w:spacing w:line="360" w:lineRule="auto"/>
        <w:ind w:firstLine="5280" w:firstLineChars="2200"/>
        <w:rPr>
          <w:rFonts w:hint="eastAsia" w:ascii="宋体" w:hAnsi="宋体" w:eastAsia="宋体" w:cs="宋体"/>
          <w:color w:val="auto"/>
          <w:kern w:val="0"/>
          <w:sz w:val="24"/>
          <w:lang w:val="zh-CN" w:eastAsia="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eastAsia="zh-CN"/>
        </w:rPr>
        <w:t>年  月  日</w:t>
      </w:r>
    </w:p>
    <w:p>
      <w:pPr>
        <w:jc w:val="center"/>
        <w:outlineLvl w:val="1"/>
        <w:rPr>
          <w:rFonts w:ascii="宋体" w:hAnsi="宋体" w:cs="宋体"/>
          <w:b/>
          <w:bCs/>
          <w:color w:val="auto"/>
          <w:sz w:val="28"/>
          <w:szCs w:val="28"/>
        </w:rPr>
      </w:pPr>
      <w:bookmarkStart w:id="244" w:name="_Toc11965"/>
      <w:bookmarkStart w:id="245" w:name="_Toc5911"/>
      <w:bookmarkStart w:id="246" w:name="_Toc8712"/>
      <w:bookmarkStart w:id="247" w:name="_Toc19686839"/>
      <w:bookmarkStart w:id="248" w:name="_Toc352"/>
      <w:bookmarkStart w:id="249" w:name="_Toc18262"/>
      <w:r>
        <w:rPr>
          <w:rFonts w:hint="eastAsia" w:ascii="宋体" w:hAnsi="宋体" w:cs="宋体"/>
          <w:b/>
          <w:bCs/>
          <w:color w:val="auto"/>
          <w:sz w:val="28"/>
          <w:szCs w:val="28"/>
        </w:rPr>
        <w:br w:type="page"/>
      </w:r>
      <w:r>
        <w:rPr>
          <w:rFonts w:hint="eastAsia" w:ascii="宋体" w:hAnsi="宋体" w:cs="宋体"/>
          <w:b/>
          <w:bCs/>
          <w:color w:val="auto"/>
          <w:sz w:val="28"/>
          <w:szCs w:val="28"/>
        </w:rPr>
        <w:t>第四节 技术文件格式</w:t>
      </w:r>
      <w:bookmarkEnd w:id="244"/>
      <w:bookmarkEnd w:id="245"/>
      <w:bookmarkEnd w:id="246"/>
      <w:bookmarkEnd w:id="247"/>
      <w:bookmarkEnd w:id="248"/>
      <w:bookmarkEnd w:id="249"/>
    </w:p>
    <w:p>
      <w:pPr>
        <w:snapToGrid w:val="0"/>
        <w:spacing w:beforeLines="50" w:after="50"/>
        <w:rPr>
          <w:rFonts w:ascii="宋体" w:hAnsi="宋体" w:cs="宋体"/>
          <w:color w:val="auto"/>
          <w:sz w:val="24"/>
        </w:rPr>
      </w:pPr>
    </w:p>
    <w:p>
      <w:pPr>
        <w:snapToGrid w:val="0"/>
        <w:spacing w:beforeLines="50" w:after="50"/>
        <w:ind w:left="142"/>
        <w:jc w:val="left"/>
        <w:rPr>
          <w:rFonts w:ascii="宋体" w:hAnsi="宋体" w:cs="宋体"/>
          <w:b/>
          <w:color w:val="auto"/>
          <w:sz w:val="28"/>
          <w:szCs w:val="28"/>
        </w:rPr>
      </w:pPr>
      <w:r>
        <w:rPr>
          <w:rFonts w:hint="eastAsia" w:ascii="宋体" w:hAnsi="宋体" w:cs="宋体"/>
          <w:b/>
          <w:color w:val="auto"/>
          <w:sz w:val="28"/>
          <w:szCs w:val="28"/>
        </w:rPr>
        <w:t xml:space="preserve">1. 技术文件封面的格式： </w:t>
      </w:r>
    </w:p>
    <w:p>
      <w:pPr>
        <w:snapToGrid w:val="0"/>
        <w:spacing w:beforeLines="50" w:after="50"/>
        <w:rPr>
          <w:rFonts w:ascii="宋体" w:hAnsi="宋体" w:cs="宋体"/>
          <w:color w:val="auto"/>
          <w:sz w:val="24"/>
        </w:rPr>
      </w:pPr>
    </w:p>
    <w:p>
      <w:pPr>
        <w:snapToGrid w:val="0"/>
        <w:spacing w:beforeLines="50" w:after="50"/>
        <w:ind w:firstLine="6300" w:firstLineChars="3000"/>
        <w:rPr>
          <w:rFonts w:ascii="宋体" w:hAnsi="宋体" w:cs="宋体"/>
          <w:bCs/>
          <w:color w:val="auto"/>
          <w:sz w:val="32"/>
          <w:szCs w:val="20"/>
        </w:rPr>
      </w:pPr>
      <w:r>
        <w:rPr>
          <w:rFonts w:hint="eastAsia" w:ascii="宋体" w:hAnsi="宋体" w:cs="宋体"/>
          <w:bCs/>
          <w:color w:val="auto"/>
        </w:rPr>
        <w:t>电子投标文件</w:t>
      </w:r>
    </w:p>
    <w:p>
      <w:pPr>
        <w:snapToGrid w:val="0"/>
        <w:spacing w:beforeLines="50" w:after="50"/>
        <w:rPr>
          <w:rFonts w:ascii="宋体" w:hAnsi="宋体" w:cs="宋体"/>
          <w:color w:val="auto"/>
          <w:sz w:val="24"/>
          <w:szCs w:val="20"/>
        </w:rPr>
      </w:pPr>
    </w:p>
    <w:p>
      <w:pPr>
        <w:snapToGrid w:val="0"/>
        <w:spacing w:beforeLines="50" w:after="50"/>
        <w:jc w:val="center"/>
        <w:rPr>
          <w:rFonts w:ascii="宋体" w:hAnsi="宋体" w:cs="宋体"/>
          <w:b/>
          <w:bCs/>
          <w:color w:val="auto"/>
          <w:sz w:val="32"/>
          <w:szCs w:val="32"/>
        </w:rPr>
      </w:pPr>
    </w:p>
    <w:p>
      <w:pPr>
        <w:snapToGrid w:val="0"/>
        <w:spacing w:beforeLines="50" w:after="50"/>
        <w:jc w:val="center"/>
        <w:rPr>
          <w:rFonts w:ascii="宋体" w:hAnsi="宋体" w:cs="宋体"/>
          <w:b/>
          <w:bCs/>
          <w:color w:val="auto"/>
          <w:sz w:val="32"/>
          <w:szCs w:val="32"/>
        </w:rPr>
      </w:pPr>
      <w:r>
        <w:rPr>
          <w:rFonts w:hint="eastAsia" w:ascii="宋体" w:hAnsi="宋体" w:cs="宋体"/>
          <w:b/>
          <w:bCs/>
          <w:color w:val="auto"/>
          <w:sz w:val="32"/>
          <w:szCs w:val="32"/>
        </w:rPr>
        <w:t>技术文件</w:t>
      </w:r>
    </w:p>
    <w:p>
      <w:pPr>
        <w:snapToGrid w:val="0"/>
        <w:spacing w:beforeLines="50" w:after="50"/>
        <w:rPr>
          <w:rFonts w:ascii="宋体" w:hAnsi="宋体" w:cs="宋体"/>
          <w:bCs/>
          <w:color w:val="auto"/>
          <w:sz w:val="24"/>
          <w:szCs w:val="20"/>
        </w:rPr>
      </w:pPr>
    </w:p>
    <w:p>
      <w:pPr>
        <w:snapToGrid w:val="0"/>
        <w:spacing w:beforeLines="50" w:after="50" w:line="400" w:lineRule="exact"/>
        <w:ind w:firstLine="360" w:firstLineChars="150"/>
        <w:rPr>
          <w:rFonts w:ascii="宋体" w:hAnsi="宋体" w:cs="宋体"/>
          <w:bCs/>
          <w:color w:val="auto"/>
          <w:sz w:val="24"/>
        </w:rPr>
      </w:pPr>
    </w:p>
    <w:p>
      <w:pPr>
        <w:snapToGrid w:val="0"/>
        <w:spacing w:beforeLines="50" w:after="50" w:line="400" w:lineRule="exact"/>
        <w:ind w:firstLine="360" w:firstLineChars="150"/>
        <w:rPr>
          <w:rFonts w:ascii="宋体" w:hAnsi="宋体" w:cs="宋体"/>
          <w:bCs/>
          <w:color w:val="auto"/>
          <w:sz w:val="24"/>
          <w:szCs w:val="20"/>
        </w:rPr>
      </w:pPr>
      <w:r>
        <w:rPr>
          <w:rFonts w:hint="eastAsia" w:ascii="宋体" w:hAnsi="宋体" w:cs="宋体"/>
          <w:bCs/>
          <w:color w:val="auto"/>
          <w:sz w:val="24"/>
        </w:rPr>
        <w:t xml:space="preserve">项目名称：  </w:t>
      </w:r>
    </w:p>
    <w:p>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项目编号：  </w:t>
      </w:r>
    </w:p>
    <w:p>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所投分标（如有则填写，无分标时填写“无”或者留空）：</w:t>
      </w:r>
    </w:p>
    <w:p>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投标人名称：</w:t>
      </w:r>
    </w:p>
    <w:p>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投标人地址：</w:t>
      </w:r>
    </w:p>
    <w:p>
      <w:pPr>
        <w:snapToGrid w:val="0"/>
        <w:spacing w:beforeLines="50" w:after="50"/>
        <w:ind w:firstLine="645"/>
        <w:jc w:val="center"/>
        <w:rPr>
          <w:rFonts w:ascii="宋体" w:hAnsi="宋体" w:cs="宋体"/>
          <w:color w:val="auto"/>
          <w:sz w:val="24"/>
        </w:rPr>
      </w:pPr>
    </w:p>
    <w:p>
      <w:pPr>
        <w:snapToGrid w:val="0"/>
        <w:spacing w:beforeLines="50" w:after="50"/>
        <w:ind w:firstLine="645"/>
        <w:jc w:val="center"/>
        <w:rPr>
          <w:rFonts w:ascii="宋体" w:hAnsi="宋体" w:cs="宋体"/>
          <w:color w:val="auto"/>
          <w:sz w:val="24"/>
        </w:rPr>
      </w:pPr>
    </w:p>
    <w:p>
      <w:pPr>
        <w:snapToGrid w:val="0"/>
        <w:spacing w:beforeLines="50" w:after="50"/>
        <w:ind w:firstLine="645"/>
        <w:jc w:val="center"/>
        <w:rPr>
          <w:rFonts w:ascii="宋体" w:hAnsi="宋体" w:cs="宋体"/>
          <w:color w:val="auto"/>
          <w:sz w:val="24"/>
        </w:rPr>
      </w:pPr>
    </w:p>
    <w:p>
      <w:pPr>
        <w:snapToGrid w:val="0"/>
        <w:spacing w:beforeLines="50" w:after="50"/>
        <w:ind w:firstLine="645"/>
        <w:jc w:val="center"/>
        <w:rPr>
          <w:rFonts w:ascii="宋体" w:hAnsi="宋体" w:cs="宋体"/>
          <w:color w:val="auto"/>
          <w:sz w:val="24"/>
        </w:rPr>
      </w:pPr>
    </w:p>
    <w:p>
      <w:pPr>
        <w:snapToGrid w:val="0"/>
        <w:spacing w:beforeLines="50" w:after="50"/>
        <w:ind w:firstLine="3840" w:firstLineChars="1600"/>
        <w:rPr>
          <w:rFonts w:ascii="宋体" w:hAnsi="宋体" w:cs="宋体"/>
          <w:color w:val="auto"/>
          <w:sz w:val="24"/>
        </w:rPr>
      </w:pPr>
      <w:r>
        <w:rPr>
          <w:rFonts w:hint="eastAsia" w:ascii="宋体" w:hAnsi="宋体" w:cs="宋体"/>
          <w:color w:val="auto"/>
          <w:sz w:val="24"/>
        </w:rPr>
        <w:t xml:space="preserve">  年    月    日</w:t>
      </w:r>
    </w:p>
    <w:p>
      <w:pPr>
        <w:snapToGrid w:val="0"/>
        <w:spacing w:beforeLines="50" w:after="50"/>
        <w:ind w:firstLine="645"/>
        <w:jc w:val="center"/>
        <w:rPr>
          <w:rFonts w:ascii="宋体" w:hAnsi="宋体" w:cs="宋体"/>
          <w:color w:val="auto"/>
          <w:sz w:val="24"/>
          <w:szCs w:val="20"/>
        </w:rPr>
      </w:pPr>
    </w:p>
    <w:p>
      <w:pPr>
        <w:snapToGrid w:val="0"/>
        <w:spacing w:beforeLines="50" w:after="50"/>
        <w:ind w:left="142"/>
        <w:jc w:val="left"/>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8"/>
          <w:szCs w:val="28"/>
        </w:rPr>
        <w:t>2. 技术文件目录</w:t>
      </w:r>
    </w:p>
    <w:p>
      <w:pPr>
        <w:spacing w:line="360" w:lineRule="auto"/>
        <w:ind w:right="420"/>
        <w:rPr>
          <w:rFonts w:ascii="宋体" w:hAnsi="宋体" w:cs="宋体"/>
          <w:b/>
          <w:color w:val="auto"/>
          <w:kern w:val="0"/>
          <w:sz w:val="36"/>
          <w:szCs w:val="36"/>
        </w:rPr>
      </w:pPr>
      <w:r>
        <w:rPr>
          <w:rFonts w:hint="eastAsia" w:ascii="宋体" w:hAnsi="宋体" w:cs="宋体"/>
          <w:color w:val="auto"/>
          <w:kern w:val="0"/>
          <w:sz w:val="24"/>
        </w:rPr>
        <w:t>根据招标文件规定及投标人提供的材料自行编写目录（部分格式后附）。</w:t>
      </w:r>
    </w:p>
    <w:p>
      <w:pPr>
        <w:snapToGrid w:val="0"/>
        <w:spacing w:beforeLines="50" w:after="50"/>
        <w:jc w:val="left"/>
        <w:rPr>
          <w:rFonts w:ascii="宋体" w:hAnsi="宋体" w:cs="宋体"/>
          <w:b/>
          <w:color w:val="auto"/>
          <w:sz w:val="24"/>
        </w:rPr>
      </w:pPr>
    </w:p>
    <w:p>
      <w:pPr>
        <w:spacing w:line="500" w:lineRule="exact"/>
        <w:jc w:val="left"/>
        <w:rPr>
          <w:rFonts w:ascii="宋体" w:hAnsi="宋体" w:cs="宋体"/>
          <w:b/>
          <w:bCs/>
          <w:color w:val="auto"/>
          <w:sz w:val="30"/>
          <w:szCs w:val="30"/>
        </w:rPr>
      </w:pPr>
      <w:r>
        <w:rPr>
          <w:rFonts w:hint="eastAsia" w:ascii="宋体" w:hAnsi="宋体" w:cs="宋体"/>
          <w:b/>
          <w:bCs/>
          <w:color w:val="auto"/>
          <w:sz w:val="30"/>
          <w:szCs w:val="30"/>
        </w:rPr>
        <w:br w:type="page"/>
      </w:r>
      <w:r>
        <w:rPr>
          <w:rFonts w:hint="eastAsia" w:ascii="宋体" w:hAnsi="宋体" w:cs="宋体"/>
          <w:b/>
          <w:color w:val="auto"/>
          <w:sz w:val="28"/>
          <w:szCs w:val="28"/>
        </w:rPr>
        <w:t>3. 技术需求偏离表的格式：</w:t>
      </w:r>
    </w:p>
    <w:p>
      <w:pPr>
        <w:spacing w:line="500" w:lineRule="exact"/>
        <w:jc w:val="center"/>
        <w:rPr>
          <w:rFonts w:ascii="宋体" w:hAnsi="宋体" w:cs="宋体"/>
          <w:b/>
          <w:bCs/>
          <w:color w:val="auto"/>
          <w:sz w:val="30"/>
          <w:szCs w:val="30"/>
        </w:rPr>
      </w:pPr>
      <w:r>
        <w:rPr>
          <w:rFonts w:hint="eastAsia" w:ascii="宋体" w:hAnsi="宋体" w:cs="宋体"/>
          <w:b/>
          <w:bCs/>
          <w:color w:val="auto"/>
          <w:sz w:val="30"/>
          <w:szCs w:val="30"/>
        </w:rPr>
        <w:t>技术需求偏离表</w:t>
      </w:r>
    </w:p>
    <w:p>
      <w:pPr>
        <w:spacing w:line="440" w:lineRule="exact"/>
        <w:ind w:firstLine="420" w:firstLineChars="200"/>
        <w:rPr>
          <w:rFonts w:ascii="宋体" w:hAnsi="宋体" w:cs="宋体"/>
          <w:color w:val="auto"/>
          <w:szCs w:val="20"/>
        </w:rPr>
      </w:pPr>
    </w:p>
    <w:p>
      <w:pPr>
        <w:spacing w:line="480" w:lineRule="auto"/>
        <w:contextualSpacing/>
        <w:rPr>
          <w:rFonts w:ascii="宋体" w:hAnsi="宋体" w:cs="宋体"/>
          <w:color w:val="auto"/>
          <w:sz w:val="24"/>
          <w:u w:val="single"/>
        </w:rPr>
      </w:pPr>
      <w:r>
        <w:rPr>
          <w:rFonts w:hint="eastAsia" w:ascii="宋体" w:hAnsi="宋体" w:cs="宋体"/>
          <w:color w:val="auto"/>
          <w:sz w:val="24"/>
        </w:rPr>
        <w:t>项目</w:t>
      </w:r>
      <w:r>
        <w:rPr>
          <w:rFonts w:hint="eastAsia" w:hAnsi="宋体" w:cs="宋体"/>
          <w:color w:val="auto"/>
          <w:sz w:val="24"/>
        </w:rPr>
        <w:t>名称</w:t>
      </w:r>
      <w:r>
        <w:rPr>
          <w:rFonts w:hint="eastAsia" w:ascii="宋体" w:hAnsi="宋体" w:cs="宋体"/>
          <w:color w:val="auto"/>
          <w:sz w:val="24"/>
        </w:rPr>
        <w:t>：</w:t>
      </w:r>
    </w:p>
    <w:p>
      <w:pPr>
        <w:spacing w:line="480" w:lineRule="auto"/>
        <w:rPr>
          <w:rFonts w:ascii="宋体" w:hAnsi="Courier New"/>
          <w:color w:val="auto"/>
          <w:szCs w:val="20"/>
        </w:rPr>
      </w:pPr>
      <w:r>
        <w:rPr>
          <w:rFonts w:hint="eastAsia" w:ascii="宋体" w:hAnsi="宋体" w:cs="宋体"/>
          <w:color w:val="auto"/>
          <w:sz w:val="24"/>
          <w:szCs w:val="20"/>
        </w:rPr>
        <w:t>项目编号：</w:t>
      </w:r>
    </w:p>
    <w:p>
      <w:pPr>
        <w:spacing w:line="480" w:lineRule="auto"/>
        <w:rPr>
          <w:rFonts w:ascii="宋体" w:hAnsi="Courier New"/>
          <w:color w:val="auto"/>
          <w:szCs w:val="20"/>
        </w:rPr>
      </w:pPr>
      <w:r>
        <w:rPr>
          <w:rFonts w:hint="eastAsia" w:ascii="宋体" w:hAnsi="宋体" w:cs="宋体"/>
          <w:color w:val="auto"/>
          <w:sz w:val="24"/>
          <w:szCs w:val="20"/>
        </w:rPr>
        <w:t>所投分标</w:t>
      </w:r>
      <w:r>
        <w:rPr>
          <w:rFonts w:hint="eastAsia" w:ascii="宋体" w:hAnsi="宋体" w:cs="宋体"/>
          <w:color w:val="auto"/>
          <w:szCs w:val="21"/>
        </w:rPr>
        <w:t>（此处有分标时填写具体分标号，无分标时填写“无”）</w:t>
      </w:r>
      <w:r>
        <w:rPr>
          <w:rFonts w:hint="eastAsia" w:ascii="宋体" w:hAnsi="宋体" w:cs="宋体"/>
          <w:color w:val="auto"/>
          <w:sz w:val="24"/>
        </w:rPr>
        <w:t>：</w:t>
      </w:r>
    </w:p>
    <w:tbl>
      <w:tblPr>
        <w:tblStyle w:val="24"/>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219"/>
        <w:gridCol w:w="2235"/>
        <w:gridCol w:w="1467"/>
        <w:gridCol w:w="319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13" w:type="dxa"/>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r>
              <w:rPr>
                <w:rFonts w:hint="eastAsia" w:ascii="宋体" w:hAnsi="宋体" w:cs="宋体"/>
                <w:color w:val="auto"/>
                <w:szCs w:val="21"/>
              </w:rPr>
              <w:t>项号</w:t>
            </w:r>
          </w:p>
        </w:tc>
        <w:tc>
          <w:tcPr>
            <w:tcW w:w="34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招标文件需求</w:t>
            </w:r>
          </w:p>
        </w:tc>
        <w:tc>
          <w:tcPr>
            <w:tcW w:w="465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投标文件承诺</w:t>
            </w:r>
          </w:p>
        </w:tc>
        <w:tc>
          <w:tcPr>
            <w:tcW w:w="1130" w:type="dxa"/>
            <w:vMerge w:val="restart"/>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1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Cs w:val="21"/>
              </w:rPr>
            </w:pPr>
          </w:p>
        </w:tc>
        <w:tc>
          <w:tcPr>
            <w:tcW w:w="12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标的名称</w:t>
            </w:r>
          </w:p>
        </w:tc>
        <w:tc>
          <w:tcPr>
            <w:tcW w:w="22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技术参数及配置</w:t>
            </w:r>
          </w:p>
        </w:tc>
        <w:tc>
          <w:tcPr>
            <w:tcW w:w="14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标的名称</w:t>
            </w:r>
          </w:p>
        </w:tc>
        <w:tc>
          <w:tcPr>
            <w:tcW w:w="31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投标响应</w:t>
            </w:r>
          </w:p>
        </w:tc>
        <w:tc>
          <w:tcPr>
            <w:tcW w:w="11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r>
              <w:rPr>
                <w:rFonts w:hint="eastAsia" w:ascii="宋体" w:hAnsi="宋体" w:cs="宋体"/>
                <w:color w:val="auto"/>
                <w:szCs w:val="21"/>
              </w:rPr>
              <w:t>1</w:t>
            </w:r>
          </w:p>
        </w:tc>
        <w:tc>
          <w:tcPr>
            <w:tcW w:w="12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146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319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11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r>
              <w:rPr>
                <w:rFonts w:hint="eastAsia" w:ascii="宋体" w:hAnsi="宋体" w:cs="宋体"/>
                <w:color w:val="auto"/>
                <w:szCs w:val="21"/>
              </w:rPr>
              <w:t>2</w:t>
            </w:r>
          </w:p>
        </w:tc>
        <w:tc>
          <w:tcPr>
            <w:tcW w:w="12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146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319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11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r>
              <w:rPr>
                <w:rFonts w:hint="eastAsia" w:ascii="宋体" w:hAnsi="宋体" w:cs="宋体"/>
                <w:color w:val="auto"/>
                <w:szCs w:val="21"/>
              </w:rPr>
              <w:t>...</w:t>
            </w:r>
          </w:p>
        </w:tc>
        <w:tc>
          <w:tcPr>
            <w:tcW w:w="12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146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319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113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bl>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注：</w:t>
      </w:r>
    </w:p>
    <w:p>
      <w:pPr>
        <w:spacing w:line="360" w:lineRule="auto"/>
        <w:ind w:firstLine="420" w:firstLineChars="200"/>
        <w:rPr>
          <w:rFonts w:ascii="宋体" w:hAnsi="宋体" w:cs="宋体"/>
          <w:color w:val="auto"/>
          <w:szCs w:val="21"/>
        </w:rPr>
      </w:pPr>
      <w:r>
        <w:rPr>
          <w:rFonts w:hint="eastAsia" w:ascii="宋体" w:hAnsi="宋体" w:cs="宋体"/>
          <w:color w:val="auto"/>
          <w:szCs w:val="21"/>
        </w:rPr>
        <w:t>1.表格内容均需按要求填写并加盖投标人公章。</w:t>
      </w:r>
    </w:p>
    <w:p>
      <w:pPr>
        <w:spacing w:line="360" w:lineRule="auto"/>
        <w:ind w:firstLine="420" w:firstLineChars="200"/>
        <w:rPr>
          <w:rFonts w:ascii="宋体" w:hAnsi="宋体" w:cs="宋体"/>
          <w:color w:val="auto"/>
          <w:szCs w:val="21"/>
        </w:rPr>
      </w:pPr>
      <w:r>
        <w:rPr>
          <w:rFonts w:hint="eastAsia" w:ascii="宋体" w:hAnsi="宋体" w:cs="宋体"/>
          <w:bCs/>
          <w:color w:val="auto"/>
          <w:szCs w:val="21"/>
        </w:rPr>
        <w:t>2.</w:t>
      </w:r>
      <w:r>
        <w:rPr>
          <w:rFonts w:hint="eastAsia" w:ascii="宋体" w:hAnsi="宋体" w:cs="宋体"/>
          <w:color w:val="auto"/>
          <w:szCs w:val="21"/>
        </w:rPr>
        <w:t>请根据所投货物的实际技术参数，逐条对应本项目招标文件“第二章 采购需求”中“需求一览表”的“技术参数及配置”详细填写相应的具体内容。“偏离说明”一栏应当选择“正偏离”或“负偏离”或“无偏离”进行填写。</w:t>
      </w:r>
    </w:p>
    <w:p>
      <w:pPr>
        <w:spacing w:line="360" w:lineRule="auto"/>
        <w:ind w:firstLine="420" w:firstLineChars="200"/>
        <w:rPr>
          <w:rFonts w:ascii="宋体" w:hAnsi="宋体" w:cs="宋体"/>
          <w:color w:val="auto"/>
          <w:szCs w:val="21"/>
        </w:rPr>
      </w:pPr>
      <w:r>
        <w:rPr>
          <w:rFonts w:hint="eastAsia" w:ascii="宋体" w:hAnsi="宋体" w:cs="宋体"/>
          <w:bCs/>
          <w:color w:val="auto"/>
          <w:szCs w:val="21"/>
        </w:rPr>
        <w:t>3.当投标文件的货物内容低于招标文件要求时，投标人应当如实写明“负偏离”。</w:t>
      </w:r>
    </w:p>
    <w:p>
      <w:pPr>
        <w:snapToGrid w:val="0"/>
        <w:spacing w:line="360" w:lineRule="auto"/>
        <w:ind w:firstLine="5640" w:firstLineChars="2350"/>
        <w:rPr>
          <w:rFonts w:ascii="宋体" w:hAnsi="宋体" w:cs="宋体"/>
          <w:color w:val="auto"/>
          <w:kern w:val="0"/>
          <w:sz w:val="24"/>
          <w:lang w:val="zh-CN"/>
        </w:rPr>
      </w:pPr>
    </w:p>
    <w:p>
      <w:pPr>
        <w:snapToGrid w:val="0"/>
        <w:jc w:val="left"/>
        <w:rPr>
          <w:color w:val="auto"/>
          <w:sz w:val="18"/>
          <w:szCs w:val="18"/>
          <w:lang w:val="zh-CN"/>
        </w:rPr>
      </w:pPr>
    </w:p>
    <w:p>
      <w:pPr>
        <w:snapToGrid w:val="0"/>
        <w:spacing w:line="360" w:lineRule="auto"/>
        <w:ind w:firstLine="5880" w:firstLineChars="2450"/>
        <w:rPr>
          <w:rFonts w:ascii="宋体" w:hAnsi="宋体" w:cs="宋体"/>
          <w:color w:val="auto"/>
          <w:kern w:val="0"/>
          <w:sz w:val="24"/>
        </w:rPr>
      </w:pPr>
      <w:r>
        <w:rPr>
          <w:rFonts w:hint="eastAsia" w:ascii="宋体" w:hAnsi="宋体" w:cs="宋体"/>
          <w:color w:val="auto"/>
          <w:kern w:val="0"/>
          <w:sz w:val="24"/>
          <w:lang w:val="zh-CN"/>
        </w:rPr>
        <w:t>投标人名称(盖公章)：</w:t>
      </w:r>
    </w:p>
    <w:p>
      <w:pPr>
        <w:snapToGrid w:val="0"/>
        <w:spacing w:line="360" w:lineRule="auto"/>
        <w:ind w:firstLine="5880" w:firstLineChars="2450"/>
        <w:rPr>
          <w:rFonts w:hint="eastAsia" w:ascii="宋体" w:hAnsi="宋体" w:eastAsia="宋体" w:cs="宋体"/>
          <w:color w:val="auto"/>
          <w:kern w:val="0"/>
          <w:sz w:val="24"/>
          <w:lang w:val="zh-CN" w:eastAsia="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eastAsia="zh-CN"/>
        </w:rPr>
        <w:t>年  月  日</w:t>
      </w:r>
    </w:p>
    <w:p>
      <w:pPr>
        <w:autoSpaceDE w:val="0"/>
        <w:autoSpaceDN w:val="0"/>
        <w:spacing w:line="360" w:lineRule="auto"/>
        <w:jc w:val="left"/>
        <w:rPr>
          <w:rFonts w:ascii="宋体" w:hAnsi="宋体" w:cs="宋体"/>
          <w:color w:val="auto"/>
          <w:szCs w:val="21"/>
        </w:rPr>
      </w:pPr>
      <w:r>
        <w:rPr>
          <w:rFonts w:hint="eastAsia" w:ascii="宋体" w:hAnsi="宋体" w:cs="宋体"/>
          <w:b/>
          <w:color w:val="auto"/>
          <w:sz w:val="28"/>
          <w:szCs w:val="28"/>
        </w:rPr>
        <w:br w:type="page"/>
      </w:r>
      <w:r>
        <w:rPr>
          <w:rFonts w:hint="eastAsia" w:ascii="宋体" w:hAnsi="宋体" w:cs="宋体"/>
          <w:b/>
          <w:color w:val="auto"/>
          <w:sz w:val="28"/>
          <w:szCs w:val="28"/>
        </w:rPr>
        <w:t>4. 项目实施人员一览表、售后服务人员情况表的格式</w:t>
      </w:r>
      <w:r>
        <w:rPr>
          <w:rFonts w:hint="eastAsia" w:ascii="宋体" w:hAnsi="宋体" w:cs="宋体"/>
          <w:b/>
          <w:bCs/>
          <w:color w:val="auto"/>
          <w:sz w:val="30"/>
          <w:szCs w:val="30"/>
        </w:rPr>
        <w:t>：</w:t>
      </w:r>
    </w:p>
    <w:p>
      <w:pPr>
        <w:snapToGrid w:val="0"/>
        <w:spacing w:line="360" w:lineRule="auto"/>
        <w:rPr>
          <w:rFonts w:ascii="宋体" w:hAnsi="宋体" w:cs="宋体"/>
          <w:b/>
          <w:color w:val="auto"/>
          <w:sz w:val="24"/>
        </w:rPr>
      </w:pPr>
    </w:p>
    <w:p>
      <w:pPr>
        <w:snapToGrid w:val="0"/>
        <w:jc w:val="left"/>
        <w:rPr>
          <w:color w:val="auto"/>
          <w:sz w:val="18"/>
          <w:szCs w:val="18"/>
        </w:rPr>
      </w:pPr>
    </w:p>
    <w:p>
      <w:pPr>
        <w:snapToGrid w:val="0"/>
        <w:spacing w:line="360" w:lineRule="auto"/>
        <w:ind w:firstLine="472" w:firstLineChars="196"/>
        <w:jc w:val="center"/>
        <w:rPr>
          <w:rFonts w:ascii="宋体" w:hAnsi="宋体" w:cs="宋体"/>
          <w:b/>
          <w:bCs/>
          <w:i/>
          <w:iCs/>
          <w:color w:val="auto"/>
          <w:kern w:val="0"/>
          <w:sz w:val="24"/>
          <w:lang w:val="zh-CN"/>
        </w:rPr>
      </w:pPr>
      <w:r>
        <w:rPr>
          <w:rFonts w:hint="eastAsia" w:ascii="宋体" w:hAnsi="宋体" w:cs="宋体"/>
          <w:b/>
          <w:bCs/>
          <w:color w:val="auto"/>
          <w:kern w:val="0"/>
          <w:sz w:val="24"/>
          <w:lang w:val="zh-CN"/>
        </w:rPr>
        <w:t>项目实施人员一览表（如有要求）</w:t>
      </w:r>
    </w:p>
    <w:p>
      <w:pPr>
        <w:rPr>
          <w:rFonts w:ascii="宋体" w:hAnsi="Courier New"/>
          <w:color w:val="auto"/>
          <w:sz w:val="24"/>
        </w:rPr>
      </w:pPr>
    </w:p>
    <w:p>
      <w:pPr>
        <w:rPr>
          <w:rFonts w:ascii="宋体" w:hAnsi="Courier New"/>
          <w:color w:val="auto"/>
          <w:szCs w:val="20"/>
          <w:lang w:val="zh-CN"/>
        </w:rPr>
      </w:pPr>
      <w:r>
        <w:rPr>
          <w:rFonts w:hint="eastAsia" w:ascii="宋体" w:hAnsi="Courier New"/>
          <w:color w:val="auto"/>
          <w:sz w:val="24"/>
        </w:rPr>
        <w:t>所投分标（此处有分标时填写具体分标号，无分标时填写“无”）：</w:t>
      </w:r>
    </w:p>
    <w:p>
      <w:pPr>
        <w:snapToGrid w:val="0"/>
        <w:jc w:val="left"/>
        <w:rPr>
          <w:rFonts w:ascii="宋体" w:hAnsi="宋体" w:cs="宋体"/>
          <w:b/>
          <w:color w:val="auto"/>
          <w:szCs w:val="21"/>
        </w:rPr>
      </w:pPr>
    </w:p>
    <w:tbl>
      <w:tblPr>
        <w:tblStyle w:val="24"/>
        <w:tblW w:w="9408" w:type="dxa"/>
        <w:tblInd w:w="108" w:type="dxa"/>
        <w:tblLayout w:type="fixed"/>
        <w:tblCellMar>
          <w:top w:w="0" w:type="dxa"/>
          <w:left w:w="108" w:type="dxa"/>
          <w:bottom w:w="0" w:type="dxa"/>
          <w:right w:w="108" w:type="dxa"/>
        </w:tblCellMar>
      </w:tblPr>
      <w:tblGrid>
        <w:gridCol w:w="420"/>
        <w:gridCol w:w="787"/>
        <w:gridCol w:w="489"/>
        <w:gridCol w:w="509"/>
        <w:gridCol w:w="1035"/>
        <w:gridCol w:w="1080"/>
        <w:gridCol w:w="1080"/>
        <w:gridCol w:w="2001"/>
        <w:gridCol w:w="2007"/>
      </w:tblGrid>
      <w:tr>
        <w:tblPrEx>
          <w:tblLayout w:type="fixed"/>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序号</w:t>
            </w:r>
          </w:p>
        </w:tc>
        <w:tc>
          <w:tcPr>
            <w:tcW w:w="787"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姓名</w:t>
            </w:r>
          </w:p>
        </w:tc>
        <w:tc>
          <w:tcPr>
            <w:tcW w:w="489"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性别</w:t>
            </w:r>
          </w:p>
        </w:tc>
        <w:tc>
          <w:tcPr>
            <w:tcW w:w="509"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年龄</w:t>
            </w:r>
          </w:p>
        </w:tc>
        <w:tc>
          <w:tcPr>
            <w:tcW w:w="1035"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学历</w:t>
            </w:r>
          </w:p>
          <w:p>
            <w:pPr>
              <w:autoSpaceDE w:val="0"/>
              <w:autoSpaceDN w:val="0"/>
              <w:jc w:val="center"/>
              <w:rPr>
                <w:rFonts w:ascii="宋体" w:hAnsi="宋体" w:cs="宋体"/>
                <w:color w:val="auto"/>
                <w:szCs w:val="21"/>
              </w:rPr>
            </w:pPr>
            <w:r>
              <w:rPr>
                <w:rFonts w:hint="eastAsia" w:ascii="宋体" w:hAnsi="宋体" w:cs="宋体"/>
                <w:color w:val="auto"/>
                <w:szCs w:val="21"/>
              </w:rPr>
              <w:t>(页码)</w:t>
            </w:r>
          </w:p>
        </w:tc>
        <w:tc>
          <w:tcPr>
            <w:tcW w:w="1080"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专业</w:t>
            </w:r>
          </w:p>
          <w:p>
            <w:pPr>
              <w:autoSpaceDE w:val="0"/>
              <w:autoSpaceDN w:val="0"/>
              <w:jc w:val="center"/>
              <w:rPr>
                <w:rFonts w:ascii="宋体" w:hAnsi="宋体" w:cs="宋体"/>
                <w:color w:val="auto"/>
                <w:szCs w:val="21"/>
              </w:rPr>
            </w:pPr>
            <w:r>
              <w:rPr>
                <w:rFonts w:hint="eastAsia" w:ascii="宋体" w:hAnsi="宋体" w:cs="宋体"/>
                <w:color w:val="auto"/>
                <w:szCs w:val="21"/>
              </w:rPr>
              <w:t>(页码)</w:t>
            </w:r>
          </w:p>
        </w:tc>
        <w:tc>
          <w:tcPr>
            <w:tcW w:w="1080"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职称</w:t>
            </w:r>
          </w:p>
          <w:p>
            <w:pPr>
              <w:autoSpaceDE w:val="0"/>
              <w:autoSpaceDN w:val="0"/>
              <w:jc w:val="center"/>
              <w:rPr>
                <w:rFonts w:ascii="宋体" w:hAnsi="宋体" w:cs="宋体"/>
                <w:color w:val="auto"/>
                <w:szCs w:val="21"/>
              </w:rPr>
            </w:pPr>
            <w:r>
              <w:rPr>
                <w:rFonts w:hint="eastAsia" w:ascii="宋体" w:hAnsi="宋体" w:cs="宋体"/>
                <w:color w:val="auto"/>
                <w:szCs w:val="21"/>
              </w:rPr>
              <w:t>(页码)</w:t>
            </w:r>
          </w:p>
        </w:tc>
        <w:tc>
          <w:tcPr>
            <w:tcW w:w="200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本项目中的职责</w:t>
            </w:r>
          </w:p>
        </w:tc>
        <w:tc>
          <w:tcPr>
            <w:tcW w:w="2007"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类似项目经历</w:t>
            </w:r>
          </w:p>
        </w:tc>
      </w:tr>
      <w:tr>
        <w:tblPrEx>
          <w:tblLayout w:type="fixed"/>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tcPr>
          <w:p>
            <w:pPr>
              <w:autoSpaceDE w:val="0"/>
              <w:autoSpaceDN w:val="0"/>
              <w:jc w:val="center"/>
              <w:rPr>
                <w:rFonts w:ascii="宋体" w:hAnsi="宋体" w:cs="宋体"/>
                <w:color w:val="auto"/>
                <w:szCs w:val="21"/>
              </w:rPr>
            </w:pP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rPr>
                <w:rFonts w:ascii="宋体" w:hAnsi="宋体" w:cs="宋体"/>
                <w:color w:val="auto"/>
                <w:szCs w:val="21"/>
              </w:rPr>
            </w:pPr>
          </w:p>
        </w:tc>
        <w:tc>
          <w:tcPr>
            <w:tcW w:w="489" w:type="dxa"/>
            <w:tcBorders>
              <w:top w:val="single" w:color="auto" w:sz="6" w:space="0"/>
              <w:left w:val="single" w:color="auto" w:sz="6" w:space="0"/>
              <w:bottom w:val="single" w:color="auto" w:sz="6" w:space="0"/>
              <w:right w:val="single" w:color="auto" w:sz="6" w:space="0"/>
            </w:tcBorders>
            <w:noWrap/>
          </w:tcPr>
          <w:p>
            <w:pPr>
              <w:autoSpaceDE w:val="0"/>
              <w:autoSpaceDN w:val="0"/>
              <w:rPr>
                <w:rFonts w:ascii="宋体" w:hAnsi="宋体" w:cs="宋体"/>
                <w:color w:val="auto"/>
                <w:szCs w:val="21"/>
              </w:rPr>
            </w:pPr>
          </w:p>
        </w:tc>
        <w:tc>
          <w:tcPr>
            <w:tcW w:w="509" w:type="dxa"/>
            <w:tcBorders>
              <w:top w:val="single" w:color="auto" w:sz="6" w:space="0"/>
              <w:left w:val="single" w:color="auto" w:sz="6" w:space="0"/>
              <w:bottom w:val="single" w:color="auto" w:sz="6" w:space="0"/>
              <w:right w:val="single" w:color="auto" w:sz="6" w:space="0"/>
            </w:tcBorders>
            <w:noWrap/>
          </w:tcPr>
          <w:p>
            <w:pPr>
              <w:autoSpaceDE w:val="0"/>
              <w:autoSpaceDN w:val="0"/>
              <w:rPr>
                <w:rFonts w:ascii="宋体" w:hAnsi="宋体" w:cs="宋体"/>
                <w:color w:val="auto"/>
                <w:szCs w:val="21"/>
              </w:rPr>
            </w:pPr>
          </w:p>
        </w:tc>
        <w:tc>
          <w:tcPr>
            <w:tcW w:w="1035" w:type="dxa"/>
            <w:tcBorders>
              <w:top w:val="single" w:color="auto" w:sz="6" w:space="0"/>
              <w:left w:val="single" w:color="auto" w:sz="6" w:space="0"/>
              <w:bottom w:val="single" w:color="auto" w:sz="6" w:space="0"/>
              <w:right w:val="single" w:color="auto" w:sz="6" w:space="0"/>
            </w:tcBorders>
            <w:noWrap/>
          </w:tcPr>
          <w:p>
            <w:pPr>
              <w:autoSpaceDE w:val="0"/>
              <w:autoSpaceDN w:val="0"/>
              <w:rPr>
                <w:rFonts w:ascii="宋体" w:hAns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rPr>
                <w:rFonts w:ascii="宋体" w:hAnsi="宋体" w:cs="宋体"/>
                <w:color w:val="auto"/>
                <w:szCs w:val="21"/>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rPr>
                <w:rFonts w:ascii="宋体" w:hAnsi="宋体" w:cs="宋体"/>
                <w:color w:val="auto"/>
                <w:szCs w:val="21"/>
              </w:rPr>
            </w:pPr>
          </w:p>
        </w:tc>
        <w:tc>
          <w:tcPr>
            <w:tcW w:w="2001" w:type="dxa"/>
            <w:tcBorders>
              <w:top w:val="single" w:color="auto" w:sz="6" w:space="0"/>
              <w:left w:val="single" w:color="auto" w:sz="6" w:space="0"/>
              <w:bottom w:val="single" w:color="auto" w:sz="6" w:space="0"/>
              <w:right w:val="single" w:color="auto" w:sz="6" w:space="0"/>
            </w:tcBorders>
            <w:noWrap/>
          </w:tcPr>
          <w:p>
            <w:pPr>
              <w:autoSpaceDE w:val="0"/>
              <w:autoSpaceDN w:val="0"/>
              <w:rPr>
                <w:rFonts w:ascii="宋体" w:hAnsi="宋体" w:cs="宋体"/>
                <w:color w:val="auto"/>
                <w:szCs w:val="21"/>
              </w:rPr>
            </w:pPr>
          </w:p>
        </w:tc>
        <w:tc>
          <w:tcPr>
            <w:tcW w:w="2007" w:type="dxa"/>
            <w:tcBorders>
              <w:top w:val="single" w:color="auto" w:sz="6" w:space="0"/>
              <w:left w:val="single" w:color="auto" w:sz="6" w:space="0"/>
              <w:bottom w:val="single" w:color="auto" w:sz="6" w:space="0"/>
              <w:right w:val="single" w:color="auto" w:sz="6" w:space="0"/>
            </w:tcBorders>
            <w:noWrap/>
          </w:tcPr>
          <w:p>
            <w:pPr>
              <w:autoSpaceDE w:val="0"/>
              <w:autoSpaceDN w:val="0"/>
              <w:rPr>
                <w:rFonts w:ascii="宋体" w:hAnsi="宋体" w:cs="宋体"/>
                <w:color w:val="auto"/>
                <w:szCs w:val="21"/>
              </w:rPr>
            </w:pPr>
          </w:p>
        </w:tc>
      </w:tr>
      <w:tr>
        <w:tblPrEx>
          <w:tblLayout w:type="fixed"/>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宋体" w:hAnsi="宋体" w:cs="宋体"/>
                <w:color w:val="auto"/>
                <w:sz w:val="24"/>
              </w:rPr>
            </w:pPr>
          </w:p>
        </w:tc>
        <w:tc>
          <w:tcPr>
            <w:tcW w:w="48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宋体" w:hAnsi="宋体" w:cs="宋体"/>
                <w:color w:val="auto"/>
                <w:sz w:val="24"/>
              </w:rPr>
            </w:pPr>
          </w:p>
        </w:tc>
        <w:tc>
          <w:tcPr>
            <w:tcW w:w="50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宋体" w:hAnsi="宋体" w:cs="宋体"/>
                <w:color w:val="auto"/>
                <w:sz w:val="24"/>
              </w:rPr>
            </w:pPr>
          </w:p>
        </w:tc>
        <w:tc>
          <w:tcPr>
            <w:tcW w:w="200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宋体" w:hAnsi="宋体" w:cs="宋体"/>
                <w:color w:val="auto"/>
                <w:sz w:val="24"/>
              </w:rPr>
            </w:pPr>
          </w:p>
        </w:tc>
        <w:tc>
          <w:tcPr>
            <w:tcW w:w="200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宋体" w:hAnsi="宋体" w:cs="宋体"/>
                <w:color w:val="auto"/>
                <w:sz w:val="24"/>
              </w:rPr>
            </w:pPr>
          </w:p>
        </w:tc>
      </w:tr>
    </w:tbl>
    <w:p>
      <w:pPr>
        <w:snapToGrid w:val="0"/>
        <w:spacing w:line="360" w:lineRule="auto"/>
        <w:ind w:firstLine="472" w:firstLineChars="196"/>
        <w:rPr>
          <w:rFonts w:ascii="宋体" w:hAnsi="宋体" w:cs="宋体"/>
          <w:b/>
          <w:bCs/>
          <w:color w:val="auto"/>
          <w:kern w:val="0"/>
          <w:sz w:val="24"/>
          <w:lang w:val="zh-CN"/>
        </w:rPr>
      </w:pPr>
    </w:p>
    <w:p>
      <w:pPr>
        <w:snapToGrid w:val="0"/>
        <w:spacing w:line="360" w:lineRule="auto"/>
        <w:ind w:firstLine="5280" w:firstLineChars="2200"/>
        <w:rPr>
          <w:rFonts w:ascii="宋体" w:hAnsi="宋体" w:cs="宋体"/>
          <w:color w:val="auto"/>
          <w:kern w:val="0"/>
          <w:sz w:val="24"/>
        </w:rPr>
      </w:pPr>
      <w:r>
        <w:rPr>
          <w:rFonts w:hint="eastAsia" w:ascii="宋体" w:hAnsi="宋体" w:cs="宋体"/>
          <w:color w:val="auto"/>
          <w:kern w:val="0"/>
          <w:sz w:val="24"/>
          <w:lang w:val="zh-CN"/>
        </w:rPr>
        <w:t>投标人名称(盖公章)：</w:t>
      </w:r>
    </w:p>
    <w:p>
      <w:pPr>
        <w:snapToGrid w:val="0"/>
        <w:spacing w:line="360" w:lineRule="auto"/>
        <w:ind w:firstLine="5280" w:firstLineChars="2200"/>
        <w:jc w:val="left"/>
        <w:rPr>
          <w:rFonts w:hint="eastAsia" w:ascii="宋体" w:hAnsi="宋体" w:eastAsia="宋体" w:cs="宋体"/>
          <w:b/>
          <w:bCs/>
          <w:color w:val="auto"/>
          <w:sz w:val="24"/>
          <w:lang w:eastAsia="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eastAsia="zh-CN"/>
        </w:rPr>
        <w:t>年  月  日</w:t>
      </w:r>
    </w:p>
    <w:p>
      <w:pPr>
        <w:snapToGrid w:val="0"/>
        <w:spacing w:line="360" w:lineRule="auto"/>
        <w:jc w:val="center"/>
        <w:rPr>
          <w:rFonts w:ascii="宋体" w:hAnsi="宋体" w:cs="宋体"/>
          <w:b/>
          <w:bCs/>
          <w:color w:val="auto"/>
          <w:sz w:val="24"/>
        </w:rPr>
      </w:pPr>
    </w:p>
    <w:p>
      <w:pPr>
        <w:snapToGrid w:val="0"/>
        <w:spacing w:line="360" w:lineRule="auto"/>
        <w:jc w:val="center"/>
        <w:rPr>
          <w:rFonts w:ascii="宋体" w:hAnsi="宋体" w:cs="宋体"/>
          <w:b/>
          <w:bCs/>
          <w:color w:val="auto"/>
          <w:sz w:val="24"/>
        </w:rPr>
      </w:pPr>
    </w:p>
    <w:p>
      <w:pPr>
        <w:autoSpaceDE w:val="0"/>
        <w:autoSpaceDN w:val="0"/>
        <w:spacing w:line="360" w:lineRule="auto"/>
        <w:rPr>
          <w:rFonts w:ascii="宋体" w:hAnsi="宋体" w:cs="宋体"/>
          <w:color w:val="auto"/>
          <w:sz w:val="24"/>
        </w:rPr>
      </w:pPr>
      <w:r>
        <w:rPr>
          <w:rFonts w:hint="eastAsia" w:ascii="宋体" w:hAnsi="宋体" w:cs="宋体"/>
          <w:b/>
          <w:color w:val="auto"/>
          <w:kern w:val="0"/>
          <w:sz w:val="24"/>
        </w:rPr>
        <w:t>售后服务人员情况表</w:t>
      </w:r>
      <w:r>
        <w:rPr>
          <w:rFonts w:hint="eastAsia" w:ascii="宋体" w:hAnsi="宋体" w:cs="宋体"/>
          <w:color w:val="auto"/>
          <w:sz w:val="24"/>
        </w:rPr>
        <w:t>（如有要求，参照此格式自制）</w:t>
      </w:r>
    </w:p>
    <w:p>
      <w:pPr>
        <w:snapToGrid w:val="0"/>
        <w:jc w:val="left"/>
        <w:rPr>
          <w:color w:val="auto"/>
          <w:sz w:val="18"/>
          <w:szCs w:val="18"/>
        </w:rPr>
      </w:pPr>
    </w:p>
    <w:tbl>
      <w:tblPr>
        <w:tblStyle w:val="24"/>
        <w:tblW w:w="9854" w:type="dxa"/>
        <w:jc w:val="center"/>
        <w:tblInd w:w="0" w:type="dxa"/>
        <w:tblLayout w:type="fixed"/>
        <w:tblCellMar>
          <w:top w:w="0" w:type="dxa"/>
          <w:left w:w="108" w:type="dxa"/>
          <w:bottom w:w="0" w:type="dxa"/>
          <w:right w:w="108" w:type="dxa"/>
        </w:tblCellMar>
      </w:tblPr>
      <w:tblGrid>
        <w:gridCol w:w="451"/>
        <w:gridCol w:w="971"/>
        <w:gridCol w:w="725"/>
        <w:gridCol w:w="406"/>
        <w:gridCol w:w="886"/>
        <w:gridCol w:w="1064"/>
        <w:gridCol w:w="1064"/>
        <w:gridCol w:w="1064"/>
        <w:gridCol w:w="1242"/>
        <w:gridCol w:w="886"/>
        <w:gridCol w:w="1095"/>
      </w:tblGrid>
      <w:tr>
        <w:tblPrEx>
          <w:tblLayout w:type="fixed"/>
          <w:tblCellMar>
            <w:top w:w="0" w:type="dxa"/>
            <w:left w:w="108" w:type="dxa"/>
            <w:bottom w:w="0" w:type="dxa"/>
            <w:right w:w="108" w:type="dxa"/>
          </w:tblCellMar>
        </w:tblPrEx>
        <w:trPr>
          <w:jc w:val="center"/>
        </w:trPr>
        <w:tc>
          <w:tcPr>
            <w:tcW w:w="451"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序号</w:t>
            </w:r>
          </w:p>
        </w:tc>
        <w:tc>
          <w:tcPr>
            <w:tcW w:w="971" w:type="dxa"/>
            <w:tcBorders>
              <w:top w:val="single" w:color="auto" w:sz="6" w:space="0"/>
              <w:left w:val="single" w:color="auto" w:sz="4"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类别</w:t>
            </w:r>
          </w:p>
        </w:tc>
        <w:tc>
          <w:tcPr>
            <w:tcW w:w="725"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姓名</w:t>
            </w:r>
          </w:p>
        </w:tc>
        <w:tc>
          <w:tcPr>
            <w:tcW w:w="40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性别</w:t>
            </w:r>
          </w:p>
        </w:tc>
        <w:tc>
          <w:tcPr>
            <w:tcW w:w="8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年龄</w:t>
            </w: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学历</w:t>
            </w: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专业</w:t>
            </w: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职称</w:t>
            </w:r>
          </w:p>
        </w:tc>
        <w:tc>
          <w:tcPr>
            <w:tcW w:w="12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本项目中的职责</w:t>
            </w:r>
          </w:p>
        </w:tc>
        <w:tc>
          <w:tcPr>
            <w:tcW w:w="8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响应时间</w:t>
            </w:r>
          </w:p>
        </w:tc>
        <w:tc>
          <w:tcPr>
            <w:tcW w:w="1095"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到达现场时间</w:t>
            </w:r>
          </w:p>
        </w:tc>
      </w:tr>
      <w:tr>
        <w:tblPrEx>
          <w:tblLayout w:type="fixed"/>
          <w:tblCellMar>
            <w:top w:w="0" w:type="dxa"/>
            <w:left w:w="108" w:type="dxa"/>
            <w:bottom w:w="0" w:type="dxa"/>
            <w:right w:w="108" w:type="dxa"/>
          </w:tblCellMar>
        </w:tblPrEx>
        <w:trPr>
          <w:trHeight w:val="607" w:hRule="atLeast"/>
          <w:jc w:val="center"/>
        </w:trPr>
        <w:tc>
          <w:tcPr>
            <w:tcW w:w="451"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ascii="宋体" w:hAnsi="宋体" w:cs="宋体"/>
                <w:color w:val="auto"/>
                <w:szCs w:val="21"/>
              </w:rPr>
            </w:pPr>
          </w:p>
        </w:tc>
        <w:tc>
          <w:tcPr>
            <w:tcW w:w="971" w:type="dxa"/>
            <w:tcBorders>
              <w:top w:val="single" w:color="auto" w:sz="6" w:space="0"/>
              <w:left w:val="single" w:color="auto" w:sz="4"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总协调人</w:t>
            </w:r>
          </w:p>
        </w:tc>
        <w:tc>
          <w:tcPr>
            <w:tcW w:w="725"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40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8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2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8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95"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r>
      <w:tr>
        <w:tblPrEx>
          <w:tblLayout w:type="fixed"/>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ascii="宋体" w:hAnsi="宋体" w:cs="宋体"/>
                <w:color w:val="auto"/>
                <w:szCs w:val="21"/>
              </w:rPr>
            </w:pPr>
          </w:p>
        </w:tc>
        <w:tc>
          <w:tcPr>
            <w:tcW w:w="971" w:type="dxa"/>
            <w:tcBorders>
              <w:top w:val="single" w:color="auto" w:sz="6" w:space="0"/>
              <w:left w:val="single" w:color="auto" w:sz="4"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售后人员</w:t>
            </w:r>
          </w:p>
        </w:tc>
        <w:tc>
          <w:tcPr>
            <w:tcW w:w="725"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40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8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2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8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95"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r>
      <w:tr>
        <w:tblPrEx>
          <w:tblLayout w:type="fixed"/>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ascii="宋体" w:hAnsi="宋体" w:cs="宋体"/>
                <w:color w:val="auto"/>
                <w:szCs w:val="21"/>
              </w:rPr>
            </w:pPr>
          </w:p>
        </w:tc>
        <w:tc>
          <w:tcPr>
            <w:tcW w:w="971" w:type="dxa"/>
            <w:tcBorders>
              <w:top w:val="single" w:color="auto" w:sz="6" w:space="0"/>
              <w:left w:val="single" w:color="auto" w:sz="4"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r>
              <w:rPr>
                <w:rFonts w:hint="eastAsia" w:ascii="宋体" w:hAnsi="宋体" w:cs="宋体"/>
                <w:color w:val="auto"/>
                <w:szCs w:val="21"/>
              </w:rPr>
              <w:t>......</w:t>
            </w:r>
          </w:p>
        </w:tc>
        <w:tc>
          <w:tcPr>
            <w:tcW w:w="725"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40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8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2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8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c>
          <w:tcPr>
            <w:tcW w:w="1095"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ascii="宋体" w:hAnsi="宋体" w:cs="宋体"/>
                <w:color w:val="auto"/>
                <w:szCs w:val="21"/>
              </w:rPr>
            </w:pPr>
          </w:p>
        </w:tc>
      </w:tr>
    </w:tbl>
    <w:p>
      <w:pPr>
        <w:snapToGrid w:val="0"/>
        <w:jc w:val="left"/>
        <w:rPr>
          <w:rFonts w:ascii="宋体" w:hAnsi="宋体" w:cs="宋体"/>
          <w:color w:val="auto"/>
          <w:szCs w:val="21"/>
        </w:rPr>
      </w:pPr>
    </w:p>
    <w:p>
      <w:pPr>
        <w:snapToGrid w:val="0"/>
        <w:jc w:val="left"/>
        <w:rPr>
          <w:color w:val="auto"/>
          <w:sz w:val="18"/>
          <w:szCs w:val="18"/>
        </w:rPr>
      </w:pPr>
    </w:p>
    <w:p>
      <w:pPr>
        <w:snapToGrid w:val="0"/>
        <w:spacing w:line="360" w:lineRule="auto"/>
        <w:ind w:firstLine="5280" w:firstLineChars="2200"/>
        <w:rPr>
          <w:rFonts w:ascii="宋体" w:hAnsi="宋体" w:cs="宋体"/>
          <w:color w:val="auto"/>
          <w:kern w:val="0"/>
          <w:sz w:val="24"/>
        </w:rPr>
      </w:pPr>
      <w:r>
        <w:rPr>
          <w:rFonts w:hint="eastAsia" w:ascii="宋体" w:hAnsi="宋体" w:cs="宋体"/>
          <w:color w:val="auto"/>
          <w:kern w:val="0"/>
          <w:sz w:val="24"/>
          <w:lang w:val="zh-CN"/>
        </w:rPr>
        <w:t>投标人名称(盖公章)：</w:t>
      </w:r>
    </w:p>
    <w:p>
      <w:pPr>
        <w:snapToGrid w:val="0"/>
        <w:spacing w:line="360" w:lineRule="auto"/>
        <w:jc w:val="center"/>
        <w:rPr>
          <w:rFonts w:ascii="宋体" w:hAnsi="宋体" w:cs="宋体"/>
          <w:b/>
          <w:bCs/>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w:t>
      </w:r>
    </w:p>
    <w:p>
      <w:pPr>
        <w:snapToGrid w:val="0"/>
        <w:spacing w:line="360" w:lineRule="auto"/>
        <w:jc w:val="center"/>
        <w:rPr>
          <w:rFonts w:ascii="宋体" w:hAnsi="宋体" w:cs="宋体"/>
          <w:b/>
          <w:bCs/>
          <w:color w:val="auto"/>
          <w:sz w:val="24"/>
        </w:rPr>
      </w:pPr>
    </w:p>
    <w:p>
      <w:pPr>
        <w:jc w:val="center"/>
        <w:outlineLvl w:val="1"/>
        <w:rPr>
          <w:rFonts w:ascii="宋体" w:hAnsi="宋体" w:cs="宋体"/>
          <w:b/>
          <w:bCs/>
          <w:color w:val="auto"/>
          <w:sz w:val="28"/>
          <w:szCs w:val="28"/>
        </w:rPr>
      </w:pPr>
      <w:r>
        <w:rPr>
          <w:rFonts w:hint="eastAsia" w:ascii="宋体" w:hAnsi="宋体" w:cs="宋体"/>
          <w:b/>
          <w:bCs/>
          <w:color w:val="auto"/>
          <w:sz w:val="24"/>
        </w:rPr>
        <w:br w:type="page"/>
      </w:r>
      <w:bookmarkStart w:id="250" w:name="_Toc10710"/>
      <w:bookmarkStart w:id="251" w:name="_Toc31296"/>
      <w:bookmarkStart w:id="252" w:name="_Toc21638"/>
      <w:bookmarkStart w:id="253" w:name="_Toc17482"/>
      <w:bookmarkStart w:id="254" w:name="_Toc27076"/>
      <w:r>
        <w:rPr>
          <w:rFonts w:hint="eastAsia" w:ascii="宋体" w:hAnsi="宋体" w:cs="宋体"/>
          <w:b/>
          <w:bCs/>
          <w:color w:val="auto"/>
          <w:sz w:val="28"/>
          <w:szCs w:val="28"/>
        </w:rPr>
        <w:t>第五节 报价文件格式</w:t>
      </w:r>
      <w:bookmarkEnd w:id="250"/>
      <w:bookmarkEnd w:id="251"/>
      <w:bookmarkEnd w:id="252"/>
      <w:bookmarkEnd w:id="253"/>
      <w:bookmarkEnd w:id="254"/>
    </w:p>
    <w:p>
      <w:pPr>
        <w:snapToGrid w:val="0"/>
        <w:spacing w:beforeLines="50" w:after="50" w:line="400" w:lineRule="exact"/>
        <w:jc w:val="left"/>
        <w:rPr>
          <w:rFonts w:ascii="宋体" w:hAnsi="宋体" w:cs="宋体"/>
          <w:color w:val="auto"/>
          <w:sz w:val="24"/>
        </w:rPr>
      </w:pPr>
    </w:p>
    <w:p>
      <w:pPr>
        <w:snapToGrid w:val="0"/>
        <w:spacing w:beforeLines="50" w:after="50" w:line="400" w:lineRule="exact"/>
        <w:jc w:val="left"/>
        <w:rPr>
          <w:rFonts w:ascii="宋体" w:hAnsi="宋体" w:cs="宋体"/>
          <w:b/>
          <w:bCs/>
          <w:color w:val="auto"/>
          <w:sz w:val="28"/>
          <w:szCs w:val="28"/>
        </w:rPr>
      </w:pPr>
      <w:r>
        <w:rPr>
          <w:rFonts w:hint="eastAsia" w:ascii="宋体" w:hAnsi="宋体" w:cs="宋体"/>
          <w:b/>
          <w:bCs/>
          <w:color w:val="auto"/>
          <w:sz w:val="28"/>
          <w:szCs w:val="28"/>
        </w:rPr>
        <w:t xml:space="preserve">1.报价文件封面的格式： </w:t>
      </w:r>
    </w:p>
    <w:p>
      <w:pPr>
        <w:snapToGrid w:val="0"/>
        <w:spacing w:beforeLines="50" w:after="50" w:line="400" w:lineRule="exact"/>
        <w:jc w:val="left"/>
        <w:rPr>
          <w:rFonts w:ascii="宋体" w:hAnsi="宋体" w:cs="宋体"/>
          <w:b/>
          <w:bCs/>
          <w:color w:val="auto"/>
          <w:sz w:val="28"/>
          <w:szCs w:val="28"/>
        </w:rPr>
      </w:pPr>
    </w:p>
    <w:p>
      <w:pPr>
        <w:snapToGrid w:val="0"/>
        <w:spacing w:beforeLines="50" w:after="50" w:line="400" w:lineRule="exact"/>
        <w:jc w:val="left"/>
        <w:rPr>
          <w:rFonts w:ascii="宋体" w:hAnsi="宋体" w:cs="宋体"/>
          <w:color w:val="auto"/>
          <w:sz w:val="24"/>
        </w:rPr>
      </w:pPr>
    </w:p>
    <w:p>
      <w:pPr>
        <w:snapToGrid w:val="0"/>
        <w:spacing w:beforeLines="50" w:after="50" w:line="400" w:lineRule="exact"/>
        <w:ind w:firstLine="5040" w:firstLineChars="2400"/>
        <w:rPr>
          <w:rFonts w:ascii="宋体" w:hAnsi="宋体" w:cs="宋体"/>
          <w:bCs/>
          <w:color w:val="auto"/>
          <w:sz w:val="32"/>
          <w:szCs w:val="20"/>
        </w:rPr>
      </w:pPr>
      <w:r>
        <w:rPr>
          <w:rFonts w:hint="eastAsia" w:ascii="宋体" w:hAnsi="宋体" w:cs="宋体"/>
          <w:bCs/>
          <w:color w:val="auto"/>
        </w:rPr>
        <w:t>电子投标文件</w:t>
      </w:r>
    </w:p>
    <w:p>
      <w:pPr>
        <w:snapToGrid w:val="0"/>
        <w:spacing w:beforeLines="50" w:after="50" w:line="400" w:lineRule="exact"/>
        <w:jc w:val="center"/>
        <w:rPr>
          <w:rFonts w:ascii="宋体" w:hAnsi="宋体" w:cs="宋体"/>
          <w:bCs/>
          <w:color w:val="auto"/>
          <w:sz w:val="24"/>
          <w:szCs w:val="20"/>
        </w:rPr>
      </w:pPr>
    </w:p>
    <w:p>
      <w:pPr>
        <w:snapToGrid w:val="0"/>
        <w:spacing w:beforeLines="50" w:after="50" w:line="400" w:lineRule="exact"/>
        <w:jc w:val="center"/>
        <w:rPr>
          <w:rFonts w:ascii="宋体" w:hAnsi="宋体" w:cs="宋体"/>
          <w:b/>
          <w:bCs/>
          <w:color w:val="auto"/>
          <w:sz w:val="32"/>
          <w:szCs w:val="32"/>
        </w:rPr>
      </w:pPr>
    </w:p>
    <w:p>
      <w:pPr>
        <w:snapToGrid w:val="0"/>
        <w:spacing w:beforeLines="50" w:after="50" w:line="400" w:lineRule="exact"/>
        <w:jc w:val="center"/>
        <w:rPr>
          <w:rFonts w:ascii="宋体" w:hAnsi="宋体" w:cs="宋体"/>
          <w:b/>
          <w:bCs/>
          <w:color w:val="auto"/>
          <w:sz w:val="32"/>
          <w:szCs w:val="32"/>
        </w:rPr>
      </w:pPr>
      <w:r>
        <w:rPr>
          <w:rFonts w:hint="eastAsia" w:ascii="宋体" w:hAnsi="宋体" w:cs="宋体"/>
          <w:b/>
          <w:bCs/>
          <w:color w:val="auto"/>
          <w:sz w:val="32"/>
          <w:szCs w:val="32"/>
        </w:rPr>
        <w:t>报价文件</w:t>
      </w:r>
    </w:p>
    <w:p>
      <w:pPr>
        <w:snapToGrid w:val="0"/>
        <w:spacing w:beforeLines="50" w:after="50" w:line="400" w:lineRule="exact"/>
        <w:rPr>
          <w:rFonts w:ascii="宋体" w:hAnsi="宋体" w:cs="宋体"/>
          <w:bCs/>
          <w:color w:val="auto"/>
          <w:sz w:val="24"/>
          <w:szCs w:val="20"/>
        </w:rPr>
      </w:pPr>
    </w:p>
    <w:p>
      <w:pPr>
        <w:snapToGrid w:val="0"/>
        <w:spacing w:beforeLines="50" w:after="50" w:line="400" w:lineRule="exact"/>
        <w:rPr>
          <w:rFonts w:ascii="宋体" w:hAnsi="宋体" w:cs="宋体"/>
          <w:bCs/>
          <w:color w:val="auto"/>
          <w:sz w:val="24"/>
          <w:szCs w:val="20"/>
        </w:rPr>
      </w:pPr>
    </w:p>
    <w:p>
      <w:pPr>
        <w:snapToGrid w:val="0"/>
        <w:spacing w:beforeLines="50" w:after="50" w:line="400" w:lineRule="exact"/>
        <w:rPr>
          <w:rFonts w:ascii="宋体" w:hAnsi="宋体" w:cs="宋体"/>
          <w:bCs/>
          <w:color w:val="auto"/>
          <w:sz w:val="24"/>
          <w:szCs w:val="20"/>
        </w:rPr>
      </w:pPr>
    </w:p>
    <w:p>
      <w:pPr>
        <w:snapToGrid w:val="0"/>
        <w:spacing w:beforeLines="50" w:after="50" w:line="400" w:lineRule="exact"/>
        <w:rPr>
          <w:rFonts w:ascii="宋体" w:hAnsi="宋体" w:cs="宋体"/>
          <w:bCs/>
          <w:color w:val="auto"/>
          <w:sz w:val="24"/>
          <w:szCs w:val="20"/>
        </w:rPr>
      </w:pPr>
    </w:p>
    <w:p>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项目名称： </w:t>
      </w:r>
    </w:p>
    <w:p>
      <w:pPr>
        <w:snapToGrid w:val="0"/>
        <w:spacing w:beforeLines="50" w:after="50" w:line="400" w:lineRule="exact"/>
        <w:ind w:firstLine="360" w:firstLineChars="150"/>
        <w:rPr>
          <w:rFonts w:ascii="宋体" w:hAnsi="宋体" w:cs="宋体"/>
          <w:bCs/>
          <w:color w:val="auto"/>
          <w:sz w:val="24"/>
        </w:rPr>
      </w:pPr>
    </w:p>
    <w:p>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项目编号： </w:t>
      </w:r>
    </w:p>
    <w:p>
      <w:pPr>
        <w:snapToGrid w:val="0"/>
        <w:spacing w:beforeLines="50" w:after="50" w:line="400" w:lineRule="exact"/>
        <w:ind w:firstLine="360" w:firstLineChars="150"/>
        <w:rPr>
          <w:rFonts w:ascii="宋体" w:hAnsi="宋体" w:cs="宋体"/>
          <w:bCs/>
          <w:color w:val="auto"/>
          <w:sz w:val="24"/>
        </w:rPr>
      </w:pPr>
    </w:p>
    <w:p>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所投分标（如有则填写，无分标时填写“无”或者留空）：</w:t>
      </w:r>
    </w:p>
    <w:p>
      <w:pPr>
        <w:snapToGrid w:val="0"/>
        <w:spacing w:beforeLines="50" w:after="50" w:line="400" w:lineRule="exact"/>
        <w:ind w:firstLine="360" w:firstLineChars="150"/>
        <w:rPr>
          <w:rFonts w:ascii="宋体" w:hAnsi="宋体" w:cs="宋体"/>
          <w:bCs/>
          <w:color w:val="auto"/>
          <w:sz w:val="24"/>
        </w:rPr>
      </w:pPr>
    </w:p>
    <w:p>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投标人名称：</w:t>
      </w:r>
    </w:p>
    <w:p>
      <w:pPr>
        <w:snapToGrid w:val="0"/>
        <w:spacing w:beforeLines="50" w:after="50" w:line="400" w:lineRule="exact"/>
        <w:ind w:firstLine="360" w:firstLineChars="150"/>
        <w:rPr>
          <w:rFonts w:ascii="宋体" w:hAnsi="宋体" w:cs="宋体"/>
          <w:bCs/>
          <w:color w:val="auto"/>
          <w:sz w:val="24"/>
        </w:rPr>
      </w:pPr>
    </w:p>
    <w:p>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投标人地址：</w:t>
      </w:r>
    </w:p>
    <w:p>
      <w:pPr>
        <w:snapToGrid w:val="0"/>
        <w:spacing w:before="50" w:after="50" w:line="400" w:lineRule="exact"/>
        <w:ind w:firstLine="960" w:firstLineChars="400"/>
        <w:rPr>
          <w:rFonts w:ascii="宋体" w:hAnsi="宋体" w:cs="宋体"/>
          <w:bCs/>
          <w:color w:val="auto"/>
          <w:sz w:val="24"/>
        </w:rPr>
      </w:pPr>
    </w:p>
    <w:p>
      <w:pPr>
        <w:snapToGrid w:val="0"/>
        <w:spacing w:beforeLines="50" w:after="50" w:line="400" w:lineRule="exact"/>
        <w:rPr>
          <w:rFonts w:ascii="宋体" w:hAnsi="宋体" w:cs="宋体"/>
          <w:color w:val="auto"/>
          <w:sz w:val="24"/>
        </w:rPr>
      </w:pPr>
      <w:r>
        <w:rPr>
          <w:rFonts w:hint="eastAsia" w:ascii="宋体" w:hAnsi="宋体" w:cs="宋体"/>
          <w:color w:val="auto"/>
          <w:sz w:val="24"/>
        </w:rPr>
        <w:t xml:space="preserve">                                      年   月   日</w:t>
      </w:r>
    </w:p>
    <w:p>
      <w:pPr>
        <w:snapToGrid w:val="0"/>
        <w:spacing w:beforeLines="50" w:after="50" w:line="360" w:lineRule="auto"/>
        <w:jc w:val="left"/>
        <w:rPr>
          <w:rFonts w:ascii="宋体" w:hAnsi="宋体" w:cs="宋体"/>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2.</w:t>
      </w:r>
      <w:r>
        <w:rPr>
          <w:rFonts w:hint="eastAsia" w:ascii="宋体" w:hAnsi="宋体" w:cs="宋体"/>
          <w:b/>
          <w:bCs/>
          <w:color w:val="auto"/>
          <w:sz w:val="28"/>
          <w:szCs w:val="28"/>
        </w:rPr>
        <w:t>报价文件目录</w:t>
      </w:r>
    </w:p>
    <w:p>
      <w:pPr>
        <w:snapToGrid w:val="0"/>
        <w:spacing w:before="50" w:afterLines="50" w:line="360" w:lineRule="auto"/>
        <w:jc w:val="left"/>
        <w:rPr>
          <w:rFonts w:ascii="宋体" w:hAnsi="宋体" w:cs="宋体"/>
          <w:b/>
          <w:color w:val="auto"/>
          <w:sz w:val="28"/>
          <w:szCs w:val="28"/>
        </w:rPr>
      </w:pPr>
      <w:r>
        <w:rPr>
          <w:rFonts w:hint="eastAsia" w:ascii="宋体" w:hAnsi="宋体" w:cs="宋体"/>
          <w:color w:val="auto"/>
          <w:sz w:val="28"/>
          <w:szCs w:val="28"/>
        </w:rPr>
        <w:t>根据招标文件规定及投标人提供的材料自行编写目录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pPr>
        <w:spacing w:line="360" w:lineRule="auto"/>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8"/>
          <w:szCs w:val="28"/>
        </w:rPr>
        <w:t>3.投标函的格式：</w:t>
      </w:r>
    </w:p>
    <w:p>
      <w:pPr>
        <w:spacing w:line="500" w:lineRule="exact"/>
        <w:jc w:val="center"/>
        <w:rPr>
          <w:rFonts w:ascii="宋体" w:hAnsi="宋体" w:cs="宋体"/>
          <w:b/>
          <w:bCs/>
          <w:color w:val="auto"/>
          <w:sz w:val="30"/>
          <w:szCs w:val="30"/>
        </w:rPr>
      </w:pPr>
      <w:r>
        <w:rPr>
          <w:rFonts w:hint="eastAsia" w:ascii="宋体" w:hAnsi="宋体" w:cs="宋体"/>
          <w:b/>
          <w:bCs/>
          <w:color w:val="auto"/>
          <w:sz w:val="30"/>
          <w:szCs w:val="30"/>
        </w:rPr>
        <w:t>投标函</w:t>
      </w:r>
    </w:p>
    <w:p>
      <w:pPr>
        <w:spacing w:line="440" w:lineRule="exact"/>
        <w:ind w:firstLine="420" w:firstLineChars="200"/>
        <w:rPr>
          <w:rFonts w:ascii="宋体" w:hAnsi="宋体" w:cs="宋体"/>
          <w:color w:val="auto"/>
          <w:szCs w:val="20"/>
        </w:rPr>
      </w:pPr>
    </w:p>
    <w:p>
      <w:pPr>
        <w:spacing w:line="440" w:lineRule="exact"/>
        <w:ind w:firstLine="420" w:firstLineChars="200"/>
        <w:rPr>
          <w:rFonts w:ascii="宋体" w:hAnsi="宋体" w:cs="宋体"/>
          <w:color w:val="auto"/>
          <w:szCs w:val="20"/>
        </w:rPr>
      </w:pPr>
      <w:r>
        <w:rPr>
          <w:rFonts w:hint="eastAsia" w:ascii="宋体" w:hAnsi="宋体" w:cs="宋体"/>
          <w:color w:val="auto"/>
          <w:szCs w:val="20"/>
        </w:rPr>
        <w:t>致：</w:t>
      </w:r>
      <w:bookmarkStart w:id="255" w:name="PO_3000001867_PM031_4"/>
      <w:r>
        <w:rPr>
          <w:rFonts w:hint="eastAsia" w:ascii="宋体" w:hAnsi="宋体" w:cs="宋体"/>
          <w:color w:val="auto"/>
          <w:szCs w:val="20"/>
          <w:u w:val="single"/>
        </w:rPr>
        <w:t>广西科联招标中心有限公司</w:t>
      </w:r>
      <w:bookmarkEnd w:id="255"/>
    </w:p>
    <w:p>
      <w:pPr>
        <w:spacing w:line="440" w:lineRule="exact"/>
        <w:ind w:firstLine="420" w:firstLineChars="200"/>
        <w:rPr>
          <w:rFonts w:ascii="宋体" w:hAnsi="宋体" w:cs="宋体"/>
          <w:color w:val="auto"/>
          <w:szCs w:val="20"/>
        </w:rPr>
      </w:pPr>
      <w:r>
        <w:rPr>
          <w:rFonts w:hint="eastAsia" w:ascii="宋体" w:hAnsi="宋体" w:cs="宋体"/>
          <w:color w:val="auto"/>
          <w:szCs w:val="20"/>
        </w:rPr>
        <w:t>我方已仔细阅读了贵方组织的</w:t>
      </w:r>
      <w:r>
        <w:rPr>
          <w:rFonts w:hint="eastAsia" w:ascii="宋体" w:hAnsi="宋体" w:cs="宋体"/>
          <w:i/>
          <w:iCs/>
          <w:color w:val="auto"/>
          <w:szCs w:val="20"/>
          <w:u w:val="single"/>
        </w:rPr>
        <w:t>（项目名称）</w:t>
      </w:r>
      <w:r>
        <w:rPr>
          <w:rFonts w:hint="eastAsia" w:ascii="宋体" w:hAnsi="宋体" w:cs="宋体"/>
          <w:color w:val="auto"/>
          <w:szCs w:val="20"/>
        </w:rPr>
        <w:t xml:space="preserve">项目（项目编号：        ）的招标文件的全部内容，授权(全权代表姓名) (职务、职称)为全权代表，现正式递交下述文件参加贵方组织的本次政府采购活动： </w:t>
      </w:r>
    </w:p>
    <w:p>
      <w:pPr>
        <w:spacing w:line="440" w:lineRule="exact"/>
        <w:ind w:firstLine="420" w:firstLineChars="200"/>
        <w:rPr>
          <w:rFonts w:ascii="宋体" w:hAnsi="宋体" w:cs="宋体"/>
          <w:color w:val="auto"/>
          <w:szCs w:val="20"/>
        </w:rPr>
      </w:pPr>
      <w:r>
        <w:rPr>
          <w:rFonts w:hint="eastAsia" w:ascii="宋体" w:hAnsi="宋体" w:cs="宋体"/>
          <w:color w:val="auto"/>
          <w:szCs w:val="20"/>
        </w:rPr>
        <w:t>一、报价文件电子版一份（包含按投标人须知前附表要求提交的全部文件）。</w:t>
      </w:r>
    </w:p>
    <w:p>
      <w:pPr>
        <w:spacing w:line="440" w:lineRule="exact"/>
        <w:ind w:firstLine="482"/>
        <w:rPr>
          <w:rFonts w:ascii="宋体" w:hAnsi="宋体" w:cs="宋体"/>
          <w:color w:val="auto"/>
          <w:szCs w:val="20"/>
        </w:rPr>
      </w:pPr>
      <w:r>
        <w:rPr>
          <w:rFonts w:hint="eastAsia" w:ascii="宋体" w:hAnsi="宋体" w:cs="宋体"/>
          <w:color w:val="auto"/>
          <w:szCs w:val="20"/>
        </w:rPr>
        <w:t>二、资格文件电子版一份（包含按投标人须知前附表要求提交的全部文件）。</w:t>
      </w:r>
    </w:p>
    <w:p>
      <w:pPr>
        <w:spacing w:line="440" w:lineRule="exact"/>
        <w:ind w:firstLine="482"/>
        <w:rPr>
          <w:rFonts w:ascii="宋体" w:hAnsi="宋体" w:cs="宋体"/>
          <w:color w:val="auto"/>
          <w:szCs w:val="20"/>
        </w:rPr>
      </w:pPr>
      <w:r>
        <w:rPr>
          <w:rFonts w:hint="eastAsia" w:ascii="宋体" w:hAnsi="宋体" w:cs="宋体"/>
          <w:color w:val="auto"/>
          <w:szCs w:val="20"/>
        </w:rPr>
        <w:t>三、技术文件电子版一份（包含按投标人须知前附表要求提交的全部文件）。</w:t>
      </w:r>
    </w:p>
    <w:p>
      <w:pPr>
        <w:spacing w:line="440" w:lineRule="exact"/>
        <w:ind w:firstLine="482"/>
        <w:rPr>
          <w:rFonts w:ascii="宋体" w:hAnsi="宋体" w:cs="宋体"/>
          <w:color w:val="auto"/>
          <w:szCs w:val="20"/>
        </w:rPr>
      </w:pPr>
      <w:r>
        <w:rPr>
          <w:rFonts w:hint="eastAsia" w:ascii="宋体" w:hAnsi="宋体" w:cs="宋体"/>
          <w:color w:val="auto"/>
          <w:szCs w:val="20"/>
        </w:rPr>
        <w:t>四、商务文件电子版一份（包含按投标人须知前附表要求提交的全部文件）。</w:t>
      </w:r>
    </w:p>
    <w:p>
      <w:pPr>
        <w:spacing w:line="440" w:lineRule="exact"/>
        <w:ind w:firstLine="482"/>
        <w:rPr>
          <w:rFonts w:ascii="宋体" w:hAnsi="宋体" w:cs="宋体"/>
          <w:color w:val="auto"/>
          <w:szCs w:val="20"/>
        </w:rPr>
      </w:pPr>
      <w:r>
        <w:rPr>
          <w:rFonts w:hint="eastAsia" w:ascii="宋体" w:hAnsi="宋体" w:cs="宋体"/>
          <w:color w:val="auto"/>
          <w:szCs w:val="20"/>
        </w:rPr>
        <w:t>据此函，我方兹宣布：</w:t>
      </w:r>
    </w:p>
    <w:p>
      <w:pPr>
        <w:spacing w:line="360" w:lineRule="exact"/>
        <w:ind w:firstLine="420" w:firstLineChars="200"/>
        <w:rPr>
          <w:rFonts w:ascii="宋体" w:hAnsi="宋体" w:cs="宋体"/>
          <w:color w:val="auto"/>
          <w:szCs w:val="20"/>
          <w:u w:val="single"/>
        </w:rPr>
      </w:pPr>
      <w:r>
        <w:rPr>
          <w:rFonts w:hint="eastAsia" w:ascii="宋体" w:hAnsi="宋体" w:cs="宋体"/>
          <w:color w:val="auto"/>
          <w:szCs w:val="20"/>
        </w:rPr>
        <w:t>1、我方愿意以投标时提供的开标一览表中的投标总报价，在承诺的</w:t>
      </w:r>
      <w:r>
        <w:rPr>
          <w:rFonts w:hint="eastAsia" w:ascii="宋体" w:hAnsi="宋体" w:cs="宋体"/>
          <w:color w:val="auto"/>
          <w:szCs w:val="20"/>
          <w:lang w:eastAsia="zh-CN"/>
        </w:rPr>
        <w:t>交货时间</w:t>
      </w:r>
      <w:r>
        <w:rPr>
          <w:rFonts w:hint="eastAsia" w:ascii="宋体" w:hAnsi="宋体" w:cs="宋体"/>
          <w:color w:val="auto"/>
          <w:szCs w:val="20"/>
        </w:rPr>
        <w:t>内提供本项目招标文件“第二章  采购需求”的“需求一览表”中的相应的采购内容，具体详见开标一览表</w:t>
      </w:r>
    </w:p>
    <w:p>
      <w:pPr>
        <w:spacing w:line="360" w:lineRule="exact"/>
        <w:ind w:firstLine="420" w:firstLineChars="200"/>
        <w:rPr>
          <w:rFonts w:ascii="宋体" w:hAnsi="宋体" w:cs="宋体"/>
          <w:color w:val="auto"/>
          <w:szCs w:val="20"/>
          <w:u w:val="single"/>
        </w:rPr>
      </w:pPr>
      <w:r>
        <w:rPr>
          <w:rFonts w:hint="eastAsia" w:ascii="宋体" w:hAnsi="宋体" w:cs="宋体"/>
          <w:color w:val="auto"/>
          <w:szCs w:val="20"/>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pPr>
        <w:spacing w:line="360" w:lineRule="exact"/>
        <w:ind w:firstLine="420" w:firstLineChars="200"/>
        <w:rPr>
          <w:rFonts w:ascii="宋体" w:hAnsi="宋体" w:cs="宋体"/>
          <w:color w:val="auto"/>
          <w:szCs w:val="20"/>
          <w:u w:val="single"/>
        </w:rPr>
      </w:pPr>
      <w:r>
        <w:rPr>
          <w:rFonts w:hint="eastAsia" w:ascii="宋体" w:hAnsi="宋体" w:cs="宋体"/>
          <w:color w:val="auto"/>
          <w:szCs w:val="20"/>
        </w:rPr>
        <w:t>3、我方所递交的投标文件及有关资料都是内容完整、真实和准确的。</w:t>
      </w:r>
    </w:p>
    <w:p>
      <w:pPr>
        <w:spacing w:line="440" w:lineRule="exact"/>
        <w:ind w:firstLine="482"/>
        <w:rPr>
          <w:rFonts w:ascii="宋体" w:hAnsi="宋体" w:cs="宋体"/>
          <w:color w:val="auto"/>
          <w:szCs w:val="20"/>
        </w:rPr>
      </w:pPr>
      <w:r>
        <w:rPr>
          <w:rFonts w:hint="eastAsia" w:ascii="宋体" w:hAnsi="宋体" w:cs="宋体"/>
          <w:color w:val="auto"/>
          <w:szCs w:val="20"/>
        </w:rPr>
        <w:t>4、</w:t>
      </w:r>
      <w:r>
        <w:rPr>
          <w:rFonts w:hint="eastAsia" w:ascii="宋体" w:hAnsi="宋体" w:cs="宋体"/>
          <w:color w:val="auto"/>
          <w:szCs w:val="21"/>
        </w:rPr>
        <w:t>如本项目采购内容涉及须符合国家强制规定的，我方承诺我方本次投标（包括资格条件和所投产品）均符合国家有关强制规定。</w:t>
      </w:r>
    </w:p>
    <w:p>
      <w:pPr>
        <w:spacing w:line="440" w:lineRule="exact"/>
        <w:ind w:firstLine="420" w:firstLineChars="200"/>
        <w:rPr>
          <w:rFonts w:ascii="宋体" w:hAnsi="宋体" w:cs="宋体"/>
          <w:color w:val="auto"/>
          <w:szCs w:val="20"/>
        </w:rPr>
      </w:pPr>
      <w:r>
        <w:rPr>
          <w:rFonts w:hint="eastAsia" w:ascii="宋体" w:hAnsi="宋体" w:cs="宋体"/>
          <w:color w:val="auto"/>
          <w:szCs w:val="20"/>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spacing w:line="440" w:lineRule="exact"/>
        <w:ind w:firstLine="420" w:firstLineChars="200"/>
        <w:rPr>
          <w:rFonts w:ascii="宋体" w:hAnsi="宋体" w:cs="宋体"/>
          <w:color w:val="auto"/>
          <w:szCs w:val="20"/>
        </w:rPr>
      </w:pPr>
      <w:r>
        <w:rPr>
          <w:rFonts w:hint="eastAsia" w:ascii="宋体" w:hAnsi="宋体" w:cs="宋体"/>
          <w:color w:val="auto"/>
          <w:szCs w:val="20"/>
        </w:rPr>
        <w:t>6、我方已详细审核招标文件，我方知道必须放弃提出含糊不清或误解问题的权利。</w:t>
      </w:r>
    </w:p>
    <w:p>
      <w:pPr>
        <w:spacing w:line="440" w:lineRule="exact"/>
        <w:ind w:firstLine="420" w:firstLineChars="200"/>
        <w:rPr>
          <w:rFonts w:ascii="宋体" w:hAnsi="宋体" w:cs="宋体"/>
          <w:color w:val="auto"/>
          <w:szCs w:val="20"/>
        </w:rPr>
      </w:pPr>
      <w:r>
        <w:rPr>
          <w:rFonts w:hint="eastAsia" w:ascii="宋体" w:hAnsi="宋体" w:cs="宋体"/>
          <w:color w:val="auto"/>
          <w:szCs w:val="20"/>
        </w:rPr>
        <w:t>7、我方同意应贵方要求提供与本投标有关的任何数据或资料。若贵方需要，我方愿意提供我方作出的一切承诺的证明材料。</w:t>
      </w:r>
    </w:p>
    <w:p>
      <w:pPr>
        <w:spacing w:line="440" w:lineRule="exact"/>
        <w:ind w:firstLine="420" w:firstLineChars="200"/>
        <w:rPr>
          <w:rFonts w:ascii="宋体" w:hAnsi="宋体" w:cs="宋体"/>
          <w:color w:val="auto"/>
          <w:szCs w:val="20"/>
        </w:rPr>
      </w:pPr>
      <w:r>
        <w:rPr>
          <w:rFonts w:hint="eastAsia" w:ascii="宋体" w:hAnsi="宋体" w:cs="宋体"/>
          <w:color w:val="auto"/>
          <w:szCs w:val="20"/>
        </w:rPr>
        <w:t>8、我方完全理解贵方不一定接受投标报价最低的投标人为中标人的行为。</w:t>
      </w:r>
    </w:p>
    <w:p>
      <w:pPr>
        <w:spacing w:line="440" w:lineRule="exact"/>
        <w:ind w:firstLine="420" w:firstLineChars="200"/>
        <w:rPr>
          <w:rFonts w:ascii="宋体" w:hAnsi="宋体" w:cs="宋体"/>
          <w:color w:val="auto"/>
          <w:szCs w:val="20"/>
        </w:rPr>
      </w:pPr>
      <w:r>
        <w:rPr>
          <w:rFonts w:hint="eastAsia" w:ascii="宋体" w:hAnsi="宋体" w:cs="宋体"/>
          <w:color w:val="auto"/>
          <w:szCs w:val="20"/>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
        </w:numPr>
        <w:spacing w:line="440" w:lineRule="exact"/>
        <w:rPr>
          <w:rFonts w:ascii="宋体" w:hAnsi="宋体" w:cs="宋体"/>
          <w:color w:val="auto"/>
          <w:szCs w:val="20"/>
        </w:rPr>
      </w:pPr>
      <w:r>
        <w:rPr>
          <w:rFonts w:hint="eastAsia" w:ascii="宋体" w:hAnsi="宋体" w:cs="宋体"/>
          <w:color w:val="auto"/>
          <w:szCs w:val="20"/>
        </w:rPr>
        <w:t>提供虚假材料谋取中标、成交的。</w:t>
      </w:r>
    </w:p>
    <w:p>
      <w:pPr>
        <w:numPr>
          <w:ilvl w:val="0"/>
          <w:numId w:val="3"/>
        </w:numPr>
        <w:spacing w:line="440" w:lineRule="exact"/>
        <w:rPr>
          <w:rFonts w:ascii="宋体" w:hAnsi="宋体" w:cs="宋体"/>
          <w:color w:val="auto"/>
          <w:szCs w:val="20"/>
        </w:rPr>
      </w:pPr>
      <w:r>
        <w:rPr>
          <w:rFonts w:hint="eastAsia" w:ascii="宋体" w:hAnsi="宋体" w:cs="宋体"/>
          <w:color w:val="auto"/>
          <w:szCs w:val="20"/>
        </w:rPr>
        <w:t>采取不正当手段诋毁、排挤其他供应商的。</w:t>
      </w:r>
    </w:p>
    <w:p>
      <w:pPr>
        <w:numPr>
          <w:ilvl w:val="0"/>
          <w:numId w:val="3"/>
        </w:numPr>
        <w:spacing w:line="440" w:lineRule="exact"/>
        <w:rPr>
          <w:rFonts w:ascii="宋体" w:hAnsi="宋体" w:cs="宋体"/>
          <w:color w:val="auto"/>
          <w:szCs w:val="20"/>
        </w:rPr>
      </w:pPr>
      <w:r>
        <w:rPr>
          <w:rFonts w:hint="eastAsia" w:ascii="宋体" w:hAnsi="宋体" w:cs="宋体"/>
          <w:color w:val="auto"/>
          <w:szCs w:val="20"/>
        </w:rPr>
        <w:t>与采购人、其他供应商或者采购代理机构恶意串通的。</w:t>
      </w:r>
    </w:p>
    <w:p>
      <w:pPr>
        <w:numPr>
          <w:ilvl w:val="0"/>
          <w:numId w:val="3"/>
        </w:numPr>
        <w:spacing w:line="440" w:lineRule="exact"/>
        <w:rPr>
          <w:rFonts w:ascii="宋体" w:hAnsi="宋体" w:cs="宋体"/>
          <w:color w:val="auto"/>
          <w:szCs w:val="20"/>
        </w:rPr>
      </w:pPr>
      <w:r>
        <w:rPr>
          <w:rFonts w:hint="eastAsia" w:ascii="宋体" w:hAnsi="宋体" w:cs="宋体"/>
          <w:color w:val="auto"/>
          <w:szCs w:val="20"/>
        </w:rPr>
        <w:t>向采购人、采购代理机构行贿或者提供其他不正当利益的。</w:t>
      </w:r>
    </w:p>
    <w:p>
      <w:pPr>
        <w:numPr>
          <w:ilvl w:val="0"/>
          <w:numId w:val="3"/>
        </w:numPr>
        <w:spacing w:line="440" w:lineRule="exact"/>
        <w:rPr>
          <w:rFonts w:ascii="宋体" w:hAnsi="宋体" w:cs="宋体"/>
          <w:color w:val="auto"/>
          <w:szCs w:val="20"/>
        </w:rPr>
      </w:pPr>
      <w:r>
        <w:rPr>
          <w:rFonts w:hint="eastAsia" w:ascii="宋体" w:hAnsi="宋体" w:cs="宋体"/>
          <w:color w:val="auto"/>
          <w:szCs w:val="20"/>
        </w:rPr>
        <w:t>在招标采购过程中与采购人进行协商谈判的。</w:t>
      </w:r>
    </w:p>
    <w:p>
      <w:pPr>
        <w:numPr>
          <w:ilvl w:val="0"/>
          <w:numId w:val="3"/>
        </w:numPr>
        <w:spacing w:line="440" w:lineRule="exact"/>
        <w:rPr>
          <w:rFonts w:ascii="宋体" w:hAnsi="宋体" w:cs="宋体"/>
          <w:color w:val="auto"/>
          <w:szCs w:val="20"/>
        </w:rPr>
      </w:pPr>
      <w:r>
        <w:rPr>
          <w:rFonts w:hint="eastAsia" w:ascii="宋体" w:hAnsi="宋体" w:cs="宋体"/>
          <w:color w:val="auto"/>
          <w:szCs w:val="20"/>
        </w:rPr>
        <w:t>拒绝有关部门监督检查或提供虚假情况的。</w:t>
      </w:r>
    </w:p>
    <w:p>
      <w:pPr>
        <w:spacing w:line="360" w:lineRule="auto"/>
        <w:ind w:firstLine="420"/>
        <w:rPr>
          <w:rFonts w:hint="eastAsia" w:ascii="宋体" w:hAnsi="宋体" w:cs="宋体"/>
          <w:color w:val="auto"/>
          <w:szCs w:val="20"/>
        </w:rPr>
      </w:pPr>
      <w:r>
        <w:rPr>
          <w:rFonts w:hint="eastAsia" w:ascii="宋体" w:hAnsi="宋体" w:cs="宋体"/>
          <w:color w:val="auto"/>
          <w:szCs w:val="20"/>
        </w:rPr>
        <w:t>10、以上事项如有虚假或者隐瞒，我方愿意承担一切后果，并不再寻求任何旨在减轻或者免除法律责任的辩解。</w:t>
      </w:r>
    </w:p>
    <w:p>
      <w:pPr>
        <w:spacing w:line="360" w:lineRule="auto"/>
        <w:ind w:firstLine="420"/>
        <w:rPr>
          <w:rFonts w:ascii="宋体" w:hAnsi="宋体" w:cs="宋体"/>
          <w:color w:val="auto"/>
          <w:szCs w:val="20"/>
        </w:rPr>
      </w:pPr>
      <w:r>
        <w:rPr>
          <w:rFonts w:hint="eastAsia" w:ascii="宋体" w:hAnsi="宋体" w:cs="宋体"/>
          <w:color w:val="auto"/>
          <w:szCs w:val="20"/>
        </w:rPr>
        <w:t>11、与本投标有关的一切正式往来信函请寄：</w:t>
      </w:r>
    </w:p>
    <w:p>
      <w:pPr>
        <w:spacing w:line="360" w:lineRule="auto"/>
        <w:ind w:firstLine="420"/>
        <w:rPr>
          <w:rFonts w:ascii="宋体" w:hAnsi="宋体" w:cs="宋体"/>
          <w:color w:val="auto"/>
          <w:szCs w:val="20"/>
        </w:rPr>
      </w:pPr>
      <w:r>
        <w:rPr>
          <w:rFonts w:hint="eastAsia" w:ascii="宋体" w:hAnsi="宋体" w:cs="宋体"/>
          <w:color w:val="auto"/>
          <w:szCs w:val="20"/>
        </w:rPr>
        <w:t>地址：</w:t>
      </w:r>
    </w:p>
    <w:p>
      <w:pPr>
        <w:spacing w:line="360" w:lineRule="auto"/>
        <w:ind w:firstLine="420"/>
        <w:rPr>
          <w:rFonts w:ascii="宋体" w:hAnsi="宋体" w:cs="宋体"/>
          <w:color w:val="auto"/>
          <w:szCs w:val="20"/>
          <w:u w:val="single"/>
        </w:rPr>
      </w:pPr>
      <w:r>
        <w:rPr>
          <w:rFonts w:hint="eastAsia" w:ascii="宋体" w:hAnsi="宋体" w:cs="宋体"/>
          <w:color w:val="auto"/>
          <w:szCs w:val="20"/>
        </w:rPr>
        <w:t>电话：</w:t>
      </w:r>
      <w:r>
        <w:rPr>
          <w:rFonts w:hint="eastAsia" w:ascii="宋体" w:hAnsi="宋体" w:cs="宋体"/>
          <w:color w:val="auto"/>
          <w:szCs w:val="20"/>
          <w:u w:val="single"/>
        </w:rPr>
        <w:t xml:space="preserve">                                      　　　　　　　　</w:t>
      </w:r>
    </w:p>
    <w:p>
      <w:pPr>
        <w:spacing w:line="360" w:lineRule="auto"/>
        <w:ind w:firstLine="420"/>
        <w:rPr>
          <w:rFonts w:ascii="宋体" w:hAnsi="宋体" w:cs="宋体"/>
          <w:color w:val="auto"/>
          <w:szCs w:val="20"/>
          <w:u w:val="single"/>
        </w:rPr>
      </w:pPr>
      <w:r>
        <w:rPr>
          <w:rFonts w:hint="eastAsia" w:ascii="宋体" w:hAnsi="宋体" w:cs="宋体"/>
          <w:color w:val="auto"/>
          <w:szCs w:val="20"/>
        </w:rPr>
        <w:t>传真：</w:t>
      </w:r>
      <w:r>
        <w:rPr>
          <w:rFonts w:hint="eastAsia" w:ascii="宋体" w:hAnsi="宋体" w:cs="宋体"/>
          <w:color w:val="auto"/>
          <w:szCs w:val="20"/>
          <w:u w:val="single"/>
        </w:rPr>
        <w:t>　　　　　　　　　　　　　　　　　　　　　　　　　　　</w:t>
      </w:r>
    </w:p>
    <w:p>
      <w:pPr>
        <w:spacing w:line="360" w:lineRule="auto"/>
        <w:ind w:firstLine="420"/>
        <w:rPr>
          <w:rFonts w:ascii="宋体" w:hAnsi="宋体" w:cs="宋体"/>
          <w:color w:val="auto"/>
          <w:u w:val="single"/>
        </w:rPr>
      </w:pPr>
      <w:r>
        <w:rPr>
          <w:rFonts w:hint="eastAsia" w:ascii="宋体" w:hAnsi="宋体" w:cs="宋体"/>
          <w:color w:val="auto"/>
          <w:kern w:val="0"/>
          <w:sz w:val="20"/>
          <w:szCs w:val="21"/>
        </w:rPr>
        <w:t>电子邮箱：</w:t>
      </w:r>
      <w:r>
        <w:rPr>
          <w:rFonts w:hint="eastAsia" w:ascii="宋体" w:hAnsi="宋体" w:cs="宋体"/>
          <w:color w:val="auto"/>
          <w:kern w:val="0"/>
          <w:sz w:val="20"/>
          <w:szCs w:val="21"/>
          <w:u w:val="single"/>
        </w:rPr>
        <w:t>　　　　　　　　　　　　　　　　　　　　　　　　　　　</w:t>
      </w:r>
    </w:p>
    <w:p>
      <w:pPr>
        <w:spacing w:line="360" w:lineRule="auto"/>
        <w:ind w:firstLine="420"/>
        <w:rPr>
          <w:rFonts w:ascii="宋体" w:hAnsi="宋体" w:cs="宋体"/>
          <w:color w:val="auto"/>
          <w:szCs w:val="20"/>
          <w:u w:val="single"/>
        </w:rPr>
      </w:pPr>
      <w:r>
        <w:rPr>
          <w:rFonts w:hint="eastAsia" w:ascii="宋体" w:hAnsi="宋体" w:cs="宋体"/>
          <w:color w:val="auto"/>
          <w:szCs w:val="20"/>
        </w:rPr>
        <w:t>邮政编码：</w:t>
      </w:r>
      <w:r>
        <w:rPr>
          <w:rFonts w:hint="eastAsia" w:ascii="宋体" w:hAnsi="宋体" w:cs="宋体"/>
          <w:color w:val="auto"/>
          <w:kern w:val="0"/>
          <w:sz w:val="20"/>
          <w:szCs w:val="21"/>
          <w:u w:val="single"/>
        </w:rPr>
        <w:t>　　　　　　　　　　　　　　　　　　　　　　　　　　　</w:t>
      </w:r>
    </w:p>
    <w:p>
      <w:pPr>
        <w:spacing w:line="360" w:lineRule="auto"/>
        <w:ind w:firstLine="420"/>
        <w:rPr>
          <w:rFonts w:ascii="宋体" w:hAnsi="宋体" w:cs="宋体"/>
          <w:color w:val="auto"/>
          <w:szCs w:val="20"/>
          <w:u w:val="single"/>
        </w:rPr>
      </w:pPr>
      <w:r>
        <w:rPr>
          <w:rFonts w:hint="eastAsia" w:ascii="宋体" w:hAnsi="宋体" w:cs="宋体"/>
          <w:color w:val="auto"/>
          <w:szCs w:val="20"/>
        </w:rPr>
        <w:t>开户名称：</w:t>
      </w:r>
      <w:r>
        <w:rPr>
          <w:rFonts w:hint="eastAsia" w:ascii="宋体" w:hAnsi="宋体" w:cs="宋体"/>
          <w:color w:val="auto"/>
          <w:kern w:val="0"/>
          <w:sz w:val="20"/>
          <w:szCs w:val="21"/>
          <w:u w:val="single"/>
        </w:rPr>
        <w:t>　　　　　　　　　　　　　　　　　　　　　　　　　　　</w:t>
      </w:r>
    </w:p>
    <w:p>
      <w:pPr>
        <w:spacing w:line="360" w:lineRule="auto"/>
        <w:ind w:firstLine="420"/>
        <w:rPr>
          <w:rFonts w:ascii="宋体" w:hAnsi="宋体" w:cs="宋体"/>
          <w:color w:val="auto"/>
          <w:szCs w:val="20"/>
          <w:u w:val="single"/>
        </w:rPr>
      </w:pPr>
      <w:r>
        <w:rPr>
          <w:rFonts w:hint="eastAsia" w:ascii="宋体" w:hAnsi="宋体" w:cs="宋体"/>
          <w:color w:val="auto"/>
          <w:szCs w:val="20"/>
        </w:rPr>
        <w:t>开户银行：</w:t>
      </w:r>
      <w:r>
        <w:rPr>
          <w:rFonts w:hint="eastAsia" w:ascii="宋体" w:hAnsi="宋体" w:cs="宋体"/>
          <w:color w:val="auto"/>
          <w:kern w:val="0"/>
          <w:sz w:val="20"/>
          <w:szCs w:val="21"/>
          <w:u w:val="single"/>
        </w:rPr>
        <w:t>　　　　　　　　　　　　　　　　　　　　　　　　　　　</w:t>
      </w:r>
    </w:p>
    <w:p>
      <w:pPr>
        <w:spacing w:line="360" w:lineRule="auto"/>
        <w:ind w:firstLine="420"/>
        <w:rPr>
          <w:rFonts w:ascii="宋体" w:hAnsi="宋体" w:cs="宋体"/>
          <w:color w:val="auto"/>
          <w:szCs w:val="20"/>
          <w:u w:val="single"/>
        </w:rPr>
      </w:pPr>
      <w:r>
        <w:rPr>
          <w:rFonts w:hint="eastAsia" w:ascii="宋体" w:hAnsi="宋体" w:cs="宋体"/>
          <w:color w:val="auto"/>
          <w:szCs w:val="20"/>
        </w:rPr>
        <w:t>银行账号：</w:t>
      </w:r>
      <w:r>
        <w:rPr>
          <w:rFonts w:hint="eastAsia" w:ascii="宋体" w:hAnsi="宋体" w:cs="宋体"/>
          <w:color w:val="auto"/>
          <w:kern w:val="0"/>
          <w:sz w:val="20"/>
          <w:szCs w:val="21"/>
          <w:u w:val="single"/>
        </w:rPr>
        <w:t>　　　　　　　　　　　　　　　　　　　　　　　　　　　</w:t>
      </w:r>
    </w:p>
    <w:p>
      <w:pPr>
        <w:snapToGrid w:val="0"/>
        <w:spacing w:line="360" w:lineRule="auto"/>
        <w:ind w:firstLine="5040" w:firstLineChars="2100"/>
        <w:rPr>
          <w:rFonts w:ascii="宋体" w:hAnsi="宋体" w:cs="宋体"/>
          <w:color w:val="auto"/>
          <w:kern w:val="0"/>
          <w:sz w:val="24"/>
          <w:lang w:val="zh-CN"/>
        </w:rPr>
      </w:pPr>
    </w:p>
    <w:p>
      <w:pPr>
        <w:snapToGrid w:val="0"/>
        <w:spacing w:line="360" w:lineRule="auto"/>
        <w:ind w:firstLine="5040" w:firstLineChars="2100"/>
        <w:rPr>
          <w:rFonts w:ascii="宋体" w:hAnsi="宋体" w:cs="宋体"/>
          <w:color w:val="auto"/>
          <w:kern w:val="0"/>
          <w:sz w:val="24"/>
          <w:lang w:val="zh-CN"/>
        </w:rPr>
      </w:pPr>
    </w:p>
    <w:p>
      <w:pPr>
        <w:snapToGrid w:val="0"/>
        <w:spacing w:line="360" w:lineRule="auto"/>
        <w:ind w:firstLine="4410" w:firstLineChars="2100"/>
        <w:rPr>
          <w:rFonts w:ascii="宋体" w:hAnsi="宋体" w:cs="宋体"/>
          <w:color w:val="auto"/>
          <w:kern w:val="0"/>
          <w:szCs w:val="21"/>
        </w:rPr>
      </w:pPr>
      <w:r>
        <w:rPr>
          <w:rFonts w:hint="eastAsia" w:ascii="宋体" w:hAnsi="宋体" w:cs="宋体"/>
          <w:color w:val="auto"/>
          <w:kern w:val="0"/>
          <w:szCs w:val="21"/>
          <w:lang w:val="zh-CN"/>
        </w:rPr>
        <w:t>投标人名称(盖公章)：</w:t>
      </w:r>
    </w:p>
    <w:p>
      <w:pPr>
        <w:snapToGrid w:val="0"/>
        <w:spacing w:line="360" w:lineRule="auto"/>
        <w:ind w:firstLine="4515" w:firstLineChars="2150"/>
        <w:rPr>
          <w:rFonts w:ascii="宋体" w:hAnsi="宋体" w:cs="宋体"/>
          <w:color w:val="auto"/>
          <w:kern w:val="0"/>
          <w:sz w:val="24"/>
          <w:lang w:val="zh-CN"/>
        </w:rPr>
      </w:pPr>
      <w:r>
        <w:rPr>
          <w:rFonts w:hint="eastAsia" w:ascii="宋体" w:hAnsi="宋体" w:cs="宋体"/>
          <w:color w:val="auto"/>
          <w:kern w:val="0"/>
          <w:szCs w:val="21"/>
          <w:lang w:val="zh-CN"/>
        </w:rPr>
        <w:t>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val="zh-CN"/>
        </w:rPr>
        <w:t>日</w:t>
      </w:r>
    </w:p>
    <w:p>
      <w:pPr>
        <w:spacing w:line="360" w:lineRule="auto"/>
        <w:jc w:val="left"/>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4. 开标一览表的格式：</w:t>
      </w:r>
    </w:p>
    <w:p>
      <w:pPr>
        <w:spacing w:line="360" w:lineRule="auto"/>
        <w:jc w:val="center"/>
        <w:rPr>
          <w:rFonts w:ascii="宋体" w:hAnsi="宋体" w:cs="宋体"/>
          <w:b/>
          <w:color w:val="auto"/>
          <w:sz w:val="30"/>
          <w:szCs w:val="30"/>
        </w:rPr>
      </w:pPr>
      <w:r>
        <w:rPr>
          <w:rFonts w:hint="eastAsia" w:ascii="宋体" w:hAnsi="宋体" w:cs="宋体"/>
          <w:b/>
          <w:color w:val="auto"/>
          <w:sz w:val="30"/>
          <w:szCs w:val="30"/>
        </w:rPr>
        <w:t>开标一览表</w:t>
      </w:r>
      <w:r>
        <w:rPr>
          <w:rFonts w:hint="eastAsia" w:ascii="宋体" w:hAnsi="宋体" w:cs="宋体"/>
          <w:b/>
          <w:color w:val="auto"/>
          <w:kern w:val="0"/>
          <w:sz w:val="24"/>
          <w:szCs w:val="20"/>
          <w:lang w:val="zh-CN"/>
        </w:rPr>
        <w:t>(单位均为人民币元)</w:t>
      </w:r>
    </w:p>
    <w:p>
      <w:pPr>
        <w:snapToGrid w:val="0"/>
        <w:spacing w:before="50" w:after="50" w:line="480" w:lineRule="auto"/>
        <w:rPr>
          <w:rFonts w:ascii="宋体" w:hAnsi="宋体" w:cs="宋体"/>
          <w:color w:val="auto"/>
          <w:sz w:val="24"/>
        </w:rPr>
      </w:pPr>
      <w:r>
        <w:rPr>
          <w:rFonts w:hint="eastAsia" w:ascii="宋体" w:hAnsi="宋体" w:cs="宋体"/>
          <w:color w:val="auto"/>
          <w:sz w:val="24"/>
        </w:rPr>
        <w:t>项目名称：</w:t>
      </w:r>
    </w:p>
    <w:p>
      <w:pPr>
        <w:snapToGrid w:val="0"/>
        <w:spacing w:before="50" w:after="50" w:line="480" w:lineRule="auto"/>
        <w:rPr>
          <w:rFonts w:ascii="宋体" w:hAnsi="宋体" w:cs="宋体"/>
          <w:color w:val="auto"/>
          <w:sz w:val="24"/>
          <w:u w:val="single"/>
        </w:rPr>
      </w:pPr>
      <w:r>
        <w:rPr>
          <w:rFonts w:hint="eastAsia" w:ascii="宋体" w:hAnsi="宋体" w:cs="宋体"/>
          <w:color w:val="auto"/>
          <w:sz w:val="24"/>
        </w:rPr>
        <w:t>项目编号：</w:t>
      </w:r>
      <w:bookmarkStart w:id="256" w:name="PO_3000001867_PM001_7"/>
      <w:bookmarkEnd w:id="256"/>
    </w:p>
    <w:p>
      <w:pPr>
        <w:spacing w:line="360" w:lineRule="auto"/>
        <w:rPr>
          <w:rFonts w:ascii="宋体" w:hAnsi="宋体" w:cs="宋体"/>
          <w:b/>
          <w:color w:val="auto"/>
          <w:sz w:val="32"/>
          <w:szCs w:val="20"/>
        </w:rPr>
      </w:pPr>
      <w:r>
        <w:rPr>
          <w:rFonts w:hint="eastAsia" w:ascii="宋体" w:hAnsi="宋体" w:cs="宋体"/>
          <w:bCs/>
          <w:color w:val="auto"/>
          <w:sz w:val="24"/>
          <w:szCs w:val="18"/>
        </w:rPr>
        <w:t>所投分标（如有则填写，无分标时填写“无”或者留空）：</w:t>
      </w:r>
    </w:p>
    <w:tbl>
      <w:tblPr>
        <w:tblStyle w:val="24"/>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027"/>
        <w:gridCol w:w="1032"/>
        <w:gridCol w:w="739"/>
        <w:gridCol w:w="753"/>
        <w:gridCol w:w="1313"/>
        <w:gridCol w:w="201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r>
              <w:rPr>
                <w:rFonts w:hint="eastAsia" w:ascii="宋体" w:hAnsi="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r>
              <w:rPr>
                <w:rFonts w:hint="eastAsia" w:ascii="宋体" w:hAnsi="宋体" w:cs="宋体"/>
                <w:color w:val="auto"/>
                <w:szCs w:val="22"/>
              </w:rPr>
              <w:t>标的名称（如为医疗器械，应填写药监注册或备案名称）</w:t>
            </w:r>
          </w:p>
        </w:tc>
        <w:tc>
          <w:tcPr>
            <w:tcW w:w="102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2"/>
              </w:rPr>
            </w:pPr>
            <w:r>
              <w:rPr>
                <w:rFonts w:hint="eastAsia" w:ascii="宋体" w:hAnsi="宋体" w:cs="宋体"/>
                <w:color w:val="auto"/>
                <w:szCs w:val="22"/>
              </w:rPr>
              <w:t>规格型号</w:t>
            </w:r>
          </w:p>
        </w:tc>
        <w:tc>
          <w:tcPr>
            <w:tcW w:w="103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Cs w:val="22"/>
                <w:lang w:val="en-US" w:eastAsia="zh-CN"/>
              </w:rPr>
            </w:pPr>
            <w:r>
              <w:rPr>
                <w:rFonts w:hint="eastAsia" w:ascii="宋体" w:hAnsi="宋体" w:cs="宋体"/>
                <w:color w:val="auto"/>
                <w:szCs w:val="22"/>
              </w:rPr>
              <w:t>品牌（如有）</w:t>
            </w:r>
            <w:r>
              <w:rPr>
                <w:rFonts w:hint="eastAsia" w:ascii="宋体" w:hAnsi="宋体" w:cs="宋体"/>
                <w:color w:val="auto"/>
                <w:szCs w:val="22"/>
                <w:lang w:val="en-US" w:eastAsia="zh-CN"/>
              </w:rPr>
              <w:t>及制造商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2"/>
              </w:rPr>
            </w:pPr>
            <w:r>
              <w:rPr>
                <w:rFonts w:hint="eastAsia" w:ascii="宋体" w:hAnsi="宋体" w:cs="宋体"/>
                <w:color w:val="auto"/>
                <w:szCs w:val="22"/>
              </w:rPr>
              <w:t>单位</w:t>
            </w:r>
          </w:p>
        </w:tc>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2"/>
              </w:rPr>
            </w:pPr>
            <w:r>
              <w:rPr>
                <w:rFonts w:hint="eastAsia" w:ascii="宋体" w:hAnsi="宋体" w:cs="宋体"/>
                <w:color w:val="auto"/>
                <w:szCs w:val="22"/>
              </w:rPr>
              <w:t>数量①</w:t>
            </w:r>
          </w:p>
        </w:tc>
        <w:tc>
          <w:tcPr>
            <w:tcW w:w="13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2"/>
              </w:rPr>
            </w:pPr>
            <w:r>
              <w:rPr>
                <w:rFonts w:hint="eastAsia" w:ascii="宋体" w:hAnsi="宋体" w:cs="宋体"/>
                <w:color w:val="auto"/>
                <w:szCs w:val="22"/>
              </w:rPr>
              <w:t>单价(元)</w:t>
            </w:r>
          </w:p>
          <w:p>
            <w:pPr>
              <w:jc w:val="center"/>
              <w:rPr>
                <w:rFonts w:ascii="宋体" w:hAnsi="宋体" w:cs="宋体"/>
                <w:color w:val="auto"/>
                <w:szCs w:val="22"/>
              </w:rPr>
            </w:pPr>
            <w:r>
              <w:rPr>
                <w:rFonts w:hint="eastAsia" w:ascii="宋体" w:hAnsi="宋体" w:cs="宋体"/>
                <w:color w:val="auto"/>
                <w:szCs w:val="22"/>
              </w:rPr>
              <w:t>②</w:t>
            </w:r>
          </w:p>
        </w:tc>
        <w:tc>
          <w:tcPr>
            <w:tcW w:w="20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2"/>
              </w:rPr>
            </w:pPr>
            <w:r>
              <w:rPr>
                <w:rFonts w:hint="eastAsia" w:ascii="宋体" w:hAnsi="宋体" w:cs="宋体"/>
                <w:color w:val="auto"/>
                <w:szCs w:val="22"/>
              </w:rPr>
              <w:t>单项合计（元）</w:t>
            </w:r>
          </w:p>
          <w:p>
            <w:pPr>
              <w:jc w:val="center"/>
              <w:rPr>
                <w:rFonts w:ascii="宋体" w:hAnsi="宋体" w:cs="宋体"/>
                <w:color w:val="auto"/>
                <w:szCs w:val="22"/>
              </w:rPr>
            </w:pPr>
            <w:r>
              <w:rPr>
                <w:rFonts w:hint="eastAsia" w:ascii="宋体" w:hAnsi="宋体" w:cs="宋体"/>
                <w:color w:val="auto"/>
                <w:szCs w:val="22"/>
              </w:rPr>
              <w:t>③＝①×②</w:t>
            </w:r>
          </w:p>
        </w:tc>
        <w:tc>
          <w:tcPr>
            <w:tcW w:w="958"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2"/>
              </w:rPr>
            </w:pPr>
            <w:r>
              <w:rPr>
                <w:rFonts w:hint="eastAsia" w:ascii="宋体" w:hAnsi="宋体" w:cs="宋体"/>
                <w:color w:val="auto"/>
                <w:szCs w:val="22"/>
              </w:rPr>
              <w:t>1</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10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73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7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13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201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958"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2"/>
              </w:rPr>
            </w:pPr>
            <w:r>
              <w:rPr>
                <w:rFonts w:hint="eastAsia" w:ascii="宋体" w:hAnsi="宋体" w:cs="宋体"/>
                <w:color w:val="auto"/>
                <w:szCs w:val="22"/>
              </w:rPr>
              <w:t>2</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10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73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7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13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201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958"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2"/>
              </w:rPr>
            </w:pPr>
            <w:r>
              <w:rPr>
                <w:rFonts w:hint="eastAsia" w:ascii="宋体" w:hAnsi="宋体" w:cs="宋体"/>
                <w:color w:val="auto"/>
                <w:szCs w:val="22"/>
              </w:rPr>
              <w:t>...</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10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73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7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13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201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p>
        </w:tc>
        <w:tc>
          <w:tcPr>
            <w:tcW w:w="958" w:type="dxa"/>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13" w:type="dxa"/>
            <w:gridSpan w:val="9"/>
            <w:tcBorders>
              <w:top w:val="single" w:color="auto" w:sz="4" w:space="0"/>
              <w:left w:val="single" w:color="auto" w:sz="4" w:space="0"/>
              <w:bottom w:val="single" w:color="auto" w:sz="4" w:space="0"/>
              <w:right w:val="single" w:color="auto" w:sz="4" w:space="0"/>
            </w:tcBorders>
            <w:noWrap/>
          </w:tcPr>
          <w:p>
            <w:pPr>
              <w:rPr>
                <w:rFonts w:ascii="宋体" w:hAnsi="宋体" w:cs="宋体"/>
                <w:color w:val="auto"/>
                <w:szCs w:val="22"/>
              </w:rPr>
            </w:pPr>
            <w:r>
              <w:rPr>
                <w:rFonts w:hint="eastAsia" w:ascii="宋体" w:hAnsi="宋体" w:cs="宋体"/>
                <w:color w:val="auto"/>
                <w:szCs w:val="22"/>
              </w:rPr>
              <w:t xml:space="preserve">报价合计（包含税费等所有费用）：（大写）人民币 （小写）¥ </w:t>
            </w:r>
          </w:p>
          <w:p>
            <w:pPr>
              <w:ind w:firstLine="420" w:firstLineChars="200"/>
              <w:rPr>
                <w:rFonts w:ascii="宋体" w:hAnsi="宋体" w:cs="宋体"/>
                <w:color w:val="auto"/>
                <w:szCs w:val="22"/>
              </w:rPr>
            </w:pPr>
            <w:r>
              <w:rPr>
                <w:rFonts w:hint="eastAsia" w:ascii="宋体" w:hAnsi="宋体" w:cs="宋体"/>
                <w:color w:val="auto"/>
                <w:szCs w:val="21"/>
                <w:u w:val="single"/>
              </w:rPr>
              <w:t>投标货物中，属于优先采购节能产品总值为¥       （具体明细详见附表，附表格式自拟），占本投标报价的比例为    %。属于优先采购环境标志产品总值为¥       （具体明细详见附表，附表格式自拟），占本投标报价的比例为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13" w:type="dxa"/>
            <w:gridSpan w:val="9"/>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2"/>
              </w:rPr>
            </w:pPr>
            <w:r>
              <w:rPr>
                <w:rFonts w:hint="eastAsia" w:ascii="宋体" w:hAnsi="宋体" w:cs="宋体"/>
                <w:color w:val="auto"/>
                <w:szCs w:val="22"/>
                <w:lang w:eastAsia="zh-CN"/>
              </w:rPr>
              <w:t>交货时间</w:t>
            </w:r>
            <w:r>
              <w:rPr>
                <w:rFonts w:hint="eastAsia" w:ascii="宋体" w:hAnsi="宋体" w:cs="宋体"/>
                <w:color w:val="auto"/>
                <w:szCs w:val="22"/>
              </w:rPr>
              <w:t>：</w:t>
            </w:r>
          </w:p>
        </w:tc>
      </w:tr>
    </w:tbl>
    <w:p>
      <w:pPr>
        <w:snapToGrid w:val="0"/>
        <w:spacing w:before="50" w:after="50"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 xml:space="preserve">注： </w:t>
      </w:r>
    </w:p>
    <w:p>
      <w:pPr>
        <w:snapToGrid w:val="0"/>
        <w:spacing w:before="50" w:after="50"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 投标人需按本表格式填写，不得自行更改，如有多分标，按分标分别提供开标一览表，必须加盖投标人有效公章，</w:t>
      </w:r>
      <w:r>
        <w:rPr>
          <w:rFonts w:hint="eastAsia" w:ascii="宋体" w:hAnsi="宋体" w:cs="宋体"/>
          <w:b/>
          <w:color w:val="auto"/>
          <w:kern w:val="0"/>
          <w:szCs w:val="21"/>
          <w:lang w:val="zh-CN"/>
        </w:rPr>
        <w:t>否则其投标作无效标处理。</w:t>
      </w:r>
    </w:p>
    <w:p>
      <w:pPr>
        <w:snapToGrid w:val="0"/>
        <w:spacing w:before="50" w:after="50"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2、本表内容均不能涂改，</w:t>
      </w:r>
      <w:r>
        <w:rPr>
          <w:rFonts w:hint="eastAsia" w:ascii="宋体" w:hAnsi="宋体" w:cs="宋体"/>
          <w:b/>
          <w:color w:val="auto"/>
          <w:kern w:val="0"/>
          <w:szCs w:val="21"/>
          <w:lang w:val="zh-CN"/>
        </w:rPr>
        <w:t>否则其投标作无效标处理。</w:t>
      </w:r>
    </w:p>
    <w:p>
      <w:pPr>
        <w:snapToGrid w:val="0"/>
        <w:spacing w:before="50" w:after="50" w:line="360" w:lineRule="auto"/>
        <w:ind w:firstLine="420" w:firstLineChars="200"/>
        <w:jc w:val="left"/>
        <w:rPr>
          <w:rFonts w:ascii="宋体" w:hAnsi="宋体" w:cs="宋体"/>
          <w:b/>
          <w:color w:val="auto"/>
          <w:kern w:val="0"/>
          <w:szCs w:val="21"/>
          <w:lang w:val="zh-CN"/>
        </w:rPr>
      </w:pPr>
      <w:r>
        <w:rPr>
          <w:rFonts w:hint="eastAsia" w:ascii="宋体" w:hAnsi="宋体" w:cs="宋体"/>
          <w:color w:val="auto"/>
          <w:kern w:val="0"/>
          <w:szCs w:val="21"/>
          <w:lang w:val="zh-CN"/>
        </w:rPr>
        <w:t>3、如为联合体投标，“投标人名称”处必须列明联合体各方名称，并标注联合体牵头人名称，且盖章处须加盖联合体各方公章，</w:t>
      </w:r>
      <w:r>
        <w:rPr>
          <w:rFonts w:hint="eastAsia" w:ascii="宋体" w:hAnsi="宋体" w:cs="宋体"/>
          <w:b/>
          <w:color w:val="auto"/>
          <w:kern w:val="0"/>
          <w:szCs w:val="21"/>
          <w:lang w:val="zh-CN"/>
        </w:rPr>
        <w:t>否则其投标作无效标处理。</w:t>
      </w:r>
    </w:p>
    <w:p>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4、以上表格要求细分项目及报价，在“规格型号”一栏中，填写具体货物规格和型号，</w:t>
      </w:r>
      <w:r>
        <w:rPr>
          <w:rFonts w:hint="eastAsia" w:ascii="宋体" w:hAnsi="宋体" w:cs="宋体"/>
          <w:b/>
          <w:color w:val="auto"/>
          <w:kern w:val="0"/>
          <w:szCs w:val="21"/>
          <w:lang w:val="zh-CN"/>
        </w:rPr>
        <w:t>否则其投标作无效标处理。</w:t>
      </w:r>
    </w:p>
    <w:p>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5、特别提示：采购代理机构将对项目名称和项目编号，中标人名称、地址和中标金额，主要中标标的的名称、规格型号、数量、单价等予以公示。</w:t>
      </w:r>
    </w:p>
    <w:p>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rPr>
          <w:color w:val="auto"/>
          <w:lang w:val="zh-CN"/>
        </w:rPr>
      </w:pPr>
    </w:p>
    <w:p>
      <w:pPr>
        <w:snapToGrid w:val="0"/>
        <w:spacing w:line="360" w:lineRule="auto"/>
        <w:ind w:firstLine="5760" w:firstLineChars="2400"/>
        <w:rPr>
          <w:rFonts w:ascii="宋体" w:hAnsi="宋体" w:cs="宋体"/>
          <w:color w:val="auto"/>
          <w:kern w:val="0"/>
          <w:sz w:val="24"/>
        </w:rPr>
      </w:pPr>
      <w:r>
        <w:rPr>
          <w:rFonts w:hint="eastAsia" w:ascii="宋体" w:hAnsi="宋体" w:cs="宋体"/>
          <w:color w:val="auto"/>
          <w:kern w:val="0"/>
          <w:sz w:val="24"/>
          <w:lang w:val="zh-CN"/>
        </w:rPr>
        <w:t>投标人名称(盖公章)：</w:t>
      </w:r>
    </w:p>
    <w:p>
      <w:pPr>
        <w:snapToGrid w:val="0"/>
        <w:spacing w:line="360" w:lineRule="auto"/>
        <w:ind w:firstLine="5880" w:firstLineChars="2450"/>
        <w:rPr>
          <w:rFonts w:hint="eastAsia" w:ascii="宋体" w:hAnsi="宋体" w:cs="宋体"/>
          <w:color w:val="auto"/>
          <w:kern w:val="0"/>
          <w:sz w:val="24"/>
          <w:lang w:eastAsia="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eastAsia="zh-CN"/>
        </w:rPr>
        <w:t>年  月  日</w:t>
      </w:r>
    </w:p>
    <w:p>
      <w:pPr>
        <w:rPr>
          <w:rFonts w:hint="eastAsia" w:ascii="宋体" w:hAnsi="宋体" w:cs="宋体"/>
          <w:color w:val="auto"/>
          <w:kern w:val="0"/>
          <w:sz w:val="24"/>
          <w:lang w:eastAsia="zh-CN"/>
        </w:rPr>
      </w:pPr>
      <w:r>
        <w:rPr>
          <w:rFonts w:hint="eastAsia" w:ascii="宋体" w:hAnsi="宋体" w:cs="宋体"/>
          <w:color w:val="auto"/>
          <w:kern w:val="0"/>
          <w:sz w:val="24"/>
          <w:lang w:eastAsia="zh-CN"/>
        </w:rPr>
        <w:br w:type="page"/>
      </w:r>
    </w:p>
    <w:p>
      <w:pPr>
        <w:pStyle w:val="2"/>
        <w:rPr>
          <w:rFonts w:hint="eastAsia"/>
          <w:lang w:val="zh-CN" w:eastAsia="zh-CN"/>
        </w:rPr>
      </w:pPr>
      <w:r>
        <w:rPr>
          <w:rFonts w:hint="eastAsia" w:ascii="宋体" w:hAnsi="宋体" w:cs="宋体"/>
          <w:b/>
          <w:color w:val="auto"/>
          <w:sz w:val="28"/>
          <w:szCs w:val="28"/>
          <w:lang w:val="en-US" w:eastAsia="zh-CN"/>
        </w:rPr>
        <w:t>5</w:t>
      </w:r>
      <w:r>
        <w:rPr>
          <w:rFonts w:hint="eastAsia" w:ascii="宋体" w:hAnsi="宋体" w:cs="宋体"/>
          <w:b/>
          <w:color w:val="auto"/>
          <w:sz w:val="28"/>
          <w:szCs w:val="28"/>
        </w:rPr>
        <w:t>. 投标报价明细表的格式：</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30"/>
          <w:szCs w:val="30"/>
          <w:highlight w:val="none"/>
        </w:rPr>
      </w:pPr>
      <w:bookmarkStart w:id="257" w:name="_Toc19686840"/>
      <w:bookmarkStart w:id="258" w:name="_Toc24690"/>
      <w:bookmarkStart w:id="259" w:name="_Toc19036"/>
      <w:bookmarkStart w:id="260" w:name="_Toc12749"/>
      <w:bookmarkStart w:id="261" w:name="_Toc8131"/>
      <w:bookmarkStart w:id="262" w:name="_Toc26722"/>
      <w:r>
        <w:rPr>
          <w:rFonts w:hint="eastAsia" w:ascii="宋体" w:hAnsi="宋体" w:eastAsia="宋体" w:cs="宋体"/>
          <w:b/>
          <w:color w:val="auto"/>
          <w:sz w:val="30"/>
          <w:szCs w:val="30"/>
          <w:highlight w:val="none"/>
          <w:lang w:eastAsia="zh-CN"/>
        </w:rPr>
        <w:t>投标报价明细表</w:t>
      </w:r>
    </w:p>
    <w:p>
      <w:pPr>
        <w:keepNext w:val="0"/>
        <w:keepLines w:val="0"/>
        <w:pageBreakBefore w:val="0"/>
        <w:widowControl w:val="0"/>
        <w:kinsoku/>
        <w:overflowPunct/>
        <w:autoSpaceDE/>
        <w:autoSpaceDN/>
        <w:bidi w:val="0"/>
        <w:snapToGrid w:val="0"/>
        <w:spacing w:before="50" w:after="50"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overflowPunct/>
        <w:autoSpaceDE/>
        <w:autoSpaceDN/>
        <w:bidi w:val="0"/>
        <w:snapToGrid w:val="0"/>
        <w:spacing w:before="50" w:after="50"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（如有则填写，无分标时填写“无”或者留空）</w:t>
      </w:r>
    </w:p>
    <w:p>
      <w:pPr>
        <w:keepNext w:val="0"/>
        <w:keepLines w:val="0"/>
        <w:pageBreakBefore w:val="0"/>
        <w:widowControl w:val="0"/>
        <w:kinsoku/>
        <w:overflowPunct/>
        <w:autoSpaceDE/>
        <w:autoSpaceDN/>
        <w:bidi w:val="0"/>
        <w:snapToGrid w:val="0"/>
        <w:spacing w:before="50" w:after="50"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24"/>
        <w:tblW w:w="10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672"/>
        <w:gridCol w:w="851"/>
        <w:gridCol w:w="843"/>
        <w:gridCol w:w="348"/>
        <w:gridCol w:w="1132"/>
        <w:gridCol w:w="286"/>
        <w:gridCol w:w="848"/>
        <w:gridCol w:w="854"/>
        <w:gridCol w:w="541"/>
        <w:gridCol w:w="593"/>
        <w:gridCol w:w="281"/>
        <w:gridCol w:w="1135"/>
        <w:gridCol w:w="28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snapToGrid w:val="0"/>
              <w:spacing w:line="360" w:lineRule="exact"/>
              <w:jc w:val="center"/>
              <w:textAlignment w:val="auto"/>
              <w:rPr>
                <w:rFonts w:hint="eastAsia" w:ascii="宋体" w:hAnsi="宋体" w:eastAsia="宋体" w:cs="宋体"/>
                <w:snapToGrid w:val="0"/>
                <w:color w:val="auto"/>
                <w:kern w:val="0"/>
                <w:sz w:val="21"/>
                <w:szCs w:val="21"/>
                <w:highlight w:val="none"/>
                <w:lang w:val="zh-CN" w:eastAsia="zh-CN" w:bidi="ar-SA"/>
              </w:rPr>
            </w:pPr>
            <w:r>
              <w:rPr>
                <w:rFonts w:hint="eastAsia" w:ascii="宋体" w:hAnsi="宋体" w:eastAsia="宋体" w:cs="宋体"/>
                <w:color w:val="auto"/>
                <w:spacing w:val="-20"/>
                <w:kern w:val="0"/>
                <w:sz w:val="21"/>
                <w:szCs w:val="21"/>
                <w:highlight w:val="none"/>
                <w:lang w:val="zh-CN" w:eastAsia="zh-CN" w:bidi="ar-SA"/>
              </w:rPr>
              <w:t>序号</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p>
            <w:pPr>
              <w:keepNext w:val="0"/>
              <w:keepLines w:val="0"/>
              <w:pageBreakBefore w:val="0"/>
              <w:widowControl w:val="0"/>
              <w:kinsoku/>
              <w:wordWrap w:val="0"/>
              <w:overflowPunct/>
              <w:topLinePunct/>
              <w:autoSpaceDE/>
              <w:autoSpaceDN/>
              <w:bidi w:val="0"/>
              <w:spacing w:line="36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（如为医疗器械，应填写药监注册或备案名称）</w:t>
            </w:r>
          </w:p>
        </w:tc>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36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国别</w:t>
            </w:r>
          </w:p>
        </w:tc>
        <w:tc>
          <w:tcPr>
            <w:tcW w:w="14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36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生产厂家</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36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品牌（如有）及制造商</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autoSpaceDE/>
              <w:autoSpaceDN/>
              <w:bidi w:val="0"/>
              <w:spacing w:line="36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规格型号</w:t>
            </w: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snapToGrid w:val="0"/>
              <w:spacing w:line="360" w:lineRule="exact"/>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数量/单位</w:t>
            </w:r>
          </w:p>
          <w:p>
            <w:pPr>
              <w:keepNext w:val="0"/>
              <w:keepLines w:val="0"/>
              <w:pageBreakBefore w:val="0"/>
              <w:widowControl w:val="0"/>
              <w:kinsoku/>
              <w:wordWrap w:val="0"/>
              <w:overflowPunct/>
              <w:autoSpaceDE/>
              <w:autoSpaceDN/>
              <w:bidi w:val="0"/>
              <w:snapToGrid w:val="0"/>
              <w:spacing w:line="360" w:lineRule="exact"/>
              <w:jc w:val="center"/>
              <w:textAlignment w:val="auto"/>
              <w:rPr>
                <w:rFonts w:hint="eastAsia" w:ascii="宋体" w:hAnsi="宋体" w:eastAsia="宋体" w:cs="宋体"/>
                <w:snapToGrid w:val="0"/>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①</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snapToGrid w:val="0"/>
              <w:spacing w:line="360" w:lineRule="exact"/>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单价</w:t>
            </w:r>
          </w:p>
          <w:p>
            <w:pPr>
              <w:keepNext w:val="0"/>
              <w:keepLines w:val="0"/>
              <w:pageBreakBefore w:val="0"/>
              <w:widowControl w:val="0"/>
              <w:kinsoku/>
              <w:wordWrap w:val="0"/>
              <w:overflowPunct/>
              <w:autoSpaceDE/>
              <w:autoSpaceDN/>
              <w:bidi w:val="0"/>
              <w:snapToGrid w:val="0"/>
              <w:spacing w:line="360" w:lineRule="exact"/>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(元)</w:t>
            </w:r>
          </w:p>
          <w:p>
            <w:pPr>
              <w:keepNext w:val="0"/>
              <w:keepLines w:val="0"/>
              <w:pageBreakBefore w:val="0"/>
              <w:widowControl w:val="0"/>
              <w:kinsoku/>
              <w:wordWrap w:val="0"/>
              <w:overflowPunct/>
              <w:autoSpaceDE/>
              <w:autoSpaceDN/>
              <w:bidi w:val="0"/>
              <w:snapToGrid w:val="0"/>
              <w:spacing w:line="360" w:lineRule="exact"/>
              <w:jc w:val="center"/>
              <w:textAlignment w:val="auto"/>
              <w:rPr>
                <w:rFonts w:hint="eastAsia" w:ascii="宋体" w:hAnsi="宋体" w:eastAsia="宋体" w:cs="宋体"/>
                <w:snapToGrid w:val="0"/>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②</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snapToGrid w:val="0"/>
              <w:spacing w:line="360" w:lineRule="exact"/>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单项合价</w:t>
            </w:r>
          </w:p>
          <w:p>
            <w:pPr>
              <w:keepNext w:val="0"/>
              <w:keepLines w:val="0"/>
              <w:pageBreakBefore w:val="0"/>
              <w:widowControl w:val="0"/>
              <w:kinsoku/>
              <w:wordWrap w:val="0"/>
              <w:overflowPunct/>
              <w:autoSpaceDE/>
              <w:autoSpaceDN/>
              <w:bidi w:val="0"/>
              <w:snapToGrid w:val="0"/>
              <w:spacing w:line="360" w:lineRule="exact"/>
              <w:jc w:val="center"/>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（元）</w:t>
            </w:r>
          </w:p>
          <w:p>
            <w:pPr>
              <w:keepNext w:val="0"/>
              <w:keepLines w:val="0"/>
              <w:pageBreakBefore w:val="0"/>
              <w:widowControl w:val="0"/>
              <w:kinsoku/>
              <w:wordWrap w:val="0"/>
              <w:overflowPunct/>
              <w:autoSpaceDE/>
              <w:autoSpaceDN/>
              <w:bidi w:val="0"/>
              <w:snapToGrid w:val="0"/>
              <w:spacing w:line="360" w:lineRule="exact"/>
              <w:jc w:val="center"/>
              <w:textAlignment w:val="auto"/>
              <w:rPr>
                <w:rFonts w:hint="eastAsia" w:ascii="宋体" w:hAnsi="宋体" w:eastAsia="宋体" w:cs="宋体"/>
                <w:snapToGrid w:val="0"/>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8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39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8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39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8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39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8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39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8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39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0" w:type="dxa"/>
            <w:gridSpan w:val="1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报价费用及利润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637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运输费、安装调试费</w:t>
            </w:r>
          </w:p>
        </w:tc>
        <w:tc>
          <w:tcPr>
            <w:tcW w:w="8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637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标书工本费、代理费</w:t>
            </w:r>
          </w:p>
        </w:tc>
        <w:tc>
          <w:tcPr>
            <w:tcW w:w="8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3846"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税费及附加</w:t>
            </w:r>
          </w:p>
        </w:tc>
        <w:tc>
          <w:tcPr>
            <w:tcW w:w="252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税费率：</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w:t>
            </w:r>
          </w:p>
        </w:tc>
        <w:tc>
          <w:tcPr>
            <w:tcW w:w="8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3846"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项目毛利</w:t>
            </w:r>
          </w:p>
        </w:tc>
        <w:tc>
          <w:tcPr>
            <w:tcW w:w="252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毛利率：</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w:t>
            </w:r>
          </w:p>
        </w:tc>
        <w:tc>
          <w:tcPr>
            <w:tcW w:w="8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3846"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252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87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12" w:type="dxa"/>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报价合计</w:t>
            </w: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0" w:type="dxa"/>
            <w:gridSpan w:val="1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snapToGrid w:val="0"/>
                <w:color w:val="auto"/>
                <w:sz w:val="21"/>
                <w:szCs w:val="21"/>
                <w:highlight w:val="none"/>
              </w:rPr>
              <w:t>其他参考费用</w:t>
            </w:r>
            <w:r>
              <w:rPr>
                <w:rFonts w:hint="eastAsia" w:ascii="宋体" w:hAnsi="宋体" w:eastAsia="宋体" w:cs="宋体"/>
                <w:bCs/>
                <w:snapToGrid w:val="0"/>
                <w:color w:val="auto"/>
                <w:sz w:val="21"/>
                <w:szCs w:val="21"/>
                <w:highlight w:val="none"/>
              </w:rPr>
              <w:t>（下列报价不列入</w:t>
            </w:r>
            <w:r>
              <w:rPr>
                <w:rFonts w:hint="eastAsia" w:ascii="宋体" w:hAnsi="宋体" w:eastAsia="宋体" w:cs="宋体"/>
                <w:bCs/>
                <w:snapToGrid w:val="0"/>
                <w:color w:val="auto"/>
                <w:sz w:val="21"/>
                <w:szCs w:val="21"/>
                <w:highlight w:val="none"/>
                <w:lang w:val="en-US" w:eastAsia="zh-CN"/>
              </w:rPr>
              <w:t>投标报价</w:t>
            </w:r>
            <w:r>
              <w:rPr>
                <w:rFonts w:hint="eastAsia" w:ascii="宋体" w:hAnsi="宋体" w:eastAsia="宋体" w:cs="宋体"/>
                <w:bCs/>
                <w:snapToGrid w:val="0"/>
                <w:color w:val="auto"/>
                <w:sz w:val="21"/>
                <w:szCs w:val="21"/>
                <w:highlight w:val="none"/>
              </w:rPr>
              <w:t>总价内，但</w:t>
            </w:r>
            <w:r>
              <w:rPr>
                <w:rFonts w:hint="eastAsia" w:ascii="宋体" w:hAnsi="宋体" w:eastAsia="宋体" w:cs="宋体"/>
                <w:color w:val="auto"/>
                <w:sz w:val="21"/>
                <w:szCs w:val="21"/>
                <w:highlight w:val="none"/>
              </w:rPr>
              <w:t>应在制作本表时一并报出，可根据实际情况修改“分项”内容</w:t>
            </w:r>
            <w:r>
              <w:rPr>
                <w:rFonts w:hint="eastAsia" w:ascii="宋体" w:hAnsi="宋体" w:eastAsia="宋体" w:cs="宋体"/>
                <w:bCs/>
                <w:snapToGrid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分项</w:t>
            </w:r>
          </w:p>
        </w:tc>
        <w:tc>
          <w:tcPr>
            <w:tcW w:w="204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名称</w:t>
            </w: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规格型号</w:t>
            </w:r>
          </w:p>
        </w:tc>
        <w:tc>
          <w:tcPr>
            <w:tcW w:w="17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制造商</w:t>
            </w: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单价(元)</w:t>
            </w:r>
          </w:p>
        </w:tc>
        <w:tc>
          <w:tcPr>
            <w:tcW w:w="170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使用周期/寿命</w:t>
            </w:r>
          </w:p>
        </w:tc>
        <w:tc>
          <w:tcPr>
            <w:tcW w:w="11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color w:val="auto"/>
                <w:sz w:val="21"/>
                <w:szCs w:val="21"/>
                <w:highlight w:val="none"/>
              </w:rPr>
              <w:t>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专用耗材</w:t>
            </w:r>
          </w:p>
        </w:tc>
        <w:tc>
          <w:tcPr>
            <w:tcW w:w="204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7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70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204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7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70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bCs/>
                <w:snapToGrid w:val="0"/>
                <w:color w:val="auto"/>
                <w:sz w:val="21"/>
                <w:szCs w:val="21"/>
                <w:highlight w:val="none"/>
              </w:rPr>
              <w:t>常用易损件及配件</w:t>
            </w:r>
          </w:p>
        </w:tc>
        <w:tc>
          <w:tcPr>
            <w:tcW w:w="204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7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70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选配件</w:t>
            </w:r>
          </w:p>
        </w:tc>
        <w:tc>
          <w:tcPr>
            <w:tcW w:w="204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7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70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jc w:val="center"/>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p>
        </w:tc>
        <w:tc>
          <w:tcPr>
            <w:tcW w:w="204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7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70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8" w:type="dxa"/>
            <w:gridSpan w:val="1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snapToGrid w:val="0"/>
                <w:color w:val="auto"/>
                <w:sz w:val="21"/>
                <w:szCs w:val="21"/>
                <w:highlight w:val="none"/>
                <w:lang w:val="en-GB" w:eastAsia="zh-CN"/>
              </w:rPr>
              <w:t>维保</w:t>
            </w:r>
            <w:r>
              <w:rPr>
                <w:rFonts w:hint="eastAsia" w:ascii="宋体" w:hAnsi="宋体" w:eastAsia="宋体" w:cs="宋体"/>
                <w:snapToGrid w:val="0"/>
                <w:color w:val="auto"/>
                <w:sz w:val="21"/>
                <w:szCs w:val="21"/>
                <w:highlight w:val="none"/>
                <w:lang w:val="en-GB"/>
              </w:rPr>
              <w:t>期满后将要发生的必要服务项收费标准：</w:t>
            </w:r>
          </w:p>
        </w:tc>
        <w:tc>
          <w:tcPr>
            <w:tcW w:w="11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autoSpaceDE/>
              <w:autoSpaceDN/>
              <w:bidi w:val="0"/>
              <w:adjustRightInd w:val="0"/>
              <w:snapToGrid w:val="0"/>
              <w:spacing w:line="360" w:lineRule="exact"/>
              <w:textAlignment w:val="auto"/>
              <w:rPr>
                <w:rFonts w:hint="eastAsia" w:ascii="宋体" w:hAnsi="宋体" w:eastAsia="宋体" w:cs="宋体"/>
                <w:b/>
                <w:bCs/>
                <w:snapToGrid w:val="0"/>
                <w:color w:val="auto"/>
                <w:sz w:val="21"/>
                <w:szCs w:val="21"/>
                <w:highlight w:val="none"/>
              </w:rPr>
            </w:pPr>
          </w:p>
        </w:tc>
      </w:tr>
    </w:tbl>
    <w:p>
      <w:pPr>
        <w:keepNext w:val="0"/>
        <w:keepLines w:val="0"/>
        <w:pageBreakBefore w:val="0"/>
        <w:widowControl w:val="0"/>
        <w:kinsoku/>
        <w:overflowPunct/>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投标报价明细表</w:t>
      </w:r>
      <w:r>
        <w:rPr>
          <w:rFonts w:hint="eastAsia" w:ascii="宋体" w:hAnsi="宋体" w:eastAsia="宋体" w:cs="宋体"/>
          <w:color w:val="auto"/>
          <w:sz w:val="21"/>
          <w:szCs w:val="21"/>
          <w:highlight w:val="none"/>
        </w:rPr>
        <w:t>填写说明》见后文。</w:t>
      </w:r>
    </w:p>
    <w:p>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p>
    <w:p>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p>
    <w:p>
      <w:pPr>
        <w:autoSpaceDE w:val="0"/>
        <w:autoSpaceDN w:val="0"/>
        <w:spacing w:line="360" w:lineRule="auto"/>
        <w:ind w:firstLine="5670" w:firstLineChars="27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投标人名称(盖公章)：</w:t>
      </w:r>
    </w:p>
    <w:p>
      <w:pPr>
        <w:autoSpaceDE w:val="0"/>
        <w:autoSpaceDN w:val="0"/>
        <w:spacing w:line="360" w:lineRule="auto"/>
        <w:ind w:firstLine="5670" w:firstLineChars="27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pP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br w:type="page"/>
      </w:r>
    </w:p>
    <w:p>
      <w:pPr>
        <w:widowControl w:val="0"/>
        <w:snapToGrid w:val="0"/>
        <w:ind w:leftChars="-202" w:hanging="605" w:hangingChars="201"/>
        <w:jc w:val="center"/>
        <w:rPr>
          <w:rFonts w:hint="eastAsia" w:ascii="宋体" w:hAnsi="Courier New" w:eastAsia="宋体" w:cs="Times New Roman"/>
          <w:b/>
          <w:color w:val="auto"/>
          <w:spacing w:val="100"/>
          <w:kern w:val="0"/>
          <w:sz w:val="32"/>
          <w:szCs w:val="32"/>
          <w:highlight w:val="none"/>
          <w:lang w:val="zh-CN" w:eastAsia="zh-CN" w:bidi="ar-SA"/>
        </w:rPr>
      </w:pPr>
      <w:r>
        <w:rPr>
          <w:rFonts w:hint="eastAsia" w:ascii="宋体" w:hAnsi="宋体" w:eastAsia="宋体" w:cs="宋体"/>
          <w:b/>
          <w:color w:val="auto"/>
          <w:kern w:val="0"/>
          <w:sz w:val="30"/>
          <w:szCs w:val="30"/>
          <w:highlight w:val="none"/>
          <w:lang w:val="zh-CN" w:eastAsia="zh-CN" w:bidi="ar-SA"/>
        </w:rPr>
        <w:t>《投标报价明细表填写说明》</w:t>
      </w:r>
    </w:p>
    <w:p>
      <w:pPr>
        <w:widowControl w:val="0"/>
        <w:snapToGrid w:val="0"/>
        <w:ind w:leftChars="-202" w:hanging="404" w:hangingChars="201"/>
        <w:jc w:val="both"/>
        <w:rPr>
          <w:rFonts w:hint="eastAsia" w:ascii="宋体" w:hAnsi="Courier New" w:eastAsia="宋体" w:cs="Times New Roman"/>
          <w:b/>
          <w:color w:val="auto"/>
          <w:kern w:val="0"/>
          <w:sz w:val="20"/>
          <w:szCs w:val="21"/>
          <w:highlight w:val="none"/>
          <w:lang w:val="zh-CN" w:eastAsia="zh-CN" w:bidi="ar-SA"/>
        </w:rPr>
      </w:pPr>
    </w:p>
    <w:p>
      <w:pPr>
        <w:keepNext w:val="0"/>
        <w:keepLines w:val="0"/>
        <w:pageBreakBefore w:val="0"/>
        <w:widowControl w:val="0"/>
        <w:kinsoku/>
        <w:wordWrap/>
        <w:overflowPunct/>
        <w:topLinePunct w:val="0"/>
        <w:autoSpaceDE/>
        <w:autoSpaceDN/>
        <w:bidi w:val="0"/>
        <w:adjustRightInd/>
        <w:snapToGrid w:val="0"/>
        <w:spacing w:line="500" w:lineRule="exact"/>
        <w:ind w:left="-202"/>
        <w:jc w:val="both"/>
        <w:textAlignment w:val="auto"/>
        <w:rPr>
          <w:rFonts w:hint="eastAsia" w:ascii="宋体" w:hAnsi="宋体" w:eastAsia="宋体" w:cs="Times New Roman"/>
          <w:color w:val="auto"/>
          <w:kern w:val="0"/>
          <w:sz w:val="21"/>
          <w:szCs w:val="21"/>
          <w:highlight w:val="none"/>
          <w:lang w:val="zh-CN" w:eastAsia="zh-CN" w:bidi="ar-SA"/>
        </w:rPr>
      </w:pPr>
      <w:r>
        <w:rPr>
          <w:rFonts w:hint="eastAsia" w:ascii="宋体" w:hAnsi="Courier New" w:eastAsia="宋体" w:cs="Times New Roman"/>
          <w:color w:val="auto"/>
          <w:kern w:val="0"/>
          <w:sz w:val="21"/>
          <w:szCs w:val="21"/>
          <w:highlight w:val="none"/>
          <w:lang w:val="en-US" w:eastAsia="zh-CN" w:bidi="ar-SA"/>
        </w:rPr>
        <w:t>1</w:t>
      </w:r>
      <w:r>
        <w:rPr>
          <w:rFonts w:hint="eastAsia" w:ascii="宋体" w:hAnsi="Courier New" w:eastAsia="宋体" w:cs="Times New Roman"/>
          <w:color w:val="auto"/>
          <w:kern w:val="0"/>
          <w:sz w:val="21"/>
          <w:szCs w:val="21"/>
          <w:highlight w:val="none"/>
          <w:lang w:val="zh-CN" w:eastAsia="zh-CN" w:bidi="ar-SA"/>
        </w:rPr>
        <w:t>、</w:t>
      </w:r>
      <w:r>
        <w:rPr>
          <w:rFonts w:hint="eastAsia" w:ascii="宋体" w:hAnsi="Courier New" w:eastAsia="宋体" w:cs="Times New Roman"/>
          <w:color w:val="auto"/>
          <w:kern w:val="0"/>
          <w:sz w:val="21"/>
          <w:szCs w:val="21"/>
          <w:highlight w:val="none"/>
          <w:lang w:val="en-US" w:eastAsia="zh-CN" w:bidi="ar-SA"/>
        </w:rPr>
        <w:t>投标</w:t>
      </w:r>
      <w:r>
        <w:rPr>
          <w:rFonts w:hint="eastAsia" w:ascii="宋体" w:hAnsi="Courier New" w:eastAsia="宋体" w:cs="Times New Roman"/>
          <w:color w:val="auto"/>
          <w:kern w:val="0"/>
          <w:sz w:val="21"/>
          <w:szCs w:val="21"/>
          <w:highlight w:val="none"/>
          <w:lang w:val="zh-CN" w:eastAsia="zh-CN" w:bidi="ar-SA"/>
        </w:rPr>
        <w:t>费用包括项目实施所需的人工费、服务费、运输费、安装调试费、获取及制作标书工本费、税费及及完成项目所需的其他一切费用。</w:t>
      </w:r>
      <w:r>
        <w:rPr>
          <w:rFonts w:hint="eastAsia" w:ascii="宋体" w:hAnsi="宋体" w:eastAsia="宋体" w:cs="Times New Roman"/>
          <w:color w:val="auto"/>
          <w:kern w:val="0"/>
          <w:sz w:val="21"/>
          <w:szCs w:val="21"/>
          <w:highlight w:val="none"/>
          <w:lang w:val="en-US" w:eastAsia="zh-CN" w:bidi="ar-SA"/>
        </w:rPr>
        <w:t>投</w:t>
      </w:r>
      <w:r>
        <w:rPr>
          <w:rFonts w:hint="eastAsia" w:ascii="宋体" w:hAnsi="宋体" w:eastAsia="宋体" w:cs="Times New Roman"/>
          <w:color w:val="auto"/>
          <w:kern w:val="0"/>
          <w:sz w:val="21"/>
          <w:szCs w:val="21"/>
          <w:highlight w:val="none"/>
          <w:lang w:val="zh-CN" w:eastAsia="zh-CN" w:bidi="ar-SA"/>
        </w:rPr>
        <w:t>标人应充分考虑项目实施期间人工、各类材料的市场价格变化和可能的国家政策性调整，确定风险系数，如因以上原因导致项目成本费用增加的，由投标人承担。</w:t>
      </w:r>
    </w:p>
    <w:p>
      <w:pPr>
        <w:keepNext w:val="0"/>
        <w:keepLines w:val="0"/>
        <w:pageBreakBefore w:val="0"/>
        <w:widowControl w:val="0"/>
        <w:kinsoku/>
        <w:wordWrap/>
        <w:overflowPunct/>
        <w:topLinePunct w:val="0"/>
        <w:autoSpaceDE/>
        <w:autoSpaceDN/>
        <w:bidi w:val="0"/>
        <w:adjustRightInd/>
        <w:snapToGrid w:val="0"/>
        <w:spacing w:line="500" w:lineRule="exact"/>
        <w:ind w:left="-202"/>
        <w:jc w:val="both"/>
        <w:textAlignment w:val="auto"/>
        <w:rPr>
          <w:rFonts w:hint="eastAsia" w:ascii="宋体" w:hAnsi="宋体" w:eastAsia="宋体" w:cs="Times New Roman"/>
          <w:bCs/>
          <w:snapToGrid w:val="0"/>
          <w:color w:val="auto"/>
          <w:kern w:val="0"/>
          <w:sz w:val="21"/>
          <w:szCs w:val="21"/>
          <w:highlight w:val="none"/>
          <w:lang w:val="zh-CN" w:eastAsia="zh-CN" w:bidi="ar-SA"/>
        </w:rPr>
      </w:pPr>
      <w:r>
        <w:rPr>
          <w:rFonts w:hint="eastAsia" w:ascii="宋体" w:hAnsi="宋体" w:eastAsia="宋体" w:cs="Times New Roman"/>
          <w:color w:val="auto"/>
          <w:kern w:val="0"/>
          <w:sz w:val="21"/>
          <w:szCs w:val="21"/>
          <w:highlight w:val="none"/>
          <w:lang w:val="en-US" w:eastAsia="zh-CN" w:bidi="ar-SA"/>
        </w:rPr>
        <w:t>2、</w:t>
      </w:r>
      <w:r>
        <w:rPr>
          <w:rFonts w:hint="eastAsia" w:ascii="宋体" w:hAnsi="宋体" w:eastAsia="宋体" w:cs="Times New Roman"/>
          <w:color w:val="auto"/>
          <w:kern w:val="0"/>
          <w:sz w:val="21"/>
          <w:szCs w:val="21"/>
          <w:highlight w:val="none"/>
          <w:lang w:val="zh-CN" w:eastAsia="zh-CN" w:bidi="ar-SA"/>
        </w:rPr>
        <w:t>专用耗材、常用易损件及配件等“其他参考费用”应在制作报价文件时一并报出，且该项</w:t>
      </w:r>
      <w:r>
        <w:rPr>
          <w:rFonts w:hint="eastAsia" w:ascii="宋体" w:hAnsi="宋体" w:eastAsia="宋体" w:cs="Times New Roman"/>
          <w:bCs/>
          <w:snapToGrid w:val="0"/>
          <w:color w:val="auto"/>
          <w:kern w:val="0"/>
          <w:sz w:val="21"/>
          <w:szCs w:val="21"/>
          <w:highlight w:val="none"/>
          <w:lang w:val="zh-CN" w:eastAsia="zh-CN" w:bidi="ar-SA"/>
        </w:rPr>
        <w:t>报价不列入“报价合计”，</w:t>
      </w:r>
      <w:r>
        <w:rPr>
          <w:rFonts w:hint="eastAsia" w:ascii="宋体" w:hAnsi="宋体" w:eastAsia="宋体" w:cs="Times New Roman"/>
          <w:color w:val="auto"/>
          <w:kern w:val="0"/>
          <w:sz w:val="21"/>
          <w:szCs w:val="21"/>
          <w:highlight w:val="none"/>
          <w:lang w:val="zh-CN" w:eastAsia="zh-CN" w:bidi="ar-SA"/>
        </w:rPr>
        <w:t>可根据实际情况修改“分项”内容</w:t>
      </w:r>
      <w:r>
        <w:rPr>
          <w:rFonts w:hint="eastAsia" w:ascii="宋体" w:hAnsi="宋体" w:eastAsia="宋体" w:cs="Times New Roman"/>
          <w:bCs/>
          <w:snapToGrid w:val="0"/>
          <w:color w:val="auto"/>
          <w:kern w:val="0"/>
          <w:sz w:val="21"/>
          <w:szCs w:val="21"/>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val="0"/>
        <w:spacing w:line="500" w:lineRule="exact"/>
        <w:ind w:left="-202"/>
        <w:jc w:val="both"/>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3</w:t>
      </w:r>
      <w:r>
        <w:rPr>
          <w:rFonts w:hint="eastAsia" w:ascii="宋体" w:hAnsi="宋体" w:eastAsia="宋体" w:cs="宋体"/>
          <w:b/>
          <w:color w:val="auto"/>
          <w:kern w:val="0"/>
          <w:sz w:val="21"/>
          <w:szCs w:val="21"/>
          <w:highlight w:val="none"/>
          <w:lang w:val="zh-CN" w:eastAsia="zh-CN" w:bidi="ar-SA"/>
        </w:rPr>
        <w:t>、如所投货物由多种独立注册或备案的医疗器械及部件组成，必须在本表内分别列出其所有独立组成部件（包含独立注册或备案的医疗器械及部件）的物品信息，否则</w:t>
      </w:r>
      <w:r>
        <w:rPr>
          <w:rFonts w:hint="eastAsia" w:ascii="宋体" w:hAnsi="宋体" w:eastAsia="宋体" w:cs="宋体"/>
          <w:b/>
          <w:color w:val="auto"/>
          <w:kern w:val="0"/>
          <w:sz w:val="21"/>
          <w:szCs w:val="21"/>
          <w:highlight w:val="none"/>
          <w:lang w:val="en-US" w:eastAsia="zh-CN" w:bidi="ar-SA"/>
        </w:rPr>
        <w:t>投标</w:t>
      </w:r>
      <w:r>
        <w:rPr>
          <w:rFonts w:hint="eastAsia" w:ascii="宋体" w:hAnsi="宋体" w:eastAsia="宋体" w:cs="宋体"/>
          <w:b/>
          <w:color w:val="auto"/>
          <w:kern w:val="0"/>
          <w:sz w:val="21"/>
          <w:szCs w:val="21"/>
          <w:highlight w:val="none"/>
          <w:lang w:val="zh-CN" w:eastAsia="zh-CN" w:bidi="ar-SA"/>
        </w:rPr>
        <w:t>文件将被否决。</w:t>
      </w:r>
    </w:p>
    <w:p>
      <w:pPr>
        <w:pStyle w:val="2"/>
        <w:rPr>
          <w:rFonts w:hint="eastAsia"/>
          <w:lang w:val="zh-CN"/>
        </w:rPr>
      </w:pPr>
    </w:p>
    <w:p>
      <w:pPr>
        <w:snapToGrid w:val="0"/>
        <w:spacing w:beforeLines="50" w:after="50"/>
        <w:jc w:val="center"/>
        <w:outlineLvl w:val="1"/>
        <w:rPr>
          <w:rFonts w:ascii="宋体" w:hAnsi="宋体" w:cs="宋体"/>
          <w:b/>
          <w:bCs/>
          <w:color w:val="auto"/>
          <w:sz w:val="28"/>
          <w:szCs w:val="28"/>
        </w:rPr>
      </w:pPr>
      <w:r>
        <w:rPr>
          <w:rFonts w:hint="eastAsia" w:ascii="宋体" w:hAnsi="宋体" w:cs="宋体"/>
          <w:b/>
          <w:bCs/>
          <w:color w:val="auto"/>
          <w:sz w:val="28"/>
          <w:szCs w:val="28"/>
        </w:rPr>
        <w:br w:type="page"/>
      </w:r>
      <w:r>
        <w:rPr>
          <w:rFonts w:hint="eastAsia" w:ascii="宋体" w:hAnsi="宋体" w:cs="宋体"/>
          <w:b/>
          <w:bCs/>
          <w:color w:val="auto"/>
          <w:sz w:val="28"/>
          <w:szCs w:val="28"/>
        </w:rPr>
        <w:t>第六节 其他文书、文件格式</w:t>
      </w:r>
      <w:bookmarkEnd w:id="257"/>
      <w:bookmarkEnd w:id="258"/>
      <w:bookmarkEnd w:id="259"/>
      <w:bookmarkEnd w:id="260"/>
      <w:bookmarkEnd w:id="261"/>
      <w:bookmarkEnd w:id="262"/>
    </w:p>
    <w:p>
      <w:pPr>
        <w:jc w:val="left"/>
        <w:rPr>
          <w:rFonts w:ascii="宋体" w:hAnsi="宋体" w:cs="宋体"/>
          <w:b/>
          <w:color w:val="auto"/>
          <w:sz w:val="28"/>
          <w:szCs w:val="28"/>
        </w:rPr>
      </w:pPr>
      <w:r>
        <w:rPr>
          <w:rFonts w:hint="eastAsia" w:ascii="宋体" w:hAnsi="宋体" w:cs="宋体"/>
          <w:b/>
          <w:color w:val="auto"/>
          <w:sz w:val="28"/>
          <w:szCs w:val="28"/>
        </w:rPr>
        <w:t>1.中小企业声明函的格式：</w:t>
      </w:r>
    </w:p>
    <w:p>
      <w:pPr>
        <w:jc w:val="center"/>
        <w:rPr>
          <w:b/>
          <w:color w:val="auto"/>
          <w:sz w:val="30"/>
          <w:szCs w:val="30"/>
        </w:rPr>
      </w:pPr>
      <w:r>
        <w:rPr>
          <w:rFonts w:hint="eastAsia"/>
          <w:b/>
          <w:color w:val="auto"/>
          <w:sz w:val="30"/>
          <w:szCs w:val="30"/>
        </w:rPr>
        <w:t>中小企业声明函</w:t>
      </w:r>
    </w:p>
    <w:p>
      <w:pPr>
        <w:rPr>
          <w:rFonts w:ascii="宋体" w:hAnsi="宋体" w:cs="宋体"/>
          <w:color w:val="auto"/>
          <w:spacing w:val="-4"/>
          <w:szCs w:val="21"/>
        </w:rPr>
      </w:pPr>
      <w:r>
        <w:rPr>
          <w:rFonts w:hint="eastAsia" w:ascii="宋体" w:hAnsi="宋体" w:cs="宋体"/>
          <w:color w:val="auto"/>
          <w:spacing w:val="-4"/>
          <w:szCs w:val="21"/>
        </w:rPr>
        <w:t>说明：</w:t>
      </w:r>
    </w:p>
    <w:p>
      <w:pPr>
        <w:ind w:firstLine="404" w:firstLineChars="200"/>
        <w:rPr>
          <w:rFonts w:ascii="宋体" w:hAnsi="宋体" w:cs="宋体"/>
          <w:color w:val="auto"/>
          <w:spacing w:val="-4"/>
          <w:szCs w:val="21"/>
        </w:rPr>
      </w:pPr>
      <w:r>
        <w:rPr>
          <w:rFonts w:hint="eastAsia" w:ascii="宋体" w:hAnsi="宋体" w:cs="宋体"/>
          <w:color w:val="auto"/>
          <w:spacing w:val="-4"/>
          <w:szCs w:val="21"/>
        </w:rPr>
        <w:t>1、本声明函主要供参加政府采购活动的中小企业填写，非中小企业无需填写。</w:t>
      </w:r>
    </w:p>
    <w:p>
      <w:pPr>
        <w:ind w:firstLine="404" w:firstLineChars="200"/>
        <w:rPr>
          <w:rFonts w:ascii="宋体" w:hAnsi="宋体" w:cs="宋体"/>
          <w:color w:val="auto"/>
          <w:spacing w:val="-4"/>
          <w:szCs w:val="21"/>
        </w:rPr>
      </w:pPr>
      <w:r>
        <w:rPr>
          <w:rFonts w:hint="eastAsia" w:ascii="宋体" w:hAnsi="宋体" w:cs="宋体"/>
          <w:color w:val="auto"/>
          <w:spacing w:val="-4"/>
          <w:szCs w:val="21"/>
        </w:rPr>
        <w:t>2、小型、微型企业提供中型企业提供的货物的，视同为中型企业。</w:t>
      </w:r>
    </w:p>
    <w:p>
      <w:pPr>
        <w:ind w:firstLine="404" w:firstLineChars="200"/>
        <w:rPr>
          <w:rFonts w:ascii="宋体" w:hAnsi="宋体" w:cs="宋体"/>
          <w:color w:val="auto"/>
          <w:spacing w:val="-4"/>
          <w:szCs w:val="21"/>
        </w:rPr>
      </w:pPr>
    </w:p>
    <w:p>
      <w:pPr>
        <w:spacing w:after="120" w:line="360" w:lineRule="auto"/>
        <w:ind w:left="55" w:leftChars="26" w:right="142" w:firstLine="480" w:firstLineChars="200"/>
        <w:contextualSpacing/>
        <w:rPr>
          <w:rFonts w:ascii="宋体" w:hAnsi="宋体" w:cs="宋体"/>
          <w:color w:val="auto"/>
          <w:kern w:val="24"/>
          <w:sz w:val="24"/>
        </w:rPr>
      </w:pPr>
      <w:r>
        <w:rPr>
          <w:rFonts w:hint="eastAsia" w:ascii="宋体" w:hAnsi="宋体" w:cs="宋体"/>
          <w:color w:val="auto"/>
          <w:kern w:val="24"/>
          <w:sz w:val="24"/>
        </w:rPr>
        <w:t>本公司郑重声明，根据《政府采购促进中小企业发展管理办法》（财库﹝2020﹞46号）的规定，本公司参加</w:t>
      </w:r>
      <w:r>
        <w:rPr>
          <w:rFonts w:hint="eastAsia" w:ascii="宋体" w:hAnsi="宋体" w:cs="宋体"/>
          <w:i/>
          <w:iCs/>
          <w:color w:val="auto"/>
          <w:kern w:val="24"/>
          <w:sz w:val="24"/>
          <w:u w:val="single"/>
        </w:rPr>
        <w:t>（单位名称）</w:t>
      </w:r>
      <w:r>
        <w:rPr>
          <w:rFonts w:hint="eastAsia" w:ascii="宋体" w:hAnsi="宋体" w:cs="宋体"/>
          <w:color w:val="auto"/>
          <w:kern w:val="24"/>
          <w:sz w:val="24"/>
        </w:rPr>
        <w:t>的</w:t>
      </w:r>
      <w:r>
        <w:rPr>
          <w:rFonts w:hint="eastAsia" w:ascii="宋体" w:hAnsi="宋体" w:cs="宋体"/>
          <w:i/>
          <w:iCs/>
          <w:color w:val="auto"/>
          <w:kern w:val="24"/>
          <w:sz w:val="24"/>
          <w:u w:val="single"/>
        </w:rPr>
        <w:t>（项目名称）</w:t>
      </w:r>
      <w:r>
        <w:rPr>
          <w:rFonts w:hint="eastAsia" w:ascii="宋体" w:hAnsi="宋体" w:cs="宋体"/>
          <w:color w:val="auto"/>
          <w:kern w:val="24"/>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55" w:leftChars="26" w:right="-58" w:firstLine="264" w:firstLineChars="110"/>
        <w:contextualSpacing/>
        <w:rPr>
          <w:rFonts w:ascii="宋体" w:hAnsi="宋体" w:cs="宋体"/>
          <w:color w:val="auto"/>
          <w:kern w:val="24"/>
          <w:sz w:val="24"/>
        </w:rPr>
      </w:pPr>
      <w:r>
        <w:rPr>
          <w:rFonts w:hint="eastAsia" w:ascii="宋体" w:hAnsi="宋体" w:cs="宋体"/>
          <w:color w:val="auto"/>
          <w:kern w:val="24"/>
          <w:sz w:val="24"/>
        </w:rPr>
        <w:t>1.</w:t>
      </w:r>
      <w:r>
        <w:rPr>
          <w:rFonts w:hint="eastAsia" w:ascii="宋体" w:hAnsi="宋体" w:cs="宋体"/>
          <w:i/>
          <w:iCs/>
          <w:color w:val="auto"/>
          <w:kern w:val="24"/>
          <w:sz w:val="24"/>
          <w:u w:val="single"/>
        </w:rPr>
        <w:t>（标的名称）</w:t>
      </w:r>
      <w:r>
        <w:rPr>
          <w:rFonts w:hint="eastAsia" w:ascii="宋体" w:hAnsi="宋体" w:cs="宋体"/>
          <w:color w:val="auto"/>
          <w:kern w:val="24"/>
          <w:sz w:val="24"/>
        </w:rPr>
        <w:t>，属于</w:t>
      </w:r>
      <w:r>
        <w:rPr>
          <w:rFonts w:hint="eastAsia" w:ascii="宋体" w:hAnsi="宋体" w:cs="宋体"/>
          <w:i/>
          <w:iCs/>
          <w:color w:val="auto"/>
          <w:kern w:val="24"/>
          <w:sz w:val="24"/>
          <w:u w:val="single"/>
        </w:rPr>
        <w:t>（采购文件中明确的所属行业）行业</w:t>
      </w:r>
      <w:r>
        <w:rPr>
          <w:rFonts w:hint="eastAsia" w:ascii="宋体" w:hAnsi="宋体" w:cs="宋体"/>
          <w:color w:val="auto"/>
          <w:kern w:val="24"/>
          <w:sz w:val="24"/>
        </w:rPr>
        <w:t>。制造商为</w:t>
      </w:r>
      <w:r>
        <w:rPr>
          <w:rFonts w:hint="eastAsia" w:ascii="宋体" w:hAnsi="宋体" w:cs="宋体"/>
          <w:i/>
          <w:iCs/>
          <w:color w:val="auto"/>
          <w:kern w:val="24"/>
          <w:sz w:val="24"/>
          <w:u w:val="single"/>
        </w:rPr>
        <w:t>（企业名称）</w:t>
      </w:r>
      <w:r>
        <w:rPr>
          <w:rFonts w:hint="eastAsia" w:ascii="宋体" w:hAnsi="宋体" w:cs="宋体"/>
          <w:color w:val="auto"/>
          <w:kern w:val="24"/>
          <w:sz w:val="24"/>
        </w:rPr>
        <w:t>，从业人员人，营业收入为万元，资产总额为万元，属于</w:t>
      </w:r>
      <w:r>
        <w:rPr>
          <w:rFonts w:hint="eastAsia" w:ascii="宋体" w:hAnsi="宋体" w:cs="宋体"/>
          <w:i/>
          <w:iCs/>
          <w:color w:val="auto"/>
          <w:kern w:val="24"/>
          <w:sz w:val="24"/>
          <w:u w:val="single"/>
        </w:rPr>
        <w:t>（中型企业、小型企业、微型企业）</w:t>
      </w:r>
      <w:r>
        <w:rPr>
          <w:rFonts w:hint="eastAsia" w:ascii="宋体" w:hAnsi="宋体" w:cs="宋体"/>
          <w:color w:val="auto"/>
          <w:kern w:val="24"/>
          <w:sz w:val="24"/>
        </w:rPr>
        <w:t>。</w:t>
      </w:r>
    </w:p>
    <w:p>
      <w:pPr>
        <w:tabs>
          <w:tab w:val="left" w:pos="1065"/>
          <w:tab w:val="left" w:pos="6477"/>
        </w:tabs>
        <w:spacing w:line="360" w:lineRule="auto"/>
        <w:ind w:left="55" w:leftChars="26" w:right="-58" w:firstLine="264" w:firstLineChars="110"/>
        <w:contextualSpacing/>
        <w:rPr>
          <w:rFonts w:ascii="宋体" w:hAnsi="宋体" w:cs="宋体"/>
          <w:color w:val="auto"/>
          <w:kern w:val="24"/>
          <w:sz w:val="24"/>
        </w:rPr>
      </w:pPr>
      <w:r>
        <w:rPr>
          <w:rFonts w:hint="eastAsia" w:ascii="宋体" w:hAnsi="宋体" w:cs="宋体"/>
          <w:color w:val="auto"/>
          <w:kern w:val="24"/>
          <w:sz w:val="24"/>
        </w:rPr>
        <w:t>2.</w:t>
      </w:r>
      <w:r>
        <w:rPr>
          <w:rFonts w:hint="eastAsia" w:ascii="宋体" w:hAnsi="宋体" w:cs="宋体"/>
          <w:i/>
          <w:iCs/>
          <w:color w:val="auto"/>
          <w:kern w:val="24"/>
          <w:sz w:val="24"/>
          <w:u w:val="single"/>
        </w:rPr>
        <w:t>（标的名称）</w:t>
      </w:r>
      <w:r>
        <w:rPr>
          <w:rFonts w:hint="eastAsia" w:ascii="宋体" w:hAnsi="宋体" w:cs="宋体"/>
          <w:color w:val="auto"/>
          <w:kern w:val="24"/>
          <w:sz w:val="24"/>
        </w:rPr>
        <w:t>，属于</w:t>
      </w:r>
      <w:r>
        <w:rPr>
          <w:rFonts w:hint="eastAsia" w:ascii="宋体" w:hAnsi="宋体" w:cs="宋体"/>
          <w:i/>
          <w:iCs/>
          <w:color w:val="auto"/>
          <w:kern w:val="24"/>
          <w:sz w:val="24"/>
          <w:u w:val="single"/>
        </w:rPr>
        <w:t>（采购文件中明确的所属行业）行业</w:t>
      </w:r>
      <w:r>
        <w:rPr>
          <w:rFonts w:hint="eastAsia" w:ascii="宋体" w:hAnsi="宋体" w:cs="宋体"/>
          <w:color w:val="auto"/>
          <w:kern w:val="24"/>
          <w:sz w:val="24"/>
        </w:rPr>
        <w:t>。制造商为</w:t>
      </w:r>
      <w:r>
        <w:rPr>
          <w:rFonts w:hint="eastAsia" w:ascii="宋体" w:hAnsi="宋体" w:cs="宋体"/>
          <w:i/>
          <w:iCs/>
          <w:color w:val="auto"/>
          <w:kern w:val="24"/>
          <w:sz w:val="24"/>
          <w:u w:val="single"/>
        </w:rPr>
        <w:t>（企业名称）</w:t>
      </w:r>
      <w:r>
        <w:rPr>
          <w:rFonts w:hint="eastAsia" w:ascii="宋体" w:hAnsi="宋体" w:cs="宋体"/>
          <w:color w:val="auto"/>
          <w:kern w:val="24"/>
          <w:sz w:val="24"/>
        </w:rPr>
        <w:t>，从业人员人，营业收入为万元，资产总额为万元，属于</w:t>
      </w:r>
      <w:r>
        <w:rPr>
          <w:rFonts w:hint="eastAsia" w:ascii="宋体" w:hAnsi="宋体" w:cs="宋体"/>
          <w:i/>
          <w:iCs/>
          <w:color w:val="auto"/>
          <w:kern w:val="24"/>
          <w:sz w:val="24"/>
          <w:u w:val="single"/>
        </w:rPr>
        <w:t>（中型企业、小型企业、微型企业）</w:t>
      </w:r>
      <w:r>
        <w:rPr>
          <w:rFonts w:hint="eastAsia" w:ascii="宋体" w:hAnsi="宋体" w:cs="宋体"/>
          <w:color w:val="auto"/>
          <w:kern w:val="24"/>
          <w:sz w:val="24"/>
        </w:rPr>
        <w:t>。</w:t>
      </w:r>
    </w:p>
    <w:p>
      <w:pPr>
        <w:spacing w:after="120" w:line="360" w:lineRule="auto"/>
        <w:ind w:left="142" w:right="142"/>
        <w:contextualSpacing/>
        <w:rPr>
          <w:rFonts w:ascii="宋体" w:hAnsi="宋体" w:cs="宋体"/>
          <w:color w:val="auto"/>
          <w:kern w:val="24"/>
        </w:rPr>
      </w:pPr>
      <w:r>
        <w:rPr>
          <w:rFonts w:hint="eastAsia" w:ascii="宋体" w:hAnsi="宋体" w:cs="宋体"/>
          <w:color w:val="auto"/>
          <w:kern w:val="24"/>
        </w:rPr>
        <w:t xml:space="preserve">…… </w:t>
      </w:r>
    </w:p>
    <w:p>
      <w:pPr>
        <w:spacing w:line="360" w:lineRule="auto"/>
        <w:ind w:firstLine="480" w:firstLineChars="200"/>
        <w:rPr>
          <w:rFonts w:ascii="宋体" w:hAnsi="宋体" w:cs="宋体"/>
          <w:color w:val="auto"/>
          <w:kern w:val="24"/>
          <w:sz w:val="24"/>
        </w:rPr>
      </w:pPr>
      <w:r>
        <w:rPr>
          <w:rFonts w:hint="eastAsia" w:ascii="宋体" w:hAnsi="宋体" w:cs="宋体"/>
          <w:color w:val="auto"/>
          <w:kern w:val="24"/>
          <w:sz w:val="24"/>
        </w:rPr>
        <w:t>本公司郑重声明，根据《政府采购促进中小企业发展管理办法》（财库﹝2020﹞46号）的规定，本公司参加</w:t>
      </w:r>
      <w:r>
        <w:rPr>
          <w:rFonts w:hint="eastAsia" w:ascii="宋体" w:hAnsi="宋体" w:cs="宋体"/>
          <w:i/>
          <w:iCs/>
          <w:color w:val="auto"/>
          <w:kern w:val="24"/>
          <w:sz w:val="24"/>
          <w:u w:val="single"/>
        </w:rPr>
        <w:t>（单位名称）</w:t>
      </w:r>
      <w:r>
        <w:rPr>
          <w:rFonts w:hint="eastAsia" w:ascii="宋体" w:hAnsi="宋体" w:cs="宋体"/>
          <w:color w:val="auto"/>
          <w:kern w:val="24"/>
          <w:sz w:val="24"/>
        </w:rPr>
        <w:t>的</w:t>
      </w:r>
      <w:r>
        <w:rPr>
          <w:rFonts w:hint="eastAsia" w:ascii="宋体" w:hAnsi="宋体" w:cs="宋体"/>
          <w:i/>
          <w:iCs/>
          <w:color w:val="auto"/>
          <w:kern w:val="24"/>
          <w:sz w:val="24"/>
          <w:u w:val="single"/>
        </w:rPr>
        <w:t>（项目名称）</w:t>
      </w:r>
      <w:r>
        <w:rPr>
          <w:rFonts w:hint="eastAsia" w:ascii="宋体" w:hAnsi="宋体" w:cs="宋体"/>
          <w:color w:val="auto"/>
          <w:kern w:val="24"/>
          <w:sz w:val="24"/>
        </w:rPr>
        <w:t>采购活动，本公司从业人员人，营业收入为万元，资产总额为万元，属于</w:t>
      </w:r>
      <w:r>
        <w:rPr>
          <w:rFonts w:hint="eastAsia" w:ascii="宋体" w:hAnsi="宋体" w:cs="宋体"/>
          <w:i/>
          <w:iCs/>
          <w:color w:val="auto"/>
          <w:kern w:val="24"/>
          <w:sz w:val="24"/>
          <w:u w:val="single"/>
        </w:rPr>
        <w:t>（中型企业、小型企业、微型企业）</w:t>
      </w:r>
      <w:r>
        <w:rPr>
          <w:rFonts w:hint="eastAsia" w:ascii="宋体" w:hAnsi="宋体" w:cs="宋体"/>
          <w:color w:val="auto"/>
          <w:kern w:val="24"/>
          <w:sz w:val="24"/>
        </w:rPr>
        <w:t>。</w:t>
      </w:r>
    </w:p>
    <w:p>
      <w:pPr>
        <w:pStyle w:val="2"/>
        <w:rPr>
          <w:rFonts w:ascii="宋体" w:hAnsi="宋体" w:cs="宋体"/>
          <w:color w:val="auto"/>
          <w:kern w:val="24"/>
          <w:sz w:val="24"/>
        </w:rPr>
      </w:pPr>
    </w:p>
    <w:p>
      <w:pPr>
        <w:spacing w:after="120" w:line="360" w:lineRule="auto"/>
        <w:ind w:left="-405" w:leftChars="-193" w:right="142" w:firstLine="453" w:firstLineChars="189"/>
        <w:contextualSpacing/>
        <w:rPr>
          <w:rFonts w:ascii="宋体" w:hAnsi="宋体" w:cs="宋体"/>
          <w:color w:val="auto"/>
          <w:kern w:val="24"/>
          <w:sz w:val="24"/>
        </w:rPr>
      </w:pPr>
      <w:r>
        <w:rPr>
          <w:rFonts w:hint="eastAsia" w:ascii="宋体" w:hAnsi="宋体" w:cs="宋体"/>
          <w:color w:val="auto"/>
          <w:kern w:val="24"/>
          <w:sz w:val="24"/>
        </w:rPr>
        <w:t>以上企业，不属于大企业的分支机构，不存在控股股东为大企业的情形，也不存在与大企业的负责人为同一人的情形。</w:t>
      </w:r>
    </w:p>
    <w:p>
      <w:pPr>
        <w:spacing w:after="120" w:line="360" w:lineRule="auto"/>
        <w:ind w:left="-426" w:right="142" w:firstLine="420"/>
        <w:contextualSpacing/>
        <w:rPr>
          <w:rFonts w:ascii="宋体" w:hAnsi="宋体" w:cs="宋体"/>
          <w:color w:val="auto"/>
          <w:kern w:val="24"/>
          <w:sz w:val="24"/>
        </w:rPr>
      </w:pPr>
      <w:r>
        <w:rPr>
          <w:rFonts w:hint="eastAsia" w:ascii="宋体" w:hAnsi="宋体" w:cs="宋体"/>
          <w:color w:val="auto"/>
          <w:kern w:val="24"/>
          <w:sz w:val="24"/>
        </w:rPr>
        <w:t>本企业对上述声明内容的真实性负责。如有虚假，将依法承担相应责任。</w:t>
      </w:r>
    </w:p>
    <w:p>
      <w:pPr>
        <w:spacing w:line="360" w:lineRule="auto"/>
        <w:ind w:firstLine="480" w:firstLineChars="200"/>
        <w:rPr>
          <w:rFonts w:ascii="宋体" w:hAnsi="宋体" w:cs="宋体"/>
          <w:color w:val="auto"/>
          <w:sz w:val="24"/>
        </w:rPr>
      </w:pPr>
    </w:p>
    <w:p>
      <w:pPr>
        <w:pStyle w:val="2"/>
        <w:rPr>
          <w:rFonts w:ascii="宋体" w:hAnsi="宋体" w:cs="宋体"/>
          <w:color w:val="auto"/>
          <w:kern w:val="24"/>
          <w:sz w:val="24"/>
        </w:rPr>
      </w:pPr>
    </w:p>
    <w:p>
      <w:pPr>
        <w:pStyle w:val="2"/>
        <w:rPr>
          <w:rFonts w:ascii="宋体" w:hAnsi="宋体" w:cs="宋体"/>
          <w:color w:val="auto"/>
          <w:kern w:val="24"/>
          <w:sz w:val="24"/>
        </w:rPr>
      </w:pPr>
    </w:p>
    <w:p>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投标人名称(盖公章)：</w:t>
      </w:r>
    </w:p>
    <w:p>
      <w:pPr>
        <w:snapToGrid w:val="0"/>
        <w:spacing w:line="360" w:lineRule="auto"/>
        <w:ind w:firstLine="5160" w:firstLineChars="2150"/>
        <w:rPr>
          <w:rFonts w:hint="eastAsia" w:ascii="宋体" w:hAnsi="宋体" w:eastAsia="宋体" w:cs="宋体"/>
          <w:color w:val="auto"/>
          <w:kern w:val="0"/>
          <w:sz w:val="24"/>
          <w:lang w:val="zh-CN" w:eastAsia="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eastAsia="zh-CN"/>
        </w:rPr>
        <w:t>年  月  日</w:t>
      </w:r>
    </w:p>
    <w:p>
      <w:pPr>
        <w:spacing w:line="360" w:lineRule="auto"/>
        <w:ind w:firstLine="420" w:firstLineChars="200"/>
        <w:rPr>
          <w:rFonts w:ascii="宋体" w:hAnsi="宋体" w:cs="宋体"/>
          <w:color w:val="auto"/>
          <w:szCs w:val="21"/>
        </w:rPr>
      </w:pPr>
    </w:p>
    <w:p>
      <w:pPr>
        <w:spacing w:before="50" w:afterLines="50"/>
        <w:ind w:firstLine="404" w:firstLineChars="200"/>
        <w:rPr>
          <w:rFonts w:ascii="宋体" w:hAnsi="宋体" w:cs="宋体"/>
          <w:color w:val="auto"/>
          <w:spacing w:val="-4"/>
          <w:szCs w:val="21"/>
        </w:rPr>
      </w:pPr>
      <w:r>
        <w:rPr>
          <w:rFonts w:hint="eastAsia" w:ascii="宋体" w:hAnsi="宋体" w:cs="宋体"/>
          <w:color w:val="auto"/>
          <w:spacing w:val="-4"/>
          <w:szCs w:val="21"/>
        </w:rPr>
        <w:t>注：</w:t>
      </w:r>
    </w:p>
    <w:p>
      <w:pPr>
        <w:spacing w:before="50" w:afterLines="50"/>
        <w:ind w:firstLine="404" w:firstLineChars="200"/>
        <w:rPr>
          <w:rFonts w:ascii="宋体" w:hAnsi="宋体" w:cs="宋体"/>
          <w:color w:val="auto"/>
          <w:spacing w:val="-4"/>
          <w:szCs w:val="21"/>
        </w:rPr>
      </w:pPr>
      <w:r>
        <w:rPr>
          <w:rFonts w:hint="eastAsia" w:ascii="宋体" w:hAnsi="宋体" w:cs="宋体"/>
          <w:color w:val="auto"/>
          <w:spacing w:val="-4"/>
          <w:szCs w:val="21"/>
        </w:rPr>
        <w:t>1、从业人员、营业收入、资产总额填报上一年度数据，无上一年度数据的新成立企业可不填报。</w:t>
      </w:r>
    </w:p>
    <w:p>
      <w:pPr>
        <w:ind w:firstLine="404" w:firstLineChars="200"/>
        <w:rPr>
          <w:rFonts w:ascii="宋体" w:hAnsi="宋体" w:cs="宋体"/>
          <w:b/>
          <w:color w:val="auto"/>
          <w:sz w:val="28"/>
          <w:szCs w:val="28"/>
        </w:rPr>
      </w:pPr>
      <w:r>
        <w:rPr>
          <w:rFonts w:hint="eastAsia" w:ascii="宋体" w:hAnsi="宋体" w:cs="宋体"/>
          <w:color w:val="auto"/>
          <w:spacing w:val="-4"/>
          <w:szCs w:val="21"/>
        </w:rPr>
        <w:t>2、请根据自己的真实情况出具《中小企业声明函》。依法享受中小企业优惠政策的，采购人或者采购代理机构在公告中标结果时，同时公告其《中小企业声明函》，接受社会监督。</w:t>
      </w:r>
      <w:r>
        <w:rPr>
          <w:rFonts w:hint="eastAsia" w:ascii="宋体" w:hAnsi="宋体" w:cs="宋体"/>
          <w:color w:val="auto"/>
          <w:spacing w:val="-4"/>
          <w:szCs w:val="21"/>
        </w:rPr>
        <w:br w:type="page"/>
      </w:r>
      <w:r>
        <w:rPr>
          <w:rFonts w:hint="eastAsia" w:ascii="宋体" w:hAnsi="宋体" w:cs="宋体"/>
          <w:b/>
          <w:color w:val="auto"/>
          <w:sz w:val="28"/>
          <w:szCs w:val="28"/>
        </w:rPr>
        <w:t>2.残疾人福利性单位声明函的格式：</w:t>
      </w:r>
    </w:p>
    <w:p>
      <w:pPr>
        <w:spacing w:line="360" w:lineRule="auto"/>
        <w:jc w:val="center"/>
        <w:rPr>
          <w:rFonts w:ascii="宋体" w:hAnsi="宋体" w:cs="宋体"/>
          <w:b/>
          <w:color w:val="auto"/>
          <w:sz w:val="30"/>
          <w:szCs w:val="30"/>
        </w:rPr>
      </w:pPr>
    </w:p>
    <w:p>
      <w:pPr>
        <w:spacing w:line="360" w:lineRule="auto"/>
        <w:jc w:val="center"/>
        <w:rPr>
          <w:rFonts w:ascii="宋体" w:hAnsi="宋体" w:cs="宋体"/>
          <w:b/>
          <w:color w:val="auto"/>
          <w:sz w:val="30"/>
          <w:szCs w:val="30"/>
        </w:rPr>
      </w:pPr>
      <w:r>
        <w:rPr>
          <w:rFonts w:hint="eastAsia" w:ascii="宋体" w:hAnsi="宋体" w:cs="宋体"/>
          <w:b/>
          <w:color w:val="auto"/>
          <w:sz w:val="30"/>
          <w:szCs w:val="30"/>
        </w:rPr>
        <w:t>残疾人福利性单位声明函</w:t>
      </w:r>
    </w:p>
    <w:p>
      <w:pPr>
        <w:spacing w:line="360" w:lineRule="auto"/>
        <w:jc w:val="center"/>
        <w:rPr>
          <w:rFonts w:ascii="宋体" w:hAnsi="宋体" w:cs="宋体"/>
          <w:b/>
          <w:color w:val="auto"/>
          <w:sz w:val="30"/>
          <w:szCs w:val="30"/>
        </w:rPr>
      </w:pP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宋体" w:hAnsi="宋体" w:cs="宋体"/>
          <w:color w:val="auto"/>
          <w:sz w:val="30"/>
          <w:szCs w:val="30"/>
        </w:rPr>
      </w:pPr>
      <w:r>
        <w:rPr>
          <w:rFonts w:hint="eastAsia" w:ascii="宋体" w:hAnsi="宋体" w:cs="宋体"/>
          <w:color w:val="auto"/>
          <w:sz w:val="24"/>
        </w:rPr>
        <w:t>本单位对上述声明的真实性负责。如有虚假，将依法承担相应责任。</w:t>
      </w:r>
    </w:p>
    <w:p>
      <w:pPr>
        <w:spacing w:line="360" w:lineRule="auto"/>
        <w:jc w:val="left"/>
        <w:rPr>
          <w:rFonts w:ascii="宋体" w:hAnsi="宋体" w:cs="宋体"/>
          <w:b/>
          <w:color w:val="auto"/>
          <w:szCs w:val="21"/>
        </w:rPr>
      </w:pPr>
    </w:p>
    <w:p>
      <w:pPr>
        <w:spacing w:line="360" w:lineRule="auto"/>
        <w:jc w:val="left"/>
        <w:rPr>
          <w:rFonts w:ascii="宋体" w:hAnsi="宋体" w:cs="宋体"/>
          <w:b/>
          <w:color w:val="auto"/>
          <w:szCs w:val="21"/>
        </w:rPr>
      </w:pPr>
    </w:p>
    <w:p>
      <w:pPr>
        <w:snapToGrid w:val="0"/>
        <w:spacing w:line="360" w:lineRule="auto"/>
        <w:ind w:left="5626" w:leftChars="1736" w:hanging="1980" w:hangingChars="825"/>
        <w:rPr>
          <w:rFonts w:ascii="宋体" w:hAnsi="宋体" w:cs="宋体"/>
          <w:color w:val="auto"/>
          <w:kern w:val="0"/>
          <w:sz w:val="24"/>
        </w:rPr>
      </w:pPr>
      <w:r>
        <w:rPr>
          <w:rFonts w:hint="eastAsia" w:ascii="宋体" w:hAnsi="宋体" w:cs="宋体"/>
          <w:color w:val="auto"/>
          <w:kern w:val="0"/>
          <w:sz w:val="24"/>
          <w:lang w:val="zh-CN"/>
        </w:rPr>
        <w:t>投标人名称(盖公章)：</w:t>
      </w:r>
    </w:p>
    <w:p>
      <w:pPr>
        <w:snapToGrid w:val="0"/>
        <w:spacing w:line="360" w:lineRule="auto"/>
        <w:ind w:firstLine="5160" w:firstLineChars="2150"/>
        <w:rPr>
          <w:rFonts w:hint="eastAsia" w:ascii="宋体" w:hAnsi="宋体" w:eastAsia="宋体" w:cs="宋体"/>
          <w:color w:val="auto"/>
          <w:kern w:val="0"/>
          <w:sz w:val="24"/>
          <w:lang w:val="zh-CN" w:eastAsia="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w:t>
      </w:r>
      <w:r>
        <w:rPr>
          <w:rFonts w:hint="eastAsia" w:ascii="宋体" w:hAnsi="宋体" w:cs="宋体"/>
          <w:color w:val="auto"/>
          <w:kern w:val="0"/>
          <w:sz w:val="24"/>
          <w:lang w:eastAsia="zh-CN"/>
        </w:rPr>
        <w:t>年  月  日</w:t>
      </w:r>
    </w:p>
    <w:p>
      <w:pPr>
        <w:spacing w:line="360" w:lineRule="auto"/>
        <w:ind w:left="5132" w:leftChars="1979" w:hanging="976" w:hangingChars="488"/>
        <w:rPr>
          <w:rFonts w:ascii="宋体" w:hAnsi="宋体" w:cs="宋体"/>
          <w:color w:val="auto"/>
          <w:sz w:val="20"/>
          <w:szCs w:val="20"/>
        </w:rPr>
      </w:pPr>
    </w:p>
    <w:p>
      <w:pPr>
        <w:spacing w:line="360" w:lineRule="auto"/>
        <w:ind w:right="420" w:firstLine="420" w:firstLineChars="200"/>
        <w:rPr>
          <w:rFonts w:ascii="宋体" w:hAnsi="宋体" w:cs="宋体"/>
          <w:color w:val="auto"/>
          <w:szCs w:val="21"/>
        </w:rPr>
      </w:pPr>
      <w:r>
        <w:rPr>
          <w:rFonts w:hint="eastAsia" w:ascii="宋体" w:hAnsi="宋体" w:cs="宋体"/>
          <w:color w:val="auto"/>
          <w:szCs w:val="21"/>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color="auto" w:fill="FFFFFF"/>
        <w:spacing w:line="480" w:lineRule="atLeast"/>
        <w:jc w:val="left"/>
        <w:rPr>
          <w:color w:val="auto"/>
        </w:rPr>
      </w:pPr>
      <w:r>
        <w:rPr>
          <w:rFonts w:hint="eastAsia" w:ascii="宋体" w:hAnsi="宋体" w:cs="宋体"/>
          <w:color w:val="auto"/>
          <w:szCs w:val="21"/>
        </w:rPr>
        <w:br w:type="page"/>
      </w:r>
      <w:r>
        <w:rPr>
          <w:rFonts w:hint="eastAsia" w:ascii="宋体" w:hAnsi="宋体" w:cs="宋体"/>
          <w:color w:val="auto"/>
          <w:sz w:val="28"/>
          <w:szCs w:val="28"/>
        </w:rPr>
        <w:t>3.</w:t>
      </w:r>
      <w:r>
        <w:rPr>
          <w:rFonts w:hint="eastAsia" w:ascii="宋体" w:hAnsi="宋体" w:cs="宋体"/>
          <w:color w:val="auto"/>
          <w:kern w:val="0"/>
          <w:sz w:val="28"/>
          <w:szCs w:val="28"/>
        </w:rPr>
        <w:t>广西壮族自治区政府采购项目合同验收书的格式：</w:t>
      </w:r>
    </w:p>
    <w:p>
      <w:pPr>
        <w:shd w:val="clear" w:color="auto" w:fill="FFFFFF"/>
        <w:spacing w:line="480" w:lineRule="atLeast"/>
        <w:jc w:val="center"/>
        <w:rPr>
          <w:rFonts w:ascii="宋体" w:hAnsi="宋体" w:cs="宋体"/>
          <w:color w:val="auto"/>
          <w:kern w:val="0"/>
          <w:sz w:val="32"/>
          <w:szCs w:val="32"/>
        </w:rPr>
      </w:pPr>
    </w:p>
    <w:p>
      <w:pPr>
        <w:shd w:val="clear" w:color="auto" w:fill="FFFFFF"/>
        <w:spacing w:line="480" w:lineRule="atLeast"/>
        <w:jc w:val="center"/>
        <w:rPr>
          <w:rFonts w:ascii="宋体" w:hAnsi="宋体" w:cs="宋体"/>
          <w:color w:val="auto"/>
          <w:kern w:val="0"/>
          <w:sz w:val="32"/>
          <w:szCs w:val="32"/>
        </w:rPr>
      </w:pPr>
      <w:r>
        <w:rPr>
          <w:rFonts w:hint="eastAsia" w:ascii="宋体" w:hAnsi="宋体" w:cs="宋体"/>
          <w:color w:val="auto"/>
          <w:kern w:val="0"/>
          <w:sz w:val="32"/>
          <w:szCs w:val="32"/>
        </w:rPr>
        <w:t>广西壮族自治区政府采购项目合同验收书</w:t>
      </w:r>
    </w:p>
    <w:p>
      <w:pPr>
        <w:shd w:val="clear" w:color="auto" w:fill="FFFFFF"/>
        <w:spacing w:line="480" w:lineRule="atLeast"/>
        <w:jc w:val="center"/>
        <w:rPr>
          <w:rFonts w:ascii="宋体" w:hAnsi="宋体" w:cs="宋体"/>
          <w:color w:val="auto"/>
          <w:kern w:val="0"/>
          <w:sz w:val="32"/>
          <w:szCs w:val="32"/>
        </w:rPr>
      </w:pPr>
    </w:p>
    <w:p>
      <w:pPr>
        <w:shd w:val="clear" w:color="auto" w:fill="FFFFFF"/>
        <w:snapToGrid w:val="0"/>
        <w:spacing w:line="320" w:lineRule="atLeast"/>
        <w:ind w:firstLine="480"/>
        <w:jc w:val="left"/>
        <w:rPr>
          <w:rFonts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政府采购项目中标（或者成交）投标人（</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提供的货物（或者工程、服务）进行了验收，验收情况如下：</w:t>
      </w:r>
    </w:p>
    <w:tbl>
      <w:tblPr>
        <w:tblStyle w:val="24"/>
        <w:tblW w:w="9371" w:type="dxa"/>
        <w:jc w:val="center"/>
        <w:tblInd w:w="0" w:type="dxa"/>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Layout w:type="fixed"/>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480"/>
              <w:jc w:val="center"/>
              <w:rPr>
                <w:rFonts w:ascii="宋体" w:hAnsi="宋体" w:cs="宋体"/>
                <w:color w:val="auto"/>
                <w:kern w:val="0"/>
                <w:szCs w:val="21"/>
              </w:rPr>
            </w:pPr>
            <w:r>
              <w:rPr>
                <w:rFonts w:hint="eastAsia" w:ascii="宋体" w:hAnsi="宋体" w:cs="宋体"/>
                <w:color w:val="auto"/>
                <w:kern w:val="0"/>
                <w:szCs w:val="21"/>
              </w:rPr>
              <w:t>□自行验收 □委托验收</w:t>
            </w:r>
          </w:p>
        </w:tc>
      </w:tr>
      <w:tr>
        <w:tblPrEx>
          <w:tblLayout w:type="fixed"/>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序号</w:t>
            </w:r>
          </w:p>
        </w:tc>
        <w:tc>
          <w:tcPr>
            <w:tcW w:w="1921" w:type="dxa"/>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名 称</w:t>
            </w:r>
          </w:p>
        </w:tc>
        <w:tc>
          <w:tcPr>
            <w:tcW w:w="2902" w:type="dxa"/>
            <w:gridSpan w:val="3"/>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color w:val="auto"/>
                <w:kern w:val="0"/>
                <w:szCs w:val="21"/>
              </w:rPr>
            </w:pPr>
            <w:r>
              <w:rPr>
                <w:rFonts w:hint="eastAsia" w:ascii="宋体" w:hAnsi="宋体" w:cs="宋体"/>
                <w:color w:val="auto"/>
                <w:kern w:val="0"/>
                <w:szCs w:val="21"/>
              </w:rPr>
              <w:t>数量</w:t>
            </w:r>
          </w:p>
        </w:tc>
        <w:tc>
          <w:tcPr>
            <w:tcW w:w="2354" w:type="dxa"/>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金 额</w:t>
            </w: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r>
      <w:tr>
        <w:tblPrEx>
          <w:tblLayout w:type="fixed"/>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合 计</w:t>
            </w: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r>
      <w:tr>
        <w:tblPrEx>
          <w:tblLayout w:type="fixed"/>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2"/>
              <w:jc w:val="left"/>
              <w:rPr>
                <w:rFonts w:ascii="宋体" w:hAnsi="宋体" w:cs="宋体"/>
                <w:color w:val="auto"/>
                <w:kern w:val="0"/>
                <w:szCs w:val="21"/>
              </w:rPr>
            </w:pPr>
            <w:r>
              <w:rPr>
                <w:rFonts w:hint="eastAsia" w:ascii="宋体" w:hAnsi="宋体" w:cs="宋体"/>
                <w:color w:val="auto"/>
                <w:kern w:val="0"/>
                <w:szCs w:val="21"/>
              </w:rPr>
              <w:t>合计大写金额： 亿 仟 佰 拾 万 仟 佰 拾 元</w:t>
            </w:r>
          </w:p>
        </w:tc>
      </w:tr>
      <w:tr>
        <w:tblPrEx>
          <w:tblLayout w:type="fixed"/>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实际供货日期</w:t>
            </w:r>
          </w:p>
        </w:tc>
        <w:tc>
          <w:tcPr>
            <w:tcW w:w="271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2282" w:type="dxa"/>
            <w:gridSpan w:val="3"/>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46"/>
              <w:jc w:val="center"/>
              <w:rPr>
                <w:rFonts w:ascii="宋体" w:hAnsi="宋体" w:cs="宋体"/>
                <w:color w:val="auto"/>
                <w:kern w:val="0"/>
                <w:szCs w:val="21"/>
              </w:rPr>
            </w:pPr>
            <w:r>
              <w:rPr>
                <w:rFonts w:hint="eastAsia" w:ascii="宋体" w:hAnsi="宋体" w:cs="宋体"/>
                <w:color w:val="auto"/>
                <w:kern w:val="0"/>
                <w:szCs w:val="21"/>
              </w:rPr>
              <w:t>合同交货验收日期</w:t>
            </w:r>
          </w:p>
        </w:tc>
        <w:tc>
          <w:tcPr>
            <w:tcW w:w="303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r>
      <w:tr>
        <w:tblPrEx>
          <w:tblLayout w:type="fixed"/>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271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228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c>
          <w:tcPr>
            <w:tcW w:w="303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rPr>
            </w:pPr>
          </w:p>
        </w:tc>
      </w:tr>
      <w:tr>
        <w:tblPrEx>
          <w:tblLayout w:type="fixed"/>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Layout w:type="fixed"/>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验收小组意见</w:t>
            </w:r>
          </w:p>
        </w:tc>
        <w:tc>
          <w:tcPr>
            <w:tcW w:w="8040" w:type="dxa"/>
            <w:gridSpan w:val="7"/>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验收结论性意见：</w:t>
            </w:r>
          </w:p>
        </w:tc>
      </w:tr>
      <w:tr>
        <w:tblPrEx>
          <w:tblLayout w:type="fixed"/>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pPr>
              <w:jc w:val="left"/>
              <w:rPr>
                <w:rFonts w:ascii="宋体" w:hAnsi="宋体" w:cs="宋体"/>
                <w:color w:val="auto"/>
                <w:kern w:val="0"/>
                <w:szCs w:val="21"/>
              </w:rPr>
            </w:pPr>
          </w:p>
        </w:tc>
        <w:tc>
          <w:tcPr>
            <w:tcW w:w="8040" w:type="dxa"/>
            <w:gridSpan w:val="7"/>
            <w:tcBorders>
              <w:top w:val="nil"/>
              <w:left w:val="nil"/>
              <w:bottom w:val="single" w:color="auto" w:sz="8" w:space="0"/>
              <w:right w:val="single" w:color="auto" w:sz="8" w:space="0"/>
            </w:tcBorders>
            <w:noWrap/>
            <w:vAlign w:val="center"/>
          </w:tcPr>
          <w:p>
            <w:pPr>
              <w:spacing w:before="100" w:beforeAutospacing="1" w:after="100" w:afterAutospacing="1" w:line="320" w:lineRule="atLeast"/>
              <w:ind w:firstLine="96"/>
              <w:jc w:val="left"/>
              <w:rPr>
                <w:rFonts w:ascii="宋体" w:hAnsi="宋体" w:cs="宋体"/>
                <w:color w:val="auto"/>
                <w:kern w:val="0"/>
                <w:szCs w:val="21"/>
              </w:rPr>
            </w:pPr>
            <w:r>
              <w:rPr>
                <w:rFonts w:hint="eastAsia" w:ascii="宋体" w:hAnsi="宋体" w:cs="宋体"/>
                <w:color w:val="auto"/>
                <w:kern w:val="0"/>
                <w:szCs w:val="21"/>
              </w:rPr>
              <w:t>有异议的意见和说明理由：</w:t>
            </w:r>
          </w:p>
          <w:p>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签字：</w:t>
            </w:r>
          </w:p>
        </w:tc>
      </w:tr>
      <w:tr>
        <w:tblPrEx>
          <w:tblLayout w:type="fixed"/>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验收小组成员签字：</w:t>
            </w:r>
          </w:p>
        </w:tc>
      </w:tr>
      <w:tr>
        <w:tblPrEx>
          <w:tblLayout w:type="fixed"/>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监督人员或者其他相关人员签字：</w:t>
            </w:r>
          </w:p>
          <w:p>
            <w:pPr>
              <w:spacing w:before="100" w:beforeAutospacing="1" w:after="100" w:afterAutospacing="1" w:line="320" w:lineRule="atLeast"/>
              <w:ind w:firstLine="74"/>
              <w:jc w:val="left"/>
              <w:rPr>
                <w:rFonts w:ascii="宋体" w:hAnsi="宋体" w:cs="宋体"/>
                <w:color w:val="auto"/>
                <w:kern w:val="0"/>
                <w:szCs w:val="21"/>
              </w:rPr>
            </w:pPr>
            <w:r>
              <w:rPr>
                <w:rFonts w:hint="eastAsia" w:ascii="宋体" w:hAnsi="宋体" w:cs="宋体"/>
                <w:color w:val="auto"/>
                <w:kern w:val="0"/>
                <w:szCs w:val="21"/>
              </w:rPr>
              <w:t>或者受邀机构的意见（盖章）：</w:t>
            </w:r>
          </w:p>
        </w:tc>
      </w:tr>
      <w:tr>
        <w:tblPrEx>
          <w:tblLayout w:type="fixed"/>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pPr>
              <w:spacing w:before="100" w:beforeAutospacing="1" w:after="100" w:afterAutospacing="1" w:line="320" w:lineRule="atLeast"/>
              <w:ind w:firstLine="74"/>
              <w:jc w:val="left"/>
              <w:rPr>
                <w:rFonts w:ascii="宋体" w:hAnsi="宋体" w:cs="宋体"/>
                <w:color w:val="auto"/>
                <w:kern w:val="0"/>
                <w:szCs w:val="21"/>
              </w:rPr>
            </w:pPr>
            <w:r>
              <w:rPr>
                <w:rFonts w:hint="eastAsia" w:ascii="宋体" w:hAnsi="宋体" w:cs="宋体"/>
                <w:color w:val="auto"/>
                <w:kern w:val="0"/>
                <w:szCs w:val="21"/>
              </w:rPr>
              <w:t>中标或者成交人负责人签字或者盖章：</w:t>
            </w:r>
          </w:p>
          <w:p>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联系电话： 年 月 日</w:t>
            </w:r>
          </w:p>
        </w:tc>
        <w:tc>
          <w:tcPr>
            <w:tcW w:w="5219" w:type="dxa"/>
            <w:gridSpan w:val="4"/>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采购人或者受托机构的意见（盖章）：</w:t>
            </w:r>
          </w:p>
          <w:p>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联系电话： 年 月 日</w:t>
            </w:r>
          </w:p>
        </w:tc>
      </w:tr>
    </w:tbl>
    <w:p>
      <w:pPr>
        <w:jc w:val="left"/>
        <w:rPr>
          <w:rFonts w:ascii="宋体" w:hAnsi="宋体" w:cs="宋体"/>
          <w:color w:val="auto"/>
        </w:rPr>
      </w:pPr>
      <w:r>
        <w:rPr>
          <w:rFonts w:hint="eastAsia" w:ascii="宋体" w:hAnsi="宋体" w:cs="宋体"/>
          <w:color w:val="auto"/>
        </w:rPr>
        <w:br w:type="page"/>
      </w:r>
      <w:r>
        <w:rPr>
          <w:rFonts w:hint="eastAsia" w:ascii="宋体" w:hAnsi="宋体" w:cs="宋体"/>
          <w:color w:val="auto"/>
          <w:sz w:val="28"/>
          <w:szCs w:val="28"/>
        </w:rPr>
        <w:t>4.政府采购项目履约保证金退付意见书的格式：</w:t>
      </w: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政府采购项目履约保证金退付意见书（参考）</w:t>
      </w:r>
    </w:p>
    <w:p>
      <w:pPr>
        <w:jc w:val="center"/>
        <w:rPr>
          <w:rFonts w:ascii="宋体" w:hAnsi="宋体" w:cs="宋体"/>
          <w:color w:val="auto"/>
          <w:sz w:val="36"/>
          <w:szCs w:val="36"/>
        </w:rPr>
      </w:pPr>
    </w:p>
    <w:tbl>
      <w:tblPr>
        <w:tblStyle w:val="24"/>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008" w:type="dxa"/>
            <w:vMerge w:val="restart"/>
            <w:noWrap/>
            <w:vAlign w:val="center"/>
          </w:tcPr>
          <w:p>
            <w:pPr>
              <w:jc w:val="center"/>
              <w:rPr>
                <w:rFonts w:ascii="宋体" w:hAnsi="宋体" w:cs="宋体"/>
                <w:color w:val="auto"/>
                <w:sz w:val="24"/>
              </w:rPr>
            </w:pPr>
            <w:r>
              <w:rPr>
                <w:rFonts w:hint="eastAsia" w:ascii="宋体" w:hAnsi="宋体" w:cs="宋体"/>
                <w:color w:val="auto"/>
                <w:sz w:val="24"/>
              </w:rPr>
              <w:t>供</w:t>
            </w:r>
          </w:p>
          <w:p>
            <w:pPr>
              <w:jc w:val="center"/>
              <w:rPr>
                <w:rFonts w:ascii="宋体" w:hAnsi="宋体" w:cs="宋体"/>
                <w:color w:val="auto"/>
                <w:sz w:val="24"/>
              </w:rPr>
            </w:pPr>
            <w:r>
              <w:rPr>
                <w:rFonts w:hint="eastAsia" w:ascii="宋体" w:hAnsi="宋体" w:cs="宋体"/>
                <w:color w:val="auto"/>
                <w:sz w:val="24"/>
              </w:rPr>
              <w:t>应</w:t>
            </w:r>
          </w:p>
          <w:p>
            <w:pPr>
              <w:jc w:val="center"/>
              <w:rPr>
                <w:rFonts w:ascii="宋体" w:hAnsi="宋体" w:cs="宋体"/>
                <w:color w:val="auto"/>
                <w:sz w:val="24"/>
              </w:rPr>
            </w:pPr>
            <w:r>
              <w:rPr>
                <w:rFonts w:hint="eastAsia" w:ascii="宋体" w:hAnsi="宋体" w:cs="宋体"/>
                <w:color w:val="auto"/>
                <w:sz w:val="24"/>
              </w:rPr>
              <w:t>商</w:t>
            </w:r>
          </w:p>
          <w:p>
            <w:pPr>
              <w:jc w:val="center"/>
              <w:rPr>
                <w:rFonts w:ascii="宋体" w:hAnsi="宋体" w:cs="宋体"/>
                <w:color w:val="auto"/>
                <w:sz w:val="24"/>
              </w:rPr>
            </w:pPr>
            <w:r>
              <w:rPr>
                <w:rFonts w:hint="eastAsia" w:ascii="宋体" w:hAnsi="宋体" w:cs="宋体"/>
                <w:color w:val="auto"/>
                <w:sz w:val="24"/>
              </w:rPr>
              <w:t>申</w:t>
            </w:r>
          </w:p>
          <w:p>
            <w:pPr>
              <w:jc w:val="center"/>
              <w:rPr>
                <w:rFonts w:ascii="宋体" w:hAnsi="宋体" w:cs="宋体"/>
                <w:color w:val="auto"/>
                <w:sz w:val="24"/>
              </w:rPr>
            </w:pPr>
            <w:r>
              <w:rPr>
                <w:rFonts w:hint="eastAsia" w:ascii="宋体" w:hAnsi="宋体" w:cs="宋体"/>
                <w:color w:val="auto"/>
                <w:sz w:val="24"/>
              </w:rPr>
              <w:t>请</w:t>
            </w:r>
          </w:p>
        </w:tc>
        <w:tc>
          <w:tcPr>
            <w:tcW w:w="8456" w:type="dxa"/>
            <w:noWrap/>
            <w:vAlign w:val="center"/>
          </w:tcPr>
          <w:p>
            <w:pPr>
              <w:rPr>
                <w:rFonts w:ascii="宋体" w:hAnsi="宋体" w:cs="宋体"/>
                <w:color w:val="auto"/>
                <w:sz w:val="24"/>
              </w:rPr>
            </w:pPr>
            <w:r>
              <w:rPr>
                <w:rFonts w:hint="eastAsia" w:ascii="宋体" w:hAnsi="宋体" w:cs="宋体"/>
                <w:color w:val="auto"/>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noWrap/>
            <w:vAlign w:val="center"/>
          </w:tcPr>
          <w:p>
            <w:pPr>
              <w:rPr>
                <w:rFonts w:ascii="宋体" w:hAnsi="宋体" w:cs="宋体"/>
                <w:color w:val="auto"/>
                <w:sz w:val="24"/>
              </w:rPr>
            </w:pPr>
          </w:p>
        </w:tc>
        <w:tc>
          <w:tcPr>
            <w:tcW w:w="8456" w:type="dxa"/>
            <w:noWrap/>
            <w:vAlign w:val="center"/>
          </w:tcPr>
          <w:p>
            <w:pPr>
              <w:rPr>
                <w:rFonts w:ascii="宋体" w:hAnsi="宋体" w:cs="宋体"/>
                <w:color w:val="auto"/>
                <w:sz w:val="24"/>
              </w:rPr>
            </w:pPr>
            <w:r>
              <w:rPr>
                <w:rFonts w:hint="eastAsia" w:ascii="宋体" w:hAnsi="宋体" w:cs="宋体"/>
                <w:color w:val="auto"/>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noWrap/>
          </w:tcPr>
          <w:p>
            <w:pPr>
              <w:rPr>
                <w:rFonts w:ascii="宋体" w:hAnsi="宋体" w:cs="宋体"/>
                <w:color w:val="auto"/>
                <w:sz w:val="24"/>
              </w:rPr>
            </w:pPr>
          </w:p>
        </w:tc>
        <w:tc>
          <w:tcPr>
            <w:tcW w:w="8456" w:type="dxa"/>
            <w:noWrap/>
          </w:tcPr>
          <w:p>
            <w:pPr>
              <w:rPr>
                <w:rFonts w:ascii="宋体" w:hAnsi="宋体" w:cs="宋体"/>
                <w:color w:val="auto"/>
                <w:sz w:val="24"/>
              </w:rPr>
            </w:pPr>
          </w:p>
          <w:p>
            <w:pPr>
              <w:spacing w:line="400" w:lineRule="exact"/>
              <w:ind w:firstLine="480" w:firstLineChars="200"/>
              <w:rPr>
                <w:rFonts w:ascii="宋体" w:hAnsi="宋体" w:cs="宋体"/>
                <w:color w:val="auto"/>
                <w:sz w:val="24"/>
              </w:rPr>
            </w:pPr>
            <w:r>
              <w:rPr>
                <w:rFonts w:hint="eastAsia" w:ascii="宋体" w:hAnsi="宋体" w:cs="宋体"/>
                <w:color w:val="auto"/>
                <w:sz w:val="24"/>
              </w:rPr>
              <w:t>该项目已于年月日验收并交付使用。根据合同规定，该项目的履约保证金期限于年月日已满，请将履约保证金（大写）人民币                              （小写）¥退付到达以下账户。</w:t>
            </w:r>
          </w:p>
          <w:p>
            <w:pPr>
              <w:spacing w:line="400" w:lineRule="exact"/>
              <w:rPr>
                <w:rFonts w:ascii="宋体" w:hAnsi="宋体" w:cs="宋体"/>
                <w:color w:val="auto"/>
                <w:sz w:val="24"/>
              </w:rPr>
            </w:pPr>
          </w:p>
          <w:p>
            <w:pPr>
              <w:spacing w:line="400" w:lineRule="exact"/>
              <w:ind w:firstLine="480" w:firstLineChars="200"/>
              <w:rPr>
                <w:rFonts w:ascii="宋体" w:hAnsi="宋体" w:cs="宋体"/>
                <w:color w:val="auto"/>
                <w:sz w:val="24"/>
              </w:rPr>
            </w:pPr>
            <w:r>
              <w:rPr>
                <w:rFonts w:hint="eastAsia" w:ascii="宋体" w:hAnsi="宋体" w:cs="宋体"/>
                <w:color w:val="auto"/>
                <w:sz w:val="24"/>
              </w:rPr>
              <w:t>单位名称：</w:t>
            </w:r>
          </w:p>
          <w:p>
            <w:pPr>
              <w:spacing w:line="400" w:lineRule="exact"/>
              <w:ind w:firstLine="480" w:firstLineChars="200"/>
              <w:rPr>
                <w:rFonts w:ascii="宋体" w:hAnsi="宋体" w:cs="宋体"/>
                <w:color w:val="auto"/>
                <w:sz w:val="24"/>
              </w:rPr>
            </w:pPr>
            <w:r>
              <w:rPr>
                <w:rFonts w:hint="eastAsia" w:ascii="宋体" w:hAnsi="宋体" w:cs="宋体"/>
                <w:color w:val="auto"/>
                <w:sz w:val="24"/>
              </w:rPr>
              <w:t>开户银行：</w:t>
            </w:r>
          </w:p>
          <w:p>
            <w:pPr>
              <w:spacing w:line="400" w:lineRule="exact"/>
              <w:ind w:firstLine="480" w:firstLineChars="200"/>
              <w:rPr>
                <w:rFonts w:ascii="宋体" w:hAnsi="宋体" w:cs="宋体"/>
                <w:color w:val="auto"/>
                <w:sz w:val="24"/>
              </w:rPr>
            </w:pPr>
            <w:r>
              <w:rPr>
                <w:rFonts w:hint="eastAsia" w:ascii="宋体" w:hAnsi="宋体" w:cs="宋体"/>
                <w:color w:val="auto"/>
                <w:sz w:val="24"/>
              </w:rPr>
              <w:t>账   号：</w:t>
            </w:r>
          </w:p>
          <w:p>
            <w:pPr>
              <w:spacing w:line="400" w:lineRule="exact"/>
              <w:ind w:firstLine="480" w:firstLineChars="200"/>
              <w:rPr>
                <w:rFonts w:ascii="宋体" w:hAnsi="宋体" w:cs="宋体"/>
                <w:color w:val="auto"/>
                <w:sz w:val="24"/>
              </w:rPr>
            </w:pPr>
            <w:r>
              <w:rPr>
                <w:rFonts w:hint="eastAsia" w:ascii="宋体" w:hAnsi="宋体" w:cs="宋体"/>
                <w:color w:val="auto"/>
                <w:sz w:val="24"/>
              </w:rPr>
              <w:t>联系人及电话：</w:t>
            </w:r>
          </w:p>
          <w:p>
            <w:pPr>
              <w:spacing w:line="400" w:lineRule="exact"/>
              <w:rPr>
                <w:rFonts w:ascii="宋体" w:hAnsi="宋体" w:cs="宋体"/>
                <w:color w:val="auto"/>
                <w:sz w:val="24"/>
              </w:rPr>
            </w:pPr>
          </w:p>
          <w:p>
            <w:pPr>
              <w:spacing w:line="520" w:lineRule="exact"/>
              <w:jc w:val="center"/>
              <w:rPr>
                <w:rFonts w:ascii="宋体" w:hAnsi="宋体" w:cs="宋体"/>
                <w:color w:val="auto"/>
                <w:sz w:val="24"/>
              </w:rPr>
            </w:pPr>
            <w:r>
              <w:rPr>
                <w:rFonts w:hint="eastAsia" w:ascii="宋体" w:hAnsi="宋体" w:cs="宋体"/>
                <w:color w:val="auto"/>
                <w:sz w:val="24"/>
              </w:rPr>
              <w:t xml:space="preserve">         投标人签章：</w:t>
            </w:r>
          </w:p>
          <w:p>
            <w:pPr>
              <w:spacing w:line="520" w:lineRule="exact"/>
              <w:jc w:val="center"/>
              <w:rPr>
                <w:rFonts w:ascii="宋体" w:hAnsi="宋体" w:cs="宋体"/>
                <w:color w:val="auto"/>
                <w:sz w:val="24"/>
              </w:rPr>
            </w:pPr>
            <w:r>
              <w:rPr>
                <w:rFonts w:hint="eastAsia" w:ascii="宋体" w:hAnsi="宋体" w:cs="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trPr>
        <w:tc>
          <w:tcPr>
            <w:tcW w:w="1008" w:type="dxa"/>
            <w:noWrap/>
            <w:vAlign w:val="center"/>
          </w:tcPr>
          <w:p>
            <w:pPr>
              <w:jc w:val="center"/>
              <w:rPr>
                <w:rFonts w:ascii="宋体" w:hAnsi="宋体" w:cs="宋体"/>
                <w:color w:val="auto"/>
                <w:sz w:val="24"/>
              </w:rPr>
            </w:pPr>
            <w:r>
              <w:rPr>
                <w:rFonts w:hint="eastAsia" w:ascii="宋体" w:hAnsi="宋体" w:cs="宋体"/>
                <w:color w:val="auto"/>
                <w:sz w:val="24"/>
              </w:rPr>
              <w:t>采</w:t>
            </w:r>
          </w:p>
          <w:p>
            <w:pPr>
              <w:jc w:val="center"/>
              <w:rPr>
                <w:rFonts w:ascii="宋体" w:hAnsi="宋体" w:cs="宋体"/>
                <w:color w:val="auto"/>
                <w:sz w:val="24"/>
              </w:rPr>
            </w:pPr>
            <w:r>
              <w:rPr>
                <w:rFonts w:hint="eastAsia" w:ascii="宋体" w:hAnsi="宋体" w:cs="宋体"/>
                <w:color w:val="auto"/>
                <w:sz w:val="24"/>
              </w:rPr>
              <w:t>购</w:t>
            </w:r>
          </w:p>
          <w:p>
            <w:pPr>
              <w:jc w:val="center"/>
              <w:rPr>
                <w:rFonts w:ascii="宋体" w:hAnsi="宋体" w:cs="宋体"/>
                <w:color w:val="auto"/>
                <w:sz w:val="24"/>
              </w:rPr>
            </w:pPr>
            <w:r>
              <w:rPr>
                <w:rFonts w:hint="eastAsia" w:ascii="宋体" w:hAnsi="宋体" w:cs="宋体"/>
                <w:color w:val="auto"/>
                <w:sz w:val="24"/>
              </w:rPr>
              <w:t>人</w:t>
            </w:r>
          </w:p>
          <w:p>
            <w:pPr>
              <w:jc w:val="center"/>
              <w:rPr>
                <w:rFonts w:ascii="宋体" w:hAnsi="宋体" w:cs="宋体"/>
                <w:color w:val="auto"/>
                <w:sz w:val="24"/>
              </w:rPr>
            </w:pPr>
            <w:r>
              <w:rPr>
                <w:rFonts w:hint="eastAsia" w:ascii="宋体" w:hAnsi="宋体" w:cs="宋体"/>
                <w:color w:val="auto"/>
                <w:sz w:val="24"/>
              </w:rPr>
              <w:t>意</w:t>
            </w:r>
          </w:p>
          <w:p>
            <w:pPr>
              <w:jc w:val="center"/>
              <w:rPr>
                <w:rFonts w:ascii="宋体" w:hAnsi="宋体" w:cs="宋体"/>
                <w:color w:val="auto"/>
                <w:sz w:val="24"/>
              </w:rPr>
            </w:pPr>
            <w:r>
              <w:rPr>
                <w:rFonts w:hint="eastAsia" w:ascii="宋体" w:hAnsi="宋体" w:cs="宋体"/>
                <w:color w:val="auto"/>
                <w:sz w:val="24"/>
              </w:rPr>
              <w:t>见</w:t>
            </w:r>
          </w:p>
        </w:tc>
        <w:tc>
          <w:tcPr>
            <w:tcW w:w="8456" w:type="dxa"/>
            <w:noWrap/>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退付意见：（是否同意退付履约保证金及退付金额）</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spacing w:line="520" w:lineRule="exact"/>
              <w:rPr>
                <w:rFonts w:ascii="宋体" w:hAnsi="宋体" w:cs="宋体"/>
                <w:color w:val="auto"/>
                <w:sz w:val="24"/>
              </w:rPr>
            </w:pPr>
            <w:r>
              <w:rPr>
                <w:rFonts w:hint="eastAsia" w:ascii="宋体" w:hAnsi="宋体" w:cs="宋体"/>
                <w:color w:val="auto"/>
                <w:sz w:val="24"/>
              </w:rPr>
              <w:t>联系人及电话：                         采购人签章</w:t>
            </w:r>
          </w:p>
          <w:p>
            <w:pPr>
              <w:spacing w:line="520" w:lineRule="exact"/>
              <w:jc w:val="center"/>
              <w:rPr>
                <w:rFonts w:ascii="宋体" w:hAnsi="宋体" w:cs="宋体"/>
                <w:color w:val="auto"/>
                <w:sz w:val="24"/>
              </w:rPr>
            </w:pPr>
            <w:r>
              <w:rPr>
                <w:rFonts w:hint="eastAsia" w:ascii="宋体" w:hAnsi="宋体" w:cs="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1008" w:type="dxa"/>
            <w:noWrap/>
            <w:vAlign w:val="center"/>
          </w:tcPr>
          <w:p>
            <w:pPr>
              <w:jc w:val="center"/>
              <w:rPr>
                <w:rFonts w:ascii="宋体" w:hAnsi="宋体" w:cs="宋体"/>
                <w:color w:val="auto"/>
                <w:sz w:val="24"/>
              </w:rPr>
            </w:pPr>
            <w:r>
              <w:rPr>
                <w:rFonts w:hint="eastAsia" w:ascii="宋体" w:hAnsi="宋体" w:cs="宋体"/>
                <w:color w:val="auto"/>
                <w:sz w:val="24"/>
              </w:rPr>
              <w:t>备注</w:t>
            </w:r>
          </w:p>
        </w:tc>
        <w:tc>
          <w:tcPr>
            <w:tcW w:w="8456" w:type="dxa"/>
            <w:noWrap/>
          </w:tcPr>
          <w:p>
            <w:pPr>
              <w:rPr>
                <w:rFonts w:ascii="宋体" w:hAnsi="宋体" w:cs="宋体"/>
                <w:color w:val="auto"/>
                <w:sz w:val="24"/>
              </w:rPr>
            </w:pPr>
          </w:p>
        </w:tc>
      </w:tr>
    </w:tbl>
    <w:p>
      <w:pPr>
        <w:spacing w:after="120"/>
        <w:ind w:left="420" w:leftChars="114" w:hanging="181" w:hangingChars="100"/>
        <w:rPr>
          <w:rFonts w:ascii="宋体" w:hAnsi="宋体" w:cs="宋体"/>
          <w:b/>
          <w:bCs/>
          <w:color w:val="auto"/>
          <w:sz w:val="18"/>
        </w:rPr>
      </w:pPr>
      <w:r>
        <w:rPr>
          <w:rFonts w:hint="eastAsia" w:ascii="宋体" w:hAnsi="宋体" w:cs="宋体"/>
          <w:b/>
          <w:bCs/>
          <w:color w:val="auto"/>
          <w:sz w:val="18"/>
        </w:rPr>
        <w:t>注：投标人凭经采购人审批的退付意见书到履约保证金收取单位办理履约保证金退付事宜。</w:t>
      </w:r>
    </w:p>
    <w:p>
      <w:pPr>
        <w:pStyle w:val="2"/>
        <w:rPr>
          <w:rFonts w:ascii="宋体" w:hAnsi="宋体" w:cs="宋体"/>
          <w:color w:val="auto"/>
          <w:sz w:val="21"/>
          <w:szCs w:val="21"/>
        </w:rPr>
      </w:pPr>
    </w:p>
    <w:p>
      <w:pPr>
        <w:pStyle w:val="2"/>
        <w:rPr>
          <w:rFonts w:ascii="宋体" w:hAnsi="宋体" w:cs="宋体"/>
          <w:color w:val="auto"/>
          <w:sz w:val="21"/>
          <w:szCs w:val="21"/>
        </w:rPr>
      </w:pPr>
    </w:p>
    <w:p>
      <w:pPr>
        <w:snapToGrid w:val="0"/>
        <w:spacing w:before="50" w:afterLines="50" w:line="360" w:lineRule="auto"/>
        <w:jc w:val="left"/>
        <w:rPr>
          <w:rFonts w:ascii="宋体" w:hAnsi="宋体" w:cs="宋体"/>
          <w:color w:val="auto"/>
          <w:sz w:val="20"/>
        </w:rPr>
      </w:pPr>
      <w:r>
        <w:rPr>
          <w:rFonts w:hint="eastAsia" w:ascii="宋体" w:hAnsi="宋体" w:cs="宋体"/>
          <w:color w:val="auto"/>
          <w:szCs w:val="21"/>
        </w:rPr>
        <w:br w:type="page"/>
      </w: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rPr>
          <w:rFonts w:hAnsi="宋体" w:cs="宋体"/>
          <w:b/>
          <w:color w:val="auto"/>
          <w:sz w:val="36"/>
        </w:rPr>
      </w:pPr>
    </w:p>
    <w:p>
      <w:pPr>
        <w:pStyle w:val="14"/>
        <w:tabs>
          <w:tab w:val="left" w:pos="2472"/>
        </w:tabs>
        <w:spacing w:line="460" w:lineRule="exact"/>
        <w:jc w:val="center"/>
        <w:outlineLvl w:val="0"/>
        <w:rPr>
          <w:rFonts w:hAnsi="宋体" w:cs="宋体"/>
          <w:color w:val="auto"/>
        </w:rPr>
      </w:pPr>
      <w:bookmarkStart w:id="263" w:name="_Toc8663"/>
      <w:bookmarkStart w:id="264" w:name="_Toc19823"/>
      <w:bookmarkStart w:id="265" w:name="_Toc30176"/>
      <w:bookmarkStart w:id="266" w:name="_Toc15281"/>
      <w:r>
        <w:rPr>
          <w:rFonts w:hint="eastAsia" w:hAnsi="宋体" w:cs="宋体"/>
          <w:b/>
          <w:color w:val="auto"/>
          <w:sz w:val="36"/>
        </w:rPr>
        <w:t>第七章 质疑、投诉材料格</w:t>
      </w:r>
      <w:bookmarkEnd w:id="263"/>
      <w:bookmarkEnd w:id="264"/>
      <w:bookmarkEnd w:id="265"/>
      <w:r>
        <w:rPr>
          <w:rFonts w:hint="eastAsia" w:hAnsi="宋体" w:cs="宋体"/>
          <w:b/>
          <w:color w:val="auto"/>
          <w:sz w:val="36"/>
        </w:rPr>
        <w:t>式</w:t>
      </w:r>
      <w:bookmarkEnd w:id="266"/>
      <w:bookmarkStart w:id="267" w:name="_Toc19413"/>
      <w:bookmarkStart w:id="268" w:name="_Toc12534"/>
      <w:bookmarkStart w:id="269" w:name="_Toc18910"/>
      <w:bookmarkStart w:id="270" w:name="_Toc5790"/>
      <w:r>
        <w:rPr>
          <w:rFonts w:hint="eastAsia" w:hAnsi="宋体" w:cs="宋体"/>
          <w:color w:val="auto"/>
          <w:sz w:val="20"/>
        </w:rPr>
        <w:br w:type="page"/>
      </w:r>
      <w:r>
        <w:rPr>
          <w:rFonts w:hint="eastAsia" w:hAnsi="宋体" w:cs="宋体"/>
          <w:color w:val="auto"/>
          <w:sz w:val="32"/>
          <w:szCs w:val="32"/>
        </w:rPr>
        <w:t>第一节 质疑函（格式）</w:t>
      </w:r>
      <w:bookmarkEnd w:id="267"/>
      <w:bookmarkEnd w:id="268"/>
      <w:bookmarkEnd w:id="269"/>
      <w:bookmarkEnd w:id="270"/>
    </w:p>
    <w:p>
      <w:pPr>
        <w:jc w:val="center"/>
        <w:rPr>
          <w:rFonts w:ascii="宋体" w:hAnsi="宋体" w:cs="宋体"/>
          <w:b/>
          <w:bCs/>
          <w:color w:val="auto"/>
          <w:sz w:val="44"/>
          <w:szCs w:val="44"/>
        </w:rPr>
      </w:pPr>
      <w:r>
        <w:rPr>
          <w:rFonts w:hint="eastAsia" w:ascii="宋体" w:hAnsi="宋体" w:cs="宋体"/>
          <w:b/>
          <w:bCs/>
          <w:color w:val="auto"/>
          <w:sz w:val="30"/>
          <w:szCs w:val="30"/>
        </w:rPr>
        <w:t>质疑函</w:t>
      </w:r>
    </w:p>
    <w:p>
      <w:pPr>
        <w:adjustRightInd w:val="0"/>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质疑供应商：</w:t>
      </w:r>
    </w:p>
    <w:p>
      <w:pPr>
        <w:adjustRightInd w:val="0"/>
        <w:snapToGrid w:val="0"/>
        <w:spacing w:line="360" w:lineRule="auto"/>
        <w:rPr>
          <w:rFonts w:ascii="宋体" w:hAnsi="宋体" w:cs="宋体"/>
          <w:color w:val="auto"/>
          <w:sz w:val="24"/>
        </w:rPr>
      </w:pPr>
      <w:r>
        <w:rPr>
          <w:rFonts w:hint="eastAsia" w:ascii="宋体" w:hAnsi="宋体" w:cs="宋体"/>
          <w:color w:val="auto"/>
          <w:sz w:val="24"/>
        </w:rPr>
        <w:t>地址：邮编：</w:t>
      </w:r>
    </w:p>
    <w:p>
      <w:pPr>
        <w:adjustRightInd w:val="0"/>
        <w:snapToGrid w:val="0"/>
        <w:spacing w:line="360" w:lineRule="auto"/>
        <w:rPr>
          <w:rFonts w:ascii="宋体" w:hAnsi="宋体" w:cs="宋体"/>
          <w:color w:val="auto"/>
          <w:sz w:val="24"/>
        </w:rPr>
      </w:pPr>
      <w:r>
        <w:rPr>
          <w:rFonts w:hint="eastAsia" w:ascii="宋体" w:hAnsi="宋体" w:cs="宋体"/>
          <w:color w:val="auto"/>
          <w:sz w:val="24"/>
        </w:rPr>
        <w:t>联系人：联系电话：</w:t>
      </w:r>
    </w:p>
    <w:p>
      <w:pPr>
        <w:adjustRightInd w:val="0"/>
        <w:snapToGrid w:val="0"/>
        <w:spacing w:line="360" w:lineRule="auto"/>
        <w:rPr>
          <w:rFonts w:ascii="宋体" w:hAnsi="宋体" w:cs="宋体"/>
          <w:color w:val="auto"/>
          <w:sz w:val="24"/>
          <w:u w:val="dotted"/>
        </w:rPr>
      </w:pPr>
      <w:r>
        <w:rPr>
          <w:rFonts w:hint="eastAsia" w:ascii="宋体" w:hAnsi="宋体" w:cs="宋体"/>
          <w:color w:val="auto"/>
          <w:sz w:val="24"/>
        </w:rPr>
        <w:t>授权代表：</w:t>
      </w:r>
    </w:p>
    <w:p>
      <w:pPr>
        <w:adjustRightInd w:val="0"/>
        <w:snapToGrid w:val="0"/>
        <w:spacing w:line="360" w:lineRule="auto"/>
        <w:rPr>
          <w:rFonts w:ascii="宋体" w:hAnsi="宋体" w:cs="宋体"/>
          <w:color w:val="auto"/>
          <w:sz w:val="24"/>
        </w:rPr>
      </w:pPr>
      <w:r>
        <w:rPr>
          <w:rFonts w:hint="eastAsia" w:ascii="宋体" w:hAnsi="宋体" w:cs="宋体"/>
          <w:color w:val="auto"/>
          <w:sz w:val="24"/>
        </w:rPr>
        <w:t>联系电话：</w:t>
      </w:r>
    </w:p>
    <w:p>
      <w:pPr>
        <w:adjustRightInd w:val="0"/>
        <w:snapToGrid w:val="0"/>
        <w:spacing w:line="360" w:lineRule="auto"/>
        <w:rPr>
          <w:rFonts w:ascii="宋体" w:hAnsi="宋体" w:cs="宋体"/>
          <w:color w:val="auto"/>
          <w:sz w:val="24"/>
        </w:rPr>
      </w:pPr>
      <w:r>
        <w:rPr>
          <w:rFonts w:hint="eastAsia" w:ascii="宋体" w:hAnsi="宋体" w:cs="宋体"/>
          <w:color w:val="auto"/>
          <w:sz w:val="24"/>
        </w:rPr>
        <w:t>地址： 邮编：</w:t>
      </w:r>
    </w:p>
    <w:p>
      <w:pPr>
        <w:adjustRightInd w:val="0"/>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adjustRightInd w:val="0"/>
        <w:snapToGrid w:val="0"/>
        <w:spacing w:line="360" w:lineRule="auto"/>
        <w:rPr>
          <w:rFonts w:ascii="宋体" w:hAnsi="宋体" w:cs="宋体"/>
          <w:color w:val="auto"/>
          <w:sz w:val="24"/>
        </w:rPr>
      </w:pPr>
      <w:r>
        <w:rPr>
          <w:rFonts w:hint="eastAsia" w:ascii="宋体" w:hAnsi="宋体" w:cs="宋体"/>
          <w:color w:val="auto"/>
          <w:sz w:val="24"/>
        </w:rPr>
        <w:t>质疑项目的名称：</w:t>
      </w:r>
    </w:p>
    <w:p>
      <w:pPr>
        <w:adjustRightInd w:val="0"/>
        <w:snapToGrid w:val="0"/>
        <w:spacing w:line="360" w:lineRule="auto"/>
        <w:rPr>
          <w:rFonts w:ascii="宋体" w:hAnsi="宋体" w:cs="宋体"/>
          <w:color w:val="auto"/>
          <w:sz w:val="24"/>
        </w:rPr>
      </w:pPr>
      <w:r>
        <w:rPr>
          <w:rFonts w:hint="eastAsia" w:ascii="宋体" w:hAnsi="宋体" w:cs="宋体"/>
          <w:color w:val="auto"/>
          <w:sz w:val="24"/>
        </w:rPr>
        <w:t>质疑项目的编号：包号：</w:t>
      </w:r>
    </w:p>
    <w:p>
      <w:pPr>
        <w:adjustRightInd w:val="0"/>
        <w:snapToGrid w:val="0"/>
        <w:spacing w:line="360" w:lineRule="auto"/>
        <w:rPr>
          <w:rFonts w:ascii="宋体" w:hAnsi="宋体" w:cs="宋体"/>
          <w:color w:val="auto"/>
          <w:sz w:val="24"/>
          <w:u w:val="dotted"/>
        </w:rPr>
      </w:pPr>
      <w:r>
        <w:rPr>
          <w:rFonts w:hint="eastAsia" w:ascii="宋体" w:hAnsi="宋体" w:cs="宋体"/>
          <w:color w:val="auto"/>
          <w:sz w:val="24"/>
        </w:rPr>
        <w:t>采购人名称：</w:t>
      </w:r>
      <w:bookmarkStart w:id="271" w:name="PO_3000001867_PM026_5"/>
      <w:bookmarkEnd w:id="271"/>
    </w:p>
    <w:p>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质疑事项：</w:t>
      </w:r>
    </w:p>
    <w:p>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□采购文件   采购文件获取日期：</w:t>
      </w:r>
    </w:p>
    <w:p>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 xml:space="preserve">□采购过程   </w:t>
      </w:r>
    </w:p>
    <w:p>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 xml:space="preserve">□中标结果   </w:t>
      </w:r>
    </w:p>
    <w:p>
      <w:pPr>
        <w:adjustRightInd w:val="0"/>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质疑事项1：</w:t>
      </w:r>
    </w:p>
    <w:p>
      <w:pPr>
        <w:adjustRightInd w:val="0"/>
        <w:snapToGrid w:val="0"/>
        <w:spacing w:line="360" w:lineRule="auto"/>
        <w:rPr>
          <w:rFonts w:ascii="宋体" w:hAnsi="宋体" w:cs="宋体"/>
          <w:color w:val="auto"/>
          <w:sz w:val="24"/>
          <w:u w:val="dotted"/>
        </w:rPr>
      </w:pPr>
      <w:r>
        <w:rPr>
          <w:rFonts w:hint="eastAsia" w:ascii="宋体" w:hAnsi="宋体" w:cs="宋体"/>
          <w:color w:val="auto"/>
          <w:sz w:val="24"/>
        </w:rPr>
        <w:t>事实依据：</w:t>
      </w:r>
    </w:p>
    <w:p>
      <w:pPr>
        <w:adjustRightInd w:val="0"/>
        <w:snapToGrid w:val="0"/>
        <w:spacing w:line="360" w:lineRule="auto"/>
        <w:rPr>
          <w:rFonts w:ascii="宋体" w:hAnsi="宋体" w:cs="宋体"/>
          <w:color w:val="auto"/>
          <w:sz w:val="24"/>
        </w:rPr>
      </w:pPr>
    </w:p>
    <w:p>
      <w:pPr>
        <w:adjustRightInd w:val="0"/>
        <w:snapToGrid w:val="0"/>
        <w:spacing w:line="360" w:lineRule="auto"/>
        <w:rPr>
          <w:rFonts w:ascii="宋体" w:hAnsi="宋体" w:cs="宋体"/>
          <w:color w:val="auto"/>
          <w:sz w:val="24"/>
          <w:u w:val="dotted"/>
        </w:rPr>
      </w:pPr>
      <w:r>
        <w:rPr>
          <w:rFonts w:hint="eastAsia" w:ascii="宋体" w:hAnsi="宋体" w:cs="宋体"/>
          <w:color w:val="auto"/>
          <w:sz w:val="24"/>
        </w:rPr>
        <w:t>法律依据：</w:t>
      </w:r>
    </w:p>
    <w:p>
      <w:pPr>
        <w:adjustRightInd w:val="0"/>
        <w:snapToGrid w:val="0"/>
        <w:spacing w:line="360" w:lineRule="auto"/>
        <w:rPr>
          <w:rFonts w:ascii="宋体" w:hAnsi="宋体" w:cs="宋体"/>
          <w:color w:val="auto"/>
          <w:sz w:val="24"/>
          <w:u w:val="dotted"/>
        </w:rPr>
      </w:pPr>
    </w:p>
    <w:p>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adjustRightInd w:val="0"/>
        <w:snapToGrid w:val="0"/>
        <w:spacing w:line="360" w:lineRule="auto"/>
        <w:rPr>
          <w:rFonts w:ascii="宋体" w:hAnsi="宋体" w:cs="宋体"/>
          <w:color w:val="auto"/>
          <w:sz w:val="24"/>
        </w:rPr>
      </w:pPr>
      <w:r>
        <w:rPr>
          <w:rFonts w:hint="eastAsia" w:ascii="宋体" w:hAnsi="宋体" w:cs="宋体"/>
          <w:color w:val="auto"/>
          <w:sz w:val="24"/>
        </w:rPr>
        <w:t>……</w:t>
      </w:r>
    </w:p>
    <w:p>
      <w:pPr>
        <w:adjustRightInd w:val="0"/>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adjustRightInd w:val="0"/>
        <w:snapToGrid w:val="0"/>
        <w:spacing w:line="360" w:lineRule="auto"/>
        <w:rPr>
          <w:rFonts w:ascii="宋体" w:hAnsi="宋体" w:cs="宋体"/>
          <w:color w:val="auto"/>
          <w:sz w:val="24"/>
          <w:u w:val="dotted"/>
        </w:rPr>
      </w:pPr>
      <w:r>
        <w:rPr>
          <w:rFonts w:hint="eastAsia" w:ascii="宋体" w:hAnsi="宋体" w:cs="宋体"/>
          <w:color w:val="auto"/>
          <w:sz w:val="24"/>
        </w:rPr>
        <w:t>请求：</w:t>
      </w:r>
    </w:p>
    <w:p>
      <w:pPr>
        <w:rPr>
          <w:rFonts w:ascii="宋体" w:hAnsi="宋体" w:cs="宋体"/>
          <w:color w:val="auto"/>
          <w:sz w:val="24"/>
        </w:rPr>
      </w:pPr>
      <w:r>
        <w:rPr>
          <w:rFonts w:hint="eastAsia" w:ascii="宋体" w:hAnsi="宋体" w:cs="宋体"/>
          <w:color w:val="auto"/>
          <w:sz w:val="24"/>
        </w:rPr>
        <w:t xml:space="preserve">签字(签章)：                   公章：                      </w:t>
      </w:r>
    </w:p>
    <w:p>
      <w:pPr>
        <w:ind w:firstLine="6240" w:firstLineChars="2600"/>
        <w:rPr>
          <w:rFonts w:ascii="宋体" w:hAnsi="宋体" w:cs="宋体"/>
          <w:color w:val="auto"/>
          <w:sz w:val="24"/>
        </w:rPr>
      </w:pPr>
      <w:r>
        <w:rPr>
          <w:rFonts w:hint="eastAsia" w:ascii="宋体" w:hAnsi="宋体" w:cs="宋体"/>
          <w:color w:val="auto"/>
          <w:sz w:val="24"/>
        </w:rPr>
        <w:t xml:space="preserve">日期：    </w:t>
      </w:r>
    </w:p>
    <w:p>
      <w:pPr>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1.供应商提出质疑时，应提交质疑函和必要的证明材料。</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2.质疑供应商若委托代理人进行质疑的，质疑函应按要求列明“授权代表”的有关内容，并在附件中提交由质疑</w:t>
      </w:r>
      <w:r>
        <w:rPr>
          <w:rFonts w:hint="eastAsia" w:ascii="宋体" w:hAnsi="宋体" w:cs="宋体"/>
          <w:color w:val="auto"/>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3.质疑供应商若对项目的某一分包进行质疑，质疑函中应列明具体分包号。</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4.质疑函的质疑事项应具体、明确，并有必要的事实依据和法律依据。</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5.质疑函的质疑请求应与质疑事项相关。</w:t>
      </w:r>
    </w:p>
    <w:p>
      <w:pPr>
        <w:widowControl/>
        <w:spacing w:line="360" w:lineRule="auto"/>
        <w:ind w:firstLine="420" w:firstLineChars="200"/>
        <w:jc w:val="left"/>
        <w:rPr>
          <w:rFonts w:ascii="宋体" w:hAnsi="宋体" w:cs="宋体"/>
          <w:color w:val="auto"/>
          <w:sz w:val="28"/>
          <w:szCs w:val="28"/>
        </w:rPr>
      </w:pPr>
      <w:r>
        <w:rPr>
          <w:rFonts w:hint="eastAsia" w:ascii="宋体" w:hAnsi="宋体" w:cs="宋体"/>
          <w:color w:val="auto"/>
          <w:szCs w:val="21"/>
        </w:rPr>
        <w:t>6.质疑供应商为自然人的，质疑函应由本人签字。质疑供应商为法人或者其他组织的，质疑函应由法定代表人、主要负责人，或者其授权代表签字或者盖章，并加盖公章。</w:t>
      </w:r>
    </w:p>
    <w:p>
      <w:pPr>
        <w:pStyle w:val="2"/>
        <w:rPr>
          <w:rFonts w:ascii="宋体" w:hAnsi="宋体" w:cs="宋体"/>
          <w:color w:val="auto"/>
        </w:rPr>
      </w:pPr>
      <w:bookmarkStart w:id="272" w:name="_Toc11085"/>
      <w:bookmarkStart w:id="273" w:name="_Toc31115"/>
    </w:p>
    <w:p>
      <w:pPr>
        <w:pStyle w:val="2"/>
        <w:rPr>
          <w:rFonts w:ascii="宋体" w:hAnsi="宋体" w:cs="宋体"/>
          <w:color w:val="auto"/>
        </w:rPr>
      </w:pPr>
      <w:r>
        <w:rPr>
          <w:rFonts w:hint="eastAsia" w:ascii="宋体" w:hAnsi="宋体" w:cs="宋体"/>
          <w:color w:val="auto"/>
        </w:rPr>
        <w:br w:type="page"/>
      </w:r>
    </w:p>
    <w:p>
      <w:pPr>
        <w:pStyle w:val="3"/>
        <w:jc w:val="center"/>
        <w:rPr>
          <w:rFonts w:ascii="宋体" w:hAnsi="宋体" w:eastAsia="宋体" w:cs="宋体"/>
          <w:b w:val="0"/>
          <w:bCs w:val="0"/>
          <w:color w:val="auto"/>
        </w:rPr>
      </w:pPr>
      <w:bookmarkStart w:id="274" w:name="_Toc22163"/>
      <w:bookmarkStart w:id="275" w:name="_Toc11120"/>
      <w:r>
        <w:rPr>
          <w:rFonts w:hint="eastAsia" w:ascii="宋体" w:hAnsi="宋体" w:eastAsia="宋体" w:cs="宋体"/>
          <w:b w:val="0"/>
          <w:bCs w:val="0"/>
          <w:color w:val="auto"/>
        </w:rPr>
        <w:t>第二节 投诉书（格式）</w:t>
      </w:r>
      <w:bookmarkEnd w:id="272"/>
      <w:bookmarkEnd w:id="273"/>
      <w:bookmarkEnd w:id="274"/>
      <w:bookmarkEnd w:id="275"/>
    </w:p>
    <w:p>
      <w:pPr>
        <w:jc w:val="center"/>
        <w:rPr>
          <w:rFonts w:ascii="宋体" w:hAnsi="宋体" w:cs="宋体"/>
          <w:b/>
          <w:color w:val="auto"/>
          <w:sz w:val="44"/>
          <w:szCs w:val="44"/>
        </w:rPr>
      </w:pPr>
      <w:r>
        <w:rPr>
          <w:rFonts w:hint="eastAsia" w:ascii="宋体" w:hAnsi="宋体" w:cs="宋体"/>
          <w:b/>
          <w:color w:val="auto"/>
          <w:sz w:val="30"/>
          <w:szCs w:val="30"/>
        </w:rPr>
        <w:t>投诉书</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p>
    <w:p>
      <w:pPr>
        <w:spacing w:line="360" w:lineRule="auto"/>
        <w:rPr>
          <w:rFonts w:ascii="宋体" w:hAnsi="宋体" w:cs="宋体"/>
          <w:color w:val="auto"/>
          <w:sz w:val="24"/>
          <w:u w:val="dotted"/>
        </w:rPr>
      </w:pPr>
      <w:r>
        <w:rPr>
          <w:rFonts w:hint="eastAsia" w:ascii="宋体" w:hAnsi="宋体" w:cs="宋体"/>
          <w:color w:val="auto"/>
          <w:sz w:val="24"/>
        </w:rPr>
        <w:t>授权代表：联系电话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被投诉人1：</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联系人：联系电话：</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联系人：联系电话：</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bookmarkStart w:id="276" w:name="PO_3000001867_PM002_12"/>
      <w:bookmarkEnd w:id="276"/>
    </w:p>
    <w:p>
      <w:pPr>
        <w:spacing w:line="360" w:lineRule="auto"/>
        <w:rPr>
          <w:rFonts w:ascii="宋体" w:hAnsi="宋体" w:cs="宋体"/>
          <w:color w:val="auto"/>
          <w:sz w:val="24"/>
          <w:u w:val="single"/>
        </w:rPr>
      </w:pPr>
      <w:r>
        <w:rPr>
          <w:rFonts w:hint="eastAsia" w:ascii="宋体" w:hAnsi="宋体" w:cs="宋体"/>
          <w:color w:val="auto"/>
          <w:sz w:val="24"/>
        </w:rPr>
        <w:t>采购项目编号：</w:t>
      </w:r>
      <w:bookmarkStart w:id="277" w:name="PO_3000001867_PM001_9"/>
      <w:bookmarkEnd w:id="277"/>
      <w:r>
        <w:rPr>
          <w:rFonts w:hint="eastAsia" w:ascii="宋体" w:hAnsi="宋体" w:cs="宋体"/>
          <w:color w:val="auto"/>
          <w:sz w:val="24"/>
        </w:rPr>
        <w:t>包号：</w:t>
      </w:r>
    </w:p>
    <w:p>
      <w:pPr>
        <w:spacing w:line="360" w:lineRule="auto"/>
        <w:rPr>
          <w:rFonts w:ascii="宋体" w:hAnsi="宋体" w:cs="宋体"/>
          <w:color w:val="auto"/>
          <w:sz w:val="24"/>
        </w:rPr>
      </w:pPr>
      <w:r>
        <w:rPr>
          <w:rFonts w:hint="eastAsia" w:ascii="宋体" w:hAnsi="宋体" w:cs="宋体"/>
          <w:color w:val="auto"/>
          <w:sz w:val="24"/>
        </w:rPr>
        <w:t>采购人名称：</w:t>
      </w:r>
      <w:bookmarkStart w:id="278" w:name="PO_3000001867_PM026_6"/>
      <w:bookmarkEnd w:id="278"/>
    </w:p>
    <w:p>
      <w:pPr>
        <w:spacing w:line="360" w:lineRule="auto"/>
        <w:rPr>
          <w:rFonts w:ascii="宋体" w:hAnsi="宋体" w:cs="宋体"/>
          <w:color w:val="auto"/>
          <w:sz w:val="24"/>
          <w:u w:val="single"/>
        </w:rPr>
      </w:pPr>
      <w:r>
        <w:rPr>
          <w:rFonts w:hint="eastAsia" w:ascii="宋体" w:hAnsi="宋体" w:cs="宋体"/>
          <w:color w:val="auto"/>
          <w:sz w:val="24"/>
        </w:rPr>
        <w:t>代理机构名称：</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投诉人于年月日,向提出质疑，质疑事项为：</w:t>
      </w:r>
    </w:p>
    <w:p>
      <w:pPr>
        <w:spacing w:line="360" w:lineRule="auto"/>
        <w:rPr>
          <w:rFonts w:ascii="宋体" w:hAnsi="宋体" w:cs="宋体"/>
          <w:color w:val="auto"/>
          <w:sz w:val="24"/>
          <w:u w:val="dotted"/>
        </w:rPr>
      </w:pP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于年月日,就质疑事项作出了答复/没有在法定期限内作出答复。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p>
    <w:p>
      <w:pPr>
        <w:spacing w:line="360" w:lineRule="auto"/>
        <w:rPr>
          <w:rFonts w:ascii="宋体" w:hAnsi="宋体" w:cs="宋体"/>
          <w:color w:val="auto"/>
          <w:sz w:val="24"/>
        </w:rPr>
      </w:pPr>
      <w:r>
        <w:rPr>
          <w:rFonts w:hint="eastAsia" w:ascii="宋体" w:hAnsi="宋体" w:cs="宋体"/>
          <w:color w:val="auto"/>
          <w:sz w:val="24"/>
        </w:rPr>
        <w:t>事实依据：</w:t>
      </w:r>
    </w:p>
    <w:p>
      <w:pPr>
        <w:spacing w:line="360" w:lineRule="auto"/>
        <w:rPr>
          <w:rFonts w:ascii="宋体" w:hAnsi="宋体" w:cs="宋体"/>
          <w:color w:val="auto"/>
          <w:sz w:val="24"/>
          <w:u w:val="dotted"/>
        </w:rPr>
      </w:pPr>
    </w:p>
    <w:p>
      <w:pPr>
        <w:spacing w:line="360" w:lineRule="auto"/>
        <w:rPr>
          <w:rFonts w:ascii="宋体" w:hAnsi="宋体" w:cs="宋体"/>
          <w:color w:val="auto"/>
          <w:sz w:val="24"/>
          <w:u w:val="single"/>
        </w:rPr>
      </w:pPr>
      <w:r>
        <w:rPr>
          <w:rFonts w:hint="eastAsia" w:ascii="宋体" w:hAnsi="宋体" w:cs="宋体"/>
          <w:color w:val="auto"/>
          <w:sz w:val="24"/>
        </w:rPr>
        <w:t>法律依据：</w:t>
      </w:r>
    </w:p>
    <w:p>
      <w:pPr>
        <w:spacing w:line="360" w:lineRule="auto"/>
        <w:rPr>
          <w:rFonts w:ascii="宋体" w:hAnsi="宋体" w:cs="宋体"/>
          <w:color w:val="auto"/>
          <w:sz w:val="24"/>
          <w:u w:val="dotted"/>
        </w:rPr>
      </w:pP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ind w:firstLine="6960" w:firstLineChars="2900"/>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2.投诉人若委托代理人进行投诉的，投诉书应按照要求列明“授权代表”的有关内容，并在附件中提交由</w:t>
      </w:r>
      <w:r>
        <w:rPr>
          <w:rFonts w:hint="eastAsia" w:ascii="宋体" w:hAnsi="宋体" w:cs="宋体"/>
          <w:color w:val="auto"/>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3.投诉人若对项目的某一分包进行投诉，投诉书应列明具体分包号。</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4.投诉书应简要列明质疑事项，质疑函、质疑答复等作为附件材料提供。</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5.投诉书的投诉事项应具体、明确，并有必要的事实依据和法律依据。</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6.投诉书的投诉请求应与投诉事项相关。</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7.投诉人为自然人的，投诉书应当由本人签字。投诉人为法人或者其他组织的，投诉书应当由法定代表人、主要负责人，或者其授权代表签字或者盖章，并加盖公章。</w:t>
      </w:r>
    </w:p>
    <w:sectPr>
      <w:footerReference r:id="rId4" w:type="default"/>
      <w:pgSz w:w="11905" w:h="16838"/>
      <w:pgMar w:top="1134" w:right="1134" w:bottom="1134" w:left="1134" w:header="850" w:footer="850" w:gutter="0"/>
      <w:pgNumType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0F3C52" w:usb2="00000016" w:usb3="00000000" w:csb0="0004001F" w:csb1="00000000"/>
  </w:font>
  <w:font w:name="Perpetua">
    <w:altName w:val="PMingLiU-ExtB"/>
    <w:panose1 w:val="02020502060401020303"/>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8gl4ZsQEA&#10;AFoDAAAOAAAAAAAAAAEAIAAAAB4BAABkcnMvZTJvRG9jLnhtbFBLBQYAAAAABgAGAFkBAABBBQAA&#10;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GRdgxSz&#10;AQAAWgMAAA4AAAAAAAAAAQAgAAAAHgEAAGRycy9lMm9Eb2MueG1sUEsFBgAAAAAGAAYAWQEAAEMF&#10;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A5CB1"/>
    <w:multiLevelType w:val="singleLevel"/>
    <w:tmpl w:val="8D0A5CB1"/>
    <w:lvl w:ilvl="0" w:tentative="0">
      <w:start w:val="1"/>
      <w:numFmt w:val="decimal"/>
      <w:suff w:val="nothing"/>
      <w:lvlText w:val="%1）"/>
      <w:lvlJc w:val="left"/>
    </w:lvl>
  </w:abstractNum>
  <w:abstractNum w:abstractNumId="1">
    <w:nsid w:val="E7900210"/>
    <w:multiLevelType w:val="singleLevel"/>
    <w:tmpl w:val="E7900210"/>
    <w:lvl w:ilvl="0" w:tentative="0">
      <w:start w:val="7"/>
      <w:numFmt w:val="chineseCounting"/>
      <w:suff w:val="nothing"/>
      <w:lvlText w:val="%1、"/>
      <w:lvlJc w:val="left"/>
      <w:rPr>
        <w:rFonts w:hint="eastAsia"/>
      </w:r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NjM2YjFiY2QwNzc3ODBhMmY3NDEwNDdkODRkYWEifQ=="/>
    <w:docVar w:name="KSO_WPS_MARK_KEY" w:val="cc415a39-06a3-4dc9-aacc-f90bba6054fc"/>
  </w:docVars>
  <w:rsids>
    <w:rsidRoot w:val="00092860"/>
    <w:rsid w:val="00005EFD"/>
    <w:rsid w:val="00040261"/>
    <w:rsid w:val="00040F92"/>
    <w:rsid w:val="000433C1"/>
    <w:rsid w:val="00047C64"/>
    <w:rsid w:val="0006204B"/>
    <w:rsid w:val="00073D4E"/>
    <w:rsid w:val="00092860"/>
    <w:rsid w:val="000B701C"/>
    <w:rsid w:val="000C1984"/>
    <w:rsid w:val="000E6FB9"/>
    <w:rsid w:val="00116758"/>
    <w:rsid w:val="001320E9"/>
    <w:rsid w:val="001328D2"/>
    <w:rsid w:val="00166007"/>
    <w:rsid w:val="001949E5"/>
    <w:rsid w:val="001975A0"/>
    <w:rsid w:val="001E11C8"/>
    <w:rsid w:val="00206CEE"/>
    <w:rsid w:val="002208DF"/>
    <w:rsid w:val="002346FE"/>
    <w:rsid w:val="002615F8"/>
    <w:rsid w:val="00275094"/>
    <w:rsid w:val="002E1317"/>
    <w:rsid w:val="002E1352"/>
    <w:rsid w:val="00323940"/>
    <w:rsid w:val="00332988"/>
    <w:rsid w:val="00343249"/>
    <w:rsid w:val="00352BD7"/>
    <w:rsid w:val="003A33A9"/>
    <w:rsid w:val="003B0490"/>
    <w:rsid w:val="003D2DC5"/>
    <w:rsid w:val="003F6450"/>
    <w:rsid w:val="00404521"/>
    <w:rsid w:val="00404A75"/>
    <w:rsid w:val="0041040E"/>
    <w:rsid w:val="00413E2E"/>
    <w:rsid w:val="004230D0"/>
    <w:rsid w:val="00425E61"/>
    <w:rsid w:val="004341BF"/>
    <w:rsid w:val="00492DB5"/>
    <w:rsid w:val="004D349F"/>
    <w:rsid w:val="004E0BEA"/>
    <w:rsid w:val="004F0BE8"/>
    <w:rsid w:val="00506186"/>
    <w:rsid w:val="00521698"/>
    <w:rsid w:val="005D39C3"/>
    <w:rsid w:val="005E055C"/>
    <w:rsid w:val="005E19AB"/>
    <w:rsid w:val="005F097E"/>
    <w:rsid w:val="0062026B"/>
    <w:rsid w:val="006469AF"/>
    <w:rsid w:val="00657C4E"/>
    <w:rsid w:val="00671656"/>
    <w:rsid w:val="006746F4"/>
    <w:rsid w:val="00684132"/>
    <w:rsid w:val="0069357D"/>
    <w:rsid w:val="006A2183"/>
    <w:rsid w:val="006A243D"/>
    <w:rsid w:val="006D1017"/>
    <w:rsid w:val="006D1A81"/>
    <w:rsid w:val="006D315D"/>
    <w:rsid w:val="006F5C1E"/>
    <w:rsid w:val="006F674C"/>
    <w:rsid w:val="007259C4"/>
    <w:rsid w:val="00731D95"/>
    <w:rsid w:val="0074115E"/>
    <w:rsid w:val="00746AAA"/>
    <w:rsid w:val="007A5708"/>
    <w:rsid w:val="007B3E60"/>
    <w:rsid w:val="007C1F83"/>
    <w:rsid w:val="007D02E4"/>
    <w:rsid w:val="007D33CA"/>
    <w:rsid w:val="007E170F"/>
    <w:rsid w:val="00800818"/>
    <w:rsid w:val="00866160"/>
    <w:rsid w:val="00886F11"/>
    <w:rsid w:val="00897E52"/>
    <w:rsid w:val="008A7DA6"/>
    <w:rsid w:val="008B62D3"/>
    <w:rsid w:val="00924691"/>
    <w:rsid w:val="00927301"/>
    <w:rsid w:val="00944E5A"/>
    <w:rsid w:val="0094544D"/>
    <w:rsid w:val="00964401"/>
    <w:rsid w:val="00974C77"/>
    <w:rsid w:val="009C1A32"/>
    <w:rsid w:val="009E1B7A"/>
    <w:rsid w:val="00A907CB"/>
    <w:rsid w:val="00AB3CBD"/>
    <w:rsid w:val="00AB65BD"/>
    <w:rsid w:val="00AF00B1"/>
    <w:rsid w:val="00B23A9C"/>
    <w:rsid w:val="00B243DA"/>
    <w:rsid w:val="00B27F7B"/>
    <w:rsid w:val="00B30ABD"/>
    <w:rsid w:val="00B320CD"/>
    <w:rsid w:val="00BA110F"/>
    <w:rsid w:val="00BB1996"/>
    <w:rsid w:val="00BD63A3"/>
    <w:rsid w:val="00BF6AB3"/>
    <w:rsid w:val="00C01C69"/>
    <w:rsid w:val="00C51A0F"/>
    <w:rsid w:val="00C53945"/>
    <w:rsid w:val="00C761DB"/>
    <w:rsid w:val="00C80FAE"/>
    <w:rsid w:val="00C932F3"/>
    <w:rsid w:val="00CE369E"/>
    <w:rsid w:val="00D01581"/>
    <w:rsid w:val="00D27864"/>
    <w:rsid w:val="00D37BA9"/>
    <w:rsid w:val="00D4271F"/>
    <w:rsid w:val="00D43ECA"/>
    <w:rsid w:val="00D60F26"/>
    <w:rsid w:val="00D67588"/>
    <w:rsid w:val="00D75E51"/>
    <w:rsid w:val="00D8314B"/>
    <w:rsid w:val="00DC086B"/>
    <w:rsid w:val="00DD2A79"/>
    <w:rsid w:val="00DE6753"/>
    <w:rsid w:val="00E06334"/>
    <w:rsid w:val="00E0684F"/>
    <w:rsid w:val="00E52EA4"/>
    <w:rsid w:val="00E90D51"/>
    <w:rsid w:val="00E93F6B"/>
    <w:rsid w:val="00EA6B38"/>
    <w:rsid w:val="00EA74E9"/>
    <w:rsid w:val="00EA7EFA"/>
    <w:rsid w:val="00EB20A0"/>
    <w:rsid w:val="00EB3877"/>
    <w:rsid w:val="00EC1B3B"/>
    <w:rsid w:val="00EC2F8A"/>
    <w:rsid w:val="00ED56BD"/>
    <w:rsid w:val="00F118ED"/>
    <w:rsid w:val="00F13DF3"/>
    <w:rsid w:val="00F319A0"/>
    <w:rsid w:val="00F42A56"/>
    <w:rsid w:val="00FA6902"/>
    <w:rsid w:val="00FC144D"/>
    <w:rsid w:val="00FC24C0"/>
    <w:rsid w:val="00FD094F"/>
    <w:rsid w:val="00FF3DE7"/>
    <w:rsid w:val="01395249"/>
    <w:rsid w:val="01501A81"/>
    <w:rsid w:val="015F6672"/>
    <w:rsid w:val="0178768B"/>
    <w:rsid w:val="01A465D8"/>
    <w:rsid w:val="01AF481A"/>
    <w:rsid w:val="01C35E5B"/>
    <w:rsid w:val="01D05436"/>
    <w:rsid w:val="01E834DD"/>
    <w:rsid w:val="01FC3C59"/>
    <w:rsid w:val="02031D61"/>
    <w:rsid w:val="02291C3C"/>
    <w:rsid w:val="02310013"/>
    <w:rsid w:val="025C0116"/>
    <w:rsid w:val="026B50D9"/>
    <w:rsid w:val="02A272AC"/>
    <w:rsid w:val="02A67674"/>
    <w:rsid w:val="02E31FD2"/>
    <w:rsid w:val="0306705D"/>
    <w:rsid w:val="030D5636"/>
    <w:rsid w:val="03605F71"/>
    <w:rsid w:val="036B2DF9"/>
    <w:rsid w:val="03770D13"/>
    <w:rsid w:val="03AE795E"/>
    <w:rsid w:val="03EE57A7"/>
    <w:rsid w:val="03FA155C"/>
    <w:rsid w:val="043E4F7B"/>
    <w:rsid w:val="044B1342"/>
    <w:rsid w:val="044C5900"/>
    <w:rsid w:val="045C19CE"/>
    <w:rsid w:val="04612AD6"/>
    <w:rsid w:val="046B3DBE"/>
    <w:rsid w:val="048D2882"/>
    <w:rsid w:val="04CD4BA2"/>
    <w:rsid w:val="04E5492A"/>
    <w:rsid w:val="04E95DFE"/>
    <w:rsid w:val="050713FA"/>
    <w:rsid w:val="05240B21"/>
    <w:rsid w:val="05381E09"/>
    <w:rsid w:val="05420BC4"/>
    <w:rsid w:val="0560691E"/>
    <w:rsid w:val="0590302E"/>
    <w:rsid w:val="05961E8B"/>
    <w:rsid w:val="05C1044E"/>
    <w:rsid w:val="05D10BE5"/>
    <w:rsid w:val="05DC336A"/>
    <w:rsid w:val="05F63235"/>
    <w:rsid w:val="061D52B0"/>
    <w:rsid w:val="068059CA"/>
    <w:rsid w:val="06C615A2"/>
    <w:rsid w:val="06D4416C"/>
    <w:rsid w:val="06D46C13"/>
    <w:rsid w:val="06F278E4"/>
    <w:rsid w:val="070D5F42"/>
    <w:rsid w:val="079A4A26"/>
    <w:rsid w:val="07B376E6"/>
    <w:rsid w:val="07CD098C"/>
    <w:rsid w:val="07D6030C"/>
    <w:rsid w:val="082E2B4C"/>
    <w:rsid w:val="084D5698"/>
    <w:rsid w:val="087E1C14"/>
    <w:rsid w:val="0881106A"/>
    <w:rsid w:val="089C7BA1"/>
    <w:rsid w:val="08CE35E0"/>
    <w:rsid w:val="08E37B9C"/>
    <w:rsid w:val="0900512E"/>
    <w:rsid w:val="092C2D7B"/>
    <w:rsid w:val="09495EE2"/>
    <w:rsid w:val="09617865"/>
    <w:rsid w:val="096B114E"/>
    <w:rsid w:val="09755E6F"/>
    <w:rsid w:val="09CB08A8"/>
    <w:rsid w:val="09CD0A4B"/>
    <w:rsid w:val="09EB451C"/>
    <w:rsid w:val="0A207B6A"/>
    <w:rsid w:val="0A321B2F"/>
    <w:rsid w:val="0A3D48EC"/>
    <w:rsid w:val="0A440EE2"/>
    <w:rsid w:val="0A442FC6"/>
    <w:rsid w:val="0A6E77AA"/>
    <w:rsid w:val="0A7C6B3F"/>
    <w:rsid w:val="0A8050FD"/>
    <w:rsid w:val="0AA84A7A"/>
    <w:rsid w:val="0AB77720"/>
    <w:rsid w:val="0ABF2050"/>
    <w:rsid w:val="0AC02B81"/>
    <w:rsid w:val="0B1247E5"/>
    <w:rsid w:val="0B154457"/>
    <w:rsid w:val="0B1D0203"/>
    <w:rsid w:val="0B3072B3"/>
    <w:rsid w:val="0B3B24B4"/>
    <w:rsid w:val="0B445C63"/>
    <w:rsid w:val="0B4877C7"/>
    <w:rsid w:val="0B4C6367"/>
    <w:rsid w:val="0B514107"/>
    <w:rsid w:val="0B6A45AB"/>
    <w:rsid w:val="0BA34615"/>
    <w:rsid w:val="0BC578BF"/>
    <w:rsid w:val="0BEF2F28"/>
    <w:rsid w:val="0BF12E98"/>
    <w:rsid w:val="0C0F1C38"/>
    <w:rsid w:val="0C186E28"/>
    <w:rsid w:val="0C9E2876"/>
    <w:rsid w:val="0CA03088"/>
    <w:rsid w:val="0CA569E8"/>
    <w:rsid w:val="0CE07FC0"/>
    <w:rsid w:val="0CE7664A"/>
    <w:rsid w:val="0CF213D5"/>
    <w:rsid w:val="0CFF2150"/>
    <w:rsid w:val="0D0D5916"/>
    <w:rsid w:val="0D330BC5"/>
    <w:rsid w:val="0D340ECF"/>
    <w:rsid w:val="0D48462F"/>
    <w:rsid w:val="0D8F75D2"/>
    <w:rsid w:val="0DB56F4F"/>
    <w:rsid w:val="0DC84865"/>
    <w:rsid w:val="0DD75714"/>
    <w:rsid w:val="0DE47945"/>
    <w:rsid w:val="0DF75B9A"/>
    <w:rsid w:val="0E220612"/>
    <w:rsid w:val="0E725B97"/>
    <w:rsid w:val="0E7556DE"/>
    <w:rsid w:val="0E8E68FD"/>
    <w:rsid w:val="0E9A6F2A"/>
    <w:rsid w:val="0EA659C4"/>
    <w:rsid w:val="0EF01944"/>
    <w:rsid w:val="0EF90D99"/>
    <w:rsid w:val="0F00618D"/>
    <w:rsid w:val="0F1737C0"/>
    <w:rsid w:val="0F2949AA"/>
    <w:rsid w:val="0F4D74A9"/>
    <w:rsid w:val="0F731279"/>
    <w:rsid w:val="0F77651E"/>
    <w:rsid w:val="0FB42576"/>
    <w:rsid w:val="0FC73841"/>
    <w:rsid w:val="0FCC660D"/>
    <w:rsid w:val="0FEE7837"/>
    <w:rsid w:val="100A11F9"/>
    <w:rsid w:val="104A5ED2"/>
    <w:rsid w:val="104D6255"/>
    <w:rsid w:val="10541BDE"/>
    <w:rsid w:val="10557F85"/>
    <w:rsid w:val="107A63E2"/>
    <w:rsid w:val="107E76D8"/>
    <w:rsid w:val="10944FD2"/>
    <w:rsid w:val="109945F0"/>
    <w:rsid w:val="10B90CC1"/>
    <w:rsid w:val="10BE33CE"/>
    <w:rsid w:val="11097A4C"/>
    <w:rsid w:val="111F5232"/>
    <w:rsid w:val="11241962"/>
    <w:rsid w:val="1136674A"/>
    <w:rsid w:val="115A7AB4"/>
    <w:rsid w:val="116511AC"/>
    <w:rsid w:val="1175390C"/>
    <w:rsid w:val="11A5685A"/>
    <w:rsid w:val="11AD135C"/>
    <w:rsid w:val="11C3225E"/>
    <w:rsid w:val="11C813B5"/>
    <w:rsid w:val="11D04827"/>
    <w:rsid w:val="120255E6"/>
    <w:rsid w:val="12375093"/>
    <w:rsid w:val="123A1002"/>
    <w:rsid w:val="1260352A"/>
    <w:rsid w:val="128F202C"/>
    <w:rsid w:val="128F3AA7"/>
    <w:rsid w:val="129E3422"/>
    <w:rsid w:val="12E21004"/>
    <w:rsid w:val="1357071E"/>
    <w:rsid w:val="13902C50"/>
    <w:rsid w:val="13D047EB"/>
    <w:rsid w:val="13E54EC3"/>
    <w:rsid w:val="13FE54A6"/>
    <w:rsid w:val="140E01AF"/>
    <w:rsid w:val="14AB460B"/>
    <w:rsid w:val="14E83491"/>
    <w:rsid w:val="14F0250E"/>
    <w:rsid w:val="14F21311"/>
    <w:rsid w:val="14F72EA7"/>
    <w:rsid w:val="14F876A6"/>
    <w:rsid w:val="15214A13"/>
    <w:rsid w:val="15235BEC"/>
    <w:rsid w:val="152D417A"/>
    <w:rsid w:val="153176E7"/>
    <w:rsid w:val="1555339C"/>
    <w:rsid w:val="15665BE5"/>
    <w:rsid w:val="15855917"/>
    <w:rsid w:val="15AA5213"/>
    <w:rsid w:val="15FD5FF7"/>
    <w:rsid w:val="16120462"/>
    <w:rsid w:val="1644187B"/>
    <w:rsid w:val="16580EF6"/>
    <w:rsid w:val="168373DC"/>
    <w:rsid w:val="168E0ABB"/>
    <w:rsid w:val="16B424D3"/>
    <w:rsid w:val="16D84525"/>
    <w:rsid w:val="16F639D7"/>
    <w:rsid w:val="16FA5577"/>
    <w:rsid w:val="170B5DEB"/>
    <w:rsid w:val="17231CAA"/>
    <w:rsid w:val="17715B9E"/>
    <w:rsid w:val="177C52AB"/>
    <w:rsid w:val="178C1678"/>
    <w:rsid w:val="179B7A41"/>
    <w:rsid w:val="17DB2585"/>
    <w:rsid w:val="17DE14ED"/>
    <w:rsid w:val="17F12716"/>
    <w:rsid w:val="180E5F8F"/>
    <w:rsid w:val="18360182"/>
    <w:rsid w:val="183B1AC3"/>
    <w:rsid w:val="184030B8"/>
    <w:rsid w:val="185163E0"/>
    <w:rsid w:val="18847238"/>
    <w:rsid w:val="188925D5"/>
    <w:rsid w:val="189F21ED"/>
    <w:rsid w:val="18D84350"/>
    <w:rsid w:val="18E268D6"/>
    <w:rsid w:val="18FC3F1D"/>
    <w:rsid w:val="195D708F"/>
    <w:rsid w:val="196D233A"/>
    <w:rsid w:val="198A2159"/>
    <w:rsid w:val="199302C7"/>
    <w:rsid w:val="19A82E33"/>
    <w:rsid w:val="19B539B2"/>
    <w:rsid w:val="19D76353"/>
    <w:rsid w:val="19DA7E6E"/>
    <w:rsid w:val="19F7593C"/>
    <w:rsid w:val="19FF62E5"/>
    <w:rsid w:val="19FF7C9C"/>
    <w:rsid w:val="1A174B1D"/>
    <w:rsid w:val="1A387E91"/>
    <w:rsid w:val="1A3A40FB"/>
    <w:rsid w:val="1A4C19F4"/>
    <w:rsid w:val="1AAD4CCF"/>
    <w:rsid w:val="1AAE1CBA"/>
    <w:rsid w:val="1AD31C97"/>
    <w:rsid w:val="1B4924A4"/>
    <w:rsid w:val="1B6A31E8"/>
    <w:rsid w:val="1B842574"/>
    <w:rsid w:val="1BA065DA"/>
    <w:rsid w:val="1BC916E1"/>
    <w:rsid w:val="1BDF4030"/>
    <w:rsid w:val="1BF806F8"/>
    <w:rsid w:val="1BFC4AC7"/>
    <w:rsid w:val="1C185534"/>
    <w:rsid w:val="1C2B32A2"/>
    <w:rsid w:val="1C5D2335"/>
    <w:rsid w:val="1C665C29"/>
    <w:rsid w:val="1C786E29"/>
    <w:rsid w:val="1C877DEB"/>
    <w:rsid w:val="1CAC6DB0"/>
    <w:rsid w:val="1CAD636B"/>
    <w:rsid w:val="1CB6222B"/>
    <w:rsid w:val="1CBD440D"/>
    <w:rsid w:val="1CBE5341"/>
    <w:rsid w:val="1CCB3614"/>
    <w:rsid w:val="1CDD7D6D"/>
    <w:rsid w:val="1D253EFC"/>
    <w:rsid w:val="1D2A47E8"/>
    <w:rsid w:val="1D393A52"/>
    <w:rsid w:val="1D750703"/>
    <w:rsid w:val="1D7A1894"/>
    <w:rsid w:val="1DCE20EE"/>
    <w:rsid w:val="1DE226E0"/>
    <w:rsid w:val="1DE627B1"/>
    <w:rsid w:val="1DF632FD"/>
    <w:rsid w:val="1DFE7AF7"/>
    <w:rsid w:val="1E271599"/>
    <w:rsid w:val="1E2B1BA1"/>
    <w:rsid w:val="1E2D0A51"/>
    <w:rsid w:val="1E2E1439"/>
    <w:rsid w:val="1E30165C"/>
    <w:rsid w:val="1E6E7D5B"/>
    <w:rsid w:val="1E7F2573"/>
    <w:rsid w:val="1E9B4FE9"/>
    <w:rsid w:val="1EB90507"/>
    <w:rsid w:val="1EEB19BE"/>
    <w:rsid w:val="1EF366B1"/>
    <w:rsid w:val="1F0900D7"/>
    <w:rsid w:val="1F183CCC"/>
    <w:rsid w:val="1F313114"/>
    <w:rsid w:val="1F5D2DC6"/>
    <w:rsid w:val="1F5F7CA0"/>
    <w:rsid w:val="1FC22195"/>
    <w:rsid w:val="204C2871"/>
    <w:rsid w:val="20562900"/>
    <w:rsid w:val="205F1D91"/>
    <w:rsid w:val="207115C6"/>
    <w:rsid w:val="2086299A"/>
    <w:rsid w:val="20D41501"/>
    <w:rsid w:val="20D96253"/>
    <w:rsid w:val="20E57500"/>
    <w:rsid w:val="20FE0563"/>
    <w:rsid w:val="21233C69"/>
    <w:rsid w:val="21235044"/>
    <w:rsid w:val="21250ADE"/>
    <w:rsid w:val="212A1E87"/>
    <w:rsid w:val="212F143A"/>
    <w:rsid w:val="2174123C"/>
    <w:rsid w:val="21843D65"/>
    <w:rsid w:val="21A46BEE"/>
    <w:rsid w:val="21D83489"/>
    <w:rsid w:val="21DC73B6"/>
    <w:rsid w:val="21EB11BF"/>
    <w:rsid w:val="22571B51"/>
    <w:rsid w:val="22636561"/>
    <w:rsid w:val="22764103"/>
    <w:rsid w:val="22981F9C"/>
    <w:rsid w:val="22B12860"/>
    <w:rsid w:val="22BD15A2"/>
    <w:rsid w:val="22C65A35"/>
    <w:rsid w:val="22C67910"/>
    <w:rsid w:val="22DA2ABA"/>
    <w:rsid w:val="22DB0A7C"/>
    <w:rsid w:val="231B3691"/>
    <w:rsid w:val="231B417D"/>
    <w:rsid w:val="2361787B"/>
    <w:rsid w:val="23720081"/>
    <w:rsid w:val="23916F72"/>
    <w:rsid w:val="23F9568A"/>
    <w:rsid w:val="240B21EF"/>
    <w:rsid w:val="24236C43"/>
    <w:rsid w:val="242A21AC"/>
    <w:rsid w:val="242C3DBC"/>
    <w:rsid w:val="24443DC5"/>
    <w:rsid w:val="244761E2"/>
    <w:rsid w:val="246B4C91"/>
    <w:rsid w:val="24B15D57"/>
    <w:rsid w:val="25071F3A"/>
    <w:rsid w:val="25420D70"/>
    <w:rsid w:val="2586094A"/>
    <w:rsid w:val="25975B6C"/>
    <w:rsid w:val="25AF5431"/>
    <w:rsid w:val="25D20619"/>
    <w:rsid w:val="25D30D3F"/>
    <w:rsid w:val="26030548"/>
    <w:rsid w:val="260A4F6A"/>
    <w:rsid w:val="26123616"/>
    <w:rsid w:val="2637724E"/>
    <w:rsid w:val="26442E34"/>
    <w:rsid w:val="26585DBB"/>
    <w:rsid w:val="265912DF"/>
    <w:rsid w:val="26673500"/>
    <w:rsid w:val="26933183"/>
    <w:rsid w:val="26963FCB"/>
    <w:rsid w:val="26B923C6"/>
    <w:rsid w:val="26C076C9"/>
    <w:rsid w:val="26C82234"/>
    <w:rsid w:val="26EF40E8"/>
    <w:rsid w:val="26F02336"/>
    <w:rsid w:val="26F8053B"/>
    <w:rsid w:val="26FC3E21"/>
    <w:rsid w:val="275335A0"/>
    <w:rsid w:val="27595504"/>
    <w:rsid w:val="276D6179"/>
    <w:rsid w:val="277A3E04"/>
    <w:rsid w:val="27A120BD"/>
    <w:rsid w:val="27D61CCF"/>
    <w:rsid w:val="27FD32DC"/>
    <w:rsid w:val="28075FC6"/>
    <w:rsid w:val="282D64B7"/>
    <w:rsid w:val="283B5FDF"/>
    <w:rsid w:val="28444B01"/>
    <w:rsid w:val="284E4D40"/>
    <w:rsid w:val="284F6DA3"/>
    <w:rsid w:val="287D7A19"/>
    <w:rsid w:val="288B11F3"/>
    <w:rsid w:val="28991214"/>
    <w:rsid w:val="28B53785"/>
    <w:rsid w:val="28B77537"/>
    <w:rsid w:val="28C80F21"/>
    <w:rsid w:val="28E02ADB"/>
    <w:rsid w:val="28F1279C"/>
    <w:rsid w:val="290A5ABC"/>
    <w:rsid w:val="290B2CB8"/>
    <w:rsid w:val="291A3A54"/>
    <w:rsid w:val="29304070"/>
    <w:rsid w:val="294A57BC"/>
    <w:rsid w:val="29751076"/>
    <w:rsid w:val="29882031"/>
    <w:rsid w:val="298E088F"/>
    <w:rsid w:val="29970C57"/>
    <w:rsid w:val="29A32B13"/>
    <w:rsid w:val="29DA0519"/>
    <w:rsid w:val="29DF0BF3"/>
    <w:rsid w:val="2A3E2071"/>
    <w:rsid w:val="2A4D29A2"/>
    <w:rsid w:val="2A514DFD"/>
    <w:rsid w:val="2A547601"/>
    <w:rsid w:val="2A551074"/>
    <w:rsid w:val="2A9071FF"/>
    <w:rsid w:val="2AA909A7"/>
    <w:rsid w:val="2AB23A66"/>
    <w:rsid w:val="2AB467A5"/>
    <w:rsid w:val="2AEC7648"/>
    <w:rsid w:val="2AF633B8"/>
    <w:rsid w:val="2B0B4625"/>
    <w:rsid w:val="2B294AB2"/>
    <w:rsid w:val="2B3A36BA"/>
    <w:rsid w:val="2B441827"/>
    <w:rsid w:val="2B8102D9"/>
    <w:rsid w:val="2BA054AC"/>
    <w:rsid w:val="2BA107C5"/>
    <w:rsid w:val="2BA5117D"/>
    <w:rsid w:val="2BA660F3"/>
    <w:rsid w:val="2BBC3AB5"/>
    <w:rsid w:val="2BC2145B"/>
    <w:rsid w:val="2BDF216D"/>
    <w:rsid w:val="2BF04FEE"/>
    <w:rsid w:val="2C0F477D"/>
    <w:rsid w:val="2C114EFC"/>
    <w:rsid w:val="2C43445B"/>
    <w:rsid w:val="2C522220"/>
    <w:rsid w:val="2C5E1A1C"/>
    <w:rsid w:val="2C784EAD"/>
    <w:rsid w:val="2C881F38"/>
    <w:rsid w:val="2CC226F3"/>
    <w:rsid w:val="2CC65AEC"/>
    <w:rsid w:val="2CCA4130"/>
    <w:rsid w:val="2CD26DA1"/>
    <w:rsid w:val="2CDE3600"/>
    <w:rsid w:val="2CFB1FBE"/>
    <w:rsid w:val="2D1B1014"/>
    <w:rsid w:val="2D4F3EFB"/>
    <w:rsid w:val="2D5979AF"/>
    <w:rsid w:val="2D5E5C4E"/>
    <w:rsid w:val="2D720219"/>
    <w:rsid w:val="2D9237DB"/>
    <w:rsid w:val="2DA318B3"/>
    <w:rsid w:val="2DCF1D53"/>
    <w:rsid w:val="2E2E5D1F"/>
    <w:rsid w:val="2E7A4BDE"/>
    <w:rsid w:val="2EC11995"/>
    <w:rsid w:val="2EEB67FF"/>
    <w:rsid w:val="2F19594C"/>
    <w:rsid w:val="2F40430A"/>
    <w:rsid w:val="2F7F4524"/>
    <w:rsid w:val="2F825507"/>
    <w:rsid w:val="306F381A"/>
    <w:rsid w:val="30835D5B"/>
    <w:rsid w:val="308B7312"/>
    <w:rsid w:val="31424616"/>
    <w:rsid w:val="31564310"/>
    <w:rsid w:val="315A12DA"/>
    <w:rsid w:val="31815BF7"/>
    <w:rsid w:val="31842302"/>
    <w:rsid w:val="318B746D"/>
    <w:rsid w:val="31EC5C7C"/>
    <w:rsid w:val="32013E16"/>
    <w:rsid w:val="320317D2"/>
    <w:rsid w:val="3218038D"/>
    <w:rsid w:val="324C5B40"/>
    <w:rsid w:val="32B729F1"/>
    <w:rsid w:val="32CD0B24"/>
    <w:rsid w:val="32CD5FFE"/>
    <w:rsid w:val="32D8566D"/>
    <w:rsid w:val="330A4F4E"/>
    <w:rsid w:val="33266D1D"/>
    <w:rsid w:val="334761B1"/>
    <w:rsid w:val="33543A27"/>
    <w:rsid w:val="337C5C82"/>
    <w:rsid w:val="33D956B7"/>
    <w:rsid w:val="34246A76"/>
    <w:rsid w:val="34277FD4"/>
    <w:rsid w:val="345E3486"/>
    <w:rsid w:val="3479242B"/>
    <w:rsid w:val="34B61F58"/>
    <w:rsid w:val="34C6455E"/>
    <w:rsid w:val="35212EA4"/>
    <w:rsid w:val="3563644D"/>
    <w:rsid w:val="356601D1"/>
    <w:rsid w:val="35692105"/>
    <w:rsid w:val="356F06AA"/>
    <w:rsid w:val="35735382"/>
    <w:rsid w:val="35782FF5"/>
    <w:rsid w:val="35817149"/>
    <w:rsid w:val="359B7B1C"/>
    <w:rsid w:val="3646710F"/>
    <w:rsid w:val="364855D2"/>
    <w:rsid w:val="36524514"/>
    <w:rsid w:val="3679323D"/>
    <w:rsid w:val="37413947"/>
    <w:rsid w:val="37B91C4C"/>
    <w:rsid w:val="37C3396C"/>
    <w:rsid w:val="37DE3EDF"/>
    <w:rsid w:val="37EF0D06"/>
    <w:rsid w:val="37F60F9E"/>
    <w:rsid w:val="380A746A"/>
    <w:rsid w:val="38173F9E"/>
    <w:rsid w:val="382113D0"/>
    <w:rsid w:val="384C4558"/>
    <w:rsid w:val="38A9745A"/>
    <w:rsid w:val="38D1499A"/>
    <w:rsid w:val="38DB2AC2"/>
    <w:rsid w:val="38DD23A1"/>
    <w:rsid w:val="38EC3078"/>
    <w:rsid w:val="39083A02"/>
    <w:rsid w:val="39551659"/>
    <w:rsid w:val="396C5D31"/>
    <w:rsid w:val="397F40BE"/>
    <w:rsid w:val="398A0125"/>
    <w:rsid w:val="399A318C"/>
    <w:rsid w:val="39A549E1"/>
    <w:rsid w:val="39AD62B5"/>
    <w:rsid w:val="39D777AE"/>
    <w:rsid w:val="39E855C0"/>
    <w:rsid w:val="3A1A77B0"/>
    <w:rsid w:val="3A2428FE"/>
    <w:rsid w:val="3A461B40"/>
    <w:rsid w:val="3A8148E3"/>
    <w:rsid w:val="3A8613E7"/>
    <w:rsid w:val="3AB116BB"/>
    <w:rsid w:val="3AD259A1"/>
    <w:rsid w:val="3AD31550"/>
    <w:rsid w:val="3B080AEA"/>
    <w:rsid w:val="3B2C3654"/>
    <w:rsid w:val="3B7732BF"/>
    <w:rsid w:val="3B856C9C"/>
    <w:rsid w:val="3B881FE5"/>
    <w:rsid w:val="3B9B6E62"/>
    <w:rsid w:val="3BDF7FE6"/>
    <w:rsid w:val="3BEC7F04"/>
    <w:rsid w:val="3BF63A35"/>
    <w:rsid w:val="3C01043E"/>
    <w:rsid w:val="3C0A20E8"/>
    <w:rsid w:val="3C116F0F"/>
    <w:rsid w:val="3C3178FE"/>
    <w:rsid w:val="3CAD1E92"/>
    <w:rsid w:val="3CD65A21"/>
    <w:rsid w:val="3CDA605D"/>
    <w:rsid w:val="3CE24225"/>
    <w:rsid w:val="3CE53EEB"/>
    <w:rsid w:val="3D046A03"/>
    <w:rsid w:val="3D4527F4"/>
    <w:rsid w:val="3D4A58EF"/>
    <w:rsid w:val="3D6C00EB"/>
    <w:rsid w:val="3D7F5B7C"/>
    <w:rsid w:val="3D7F614C"/>
    <w:rsid w:val="3DA3607C"/>
    <w:rsid w:val="3DA62AE3"/>
    <w:rsid w:val="3DE96E40"/>
    <w:rsid w:val="3E097590"/>
    <w:rsid w:val="3E167319"/>
    <w:rsid w:val="3E1932D9"/>
    <w:rsid w:val="3E1F5C45"/>
    <w:rsid w:val="3E6C67AA"/>
    <w:rsid w:val="3E6D5506"/>
    <w:rsid w:val="3EB8671E"/>
    <w:rsid w:val="3EF26A86"/>
    <w:rsid w:val="3F231BA4"/>
    <w:rsid w:val="3FAB2A66"/>
    <w:rsid w:val="3FE80C32"/>
    <w:rsid w:val="3FF302A3"/>
    <w:rsid w:val="401458C1"/>
    <w:rsid w:val="402F6255"/>
    <w:rsid w:val="404D3F07"/>
    <w:rsid w:val="40701293"/>
    <w:rsid w:val="40853C31"/>
    <w:rsid w:val="40AA07A9"/>
    <w:rsid w:val="40C26D6E"/>
    <w:rsid w:val="40D36688"/>
    <w:rsid w:val="40E829D4"/>
    <w:rsid w:val="41084141"/>
    <w:rsid w:val="411C4354"/>
    <w:rsid w:val="411E6C03"/>
    <w:rsid w:val="413A1661"/>
    <w:rsid w:val="41626349"/>
    <w:rsid w:val="4183075F"/>
    <w:rsid w:val="41987C6E"/>
    <w:rsid w:val="41EB37AC"/>
    <w:rsid w:val="41EC6795"/>
    <w:rsid w:val="41F6765C"/>
    <w:rsid w:val="41F7233C"/>
    <w:rsid w:val="421A17F2"/>
    <w:rsid w:val="423C28F8"/>
    <w:rsid w:val="42546990"/>
    <w:rsid w:val="425A6618"/>
    <w:rsid w:val="425F7504"/>
    <w:rsid w:val="42722BCF"/>
    <w:rsid w:val="427D578B"/>
    <w:rsid w:val="42AF2239"/>
    <w:rsid w:val="42C74678"/>
    <w:rsid w:val="42CC74D0"/>
    <w:rsid w:val="42D5354C"/>
    <w:rsid w:val="42D93FD0"/>
    <w:rsid w:val="430A310A"/>
    <w:rsid w:val="433169DA"/>
    <w:rsid w:val="43365456"/>
    <w:rsid w:val="43446933"/>
    <w:rsid w:val="436942D4"/>
    <w:rsid w:val="43AA237A"/>
    <w:rsid w:val="43B864F2"/>
    <w:rsid w:val="43C653C7"/>
    <w:rsid w:val="43C96710"/>
    <w:rsid w:val="441B66A3"/>
    <w:rsid w:val="44242A3A"/>
    <w:rsid w:val="442A4C48"/>
    <w:rsid w:val="443D2366"/>
    <w:rsid w:val="44445A2C"/>
    <w:rsid w:val="44507A88"/>
    <w:rsid w:val="44865978"/>
    <w:rsid w:val="449053BE"/>
    <w:rsid w:val="44A358F9"/>
    <w:rsid w:val="44BC6E13"/>
    <w:rsid w:val="44D73878"/>
    <w:rsid w:val="44EB382A"/>
    <w:rsid w:val="4512648B"/>
    <w:rsid w:val="45262197"/>
    <w:rsid w:val="453D1D4A"/>
    <w:rsid w:val="45577096"/>
    <w:rsid w:val="457A00E6"/>
    <w:rsid w:val="45B95404"/>
    <w:rsid w:val="45D01C84"/>
    <w:rsid w:val="45E84276"/>
    <w:rsid w:val="468872F7"/>
    <w:rsid w:val="469B0FAE"/>
    <w:rsid w:val="46BD7176"/>
    <w:rsid w:val="46D16F6D"/>
    <w:rsid w:val="46EB41EB"/>
    <w:rsid w:val="472A0F4D"/>
    <w:rsid w:val="472B4231"/>
    <w:rsid w:val="47453283"/>
    <w:rsid w:val="47554B64"/>
    <w:rsid w:val="479E2B56"/>
    <w:rsid w:val="47F43FCB"/>
    <w:rsid w:val="481539A3"/>
    <w:rsid w:val="481F7E94"/>
    <w:rsid w:val="482051F9"/>
    <w:rsid w:val="482864A2"/>
    <w:rsid w:val="48323627"/>
    <w:rsid w:val="484E328B"/>
    <w:rsid w:val="48774BBF"/>
    <w:rsid w:val="487B57FD"/>
    <w:rsid w:val="487D485E"/>
    <w:rsid w:val="48B350B4"/>
    <w:rsid w:val="48C37200"/>
    <w:rsid w:val="48DA500C"/>
    <w:rsid w:val="48E852E0"/>
    <w:rsid w:val="490878C6"/>
    <w:rsid w:val="4911426B"/>
    <w:rsid w:val="49202EED"/>
    <w:rsid w:val="497A1012"/>
    <w:rsid w:val="497B2B06"/>
    <w:rsid w:val="49B72A9C"/>
    <w:rsid w:val="49BE6F27"/>
    <w:rsid w:val="49CD051B"/>
    <w:rsid w:val="49D51486"/>
    <w:rsid w:val="4A003FE9"/>
    <w:rsid w:val="4A363525"/>
    <w:rsid w:val="4A392BEC"/>
    <w:rsid w:val="4A4F2914"/>
    <w:rsid w:val="4A522E15"/>
    <w:rsid w:val="4A550BDA"/>
    <w:rsid w:val="4A914BA1"/>
    <w:rsid w:val="4AAE6DC8"/>
    <w:rsid w:val="4AAF4334"/>
    <w:rsid w:val="4B150627"/>
    <w:rsid w:val="4B28025D"/>
    <w:rsid w:val="4B2B6F13"/>
    <w:rsid w:val="4B3B666B"/>
    <w:rsid w:val="4B55797D"/>
    <w:rsid w:val="4B695E19"/>
    <w:rsid w:val="4B943D60"/>
    <w:rsid w:val="4B990106"/>
    <w:rsid w:val="4C2D72F8"/>
    <w:rsid w:val="4C2F66E8"/>
    <w:rsid w:val="4C351555"/>
    <w:rsid w:val="4C502F9B"/>
    <w:rsid w:val="4C5B0F68"/>
    <w:rsid w:val="4C787E88"/>
    <w:rsid w:val="4C7D6434"/>
    <w:rsid w:val="4C9A2375"/>
    <w:rsid w:val="4CD104FC"/>
    <w:rsid w:val="4CE10AA6"/>
    <w:rsid w:val="4CF117C2"/>
    <w:rsid w:val="4D53608A"/>
    <w:rsid w:val="4D6F29BB"/>
    <w:rsid w:val="4D9D459A"/>
    <w:rsid w:val="4DB7190B"/>
    <w:rsid w:val="4DC64783"/>
    <w:rsid w:val="4DD931AD"/>
    <w:rsid w:val="4DFD14CB"/>
    <w:rsid w:val="4E3A1A62"/>
    <w:rsid w:val="4E3D5780"/>
    <w:rsid w:val="4E551863"/>
    <w:rsid w:val="4E6A4F7D"/>
    <w:rsid w:val="4E7255AE"/>
    <w:rsid w:val="4E892DDF"/>
    <w:rsid w:val="4EA474EE"/>
    <w:rsid w:val="4EAB5F49"/>
    <w:rsid w:val="4EB64A0E"/>
    <w:rsid w:val="4EE26067"/>
    <w:rsid w:val="4EE97817"/>
    <w:rsid w:val="4EEF746A"/>
    <w:rsid w:val="4F275C0C"/>
    <w:rsid w:val="4F346169"/>
    <w:rsid w:val="4F3519C9"/>
    <w:rsid w:val="4F4617CE"/>
    <w:rsid w:val="4F502537"/>
    <w:rsid w:val="4F600861"/>
    <w:rsid w:val="4F622397"/>
    <w:rsid w:val="4F66001A"/>
    <w:rsid w:val="4F7C0D5D"/>
    <w:rsid w:val="4F8B7E11"/>
    <w:rsid w:val="4F936F62"/>
    <w:rsid w:val="4FA8123B"/>
    <w:rsid w:val="4FD5018E"/>
    <w:rsid w:val="4FDA1A9F"/>
    <w:rsid w:val="4FDF5CAB"/>
    <w:rsid w:val="4FED287A"/>
    <w:rsid w:val="4FEF1931"/>
    <w:rsid w:val="501D0414"/>
    <w:rsid w:val="502445CE"/>
    <w:rsid w:val="502B6CBA"/>
    <w:rsid w:val="503016DC"/>
    <w:rsid w:val="504D23D4"/>
    <w:rsid w:val="505518B5"/>
    <w:rsid w:val="508828B2"/>
    <w:rsid w:val="50AC17BB"/>
    <w:rsid w:val="50B34D82"/>
    <w:rsid w:val="50B8238B"/>
    <w:rsid w:val="50CF4741"/>
    <w:rsid w:val="51192CAF"/>
    <w:rsid w:val="51253D50"/>
    <w:rsid w:val="512D795D"/>
    <w:rsid w:val="512F5B8D"/>
    <w:rsid w:val="51B234F8"/>
    <w:rsid w:val="51B63682"/>
    <w:rsid w:val="51CE1F40"/>
    <w:rsid w:val="51D06C18"/>
    <w:rsid w:val="521555D1"/>
    <w:rsid w:val="521913BA"/>
    <w:rsid w:val="522A70ED"/>
    <w:rsid w:val="522F52EF"/>
    <w:rsid w:val="5255558D"/>
    <w:rsid w:val="526D025F"/>
    <w:rsid w:val="52955D9C"/>
    <w:rsid w:val="52B41D71"/>
    <w:rsid w:val="52DD20EB"/>
    <w:rsid w:val="52E8717A"/>
    <w:rsid w:val="52EC1BD1"/>
    <w:rsid w:val="531B0DBD"/>
    <w:rsid w:val="534E733E"/>
    <w:rsid w:val="535168EB"/>
    <w:rsid w:val="535778B4"/>
    <w:rsid w:val="53723F4D"/>
    <w:rsid w:val="5374447A"/>
    <w:rsid w:val="53B34101"/>
    <w:rsid w:val="53BE3A4C"/>
    <w:rsid w:val="53D25373"/>
    <w:rsid w:val="53F97A4A"/>
    <w:rsid w:val="541331EB"/>
    <w:rsid w:val="541A7413"/>
    <w:rsid w:val="544C0BBA"/>
    <w:rsid w:val="545D75A4"/>
    <w:rsid w:val="5471253B"/>
    <w:rsid w:val="54A0038E"/>
    <w:rsid w:val="54A2695B"/>
    <w:rsid w:val="54B4724C"/>
    <w:rsid w:val="54C87E9C"/>
    <w:rsid w:val="550603CC"/>
    <w:rsid w:val="551A61C1"/>
    <w:rsid w:val="552E1437"/>
    <w:rsid w:val="55325CA9"/>
    <w:rsid w:val="556B7A9B"/>
    <w:rsid w:val="557B441B"/>
    <w:rsid w:val="55C72FB5"/>
    <w:rsid w:val="55E353FE"/>
    <w:rsid w:val="55FE4202"/>
    <w:rsid w:val="560C5695"/>
    <w:rsid w:val="56387080"/>
    <w:rsid w:val="56636D56"/>
    <w:rsid w:val="569B4A27"/>
    <w:rsid w:val="56A42364"/>
    <w:rsid w:val="56A86526"/>
    <w:rsid w:val="56AC1389"/>
    <w:rsid w:val="571548F1"/>
    <w:rsid w:val="572F0E3A"/>
    <w:rsid w:val="57305663"/>
    <w:rsid w:val="57432E14"/>
    <w:rsid w:val="5767551A"/>
    <w:rsid w:val="57680227"/>
    <w:rsid w:val="577E684A"/>
    <w:rsid w:val="578E6BE2"/>
    <w:rsid w:val="58032313"/>
    <w:rsid w:val="58506E64"/>
    <w:rsid w:val="58C549B8"/>
    <w:rsid w:val="58D0757D"/>
    <w:rsid w:val="58F02B16"/>
    <w:rsid w:val="59186E56"/>
    <w:rsid w:val="5967123C"/>
    <w:rsid w:val="5998623D"/>
    <w:rsid w:val="59B24CDC"/>
    <w:rsid w:val="59B862D1"/>
    <w:rsid w:val="59BA3933"/>
    <w:rsid w:val="59BF227F"/>
    <w:rsid w:val="59C11035"/>
    <w:rsid w:val="59D2396D"/>
    <w:rsid w:val="59E94C01"/>
    <w:rsid w:val="59F76576"/>
    <w:rsid w:val="5A9F6E0C"/>
    <w:rsid w:val="5AB17215"/>
    <w:rsid w:val="5AB628C1"/>
    <w:rsid w:val="5AB864A8"/>
    <w:rsid w:val="5AC84955"/>
    <w:rsid w:val="5AD648F7"/>
    <w:rsid w:val="5AEF7A42"/>
    <w:rsid w:val="5B370563"/>
    <w:rsid w:val="5B3F588B"/>
    <w:rsid w:val="5B53063D"/>
    <w:rsid w:val="5B7855EF"/>
    <w:rsid w:val="5B93114D"/>
    <w:rsid w:val="5BBB2C8C"/>
    <w:rsid w:val="5BBF103E"/>
    <w:rsid w:val="5BD51C73"/>
    <w:rsid w:val="5BEE41EF"/>
    <w:rsid w:val="5C027E29"/>
    <w:rsid w:val="5C0C3C2E"/>
    <w:rsid w:val="5C0E5AC7"/>
    <w:rsid w:val="5C2F2869"/>
    <w:rsid w:val="5C717A62"/>
    <w:rsid w:val="5CE56107"/>
    <w:rsid w:val="5D206B1C"/>
    <w:rsid w:val="5D3648D2"/>
    <w:rsid w:val="5D520BBA"/>
    <w:rsid w:val="5D866A48"/>
    <w:rsid w:val="5D8E5BCA"/>
    <w:rsid w:val="5D8F6EFE"/>
    <w:rsid w:val="5DF44155"/>
    <w:rsid w:val="5E286B09"/>
    <w:rsid w:val="5E317731"/>
    <w:rsid w:val="5E63574A"/>
    <w:rsid w:val="5E824AEF"/>
    <w:rsid w:val="5E831EED"/>
    <w:rsid w:val="5E976B50"/>
    <w:rsid w:val="5EA3463D"/>
    <w:rsid w:val="5EA40191"/>
    <w:rsid w:val="5ED33EAA"/>
    <w:rsid w:val="5F275D50"/>
    <w:rsid w:val="5F315E14"/>
    <w:rsid w:val="5FAB74A6"/>
    <w:rsid w:val="5FB57A68"/>
    <w:rsid w:val="5FF41797"/>
    <w:rsid w:val="60254888"/>
    <w:rsid w:val="603172AE"/>
    <w:rsid w:val="6066176E"/>
    <w:rsid w:val="607050C2"/>
    <w:rsid w:val="60962B30"/>
    <w:rsid w:val="60D01B21"/>
    <w:rsid w:val="61136D51"/>
    <w:rsid w:val="61173FC7"/>
    <w:rsid w:val="614076FE"/>
    <w:rsid w:val="61437D16"/>
    <w:rsid w:val="61667D19"/>
    <w:rsid w:val="616E43DB"/>
    <w:rsid w:val="619E61FD"/>
    <w:rsid w:val="61C1570C"/>
    <w:rsid w:val="61EC370B"/>
    <w:rsid w:val="61F155FB"/>
    <w:rsid w:val="61F3554E"/>
    <w:rsid w:val="62171AFF"/>
    <w:rsid w:val="6258410D"/>
    <w:rsid w:val="626679DD"/>
    <w:rsid w:val="627632CC"/>
    <w:rsid w:val="62962BDD"/>
    <w:rsid w:val="629C0DE1"/>
    <w:rsid w:val="62A43808"/>
    <w:rsid w:val="62F10032"/>
    <w:rsid w:val="63182B98"/>
    <w:rsid w:val="6327242C"/>
    <w:rsid w:val="633F699C"/>
    <w:rsid w:val="634F13C9"/>
    <w:rsid w:val="635476E1"/>
    <w:rsid w:val="63612566"/>
    <w:rsid w:val="638C77B8"/>
    <w:rsid w:val="639D7154"/>
    <w:rsid w:val="63CD1390"/>
    <w:rsid w:val="63CF02CC"/>
    <w:rsid w:val="63CF77E6"/>
    <w:rsid w:val="63DC0D46"/>
    <w:rsid w:val="63E67F4B"/>
    <w:rsid w:val="63FC1162"/>
    <w:rsid w:val="640A3556"/>
    <w:rsid w:val="645E06F7"/>
    <w:rsid w:val="646F75EA"/>
    <w:rsid w:val="64A15950"/>
    <w:rsid w:val="64BF1228"/>
    <w:rsid w:val="65146547"/>
    <w:rsid w:val="652F3813"/>
    <w:rsid w:val="653F3FA1"/>
    <w:rsid w:val="6549378C"/>
    <w:rsid w:val="65682877"/>
    <w:rsid w:val="65C36AC7"/>
    <w:rsid w:val="65D009D0"/>
    <w:rsid w:val="65D92236"/>
    <w:rsid w:val="65F51D11"/>
    <w:rsid w:val="66041355"/>
    <w:rsid w:val="66233DC3"/>
    <w:rsid w:val="662F4420"/>
    <w:rsid w:val="663C553A"/>
    <w:rsid w:val="66466EBB"/>
    <w:rsid w:val="66A2184D"/>
    <w:rsid w:val="66A72100"/>
    <w:rsid w:val="66B67037"/>
    <w:rsid w:val="66F57EC6"/>
    <w:rsid w:val="6728000F"/>
    <w:rsid w:val="67444946"/>
    <w:rsid w:val="674C0926"/>
    <w:rsid w:val="675E09C4"/>
    <w:rsid w:val="677A2258"/>
    <w:rsid w:val="679F7FA8"/>
    <w:rsid w:val="67BF24B9"/>
    <w:rsid w:val="67C723DB"/>
    <w:rsid w:val="67DB474B"/>
    <w:rsid w:val="67DE7E04"/>
    <w:rsid w:val="67EF5A6D"/>
    <w:rsid w:val="67F17444"/>
    <w:rsid w:val="67F854FE"/>
    <w:rsid w:val="68261404"/>
    <w:rsid w:val="683A437C"/>
    <w:rsid w:val="6860799A"/>
    <w:rsid w:val="68AF583C"/>
    <w:rsid w:val="68C82D6C"/>
    <w:rsid w:val="68E30937"/>
    <w:rsid w:val="69041F26"/>
    <w:rsid w:val="69130179"/>
    <w:rsid w:val="69411A5A"/>
    <w:rsid w:val="69A16C2A"/>
    <w:rsid w:val="69A73FEE"/>
    <w:rsid w:val="6A02676B"/>
    <w:rsid w:val="6A393F80"/>
    <w:rsid w:val="6A4675D7"/>
    <w:rsid w:val="6A5D1F52"/>
    <w:rsid w:val="6A616D6F"/>
    <w:rsid w:val="6A660125"/>
    <w:rsid w:val="6A6A1A6D"/>
    <w:rsid w:val="6A6A777B"/>
    <w:rsid w:val="6A8373E5"/>
    <w:rsid w:val="6A981362"/>
    <w:rsid w:val="6AAC38DA"/>
    <w:rsid w:val="6B0E3EE4"/>
    <w:rsid w:val="6B10503D"/>
    <w:rsid w:val="6B254CAF"/>
    <w:rsid w:val="6B3611FB"/>
    <w:rsid w:val="6B511079"/>
    <w:rsid w:val="6B671AE1"/>
    <w:rsid w:val="6B81241F"/>
    <w:rsid w:val="6BBF3C4F"/>
    <w:rsid w:val="6BE46AA6"/>
    <w:rsid w:val="6C246437"/>
    <w:rsid w:val="6C574393"/>
    <w:rsid w:val="6C5925AB"/>
    <w:rsid w:val="6C952436"/>
    <w:rsid w:val="6CAB6174"/>
    <w:rsid w:val="6D017311"/>
    <w:rsid w:val="6D022B5D"/>
    <w:rsid w:val="6D154D50"/>
    <w:rsid w:val="6D2C196A"/>
    <w:rsid w:val="6D486CF3"/>
    <w:rsid w:val="6D516C33"/>
    <w:rsid w:val="6D5E513B"/>
    <w:rsid w:val="6D997052"/>
    <w:rsid w:val="6DA10849"/>
    <w:rsid w:val="6DA742C4"/>
    <w:rsid w:val="6DAA2FD1"/>
    <w:rsid w:val="6DBE7EA9"/>
    <w:rsid w:val="6DD570F2"/>
    <w:rsid w:val="6DDC674B"/>
    <w:rsid w:val="6DFA4A6F"/>
    <w:rsid w:val="6E2F6877"/>
    <w:rsid w:val="6E410AA3"/>
    <w:rsid w:val="6E4C33CE"/>
    <w:rsid w:val="6E521293"/>
    <w:rsid w:val="6E7B334B"/>
    <w:rsid w:val="6E7F1B73"/>
    <w:rsid w:val="6E852A85"/>
    <w:rsid w:val="6EB96DBC"/>
    <w:rsid w:val="6EC235A3"/>
    <w:rsid w:val="6EF105B8"/>
    <w:rsid w:val="6F1503F3"/>
    <w:rsid w:val="6F1E16A8"/>
    <w:rsid w:val="6F3C71ED"/>
    <w:rsid w:val="6F3F0578"/>
    <w:rsid w:val="6F510285"/>
    <w:rsid w:val="6F597DD6"/>
    <w:rsid w:val="6F604256"/>
    <w:rsid w:val="6F7C4544"/>
    <w:rsid w:val="6F9140A8"/>
    <w:rsid w:val="6F9615F0"/>
    <w:rsid w:val="6FA764A5"/>
    <w:rsid w:val="701A7C85"/>
    <w:rsid w:val="70853245"/>
    <w:rsid w:val="70AF15FF"/>
    <w:rsid w:val="70E87DC5"/>
    <w:rsid w:val="70FB519D"/>
    <w:rsid w:val="71095B4B"/>
    <w:rsid w:val="710A441D"/>
    <w:rsid w:val="71117D2D"/>
    <w:rsid w:val="71186EFC"/>
    <w:rsid w:val="712D2DF6"/>
    <w:rsid w:val="718D28BF"/>
    <w:rsid w:val="71CF1396"/>
    <w:rsid w:val="71D61D26"/>
    <w:rsid w:val="71DE3F1E"/>
    <w:rsid w:val="71E126E7"/>
    <w:rsid w:val="72041416"/>
    <w:rsid w:val="721075A7"/>
    <w:rsid w:val="7273017D"/>
    <w:rsid w:val="72784480"/>
    <w:rsid w:val="729A6862"/>
    <w:rsid w:val="729C3858"/>
    <w:rsid w:val="72A76976"/>
    <w:rsid w:val="72B132EC"/>
    <w:rsid w:val="72DA3447"/>
    <w:rsid w:val="73216B98"/>
    <w:rsid w:val="732C01B5"/>
    <w:rsid w:val="73543548"/>
    <w:rsid w:val="735A49C5"/>
    <w:rsid w:val="73633B35"/>
    <w:rsid w:val="73BD732A"/>
    <w:rsid w:val="73D33DFB"/>
    <w:rsid w:val="7418018A"/>
    <w:rsid w:val="74223F7C"/>
    <w:rsid w:val="744A2B6B"/>
    <w:rsid w:val="746A214D"/>
    <w:rsid w:val="747E70C9"/>
    <w:rsid w:val="74BD796F"/>
    <w:rsid w:val="74D26794"/>
    <w:rsid w:val="74EA4E31"/>
    <w:rsid w:val="74F47A21"/>
    <w:rsid w:val="7511518E"/>
    <w:rsid w:val="7540614A"/>
    <w:rsid w:val="75482DB9"/>
    <w:rsid w:val="759830CC"/>
    <w:rsid w:val="75C24164"/>
    <w:rsid w:val="75C716AF"/>
    <w:rsid w:val="75E41779"/>
    <w:rsid w:val="75E47945"/>
    <w:rsid w:val="75E666D0"/>
    <w:rsid w:val="76204F57"/>
    <w:rsid w:val="7626390E"/>
    <w:rsid w:val="764959E1"/>
    <w:rsid w:val="7668647D"/>
    <w:rsid w:val="76825E2E"/>
    <w:rsid w:val="768825B8"/>
    <w:rsid w:val="768A1ED3"/>
    <w:rsid w:val="768D2C9B"/>
    <w:rsid w:val="768E20BA"/>
    <w:rsid w:val="76BD56C3"/>
    <w:rsid w:val="76C8243D"/>
    <w:rsid w:val="76D10EC2"/>
    <w:rsid w:val="76DD1CA4"/>
    <w:rsid w:val="77103714"/>
    <w:rsid w:val="77442F62"/>
    <w:rsid w:val="77516B93"/>
    <w:rsid w:val="778E413F"/>
    <w:rsid w:val="77BD52AE"/>
    <w:rsid w:val="77E656B0"/>
    <w:rsid w:val="77FB68EA"/>
    <w:rsid w:val="782B0C40"/>
    <w:rsid w:val="784455A5"/>
    <w:rsid w:val="784663E7"/>
    <w:rsid w:val="785B5CA8"/>
    <w:rsid w:val="786B5B34"/>
    <w:rsid w:val="7878412D"/>
    <w:rsid w:val="78A73C79"/>
    <w:rsid w:val="78A943F7"/>
    <w:rsid w:val="78B67BB8"/>
    <w:rsid w:val="78C53BF6"/>
    <w:rsid w:val="78C74263"/>
    <w:rsid w:val="79072288"/>
    <w:rsid w:val="79574BDF"/>
    <w:rsid w:val="797C1945"/>
    <w:rsid w:val="79D57D57"/>
    <w:rsid w:val="79E6008A"/>
    <w:rsid w:val="79EE2BC7"/>
    <w:rsid w:val="7A2327D0"/>
    <w:rsid w:val="7A276D0A"/>
    <w:rsid w:val="7A2D67A8"/>
    <w:rsid w:val="7A510AAB"/>
    <w:rsid w:val="7A801199"/>
    <w:rsid w:val="7AA234D5"/>
    <w:rsid w:val="7ADC57FF"/>
    <w:rsid w:val="7B193B8C"/>
    <w:rsid w:val="7B3379EA"/>
    <w:rsid w:val="7B511B08"/>
    <w:rsid w:val="7B845E1A"/>
    <w:rsid w:val="7BA758E6"/>
    <w:rsid w:val="7BCD1CE5"/>
    <w:rsid w:val="7BCE4803"/>
    <w:rsid w:val="7BD824F3"/>
    <w:rsid w:val="7BF4681D"/>
    <w:rsid w:val="7C4334D5"/>
    <w:rsid w:val="7C4D5BFF"/>
    <w:rsid w:val="7C76530D"/>
    <w:rsid w:val="7C8E5CA7"/>
    <w:rsid w:val="7C911938"/>
    <w:rsid w:val="7C933F61"/>
    <w:rsid w:val="7CB13389"/>
    <w:rsid w:val="7CF82DF2"/>
    <w:rsid w:val="7D2963E1"/>
    <w:rsid w:val="7D3A2761"/>
    <w:rsid w:val="7D571A38"/>
    <w:rsid w:val="7D8C77F5"/>
    <w:rsid w:val="7D930A39"/>
    <w:rsid w:val="7DA0242A"/>
    <w:rsid w:val="7DC429E5"/>
    <w:rsid w:val="7DE078D4"/>
    <w:rsid w:val="7DFC3C56"/>
    <w:rsid w:val="7E123CE8"/>
    <w:rsid w:val="7E5F1C7A"/>
    <w:rsid w:val="7E630C6D"/>
    <w:rsid w:val="7E633922"/>
    <w:rsid w:val="7E785816"/>
    <w:rsid w:val="7E7B5986"/>
    <w:rsid w:val="7EA16752"/>
    <w:rsid w:val="7EA2423C"/>
    <w:rsid w:val="7EA837BC"/>
    <w:rsid w:val="7EC56ACC"/>
    <w:rsid w:val="7EF679BC"/>
    <w:rsid w:val="7F1709A4"/>
    <w:rsid w:val="7F194FF9"/>
    <w:rsid w:val="7F394685"/>
    <w:rsid w:val="7F582E59"/>
    <w:rsid w:val="7F69574C"/>
    <w:rsid w:val="7F6B6EE8"/>
    <w:rsid w:val="7F6D6ECF"/>
    <w:rsid w:val="7F712A0F"/>
    <w:rsid w:val="7F7C2186"/>
    <w:rsid w:val="7F874E30"/>
    <w:rsid w:val="7F915899"/>
    <w:rsid w:val="7FB16E01"/>
    <w:rsid w:val="7FBF4563"/>
    <w:rsid w:val="7FDF53F2"/>
    <w:rsid w:val="7FDF6EB8"/>
    <w:rsid w:val="7FE05B47"/>
    <w:rsid w:val="7FE61D45"/>
    <w:rsid w:val="7FFC5A5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9"/>
    <w:pPr>
      <w:keepNext/>
      <w:keepLines/>
      <w:spacing w:line="600" w:lineRule="exact"/>
      <w:ind w:firstLine="643" w:firstLineChars="200"/>
      <w:outlineLvl w:val="2"/>
    </w:pPr>
    <w:rPr>
      <w:b/>
      <w:bCs/>
      <w:sz w:val="32"/>
      <w:szCs w:val="32"/>
    </w:rPr>
  </w:style>
  <w:style w:type="paragraph" w:styleId="5">
    <w:name w:val="heading 4"/>
    <w:basedOn w:val="1"/>
    <w:next w:val="1"/>
    <w:qFormat/>
    <w:uiPriority w:val="0"/>
    <w:pPr>
      <w:keepNext/>
      <w:keepLines/>
      <w:spacing w:before="120" w:after="120" w:line="360" w:lineRule="auto"/>
      <w:jc w:val="center"/>
      <w:outlineLvl w:val="3"/>
    </w:pPr>
    <w:rPr>
      <w:rFonts w:ascii="Times New Roman" w:hAnsi="Times New Roman" w:eastAsia="Ђˎ̥" w:cs="Times New Roman"/>
      <w:sz w:val="28"/>
      <w:lang w:val="en-US" w:eastAsia="zh-CN" w:bidi="ar-SA"/>
    </w:rPr>
  </w:style>
  <w:style w:type="paragraph" w:styleId="6">
    <w:name w:val="heading 5"/>
    <w:basedOn w:val="1"/>
    <w:next w:val="7"/>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45"/>
    <w:unhideWhenUsed/>
    <w:qFormat/>
    <w:uiPriority w:val="99"/>
    <w:pPr>
      <w:tabs>
        <w:tab w:val="center" w:pos="4153"/>
        <w:tab w:val="right" w:pos="8306"/>
      </w:tabs>
      <w:snapToGrid w:val="0"/>
      <w:jc w:val="left"/>
    </w:pPr>
    <w:rPr>
      <w:sz w:val="18"/>
      <w:szCs w:val="18"/>
    </w:rPr>
  </w:style>
  <w:style w:type="paragraph" w:styleId="7">
    <w:name w:val="Normal Indent"/>
    <w:basedOn w:val="1"/>
    <w:unhideWhenUsed/>
    <w:qFormat/>
    <w:uiPriority w:val="99"/>
    <w:pPr>
      <w:ind w:firstLine="420"/>
    </w:pPr>
    <w:rPr>
      <w:szCs w:val="20"/>
    </w:rPr>
  </w:style>
  <w:style w:type="paragraph" w:styleId="8">
    <w:name w:val="index 8"/>
    <w:basedOn w:val="1"/>
    <w:next w:val="1"/>
    <w:qFormat/>
    <w:uiPriority w:val="0"/>
    <w:pPr>
      <w:ind w:left="2940"/>
    </w:pPr>
  </w:style>
  <w:style w:type="paragraph" w:styleId="9">
    <w:name w:val="annotation text"/>
    <w:basedOn w:val="1"/>
    <w:link w:val="39"/>
    <w:unhideWhenUsed/>
    <w:qFormat/>
    <w:uiPriority w:val="99"/>
    <w:pPr>
      <w:jc w:val="left"/>
    </w:pPr>
  </w:style>
  <w:style w:type="paragraph" w:styleId="10">
    <w:name w:val="Body Text"/>
    <w:basedOn w:val="1"/>
    <w:next w:val="1"/>
    <w:unhideWhenUsed/>
    <w:qFormat/>
    <w:uiPriority w:val="0"/>
    <w:pPr>
      <w:spacing w:after="120"/>
    </w:pPr>
  </w:style>
  <w:style w:type="paragraph" w:styleId="11">
    <w:name w:val="Body Text Indent"/>
    <w:basedOn w:val="1"/>
    <w:next w:val="12"/>
    <w:unhideWhenUsed/>
    <w:qFormat/>
    <w:uiPriority w:val="99"/>
    <w:pPr>
      <w:spacing w:line="200" w:lineRule="exact"/>
      <w:ind w:firstLine="301"/>
    </w:pPr>
    <w:rPr>
      <w:rFonts w:ascii="宋体" w:hAnsi="Courier New"/>
      <w:spacing w:val="-4"/>
      <w:sz w:val="18"/>
      <w:szCs w:val="20"/>
    </w:rPr>
  </w:style>
  <w:style w:type="paragraph" w:styleId="12">
    <w:name w:val="annotation subject"/>
    <w:basedOn w:val="9"/>
    <w:next w:val="1"/>
    <w:link w:val="47"/>
    <w:qFormat/>
    <w:uiPriority w:val="0"/>
    <w:rPr>
      <w:b/>
      <w:bCs/>
    </w:rPr>
  </w:style>
  <w:style w:type="paragraph" w:styleId="13">
    <w:name w:val="toc 3"/>
    <w:basedOn w:val="1"/>
    <w:next w:val="1"/>
    <w:unhideWhenUsed/>
    <w:qFormat/>
    <w:uiPriority w:val="39"/>
    <w:pPr>
      <w:jc w:val="left"/>
    </w:pPr>
    <w:rPr>
      <w:rFonts w:ascii="Calibri" w:hAnsi="Calibri"/>
      <w:smallCaps/>
      <w:sz w:val="22"/>
      <w:szCs w:val="22"/>
    </w:rPr>
  </w:style>
  <w:style w:type="paragraph" w:styleId="14">
    <w:name w:val="Plain Text"/>
    <w:basedOn w:val="1"/>
    <w:next w:val="5"/>
    <w:link w:val="43"/>
    <w:unhideWhenUsed/>
    <w:qFormat/>
    <w:uiPriority w:val="99"/>
    <w:rPr>
      <w:rFonts w:ascii="宋体" w:hAnsi="Courier New"/>
      <w:szCs w:val="20"/>
    </w:rPr>
  </w:style>
  <w:style w:type="paragraph" w:styleId="15">
    <w:name w:val="Balloon Text"/>
    <w:basedOn w:val="1"/>
    <w:link w:val="41"/>
    <w:qFormat/>
    <w:uiPriority w:val="0"/>
    <w:rPr>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360" w:after="360"/>
      <w:jc w:val="left"/>
    </w:pPr>
    <w:rPr>
      <w:rFonts w:ascii="Calibri" w:hAnsi="Calibri"/>
      <w:b/>
      <w:bCs/>
      <w:caps/>
      <w:sz w:val="22"/>
      <w:szCs w:val="22"/>
      <w:u w:val="single"/>
    </w:rPr>
  </w:style>
  <w:style w:type="paragraph" w:styleId="18">
    <w:name w:val="List"/>
    <w:basedOn w:val="1"/>
    <w:unhideWhenUsed/>
    <w:qFormat/>
    <w:uiPriority w:val="99"/>
    <w:pPr>
      <w:ind w:left="200" w:hanging="200" w:hangingChars="200"/>
    </w:pPr>
    <w:rPr>
      <w:sz w:val="28"/>
    </w:rPr>
  </w:style>
  <w:style w:type="paragraph" w:styleId="19">
    <w:name w:val="toc 2"/>
    <w:basedOn w:val="1"/>
    <w:next w:val="1"/>
    <w:unhideWhenUsed/>
    <w:qFormat/>
    <w:uiPriority w:val="39"/>
    <w:pPr>
      <w:jc w:val="left"/>
    </w:pPr>
    <w:rPr>
      <w:rFonts w:ascii="Calibri" w:hAnsi="Calibri"/>
      <w:b/>
      <w:bCs/>
      <w:smallCaps/>
      <w:sz w:val="22"/>
      <w:szCs w:val="22"/>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2">
    <w:name w:val="Body Text First Indent"/>
    <w:basedOn w:val="10"/>
    <w:qFormat/>
    <w:uiPriority w:val="0"/>
    <w:pPr>
      <w:autoSpaceDE/>
      <w:autoSpaceDN/>
      <w:ind w:firstLine="420"/>
      <w:jc w:val="both"/>
      <w:textAlignment w:val="baseline"/>
    </w:pPr>
    <w:rPr>
      <w:sz w:val="21"/>
    </w:rPr>
  </w:style>
  <w:style w:type="paragraph" w:styleId="23">
    <w:name w:val="Body Text First Indent 2"/>
    <w:basedOn w:val="11"/>
    <w:unhideWhenUsed/>
    <w:qFormat/>
    <w:uiPriority w:val="99"/>
    <w:pPr>
      <w:spacing w:after="120"/>
      <w:ind w:left="420" w:leftChars="200" w:firstLine="420" w:firstLineChars="200"/>
    </w:pPr>
    <w:rPr>
      <w:rFonts w:ascii="Times New Roman"/>
      <w:sz w:val="21"/>
      <w:szCs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page number"/>
    <w:unhideWhenUsed/>
    <w:qFormat/>
    <w:uiPriority w:val="0"/>
  </w:style>
  <w:style w:type="character" w:styleId="28">
    <w:name w:val="FollowedHyperlink"/>
    <w:qFormat/>
    <w:uiPriority w:val="0"/>
    <w:rPr>
      <w:rFonts w:hint="eastAsia" w:ascii="微软雅黑" w:hAnsi="微软雅黑" w:eastAsia="微软雅黑" w:cs="微软雅黑"/>
      <w:color w:val="02396F"/>
      <w:u w:val="single"/>
    </w:rPr>
  </w:style>
  <w:style w:type="character" w:styleId="29">
    <w:name w:val="Hyperlink"/>
    <w:unhideWhenUsed/>
    <w:qFormat/>
    <w:uiPriority w:val="99"/>
    <w:rPr>
      <w:rFonts w:hint="eastAsia" w:ascii="微软雅黑" w:hAnsi="微软雅黑" w:eastAsia="微软雅黑" w:cs="微软雅黑"/>
      <w:color w:val="02396F"/>
      <w:u w:val="single"/>
    </w:rPr>
  </w:style>
  <w:style w:type="character" w:styleId="30">
    <w:name w:val="annotation reference"/>
    <w:qFormat/>
    <w:uiPriority w:val="99"/>
    <w:rPr>
      <w:sz w:val="21"/>
      <w:szCs w:val="21"/>
    </w:rPr>
  </w:style>
  <w:style w:type="paragraph" w:customStyle="1" w:styleId="31">
    <w:name w:val="Default"/>
    <w:basedOn w:val="21"/>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character" w:customStyle="1" w:styleId="32">
    <w:name w:val="批注文字 Char1"/>
    <w:qFormat/>
    <w:uiPriority w:val="0"/>
    <w:rPr>
      <w:rFonts w:ascii="Times New Roman" w:hAnsi="Times New Roman"/>
      <w:kern w:val="2"/>
      <w:sz w:val="21"/>
      <w:szCs w:val="24"/>
    </w:rPr>
  </w:style>
  <w:style w:type="character" w:customStyle="1" w:styleId="33">
    <w:name w:val="font31"/>
    <w:qFormat/>
    <w:uiPriority w:val="0"/>
    <w:rPr>
      <w:rFonts w:hint="eastAsia" w:ascii="宋体" w:hAnsi="宋体" w:eastAsia="宋体" w:cs="宋体"/>
      <w:color w:val="000000"/>
      <w:sz w:val="22"/>
      <w:szCs w:val="22"/>
      <w:u w:val="none"/>
    </w:rPr>
  </w:style>
  <w:style w:type="character" w:customStyle="1" w:styleId="34">
    <w:name w:val="displayarti"/>
    <w:qFormat/>
    <w:uiPriority w:val="0"/>
    <w:rPr>
      <w:color w:val="FFFFFF"/>
      <w:shd w:val="clear" w:color="auto" w:fill="A00000"/>
    </w:rPr>
  </w:style>
  <w:style w:type="character" w:customStyle="1" w:styleId="35">
    <w:name w:val="prev1"/>
    <w:qFormat/>
    <w:uiPriority w:val="0"/>
    <w:rPr>
      <w:color w:val="888888"/>
    </w:rPr>
  </w:style>
  <w:style w:type="character" w:customStyle="1" w:styleId="36">
    <w:name w:val="NormalCharacter"/>
    <w:qFormat/>
    <w:uiPriority w:val="0"/>
    <w:rPr>
      <w:rFonts w:ascii="Times New Roman" w:hAnsi="Times New Roman" w:eastAsia="宋体" w:cs="Times New Roman"/>
    </w:rPr>
  </w:style>
  <w:style w:type="character" w:customStyle="1" w:styleId="37">
    <w:name w:val="redfilenumber"/>
    <w:qFormat/>
    <w:uiPriority w:val="0"/>
    <w:rPr>
      <w:color w:val="BA2636"/>
      <w:sz w:val="18"/>
      <w:szCs w:val="18"/>
    </w:rPr>
  </w:style>
  <w:style w:type="character" w:customStyle="1" w:styleId="38">
    <w:name w:val="qxdate"/>
    <w:qFormat/>
    <w:uiPriority w:val="0"/>
    <w:rPr>
      <w:color w:val="333333"/>
      <w:sz w:val="18"/>
      <w:szCs w:val="18"/>
    </w:rPr>
  </w:style>
  <w:style w:type="character" w:customStyle="1" w:styleId="39">
    <w:name w:val="批注文字 Char"/>
    <w:link w:val="9"/>
    <w:qFormat/>
    <w:uiPriority w:val="99"/>
    <w:rPr>
      <w:kern w:val="2"/>
      <w:sz w:val="21"/>
      <w:szCs w:val="24"/>
    </w:rPr>
  </w:style>
  <w:style w:type="character" w:customStyle="1" w:styleId="4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1">
    <w:name w:val="批注框文本 Char"/>
    <w:link w:val="15"/>
    <w:qFormat/>
    <w:uiPriority w:val="0"/>
    <w:rPr>
      <w:kern w:val="2"/>
      <w:sz w:val="18"/>
      <w:szCs w:val="18"/>
    </w:rPr>
  </w:style>
  <w:style w:type="character" w:customStyle="1" w:styleId="42">
    <w:name w:val="gjfg"/>
    <w:qFormat/>
    <w:uiPriority w:val="0"/>
  </w:style>
  <w:style w:type="character" w:customStyle="1" w:styleId="43">
    <w:name w:val="纯文本 Char"/>
    <w:link w:val="14"/>
    <w:qFormat/>
    <w:uiPriority w:val="99"/>
    <w:rPr>
      <w:rFonts w:ascii="宋体" w:hAnsi="Courier New"/>
      <w:kern w:val="2"/>
      <w:sz w:val="21"/>
    </w:rPr>
  </w:style>
  <w:style w:type="character" w:customStyle="1" w:styleId="44">
    <w:name w:val="next"/>
    <w:qFormat/>
    <w:uiPriority w:val="0"/>
    <w:rPr>
      <w:rFonts w:ascii="微软雅黑" w:hAnsi="微软雅黑" w:eastAsia="微软雅黑" w:cs="微软雅黑"/>
      <w:sz w:val="21"/>
      <w:szCs w:val="21"/>
    </w:rPr>
  </w:style>
  <w:style w:type="character" w:customStyle="1" w:styleId="45">
    <w:name w:val="页脚 Char"/>
    <w:link w:val="2"/>
    <w:qFormat/>
    <w:uiPriority w:val="99"/>
    <w:rPr>
      <w:kern w:val="2"/>
      <w:sz w:val="18"/>
      <w:szCs w:val="18"/>
    </w:rPr>
  </w:style>
  <w:style w:type="character" w:customStyle="1" w:styleId="46">
    <w:name w:val="redfilefwwh"/>
    <w:qFormat/>
    <w:uiPriority w:val="0"/>
    <w:rPr>
      <w:color w:val="BA2636"/>
      <w:sz w:val="18"/>
      <w:szCs w:val="18"/>
    </w:rPr>
  </w:style>
  <w:style w:type="character" w:customStyle="1" w:styleId="47">
    <w:name w:val="批注主题 Char"/>
    <w:link w:val="12"/>
    <w:qFormat/>
    <w:uiPriority w:val="0"/>
  </w:style>
  <w:style w:type="character" w:customStyle="1" w:styleId="48">
    <w:name w:val="prev"/>
    <w:qFormat/>
    <w:uiPriority w:val="0"/>
    <w:rPr>
      <w:rFonts w:hint="eastAsia" w:ascii="微软雅黑" w:hAnsi="微软雅黑" w:eastAsia="微软雅黑" w:cs="微软雅黑"/>
      <w:sz w:val="21"/>
      <w:szCs w:val="21"/>
    </w:rPr>
  </w:style>
  <w:style w:type="character" w:customStyle="1" w:styleId="49">
    <w:name w:val="next1"/>
    <w:qFormat/>
    <w:uiPriority w:val="0"/>
    <w:rPr>
      <w:color w:val="888888"/>
    </w:rPr>
  </w:style>
  <w:style w:type="character" w:customStyle="1" w:styleId="50">
    <w:name w:val="font21"/>
    <w:qFormat/>
    <w:uiPriority w:val="0"/>
    <w:rPr>
      <w:rFonts w:hint="default" w:ascii="Tahoma" w:hAnsi="Tahoma" w:eastAsia="Tahoma" w:cs="Tahoma"/>
      <w:color w:val="000000"/>
      <w:sz w:val="22"/>
      <w:szCs w:val="22"/>
      <w:u w:val="none"/>
    </w:rPr>
  </w:style>
  <w:style w:type="character" w:customStyle="1" w:styleId="51">
    <w:name w:val="15"/>
    <w:qFormat/>
    <w:uiPriority w:val="0"/>
    <w:rPr>
      <w:rFonts w:hint="default" w:ascii="Times New Roman" w:hAnsi="Times New Roman" w:cs="Times New Roman"/>
      <w:sz w:val="21"/>
      <w:szCs w:val="21"/>
    </w:rPr>
  </w:style>
  <w:style w:type="character" w:customStyle="1" w:styleId="52">
    <w:name w:val="cfdate"/>
    <w:qFormat/>
    <w:uiPriority w:val="0"/>
    <w:rPr>
      <w:color w:val="333333"/>
      <w:sz w:val="18"/>
      <w:szCs w:val="18"/>
    </w:rPr>
  </w:style>
  <w:style w:type="paragraph" w:customStyle="1" w:styleId="53">
    <w:name w:val="样式 标题 2 + 宋体"/>
    <w:qFormat/>
    <w:uiPriority w:val="0"/>
    <w:pPr>
      <w:keepNext/>
      <w:keepLines/>
      <w:widowControl w:val="0"/>
      <w:spacing w:before="260" w:after="260" w:line="416" w:lineRule="auto"/>
      <w:jc w:val="both"/>
      <w:outlineLvl w:val="1"/>
    </w:pPr>
    <w:rPr>
      <w:rFonts w:ascii="宋体" w:hAnsi="宋体" w:eastAsia="宋体" w:cs="Times New Roman"/>
      <w:b/>
      <w:bCs/>
      <w:sz w:val="30"/>
      <w:szCs w:val="32"/>
      <w:lang w:val="en-US" w:eastAsia="zh-CN" w:bidi="ar-SA"/>
    </w:rPr>
  </w:style>
  <w:style w:type="paragraph" w:customStyle="1" w:styleId="5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55">
    <w:name w:val="正文2"/>
    <w:basedOn w:val="1"/>
    <w:qFormat/>
    <w:uiPriority w:val="0"/>
    <w:pPr>
      <w:adjustRightInd w:val="0"/>
      <w:spacing w:before="156" w:line="360" w:lineRule="auto"/>
      <w:ind w:firstLine="510" w:firstLineChars="200"/>
    </w:pPr>
    <w:rPr>
      <w:sz w:val="24"/>
      <w:szCs w:val="20"/>
    </w:rPr>
  </w:style>
  <w:style w:type="paragraph" w:customStyle="1" w:styleId="56">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57">
    <w:name w:val="List Paragraph"/>
    <w:basedOn w:val="1"/>
    <w:qFormat/>
    <w:uiPriority w:val="34"/>
    <w:pPr>
      <w:ind w:firstLine="420" w:firstLineChars="200"/>
    </w:pPr>
  </w:style>
  <w:style w:type="paragraph" w:customStyle="1" w:styleId="58">
    <w:name w:val="_Style 3"/>
    <w:basedOn w:val="1"/>
    <w:qFormat/>
    <w:uiPriority w:val="0"/>
  </w:style>
  <w:style w:type="paragraph" w:customStyle="1" w:styleId="59">
    <w:name w:val="表格文字"/>
    <w:basedOn w:val="1"/>
    <w:next w:val="10"/>
    <w:qFormat/>
    <w:uiPriority w:val="0"/>
    <w:pPr>
      <w:adjustRightInd w:val="0"/>
      <w:spacing w:line="420" w:lineRule="atLeast"/>
      <w:jc w:val="left"/>
      <w:textAlignment w:val="baseline"/>
    </w:pPr>
    <w:rPr>
      <w:kern w:val="0"/>
    </w:rPr>
  </w:style>
  <w:style w:type="paragraph" w:customStyle="1" w:styleId="6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85</Pages>
  <Words>9036</Words>
  <Characters>51509</Characters>
  <Lines>429</Lines>
  <Paragraphs>120</Paragraphs>
  <TotalTime>5</TotalTime>
  <ScaleCrop>false</ScaleCrop>
  <LinksUpToDate>false</LinksUpToDate>
  <CharactersWithSpaces>60425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2023-04-03T04:02:00Z</dcterms:created>
  <dc:creator>Administrator</dc:creator>
  <cp:lastModifiedBy>科联韦毅锋</cp:lastModifiedBy>
  <dcterms:modified xsi:type="dcterms:W3CDTF">2023-11-16T09:35:09Z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11C20CC5FC8F4C6A8253153FD70CA1FB_13</vt:lpwstr>
  </property>
</Properties>
</file>