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hAnsi="宋体" w:cs="宋体"/>
          <w:b/>
          <w:bCs/>
          <w:color w:val="auto"/>
          <w:spacing w:val="80"/>
          <w:szCs w:val="21"/>
          <w:highlight w:val="none"/>
        </w:rPr>
      </w:pPr>
    </w:p>
    <w:p>
      <w:pPr>
        <w:pStyle w:val="13"/>
        <w:jc w:val="center"/>
        <w:rPr>
          <w:rFonts w:hint="eastAsia" w:hAnsi="宋体" w:cs="宋体"/>
          <w:b/>
          <w:bCs/>
          <w:color w:val="auto"/>
          <w:spacing w:val="80"/>
          <w:szCs w:val="21"/>
          <w:highlight w:val="none"/>
        </w:rPr>
      </w:pPr>
    </w:p>
    <w:p>
      <w:pPr>
        <w:pStyle w:val="13"/>
        <w:jc w:val="center"/>
        <w:rPr>
          <w:rFonts w:hint="eastAsia" w:hAnsi="宋体" w:cs="宋体"/>
          <w:b/>
          <w:bCs/>
          <w:color w:val="auto"/>
          <w:spacing w:val="80"/>
          <w:sz w:val="64"/>
          <w:highlight w:val="none"/>
        </w:rPr>
      </w:pPr>
      <w:r>
        <w:rPr>
          <w:rFonts w:hint="eastAsia" w:hAnsi="宋体" w:cs="宋体"/>
          <w:b/>
          <w:bCs/>
          <w:color w:val="auto"/>
          <w:spacing w:val="80"/>
          <w:sz w:val="64"/>
          <w:highlight w:val="none"/>
          <w:lang w:val="en-US" w:eastAsia="zh-CN"/>
        </w:rPr>
        <w:t>横州市</w:t>
      </w:r>
      <w:r>
        <w:rPr>
          <w:rFonts w:hint="eastAsia" w:hAnsi="宋体" w:cs="宋体"/>
          <w:b/>
          <w:bCs/>
          <w:color w:val="auto"/>
          <w:spacing w:val="80"/>
          <w:sz w:val="64"/>
          <w:highlight w:val="none"/>
        </w:rPr>
        <w:t>政府采购</w:t>
      </w:r>
    </w:p>
    <w:p>
      <w:pPr>
        <w:pStyle w:val="13"/>
        <w:jc w:val="center"/>
        <w:rPr>
          <w:rFonts w:hint="eastAsia" w:hAnsi="宋体" w:cs="宋体"/>
          <w:color w:val="auto"/>
          <w:highlight w:val="none"/>
        </w:rPr>
      </w:pPr>
    </w:p>
    <w:p>
      <w:pPr>
        <w:pStyle w:val="13"/>
        <w:jc w:val="center"/>
        <w:rPr>
          <w:rFonts w:hint="eastAsia" w:hAnsi="宋体" w:cs="宋体"/>
          <w:color w:val="auto"/>
          <w:highlight w:val="none"/>
        </w:rPr>
      </w:pPr>
    </w:p>
    <w:p>
      <w:pPr>
        <w:pStyle w:val="13"/>
        <w:jc w:val="center"/>
        <w:rPr>
          <w:rFonts w:hint="eastAsia" w:hAnsi="宋体" w:cs="宋体"/>
          <w:color w:val="auto"/>
          <w:highlight w:val="none"/>
        </w:rPr>
      </w:pPr>
    </w:p>
    <w:p>
      <w:pPr>
        <w:pStyle w:val="13"/>
        <w:tabs>
          <w:tab w:val="left" w:pos="0"/>
          <w:tab w:val="left" w:pos="7560"/>
        </w:tabs>
        <w:jc w:val="center"/>
        <w:rPr>
          <w:rFonts w:hint="eastAsia" w:hAnsi="宋体" w:cs="宋体"/>
          <w:b/>
          <w:bCs/>
          <w:color w:val="auto"/>
          <w:sz w:val="96"/>
          <w:szCs w:val="96"/>
          <w:highlight w:val="none"/>
        </w:rPr>
      </w:pPr>
      <w:r>
        <w:rPr>
          <w:rFonts w:hint="eastAsia" w:hAnsi="宋体" w:cs="宋体"/>
          <w:bCs/>
          <w:color w:val="auto"/>
          <w:sz w:val="96"/>
          <w:szCs w:val="96"/>
          <w:highlight w:val="none"/>
        </w:rPr>
        <w:t>竞争性磋商</w:t>
      </w:r>
      <w:r>
        <w:rPr>
          <w:rFonts w:hint="eastAsia" w:hAnsi="宋体" w:cs="宋体"/>
          <w:color w:val="auto"/>
          <w:sz w:val="96"/>
          <w:szCs w:val="96"/>
          <w:highlight w:val="none"/>
        </w:rPr>
        <w:t>采购文件</w:t>
      </w:r>
    </w:p>
    <w:p>
      <w:pPr>
        <w:pStyle w:val="13"/>
        <w:jc w:val="center"/>
        <w:rPr>
          <w:rFonts w:hint="eastAsia" w:hAnsi="宋体" w:cs="宋体"/>
          <w:color w:val="auto"/>
          <w:highlight w:val="none"/>
        </w:rPr>
      </w:pPr>
    </w:p>
    <w:p>
      <w:pPr>
        <w:pStyle w:val="13"/>
        <w:jc w:val="center"/>
        <w:rPr>
          <w:rFonts w:hint="eastAsia" w:hAnsi="宋体" w:cs="宋体"/>
          <w:color w:val="auto"/>
          <w:highlight w:val="none"/>
        </w:rPr>
      </w:pPr>
    </w:p>
    <w:p>
      <w:pPr>
        <w:pStyle w:val="13"/>
        <w:jc w:val="center"/>
        <w:rPr>
          <w:rFonts w:hint="eastAsia" w:hAnsi="宋体" w:cs="宋体"/>
          <w:color w:val="auto"/>
          <w:highlight w:val="none"/>
        </w:rPr>
      </w:pPr>
    </w:p>
    <w:p>
      <w:pPr>
        <w:tabs>
          <w:tab w:val="left" w:pos="2205"/>
        </w:tabs>
        <w:spacing w:line="520" w:lineRule="exact"/>
        <w:jc w:val="center"/>
        <w:rPr>
          <w:rFonts w:hint="eastAsia" w:ascii="宋体" w:hAnsi="宋体" w:cs="宋体"/>
          <w:b w:val="0"/>
          <w:bCs/>
          <w:color w:val="auto"/>
          <w:kern w:val="0"/>
          <w:sz w:val="36"/>
          <w:szCs w:val="36"/>
          <w:highlight w:val="none"/>
          <w:lang w:eastAsia="zh-CN"/>
        </w:rPr>
      </w:pPr>
      <w:r>
        <w:rPr>
          <w:rFonts w:hint="eastAsia" w:ascii="宋体" w:hAnsi="宋体" w:cs="宋体"/>
          <w:b/>
          <w:color w:val="auto"/>
          <w:kern w:val="0"/>
          <w:sz w:val="36"/>
          <w:szCs w:val="36"/>
          <w:highlight w:val="none"/>
        </w:rPr>
        <w:t>项目名称：</w:t>
      </w:r>
      <w:r>
        <w:rPr>
          <w:rFonts w:hint="eastAsia" w:ascii="宋体" w:hAnsi="宋体" w:cs="宋体"/>
          <w:b w:val="0"/>
          <w:bCs/>
          <w:color w:val="auto"/>
          <w:kern w:val="0"/>
          <w:sz w:val="36"/>
          <w:szCs w:val="36"/>
          <w:highlight w:val="none"/>
          <w:lang w:eastAsia="zh-CN"/>
        </w:rPr>
        <w:t>横州市应急管理局全国第一次自然灾害风险普查第一阶段调查项目</w:t>
      </w:r>
    </w:p>
    <w:p>
      <w:pPr>
        <w:tabs>
          <w:tab w:val="left" w:pos="2205"/>
        </w:tabs>
        <w:spacing w:line="520" w:lineRule="exact"/>
        <w:jc w:val="center"/>
        <w:rPr>
          <w:rFonts w:hint="eastAsia" w:ascii="宋体" w:hAnsi="宋体" w:cs="宋体"/>
          <w:b/>
          <w:color w:val="auto"/>
          <w:kern w:val="0"/>
          <w:sz w:val="36"/>
          <w:szCs w:val="36"/>
          <w:highlight w:val="none"/>
        </w:rPr>
      </w:pPr>
    </w:p>
    <w:p>
      <w:pPr>
        <w:tabs>
          <w:tab w:val="left" w:pos="2205"/>
        </w:tabs>
        <w:spacing w:line="520" w:lineRule="exact"/>
        <w:jc w:val="center"/>
        <w:rPr>
          <w:rFonts w:hint="eastAsia" w:ascii="宋体" w:hAnsi="宋体" w:cs="宋体"/>
          <w:b w:val="0"/>
          <w:bCs/>
          <w:color w:val="auto"/>
          <w:sz w:val="36"/>
          <w:szCs w:val="36"/>
          <w:highlight w:val="none"/>
        </w:rPr>
      </w:pPr>
      <w:r>
        <w:rPr>
          <w:rFonts w:hint="eastAsia" w:ascii="宋体" w:hAnsi="宋体" w:cs="宋体"/>
          <w:b/>
          <w:color w:val="auto"/>
          <w:kern w:val="0"/>
          <w:sz w:val="36"/>
          <w:szCs w:val="36"/>
          <w:highlight w:val="none"/>
        </w:rPr>
        <w:t>项目编号</w:t>
      </w:r>
      <w:r>
        <w:rPr>
          <w:rFonts w:hint="eastAsia" w:ascii="宋体" w:hAnsi="宋体" w:cs="宋体"/>
          <w:b/>
          <w:color w:val="auto"/>
          <w:sz w:val="36"/>
          <w:szCs w:val="36"/>
          <w:highlight w:val="none"/>
        </w:rPr>
        <w:t>：</w:t>
      </w:r>
      <w:r>
        <w:rPr>
          <w:rFonts w:hint="eastAsia" w:ascii="宋体" w:hAnsi="宋体" w:cs="宋体"/>
          <w:b w:val="0"/>
          <w:bCs/>
          <w:color w:val="auto"/>
          <w:sz w:val="36"/>
          <w:szCs w:val="36"/>
          <w:highlight w:val="none"/>
        </w:rPr>
        <w:t>NNZC2021-C3-270249-KLZB</w:t>
      </w:r>
    </w:p>
    <w:p>
      <w:pPr>
        <w:pStyle w:val="13"/>
        <w:tabs>
          <w:tab w:val="left" w:pos="2205"/>
        </w:tabs>
        <w:spacing w:line="520" w:lineRule="exact"/>
        <w:jc w:val="center"/>
        <w:rPr>
          <w:rFonts w:hint="eastAsia" w:hAnsi="宋体" w:eastAsia="宋体" w:cs="宋体"/>
          <w:b/>
          <w:color w:val="auto"/>
          <w:kern w:val="0"/>
          <w:sz w:val="36"/>
          <w:szCs w:val="36"/>
          <w:highlight w:val="none"/>
          <w:lang w:eastAsia="zh-CN"/>
        </w:rPr>
      </w:pPr>
    </w:p>
    <w:p>
      <w:pPr>
        <w:pStyle w:val="13"/>
        <w:tabs>
          <w:tab w:val="left" w:pos="2205"/>
        </w:tabs>
        <w:spacing w:line="520" w:lineRule="exact"/>
        <w:jc w:val="center"/>
        <w:rPr>
          <w:rFonts w:hint="eastAsia" w:hAnsi="宋体" w:cs="宋体"/>
          <w:b/>
          <w:color w:val="auto"/>
          <w:kern w:val="0"/>
          <w:sz w:val="36"/>
          <w:szCs w:val="36"/>
          <w:highlight w:val="none"/>
        </w:rPr>
      </w:pPr>
    </w:p>
    <w:p>
      <w:pPr>
        <w:pStyle w:val="13"/>
        <w:tabs>
          <w:tab w:val="left" w:pos="2205"/>
        </w:tabs>
        <w:spacing w:line="520" w:lineRule="exact"/>
        <w:jc w:val="center"/>
        <w:rPr>
          <w:rFonts w:hint="eastAsia" w:hAnsi="宋体" w:cs="宋体"/>
          <w:b/>
          <w:color w:val="auto"/>
          <w:kern w:val="0"/>
          <w:sz w:val="36"/>
          <w:szCs w:val="36"/>
          <w:highlight w:val="none"/>
        </w:rPr>
      </w:pPr>
      <w:r>
        <w:rPr>
          <w:rFonts w:hint="eastAsia" w:hAnsi="宋体" w:cs="宋体"/>
          <w:b/>
          <w:color w:val="auto"/>
          <w:kern w:val="0"/>
          <w:sz w:val="36"/>
          <w:szCs w:val="36"/>
          <w:highlight w:val="none"/>
        </w:rPr>
        <w:t>采购计划文号：</w:t>
      </w:r>
      <w:r>
        <w:rPr>
          <w:rFonts w:hint="eastAsia" w:hAnsi="宋体" w:cs="宋体"/>
          <w:b w:val="0"/>
          <w:bCs/>
          <w:color w:val="auto"/>
          <w:kern w:val="0"/>
          <w:sz w:val="36"/>
          <w:szCs w:val="36"/>
          <w:highlight w:val="none"/>
        </w:rPr>
        <w:t>HZZC2021-C3-01838-001</w:t>
      </w:r>
    </w:p>
    <w:p>
      <w:pPr>
        <w:pStyle w:val="13"/>
        <w:jc w:val="center"/>
        <w:rPr>
          <w:rFonts w:hint="eastAsia" w:hAnsi="宋体" w:eastAsia="宋体" w:cs="宋体"/>
          <w:color w:val="auto"/>
          <w:highlight w:val="none"/>
          <w:lang w:eastAsia="zh-CN"/>
        </w:rPr>
      </w:pPr>
    </w:p>
    <w:p>
      <w:pPr>
        <w:pStyle w:val="13"/>
        <w:jc w:val="center"/>
        <w:rPr>
          <w:rFonts w:hint="eastAsia" w:hAnsi="宋体" w:cs="宋体"/>
          <w:color w:val="auto"/>
          <w:highlight w:val="none"/>
        </w:rPr>
      </w:pPr>
    </w:p>
    <w:p>
      <w:pPr>
        <w:pStyle w:val="13"/>
        <w:jc w:val="center"/>
        <w:rPr>
          <w:rFonts w:hint="eastAsia" w:hAnsi="宋体" w:cs="宋体"/>
          <w:color w:val="auto"/>
          <w:highlight w:val="none"/>
        </w:rPr>
      </w:pPr>
    </w:p>
    <w:p>
      <w:pPr>
        <w:pStyle w:val="13"/>
        <w:jc w:val="center"/>
        <w:rPr>
          <w:rFonts w:hint="eastAsia" w:hAnsi="宋体" w:cs="宋体"/>
          <w:color w:val="auto"/>
          <w:highlight w:val="none"/>
        </w:rPr>
      </w:pPr>
    </w:p>
    <w:p>
      <w:pPr>
        <w:tabs>
          <w:tab w:val="left" w:pos="5565"/>
          <w:tab w:val="left" w:pos="7560"/>
        </w:tabs>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 xml:space="preserve"> 采购人：</w:t>
      </w:r>
      <w:r>
        <w:rPr>
          <w:rFonts w:hint="eastAsia" w:ascii="宋体" w:hAnsi="宋体" w:cs="宋体"/>
          <w:color w:val="auto"/>
          <w:sz w:val="36"/>
          <w:szCs w:val="36"/>
          <w:highlight w:val="none"/>
          <w:lang w:val="en-US" w:eastAsia="zh-CN"/>
        </w:rPr>
        <w:t>横州市应急管理局</w:t>
      </w:r>
    </w:p>
    <w:p>
      <w:pPr>
        <w:tabs>
          <w:tab w:val="left" w:pos="5565"/>
        </w:tabs>
        <w:ind w:firstLine="1807" w:firstLineChars="500"/>
        <w:rPr>
          <w:rFonts w:hint="eastAsia" w:ascii="宋体" w:hAnsi="宋体" w:cs="宋体"/>
          <w:b/>
          <w:color w:val="auto"/>
          <w:sz w:val="36"/>
          <w:szCs w:val="36"/>
          <w:highlight w:val="none"/>
        </w:rPr>
      </w:pPr>
      <w:r>
        <w:rPr>
          <w:rFonts w:hint="eastAsia" w:ascii="宋体" w:hAnsi="宋体" w:cs="宋体"/>
          <w:b/>
          <w:color w:val="auto"/>
          <w:sz w:val="36"/>
          <w:szCs w:val="36"/>
          <w:highlight w:val="none"/>
        </w:rPr>
        <w:t>采购代理机构：</w:t>
      </w:r>
      <w:r>
        <w:rPr>
          <w:rFonts w:hint="eastAsia" w:ascii="宋体" w:hAnsi="宋体" w:cs="宋体"/>
          <w:color w:val="auto"/>
          <w:sz w:val="36"/>
          <w:szCs w:val="36"/>
          <w:highlight w:val="none"/>
        </w:rPr>
        <w:t>广西科联招标中心有限公司</w:t>
      </w:r>
    </w:p>
    <w:p>
      <w:pPr>
        <w:pStyle w:val="13"/>
        <w:jc w:val="center"/>
        <w:rPr>
          <w:rFonts w:hint="eastAsia" w:hAnsi="宋体" w:cs="宋体"/>
          <w:color w:val="auto"/>
          <w:highlight w:val="none"/>
        </w:rPr>
      </w:pPr>
    </w:p>
    <w:p>
      <w:pPr>
        <w:pStyle w:val="13"/>
        <w:jc w:val="center"/>
        <w:rPr>
          <w:rFonts w:hint="eastAsia" w:hAnsi="宋体" w:cs="宋体"/>
          <w:color w:val="auto"/>
          <w:highlight w:val="none"/>
        </w:rPr>
      </w:pPr>
    </w:p>
    <w:p>
      <w:pPr>
        <w:jc w:val="center"/>
        <w:rPr>
          <w:rFonts w:hint="eastAsia" w:ascii="宋体" w:hAnsi="宋体" w:eastAsia="宋体" w:cs="宋体"/>
          <w:color w:val="auto"/>
          <w:szCs w:val="21"/>
          <w:highlight w:val="none"/>
          <w:lang w:eastAsia="zh-CN"/>
        </w:rPr>
      </w:pPr>
      <w:r>
        <w:rPr>
          <w:rFonts w:hint="eastAsia" w:ascii="宋体" w:hAnsi="宋体" w:cs="宋体"/>
          <w:color w:val="auto"/>
          <w:sz w:val="36"/>
          <w:szCs w:val="36"/>
          <w:highlight w:val="none"/>
        </w:rPr>
        <w:t>2021年</w:t>
      </w:r>
      <w:r>
        <w:rPr>
          <w:rFonts w:hint="eastAsia" w:ascii="宋体" w:hAnsi="宋体" w:cs="宋体"/>
          <w:color w:val="auto"/>
          <w:sz w:val="36"/>
          <w:szCs w:val="36"/>
          <w:highlight w:val="none"/>
          <w:lang w:val="en-US" w:eastAsia="zh-CN"/>
        </w:rPr>
        <w:t>9</w:t>
      </w:r>
      <w:r>
        <w:rPr>
          <w:rFonts w:hint="eastAsia" w:ascii="宋体" w:hAnsi="宋体" w:cs="宋体"/>
          <w:color w:val="auto"/>
          <w:sz w:val="36"/>
          <w:szCs w:val="36"/>
          <w:highlight w:val="none"/>
          <w:lang w:eastAsia="zh-CN"/>
        </w:rPr>
        <w:t>月</w:t>
      </w:r>
    </w:p>
    <w:p>
      <w:pPr>
        <w:pStyle w:val="13"/>
        <w:jc w:val="center"/>
        <w:rPr>
          <w:rFonts w:hint="eastAsia" w:hAnsi="宋体" w:cs="宋体"/>
          <w:b/>
          <w:color w:val="auto"/>
          <w:sz w:val="48"/>
          <w:szCs w:val="48"/>
          <w:highlight w:val="none"/>
        </w:rPr>
      </w:pPr>
      <w:r>
        <w:rPr>
          <w:rFonts w:hint="eastAsia" w:hAnsi="宋体" w:cs="宋体"/>
          <w:b/>
          <w:color w:val="auto"/>
          <w:sz w:val="48"/>
          <w:szCs w:val="48"/>
          <w:highlight w:val="none"/>
        </w:rPr>
        <w:br w:type="page"/>
      </w:r>
    </w:p>
    <w:p>
      <w:pPr>
        <w:pStyle w:val="13"/>
        <w:jc w:val="center"/>
        <w:rPr>
          <w:rFonts w:hint="eastAsia" w:hAnsi="宋体" w:cs="宋体"/>
          <w:b/>
          <w:color w:val="auto"/>
          <w:sz w:val="48"/>
          <w:szCs w:val="48"/>
          <w:highlight w:val="none"/>
        </w:rPr>
      </w:pPr>
      <w:r>
        <w:rPr>
          <w:rFonts w:hint="eastAsia" w:hAnsi="宋体" w:cs="宋体"/>
          <w:b/>
          <w:color w:val="auto"/>
          <w:sz w:val="48"/>
          <w:szCs w:val="48"/>
          <w:highlight w:val="none"/>
        </w:rPr>
        <w:t>目     录</w:t>
      </w:r>
    </w:p>
    <w:p>
      <w:pPr>
        <w:pStyle w:val="13"/>
        <w:spacing w:line="360" w:lineRule="auto"/>
        <w:jc w:val="center"/>
        <w:outlineLvl w:val="0"/>
        <w:rPr>
          <w:rFonts w:hint="eastAsia" w:hAnsi="宋体" w:cs="宋体"/>
          <w:color w:val="auto"/>
          <w:sz w:val="36"/>
          <w:szCs w:val="36"/>
          <w:highlight w:val="none"/>
        </w:rPr>
      </w:pPr>
      <w:bookmarkStart w:id="166" w:name="_GoBack"/>
      <w:bookmarkEnd w:id="166"/>
      <w:bookmarkStart w:id="0" w:name="_Toc139967210"/>
      <w:bookmarkStart w:id="1" w:name="_Toc139966426"/>
      <w:r>
        <w:rPr>
          <w:rFonts w:hint="eastAsia" w:hAnsi="宋体" w:cs="宋体"/>
          <w:bCs/>
          <w:caps/>
          <w:color w:val="auto"/>
          <w:sz w:val="36"/>
          <w:szCs w:val="36"/>
          <w:highlight w:val="none"/>
        </w:rPr>
        <w:fldChar w:fldCharType="begin"/>
      </w:r>
      <w:r>
        <w:rPr>
          <w:rFonts w:hint="eastAsia" w:hAnsi="宋体" w:cs="宋体"/>
          <w:bCs/>
          <w:caps/>
          <w:color w:val="auto"/>
          <w:sz w:val="36"/>
          <w:szCs w:val="36"/>
          <w:highlight w:val="none"/>
        </w:rPr>
        <w:instrText xml:space="preserve"> TOC \o "1-3" \h \z \u </w:instrText>
      </w:r>
      <w:r>
        <w:rPr>
          <w:rFonts w:hint="eastAsia" w:hAnsi="宋体" w:cs="宋体"/>
          <w:bCs/>
          <w:caps/>
          <w:color w:val="auto"/>
          <w:sz w:val="36"/>
          <w:szCs w:val="36"/>
          <w:highlight w:val="none"/>
        </w:rPr>
        <w:fldChar w:fldCharType="separate"/>
      </w:r>
    </w:p>
    <w:p>
      <w:pPr>
        <w:pStyle w:val="19"/>
        <w:tabs>
          <w:tab w:val="right" w:leader="dot" w:pos="999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_Toc27401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竞争性磋商采购公告</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_Toc27401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2</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19"/>
        <w:tabs>
          <w:tab w:val="right" w:leader="dot" w:pos="999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_Toc7626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第一章  服务需求一览表</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_Toc7626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6</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19"/>
        <w:tabs>
          <w:tab w:val="right" w:leader="dot" w:pos="999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_Toc18286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第二章  评审方法</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_Toc18286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10</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19"/>
        <w:tabs>
          <w:tab w:val="right" w:leader="dot" w:pos="999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_Toc32315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第三章  磋商供应商须知</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_Toc32315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14</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21"/>
        <w:tabs>
          <w:tab w:val="right" w:leader="dot" w:pos="9996"/>
          <w:tab w:val="clear" w:pos="9628"/>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_Toc4802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一    总则</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_Toc4802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16</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21"/>
        <w:tabs>
          <w:tab w:val="right" w:leader="dot" w:pos="9996"/>
          <w:tab w:val="clear" w:pos="9628"/>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_Toc15382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二    竞争性</w:t>
      </w:r>
      <w:r>
        <w:rPr>
          <w:rFonts w:hint="eastAsia" w:ascii="宋体" w:hAnsi="宋体" w:cs="宋体"/>
          <w:bCs/>
          <w:color w:val="auto"/>
          <w:sz w:val="36"/>
          <w:szCs w:val="36"/>
          <w:highlight w:val="none"/>
        </w:rPr>
        <w:t>磋商</w:t>
      </w:r>
      <w:r>
        <w:rPr>
          <w:rFonts w:hint="eastAsia" w:ascii="宋体" w:hAnsi="宋体" w:cs="宋体"/>
          <w:color w:val="auto"/>
          <w:sz w:val="36"/>
          <w:szCs w:val="36"/>
          <w:highlight w:val="none"/>
        </w:rPr>
        <w:t>采购文件</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_Toc15382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18</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21"/>
        <w:tabs>
          <w:tab w:val="right" w:leader="dot" w:pos="9996"/>
          <w:tab w:val="clear" w:pos="9628"/>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_Toc24036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三    响应文件</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_Toc24036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19</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21"/>
        <w:tabs>
          <w:tab w:val="right" w:leader="dot" w:pos="9996"/>
          <w:tab w:val="clear" w:pos="9628"/>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_Toc2182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四    磋商</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_Toc2182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22</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21"/>
        <w:tabs>
          <w:tab w:val="right" w:leader="dot" w:pos="9996"/>
          <w:tab w:val="clear" w:pos="9628"/>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_Toc23593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五    评审与磋商谈判</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_Toc23593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23</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21"/>
        <w:tabs>
          <w:tab w:val="right" w:leader="dot" w:pos="9996"/>
          <w:tab w:val="clear" w:pos="9628"/>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_Toc7064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六    合同授予</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_Toc7064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26</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21"/>
        <w:tabs>
          <w:tab w:val="right" w:leader="dot" w:pos="9996"/>
          <w:tab w:val="clear" w:pos="9628"/>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_Toc20344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七    其他事项</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_Toc20344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27</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19"/>
        <w:tabs>
          <w:tab w:val="right" w:leader="dot" w:pos="999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_Toc14785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第四章  响应文件格式</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_Toc14785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28</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19"/>
        <w:tabs>
          <w:tab w:val="right" w:leader="dot" w:pos="999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_Toc31416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第五章  合同条款及格式</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_Toc31416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41</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19"/>
        <w:tabs>
          <w:tab w:val="right" w:leader="dot" w:pos="999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_Toc26331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第六章  其他文件、文书格式</w:t>
      </w:r>
      <w:r>
        <w:rPr>
          <w:rFonts w:hint="eastAsia" w:ascii="宋体" w:hAnsi="宋体" w:cs="宋体"/>
          <w:color w:val="auto"/>
          <w:sz w:val="36"/>
          <w:szCs w:val="36"/>
          <w:highlight w:val="none"/>
        </w:rPr>
        <w:tab/>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_Toc26331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47</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19"/>
        <w:spacing w:line="360" w:lineRule="auto"/>
        <w:jc w:val="center"/>
        <w:outlineLvl w:val="0"/>
        <w:rPr>
          <w:rFonts w:hint="eastAsia" w:ascii="宋体" w:hAnsi="宋体" w:cs="宋体"/>
          <w:color w:val="auto"/>
          <w:highlight w:val="none"/>
        </w:rPr>
      </w:pPr>
      <w:r>
        <w:rPr>
          <w:rFonts w:hint="eastAsia" w:ascii="宋体" w:hAnsi="宋体" w:cs="宋体"/>
          <w:color w:val="auto"/>
          <w:sz w:val="36"/>
          <w:szCs w:val="36"/>
          <w:highlight w:val="none"/>
        </w:rPr>
        <w:fldChar w:fldCharType="end"/>
      </w:r>
      <w:bookmarkStart w:id="2" w:name="_Toc139966431"/>
      <w:bookmarkStart w:id="3" w:name="_Toc213206172"/>
      <w:bookmarkStart w:id="4" w:name="_Toc139967215"/>
      <w:bookmarkStart w:id="5" w:name="_Toc213325921"/>
    </w:p>
    <w:p>
      <w:pPr>
        <w:ind w:firstLine="420" w:firstLineChars="200"/>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sz w:val="36"/>
          <w:szCs w:val="36"/>
          <w:highlight w:val="none"/>
        </w:rPr>
        <w:t>广西科联招标中心有限公司</w:t>
      </w:r>
    </w:p>
    <w:p>
      <w:pPr>
        <w:jc w:val="center"/>
        <w:rPr>
          <w:rFonts w:hint="eastAsia" w:ascii="宋体" w:hAnsi="宋体" w:cs="宋体"/>
          <w:b w:val="0"/>
          <w:bCs w:val="0"/>
          <w:color w:val="auto"/>
          <w:sz w:val="32"/>
          <w:szCs w:val="32"/>
          <w:highlight w:val="none"/>
          <w:lang w:eastAsia="zh-CN"/>
        </w:rPr>
      </w:pPr>
      <w:r>
        <w:rPr>
          <w:rFonts w:hint="eastAsia" w:ascii="宋体" w:hAnsi="宋体" w:cs="宋体"/>
          <w:b w:val="0"/>
          <w:bCs w:val="0"/>
          <w:color w:val="auto"/>
          <w:sz w:val="32"/>
          <w:szCs w:val="32"/>
          <w:highlight w:val="none"/>
          <w:lang w:eastAsia="zh-CN"/>
        </w:rPr>
        <w:t>横州市应急管理局全国第一次自然灾害风险普查第一阶段调查项目</w:t>
      </w:r>
    </w:p>
    <w:p>
      <w:pPr>
        <w:pStyle w:val="2"/>
        <w:jc w:val="center"/>
        <w:rPr>
          <w:rFonts w:hint="eastAsia"/>
          <w:b w:val="0"/>
          <w:bCs w:val="0"/>
          <w:color w:val="auto"/>
          <w:highlight w:val="none"/>
          <w:lang w:eastAsia="zh-CN"/>
        </w:rPr>
      </w:pPr>
      <w:r>
        <w:rPr>
          <w:rFonts w:hint="eastAsia" w:ascii="宋体" w:hAnsi="宋体" w:cs="宋体"/>
          <w:b w:val="0"/>
          <w:bCs w:val="0"/>
          <w:color w:val="auto"/>
          <w:sz w:val="32"/>
          <w:szCs w:val="32"/>
          <w:highlight w:val="none"/>
          <w:lang w:eastAsia="zh-CN"/>
        </w:rPr>
        <w:t>（NNZC2021-C3-270249-KLZB）</w:t>
      </w:r>
    </w:p>
    <w:p>
      <w:pPr>
        <w:pStyle w:val="13"/>
        <w:jc w:val="center"/>
        <w:outlineLvl w:val="0"/>
        <w:rPr>
          <w:rFonts w:hint="eastAsia" w:hAnsi="宋体" w:cs="宋体"/>
          <w:b/>
          <w:color w:val="auto"/>
          <w:sz w:val="36"/>
          <w:highlight w:val="none"/>
        </w:rPr>
      </w:pPr>
      <w:bookmarkStart w:id="6" w:name="_Toc27401"/>
      <w:r>
        <w:rPr>
          <w:rFonts w:hint="eastAsia" w:hAnsi="宋体" w:cs="宋体"/>
          <w:b/>
          <w:color w:val="auto"/>
          <w:sz w:val="36"/>
          <w:highlight w:val="none"/>
        </w:rPr>
        <w:t>竞争性磋商采购公告</w:t>
      </w:r>
      <w:bookmarkEnd w:id="6"/>
    </w:p>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cs="宋体"/>
          <w:b/>
          <w:color w:val="auto"/>
          <w:szCs w:val="21"/>
          <w:highlight w:val="none"/>
        </w:rPr>
      </w:pPr>
    </w:p>
    <w:p>
      <w:pPr>
        <w:keepNext w:val="0"/>
        <w:keepLines w:val="0"/>
        <w:pageBreakBefore w:val="0"/>
        <w:pBdr>
          <w:top w:val="single" w:color="auto" w:sz="4" w:space="1"/>
          <w:left w:val="single" w:color="auto" w:sz="4" w:space="4"/>
          <w:bottom w:val="single" w:color="auto" w:sz="4" w:space="1"/>
          <w:right w:val="single" w:color="auto" w:sz="4" w:space="0"/>
        </w:pBdr>
        <w:kinsoku/>
        <w:wordWrap/>
        <w:overflowPunct/>
        <w:topLinePunct w:val="0"/>
        <w:autoSpaceDE/>
        <w:autoSpaceDN/>
        <w:bidi w:val="0"/>
        <w:adjustRightInd/>
        <w:snapToGrid/>
        <w:spacing w:line="2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项目概况：</w:t>
      </w:r>
      <w:r>
        <w:rPr>
          <w:rFonts w:hint="eastAsia" w:ascii="宋体" w:hAnsi="宋体" w:cs="宋体"/>
          <w:color w:val="auto"/>
          <w:szCs w:val="21"/>
          <w:highlight w:val="none"/>
          <w:lang w:eastAsia="zh-CN"/>
        </w:rPr>
        <w:t>横州市应急管理局全国第一次自然灾害风险普查第一阶段调查项目（NNZC2021-C3-270249-KLZB）</w:t>
      </w:r>
      <w:r>
        <w:rPr>
          <w:rFonts w:hint="eastAsia" w:ascii="宋体" w:hAnsi="宋体" w:cs="宋体"/>
          <w:color w:val="auto"/>
          <w:szCs w:val="21"/>
          <w:highlight w:val="none"/>
        </w:rPr>
        <w:t>的潜在供应商应在</w:t>
      </w:r>
      <w:r>
        <w:rPr>
          <w:rFonts w:hint="eastAsia" w:ascii="宋体" w:hAnsi="宋体" w:cs="宋体"/>
          <w:color w:val="auto"/>
          <w:szCs w:val="21"/>
          <w:highlight w:val="none"/>
          <w:lang w:val="en-US" w:eastAsia="zh-CN"/>
        </w:rPr>
        <w:t>横州市</w:t>
      </w:r>
      <w:r>
        <w:rPr>
          <w:rFonts w:hint="eastAsia" w:ascii="宋体" w:hAnsi="宋体" w:cs="宋体"/>
          <w:color w:val="auto"/>
          <w:szCs w:val="21"/>
          <w:highlight w:val="none"/>
        </w:rPr>
        <w:t>公共资源交易中心网（https://www.nnggzy.org.cn/gxhxzbw//）对应的招标公告页面获取采购文件，并于2021年</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00</w:t>
      </w:r>
      <w:r>
        <w:rPr>
          <w:rFonts w:hint="eastAsia" w:ascii="宋体" w:hAnsi="宋体" w:cs="宋体"/>
          <w:bCs/>
          <w:color w:val="auto"/>
          <w:szCs w:val="21"/>
          <w:highlight w:val="none"/>
        </w:rPr>
        <w:t>分（北京时间）前提交响应文件</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cs="宋体"/>
          <w:color w:val="auto"/>
          <w:szCs w:val="21"/>
          <w:highlight w:val="none"/>
        </w:rPr>
      </w:pPr>
      <w:bookmarkStart w:id="7" w:name="_Toc28359089"/>
      <w:bookmarkStart w:id="8" w:name="_Toc35393798"/>
      <w:bookmarkStart w:id="9" w:name="_Toc28359012"/>
      <w:bookmarkStart w:id="10" w:name="_Toc35393629"/>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highlight w:val="none"/>
        </w:rPr>
      </w:pPr>
      <w:r>
        <w:rPr>
          <w:rFonts w:hint="eastAsia" w:ascii="宋体" w:hAnsi="宋体" w:cs="宋体"/>
          <w:b/>
          <w:color w:val="auto"/>
          <w:highlight w:val="none"/>
        </w:rPr>
        <w:t>一、项目基本情况</w:t>
      </w:r>
      <w:bookmarkEnd w:id="7"/>
      <w:bookmarkEnd w:id="8"/>
      <w:bookmarkEnd w:id="9"/>
      <w:bookmarkEnd w:id="10"/>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项目编号：NNZC2021-C3-270249-KLZB</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采购计划文号：HZZC2021-C3-01838-001</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横州市应急管理局全国第一次自然灾害风险普查第一阶段调查项目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采购方式：□竞争性谈判 ■竞争性磋商 </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询价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万元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最高限价：按预算金额</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采购需求：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横州市应急管理局全国第一次自然灾害风险普查第一阶段调查服务一项</w:t>
      </w:r>
      <w:r>
        <w:rPr>
          <w:rFonts w:hint="eastAsia" w:ascii="宋体" w:hAnsi="宋体" w:cs="宋体"/>
          <w:color w:val="auto"/>
          <w:szCs w:val="21"/>
          <w:highlight w:val="none"/>
        </w:rPr>
        <w:t>。详见竞争性磋商采购文件。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合同履行期限：</w:t>
      </w:r>
      <w:r>
        <w:rPr>
          <w:rFonts w:hint="eastAsia" w:ascii="宋体" w:hAnsi="宋体" w:cs="宋体"/>
          <w:color w:val="auto"/>
          <w:szCs w:val="21"/>
          <w:highlight w:val="none"/>
          <w:lang w:val="en-US" w:eastAsia="zh-CN"/>
        </w:rPr>
        <w:t>从合同签订之日起至2021年12月31日止</w:t>
      </w:r>
      <w:r>
        <w:rPr>
          <w:rFonts w:hint="eastAsia" w:ascii="宋体" w:hAnsi="宋体" w:cs="宋体"/>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本项目不接受联合体。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highlight w:val="none"/>
        </w:rPr>
      </w:pPr>
      <w:bookmarkStart w:id="11" w:name="_Toc28359013"/>
      <w:bookmarkStart w:id="12" w:name="_Toc28359090"/>
      <w:bookmarkStart w:id="13" w:name="_Toc35393799"/>
      <w:bookmarkStart w:id="14" w:name="_Toc35393630"/>
      <w:r>
        <w:rPr>
          <w:rFonts w:hint="eastAsia" w:ascii="宋体" w:hAnsi="宋体" w:cs="宋体"/>
          <w:b/>
          <w:color w:val="auto"/>
          <w:highlight w:val="none"/>
        </w:rPr>
        <w:t>二、申请人的资格要求：</w:t>
      </w:r>
      <w:bookmarkEnd w:id="11"/>
      <w:bookmarkEnd w:id="12"/>
      <w:bookmarkEnd w:id="13"/>
      <w:bookmarkEnd w:id="14"/>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bookmarkStart w:id="15" w:name="_Toc28359091"/>
      <w:bookmarkStart w:id="16" w:name="_Toc28359014"/>
      <w:r>
        <w:rPr>
          <w:rFonts w:hint="eastAsia" w:ascii="宋体" w:hAnsi="宋体" w:cs="宋体"/>
          <w:color w:val="auto"/>
          <w:szCs w:val="21"/>
          <w:highlight w:val="none"/>
        </w:rPr>
        <w:t>2.落实政府采购政策需满足的资格要求：无，本项目不属于专门面向中小企业采购的项目。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highlight w:val="none"/>
        </w:rPr>
      </w:pPr>
      <w:bookmarkStart w:id="17" w:name="_Toc35393631"/>
      <w:bookmarkStart w:id="18" w:name="_Toc35393800"/>
      <w:r>
        <w:rPr>
          <w:rFonts w:hint="eastAsia" w:ascii="宋体" w:hAnsi="宋体" w:cs="宋体"/>
          <w:b/>
          <w:color w:val="auto"/>
          <w:highlight w:val="none"/>
        </w:rPr>
        <w:t>三、获取采购文件</w:t>
      </w:r>
      <w:bookmarkEnd w:id="15"/>
      <w:bookmarkEnd w:id="16"/>
      <w:bookmarkEnd w:id="17"/>
      <w:bookmarkEnd w:id="18"/>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时间：本项目采购公告发出之日起至</w:t>
      </w:r>
      <w:r>
        <w:rPr>
          <w:rFonts w:hint="eastAsia" w:ascii="宋体" w:hAnsi="宋体" w:cs="宋体"/>
          <w:color w:val="auto"/>
          <w:szCs w:val="21"/>
          <w:highlight w:val="none"/>
          <w:lang w:val="en-US" w:eastAsia="zh-CN"/>
        </w:rPr>
        <w:t>响应文件递交截止时间前</w:t>
      </w:r>
      <w:r>
        <w:rPr>
          <w:rFonts w:hint="eastAsia" w:ascii="宋体" w:hAnsi="宋体" w:cs="宋体"/>
          <w:color w:val="auto"/>
          <w:szCs w:val="21"/>
          <w:highlight w:val="none"/>
        </w:rPr>
        <w:t>，每天上午00:00至12:00，下午12:00至23:59（北京时间，法定节假日除外）。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地点（网址）：横州市公共资源交易中心网（https://www.nnggzy.org.cn/gxhxzbw//）对应的招标公告页面</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方式：本项目不发放纸质文件，供应商可自行在横州市公共资源交易中心网（https://www.nnggzy.org.cn/gxhxzbw//）对应的公告页面免费下载获取采购文件。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售价（元）：0</w:t>
      </w:r>
    </w:p>
    <w:p>
      <w:pPr>
        <w:keepNext w:val="0"/>
        <w:keepLines w:val="0"/>
        <w:pageBreakBefore w:val="0"/>
        <w:kinsoku/>
        <w:wordWrap/>
        <w:overflowPunct/>
        <w:topLinePunct w:val="0"/>
        <w:autoSpaceDE/>
        <w:autoSpaceDN/>
        <w:bidi w:val="0"/>
        <w:adjustRightInd/>
        <w:snapToGrid/>
        <w:spacing w:line="360" w:lineRule="auto"/>
        <w:textAlignment w:val="auto"/>
        <w:outlineLvl w:val="1"/>
        <w:rPr>
          <w:b/>
          <w:color w:val="auto"/>
          <w:highlight w:val="none"/>
        </w:rPr>
      </w:pPr>
      <w:bookmarkStart w:id="19" w:name="_Toc28359082"/>
      <w:bookmarkStart w:id="20" w:name="_Toc35393793"/>
      <w:bookmarkStart w:id="21" w:name="_Toc29769"/>
      <w:bookmarkStart w:id="22" w:name="_Toc28359005"/>
      <w:bookmarkStart w:id="23" w:name="_Toc35393624"/>
      <w:bookmarkStart w:id="24" w:name="_Toc30954"/>
      <w:bookmarkStart w:id="25" w:name="_Toc19485"/>
      <w:bookmarkStart w:id="26" w:name="_Toc28359092"/>
      <w:bookmarkStart w:id="27" w:name="_Toc35393632"/>
      <w:bookmarkStart w:id="28" w:name="_Toc35393801"/>
      <w:bookmarkStart w:id="29" w:name="_Toc28359015"/>
      <w:r>
        <w:rPr>
          <w:rFonts w:hint="eastAsia"/>
          <w:b/>
          <w:color w:val="auto"/>
          <w:highlight w:val="none"/>
        </w:rPr>
        <w:t>四、</w:t>
      </w:r>
      <w:bookmarkEnd w:id="19"/>
      <w:bookmarkEnd w:id="20"/>
      <w:bookmarkEnd w:id="21"/>
      <w:bookmarkEnd w:id="22"/>
      <w:bookmarkEnd w:id="23"/>
      <w:r>
        <w:rPr>
          <w:rFonts w:hint="eastAsia"/>
          <w:b/>
          <w:color w:val="auto"/>
          <w:highlight w:val="none"/>
        </w:rPr>
        <w:t>响应文件提交</w:t>
      </w:r>
      <w:bookmarkEnd w:id="24"/>
      <w:bookmarkEnd w:id="25"/>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Cs/>
          <w:color w:val="auto"/>
          <w:szCs w:val="21"/>
          <w:highlight w:val="none"/>
        </w:rPr>
      </w:pPr>
      <w:r>
        <w:rPr>
          <w:rFonts w:hint="eastAsia" w:ascii="宋体" w:hAnsi="宋体" w:cs="宋体"/>
          <w:b/>
          <w:color w:val="auto"/>
          <w:szCs w:val="21"/>
          <w:highlight w:val="none"/>
        </w:rPr>
        <w:t>截止时间：</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00</w:t>
      </w:r>
      <w:r>
        <w:rPr>
          <w:rFonts w:hint="eastAsia" w:ascii="宋体" w:hAnsi="宋体" w:cs="宋体"/>
          <w:bCs/>
          <w:color w:val="auto"/>
          <w:szCs w:val="21"/>
          <w:highlight w:val="none"/>
        </w:rPr>
        <w:t>分（北京时间）。</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b/>
          <w:color w:val="auto"/>
          <w:highlight w:val="none"/>
        </w:rPr>
        <w:t>提交地点</w:t>
      </w:r>
      <w:r>
        <w:rPr>
          <w:rFonts w:hint="eastAsia" w:ascii="宋体" w:hAnsi="宋体" w:cs="宋体"/>
          <w:b/>
          <w:color w:val="auto"/>
          <w:szCs w:val="21"/>
          <w:highlight w:val="none"/>
        </w:rPr>
        <w:t>：</w:t>
      </w:r>
      <w:r>
        <w:rPr>
          <w:rFonts w:hint="eastAsia" w:ascii="宋体" w:hAnsi="宋体"/>
          <w:color w:val="auto"/>
          <w:szCs w:val="32"/>
          <w:highlight w:val="none"/>
          <w:lang w:val="en-US" w:eastAsia="zh-CN"/>
        </w:rPr>
        <w:t>横州市</w:t>
      </w:r>
      <w:r>
        <w:rPr>
          <w:rFonts w:hint="eastAsia" w:ascii="宋体" w:hAnsi="宋体"/>
          <w:color w:val="auto"/>
          <w:szCs w:val="32"/>
          <w:highlight w:val="none"/>
        </w:rPr>
        <w:t>公共资源交易中心（</w:t>
      </w:r>
      <w:r>
        <w:rPr>
          <w:rFonts w:hint="eastAsia" w:ascii="宋体" w:hAnsi="宋体"/>
          <w:color w:val="auto"/>
          <w:szCs w:val="32"/>
          <w:highlight w:val="none"/>
          <w:lang w:val="en-US" w:eastAsia="zh-CN"/>
        </w:rPr>
        <w:t>横州市</w:t>
      </w:r>
      <w:r>
        <w:rPr>
          <w:rFonts w:hint="eastAsia" w:ascii="宋体" w:hAnsi="宋体"/>
          <w:color w:val="auto"/>
          <w:szCs w:val="32"/>
          <w:highlight w:val="none"/>
        </w:rPr>
        <w:t>横州镇茉莉花大道国泰综合大楼2号楼3楼）（具体详见电子显示屏场地安排）。</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b/>
          <w:color w:val="auto"/>
          <w:highlight w:val="none"/>
        </w:rPr>
      </w:pPr>
      <w:bookmarkStart w:id="30" w:name="_Toc28359084"/>
      <w:bookmarkStart w:id="31" w:name="_Toc20925"/>
      <w:bookmarkStart w:id="32" w:name="_Toc35393794"/>
      <w:bookmarkStart w:id="33" w:name="_Toc28359007"/>
      <w:bookmarkStart w:id="34" w:name="_Toc35393625"/>
      <w:bookmarkStart w:id="35" w:name="_Toc27019"/>
      <w:bookmarkStart w:id="36" w:name="_Toc20362"/>
      <w:bookmarkStart w:id="37" w:name="_Toc716"/>
      <w:bookmarkStart w:id="38" w:name="_Toc35393626"/>
      <w:bookmarkStart w:id="39" w:name="_Toc35393795"/>
      <w:r>
        <w:rPr>
          <w:rFonts w:hint="eastAsia"/>
          <w:b/>
          <w:color w:val="auto"/>
          <w:highlight w:val="none"/>
        </w:rPr>
        <w:t>五、</w:t>
      </w:r>
      <w:bookmarkEnd w:id="30"/>
      <w:bookmarkEnd w:id="31"/>
      <w:bookmarkEnd w:id="32"/>
      <w:bookmarkEnd w:id="33"/>
      <w:bookmarkEnd w:id="34"/>
      <w:r>
        <w:rPr>
          <w:rFonts w:hint="eastAsia"/>
          <w:b/>
          <w:color w:val="auto"/>
          <w:highlight w:val="none"/>
        </w:rPr>
        <w:t>开启</w:t>
      </w:r>
      <w:bookmarkEnd w:id="35"/>
      <w:bookmarkEnd w:id="36"/>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时间：2021年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bCs/>
          <w:color w:val="auto"/>
          <w:szCs w:val="21"/>
          <w:highlight w:val="none"/>
        </w:rPr>
        <w:t>（北京时间）后至评标开始前。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lang w:eastAsia="zh-CN"/>
        </w:rPr>
        <w:t>横州市</w:t>
      </w:r>
      <w:r>
        <w:rPr>
          <w:rFonts w:hint="eastAsia" w:ascii="宋体" w:hAnsi="宋体" w:cs="宋体"/>
          <w:color w:val="auto"/>
          <w:szCs w:val="21"/>
          <w:highlight w:val="none"/>
        </w:rPr>
        <w:t>公共资源交易中心（</w:t>
      </w:r>
      <w:r>
        <w:rPr>
          <w:rFonts w:hint="eastAsia" w:ascii="宋体" w:hAnsi="宋体" w:cs="宋体"/>
          <w:color w:val="auto"/>
          <w:szCs w:val="21"/>
          <w:highlight w:val="none"/>
          <w:lang w:eastAsia="zh-CN"/>
        </w:rPr>
        <w:t>横州市</w:t>
      </w:r>
      <w:r>
        <w:rPr>
          <w:rFonts w:hint="eastAsia" w:ascii="宋体" w:hAnsi="宋体" w:cs="宋体"/>
          <w:color w:val="auto"/>
          <w:szCs w:val="21"/>
          <w:highlight w:val="none"/>
        </w:rPr>
        <w:t>横州镇茉莉花大道国泰综合大楼2号楼3楼）</w:t>
      </w:r>
      <w:r>
        <w:rPr>
          <w:rFonts w:hint="eastAsia" w:ascii="宋体" w:hAnsi="宋体" w:cs="宋体"/>
          <w:color w:val="auto"/>
          <w:szCs w:val="21"/>
          <w:highlight w:val="none"/>
          <w:lang w:val="en-US" w:eastAsia="zh-CN"/>
        </w:rPr>
        <w:t>评标室</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textAlignment w:val="auto"/>
        <w:outlineLvl w:val="1"/>
        <w:rPr>
          <w:b/>
          <w:color w:val="auto"/>
          <w:highlight w:val="none"/>
        </w:rPr>
      </w:pPr>
      <w:bookmarkStart w:id="40" w:name="_Toc16613"/>
      <w:bookmarkStart w:id="41" w:name="_Toc26063"/>
      <w:r>
        <w:rPr>
          <w:rFonts w:hint="eastAsia"/>
          <w:b/>
          <w:color w:val="auto"/>
          <w:highlight w:val="none"/>
        </w:rPr>
        <w:t>六、公告期限</w:t>
      </w:r>
      <w:bookmarkEnd w:id="40"/>
      <w:bookmarkEnd w:id="41"/>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keepNext w:val="0"/>
        <w:keepLines w:val="0"/>
        <w:pageBreakBefore w:val="0"/>
        <w:kinsoku/>
        <w:wordWrap/>
        <w:overflowPunct/>
        <w:topLinePunct w:val="0"/>
        <w:autoSpaceDE/>
        <w:autoSpaceDN/>
        <w:bidi w:val="0"/>
        <w:adjustRightInd/>
        <w:snapToGrid/>
        <w:spacing w:line="360" w:lineRule="auto"/>
        <w:textAlignment w:val="auto"/>
        <w:outlineLvl w:val="1"/>
        <w:rPr>
          <w:b/>
          <w:color w:val="auto"/>
          <w:highlight w:val="none"/>
        </w:rPr>
      </w:pPr>
      <w:bookmarkStart w:id="42" w:name="_Toc13213"/>
      <w:bookmarkStart w:id="43" w:name="_Toc28601"/>
      <w:r>
        <w:rPr>
          <w:rFonts w:hint="eastAsia"/>
          <w:b/>
          <w:color w:val="auto"/>
          <w:highlight w:val="none"/>
        </w:rPr>
        <w:t>七、其他补充事宜</w:t>
      </w:r>
      <w:bookmarkEnd w:id="37"/>
      <w:bookmarkEnd w:id="38"/>
      <w:bookmarkEnd w:id="39"/>
      <w:bookmarkEnd w:id="42"/>
      <w:bookmarkEnd w:id="43"/>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b/>
          <w:color w:val="auto"/>
          <w:highlight w:val="none"/>
        </w:rPr>
        <w:t>提交响应文件方式</w:t>
      </w:r>
      <w:r>
        <w:rPr>
          <w:rFonts w:hint="eastAsia" w:ascii="宋体" w:hAnsi="宋体" w:cs="宋体"/>
          <w:b/>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根据南宁市机关事务管理局《关于恢复非全流程电子招标采购项目现场递交投标（响应）文件模式的通知》（南机事函〔2021〕71号）规定，供应商可自行选择到现场递交响应文件或通过邮寄送达，具体要求如下：</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宋体"/>
          <w:b/>
          <w:color w:val="auto"/>
          <w:szCs w:val="21"/>
          <w:highlight w:val="none"/>
        </w:rPr>
      </w:pPr>
      <w:bookmarkStart w:id="44" w:name="_Toc6669"/>
      <w:bookmarkStart w:id="45" w:name="_Toc23112"/>
      <w:r>
        <w:rPr>
          <w:rFonts w:hint="eastAsia" w:ascii="宋体" w:hAnsi="宋体" w:cs="宋体"/>
          <w:b/>
          <w:color w:val="auto"/>
          <w:szCs w:val="21"/>
          <w:highlight w:val="none"/>
        </w:rPr>
        <w:t>（1）采用现场递交方式送达：</w:t>
      </w:r>
      <w:bookmarkEnd w:id="44"/>
      <w:bookmarkEnd w:id="45"/>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1）响应文件现场递交地址：</w:t>
      </w:r>
      <w:r>
        <w:rPr>
          <w:rFonts w:hint="eastAsia" w:ascii="宋体" w:hAnsi="宋体"/>
          <w:color w:val="auto"/>
          <w:szCs w:val="32"/>
          <w:highlight w:val="none"/>
          <w:lang w:eastAsia="zh-CN"/>
        </w:rPr>
        <w:t>横州市</w:t>
      </w:r>
      <w:r>
        <w:rPr>
          <w:rFonts w:hint="eastAsia" w:ascii="宋体" w:hAnsi="宋体"/>
          <w:color w:val="auto"/>
          <w:szCs w:val="32"/>
          <w:highlight w:val="none"/>
        </w:rPr>
        <w:t>公共资源交易中心（</w:t>
      </w:r>
      <w:r>
        <w:rPr>
          <w:rFonts w:hint="eastAsia" w:ascii="宋体" w:hAnsi="宋体"/>
          <w:color w:val="auto"/>
          <w:szCs w:val="32"/>
          <w:highlight w:val="none"/>
          <w:lang w:eastAsia="zh-CN"/>
        </w:rPr>
        <w:t>横州市</w:t>
      </w:r>
      <w:r>
        <w:rPr>
          <w:rFonts w:hint="eastAsia" w:ascii="宋体" w:hAnsi="宋体"/>
          <w:color w:val="auto"/>
          <w:szCs w:val="32"/>
          <w:highlight w:val="none"/>
        </w:rPr>
        <w:t>横州镇茉莉花大道国泰综合大楼2号楼3楼）（具体详见电子显示屏场地安排）</w:t>
      </w:r>
      <w:r>
        <w:rPr>
          <w:rFonts w:hint="eastAsia" w:ascii="宋体" w:hAnsi="宋体" w:cs="宋体"/>
          <w:bCs/>
          <w:color w:val="auto"/>
          <w:szCs w:val="21"/>
          <w:highlight w:val="none"/>
        </w:rPr>
        <w:t>，逾期送达或未按要求密封的响应文件将予以拒收。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2）响应文件现场递交接收时间：开标当天上午</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时00分至提交响应文件截止时间前。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3）如因磋商供应商未遵守</w:t>
      </w:r>
      <w:r>
        <w:rPr>
          <w:rFonts w:hint="eastAsia" w:ascii="宋体" w:hAnsi="宋体" w:cs="宋体"/>
          <w:bCs/>
          <w:color w:val="auto"/>
          <w:szCs w:val="21"/>
          <w:highlight w:val="none"/>
          <w:lang w:eastAsia="zh-CN"/>
        </w:rPr>
        <w:t>横州市</w:t>
      </w:r>
      <w:r>
        <w:rPr>
          <w:rFonts w:hint="eastAsia" w:ascii="宋体" w:hAnsi="宋体" w:cs="宋体"/>
          <w:bCs/>
          <w:color w:val="auto"/>
          <w:szCs w:val="21"/>
          <w:highlight w:val="none"/>
        </w:rPr>
        <w:t>公共资源交易中心疫情防控要求而导致逾期递交或无法递交所产生的后果由供应商自行负责。供应商应自行评估风险，采购人及代理机构不承担由此带来的任何责任。</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ascii="宋体" w:hAnsi="宋体"/>
          <w:b/>
          <w:bCs/>
          <w:color w:val="auto"/>
          <w:szCs w:val="21"/>
          <w:highlight w:val="none"/>
        </w:rPr>
      </w:pPr>
      <w:bookmarkStart w:id="46" w:name="_Toc12835"/>
      <w:bookmarkStart w:id="47" w:name="_Toc13412"/>
      <w:r>
        <w:rPr>
          <w:rFonts w:hint="eastAsia" w:ascii="宋体" w:hAnsi="宋体"/>
          <w:b/>
          <w:bCs/>
          <w:color w:val="auto"/>
          <w:szCs w:val="21"/>
          <w:highlight w:val="none"/>
        </w:rPr>
        <w:t>（2）采用邮寄方式送达：</w:t>
      </w:r>
      <w:bookmarkEnd w:id="46"/>
      <w:bookmarkEnd w:id="47"/>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1）响应文件必须在</w:t>
      </w:r>
      <w:r>
        <w:rPr>
          <w:rFonts w:hint="eastAsia" w:ascii="宋体" w:hAnsi="宋体" w:cs="宋体"/>
          <w:bCs/>
          <w:color w:val="auto"/>
          <w:szCs w:val="21"/>
          <w:highlight w:val="none"/>
          <w:lang w:val="en-US" w:eastAsia="zh-CN"/>
        </w:rPr>
        <w:t>2021年10月15 日上午9时前</w:t>
      </w:r>
      <w:r>
        <w:rPr>
          <w:rFonts w:hint="eastAsia" w:ascii="宋体" w:hAnsi="宋体" w:cs="宋体"/>
          <w:bCs/>
          <w:color w:val="auto"/>
          <w:szCs w:val="21"/>
          <w:highlight w:val="none"/>
        </w:rPr>
        <w:t>送达到广西壮族自治区南宁市西乡塘区大学东路170号广西科联招标中心有限公司一楼大厅前台</w:t>
      </w:r>
      <w:r>
        <w:rPr>
          <w:rFonts w:hint="eastAsia" w:ascii="宋体" w:hAnsi="宋体" w:cs="宋体"/>
          <w:color w:val="auto"/>
          <w:kern w:val="0"/>
          <w:szCs w:val="21"/>
          <w:highlight w:val="none"/>
        </w:rPr>
        <w:t>（为确保响应文件顺利送达</w:t>
      </w:r>
      <w:r>
        <w:rPr>
          <w:rFonts w:hint="eastAsia" w:ascii="宋体" w:hAnsi="宋体" w:cs="宋体"/>
          <w:color w:val="auto"/>
          <w:kern w:val="0"/>
          <w:szCs w:val="21"/>
          <w:highlight w:val="none"/>
          <w:lang w:eastAsia="zh-CN"/>
        </w:rPr>
        <w:t>横州市</w:t>
      </w:r>
      <w:r>
        <w:rPr>
          <w:rFonts w:hint="eastAsia" w:ascii="宋体" w:hAnsi="宋体" w:cs="宋体"/>
          <w:color w:val="auto"/>
          <w:kern w:val="0"/>
          <w:szCs w:val="21"/>
          <w:highlight w:val="none"/>
        </w:rPr>
        <w:t>公共资源交易中心，供应商应充分考虑响应文件接收后在</w:t>
      </w:r>
      <w:r>
        <w:rPr>
          <w:rFonts w:hint="eastAsia" w:ascii="宋体" w:hAnsi="宋体" w:cs="宋体"/>
          <w:bCs/>
          <w:color w:val="auto"/>
          <w:szCs w:val="21"/>
          <w:highlight w:val="none"/>
        </w:rPr>
        <w:t>提交响应文件截止时间</w:t>
      </w:r>
      <w:r>
        <w:rPr>
          <w:rFonts w:hint="eastAsia" w:ascii="宋体" w:hAnsi="宋体" w:cs="宋体"/>
          <w:color w:val="auto"/>
          <w:kern w:val="0"/>
          <w:szCs w:val="21"/>
          <w:highlight w:val="none"/>
        </w:rPr>
        <w:t>前能顺利送达</w:t>
      </w:r>
      <w:r>
        <w:rPr>
          <w:rFonts w:hint="eastAsia" w:ascii="宋体" w:hAnsi="宋体" w:cs="宋体"/>
          <w:color w:val="auto"/>
          <w:kern w:val="0"/>
          <w:szCs w:val="21"/>
          <w:highlight w:val="none"/>
          <w:lang w:eastAsia="zh-CN"/>
        </w:rPr>
        <w:t>横州市</w:t>
      </w:r>
      <w:r>
        <w:rPr>
          <w:rFonts w:hint="eastAsia" w:ascii="宋体" w:hAnsi="宋体" w:cs="宋体"/>
          <w:color w:val="auto"/>
          <w:kern w:val="0"/>
          <w:szCs w:val="21"/>
          <w:highlight w:val="none"/>
        </w:rPr>
        <w:t>公共资源交易中心的时间）</w:t>
      </w:r>
      <w:r>
        <w:rPr>
          <w:rFonts w:hint="eastAsia" w:ascii="宋体" w:hAnsi="宋体" w:cs="宋体"/>
          <w:bCs/>
          <w:color w:val="auto"/>
          <w:szCs w:val="21"/>
          <w:highlight w:val="none"/>
        </w:rPr>
        <w:t>。招标采购代理机构工作人员签收邮寄包裹的时间即为磋商供应商响应文件的送达时间，逾期送达的响应文件</w:t>
      </w:r>
      <w:r>
        <w:rPr>
          <w:rFonts w:hint="eastAsia" w:ascii="宋体" w:hAnsi="宋体" w:cs="宋体"/>
          <w:bCs/>
          <w:color w:val="auto"/>
          <w:szCs w:val="21"/>
          <w:highlight w:val="none"/>
        </w:rPr>
        <w:t>不予接收，</w:t>
      </w:r>
      <w:r>
        <w:rPr>
          <w:rFonts w:hint="eastAsia" w:ascii="宋体" w:hAnsi="宋体" w:cs="宋体"/>
          <w:bCs/>
          <w:color w:val="auto"/>
          <w:szCs w:val="21"/>
          <w:highlight w:val="none"/>
          <w:lang w:val="en-US" w:eastAsia="zh-CN"/>
        </w:rPr>
        <w:t>磋商供应商</w:t>
      </w:r>
      <w:r>
        <w:rPr>
          <w:rFonts w:hint="eastAsia" w:ascii="宋体" w:hAnsi="宋体" w:cs="宋体"/>
          <w:bCs/>
          <w:color w:val="auto"/>
          <w:szCs w:val="21"/>
          <w:highlight w:val="none"/>
        </w:rPr>
        <w:t>可于本项目</w:t>
      </w:r>
      <w:r>
        <w:rPr>
          <w:rFonts w:hint="eastAsia" w:ascii="宋体" w:hAnsi="宋体" w:cs="宋体"/>
          <w:bCs/>
          <w:color w:val="auto"/>
          <w:szCs w:val="21"/>
          <w:highlight w:val="none"/>
          <w:lang w:val="en-US" w:eastAsia="zh-CN"/>
        </w:rPr>
        <w:t>截止</w:t>
      </w:r>
      <w:r>
        <w:rPr>
          <w:rFonts w:hint="eastAsia" w:ascii="宋体" w:hAnsi="宋体" w:cs="宋体"/>
          <w:bCs/>
          <w:color w:val="auto"/>
          <w:szCs w:val="21"/>
          <w:highlight w:val="none"/>
        </w:rPr>
        <w:t>时间前自行送达</w:t>
      </w:r>
      <w:r>
        <w:rPr>
          <w:rFonts w:hint="eastAsia" w:ascii="宋体" w:hAnsi="宋体" w:cs="宋体"/>
          <w:bCs/>
          <w:color w:val="auto"/>
          <w:szCs w:val="21"/>
          <w:highlight w:val="none"/>
          <w:lang w:eastAsia="zh-CN"/>
        </w:rPr>
        <w:t>横州市</w:t>
      </w:r>
      <w:r>
        <w:rPr>
          <w:rFonts w:hint="eastAsia" w:ascii="宋体" w:hAnsi="宋体" w:cs="宋体"/>
          <w:bCs/>
          <w:color w:val="auto"/>
          <w:szCs w:val="21"/>
          <w:highlight w:val="none"/>
        </w:rPr>
        <w:t>公共资源交易中心（</w:t>
      </w:r>
      <w:r>
        <w:rPr>
          <w:rFonts w:hint="eastAsia" w:ascii="宋体" w:hAnsi="宋体" w:cs="宋体"/>
          <w:bCs/>
          <w:color w:val="auto"/>
          <w:szCs w:val="21"/>
          <w:highlight w:val="none"/>
          <w:lang w:eastAsia="zh-CN"/>
        </w:rPr>
        <w:t>横州市</w:t>
      </w:r>
      <w:r>
        <w:rPr>
          <w:rFonts w:hint="eastAsia" w:ascii="宋体" w:hAnsi="宋体" w:cs="宋体"/>
          <w:bCs/>
          <w:color w:val="auto"/>
          <w:szCs w:val="21"/>
          <w:highlight w:val="none"/>
        </w:rPr>
        <w:t>横州镇茉莉花大道国泰综合大楼2号楼3楼）（具体详见电子显示屏场地安排），后果由磋商供应商自行承担</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接收邮寄快递包裹的时间为工作日上午8：00～12：00，下午15：00～18:00，磋商供应商应对自己的响应文件的快递包封和密封性负责，如送达的快递包裹出现破损导致响应文件密封性包封破损的，后果由磋商供应商自行承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3）磋商供应商应充分预留响应文件邮寄、送达所需要的时间。为确保疫情防控期间邮寄包裹能及时送达，应选择邮寄运送时间有保障的快递公司寄送响应文件。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磋商供应商在按照采购文件的要求装订、密封好响应文件后，应使用不透明、防水的邮寄袋（或箱）再次包裹已密封好的响应文件，并在邮寄袋（或箱）上粘牢注明项目名称、项目编号等内容的纸质表格（表格格式详见附件: 邮件外包粘贴表格（格式）），工作人员将依据此信息将邮寄袋（或箱）提交该项目的开标评标环节。如采购代理机构收到的邮寄包裹未按上述要求进行标识，造成无法将响应文件提交至该项目开标评标环节的，由此产生的后果由磋商供应商自行承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5）响应文件邮寄地址和收件人：广西壮族自治区南宁市西乡塘区大学东路170号广西科联招标中心有限公司一楼大厅前台，收件人：李艳、</w:t>
      </w:r>
      <w:r>
        <w:rPr>
          <w:rFonts w:hint="eastAsia" w:ascii="宋体" w:hAnsi="宋体" w:cs="宋体"/>
          <w:bCs/>
          <w:color w:val="auto"/>
          <w:szCs w:val="21"/>
          <w:highlight w:val="none"/>
          <w:lang w:val="en-US" w:eastAsia="zh-CN"/>
        </w:rPr>
        <w:t>欧明聪</w:t>
      </w:r>
      <w:r>
        <w:rPr>
          <w:rFonts w:hint="eastAsia" w:ascii="宋体" w:hAnsi="宋体" w:cs="宋体"/>
          <w:bCs/>
          <w:color w:val="auto"/>
          <w:szCs w:val="21"/>
          <w:highlight w:val="none"/>
        </w:rPr>
        <w:t>，联系电话：</w:t>
      </w:r>
      <w:r>
        <w:rPr>
          <w:rFonts w:hint="eastAsia" w:ascii="宋体" w:hAnsi="宋体" w:cs="宋体"/>
          <w:bCs/>
          <w:color w:val="auto"/>
          <w:szCs w:val="21"/>
          <w:highlight w:val="none"/>
          <w:lang w:val="en-US" w:eastAsia="zh-CN"/>
        </w:rPr>
        <w:t>0771-2273368</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olor w:val="auto"/>
          <w:szCs w:val="32"/>
          <w:highlight w:val="none"/>
        </w:rPr>
      </w:pPr>
      <w:r>
        <w:rPr>
          <w:rFonts w:hint="eastAsia" w:ascii="宋体" w:hAnsi="宋体"/>
          <w:b/>
          <w:bCs/>
          <w:color w:val="auto"/>
          <w:szCs w:val="21"/>
          <w:highlight w:val="none"/>
        </w:rPr>
        <w:t>2、</w:t>
      </w:r>
      <w:r>
        <w:rPr>
          <w:rFonts w:hint="eastAsia" w:ascii="宋体" w:hAnsi="宋体"/>
          <w:color w:val="auto"/>
          <w:szCs w:val="32"/>
          <w:highlight w:val="none"/>
        </w:rPr>
        <w:t>磋商供应商可自行决定是否安排授权代表(限1人)现场参加项目的响应文件递交截止活动，并对响应文件作出澄清、说明或补正（如评标评审过程中需要）。</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3、</w:t>
      </w:r>
      <w:r>
        <w:rPr>
          <w:rFonts w:hint="eastAsia" w:ascii="宋体" w:hAnsi="宋体" w:cs="宋体"/>
          <w:color w:val="auto"/>
          <w:szCs w:val="21"/>
          <w:highlight w:val="none"/>
        </w:rPr>
        <w:t>在“信用中国”网站(www.creditchina.gov.cn)和中国政府采购网（www.ccgp.gov.cn）列入失信被执行人、重大税收违法案件当事人名单、政府采购严重违法失信行为记录名单及其他不符合《中华人民共和国政府采购法》第二十二条规定条件和相关法律法规规定条件的供应商，不得参与政府采购活动。</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4、</w:t>
      </w:r>
      <w:r>
        <w:rPr>
          <w:rFonts w:hint="eastAsia" w:ascii="宋体" w:hAnsi="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60" w:lineRule="auto"/>
        <w:ind w:firstLine="424" w:firstLineChars="201"/>
        <w:textAlignment w:val="auto"/>
        <w:rPr>
          <w:rFonts w:hint="eastAsia" w:ascii="宋体" w:hAnsi="宋体"/>
          <w:bCs/>
          <w:color w:val="auto"/>
          <w:szCs w:val="32"/>
          <w:highlight w:val="none"/>
        </w:rPr>
      </w:pPr>
      <w:r>
        <w:rPr>
          <w:rFonts w:hint="eastAsia" w:ascii="宋体" w:hAnsi="宋体"/>
          <w:b/>
          <w:color w:val="auto"/>
          <w:szCs w:val="32"/>
          <w:highlight w:val="none"/>
        </w:rPr>
        <w:t>5、</w:t>
      </w:r>
      <w:r>
        <w:rPr>
          <w:rFonts w:hint="eastAsia" w:ascii="宋体" w:hAnsi="宋体"/>
          <w:bCs/>
          <w:color w:val="auto"/>
          <w:szCs w:val="32"/>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keepNext w:val="0"/>
        <w:keepLines w:val="0"/>
        <w:pageBreakBefore w:val="0"/>
        <w:kinsoku/>
        <w:wordWrap/>
        <w:overflowPunct/>
        <w:topLinePunct w:val="0"/>
        <w:autoSpaceDE/>
        <w:autoSpaceDN/>
        <w:bidi w:val="0"/>
        <w:adjustRightInd/>
        <w:snapToGrid/>
        <w:spacing w:line="360" w:lineRule="auto"/>
        <w:ind w:firstLine="424" w:firstLineChars="201"/>
        <w:textAlignment w:val="auto"/>
        <w:rPr>
          <w:rFonts w:hint="eastAsia" w:ascii="宋体" w:hAnsi="宋体"/>
          <w:bCs/>
          <w:color w:val="auto"/>
          <w:szCs w:val="32"/>
          <w:highlight w:val="none"/>
        </w:rPr>
      </w:pPr>
      <w:r>
        <w:rPr>
          <w:rFonts w:hint="eastAsia" w:ascii="宋体" w:hAnsi="宋体"/>
          <w:b/>
          <w:color w:val="auto"/>
          <w:szCs w:val="32"/>
          <w:highlight w:val="none"/>
        </w:rPr>
        <w:t>6、</w:t>
      </w:r>
      <w:r>
        <w:rPr>
          <w:rFonts w:hint="eastAsia" w:ascii="宋体" w:hAnsi="宋体"/>
          <w:bCs/>
          <w:color w:val="auto"/>
          <w:szCs w:val="32"/>
          <w:highlight w:val="none"/>
        </w:rPr>
        <w:t>本项目采购标的所属行业为：</w:t>
      </w:r>
      <w:r>
        <w:rPr>
          <w:rFonts w:hint="eastAsia" w:ascii="宋体" w:hAnsi="宋体"/>
          <w:b/>
          <w:bCs/>
          <w:color w:val="auto"/>
          <w:szCs w:val="32"/>
          <w:highlight w:val="none"/>
        </w:rPr>
        <w:t>租赁和商务服务业</w:t>
      </w:r>
      <w:r>
        <w:rPr>
          <w:rFonts w:hint="eastAsia" w:ascii="宋体" w:hAnsi="宋体"/>
          <w:bCs/>
          <w:color w:val="auto"/>
          <w:szCs w:val="32"/>
          <w:highlight w:val="none"/>
        </w:rPr>
        <w:t>。</w:t>
      </w:r>
    </w:p>
    <w:p>
      <w:pPr>
        <w:keepNext w:val="0"/>
        <w:keepLines w:val="0"/>
        <w:pageBreakBefore w:val="0"/>
        <w:kinsoku/>
        <w:wordWrap/>
        <w:overflowPunct/>
        <w:topLinePunct w:val="0"/>
        <w:autoSpaceDE/>
        <w:autoSpaceDN/>
        <w:bidi w:val="0"/>
        <w:adjustRightInd/>
        <w:snapToGrid/>
        <w:spacing w:line="360" w:lineRule="auto"/>
        <w:ind w:firstLine="424" w:firstLineChars="201"/>
        <w:textAlignment w:val="auto"/>
        <w:rPr>
          <w:rFonts w:hint="eastAsia" w:ascii="宋体" w:hAnsi="宋体"/>
          <w:bCs/>
          <w:color w:val="auto"/>
          <w:szCs w:val="32"/>
          <w:highlight w:val="none"/>
        </w:rPr>
      </w:pPr>
      <w:r>
        <w:rPr>
          <w:rFonts w:hint="eastAsia" w:ascii="宋体" w:hAnsi="宋体"/>
          <w:b/>
          <w:color w:val="auto"/>
          <w:szCs w:val="32"/>
          <w:highlight w:val="none"/>
        </w:rPr>
        <w:t>7、</w:t>
      </w:r>
      <w:r>
        <w:rPr>
          <w:rFonts w:hint="eastAsia" w:ascii="宋体" w:hAnsi="宋体"/>
          <w:bCs/>
          <w:color w:val="auto"/>
          <w:szCs w:val="32"/>
          <w:highlight w:val="none"/>
        </w:rPr>
        <w:t>本项目信息发布媒体：http://www.ccgp.gov.cn/（中国政府采购网）、http://www.ccgp-guangxi.gov.cn/ (广西壮族自治区政府采购网)、https://www.nnggzy.org.cn/gxhxzbw（</w:t>
      </w:r>
      <w:r>
        <w:rPr>
          <w:rFonts w:hint="eastAsia" w:ascii="宋体" w:hAnsi="宋体"/>
          <w:bCs/>
          <w:color w:val="auto"/>
          <w:szCs w:val="32"/>
          <w:highlight w:val="none"/>
          <w:lang w:val="en-US" w:eastAsia="zh-CN"/>
        </w:rPr>
        <w:t>横州市</w:t>
      </w:r>
      <w:r>
        <w:rPr>
          <w:rFonts w:hint="eastAsia" w:ascii="宋体" w:hAnsi="宋体"/>
          <w:bCs/>
          <w:color w:val="auto"/>
          <w:szCs w:val="32"/>
          <w:highlight w:val="none"/>
        </w:rPr>
        <w:t>公共资源交易中心网）。</w:t>
      </w:r>
    </w:p>
    <w:p>
      <w:pPr>
        <w:keepNext w:val="0"/>
        <w:keepLines w:val="0"/>
        <w:pageBreakBefore w:val="0"/>
        <w:kinsoku/>
        <w:wordWrap/>
        <w:overflowPunct/>
        <w:topLinePunct w:val="0"/>
        <w:autoSpaceDE/>
        <w:autoSpaceDN/>
        <w:bidi w:val="0"/>
        <w:adjustRightInd/>
        <w:snapToGrid/>
        <w:spacing w:line="360" w:lineRule="auto"/>
        <w:textAlignment w:val="auto"/>
        <w:outlineLvl w:val="1"/>
        <w:rPr>
          <w:b/>
          <w:color w:val="auto"/>
          <w:highlight w:val="none"/>
        </w:rPr>
      </w:pPr>
      <w:bookmarkStart w:id="48" w:name="_Toc27276"/>
      <w:bookmarkStart w:id="49" w:name="_Toc35393627"/>
      <w:bookmarkStart w:id="50" w:name="_Toc28359085"/>
      <w:bookmarkStart w:id="51" w:name="_Toc12826"/>
      <w:bookmarkStart w:id="52" w:name="_Toc35393796"/>
      <w:bookmarkStart w:id="53" w:name="_Toc164"/>
      <w:bookmarkStart w:id="54" w:name="_Toc28359008"/>
      <w:r>
        <w:rPr>
          <w:rFonts w:hint="eastAsia"/>
          <w:b/>
          <w:color w:val="auto"/>
          <w:highlight w:val="none"/>
        </w:rPr>
        <w:t>八、对本次招标提出询问，请按以下方式联系</w:t>
      </w:r>
      <w:bookmarkEnd w:id="48"/>
      <w:bookmarkEnd w:id="49"/>
      <w:bookmarkEnd w:id="50"/>
      <w:bookmarkEnd w:id="51"/>
      <w:bookmarkEnd w:id="52"/>
      <w:bookmarkEnd w:id="53"/>
      <w:bookmarkEnd w:id="54"/>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2"/>
        <w:rPr>
          <w:rFonts w:ascii="宋体" w:hAnsi="宋体" w:cs="宋体"/>
          <w:color w:val="auto"/>
          <w:szCs w:val="21"/>
          <w:highlight w:val="none"/>
        </w:rPr>
      </w:pPr>
      <w:bookmarkStart w:id="55" w:name="_Toc21592"/>
      <w:bookmarkStart w:id="56" w:name="_Toc6717"/>
      <w:r>
        <w:rPr>
          <w:rFonts w:hint="eastAsia" w:ascii="宋体" w:hAnsi="宋体" w:cs="宋体"/>
          <w:color w:val="auto"/>
          <w:szCs w:val="21"/>
          <w:highlight w:val="none"/>
        </w:rPr>
        <w:t>1、采购人信息</w:t>
      </w:r>
      <w:bookmarkEnd w:id="55"/>
      <w:bookmarkEnd w:id="56"/>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名称：</w:t>
      </w:r>
      <w:bookmarkStart w:id="57" w:name="_Toc28359086"/>
      <w:bookmarkStart w:id="58" w:name="_Toc28359009"/>
      <w:r>
        <w:rPr>
          <w:rFonts w:hint="eastAsia" w:ascii="宋体" w:hAnsi="宋体"/>
          <w:bCs/>
          <w:color w:val="auto"/>
          <w:szCs w:val="21"/>
          <w:highlight w:val="none"/>
          <w:lang w:val="en-US" w:eastAsia="zh-CN"/>
        </w:rPr>
        <w:t>横州市</w:t>
      </w:r>
      <w:r>
        <w:rPr>
          <w:rFonts w:hint="eastAsia" w:ascii="宋体" w:hAnsi="宋体"/>
          <w:bCs/>
          <w:color w:val="auto"/>
          <w:szCs w:val="21"/>
          <w:highlight w:val="none"/>
        </w:rPr>
        <w:t>应急管理局</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rPr>
        <w:t>南宁市横州市长安大道</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项目联系人：禤冰丹</w:t>
      </w:r>
      <w:r>
        <w:rPr>
          <w:rFonts w:hint="eastAsia" w:ascii="宋体" w:hAnsi="宋体" w:cs="宋体"/>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w:t>
      </w:r>
      <w:r>
        <w:rPr>
          <w:rFonts w:hint="eastAsia" w:ascii="宋体" w:hAnsi="宋体" w:cs="宋体"/>
          <w:color w:val="auto"/>
          <w:szCs w:val="21"/>
          <w:highlight w:val="none"/>
          <w:lang w:val="en-US" w:eastAsia="zh-CN"/>
        </w:rPr>
        <w:t>0771-7082981</w:t>
      </w:r>
      <w:r>
        <w:rPr>
          <w:rFonts w:hint="eastAsia" w:ascii="宋体" w:hAnsi="宋体" w:cs="宋体"/>
          <w:color w:val="auto"/>
          <w:szCs w:val="21"/>
          <w:highlight w:val="none"/>
          <w:lang w:val="en-US" w:eastAsia="zh-CN"/>
        </w:rPr>
        <w:t xml:space="preserve">  </w:t>
      </w:r>
    </w:p>
    <w:bookmarkEnd w:id="57"/>
    <w:bookmarkEnd w:id="58"/>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2"/>
        <w:rPr>
          <w:rFonts w:ascii="宋体" w:hAnsi="宋体" w:cs="宋体"/>
          <w:color w:val="auto"/>
          <w:szCs w:val="21"/>
          <w:highlight w:val="none"/>
        </w:rPr>
      </w:pPr>
      <w:bookmarkStart w:id="59" w:name="_Toc31993"/>
      <w:bookmarkStart w:id="60" w:name="_Toc5972"/>
      <w:bookmarkStart w:id="61" w:name="_Toc10159"/>
      <w:r>
        <w:rPr>
          <w:rFonts w:hint="eastAsia" w:ascii="宋体" w:hAnsi="宋体" w:cs="宋体"/>
          <w:color w:val="auto"/>
          <w:szCs w:val="21"/>
          <w:highlight w:val="none"/>
        </w:rPr>
        <w:t>2、采购代理机构信息</w:t>
      </w:r>
      <w:bookmarkEnd w:id="59"/>
      <w:bookmarkEnd w:id="60"/>
      <w:bookmarkEnd w:id="61"/>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名称：广西科联招标中心有限公司</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地址：广西南宁市大学东路170号</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欧明聪</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项目联系方式：0771-</w:t>
      </w:r>
      <w:r>
        <w:rPr>
          <w:rFonts w:hint="eastAsia" w:ascii="宋体" w:hAnsi="宋体" w:cs="宋体"/>
          <w:color w:val="auto"/>
          <w:szCs w:val="21"/>
          <w:highlight w:val="none"/>
          <w:lang w:val="en-US" w:eastAsia="zh-CN"/>
        </w:rPr>
        <w:t>3482237</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cs="宋体"/>
          <w:color w:val="auto"/>
          <w:szCs w:val="21"/>
          <w:highlight w:val="none"/>
        </w:rPr>
      </w:pP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cs="宋体"/>
          <w:color w:val="auto"/>
          <w:szCs w:val="21"/>
          <w:highlight w:val="none"/>
        </w:rPr>
      </w:pPr>
    </w:p>
    <w:bookmarkEnd w:id="26"/>
    <w:bookmarkEnd w:id="27"/>
    <w:bookmarkEnd w:id="28"/>
    <w:bookmarkEnd w:id="29"/>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广西科联招标中心有限公司</w:t>
      </w:r>
    </w:p>
    <w:p>
      <w:pPr>
        <w:keepNext w:val="0"/>
        <w:keepLines w:val="0"/>
        <w:pageBreakBefore w:val="0"/>
        <w:kinsoku/>
        <w:wordWrap/>
        <w:overflowPunct/>
        <w:topLinePunct w:val="0"/>
        <w:autoSpaceDE/>
        <w:autoSpaceDN/>
        <w:bidi w:val="0"/>
        <w:adjustRightInd/>
        <w:snapToGrid/>
        <w:spacing w:line="360" w:lineRule="auto"/>
        <w:ind w:firstLine="525" w:firstLineChars="25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p>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340" w:lineRule="exact"/>
        <w:rPr>
          <w:rFonts w:hint="eastAsia" w:ascii="宋体" w:hAnsi="宋体" w:cs="宋体"/>
          <w:color w:val="auto"/>
          <w:szCs w:val="21"/>
          <w:highlight w:val="none"/>
        </w:rPr>
      </w:pPr>
    </w:p>
    <w:p>
      <w:pPr>
        <w:pStyle w:val="13"/>
        <w:jc w:val="center"/>
        <w:outlineLvl w:val="0"/>
        <w:rPr>
          <w:rFonts w:hint="eastAsia" w:hAnsi="宋体" w:cs="宋体"/>
          <w:b/>
          <w:color w:val="auto"/>
          <w:sz w:val="36"/>
          <w:highlight w:val="none"/>
        </w:rPr>
      </w:pPr>
      <w:bookmarkStart w:id="62" w:name="_Toc7626"/>
      <w:r>
        <w:rPr>
          <w:rFonts w:hint="eastAsia" w:hAnsi="宋体" w:cs="宋体"/>
          <w:b/>
          <w:color w:val="auto"/>
          <w:sz w:val="36"/>
          <w:highlight w:val="none"/>
        </w:rPr>
        <w:t>第一章  服务需求一览表</w:t>
      </w:r>
      <w:bookmarkEnd w:id="2"/>
      <w:bookmarkEnd w:id="3"/>
      <w:bookmarkEnd w:id="4"/>
      <w:bookmarkEnd w:id="5"/>
      <w:bookmarkEnd w:id="62"/>
    </w:p>
    <w:p>
      <w:pPr>
        <w:adjustRightInd w:val="0"/>
        <w:spacing w:line="340" w:lineRule="exact"/>
        <w:rPr>
          <w:rFonts w:hint="eastAsia" w:ascii="宋体" w:hAnsi="宋体" w:cs="宋体"/>
          <w:b/>
          <w:color w:val="auto"/>
          <w:szCs w:val="21"/>
          <w:highlight w:val="none"/>
        </w:rPr>
      </w:pPr>
    </w:p>
    <w:p>
      <w:pPr>
        <w:adjustRightInd w:val="0"/>
        <w:spacing w:line="480" w:lineRule="auto"/>
        <w:rPr>
          <w:rFonts w:hint="eastAsia" w:ascii="宋体" w:hAnsi="宋体" w:cs="宋体"/>
          <w:b/>
          <w:color w:val="auto"/>
          <w:szCs w:val="21"/>
          <w:highlight w:val="none"/>
        </w:rPr>
      </w:pPr>
      <w:r>
        <w:rPr>
          <w:rFonts w:hint="eastAsia" w:ascii="宋体" w:hAnsi="宋体" w:cs="宋体"/>
          <w:b/>
          <w:color w:val="auto"/>
          <w:szCs w:val="21"/>
          <w:highlight w:val="none"/>
        </w:rPr>
        <w:t>说明：</w:t>
      </w:r>
    </w:p>
    <w:p>
      <w:pPr>
        <w:spacing w:line="480" w:lineRule="auto"/>
        <w:ind w:firstLine="422" w:firstLineChars="200"/>
        <w:rPr>
          <w:rFonts w:hint="eastAsia" w:ascii="宋体" w:hAnsi="宋体" w:cs="宋体"/>
          <w:b/>
          <w:color w:val="auto"/>
          <w:highlight w:val="none"/>
        </w:rPr>
      </w:pPr>
      <w:r>
        <w:rPr>
          <w:rFonts w:hint="eastAsia" w:ascii="宋体" w:hAnsi="宋体" w:cs="宋体"/>
          <w:b/>
          <w:color w:val="auto"/>
          <w:highlight w:val="none"/>
        </w:rPr>
        <w:t>1、本需求一览表中标注★号的内容为实质性要求和条件，磋商供应商须满足或响应，若无法完全满足，将会被认定为无效磋商。</w:t>
      </w:r>
    </w:p>
    <w:p>
      <w:pPr>
        <w:spacing w:line="480" w:lineRule="auto"/>
        <w:ind w:firstLine="422" w:firstLineChars="200"/>
        <w:rPr>
          <w:rFonts w:hint="eastAsia" w:ascii="宋体" w:hAnsi="宋体" w:cs="宋体"/>
          <w:b/>
          <w:color w:val="auto"/>
          <w:highlight w:val="none"/>
        </w:rPr>
      </w:pPr>
      <w:r>
        <w:rPr>
          <w:rFonts w:hint="eastAsia" w:ascii="宋体" w:hAnsi="宋体" w:cs="宋体"/>
          <w:b/>
          <w:color w:val="auto"/>
          <w:highlight w:val="none"/>
        </w:rPr>
        <w:t>2、本需求一览表中内容如与第五章“合同条款及格式”相关条款不一致的，以本表为准。</w:t>
      </w:r>
    </w:p>
    <w:p>
      <w:pPr>
        <w:spacing w:line="480" w:lineRule="auto"/>
        <w:ind w:firstLine="422" w:firstLineChars="200"/>
        <w:rPr>
          <w:rFonts w:hint="eastAsia" w:ascii="宋体" w:hAnsi="宋体" w:cs="宋体"/>
          <w:b/>
          <w:color w:val="auto"/>
          <w:highlight w:val="none"/>
        </w:rPr>
      </w:pPr>
      <w:r>
        <w:rPr>
          <w:rFonts w:hint="eastAsia" w:ascii="宋体" w:hAnsi="宋体" w:cs="宋体"/>
          <w:b/>
          <w:color w:val="auto"/>
          <w:highlight w:val="none"/>
        </w:rPr>
        <w:t>3、磋商供应商应对磋商内容所涉及的专利承担法律责任，并负责保护业主的利益不受任何损害。一切由于文字、商标、技术和软件专利授权引起的法律裁决、诉讼和赔偿费用均由成交供应商负责。同时，具有产品专利的磋商供应商应在其响应文件中提供与其自有产品专利相关的有效证明材料，否则，不能就其产品的专利在本项目磋商过程中被侵权问题而提出异议。</w:t>
      </w:r>
    </w:p>
    <w:p>
      <w:pPr>
        <w:spacing w:line="480" w:lineRule="auto"/>
        <w:ind w:firstLine="422" w:firstLineChars="200"/>
        <w:rPr>
          <w:rFonts w:hint="eastAsia" w:ascii="宋体" w:hAnsi="宋体" w:cs="宋体"/>
          <w:b/>
          <w:color w:val="auto"/>
          <w:highlight w:val="none"/>
        </w:rPr>
      </w:pPr>
      <w:r>
        <w:rPr>
          <w:rFonts w:hint="eastAsia" w:ascii="宋体" w:hAnsi="宋体" w:cs="宋体"/>
          <w:b/>
          <w:color w:val="auto"/>
          <w:highlight w:val="none"/>
        </w:rPr>
        <w:t>4、磋商供应商响应文件中提供的证明材料和资质文件应真实，如出现虚假应标情况，磋商供应商除了应接受有关部门的处罚外，还应依据《中华人民共和国民法典》的相关条款来确定赔偿金额。</w:t>
      </w:r>
    </w:p>
    <w:p>
      <w:pPr>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highlight w:val="none"/>
        </w:rPr>
        <w:t>5、</w:t>
      </w:r>
      <w:r>
        <w:rPr>
          <w:rFonts w:hint="eastAsia" w:ascii="宋体" w:hAnsi="宋体" w:cs="宋体"/>
          <w:b/>
          <w:color w:val="auto"/>
          <w:szCs w:val="21"/>
          <w:highlight w:val="none"/>
        </w:rPr>
        <w:t>本需求一览表中要求提供的文件材料，未注明原件的，均可提供复印件。</w:t>
      </w:r>
    </w:p>
    <w:p>
      <w:pPr>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6、本需求一览表中要求提供的文件材料，请在《磋商服务技术资料表》或《商务条款偏离表》中应答时，注明相关文件材料放置的页码。</w:t>
      </w:r>
    </w:p>
    <w:p>
      <w:pPr>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7、本次服务采购最高限价为</w:t>
      </w:r>
      <w:r>
        <w:rPr>
          <w:rFonts w:hint="eastAsia" w:ascii="宋体" w:hAnsi="宋体" w:cs="宋体"/>
          <w:b/>
          <w:color w:val="auto"/>
          <w:szCs w:val="21"/>
          <w:highlight w:val="none"/>
          <w:lang w:eastAsia="zh-CN"/>
        </w:rPr>
        <w:t>：</w:t>
      </w:r>
      <w:r>
        <w:rPr>
          <w:rFonts w:hint="eastAsia" w:ascii="宋体" w:hAnsi="宋体" w:cs="宋体"/>
          <w:b/>
          <w:color w:val="auto"/>
          <w:szCs w:val="21"/>
          <w:highlight w:val="none"/>
          <w:u w:val="single"/>
          <w:lang w:val="en-US" w:eastAsia="zh-CN"/>
        </w:rPr>
        <w:t>120万元</w:t>
      </w:r>
      <w:r>
        <w:rPr>
          <w:rFonts w:hint="eastAsia" w:ascii="宋体" w:hAnsi="宋体" w:cs="宋体"/>
          <w:b/>
          <w:color w:val="auto"/>
          <w:szCs w:val="21"/>
          <w:highlight w:val="none"/>
        </w:rPr>
        <w:t>。服务分项最高限价详见表格。</w:t>
      </w:r>
    </w:p>
    <w:p>
      <w:pPr>
        <w:ind w:left="-1" w:leftChars="-67" w:hanging="140" w:hangingChars="58"/>
        <w:rPr>
          <w:rFonts w:hint="eastAsia" w:ascii="宋体" w:hAnsi="宋体" w:cs="宋体"/>
          <w:b/>
          <w:bCs/>
          <w:color w:val="auto"/>
          <w:sz w:val="24"/>
          <w:highlight w:val="none"/>
        </w:rPr>
      </w:pPr>
    </w:p>
    <w:p>
      <w:pPr>
        <w:rPr>
          <w:rFonts w:hint="eastAsia" w:ascii="宋体" w:hAnsi="宋体" w:eastAsia="宋体" w:cs="宋体"/>
          <w:color w:val="auto"/>
          <w:szCs w:val="21"/>
          <w:highlight w:val="none"/>
        </w:rPr>
      </w:pP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tbl>
      <w:tblPr>
        <w:tblStyle w:val="25"/>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87"/>
        <w:gridCol w:w="734"/>
        <w:gridCol w:w="665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534" w:type="dxa"/>
            <w:noWrap w:val="0"/>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项号</w:t>
            </w:r>
          </w:p>
        </w:tc>
        <w:tc>
          <w:tcPr>
            <w:tcW w:w="1087" w:type="dxa"/>
            <w:noWrap w:val="0"/>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服务名称</w:t>
            </w:r>
          </w:p>
        </w:tc>
        <w:tc>
          <w:tcPr>
            <w:tcW w:w="734" w:type="dxa"/>
            <w:noWrap w:val="0"/>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6653" w:type="dxa"/>
            <w:noWrap w:val="0"/>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服务内容及要求</w:t>
            </w:r>
          </w:p>
        </w:tc>
        <w:tc>
          <w:tcPr>
            <w:tcW w:w="1120" w:type="dxa"/>
            <w:noWrap w:val="0"/>
            <w:vAlign w:val="center"/>
          </w:tcPr>
          <w:p>
            <w:pPr>
              <w:widowControl/>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534"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087" w:type="dxa"/>
            <w:noWrap w:val="0"/>
            <w:vAlign w:val="center"/>
          </w:tcPr>
          <w:p>
            <w:pPr>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横州市应急管理局全国第一次自然灾害风险普查第一阶段调查项目</w:t>
            </w:r>
            <w:r>
              <w:rPr>
                <w:rFonts w:hint="default" w:ascii="Times New Roman" w:hAnsi="Times New Roman" w:eastAsia="宋体" w:cs="Times New Roman"/>
                <w:color w:val="auto"/>
                <w:szCs w:val="21"/>
                <w:highlight w:val="none"/>
              </w:rPr>
              <w:t>（含综合协调管理项目）</w:t>
            </w:r>
          </w:p>
        </w:tc>
        <w:tc>
          <w:tcPr>
            <w:tcW w:w="734"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项</w:t>
            </w:r>
          </w:p>
        </w:tc>
        <w:tc>
          <w:tcPr>
            <w:tcW w:w="6653" w:type="dxa"/>
            <w:noWrap w:val="0"/>
            <w:vAlign w:val="center"/>
          </w:tcPr>
          <w:p>
            <w:pP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一、项目概况</w:t>
            </w:r>
          </w:p>
          <w:p>
            <w:pP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为全面掌握</w:t>
            </w:r>
            <w:r>
              <w:rPr>
                <w:rFonts w:hint="default" w:ascii="Times New Roman" w:hAnsi="Times New Roman" w:eastAsia="宋体" w:cs="Times New Roman"/>
                <w:color w:val="auto"/>
                <w:szCs w:val="21"/>
                <w:highlight w:val="none"/>
              </w:rPr>
              <w:t>横州市</w:t>
            </w:r>
            <w:r>
              <w:rPr>
                <w:rFonts w:hint="default" w:ascii="Times New Roman" w:hAnsi="Times New Roman" w:eastAsia="宋体" w:cs="Times New Roman"/>
                <w:b w:val="0"/>
                <w:bCs w:val="0"/>
                <w:color w:val="auto"/>
                <w:szCs w:val="21"/>
                <w:highlight w:val="none"/>
              </w:rPr>
              <w:t>自然灾害风险隐患情况，提升全社会抵御自然灾害的综合防范能力，依据《国务院办公厅关于开展第一次全国自然灾害综合风险普查的通知》（国办发〔2020〕12号）的相关要求，以及《国家减灾委员会办公室关于印发&lt;全国灾害综合风险普查总体方案&gt;的通知》（国减办发[2019]17号）、《第一次全国自然灾害综合风险普查实施方案（修订版）》（国灾险普办发[2021]6号）、《广西第一次全国自然灾害综合风险普查实施方案》（2021年6月24日发布）、《公共服务设施调查技术规范》（FXPC/YJ G-10）、非煤矿山自然灾害承灾体调查技术规范（FXPC/YJ G-11）、危险化学品自然灾害承灾体调查技术规范（FXPC/YJ G-13）等指导性文件，结合</w:t>
            </w:r>
            <w:r>
              <w:rPr>
                <w:rFonts w:hint="default" w:ascii="Times New Roman" w:hAnsi="Times New Roman" w:eastAsia="宋体" w:cs="Times New Roman"/>
                <w:color w:val="auto"/>
                <w:szCs w:val="21"/>
                <w:highlight w:val="none"/>
              </w:rPr>
              <w:t>横州市</w:t>
            </w:r>
            <w:r>
              <w:rPr>
                <w:rFonts w:hint="default" w:ascii="Times New Roman" w:hAnsi="Times New Roman" w:eastAsia="宋体" w:cs="Times New Roman"/>
                <w:b w:val="0"/>
                <w:bCs w:val="0"/>
                <w:color w:val="auto"/>
                <w:szCs w:val="21"/>
                <w:highlight w:val="none"/>
              </w:rPr>
              <w:t>实际情况，</w:t>
            </w:r>
            <w:r>
              <w:rPr>
                <w:rFonts w:hint="default" w:ascii="Times New Roman" w:hAnsi="Times New Roman" w:eastAsia="宋体" w:cs="Times New Roman"/>
                <w:b w:val="0"/>
                <w:bCs w:val="0"/>
                <w:color w:val="auto"/>
                <w:szCs w:val="21"/>
                <w:highlight w:val="none"/>
                <w:lang w:val="en-US" w:eastAsia="zh-CN"/>
              </w:rPr>
              <w:t>完成</w:t>
            </w:r>
            <w:r>
              <w:rPr>
                <w:rFonts w:hint="default" w:ascii="Times New Roman" w:hAnsi="Times New Roman" w:eastAsia="宋体" w:cs="Times New Roman"/>
                <w:b w:val="0"/>
                <w:bCs w:val="0"/>
                <w:color w:val="auto"/>
                <w:szCs w:val="21"/>
                <w:highlight w:val="none"/>
              </w:rPr>
              <w:t>第一次全国自然灾害综合风险普查项目工作。</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b/>
                <w:color w:val="auto"/>
                <w:szCs w:val="21"/>
                <w:highlight w:val="none"/>
              </w:rPr>
              <w:t>服务内容及要求</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1.编制应急系统实施方案。 </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2.完成普查区划更新同步工作。</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3.编制承灾体调查工作报告。</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4.完成</w:t>
            </w:r>
            <w:r>
              <w:rPr>
                <w:rFonts w:hint="default" w:ascii="Times New Roman" w:hAnsi="Times New Roman" w:eastAsia="宋体" w:cs="Times New Roman"/>
                <w:b/>
                <w:bCs/>
                <w:color w:val="auto"/>
                <w:szCs w:val="21"/>
                <w:highlight w:val="none"/>
                <w:lang w:val="en-US" w:eastAsia="zh-CN"/>
              </w:rPr>
              <w:t>本年度</w:t>
            </w:r>
            <w:r>
              <w:rPr>
                <w:rFonts w:hint="default" w:ascii="Times New Roman" w:hAnsi="Times New Roman" w:eastAsia="宋体" w:cs="Times New Roman"/>
                <w:color w:val="auto"/>
                <w:szCs w:val="21"/>
                <w:highlight w:val="none"/>
              </w:rPr>
              <w:t xml:space="preserve">危险化学品企业、非煤矿山等重点企业调查。 </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5.完成</w:t>
            </w:r>
            <w:r>
              <w:rPr>
                <w:rFonts w:hint="default" w:ascii="Times New Roman" w:hAnsi="Times New Roman" w:eastAsia="宋体" w:cs="Times New Roman"/>
                <w:b/>
                <w:bCs/>
                <w:color w:val="auto"/>
                <w:szCs w:val="21"/>
                <w:highlight w:val="none"/>
                <w:lang w:val="en-US" w:eastAsia="zh-CN"/>
              </w:rPr>
              <w:t>本年度</w:t>
            </w:r>
            <w:r>
              <w:rPr>
                <w:rFonts w:hint="default" w:ascii="Times New Roman" w:hAnsi="Times New Roman" w:eastAsia="宋体" w:cs="Times New Roman"/>
                <w:color w:val="auto"/>
                <w:szCs w:val="21"/>
                <w:highlight w:val="none"/>
              </w:rPr>
              <w:t xml:space="preserve">政府减灾能力调查、企业与社会组织减灾能力调查、乡镇与社区减灾能力调查、家庭减灾能力调查等四类综合减灾能力调查工作。 </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6.完成</w:t>
            </w:r>
            <w:r>
              <w:rPr>
                <w:rFonts w:hint="default" w:ascii="Times New Roman" w:hAnsi="Times New Roman" w:eastAsia="宋体" w:cs="Times New Roman"/>
                <w:b/>
                <w:bCs/>
                <w:color w:val="auto"/>
                <w:szCs w:val="21"/>
                <w:highlight w:val="none"/>
                <w:lang w:val="en-US" w:eastAsia="zh-CN"/>
              </w:rPr>
              <w:t>本年度</w:t>
            </w:r>
            <w:r>
              <w:rPr>
                <w:rFonts w:hint="default" w:ascii="Times New Roman" w:hAnsi="Times New Roman" w:eastAsia="宋体" w:cs="Times New Roman"/>
                <w:color w:val="auto"/>
                <w:szCs w:val="21"/>
                <w:highlight w:val="none"/>
              </w:rPr>
              <w:t xml:space="preserve">历史年度自然灾害灾情调查工作。 </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7.完成</w:t>
            </w:r>
            <w:r>
              <w:rPr>
                <w:rFonts w:hint="default" w:ascii="Times New Roman" w:hAnsi="Times New Roman" w:eastAsia="宋体" w:cs="Times New Roman"/>
                <w:b/>
                <w:bCs/>
                <w:color w:val="auto"/>
                <w:szCs w:val="21"/>
                <w:highlight w:val="none"/>
                <w:lang w:val="en-US" w:eastAsia="zh-CN"/>
              </w:rPr>
              <w:t>本年度</w:t>
            </w:r>
            <w:r>
              <w:rPr>
                <w:rFonts w:hint="default" w:ascii="Times New Roman" w:hAnsi="Times New Roman" w:eastAsia="宋体" w:cs="Times New Roman"/>
                <w:color w:val="auto"/>
                <w:szCs w:val="21"/>
                <w:highlight w:val="none"/>
              </w:rPr>
              <w:t xml:space="preserve">公共服务设施调查工作，以及县域基础指标统计表、乡（镇）基础指标统计表的收集工作。 </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8.派驻技术服务团队协助</w:t>
            </w:r>
            <w:r>
              <w:rPr>
                <w:rFonts w:hint="default" w:ascii="Times New Roman" w:hAnsi="Times New Roman" w:eastAsia="宋体" w:cs="Times New Roman"/>
                <w:color w:val="auto"/>
                <w:szCs w:val="21"/>
                <w:highlight w:val="none"/>
                <w:lang w:val="en-US" w:eastAsia="zh-CN"/>
              </w:rPr>
              <w:t>市</w:t>
            </w:r>
            <w:r>
              <w:rPr>
                <w:rFonts w:hint="default" w:ascii="Times New Roman" w:hAnsi="Times New Roman" w:eastAsia="宋体" w:cs="Times New Roman"/>
                <w:color w:val="auto"/>
                <w:szCs w:val="21"/>
                <w:highlight w:val="none"/>
              </w:rPr>
              <w:t xml:space="preserve">普查办日常运转、开展各类调研指导工作。 </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9.完成</w:t>
            </w:r>
            <w:r>
              <w:rPr>
                <w:rFonts w:hint="default" w:ascii="Times New Roman" w:hAnsi="Times New Roman" w:eastAsia="宋体" w:cs="Times New Roman"/>
                <w:b/>
                <w:bCs/>
                <w:color w:val="auto"/>
                <w:szCs w:val="21"/>
                <w:highlight w:val="none"/>
                <w:lang w:val="en-US" w:eastAsia="zh-CN"/>
              </w:rPr>
              <w:t>本年度</w:t>
            </w:r>
            <w:r>
              <w:rPr>
                <w:rFonts w:hint="default" w:ascii="Times New Roman" w:hAnsi="Times New Roman" w:eastAsia="宋体" w:cs="Times New Roman"/>
                <w:color w:val="auto"/>
                <w:szCs w:val="21"/>
                <w:highlight w:val="none"/>
              </w:rPr>
              <w:t>本级普查成果的质检核查、汇交与共享工作。</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b/>
                <w:color w:val="auto"/>
                <w:szCs w:val="21"/>
                <w:highlight w:val="none"/>
              </w:rPr>
              <w:t>服务技术质量要求</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磋商供应商按照国家、自治区相关技术标准，完成横州市第一次全国自然灾害综合风险普查应急系统普查工作，达到</w:t>
            </w:r>
            <w:r>
              <w:rPr>
                <w:rFonts w:hint="default" w:ascii="Times New Roman" w:hAnsi="Times New Roman" w:eastAsia="宋体" w:cs="Times New Roman"/>
                <w:color w:val="auto"/>
                <w:szCs w:val="21"/>
                <w:highlight w:val="none"/>
                <w:lang w:eastAsia="zh-CN"/>
              </w:rPr>
              <w:t>《G-10公共服务设施调查技术规范》、《G-11非煤矿山自然灾害承灾体调查技术规范》、《G-12煤矿自然灾害承灾体调查技术规范》、《G-13危险化学品自然灾害承灾体调查技术规范》、《H-01历史年度自然灾害灾情调查技术规范》、《H02重大历史自然灾害调查技术规范》、《I-01政府减灾能力调查技术规范》、《I-02企业及社会组织减灾能力调查技术规范》《I-03乡镇与社区减灾能力调查技术规范》、《I-04家庭减灾能力调查技术规范》</w:t>
            </w:r>
            <w:r>
              <w:rPr>
                <w:rFonts w:hint="default" w:ascii="Times New Roman" w:hAnsi="Times New Roman" w:eastAsia="宋体" w:cs="Times New Roman"/>
                <w:color w:val="auto"/>
                <w:szCs w:val="21"/>
                <w:highlight w:val="none"/>
                <w:lang w:val="en-US" w:eastAsia="zh-CN"/>
              </w:rPr>
              <w:t>等</w:t>
            </w:r>
            <w:r>
              <w:rPr>
                <w:rFonts w:hint="default" w:ascii="Times New Roman" w:hAnsi="Times New Roman" w:eastAsia="宋体" w:cs="Times New Roman"/>
                <w:color w:val="auto"/>
                <w:szCs w:val="21"/>
                <w:highlight w:val="none"/>
              </w:rPr>
              <w:t>技术规范和国务院第一次全国自然灾害综合风险普查领导小组办公室相关要求。</w:t>
            </w:r>
          </w:p>
          <w:p>
            <w:pPr>
              <w:pStyle w:val="2"/>
              <w:numPr>
                <w:ilvl w:val="0"/>
                <w:numId w:val="2"/>
              </w:numP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目标要求：通过组织开展横州市第一次全国自然灾害综合风险普查，摸清</w:t>
            </w:r>
            <w:r>
              <w:rPr>
                <w:rFonts w:hint="eastAsia" w:cs="Times New Roman"/>
                <w:color w:val="auto"/>
                <w:szCs w:val="21"/>
                <w:highlight w:val="none"/>
                <w:lang w:val="en-US" w:eastAsia="zh-CN"/>
              </w:rPr>
              <w:t>全市</w:t>
            </w:r>
            <w:r>
              <w:rPr>
                <w:rFonts w:hint="default" w:ascii="Times New Roman" w:hAnsi="Times New Roman" w:eastAsia="宋体" w:cs="Times New Roman"/>
                <w:color w:val="auto"/>
                <w:szCs w:val="21"/>
                <w:highlight w:val="none"/>
                <w:lang w:val="en-US" w:eastAsia="zh-CN"/>
              </w:rPr>
              <w:t>自然灾害风险隐患底数，查明重点区域抗灾能力，客观认识</w:t>
            </w:r>
            <w:r>
              <w:rPr>
                <w:rFonts w:hint="eastAsia" w:cs="Times New Roman"/>
                <w:color w:val="auto"/>
                <w:szCs w:val="21"/>
                <w:highlight w:val="none"/>
                <w:lang w:val="en-US" w:eastAsia="zh-CN"/>
              </w:rPr>
              <w:t>全市</w:t>
            </w:r>
            <w:r>
              <w:rPr>
                <w:rFonts w:hint="default" w:ascii="Times New Roman" w:hAnsi="Times New Roman" w:eastAsia="宋体" w:cs="Times New Roman"/>
                <w:color w:val="auto"/>
                <w:szCs w:val="21"/>
                <w:highlight w:val="none"/>
                <w:lang w:val="en-US" w:eastAsia="zh-CN"/>
              </w:rPr>
              <w:t>自然灾害综合风险水平，为</w:t>
            </w:r>
            <w:r>
              <w:rPr>
                <w:rFonts w:hint="eastAsia" w:cs="Times New Roman"/>
                <w:color w:val="auto"/>
                <w:szCs w:val="21"/>
                <w:highlight w:val="none"/>
                <w:lang w:val="en-US" w:eastAsia="zh-CN"/>
              </w:rPr>
              <w:t>全市</w:t>
            </w:r>
            <w:r>
              <w:rPr>
                <w:rFonts w:hint="default" w:ascii="Times New Roman" w:hAnsi="Times New Roman" w:eastAsia="宋体" w:cs="Times New Roman"/>
                <w:color w:val="auto"/>
                <w:szCs w:val="21"/>
                <w:highlight w:val="none"/>
                <w:lang w:val="en-US" w:eastAsia="zh-CN"/>
              </w:rPr>
              <w:t>各级人民政府有效开展自然灾害防治和应急管理工作、切实保障社会经济可持续发展提供权威的灾害风险信息和科学决策依据。。</w:t>
            </w:r>
          </w:p>
          <w:p>
            <w:pPr>
              <w:keepNext w:val="0"/>
              <w:keepLines w:val="0"/>
              <w:pageBreakBefore w:val="0"/>
              <w:widowControl w:val="0"/>
              <w:numPr>
                <w:ilvl w:val="0"/>
                <w:numId w:val="0"/>
              </w:numPr>
              <w:kinsoku/>
              <w:wordWrap/>
              <w:overflowPunct/>
              <w:topLinePunct w:val="0"/>
              <w:autoSpaceDE/>
              <w:autoSpaceDN/>
              <w:bidi w:val="0"/>
              <w:adjustRightInd/>
              <w:snapToGrid/>
              <w:spacing w:after="167" w:afterLines="5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2.主要任务：开展全市与主要自然灾害相关的自然和人文地理要素，县级人民政府及有关部门，乡镇人民政府和街道办事处，村民委员会和居民委员会，重点企事业单位和社会组织，部分居民等对象的调查工作。</w:t>
            </w:r>
          </w:p>
          <w:p>
            <w:pPr>
              <w:pStyle w:val="2"/>
              <w:numPr>
                <w:ilvl w:val="0"/>
                <w:numId w:val="0"/>
              </w:num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3.普查对象：包括全市与主要自然灾害相关的自然和人文地理要素，县级人民政府及有关部门，乡镇人民政府和街道办事处，村民委员会和居民委员会，重点企事业单位和社会组织，部分居民等。</w:t>
            </w:r>
          </w:p>
          <w:p>
            <w:pPr>
              <w:numPr>
                <w:ilvl w:val="0"/>
                <w:numId w:val="0"/>
              </w:num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普查内容：包括承灾体调查（区域经济社会重要统计数据、人口数据，以及矿山（煤矿、非煤矿、尾矿库）、危化（危化园区、危化企业、加油加气加氢站）、公共服务系统、三次产业）、历史年度自然灾害调查、综合减灾能力调查。</w:t>
            </w:r>
          </w:p>
          <w:p>
            <w:pP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四、版权要求</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本项目实施过程中所产生的数据结果相关知识产权包括相关权益归横州市应急管理局所有，未经同意，不得将涉及知识产权的技术秘密透露给第三方。磋商供应商有不可争议的义务确保采购单位依据本次采购所获得的知识产权不存在任何瑕疵并且可以不受限制地行使相关权利，包括各项延伸权利。</w:t>
            </w:r>
          </w:p>
          <w:p>
            <w:pP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五、知识产权</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成交</w:t>
            </w:r>
            <w:r>
              <w:rPr>
                <w:rFonts w:hint="default" w:ascii="Times New Roman" w:hAnsi="Times New Roman" w:eastAsia="宋体" w:cs="Times New Roman"/>
                <w:color w:val="auto"/>
                <w:szCs w:val="21"/>
                <w:highlight w:val="none"/>
              </w:rPr>
              <w:t>磋商供应商承诺，其在受托实施本合同项目中，不会侵犯第三方的知识产权，同时，在交付本合同成果中也不会涉及或非法使用第三方的知识产权。</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（2）任何因采购单位使用本项目的成果而引起对第三方知识产权的侵权诉讼，</w:t>
            </w:r>
            <w:r>
              <w:rPr>
                <w:rFonts w:hint="default" w:ascii="Times New Roman" w:hAnsi="Times New Roman" w:eastAsia="宋体" w:cs="Times New Roman"/>
                <w:color w:val="auto"/>
                <w:szCs w:val="21"/>
                <w:highlight w:val="none"/>
                <w:lang w:val="en-US" w:eastAsia="zh-CN"/>
              </w:rPr>
              <w:t>成交</w:t>
            </w:r>
            <w:r>
              <w:rPr>
                <w:rFonts w:hint="default" w:ascii="Times New Roman" w:hAnsi="Times New Roman" w:eastAsia="宋体" w:cs="Times New Roman"/>
                <w:color w:val="auto"/>
                <w:szCs w:val="21"/>
                <w:highlight w:val="none"/>
              </w:rPr>
              <w:t>磋商供应商应积极协助采购单位进行抗辩。如确因本项目成果引起的侵权，中标磋商供应商应承担所有的赔偿责任，包括采购单位因诉讼产生的一切费用，包括但不限于诉讼费、仲裁费、调查费、律师费等。</w:t>
            </w:r>
          </w:p>
          <w:p>
            <w:pP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六、其他相关要求</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（1）本采购文件仅提出了项目的基本需求，磋商供应商作为有经验的专业单位有义务对本项目涉及的各种相关工作的必要内容、普查技术方法等按目前主流的或更优的服务水平进行配置和响应，并在</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文件中列明。</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成交</w:t>
            </w:r>
            <w:r>
              <w:rPr>
                <w:rFonts w:hint="default" w:ascii="Times New Roman" w:hAnsi="Times New Roman" w:eastAsia="宋体" w:cs="Times New Roman"/>
                <w:color w:val="auto"/>
                <w:szCs w:val="21"/>
                <w:highlight w:val="none"/>
              </w:rPr>
              <w:t>人有义务保证采购单位服务项目的完整性，如项目实施过程中因缺少有关服务导致项目无法正常推进，磋商供应商须提供详细解决方案，同时磋商供应商须承诺在项目实施过程中，接受采购单位的全程监控和审核，包括阶段性文档和过程性工作等。</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请磋商供应商对项目现状及需求进行详尽分析，充分理解项目的情况，针对采购需求提出合理实施方法，并在投标文件中详细列明项目总体技术服务响应方案、项目完成时间、进度及质量保证措施及方案、并针对采购文件中的服务内容和技术服务要求逐一响应。</w:t>
            </w:r>
          </w:p>
        </w:tc>
        <w:tc>
          <w:tcPr>
            <w:tcW w:w="1120"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534" w:type="dxa"/>
            <w:noWrap w:val="0"/>
            <w:textDirection w:val="tbRlV"/>
            <w:vAlign w:val="top"/>
          </w:tcPr>
          <w:p>
            <w:pPr>
              <w:ind w:left="113" w:right="113"/>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商 务 条 款</w:t>
            </w:r>
          </w:p>
        </w:tc>
        <w:tc>
          <w:tcPr>
            <w:tcW w:w="9594" w:type="dxa"/>
            <w:gridSpan w:val="4"/>
            <w:noWrap w:val="0"/>
            <w:vAlign w:val="top"/>
          </w:tcPr>
          <w:p>
            <w:pPr>
              <w:widowControl/>
              <w:jc w:val="left"/>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Cs/>
                <w:color w:val="auto"/>
                <w:kern w:val="0"/>
                <w:szCs w:val="21"/>
                <w:highlight w:val="none"/>
              </w:rPr>
              <w:t>★1.</w:t>
            </w:r>
            <w:r>
              <w:rPr>
                <w:rFonts w:hint="default" w:ascii="Times New Roman" w:hAnsi="Times New Roman" w:eastAsia="宋体" w:cs="Times New Roman"/>
                <w:b/>
                <w:bCs/>
                <w:color w:val="auto"/>
                <w:kern w:val="0"/>
                <w:szCs w:val="21"/>
                <w:highlight w:val="none"/>
              </w:rPr>
              <w:t xml:space="preserve"> 合同签订期：自成交通知书领取之日起25个日历日内</w:t>
            </w:r>
          </w:p>
          <w:p>
            <w:pPr>
              <w:widowControl/>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合同履约期限：从合同签订之日起至2021年12月3</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日止</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★2.质保期：</w:t>
            </w:r>
          </w:p>
          <w:p>
            <w:pPr>
              <w:widowControl/>
              <w:numPr>
                <w:ilvl w:val="0"/>
                <w:numId w:val="3"/>
              </w:numPr>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售后技术服务要求：</w:t>
            </w:r>
          </w:p>
          <w:p>
            <w:pPr>
              <w:widowControl/>
              <w:tabs>
                <w:tab w:val="left" w:pos="1440"/>
              </w:tabs>
              <w:spacing w:line="360" w:lineRule="auto"/>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（1）服务1年后，中标人应为采购单位提供12个月的售后服务，为采购单位提供电话咨询，解答采购单位在本项目开展中遇到的问题，及时为采购单位提出解决问题的建议。</w:t>
            </w:r>
          </w:p>
          <w:p>
            <w:pPr>
              <w:widowControl/>
              <w:tabs>
                <w:tab w:val="left" w:pos="1440"/>
              </w:tabs>
              <w:spacing w:line="360" w:lineRule="auto"/>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（2）处理问题响应时间：接到采购人处理问题通知后24小时内到达采购人指定现场</w:t>
            </w:r>
          </w:p>
          <w:p>
            <w:pPr>
              <w:widowControl w:val="0"/>
              <w:jc w:val="left"/>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（3）根据委托单位意见相应修改完善调查编制内容。</w:t>
            </w:r>
            <w:r>
              <w:rPr>
                <w:rFonts w:hint="default" w:ascii="Times New Roman" w:hAnsi="Times New Roman" w:eastAsia="宋体" w:cs="Times New Roman"/>
                <w:color w:val="auto"/>
                <w:kern w:val="2"/>
                <w:sz w:val="21"/>
                <w:szCs w:val="22"/>
                <w:highlight w:val="none"/>
                <w:lang w:val="en-US" w:eastAsia="zh-CN" w:bidi="ar-SA"/>
              </w:rPr>
              <w:t>”</w:t>
            </w:r>
          </w:p>
          <w:p>
            <w:pPr>
              <w:widowControl/>
              <w:jc w:val="left"/>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rPr>
              <w:t>★4.提交服务成果时间及地点：</w:t>
            </w:r>
            <w:r>
              <w:rPr>
                <w:rFonts w:hint="default" w:ascii="Times New Roman" w:hAnsi="Times New Roman" w:eastAsia="宋体" w:cs="Times New Roman"/>
                <w:color w:val="auto"/>
                <w:szCs w:val="21"/>
                <w:highlight w:val="none"/>
              </w:rPr>
              <w:t>合同签订后60个日历天内提交成果</w:t>
            </w:r>
            <w:r>
              <w:rPr>
                <w:rFonts w:hint="default" w:ascii="Times New Roman" w:hAnsi="Times New Roman" w:eastAsia="宋体" w:cs="Times New Roman"/>
                <w:bCs/>
                <w:color w:val="auto"/>
                <w:kern w:val="0"/>
                <w:szCs w:val="21"/>
                <w:highlight w:val="none"/>
              </w:rPr>
              <w:t>；地点：</w:t>
            </w:r>
            <w:r>
              <w:rPr>
                <w:rFonts w:hint="default" w:ascii="Times New Roman" w:hAnsi="Times New Roman" w:eastAsia="宋体" w:cs="Times New Roman"/>
                <w:bCs/>
                <w:color w:val="auto"/>
                <w:kern w:val="0"/>
                <w:szCs w:val="21"/>
                <w:highlight w:val="none"/>
                <w:lang w:val="en-US" w:eastAsia="zh-CN"/>
              </w:rPr>
              <w:t>横州市</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★5.付款条件：</w:t>
            </w:r>
            <w:r>
              <w:rPr>
                <w:rFonts w:hint="default" w:ascii="Times New Roman" w:hAnsi="Times New Roman" w:eastAsia="宋体" w:cs="Times New Roman"/>
                <w:color w:val="auto"/>
                <w:szCs w:val="21"/>
                <w:highlight w:val="none"/>
              </w:rPr>
              <w:t>本项目无预付款，供应商所提交的服务经采购人书面验收合格后</w:t>
            </w:r>
            <w:r>
              <w:rPr>
                <w:rFonts w:hint="default" w:ascii="Times New Roman" w:hAnsi="Times New Roman" w:eastAsia="宋体" w:cs="Times New Roman"/>
                <w:color w:val="auto"/>
                <w:kern w:val="0"/>
                <w:szCs w:val="21"/>
                <w:highlight w:val="none"/>
              </w:rPr>
              <w:t>，一次性支付合同款。</w:t>
            </w:r>
          </w:p>
          <w:p>
            <w:pPr>
              <w:widowControl/>
              <w:jc w:val="left"/>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6.</w:t>
            </w:r>
            <w:r>
              <w:rPr>
                <w:rFonts w:hint="default" w:ascii="Times New Roman" w:hAnsi="Times New Roman" w:eastAsia="宋体" w:cs="Times New Roman"/>
                <w:color w:val="auto"/>
                <w:szCs w:val="21"/>
                <w:highlight w:val="none"/>
              </w:rPr>
              <w:t>拟投入本项目的项目团队人数</w:t>
            </w:r>
            <w:r>
              <w:rPr>
                <w:rFonts w:hint="default" w:ascii="Times New Roman" w:hAnsi="Times New Roman" w:eastAsia="宋体" w:cs="Times New Roman"/>
                <w:color w:val="auto"/>
                <w:szCs w:val="21"/>
                <w:highlight w:val="none"/>
                <w:lang w:val="en-US" w:eastAsia="zh-CN"/>
              </w:rPr>
              <w:t>不得少于30人。</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7</w:t>
            </w:r>
            <w:r>
              <w:rPr>
                <w:rFonts w:hint="default" w:ascii="Times New Roman" w:hAnsi="Times New Roman" w:eastAsia="宋体" w:cs="Times New Roman"/>
                <w:bCs/>
                <w:color w:val="auto"/>
                <w:kern w:val="0"/>
                <w:szCs w:val="21"/>
                <w:highlight w:val="none"/>
              </w:rPr>
              <w:t>.备品备件及耗材要求：无</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8</w:t>
            </w:r>
            <w:r>
              <w:rPr>
                <w:rFonts w:hint="default" w:ascii="Times New Roman" w:hAnsi="Times New Roman" w:eastAsia="宋体" w:cs="Times New Roman"/>
                <w:bCs/>
                <w:color w:val="auto"/>
                <w:kern w:val="0"/>
                <w:szCs w:val="21"/>
                <w:highlight w:val="none"/>
              </w:rPr>
              <w:t>.验收条件及标准：</w:t>
            </w:r>
            <w:r>
              <w:rPr>
                <w:rFonts w:hint="default" w:ascii="Times New Roman" w:hAnsi="Times New Roman" w:eastAsia="宋体" w:cs="Times New Roman"/>
                <w:color w:val="auto"/>
                <w:szCs w:val="21"/>
                <w:highlight w:val="none"/>
              </w:rPr>
              <w:t>由采购人、成交供应商</w:t>
            </w:r>
            <w:r>
              <w:rPr>
                <w:rFonts w:hint="default" w:ascii="Times New Roman" w:hAnsi="Times New Roman" w:eastAsia="宋体" w:cs="Times New Roman"/>
                <w:color w:val="auto"/>
                <w:szCs w:val="21"/>
                <w:highlight w:val="none"/>
                <w:lang w:val="en-US" w:eastAsia="zh-CN"/>
              </w:rPr>
              <w:t>根据《国务院办公厅关于开展第一次全国自然灾害综合风险普查的通知》国办发〔2020〕12号、《广西壮族自治区人民政府办公厅关于做好我区第一次全国自然灾害综合风险普查工作的通知》桂政办发〔2020〕49 号等文件要求，</w:t>
            </w:r>
            <w:r>
              <w:rPr>
                <w:rFonts w:hint="default" w:ascii="Times New Roman" w:hAnsi="Times New Roman" w:eastAsia="宋体" w:cs="Times New Roman"/>
                <w:color w:val="auto"/>
                <w:szCs w:val="21"/>
                <w:highlight w:val="none"/>
              </w:rPr>
              <w:t>共同现场验收，并出具验收文书。</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lang w:val="en-US" w:eastAsia="zh-CN"/>
              </w:rPr>
              <w:t>9</w:t>
            </w:r>
            <w:r>
              <w:rPr>
                <w:rFonts w:hint="default" w:ascii="Times New Roman" w:hAnsi="Times New Roman" w:eastAsia="宋体" w:cs="Times New Roman"/>
                <w:bCs/>
                <w:color w:val="auto"/>
                <w:kern w:val="0"/>
                <w:szCs w:val="21"/>
                <w:highlight w:val="none"/>
              </w:rPr>
              <w:t>.验收方法及方案：采购人根据《国务院办公厅关于开展第一次全国自然灾害综合风险普查的通知》国办发</w:t>
            </w:r>
            <w:r>
              <w:rPr>
                <w:rFonts w:hint="default" w:ascii="Times New Roman" w:hAnsi="Times New Roman" w:eastAsia="宋体" w:cs="Times New Roman"/>
                <w:bCs/>
                <w:color w:val="auto"/>
                <w:kern w:val="0"/>
                <w:szCs w:val="21"/>
                <w:highlight w:val="none"/>
                <w:lang w:eastAsia="zh-CN"/>
              </w:rPr>
              <w:t>〔</w:t>
            </w:r>
            <w:r>
              <w:rPr>
                <w:rFonts w:hint="default" w:ascii="Times New Roman" w:hAnsi="Times New Roman" w:eastAsia="宋体" w:cs="Times New Roman"/>
                <w:bCs/>
                <w:color w:val="auto"/>
                <w:kern w:val="0"/>
                <w:szCs w:val="21"/>
                <w:highlight w:val="none"/>
              </w:rPr>
              <w:t>2020</w:t>
            </w:r>
            <w:r>
              <w:rPr>
                <w:rFonts w:hint="default" w:ascii="Times New Roman" w:hAnsi="Times New Roman" w:eastAsia="宋体" w:cs="Times New Roman"/>
                <w:bCs/>
                <w:color w:val="auto"/>
                <w:kern w:val="0"/>
                <w:szCs w:val="21"/>
                <w:highlight w:val="none"/>
                <w:lang w:eastAsia="zh-CN"/>
              </w:rPr>
              <w:t>〕</w:t>
            </w:r>
            <w:r>
              <w:rPr>
                <w:rFonts w:hint="default" w:ascii="Times New Roman" w:hAnsi="Times New Roman" w:eastAsia="宋体" w:cs="Times New Roman"/>
                <w:bCs/>
                <w:color w:val="auto"/>
                <w:kern w:val="0"/>
                <w:szCs w:val="21"/>
                <w:highlight w:val="none"/>
              </w:rPr>
              <w:t>12号、《广西壮族自治区人民政府办公厅关于做好我区第一次全国自然灾害综合风险普查工作的通知》桂政办发〔2020〕49 号</w:t>
            </w:r>
            <w:r>
              <w:rPr>
                <w:rFonts w:hint="default" w:ascii="Times New Roman" w:hAnsi="Times New Roman" w:eastAsia="宋体" w:cs="Times New Roman"/>
                <w:bCs/>
                <w:color w:val="auto"/>
                <w:kern w:val="0"/>
                <w:szCs w:val="21"/>
                <w:highlight w:val="none"/>
                <w:lang w:val="en-US" w:eastAsia="zh-CN"/>
              </w:rPr>
              <w:t>等文件</w:t>
            </w:r>
            <w:r>
              <w:rPr>
                <w:rFonts w:hint="default" w:ascii="Times New Roman" w:hAnsi="Times New Roman" w:eastAsia="宋体" w:cs="Times New Roman"/>
                <w:bCs/>
                <w:color w:val="auto"/>
                <w:kern w:val="0"/>
                <w:szCs w:val="21"/>
                <w:highlight w:val="none"/>
              </w:rPr>
              <w:t>要求和国家有关质量标准进行现场验收。</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w:t>
            </w:r>
            <w:r>
              <w:rPr>
                <w:rFonts w:hint="default" w:ascii="Times New Roman" w:hAnsi="Times New Roman" w:eastAsia="宋体" w:cs="Times New Roman"/>
                <w:bCs/>
                <w:color w:val="auto"/>
                <w:kern w:val="0"/>
                <w:szCs w:val="21"/>
                <w:highlight w:val="none"/>
                <w:lang w:val="en-US" w:eastAsia="zh-CN"/>
              </w:rPr>
              <w:t>10</w:t>
            </w:r>
            <w:r>
              <w:rPr>
                <w:rFonts w:hint="default" w:ascii="Times New Roman" w:hAnsi="Times New Roman" w:eastAsia="宋体" w:cs="Times New Roman"/>
                <w:bCs/>
                <w:color w:val="auto"/>
                <w:kern w:val="0"/>
                <w:szCs w:val="21"/>
                <w:highlight w:val="none"/>
              </w:rPr>
              <w:t>.投标报价为采购人制定地点的现场交货价，包括：</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（1）服务费、人工费、宣传费；</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（2）货物及标准附件、专用工具的价格；</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（3）培训、技术支持、售后服务等费用；</w:t>
            </w:r>
          </w:p>
          <w:p>
            <w:pPr>
              <w:widowControl/>
              <w:jc w:val="left"/>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（4）必要的保险费用和各项税费；</w:t>
            </w:r>
          </w:p>
          <w:p>
            <w:pP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b/>
                <w:bCs/>
                <w:color w:val="auto"/>
                <w:kern w:val="0"/>
                <w:szCs w:val="21"/>
                <w:highlight w:val="none"/>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
                <w:bCs/>
                <w:color w:val="auto"/>
                <w:kern w:val="0"/>
                <w:szCs w:val="21"/>
                <w:highlight w:val="none"/>
              </w:rPr>
              <w:t>本项目采购标的需执行的国家相关标准、行业标准、地方标准或其他强制性标准、规范等要求：依据《国务院办公厅关于开展第一次全国自然灾害综合风险普查的通知》（国办发〔2020〕12号）的相关要求，以及《国家减灾委员会办公室关于印发&lt;全国灾害综合风险普查总体方案&gt;的通知》（国减办发[2019]17号）、《第一次全国自然灾害综合风险普查实施方案（修订版）》（国灾险普办发[2021]6号）、《广西第一次全国自然灾害综合风险普查实施方案》（2021年6月24日发布）、《公共服务设施调查技术规范》（FXPC/YJ G-10）、非煤矿山自然灾害承灾体调查技术规范（FXPC/YJ G-11）、危险化学品自然灾害承灾体调查技术规范（FXPC/YJ G-13）等指导性文件</w:t>
            </w:r>
            <w:r>
              <w:rPr>
                <w:rFonts w:hint="default" w:ascii="Times New Roman" w:hAnsi="Times New Roman" w:eastAsia="宋体" w:cs="Times New Roman"/>
                <w:b/>
                <w:bCs/>
                <w:color w:val="auto"/>
                <w:kern w:val="0"/>
                <w:szCs w:val="21"/>
                <w:highlight w:val="none"/>
                <w:lang w:eastAsia="zh-CN"/>
              </w:rPr>
              <w:t>。</w:t>
            </w:r>
          </w:p>
        </w:tc>
      </w:tr>
    </w:tbl>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spacing w:line="320" w:lineRule="exact"/>
        <w:rPr>
          <w:rFonts w:hint="eastAsia" w:ascii="宋体" w:hAnsi="宋体" w:cs="宋体"/>
          <w:color w:val="auto"/>
          <w:highlight w:val="none"/>
        </w:rPr>
      </w:pPr>
      <w:r>
        <w:rPr>
          <w:rFonts w:hint="eastAsia" w:ascii="宋体" w:hAnsi="宋体" w:cs="宋体"/>
          <w:color w:val="auto"/>
          <w:sz w:val="28"/>
          <w:szCs w:val="28"/>
          <w:highlight w:val="none"/>
        </w:rPr>
        <w:br w:type="page"/>
      </w:r>
      <w:bookmarkStart w:id="63" w:name="_Toc139966432"/>
      <w:bookmarkStart w:id="64" w:name="_Toc213325922"/>
      <w:bookmarkStart w:id="65" w:name="_Toc139967216"/>
      <w:bookmarkStart w:id="66" w:name="_Toc213206173"/>
    </w:p>
    <w:p>
      <w:pPr>
        <w:pStyle w:val="13"/>
        <w:jc w:val="center"/>
        <w:outlineLvl w:val="0"/>
        <w:rPr>
          <w:rFonts w:hint="eastAsia" w:hAnsi="宋体" w:cs="宋体"/>
          <w:b/>
          <w:bCs/>
          <w:color w:val="auto"/>
          <w:sz w:val="36"/>
          <w:highlight w:val="none"/>
        </w:rPr>
      </w:pPr>
      <w:bookmarkStart w:id="67" w:name="_Toc18286"/>
      <w:r>
        <w:rPr>
          <w:rFonts w:hint="eastAsia" w:hAnsi="宋体" w:cs="宋体"/>
          <w:b/>
          <w:color w:val="auto"/>
          <w:sz w:val="36"/>
          <w:highlight w:val="none"/>
        </w:rPr>
        <w:t>第二章  评审方法</w:t>
      </w:r>
      <w:bookmarkEnd w:id="63"/>
      <w:bookmarkEnd w:id="64"/>
      <w:bookmarkEnd w:id="65"/>
      <w:bookmarkEnd w:id="66"/>
      <w:bookmarkEnd w:id="67"/>
    </w:p>
    <w:p>
      <w:pPr>
        <w:pStyle w:val="13"/>
        <w:tabs>
          <w:tab w:val="left" w:pos="2472"/>
        </w:tabs>
        <w:spacing w:line="460" w:lineRule="exact"/>
        <w:jc w:val="center"/>
        <w:rPr>
          <w:rFonts w:hint="eastAsia" w:hAnsi="宋体" w:cs="宋体"/>
          <w:color w:val="auto"/>
          <w:sz w:val="28"/>
          <w:highlight w:val="none"/>
        </w:rPr>
      </w:pPr>
    </w:p>
    <w:p>
      <w:pPr>
        <w:pStyle w:val="13"/>
        <w:spacing w:line="400" w:lineRule="exact"/>
        <w:rPr>
          <w:rFonts w:hint="eastAsia" w:hAnsi="宋体" w:cs="宋体"/>
          <w:b/>
          <w:color w:val="auto"/>
          <w:szCs w:val="21"/>
          <w:highlight w:val="none"/>
        </w:rPr>
      </w:pPr>
      <w:r>
        <w:rPr>
          <w:rFonts w:hint="eastAsia" w:hAnsi="宋体" w:cs="宋体"/>
          <w:b/>
          <w:color w:val="auto"/>
          <w:szCs w:val="21"/>
          <w:highlight w:val="none"/>
        </w:rPr>
        <w:t>一、评标原则</w:t>
      </w:r>
    </w:p>
    <w:p>
      <w:pPr>
        <w:pStyle w:val="13"/>
        <w:spacing w:line="400" w:lineRule="exact"/>
        <w:ind w:firstLine="308" w:firstLineChars="147"/>
        <w:rPr>
          <w:rFonts w:hint="eastAsia" w:hAnsi="宋体" w:cs="宋体"/>
          <w:b/>
          <w:color w:val="auto"/>
          <w:szCs w:val="21"/>
          <w:highlight w:val="none"/>
        </w:rPr>
      </w:pPr>
      <w:r>
        <w:rPr>
          <w:rFonts w:hint="eastAsia" w:hAnsi="宋体" w:cs="宋体"/>
          <w:bCs/>
          <w:color w:val="auto"/>
          <w:szCs w:val="21"/>
          <w:highlight w:val="none"/>
        </w:rPr>
        <w:t>（一）本项目的磋商小组分别由依法组成的政府评审专家、采购单位代表共</w:t>
      </w:r>
      <w:r>
        <w:rPr>
          <w:rFonts w:hint="eastAsia" w:hAnsi="宋体" w:cs="宋体"/>
          <w:bCs/>
          <w:color w:val="auto"/>
          <w:szCs w:val="21"/>
          <w:highlight w:val="none"/>
          <w:u w:val="single"/>
        </w:rPr>
        <w:t>3</w:t>
      </w:r>
      <w:r>
        <w:rPr>
          <w:rFonts w:hint="eastAsia" w:hAnsi="宋体" w:cs="宋体"/>
          <w:bCs/>
          <w:color w:val="auto"/>
          <w:szCs w:val="21"/>
          <w:highlight w:val="none"/>
        </w:rPr>
        <w:t>人或以上单数构成。</w:t>
      </w:r>
    </w:p>
    <w:p>
      <w:pPr>
        <w:pStyle w:val="13"/>
        <w:spacing w:line="400" w:lineRule="exact"/>
        <w:ind w:firstLine="308" w:firstLineChars="147"/>
        <w:rPr>
          <w:rFonts w:hint="eastAsia" w:hAnsi="宋体" w:cs="宋体"/>
          <w:bCs/>
          <w:color w:val="auto"/>
          <w:szCs w:val="21"/>
          <w:highlight w:val="none"/>
        </w:rPr>
      </w:pPr>
      <w:r>
        <w:rPr>
          <w:rFonts w:hint="eastAsia" w:hAnsi="宋体" w:cs="宋体"/>
          <w:bCs/>
          <w:color w:val="auto"/>
          <w:szCs w:val="21"/>
          <w:highlight w:val="none"/>
        </w:rPr>
        <w:t>（二）磋商小组将以磋商采购文件为评审依据，对磋商供应商的磋商报价、技术、商务等方面内容按百分制打分。</w:t>
      </w:r>
    </w:p>
    <w:p>
      <w:pPr>
        <w:pStyle w:val="13"/>
        <w:spacing w:line="400" w:lineRule="exact"/>
        <w:ind w:firstLine="308" w:firstLineChars="147"/>
        <w:rPr>
          <w:rFonts w:hint="eastAsia" w:hAnsi="宋体" w:cs="宋体"/>
          <w:bCs/>
          <w:color w:val="auto"/>
          <w:szCs w:val="21"/>
          <w:highlight w:val="none"/>
        </w:rPr>
      </w:pPr>
      <w:r>
        <w:rPr>
          <w:rFonts w:hint="eastAsia" w:hAnsi="宋体" w:cs="宋体"/>
          <w:bCs/>
          <w:color w:val="auto"/>
          <w:szCs w:val="21"/>
          <w:highlight w:val="none"/>
        </w:rPr>
        <w:t>（三）评审方式：以封闭方式进行。</w:t>
      </w:r>
    </w:p>
    <w:p>
      <w:pPr>
        <w:pStyle w:val="13"/>
        <w:spacing w:line="400" w:lineRule="exact"/>
        <w:outlineLvl w:val="0"/>
        <w:rPr>
          <w:rFonts w:hint="eastAsia" w:hAnsi="宋体" w:cs="宋体"/>
          <w:b/>
          <w:color w:val="auto"/>
          <w:szCs w:val="21"/>
          <w:highlight w:val="none"/>
        </w:rPr>
      </w:pPr>
      <w:bookmarkStart w:id="68" w:name="_Toc440958451"/>
      <w:bookmarkStart w:id="69" w:name="_Toc433895842"/>
      <w:bookmarkStart w:id="70" w:name="_Toc419886414"/>
    </w:p>
    <w:p>
      <w:pPr>
        <w:pStyle w:val="13"/>
        <w:spacing w:line="400" w:lineRule="exact"/>
        <w:outlineLvl w:val="0"/>
        <w:rPr>
          <w:rFonts w:hint="eastAsia" w:hAnsi="宋体" w:cs="宋体"/>
          <w:b/>
          <w:color w:val="auto"/>
          <w:szCs w:val="21"/>
          <w:highlight w:val="none"/>
        </w:rPr>
      </w:pPr>
      <w:bookmarkStart w:id="71" w:name="_Toc31671"/>
      <w:bookmarkStart w:id="72" w:name="_Toc21115"/>
      <w:r>
        <w:rPr>
          <w:rFonts w:hint="eastAsia" w:hAnsi="宋体" w:cs="宋体"/>
          <w:b/>
          <w:color w:val="auto"/>
          <w:szCs w:val="21"/>
          <w:highlight w:val="none"/>
        </w:rPr>
        <w:t>二、评定方法</w:t>
      </w:r>
      <w:bookmarkEnd w:id="68"/>
      <w:bookmarkEnd w:id="69"/>
      <w:bookmarkEnd w:id="70"/>
      <w:bookmarkEnd w:id="71"/>
      <w:bookmarkEnd w:id="72"/>
    </w:p>
    <w:p>
      <w:pPr>
        <w:pStyle w:val="13"/>
        <w:spacing w:line="400" w:lineRule="exact"/>
        <w:ind w:firstLine="308" w:firstLineChars="147"/>
        <w:rPr>
          <w:rFonts w:hint="eastAsia" w:hAnsi="宋体" w:cs="宋体"/>
          <w:bCs/>
          <w:color w:val="auto"/>
          <w:szCs w:val="21"/>
          <w:highlight w:val="none"/>
        </w:rPr>
      </w:pPr>
      <w:r>
        <w:rPr>
          <w:rFonts w:hint="eastAsia" w:hAnsi="宋体" w:cs="宋体"/>
          <w:bCs/>
          <w:color w:val="auto"/>
          <w:szCs w:val="21"/>
          <w:highlight w:val="none"/>
        </w:rPr>
        <w:t>（一）对进入综合评分的，采用百分制综合评分法。</w:t>
      </w:r>
    </w:p>
    <w:p>
      <w:pPr>
        <w:pStyle w:val="13"/>
        <w:spacing w:line="400" w:lineRule="exact"/>
        <w:ind w:firstLine="308" w:firstLineChars="147"/>
        <w:rPr>
          <w:rFonts w:hint="eastAsia" w:hAnsi="宋体" w:cs="宋体"/>
          <w:color w:val="auto"/>
          <w:szCs w:val="21"/>
          <w:highlight w:val="none"/>
        </w:rPr>
      </w:pPr>
      <w:r>
        <w:rPr>
          <w:rFonts w:hint="eastAsia" w:hAnsi="宋体" w:cs="宋体"/>
          <w:color w:val="auto"/>
          <w:szCs w:val="21"/>
          <w:highlight w:val="none"/>
        </w:rPr>
        <w:t>（二）计分办法(按四舍五入取至百分位)：</w:t>
      </w:r>
    </w:p>
    <w:p>
      <w:pPr>
        <w:jc w:val="left"/>
        <w:rPr>
          <w:rFonts w:hint="eastAsia" w:ascii="宋体" w:hAnsi="宋体" w:cs="宋体"/>
          <w:b/>
          <w:color w:val="auto"/>
          <w:szCs w:val="21"/>
          <w:highlight w:val="none"/>
        </w:rPr>
      </w:pPr>
      <w:r>
        <w:rPr>
          <w:rFonts w:hint="eastAsia" w:ascii="宋体" w:hAnsi="宋体" w:cs="宋体"/>
          <w:b/>
          <w:bCs/>
          <w:color w:val="auto"/>
          <w:szCs w:val="21"/>
          <w:highlight w:val="none"/>
        </w:rPr>
        <w:t>1、价格分……………………………………………………………………………………………10分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（1）评标价为磋商供应商的磋商报价进行政策性扣除后的价格，评标价只是作为评标时使用。最终中标人的中标金额＝磋商报价。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（2）按照《政府采购促进中小企业发展管理办法》（财库〔2020〕46号）的规定，响应文件中提供《中小企业声明函》，且服务全部由符合政策要求的小型、微型企业承接的，对其磋商报价给予10%的扣除。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（5）政策性扣除计算方法。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被评定为监狱企业或残疾人福利性单位或服务全部由符合政策要求的小型、微型企业承接的，该磋商供应商的磋商报价给予10%的扣除，扣除后的价格为评标报价，即评标报价=磋商报价×（1-10%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3%的扣除，用扣除后的价格参加评审，扣除后的价格为评标价，即评标报价=磋商报价×（1-3%）；除上述情况外，评标报价=磋商报价。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（6）满足采购文件要求且评标报价最低的评标报价为基准价，基准价得分为10分。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（7）价格分计算公式：</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价格分=（基准价/评标报价）×10分</w:t>
      </w:r>
      <w:r>
        <w:rPr>
          <w:rFonts w:hint="eastAsia" w:ascii="宋体" w:hAnsi="宋体" w:eastAsia="宋体" w:cs="宋体"/>
          <w:color w:val="auto"/>
          <w:szCs w:val="21"/>
          <w:highlight w:val="none"/>
          <w:lang w:eastAsia="zh-CN"/>
        </w:rPr>
        <w:t>。</w:t>
      </w:r>
    </w:p>
    <w:p>
      <w:pPr>
        <w:spacing w:line="380" w:lineRule="exac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2、技术分……………………………………………………………………………………………65分</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（1）调查技术路线和工作方案（满分15分）。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一档：</w:t>
      </w:r>
      <w:r>
        <w:rPr>
          <w:rFonts w:hint="eastAsia" w:ascii="宋体" w:hAnsi="宋体" w:eastAsia="宋体" w:cs="宋体"/>
          <w:color w:val="auto"/>
          <w:szCs w:val="21"/>
          <w:highlight w:val="none"/>
        </w:rPr>
        <w:t>调查技术路线清晰、可行合理；项目组织实施管理机构和实施人员安排计划详细；项目管理制度和保障措施完善，有详细的组织计划、详细的项目进度计划，且能确保项目的实施；工作方案科学合理，具有预见性及可操作性，得15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二档：</w:t>
      </w:r>
      <w:r>
        <w:rPr>
          <w:rFonts w:hint="eastAsia" w:ascii="宋体" w:hAnsi="宋体" w:eastAsia="宋体" w:cs="宋体"/>
          <w:color w:val="auto"/>
          <w:szCs w:val="21"/>
          <w:highlight w:val="none"/>
        </w:rPr>
        <w:t>调查技术路线内容详细、总体工作思路、工作方案能满足采购需求，有项目组织实施管理机构及实施人员职能安排，得10分；</w:t>
      </w:r>
    </w:p>
    <w:p>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三档：</w:t>
      </w:r>
      <w:r>
        <w:rPr>
          <w:rFonts w:hint="eastAsia" w:ascii="宋体" w:hAnsi="宋体" w:eastAsia="宋体" w:cs="宋体"/>
          <w:color w:val="auto"/>
          <w:szCs w:val="21"/>
          <w:highlight w:val="none"/>
        </w:rPr>
        <w:t>调查技术路线内容简单，总体工作思路、工作方案能满足采购需求的，得5分；</w:t>
      </w:r>
    </w:p>
    <w:p>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四档：</w:t>
      </w:r>
      <w:r>
        <w:rPr>
          <w:rFonts w:hint="eastAsia" w:ascii="宋体" w:hAnsi="宋体" w:eastAsia="宋体" w:cs="宋体"/>
          <w:color w:val="auto"/>
          <w:szCs w:val="21"/>
          <w:highlight w:val="none"/>
        </w:rPr>
        <w:t>调查技术路线内容不合理，总体工作思路安排不清晰，方案不具可行性，缺乏针对性和可操作性的，得0分。</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（2）对本项目的认识与理解（满分15分）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一档：</w:t>
      </w:r>
      <w:r>
        <w:rPr>
          <w:rFonts w:hint="eastAsia" w:ascii="宋体" w:hAnsi="宋体" w:eastAsia="宋体" w:cs="宋体"/>
          <w:color w:val="auto"/>
          <w:szCs w:val="21"/>
          <w:highlight w:val="none"/>
        </w:rPr>
        <w:t>项目把握的总体要求深入，到位，对各项核心工作任务内容作出详细说明与解释、任务分解合理、高效、逻辑性强，针对性强，同时对重点、难点分析可行、合理且到位的，得15分；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二档：</w:t>
      </w:r>
      <w:r>
        <w:rPr>
          <w:rFonts w:hint="eastAsia" w:ascii="宋体" w:hAnsi="宋体" w:eastAsia="宋体" w:cs="宋体"/>
          <w:color w:val="auto"/>
          <w:szCs w:val="21"/>
          <w:highlight w:val="none"/>
        </w:rPr>
        <w:t>能较好把握项目的总体要求，对各项核心工作任务内容作出较详细说明与解释、任务分解合理，重点、难点分析较可行</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，得10分；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三档：</w:t>
      </w:r>
      <w:r>
        <w:rPr>
          <w:rFonts w:hint="eastAsia" w:ascii="宋体" w:hAnsi="宋体" w:eastAsia="宋体" w:cs="宋体"/>
          <w:color w:val="auto"/>
          <w:szCs w:val="21"/>
          <w:highlight w:val="none"/>
        </w:rPr>
        <w:t>能基本把握项目的总体要求，对各项核心工作任务内容作出简略说明的，得5分；</w:t>
      </w:r>
    </w:p>
    <w:p>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四档：</w:t>
      </w:r>
      <w:r>
        <w:rPr>
          <w:rFonts w:hint="eastAsia" w:ascii="宋体" w:hAnsi="宋体" w:eastAsia="宋体" w:cs="宋体"/>
          <w:color w:val="auto"/>
          <w:szCs w:val="21"/>
          <w:highlight w:val="none"/>
        </w:rPr>
        <w:t>对本项目的认识与理解不透彻、不清晰的，得0分。</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（3）服务团队分（满分25分）。</w:t>
      </w:r>
    </w:p>
    <w:p>
      <w:pPr>
        <w:spacing w:line="360" w:lineRule="auto"/>
        <w:ind w:firstLine="422" w:firstLineChars="200"/>
        <w:rPr>
          <w:rFonts w:hint="eastAsia" w:ascii="宋体" w:hAnsi="宋体" w:eastAsia="宋体" w:cs="宋体"/>
          <w:b/>
          <w:color w:val="auto"/>
          <w:szCs w:val="21"/>
          <w:highlight w:val="none"/>
        </w:rPr>
      </w:pPr>
      <w:r>
        <w:rPr>
          <w:rFonts w:hint="eastAsia" w:ascii="Times New Roman" w:hAnsi="宋体" w:eastAsia="宋体" w:cs="Times New Roman"/>
          <w:b/>
          <w:bCs/>
          <w:color w:val="auto"/>
          <w:szCs w:val="21"/>
          <w:highlight w:val="none"/>
        </w:rPr>
        <w:t>(注:供应商需提供项目人员近半年任意连续三个月的社保证明材料、身份证、学历证、职称证、业绩证明等复印件，人员业绩需在证明材料中做明显标注）。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1）项目负责人分，满分3分。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①拟投入的项目负责人至少参加过一次普查工作，得1分，其他的不得分。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②拟投入的项目负责人具有矿山、化工或安全工程高级及以上职称的，得1分，其他的不得分。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③拟投入的项目负责人属于自然灾害或安全领域省级及以上专家库成员的，得1分，没有证明材料或不充分的不得分。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2）技术负责人分，满分2分。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①拟投入的技术负责人具有矿山、化工或安全工程高级及以上职称的，得1分，其他的不得分。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②拟投入的技术负责人属于应急管理领域省级及以上专家库成员的，得1分，没有证明材料或不充分的不得分。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3）项目组成员分，满分8分。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①拟投入的项目组成员具有矿山、化工或安全工程高级及以上职称的，每个得1分，最高得5分。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②拟投入的项目组成员具有中级及以上职称的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包含但不限于采矿工程、安全科学与工程、化学工程与工艺、防灾减灾工程及防护工程等工程类专业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，每个得0.3分，最高得3分。</w:t>
      </w:r>
    </w:p>
    <w:p>
      <w:pPr>
        <w:widowControl w:val="0"/>
        <w:spacing w:after="120" w:line="240" w:lineRule="auto"/>
        <w:ind w:firstLine="420" w:firstLineChars="200"/>
        <w:jc w:val="both"/>
        <w:rPr>
          <w:rFonts w:hint="default" w:ascii="宋体" w:hAnsi="宋体" w:eastAsia="宋体" w:cs="Times New Roman"/>
          <w:color w:val="auto"/>
          <w:kern w:val="2"/>
          <w:sz w:val="21"/>
          <w:szCs w:val="28"/>
          <w:highlight w:val="none"/>
          <w:lang w:val="en-US" w:eastAsia="zh-CN" w:bidi="ar-SA"/>
        </w:rPr>
      </w:pPr>
      <w:r>
        <w:rPr>
          <w:rFonts w:hint="eastAsia" w:ascii="宋体" w:hAnsi="宋体" w:eastAsia="宋体" w:cs="Times New Roman"/>
          <w:color w:val="auto"/>
          <w:kern w:val="2"/>
          <w:sz w:val="21"/>
          <w:szCs w:val="28"/>
          <w:highlight w:val="none"/>
          <w:lang w:val="en-US" w:eastAsia="zh-CN" w:bidi="ar-SA"/>
        </w:rPr>
        <w:t>③拟投入的项目组成员属于应急管理领域省级及以上专家库成员的，每人得0.5分，满分5分。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4）项目团队人数分，满分</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一档：拟投入本项目的项目团队人数满足40人以上的，得</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二档：拟投入本项目的项目团队人数在</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以上，不足40人的，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p>
    <w:p>
      <w:pPr>
        <w:spacing w:line="360" w:lineRule="auto"/>
        <w:ind w:firstLine="420" w:firstLineChars="200"/>
        <w:rPr>
          <w:rFonts w:ascii="Times New Roman" w:hAnsi="Times New Roman" w:eastAsia="宋体" w:cs="Times New Roman"/>
          <w:color w:val="auto"/>
          <w:szCs w:val="22"/>
          <w:highlight w:val="none"/>
        </w:rPr>
      </w:pPr>
      <w:r>
        <w:rPr>
          <w:rFonts w:hint="eastAsia" w:ascii="宋体" w:hAnsi="宋体" w:eastAsia="宋体" w:cs="宋体"/>
          <w:color w:val="auto"/>
          <w:szCs w:val="21"/>
          <w:highlight w:val="none"/>
        </w:rPr>
        <w:t>三档：拟投入本项目的项目团队人数</w:t>
      </w:r>
      <w:r>
        <w:rPr>
          <w:rFonts w:hint="eastAsia" w:ascii="宋体" w:hAnsi="宋体" w:eastAsia="宋体" w:cs="宋体"/>
          <w:color w:val="auto"/>
          <w:szCs w:val="21"/>
          <w:highlight w:val="none"/>
          <w:lang w:val="en-US" w:eastAsia="zh-CN"/>
        </w:rPr>
        <w:t>满足采购文件要求</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（4）质量保证、进度控制及安全保密措施分（满分</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分）。</w:t>
      </w:r>
    </w:p>
    <w:p>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一档</w:t>
      </w:r>
      <w:r>
        <w:rPr>
          <w:rFonts w:hint="eastAsia" w:ascii="宋体" w:hAnsi="宋体" w:eastAsia="宋体" w:cs="宋体"/>
          <w:color w:val="auto"/>
          <w:szCs w:val="21"/>
          <w:highlight w:val="none"/>
        </w:rPr>
        <w:t>：工作方法符合相关规定，质量保证措施全面，工作计划详细，进度控制措施完善，具有与本项目相适宜的数据安全保密承诺及可操作性强的应急处置措施的，得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二档</w:t>
      </w:r>
      <w:r>
        <w:rPr>
          <w:rFonts w:hint="eastAsia" w:ascii="宋体" w:hAnsi="宋体" w:eastAsia="宋体" w:cs="宋体"/>
          <w:color w:val="auto"/>
          <w:szCs w:val="21"/>
          <w:highlight w:val="none"/>
        </w:rPr>
        <w:t>：工作方法基本符合相关规定，质量保证措施</w:t>
      </w:r>
      <w:r>
        <w:rPr>
          <w:rFonts w:hint="eastAsia" w:ascii="宋体" w:hAnsi="宋体" w:cs="宋体"/>
          <w:color w:val="auto"/>
          <w:szCs w:val="21"/>
          <w:highlight w:val="none"/>
          <w:lang w:val="en-US" w:eastAsia="zh-CN"/>
        </w:rPr>
        <w:t>描述详细</w:t>
      </w:r>
      <w:r>
        <w:rPr>
          <w:rFonts w:hint="eastAsia" w:ascii="宋体" w:hAnsi="宋体" w:eastAsia="宋体" w:cs="宋体"/>
          <w:color w:val="auto"/>
          <w:szCs w:val="21"/>
          <w:highlight w:val="none"/>
        </w:rPr>
        <w:t>，工作计划详细，进度控制措施完善，具有与本项目相适宜的数据安全保密承诺及</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rPr>
        <w:t>可操作性的应急处置措施的，得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三档</w:t>
      </w:r>
      <w:r>
        <w:rPr>
          <w:rFonts w:hint="eastAsia" w:ascii="宋体" w:hAnsi="宋体" w:eastAsia="宋体" w:cs="宋体"/>
          <w:color w:val="auto"/>
          <w:szCs w:val="21"/>
          <w:highlight w:val="none"/>
        </w:rPr>
        <w:t>：工作方法基本符合相关规定，质量保证措施全面，工作计划详细，进度控制措施完善，具有与本项目相适宜的数据安全保密承诺的，得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spacing w:line="360" w:lineRule="auto"/>
        <w:ind w:firstLine="422" w:firstLineChars="200"/>
        <w:rPr>
          <w:rFonts w:hint="eastAsia" w:ascii="Times New Roman" w:hAnsi="Times New Roman" w:eastAsia="宋体" w:cs="Times New Roman"/>
          <w:color w:val="auto"/>
          <w:szCs w:val="21"/>
          <w:highlight w:val="none"/>
        </w:rPr>
      </w:pPr>
      <w:r>
        <w:rPr>
          <w:rFonts w:hint="eastAsia" w:ascii="宋体" w:hAnsi="宋体" w:eastAsia="宋体" w:cs="宋体"/>
          <w:b/>
          <w:color w:val="auto"/>
          <w:szCs w:val="21"/>
          <w:highlight w:val="none"/>
        </w:rPr>
        <w:t>四档</w:t>
      </w:r>
      <w:r>
        <w:rPr>
          <w:rFonts w:hint="eastAsia" w:ascii="宋体" w:hAnsi="宋体" w:eastAsia="宋体" w:cs="宋体"/>
          <w:color w:val="auto"/>
          <w:szCs w:val="21"/>
          <w:highlight w:val="none"/>
        </w:rPr>
        <w:t>：工作方法基本符合相关规定，</w:t>
      </w:r>
      <w:r>
        <w:rPr>
          <w:rFonts w:hint="eastAsia" w:ascii="宋体" w:hAnsi="宋体" w:cs="宋体"/>
          <w:color w:val="auto"/>
          <w:szCs w:val="21"/>
          <w:highlight w:val="none"/>
          <w:lang w:val="en-US" w:eastAsia="zh-CN"/>
        </w:rPr>
        <w:t>无详细方案的</w:t>
      </w:r>
      <w:r>
        <w:rPr>
          <w:rFonts w:hint="eastAsia" w:ascii="宋体" w:hAnsi="宋体" w:eastAsia="宋体" w:cs="宋体"/>
          <w:color w:val="auto"/>
          <w:szCs w:val="21"/>
          <w:highlight w:val="none"/>
        </w:rPr>
        <w:t>，得0分。</w:t>
      </w:r>
    </w:p>
    <w:p>
      <w:pPr>
        <w:spacing w:line="360"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3、商务分…………………………………………………………………………………2</w:t>
      </w:r>
      <w:r>
        <w:rPr>
          <w:rFonts w:hint="eastAsia" w:ascii="宋体" w:hAnsi="宋体" w:eastAsia="宋体" w:cs="Times New Roman"/>
          <w:b/>
          <w:color w:val="auto"/>
          <w:szCs w:val="21"/>
          <w:highlight w:val="none"/>
          <w:lang w:val="en-US" w:eastAsia="zh-CN"/>
        </w:rPr>
        <w:t>5</w:t>
      </w:r>
      <w:r>
        <w:rPr>
          <w:rFonts w:hint="eastAsia" w:ascii="宋体" w:hAnsi="宋体" w:eastAsia="宋体" w:cs="Times New Roman"/>
          <w:b/>
          <w:color w:val="auto"/>
          <w:szCs w:val="21"/>
          <w:highlight w:val="none"/>
        </w:rPr>
        <w:t>分</w:t>
      </w:r>
    </w:p>
    <w:p>
      <w:pPr>
        <w:spacing w:line="360" w:lineRule="auto"/>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（1）资质能力分（满分</w:t>
      </w:r>
      <w:r>
        <w:rPr>
          <w:rFonts w:hint="eastAsia" w:ascii="宋体" w:hAnsi="宋体" w:eastAsia="宋体" w:cs="Times New Roman"/>
          <w:b/>
          <w:bCs/>
          <w:color w:val="auto"/>
          <w:szCs w:val="21"/>
          <w:highlight w:val="none"/>
          <w:lang w:val="en-US" w:eastAsia="zh-CN"/>
        </w:rPr>
        <w:t>3</w:t>
      </w:r>
      <w:r>
        <w:rPr>
          <w:rFonts w:hint="eastAsia" w:ascii="宋体" w:hAnsi="宋体" w:eastAsia="宋体" w:cs="Times New Roman"/>
          <w:b/>
          <w:bCs/>
          <w:color w:val="auto"/>
          <w:szCs w:val="21"/>
          <w:highlight w:val="none"/>
        </w:rPr>
        <w:t>分）。</w:t>
      </w:r>
    </w:p>
    <w:p>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1）磋商供应商</w:t>
      </w:r>
      <w:r>
        <w:rPr>
          <w:rFonts w:hint="eastAsia" w:ascii="宋体" w:hAnsi="宋体" w:eastAsia="宋体" w:cs="Times New Roman"/>
          <w:bCs/>
          <w:color w:val="auto"/>
          <w:szCs w:val="21"/>
          <w:highlight w:val="none"/>
          <w:lang w:val="en-US" w:eastAsia="zh-CN"/>
        </w:rPr>
        <w:t>同时具有</w:t>
      </w:r>
      <w:r>
        <w:rPr>
          <w:rFonts w:hint="eastAsia" w:ascii="宋体" w:hAnsi="宋体" w:eastAsia="宋体" w:cs="Times New Roman"/>
          <w:bCs/>
          <w:color w:val="auto"/>
          <w:szCs w:val="21"/>
          <w:highlight w:val="none"/>
        </w:rPr>
        <w:t>ISO9001质量管理体系认证的，提供有效证明材料复印件加盖公章，得</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rPr>
        <w:t>分。</w:t>
      </w:r>
    </w:p>
    <w:p>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rPr>
        <w:t>）磋商供应商通过ISO</w:t>
      </w:r>
      <w:r>
        <w:rPr>
          <w:rFonts w:hint="eastAsia" w:ascii="宋体" w:hAnsi="宋体" w:eastAsia="宋体" w:cs="Times New Roman"/>
          <w:bCs/>
          <w:color w:val="auto"/>
          <w:szCs w:val="21"/>
          <w:highlight w:val="none"/>
          <w:lang w:val="en-US" w:eastAsia="zh-CN"/>
        </w:rPr>
        <w:t>14001环境</w:t>
      </w:r>
      <w:r>
        <w:rPr>
          <w:rFonts w:hint="eastAsia" w:ascii="宋体" w:hAnsi="宋体" w:eastAsia="宋体" w:cs="Times New Roman"/>
          <w:bCs/>
          <w:color w:val="auto"/>
          <w:szCs w:val="21"/>
          <w:highlight w:val="none"/>
        </w:rPr>
        <w:t>管理体系认证的，提供有效证明材料复印件加盖公章，得</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rPr>
        <w:t>分。</w:t>
      </w:r>
    </w:p>
    <w:p>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）磋商供应商通过ISO</w:t>
      </w:r>
      <w:r>
        <w:rPr>
          <w:rFonts w:hint="eastAsia" w:ascii="宋体" w:hAnsi="宋体" w:eastAsia="宋体" w:cs="Times New Roman"/>
          <w:bCs/>
          <w:color w:val="auto"/>
          <w:szCs w:val="21"/>
          <w:highlight w:val="none"/>
          <w:lang w:val="en-US" w:eastAsia="zh-CN"/>
        </w:rPr>
        <w:t>45001职业健康</w:t>
      </w:r>
      <w:r>
        <w:rPr>
          <w:rFonts w:hint="eastAsia" w:ascii="宋体" w:hAnsi="宋体" w:eastAsia="宋体" w:cs="Times New Roman"/>
          <w:bCs/>
          <w:color w:val="auto"/>
          <w:szCs w:val="21"/>
          <w:highlight w:val="none"/>
        </w:rPr>
        <w:t>管理体系认证的，提供有效证明材料复印件加盖公章，得</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rPr>
        <w:t>分。</w:t>
      </w:r>
    </w:p>
    <w:p>
      <w:pPr>
        <w:spacing w:line="360" w:lineRule="auto"/>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（2）业绩分（满分</w:t>
      </w:r>
      <w:r>
        <w:rPr>
          <w:rFonts w:hint="eastAsia" w:ascii="宋体" w:hAnsi="宋体" w:eastAsia="宋体" w:cs="Times New Roman"/>
          <w:b/>
          <w:bCs/>
          <w:color w:val="auto"/>
          <w:szCs w:val="21"/>
          <w:highlight w:val="none"/>
          <w:lang w:val="en-US" w:eastAsia="zh-CN"/>
        </w:rPr>
        <w:t>6</w:t>
      </w:r>
      <w:r>
        <w:rPr>
          <w:rFonts w:hint="eastAsia" w:ascii="宋体" w:hAnsi="宋体" w:eastAsia="宋体" w:cs="Times New Roman"/>
          <w:b/>
          <w:bCs/>
          <w:color w:val="auto"/>
          <w:szCs w:val="21"/>
          <w:highlight w:val="none"/>
        </w:rPr>
        <w:t>分）。</w:t>
      </w:r>
    </w:p>
    <w:p>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1）磋商供应商近2年以来承接过</w:t>
      </w:r>
      <w:r>
        <w:rPr>
          <w:rFonts w:hint="eastAsia" w:ascii="宋体" w:hAnsi="宋体" w:cs="Times New Roman"/>
          <w:bCs/>
          <w:color w:val="auto"/>
          <w:szCs w:val="21"/>
          <w:highlight w:val="none"/>
          <w:lang w:val="en-US" w:eastAsia="zh-CN"/>
        </w:rPr>
        <w:t>与同类</w:t>
      </w:r>
      <w:r>
        <w:rPr>
          <w:rFonts w:hint="eastAsia" w:ascii="宋体" w:hAnsi="宋体" w:eastAsia="宋体" w:cs="Times New Roman"/>
          <w:bCs/>
          <w:color w:val="auto"/>
          <w:szCs w:val="21"/>
          <w:highlight w:val="none"/>
        </w:rPr>
        <w:t>项目的，每个</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分，满分</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rPr>
        <w:t>分。</w:t>
      </w:r>
    </w:p>
    <w:p>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近2年指2019年01月01日之后签订合同或下达任务书的业绩；业绩以合同、任务书复印件为准，同一业绩不作重复计算。</w:t>
      </w:r>
    </w:p>
    <w:p>
      <w:pPr>
        <w:widowControl w:val="0"/>
        <w:spacing w:line="360" w:lineRule="auto"/>
        <w:ind w:firstLine="422" w:firstLineChars="200"/>
        <w:jc w:val="both"/>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（3）售后服务方案分（满分12分）。</w:t>
      </w:r>
    </w:p>
    <w:p>
      <w:pPr>
        <w:widowControl w:val="0"/>
        <w:spacing w:line="360" w:lineRule="auto"/>
        <w:ind w:firstLine="422" w:firstLineChars="200"/>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一档</w:t>
      </w:r>
      <w:r>
        <w:rPr>
          <w:rFonts w:hint="eastAsia" w:ascii="宋体" w:hAnsi="宋体" w:eastAsia="宋体" w:cs="Times New Roman"/>
          <w:bCs/>
          <w:color w:val="auto"/>
          <w:kern w:val="2"/>
          <w:sz w:val="21"/>
          <w:szCs w:val="21"/>
          <w:highlight w:val="none"/>
          <w:lang w:val="en-US" w:eastAsia="zh-CN" w:bidi="ar-SA"/>
        </w:rPr>
        <w:t>：在符合项目基本要求的前提下，售后服务方案另包含有合理可行并且具有针对性的应急保障方案、保密承诺等，且描述了项目售后服务和应急保障方案的方法以及实现方式，售后服务机构及联系人、技术人员名单等资料详细，服务承诺和保障措施，有额外服务措施和内容的，得12分。</w:t>
      </w:r>
    </w:p>
    <w:p>
      <w:pPr>
        <w:widowControl w:val="0"/>
        <w:spacing w:line="360" w:lineRule="auto"/>
        <w:ind w:firstLine="422" w:firstLineChars="200"/>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二档</w:t>
      </w:r>
      <w:r>
        <w:rPr>
          <w:rFonts w:hint="eastAsia" w:ascii="宋体" w:hAnsi="宋体" w:eastAsia="宋体" w:cs="Times New Roman"/>
          <w:bCs/>
          <w:color w:val="auto"/>
          <w:kern w:val="2"/>
          <w:sz w:val="21"/>
          <w:szCs w:val="21"/>
          <w:highlight w:val="none"/>
          <w:lang w:val="en-US" w:eastAsia="zh-CN" w:bidi="ar-SA"/>
        </w:rPr>
        <w:t>：在符合项目基本要求的前提下，售后服务方案详细，有售后服务管理流程的，得8分。</w:t>
      </w:r>
    </w:p>
    <w:p>
      <w:pPr>
        <w:widowControl w:val="0"/>
        <w:spacing w:line="360" w:lineRule="auto"/>
        <w:ind w:firstLine="422" w:firstLineChars="200"/>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三档</w:t>
      </w:r>
      <w:r>
        <w:rPr>
          <w:rFonts w:hint="eastAsia" w:ascii="宋体" w:hAnsi="宋体" w:eastAsia="宋体" w:cs="Times New Roman"/>
          <w:bCs/>
          <w:color w:val="auto"/>
          <w:kern w:val="2"/>
          <w:sz w:val="21"/>
          <w:szCs w:val="21"/>
          <w:highlight w:val="none"/>
          <w:lang w:val="en-US" w:eastAsia="zh-CN" w:bidi="ar-SA"/>
        </w:rPr>
        <w:t>：能够提供符合项目基本要求的售后服务方案，售后服务方案简单的，得5分。</w:t>
      </w:r>
    </w:p>
    <w:p>
      <w:pPr>
        <w:spacing w:line="360" w:lineRule="auto"/>
        <w:ind w:firstLine="422" w:firstLineChars="200"/>
        <w:jc w:val="left"/>
        <w:rPr>
          <w:rFonts w:hint="eastAsia" w:ascii="宋体" w:hAnsi="宋体" w:eastAsia="宋体" w:cs="Times New Roman"/>
          <w:bCs/>
          <w:color w:val="auto"/>
          <w:szCs w:val="21"/>
          <w:highlight w:val="none"/>
        </w:rPr>
      </w:pPr>
      <w:r>
        <w:rPr>
          <w:rFonts w:hint="eastAsia" w:ascii="Times New Roman" w:hAnsi="宋体" w:eastAsia="宋体" w:cs="宋体"/>
          <w:b/>
          <w:color w:val="auto"/>
          <w:szCs w:val="21"/>
          <w:highlight w:val="none"/>
        </w:rPr>
        <w:t>四档</w:t>
      </w:r>
      <w:r>
        <w:rPr>
          <w:rFonts w:hint="eastAsia" w:ascii="Times New Roman" w:hAnsi="宋体" w:eastAsia="宋体" w:cs="Times New Roman"/>
          <w:bCs/>
          <w:color w:val="auto"/>
          <w:szCs w:val="21"/>
          <w:highlight w:val="none"/>
        </w:rPr>
        <w:t>：缺乏售后服务方案或售后服务方案不具可行性，不具备可操作性的，得0分。</w:t>
      </w:r>
    </w:p>
    <w:p>
      <w:pPr>
        <w:spacing w:line="360" w:lineRule="auto"/>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（4）本地化服务，满分4分。</w:t>
      </w:r>
    </w:p>
    <w:p>
      <w:pPr>
        <w:widowControl w:val="0"/>
        <w:spacing w:line="360" w:lineRule="auto"/>
        <w:ind w:firstLine="420" w:firstLineChars="200"/>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1）在广西有固定办公室场所的（附租赁合同）或承诺成交后在广西区内设立固定办公室场所的，得4分。其余不得分。</w:t>
      </w:r>
    </w:p>
    <w:p>
      <w:pPr>
        <w:widowControl w:val="0"/>
        <w:spacing w:line="360" w:lineRule="auto"/>
        <w:ind w:firstLine="422"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4、诚信分…………………………………………………………………… -6分</w:t>
      </w:r>
    </w:p>
    <w:p>
      <w:pPr>
        <w:widowControl w:val="0"/>
        <w:spacing w:line="360" w:lineRule="auto"/>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供应商在截标日前一年内在政府采购活动中存在违约违规情形的（以财政部门书面认定材料为评分依据），每次扣除3分，最高扣分6分；</w:t>
      </w:r>
    </w:p>
    <w:p>
      <w:pPr>
        <w:widowControl w:val="0"/>
        <w:spacing w:line="360" w:lineRule="auto"/>
        <w:ind w:firstLine="422" w:firstLineChars="200"/>
        <w:jc w:val="both"/>
        <w:rPr>
          <w:rFonts w:hint="eastAsia" w:ascii="宋体" w:hAnsi="宋体" w:cs="宋体"/>
          <w:b/>
          <w:color w:val="auto"/>
          <w:szCs w:val="21"/>
          <w:highlight w:val="none"/>
        </w:rPr>
      </w:pPr>
      <w:r>
        <w:rPr>
          <w:rFonts w:hint="eastAsia" w:ascii="宋体" w:hAnsi="宋体" w:eastAsia="宋体" w:cs="Calibri"/>
          <w:b/>
          <w:bCs/>
          <w:color w:val="auto"/>
          <w:kern w:val="2"/>
          <w:sz w:val="21"/>
          <w:szCs w:val="21"/>
          <w:highlight w:val="none"/>
          <w:lang w:val="en-US" w:eastAsia="zh-CN" w:bidi="ar-SA"/>
        </w:rPr>
        <w:t>总得分=1 + 2 + 3 + 4。</w:t>
      </w:r>
    </w:p>
    <w:p>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三、成交标准：</w:t>
      </w:r>
    </w:p>
    <w:p>
      <w:pPr>
        <w:pStyle w:val="13"/>
        <w:adjustRightInd w:val="0"/>
        <w:spacing w:line="400" w:lineRule="exact"/>
        <w:ind w:firstLine="422"/>
        <w:contextualSpacing/>
        <w:rPr>
          <w:rFonts w:hint="eastAsia" w:hAnsi="宋体" w:cs="宋体"/>
          <w:bCs/>
          <w:color w:val="auto"/>
          <w:szCs w:val="21"/>
          <w:highlight w:val="none"/>
        </w:rPr>
      </w:pPr>
      <w:r>
        <w:rPr>
          <w:rFonts w:hint="eastAsia" w:hAnsi="宋体" w:cs="宋体"/>
          <w:bCs/>
          <w:color w:val="auto"/>
          <w:szCs w:val="21"/>
          <w:highlight w:val="none"/>
        </w:rPr>
        <w:t>磋商小组将按评审后得分由高到低顺序排列。得分相同的，按最终磋商报价由低到高顺序排列。得分且最终磋商报价相同的</w:t>
      </w:r>
      <w:r>
        <w:rPr>
          <w:rFonts w:hint="eastAsia" w:hAnsi="宋体" w:cs="宋体"/>
          <w:bCs/>
          <w:color w:val="auto"/>
          <w:highlight w:val="none"/>
        </w:rPr>
        <w:t>依次按技术分高优先、商务分高优先的顺序排列（</w:t>
      </w:r>
      <w:r>
        <w:rPr>
          <w:rFonts w:hint="eastAsia" w:hAnsi="宋体" w:cs="宋体"/>
          <w:color w:val="auto"/>
          <w:szCs w:val="21"/>
          <w:highlight w:val="none"/>
        </w:rPr>
        <w:t>最终评标价相同且前述指标均相同时</w:t>
      </w:r>
      <w:r>
        <w:rPr>
          <w:rFonts w:hint="eastAsia" w:hAnsi="宋体" w:cs="宋体"/>
          <w:bCs/>
          <w:color w:val="auto"/>
          <w:szCs w:val="21"/>
          <w:highlight w:val="none"/>
        </w:rPr>
        <w:t>，</w:t>
      </w:r>
      <w:r>
        <w:rPr>
          <w:rFonts w:hint="eastAsia" w:hAnsi="宋体" w:cs="宋体"/>
          <w:color w:val="auto"/>
          <w:szCs w:val="21"/>
          <w:highlight w:val="none"/>
        </w:rPr>
        <w:t>由磋商小组各成员对最终评标价相同且前述指标均相同的供应商当场投票表决，得票多者优先）</w:t>
      </w:r>
      <w:r>
        <w:rPr>
          <w:rFonts w:hint="eastAsia" w:hAnsi="宋体" w:cs="宋体"/>
          <w:bCs/>
          <w:color w:val="auto"/>
          <w:highlight w:val="none"/>
        </w:rPr>
        <w:t>。</w:t>
      </w:r>
      <w:r>
        <w:rPr>
          <w:rFonts w:hint="eastAsia" w:hAnsi="宋体" w:cs="宋体"/>
          <w:bCs/>
          <w:color w:val="auto"/>
          <w:szCs w:val="21"/>
          <w:highlight w:val="none"/>
        </w:rPr>
        <w:t>响应文件满足磋商采购文件全部实质性要求，且评审得分最高的磋商供应商为排名第一的成交候选人。</w:t>
      </w:r>
    </w:p>
    <w:p>
      <w:pPr>
        <w:pStyle w:val="13"/>
        <w:adjustRightInd w:val="0"/>
        <w:spacing w:line="400" w:lineRule="exact"/>
        <w:contextualSpacing/>
        <w:rPr>
          <w:rFonts w:hint="eastAsia" w:hAnsi="宋体" w:cs="宋体"/>
          <w:b/>
          <w:color w:val="auto"/>
          <w:szCs w:val="21"/>
          <w:highlight w:val="none"/>
        </w:rPr>
      </w:pPr>
    </w:p>
    <w:p>
      <w:pPr>
        <w:pStyle w:val="13"/>
        <w:adjustRightInd w:val="0"/>
        <w:spacing w:line="400" w:lineRule="exact"/>
        <w:contextualSpacing/>
        <w:rPr>
          <w:rFonts w:hint="eastAsia" w:hAnsi="宋体" w:cs="宋体"/>
          <w:bCs/>
          <w:color w:val="auto"/>
          <w:highlight w:val="none"/>
        </w:rPr>
      </w:pPr>
      <w:r>
        <w:rPr>
          <w:rFonts w:hint="eastAsia" w:hAnsi="宋体" w:cs="宋体"/>
          <w:b/>
          <w:color w:val="auto"/>
          <w:szCs w:val="21"/>
          <w:highlight w:val="none"/>
        </w:rPr>
        <w:t>四</w:t>
      </w:r>
      <w:r>
        <w:rPr>
          <w:rFonts w:hint="eastAsia" w:hAnsi="宋体" w:cs="宋体"/>
          <w:b/>
          <w:color w:val="auto"/>
          <w:highlight w:val="none"/>
        </w:rPr>
        <w:t>、特别说明</w:t>
      </w:r>
    </w:p>
    <w:p>
      <w:pPr>
        <w:pStyle w:val="13"/>
        <w:spacing w:line="400" w:lineRule="exact"/>
        <w:ind w:firstLine="420" w:firstLineChars="200"/>
        <w:rPr>
          <w:rFonts w:hint="eastAsia" w:hAnsi="宋体" w:cs="宋体"/>
          <w:color w:val="auto"/>
          <w:highlight w:val="none"/>
        </w:rPr>
      </w:pPr>
      <w:r>
        <w:rPr>
          <w:rFonts w:hint="eastAsia" w:hAnsi="宋体" w:cs="宋体"/>
          <w:bCs/>
          <w:color w:val="auto"/>
          <w:szCs w:val="21"/>
          <w:highlight w:val="none"/>
        </w:rPr>
        <w:t>磋商小组</w:t>
      </w:r>
      <w:r>
        <w:rPr>
          <w:rFonts w:hint="eastAsia" w:hAnsi="宋体" w:cs="宋体"/>
          <w:bCs/>
          <w:color w:val="auto"/>
          <w:highlight w:val="none"/>
        </w:rPr>
        <w:t>认为</w:t>
      </w:r>
      <w:r>
        <w:rPr>
          <w:rFonts w:hint="eastAsia" w:hAnsi="宋体" w:cs="宋体"/>
          <w:bCs/>
          <w:color w:val="auto"/>
          <w:szCs w:val="21"/>
          <w:highlight w:val="none"/>
        </w:rPr>
        <w:t>磋商供应商</w:t>
      </w:r>
      <w:r>
        <w:rPr>
          <w:rFonts w:hint="eastAsia" w:hAnsi="宋体" w:cs="宋体"/>
          <w:bCs/>
          <w:color w:val="auto"/>
          <w:highlight w:val="none"/>
        </w:rPr>
        <w:t>的</w:t>
      </w:r>
      <w:r>
        <w:rPr>
          <w:rFonts w:hint="eastAsia" w:hAnsi="宋体" w:cs="宋体"/>
          <w:bCs/>
          <w:color w:val="auto"/>
          <w:szCs w:val="21"/>
          <w:highlight w:val="none"/>
        </w:rPr>
        <w:t>最终磋商报价</w:t>
      </w:r>
      <w:r>
        <w:rPr>
          <w:rFonts w:hint="eastAsia" w:hAnsi="宋体" w:cs="宋体"/>
          <w:bCs/>
          <w:color w:val="auto"/>
          <w:highlight w:val="none"/>
        </w:rPr>
        <w:t>明显低于其他通过符合性审查磋商供应商的</w:t>
      </w:r>
      <w:r>
        <w:rPr>
          <w:rFonts w:hint="eastAsia" w:hAnsi="宋体" w:cs="宋体"/>
          <w:bCs/>
          <w:color w:val="auto"/>
          <w:szCs w:val="21"/>
          <w:highlight w:val="none"/>
        </w:rPr>
        <w:t>最终磋商</w:t>
      </w:r>
      <w:r>
        <w:rPr>
          <w:rFonts w:hint="eastAsia" w:hAnsi="宋体" w:cs="宋体"/>
          <w:bCs/>
          <w:color w:val="auto"/>
          <w:highlight w:val="none"/>
        </w:rPr>
        <w:t>报价，有可能影响服务质量或者不能诚信履约的，应当要求其在磋商现场合理的时间内提供书面说明，必要时提交相关证明材料；磋商供应商不能证明其磋商报价合理性的，磋商小组应当将其作为无效磋商处理。</w:t>
      </w:r>
    </w:p>
    <w:p>
      <w:pPr>
        <w:pStyle w:val="13"/>
        <w:jc w:val="center"/>
        <w:outlineLvl w:val="0"/>
        <w:rPr>
          <w:rFonts w:hint="eastAsia" w:hAnsi="宋体" w:cs="宋体"/>
          <w:b/>
          <w:color w:val="auto"/>
          <w:sz w:val="36"/>
          <w:szCs w:val="36"/>
          <w:highlight w:val="none"/>
        </w:rPr>
      </w:pPr>
      <w:r>
        <w:rPr>
          <w:rFonts w:hint="eastAsia" w:hAnsi="宋体" w:cs="宋体"/>
          <w:color w:val="auto"/>
          <w:highlight w:val="none"/>
        </w:rPr>
        <w:br w:type="page"/>
      </w:r>
      <w:bookmarkStart w:id="73" w:name="_Toc213325923"/>
      <w:bookmarkStart w:id="74" w:name="_Toc213206174"/>
      <w:bookmarkStart w:id="75" w:name="_Toc32315"/>
      <w:r>
        <w:rPr>
          <w:rFonts w:hint="eastAsia" w:hAnsi="宋体" w:cs="宋体"/>
          <w:b/>
          <w:color w:val="auto"/>
          <w:sz w:val="36"/>
          <w:highlight w:val="none"/>
        </w:rPr>
        <w:t>第三章  磋商供应商须知</w:t>
      </w:r>
      <w:bookmarkEnd w:id="0"/>
      <w:bookmarkEnd w:id="1"/>
      <w:bookmarkEnd w:id="73"/>
      <w:bookmarkEnd w:id="74"/>
      <w:bookmarkEnd w:id="75"/>
    </w:p>
    <w:p>
      <w:pPr>
        <w:pStyle w:val="13"/>
        <w:jc w:val="center"/>
        <w:rPr>
          <w:rFonts w:hint="eastAsia" w:hAnsi="宋体" w:cs="宋体"/>
          <w:b/>
          <w:color w:val="auto"/>
          <w:sz w:val="30"/>
          <w:szCs w:val="30"/>
          <w:highlight w:val="none"/>
        </w:rPr>
      </w:pPr>
      <w:r>
        <w:rPr>
          <w:rFonts w:hint="eastAsia" w:hAnsi="宋体" w:cs="宋体"/>
          <w:b/>
          <w:color w:val="auto"/>
          <w:sz w:val="30"/>
          <w:szCs w:val="30"/>
          <w:highlight w:val="none"/>
        </w:rPr>
        <w:t>磋商供应商须知前附表</w:t>
      </w:r>
    </w:p>
    <w:p>
      <w:pPr>
        <w:pStyle w:val="13"/>
        <w:ind w:firstLine="420"/>
        <w:rPr>
          <w:rFonts w:hint="eastAsia" w:hAnsi="宋体" w:cs="宋体"/>
          <w:color w:val="auto"/>
          <w:highlight w:val="none"/>
        </w:rPr>
      </w:pPr>
      <w:r>
        <w:rPr>
          <w:rFonts w:hint="eastAsia" w:hAnsi="宋体" w:cs="宋体"/>
          <w:color w:val="auto"/>
          <w:highlight w:val="none"/>
        </w:rPr>
        <w:t>本表是关于本次采购服务的具体资料，是对后列条款的具体补充和修改。所有与本次采购有关的事宜，以本资料表规定的为准。</w:t>
      </w:r>
    </w:p>
    <w:tbl>
      <w:tblPr>
        <w:tblStyle w:val="25"/>
        <w:tblW w:w="9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412"/>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 w:type="dxa"/>
            <w:noWrap w:val="0"/>
            <w:vAlign w:val="center"/>
          </w:tcPr>
          <w:p>
            <w:pPr>
              <w:pStyle w:val="13"/>
              <w:keepNext w:val="0"/>
              <w:keepLines w:val="0"/>
              <w:pageBreakBefore w:val="0"/>
              <w:widowControl w:val="0"/>
              <w:kinsoku/>
              <w:wordWrap/>
              <w:overflowPunct/>
              <w:topLinePunct w:val="0"/>
              <w:bidi w:val="0"/>
              <w:adjustRightInd w:val="0"/>
              <w:snapToGrid/>
              <w:spacing w:line="340" w:lineRule="exact"/>
              <w:jc w:val="center"/>
              <w:textAlignment w:val="auto"/>
              <w:rPr>
                <w:rFonts w:hint="eastAsia" w:hAnsi="宋体" w:cs="宋体"/>
                <w:b/>
                <w:color w:val="auto"/>
                <w:szCs w:val="21"/>
                <w:highlight w:val="none"/>
              </w:rPr>
            </w:pPr>
            <w:r>
              <w:rPr>
                <w:rFonts w:hint="eastAsia" w:hAnsi="宋体" w:cs="宋体"/>
                <w:b/>
                <w:color w:val="auto"/>
                <w:szCs w:val="21"/>
                <w:highlight w:val="none"/>
              </w:rPr>
              <w:t>条款号</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b/>
                <w:color w:val="auto"/>
                <w:szCs w:val="21"/>
                <w:highlight w:val="none"/>
              </w:rPr>
            </w:pPr>
            <w:r>
              <w:rPr>
                <w:rFonts w:hint="eastAsia" w:hAnsi="宋体" w:cs="宋体"/>
                <w:b/>
                <w:color w:val="auto"/>
                <w:szCs w:val="21"/>
                <w:highlight w:val="none"/>
              </w:rPr>
              <w:t>条款名称</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b/>
                <w:color w:val="auto"/>
                <w:szCs w:val="21"/>
                <w:highlight w:val="none"/>
              </w:rPr>
            </w:pPr>
            <w:r>
              <w:rPr>
                <w:rFonts w:hint="eastAsia" w:hAnsi="宋体" w:cs="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1.1</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采购人</w:t>
            </w:r>
          </w:p>
        </w:tc>
        <w:tc>
          <w:tcPr>
            <w:tcW w:w="6641" w:type="dxa"/>
            <w:noWrap w:val="0"/>
            <w:vAlign w:val="center"/>
          </w:tcPr>
          <w:p>
            <w:pPr>
              <w:keepNext w:val="0"/>
              <w:keepLines w:val="0"/>
              <w:pageBreakBefore w:val="0"/>
              <w:widowControl w:val="0"/>
              <w:kinsoku/>
              <w:wordWrap/>
              <w:overflowPunct/>
              <w:topLinePunct w:val="0"/>
              <w:bidi w:val="0"/>
              <w:snapToGrid/>
              <w:spacing w:line="3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rPr>
              <w:t>横州市应急管理局</w:t>
            </w:r>
          </w:p>
          <w:p>
            <w:pPr>
              <w:keepNext w:val="0"/>
              <w:keepLines w:val="0"/>
              <w:pageBreakBefore w:val="0"/>
              <w:widowControl w:val="0"/>
              <w:kinsoku/>
              <w:wordWrap/>
              <w:overflowPunct/>
              <w:topLinePunct w:val="0"/>
              <w:bidi w:val="0"/>
              <w:snapToGrid/>
              <w:spacing w:line="3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rPr>
              <w:t>南宁市横州市长安大道</w:t>
            </w:r>
          </w:p>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szCs w:val="21"/>
                <w:highlight w:val="none"/>
              </w:rPr>
            </w:pPr>
            <w:r>
              <w:rPr>
                <w:rFonts w:hint="eastAsia" w:hAnsi="宋体" w:cs="宋体"/>
                <w:color w:val="auto"/>
                <w:szCs w:val="21"/>
                <w:highlight w:val="none"/>
              </w:rPr>
              <w:t>联系人：禤冰丹</w:t>
            </w:r>
          </w:p>
          <w:p>
            <w:pPr>
              <w:pStyle w:val="13"/>
              <w:keepNext w:val="0"/>
              <w:keepLines w:val="0"/>
              <w:pageBreakBefore w:val="0"/>
              <w:widowControl w:val="0"/>
              <w:kinsoku/>
              <w:wordWrap/>
              <w:overflowPunct/>
              <w:topLinePunct w:val="0"/>
              <w:bidi w:val="0"/>
              <w:snapToGrid/>
              <w:spacing w:line="340" w:lineRule="exact"/>
              <w:textAlignment w:val="auto"/>
              <w:rPr>
                <w:rFonts w:hint="default" w:hAnsi="宋体" w:eastAsia="宋体" w:cs="宋体"/>
                <w:color w:val="auto"/>
                <w:szCs w:val="21"/>
                <w:highlight w:val="none"/>
                <w:lang w:val="en-US" w:eastAsia="zh-CN"/>
              </w:rPr>
            </w:pPr>
            <w:r>
              <w:rPr>
                <w:rFonts w:hint="eastAsia" w:hAnsi="宋体" w:cs="宋体"/>
                <w:color w:val="auto"/>
                <w:szCs w:val="21"/>
                <w:highlight w:val="none"/>
              </w:rPr>
              <w:t>电话：</w:t>
            </w:r>
            <w:r>
              <w:rPr>
                <w:rFonts w:hint="eastAsia" w:hAnsi="宋体" w:cs="宋体"/>
                <w:color w:val="auto"/>
                <w:szCs w:val="21"/>
                <w:highlight w:val="none"/>
                <w:lang w:val="en-US" w:eastAsia="zh-CN"/>
              </w:rPr>
              <w:t>0771-7082981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1.2</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采购代理机构</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szCs w:val="21"/>
                <w:highlight w:val="none"/>
              </w:rPr>
            </w:pPr>
            <w:r>
              <w:rPr>
                <w:rFonts w:hint="eastAsia" w:hAnsi="宋体" w:cs="宋体"/>
                <w:color w:val="auto"/>
                <w:szCs w:val="21"/>
                <w:highlight w:val="none"/>
              </w:rPr>
              <w:t>名称：广西科联招标中心有限公司</w:t>
            </w:r>
          </w:p>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szCs w:val="21"/>
                <w:highlight w:val="none"/>
              </w:rPr>
            </w:pPr>
            <w:r>
              <w:rPr>
                <w:rFonts w:hint="eastAsia" w:hAnsi="宋体" w:cs="宋体"/>
                <w:color w:val="auto"/>
                <w:szCs w:val="21"/>
                <w:highlight w:val="none"/>
              </w:rPr>
              <w:t>地址：广西南宁市大学东路170号</w:t>
            </w:r>
          </w:p>
          <w:p>
            <w:pPr>
              <w:pStyle w:val="13"/>
              <w:keepNext w:val="0"/>
              <w:keepLines w:val="0"/>
              <w:pageBreakBefore w:val="0"/>
              <w:widowControl w:val="0"/>
              <w:kinsoku/>
              <w:wordWrap/>
              <w:overflowPunct/>
              <w:topLinePunct w:val="0"/>
              <w:bidi w:val="0"/>
              <w:snapToGrid/>
              <w:spacing w:line="340" w:lineRule="exact"/>
              <w:textAlignment w:val="auto"/>
              <w:rPr>
                <w:rFonts w:hint="eastAsia" w:hAnsi="宋体" w:eastAsia="宋体" w:cs="宋体"/>
                <w:color w:val="auto"/>
                <w:szCs w:val="21"/>
                <w:highlight w:val="none"/>
                <w:lang w:eastAsia="zh-CN"/>
              </w:rPr>
            </w:pPr>
            <w:r>
              <w:rPr>
                <w:rFonts w:hint="eastAsia" w:hAnsi="宋体" w:cs="宋体"/>
                <w:color w:val="auto"/>
                <w:szCs w:val="21"/>
                <w:highlight w:val="none"/>
              </w:rPr>
              <w:t>联系人：</w:t>
            </w:r>
            <w:r>
              <w:rPr>
                <w:rFonts w:hint="eastAsia" w:hAnsi="宋体" w:cs="宋体"/>
                <w:color w:val="auto"/>
                <w:szCs w:val="21"/>
                <w:highlight w:val="none"/>
                <w:lang w:val="en-US" w:eastAsia="zh-CN"/>
              </w:rPr>
              <w:t>欧明聪</w:t>
            </w:r>
          </w:p>
          <w:p>
            <w:pPr>
              <w:pStyle w:val="13"/>
              <w:keepNext w:val="0"/>
              <w:keepLines w:val="0"/>
              <w:pageBreakBefore w:val="0"/>
              <w:widowControl w:val="0"/>
              <w:kinsoku/>
              <w:wordWrap/>
              <w:overflowPunct/>
              <w:topLinePunct w:val="0"/>
              <w:bidi w:val="0"/>
              <w:snapToGrid/>
              <w:spacing w:line="340" w:lineRule="exact"/>
              <w:textAlignment w:val="auto"/>
              <w:rPr>
                <w:rFonts w:hint="default" w:hAnsi="宋体" w:eastAsia="宋体" w:cs="宋体"/>
                <w:color w:val="auto"/>
                <w:szCs w:val="21"/>
                <w:highlight w:val="none"/>
                <w:lang w:val="en-US" w:eastAsia="zh-CN"/>
              </w:rPr>
            </w:pPr>
            <w:r>
              <w:rPr>
                <w:rFonts w:hint="eastAsia" w:hAnsi="宋体" w:cs="宋体"/>
                <w:color w:val="auto"/>
                <w:szCs w:val="21"/>
                <w:highlight w:val="none"/>
              </w:rPr>
              <w:t>电话：0771-</w:t>
            </w:r>
            <w:r>
              <w:rPr>
                <w:rFonts w:hint="eastAsia" w:hAnsi="宋体" w:cs="宋体"/>
                <w:color w:val="auto"/>
                <w:szCs w:val="21"/>
                <w:highlight w:val="none"/>
                <w:lang w:val="en-US" w:eastAsia="zh-CN"/>
              </w:rPr>
              <w:t>3482237</w:t>
            </w:r>
          </w:p>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b/>
                <w:color w:val="auto"/>
                <w:highlight w:val="none"/>
              </w:rPr>
            </w:pPr>
            <w:r>
              <w:rPr>
                <w:rFonts w:hint="eastAsia" w:hAnsi="宋体" w:cs="宋体"/>
                <w:color w:val="auto"/>
                <w:szCs w:val="21"/>
                <w:highlight w:val="none"/>
              </w:rPr>
              <w:t>传真：0771-2273500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1.3</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项目名称</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eastAsia="宋体" w:cs="宋体"/>
                <w:color w:val="auto"/>
                <w:highlight w:val="none"/>
                <w:lang w:eastAsia="zh-CN"/>
              </w:rPr>
            </w:pPr>
            <w:r>
              <w:rPr>
                <w:rFonts w:hint="eastAsia" w:hAnsi="宋体" w:cs="宋体"/>
                <w:color w:val="auto"/>
                <w:highlight w:val="none"/>
                <w:lang w:eastAsia="zh-CN"/>
              </w:rPr>
              <w:t>横州市应急管理局全国第一次自然灾害风险普查第一阶段调查项目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1.4</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项目编号</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color w:val="auto"/>
                <w:highlight w:val="none"/>
              </w:rPr>
              <w:t>NNZC2021-C3-270249-KLZB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1.5</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采购预算</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bCs/>
                <w:color w:val="auto"/>
                <w:highlight w:val="none"/>
              </w:rPr>
            </w:pPr>
            <w:r>
              <w:rPr>
                <w:rFonts w:hint="eastAsia" w:hAnsi="宋体" w:cs="宋体"/>
                <w:color w:val="auto"/>
                <w:szCs w:val="21"/>
                <w:highlight w:val="none"/>
                <w:lang w:val="en-US" w:eastAsia="zh-CN"/>
              </w:rPr>
              <w:t>120万元</w:t>
            </w:r>
            <w:r>
              <w:rPr>
                <w:rFonts w:hint="eastAsia" w:hAnsi="宋体" w:cs="宋体"/>
                <w:bCs/>
                <w:color w:val="auto"/>
                <w:szCs w:val="21"/>
                <w:highlight w:val="none"/>
              </w:rPr>
              <w:t>。各分标如有分项预算的，详见竞争性磋商采购文件《服务需求一览表》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1.7</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szCs w:val="21"/>
                <w:highlight w:val="none"/>
              </w:rPr>
              <w:t>获取竞争性磋商采购文件方式</w:t>
            </w:r>
          </w:p>
        </w:tc>
        <w:tc>
          <w:tcPr>
            <w:tcW w:w="6641" w:type="dxa"/>
            <w:noWrap w:val="0"/>
            <w:vAlign w:val="center"/>
          </w:tcPr>
          <w:p>
            <w:pPr>
              <w:keepNext w:val="0"/>
              <w:keepLines w:val="0"/>
              <w:pageBreakBefore w:val="0"/>
              <w:widowControl w:val="0"/>
              <w:kinsoku/>
              <w:wordWrap/>
              <w:overflowPunct/>
              <w:topLinePunct w:val="0"/>
              <w:bidi w:val="0"/>
              <w:snapToGrid/>
              <w:spacing w:line="340" w:lineRule="exact"/>
              <w:textAlignment w:val="auto"/>
              <w:rPr>
                <w:rFonts w:ascii="宋体" w:hAnsi="宋体" w:cs="宋体"/>
                <w:color w:val="auto"/>
                <w:szCs w:val="21"/>
                <w:highlight w:val="none"/>
              </w:rPr>
            </w:pPr>
            <w:r>
              <w:rPr>
                <w:rFonts w:hint="eastAsia" w:ascii="宋体" w:hAnsi="宋体" w:cs="宋体"/>
                <w:color w:val="auto"/>
                <w:szCs w:val="21"/>
                <w:highlight w:val="none"/>
              </w:rPr>
              <w:t>时间：本项目采购公告发出之日起至</w:t>
            </w:r>
            <w:r>
              <w:rPr>
                <w:rFonts w:hint="eastAsia" w:ascii="宋体" w:hAnsi="宋体" w:cs="宋体"/>
                <w:color w:val="auto"/>
                <w:szCs w:val="21"/>
                <w:highlight w:val="none"/>
                <w:lang w:val="en-US" w:eastAsia="zh-CN"/>
              </w:rPr>
              <w:t>响应文件递交截止时间前</w:t>
            </w:r>
            <w:r>
              <w:rPr>
                <w:rFonts w:hint="eastAsia" w:ascii="宋体" w:hAnsi="宋体" w:cs="宋体"/>
                <w:color w:val="auto"/>
                <w:szCs w:val="21"/>
                <w:highlight w:val="none"/>
              </w:rPr>
              <w:t>，每天上午00:00至12:00，下午12:00至23:59（北京时间，法定节假日除外）。</w:t>
            </w:r>
          </w:p>
          <w:p>
            <w:pPr>
              <w:keepNext w:val="0"/>
              <w:keepLines w:val="0"/>
              <w:pageBreakBefore w:val="0"/>
              <w:widowControl w:val="0"/>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地点（网址）横州市公共资源交易中心网（https://www.nnggzy.org.cn/gxhxzbw//）对应的招标公告页面</w:t>
            </w:r>
          </w:p>
          <w:p>
            <w:pPr>
              <w:keepNext w:val="0"/>
              <w:keepLines w:val="0"/>
              <w:pageBreakBefore w:val="0"/>
              <w:widowControl w:val="0"/>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方式：本项目不发放纸质文件，供应商可自行在横州市公共资源交易中心网（https://www.nnggzy.org.cn/gxhxzbw//）对应的公告页面免费下载获取采购文件。</w:t>
            </w:r>
          </w:p>
          <w:p>
            <w:pPr>
              <w:keepNext w:val="0"/>
              <w:keepLines w:val="0"/>
              <w:pageBreakBefore w:val="0"/>
              <w:widowControl w:val="0"/>
              <w:kinsoku/>
              <w:wordWrap/>
              <w:overflowPunct/>
              <w:topLinePunct w:val="0"/>
              <w:bidi w:val="0"/>
              <w:snapToGrid/>
              <w:spacing w:line="340" w:lineRule="exact"/>
              <w:textAlignment w:val="auto"/>
              <w:rPr>
                <w:rFonts w:hint="eastAsia" w:ascii="宋体" w:hAnsi="宋体" w:cs="宋体"/>
                <w:color w:val="auto"/>
                <w:highlight w:val="none"/>
              </w:rPr>
            </w:pPr>
            <w:r>
              <w:rPr>
                <w:rFonts w:hint="eastAsia" w:ascii="宋体" w:hAnsi="宋体" w:cs="宋体"/>
                <w:color w:val="auto"/>
                <w:szCs w:val="21"/>
                <w:highlight w:val="none"/>
              </w:rPr>
              <w:t>售价（元）：0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lang w:eastAsia="en-US"/>
              </w:rPr>
            </w:pPr>
            <w:r>
              <w:rPr>
                <w:rFonts w:hint="eastAsia" w:hAnsi="宋体" w:cs="宋体"/>
                <w:color w:val="auto"/>
                <w:highlight w:val="none"/>
              </w:rPr>
              <w:t>1.8</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szCs w:val="21"/>
                <w:highlight w:val="none"/>
              </w:rPr>
            </w:pPr>
            <w:r>
              <w:rPr>
                <w:rFonts w:hint="eastAsia" w:hAnsi="宋体" w:cs="宋体"/>
                <w:bCs/>
                <w:color w:val="auto"/>
                <w:highlight w:val="none"/>
              </w:rPr>
              <w:t>落实的政府采购政策</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color w:val="auto"/>
                <w:highlight w:val="none"/>
              </w:rPr>
              <w:t>扶持中小企业政策：评审时小型和微型企业及产品的给予价格扣除。监狱企业、残疾人福利性单位视同小型、微型企业，其在评审时给予相同的价格扣除。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3.2</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磋商供应商应具备的特定条件</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color w:val="auto"/>
                <w:szCs w:val="21"/>
                <w:highlight w:val="none"/>
              </w:rPr>
              <w:t>无</w:t>
            </w:r>
            <w:r>
              <w:rPr>
                <w:rFonts w:hint="eastAsia"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3.3</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是否接受联合体磋商</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szCs w:val="21"/>
                <w:highlight w:val="none"/>
              </w:rPr>
            </w:pPr>
            <w:r>
              <w:rPr>
                <w:rFonts w:hint="eastAsia" w:hAnsi="宋体" w:cs="宋体"/>
                <w:color w:val="auto"/>
                <w:szCs w:val="21"/>
                <w:highlight w:val="none"/>
              </w:rPr>
              <w:t>本项目采购不接受联合体磋商</w:t>
            </w:r>
            <w:r>
              <w:rPr>
                <w:rFonts w:hint="eastAsia"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adjustRightInd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4.2</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szCs w:val="21"/>
                <w:highlight w:val="none"/>
              </w:rPr>
            </w:pPr>
            <w:r>
              <w:rPr>
                <w:rFonts w:hint="eastAsia" w:hAnsi="宋体" w:cs="宋体"/>
                <w:color w:val="auto"/>
                <w:szCs w:val="21"/>
                <w:highlight w:val="none"/>
              </w:rPr>
              <w:t>质疑提交地点、电话</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szCs w:val="21"/>
                <w:highlight w:val="none"/>
                <w:u w:val="single"/>
              </w:rPr>
            </w:pPr>
            <w:r>
              <w:rPr>
                <w:rFonts w:hint="eastAsia" w:hAnsi="宋体" w:cs="宋体"/>
                <w:color w:val="auto"/>
                <w:szCs w:val="21"/>
                <w:highlight w:val="none"/>
              </w:rPr>
              <w:t>广西科联招标中心有限公司三楼307室（广西南宁市大学东路170号广西农机研究院内），质疑咨询电话：0771-3486228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adjustRightInd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5.1</w:t>
            </w:r>
          </w:p>
        </w:tc>
        <w:tc>
          <w:tcPr>
            <w:tcW w:w="2412" w:type="dxa"/>
            <w:noWrap w:val="0"/>
            <w:vAlign w:val="center"/>
          </w:tcPr>
          <w:p>
            <w:pPr>
              <w:pStyle w:val="13"/>
              <w:keepNext w:val="0"/>
              <w:keepLines w:val="0"/>
              <w:pageBreakBefore w:val="0"/>
              <w:widowControl w:val="0"/>
              <w:kinsoku/>
              <w:wordWrap/>
              <w:overflowPunct/>
              <w:topLinePunct w:val="0"/>
              <w:bidi w:val="0"/>
              <w:adjustRightInd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投诉受理</w:t>
            </w:r>
          </w:p>
        </w:tc>
        <w:tc>
          <w:tcPr>
            <w:tcW w:w="6641" w:type="dxa"/>
            <w:noWrap w:val="0"/>
            <w:vAlign w:val="center"/>
          </w:tcPr>
          <w:p>
            <w:pPr>
              <w:pStyle w:val="13"/>
              <w:keepNext w:val="0"/>
              <w:keepLines w:val="0"/>
              <w:pageBreakBefore w:val="0"/>
              <w:widowControl w:val="0"/>
              <w:kinsoku/>
              <w:wordWrap/>
              <w:overflowPunct/>
              <w:topLinePunct w:val="0"/>
              <w:bidi w:val="0"/>
              <w:adjustRightInd w:val="0"/>
              <w:snapToGrid/>
              <w:spacing w:line="340" w:lineRule="exact"/>
              <w:textAlignment w:val="auto"/>
              <w:rPr>
                <w:rFonts w:hint="eastAsia" w:hAnsi="宋体" w:cs="宋体"/>
                <w:bCs/>
                <w:color w:val="auto"/>
                <w:szCs w:val="21"/>
                <w:highlight w:val="none"/>
              </w:rPr>
            </w:pPr>
            <w:r>
              <w:rPr>
                <w:rFonts w:hint="eastAsia" w:hAnsi="宋体" w:cs="宋体"/>
                <w:bCs/>
                <w:color w:val="auto"/>
                <w:szCs w:val="21"/>
                <w:highlight w:val="none"/>
              </w:rPr>
              <w:t>横</w:t>
            </w:r>
            <w:r>
              <w:rPr>
                <w:rFonts w:hint="eastAsia" w:hAnsi="宋体" w:cs="宋体"/>
                <w:bCs/>
                <w:color w:val="auto"/>
                <w:szCs w:val="21"/>
                <w:highlight w:val="none"/>
                <w:lang w:val="en-US" w:eastAsia="zh-CN"/>
              </w:rPr>
              <w:t>州市</w:t>
            </w:r>
            <w:r>
              <w:rPr>
                <w:rFonts w:hint="eastAsia" w:hAnsi="宋体" w:cs="宋体"/>
                <w:bCs/>
                <w:color w:val="auto"/>
                <w:szCs w:val="21"/>
                <w:highlight w:val="none"/>
              </w:rPr>
              <w:t>财政局,联系电话：0771-5595777</w:t>
            </w:r>
          </w:p>
          <w:p>
            <w:pPr>
              <w:pStyle w:val="13"/>
              <w:keepNext w:val="0"/>
              <w:keepLines w:val="0"/>
              <w:pageBreakBefore w:val="0"/>
              <w:widowControl w:val="0"/>
              <w:kinsoku/>
              <w:wordWrap/>
              <w:overflowPunct/>
              <w:topLinePunct w:val="0"/>
              <w:bidi w:val="0"/>
              <w:adjustRightInd w:val="0"/>
              <w:snapToGrid/>
              <w:spacing w:line="340" w:lineRule="exact"/>
              <w:textAlignment w:val="auto"/>
              <w:rPr>
                <w:rFonts w:hint="eastAsia" w:hAnsi="宋体" w:cs="宋体"/>
                <w:color w:val="auto"/>
                <w:highlight w:val="none"/>
              </w:rPr>
            </w:pPr>
            <w:r>
              <w:rPr>
                <w:rFonts w:hint="eastAsia" w:hAnsi="宋体" w:cs="宋体"/>
                <w:bCs/>
                <w:color w:val="auto"/>
                <w:szCs w:val="21"/>
                <w:highlight w:val="none"/>
              </w:rPr>
              <w:t xml:space="preserve">地址：横州镇柳明路022号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8.8</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响应文件份数</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b/>
                <w:color w:val="auto"/>
                <w:highlight w:val="none"/>
              </w:rPr>
              <w:t>磋商供应商请将首次报价文件、技术文件和商务文件合并装订成册，中间可用单独的页面隔开</w:t>
            </w:r>
            <w:r>
              <w:rPr>
                <w:rFonts w:hint="eastAsia" w:hAnsi="宋体" w:cs="宋体"/>
                <w:color w:val="auto"/>
                <w:highlight w:val="none"/>
              </w:rPr>
              <w:t>。正本1份，副本3份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11.4</w:t>
            </w:r>
          </w:p>
        </w:tc>
        <w:tc>
          <w:tcPr>
            <w:tcW w:w="2412" w:type="dxa"/>
            <w:noWrap w:val="0"/>
            <w:vAlign w:val="center"/>
          </w:tcPr>
          <w:p>
            <w:pPr>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cs="宋体"/>
                <w:color w:val="auto"/>
                <w:szCs w:val="20"/>
                <w:highlight w:val="none"/>
              </w:rPr>
            </w:pPr>
            <w:r>
              <w:rPr>
                <w:rFonts w:hint="eastAsia" w:ascii="宋体" w:hAnsi="宋体" w:cs="宋体"/>
                <w:color w:val="auto"/>
                <w:szCs w:val="20"/>
                <w:highlight w:val="none"/>
              </w:rPr>
              <w:t>采购代理服务费及缴纳服务费帐号</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jc w:val="left"/>
              <w:textAlignment w:val="auto"/>
              <w:rPr>
                <w:rFonts w:hint="eastAsia" w:hAnsi="宋体" w:cs="宋体"/>
                <w:bCs/>
                <w:color w:val="auto"/>
                <w:highlight w:val="none"/>
              </w:rPr>
            </w:pPr>
            <w:r>
              <w:rPr>
                <w:rFonts w:hint="eastAsia" w:hAnsi="宋体" w:cs="宋体"/>
                <w:bCs/>
                <w:color w:val="auto"/>
                <w:highlight w:val="none"/>
              </w:rPr>
              <w:t>（1）本项目代理服务费服务类型：</w:t>
            </w:r>
            <w:r>
              <w:rPr>
                <w:rFonts w:hint="eastAsia" w:hAnsi="宋体" w:cs="宋体"/>
                <w:color w:val="auto"/>
                <w:highlight w:val="none"/>
              </w:rPr>
              <w:t>服务招标</w:t>
            </w:r>
          </w:p>
          <w:p>
            <w:pPr>
              <w:keepNext w:val="0"/>
              <w:keepLines w:val="0"/>
              <w:pageBreakBefore w:val="0"/>
              <w:widowControl w:val="0"/>
              <w:kinsoku/>
              <w:wordWrap/>
              <w:overflowPunct/>
              <w:topLinePunct w:val="0"/>
              <w:bidi w:val="0"/>
              <w:snapToGrid/>
              <w:spacing w:line="340" w:lineRule="exact"/>
              <w:textAlignment w:val="auto"/>
              <w:rPr>
                <w:rFonts w:hint="eastAsia" w:ascii="宋体" w:hAnsi="宋体" w:cs="宋体"/>
                <w:bCs/>
                <w:color w:val="auto"/>
                <w:szCs w:val="21"/>
                <w:highlight w:val="none"/>
              </w:rPr>
            </w:pPr>
            <w:r>
              <w:rPr>
                <w:rFonts w:hint="eastAsia" w:ascii="宋体" w:hAnsi="宋体" w:cs="宋体"/>
                <w:bCs/>
                <w:color w:val="auto"/>
                <w:highlight w:val="none"/>
              </w:rPr>
              <w:t>（2）</w:t>
            </w:r>
            <w:r>
              <w:rPr>
                <w:rFonts w:hint="eastAsia" w:ascii="宋体" w:hAnsi="宋体" w:cs="宋体"/>
                <w:bCs/>
                <w:color w:val="auto"/>
                <w:szCs w:val="21"/>
                <w:highlight w:val="none"/>
              </w:rPr>
              <w:t>代理服务费收费标准：按国家发展计划委员会计价格[2002]1980号《招标代理服务费管理暂行办法》收费标准计算</w:t>
            </w:r>
          </w:p>
          <w:p>
            <w:pPr>
              <w:keepNext w:val="0"/>
              <w:keepLines w:val="0"/>
              <w:pageBreakBefore w:val="0"/>
              <w:widowControl w:val="0"/>
              <w:kinsoku/>
              <w:wordWrap/>
              <w:overflowPunct/>
              <w:topLinePunct w:val="0"/>
              <w:bidi w:val="0"/>
              <w:snapToGrid/>
              <w:spacing w:line="340" w:lineRule="exact"/>
              <w:textAlignment w:val="auto"/>
              <w:rPr>
                <w:rFonts w:hint="eastAsia" w:ascii="宋体" w:hAnsi="宋体" w:cs="宋体"/>
                <w:color w:val="auto"/>
                <w:highlight w:val="none"/>
              </w:rPr>
            </w:pPr>
            <w:r>
              <w:rPr>
                <w:rFonts w:hint="eastAsia" w:ascii="宋体" w:hAnsi="宋体" w:cs="宋体"/>
                <w:color w:val="auto"/>
                <w:szCs w:val="21"/>
                <w:highlight w:val="none"/>
              </w:rPr>
              <w:t>（3）签订合同前，成交人应向采购代理机构一次付清代理服务费，</w:t>
            </w:r>
            <w:r>
              <w:rPr>
                <w:rFonts w:hint="eastAsia" w:ascii="宋体" w:hAnsi="宋体" w:cs="宋体"/>
                <w:color w:val="auto"/>
                <w:highlight w:val="none"/>
              </w:rPr>
              <w:t>代理服务费请转入以下账户：</w:t>
            </w:r>
          </w:p>
          <w:p>
            <w:pPr>
              <w:pStyle w:val="13"/>
              <w:keepNext w:val="0"/>
              <w:keepLines w:val="0"/>
              <w:pageBreakBefore w:val="0"/>
              <w:widowControl w:val="0"/>
              <w:kinsoku/>
              <w:wordWrap/>
              <w:overflowPunct/>
              <w:topLinePunct w:val="0"/>
              <w:bidi w:val="0"/>
              <w:snapToGrid/>
              <w:spacing w:line="340" w:lineRule="exact"/>
              <w:ind w:left="420" w:leftChars="200"/>
              <w:textAlignment w:val="auto"/>
              <w:rPr>
                <w:rFonts w:hint="eastAsia" w:hAnsi="宋体" w:cs="宋体"/>
                <w:color w:val="auto"/>
                <w:highlight w:val="none"/>
              </w:rPr>
            </w:pPr>
            <w:r>
              <w:rPr>
                <w:rFonts w:hint="eastAsia" w:hAnsi="宋体" w:cs="宋体"/>
                <w:color w:val="auto"/>
                <w:highlight w:val="none"/>
              </w:rPr>
              <w:t>开户名称：广西科联招标中心有限公司</w:t>
            </w:r>
          </w:p>
          <w:p>
            <w:pPr>
              <w:pStyle w:val="13"/>
              <w:keepNext w:val="0"/>
              <w:keepLines w:val="0"/>
              <w:pageBreakBefore w:val="0"/>
              <w:widowControl w:val="0"/>
              <w:kinsoku/>
              <w:wordWrap/>
              <w:overflowPunct/>
              <w:topLinePunct w:val="0"/>
              <w:bidi w:val="0"/>
              <w:snapToGrid/>
              <w:spacing w:line="340" w:lineRule="exact"/>
              <w:ind w:left="420" w:leftChars="200"/>
              <w:textAlignment w:val="auto"/>
              <w:rPr>
                <w:rFonts w:hint="eastAsia" w:hAnsi="宋体" w:cs="宋体"/>
                <w:color w:val="auto"/>
                <w:highlight w:val="none"/>
              </w:rPr>
            </w:pPr>
            <w:r>
              <w:rPr>
                <w:rFonts w:hint="eastAsia" w:hAnsi="宋体" w:cs="宋体"/>
                <w:color w:val="auto"/>
                <w:highlight w:val="none"/>
              </w:rPr>
              <w:t>开户银行：中国工商银行南宁市甘蔗站支行</w:t>
            </w:r>
          </w:p>
          <w:p>
            <w:pPr>
              <w:pStyle w:val="13"/>
              <w:keepNext w:val="0"/>
              <w:keepLines w:val="0"/>
              <w:pageBreakBefore w:val="0"/>
              <w:widowControl w:val="0"/>
              <w:kinsoku/>
              <w:wordWrap/>
              <w:overflowPunct/>
              <w:topLinePunct w:val="0"/>
              <w:bidi w:val="0"/>
              <w:snapToGrid/>
              <w:spacing w:line="340" w:lineRule="exact"/>
              <w:ind w:left="420" w:leftChars="200"/>
              <w:textAlignment w:val="auto"/>
              <w:rPr>
                <w:rFonts w:hint="eastAsia" w:hAnsi="宋体" w:cs="宋体"/>
                <w:color w:val="auto"/>
                <w:highlight w:val="none"/>
              </w:rPr>
            </w:pPr>
            <w:r>
              <w:rPr>
                <w:rFonts w:hint="eastAsia" w:hAnsi="宋体" w:cs="宋体"/>
                <w:color w:val="auto"/>
                <w:highlight w:val="none"/>
              </w:rPr>
              <w:t>银行账号：2102111229300032105</w:t>
            </w:r>
          </w:p>
          <w:p>
            <w:pPr>
              <w:pStyle w:val="13"/>
              <w:keepNext w:val="0"/>
              <w:keepLines w:val="0"/>
              <w:pageBreakBefore w:val="0"/>
              <w:widowControl w:val="0"/>
              <w:kinsoku/>
              <w:wordWrap/>
              <w:overflowPunct/>
              <w:topLinePunct w:val="0"/>
              <w:bidi w:val="0"/>
              <w:snapToGrid/>
              <w:spacing w:line="340" w:lineRule="exact"/>
              <w:ind w:left="420" w:leftChars="200"/>
              <w:textAlignment w:val="auto"/>
              <w:rPr>
                <w:rFonts w:hint="eastAsia" w:hAnsi="宋体" w:cs="宋体"/>
                <w:color w:val="auto"/>
                <w:szCs w:val="21"/>
                <w:highlight w:val="none"/>
              </w:rPr>
            </w:pPr>
            <w:r>
              <w:rPr>
                <w:rFonts w:hint="eastAsia" w:hAnsi="宋体" w:cs="宋体"/>
                <w:color w:val="auto"/>
                <w:highlight w:val="none"/>
              </w:rPr>
              <w:t>注：如果转账时银行系统未显示出“中国工商银行南宁市甘蔗站支行”，可选择“中国工商银行南宁高新技术产业开发区支行”，开户名称、银行账号不变。</w:t>
            </w:r>
          </w:p>
          <w:p>
            <w:pPr>
              <w:pStyle w:val="13"/>
              <w:keepNext w:val="0"/>
              <w:keepLines w:val="0"/>
              <w:pageBreakBefore w:val="0"/>
              <w:widowControl w:val="0"/>
              <w:kinsoku/>
              <w:wordWrap/>
              <w:overflowPunct/>
              <w:topLinePunct w:val="0"/>
              <w:bidi w:val="0"/>
              <w:snapToGrid/>
              <w:spacing w:line="340" w:lineRule="exact"/>
              <w:textAlignment w:val="auto"/>
              <w:outlineLvl w:val="1"/>
              <w:rPr>
                <w:rFonts w:hint="eastAsia" w:hAnsi="宋体" w:cs="宋体"/>
                <w:color w:val="auto"/>
                <w:highlight w:val="none"/>
              </w:rPr>
            </w:pPr>
            <w:bookmarkStart w:id="76" w:name="_Toc750"/>
            <w:bookmarkStart w:id="77" w:name="_Toc31414"/>
            <w:r>
              <w:rPr>
                <w:rFonts w:hint="eastAsia" w:hAnsi="宋体" w:cs="宋体"/>
                <w:color w:val="auto"/>
                <w:szCs w:val="21"/>
                <w:highlight w:val="none"/>
              </w:rPr>
              <w:t>（4）广西科联招标中心有限公司财务电话：0771-2203986</w:t>
            </w:r>
            <w:bookmarkEnd w:id="76"/>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12.1</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磋商有效期</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color w:val="auto"/>
                <w:highlight w:val="none"/>
              </w:rPr>
              <w:t>自递交响应文件截止时间起60天</w:t>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13.1</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磋商保证金金额</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color w:val="auto"/>
                <w:highlight w:val="none"/>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14.1</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递交响应文件截止时间</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color w:val="auto"/>
                <w:szCs w:val="21"/>
                <w:highlight w:val="none"/>
              </w:rPr>
              <w:t>2021年</w:t>
            </w:r>
            <w:r>
              <w:rPr>
                <w:rFonts w:hint="eastAsia" w:hAnsi="宋体" w:cs="宋体"/>
                <w:color w:val="auto"/>
                <w:szCs w:val="21"/>
                <w:highlight w:val="none"/>
                <w:lang w:val="en-US" w:eastAsia="zh-CN"/>
              </w:rPr>
              <w:t>10</w:t>
            </w:r>
            <w:r>
              <w:rPr>
                <w:rFonts w:hint="eastAsia" w:hAnsi="宋体" w:cs="宋体"/>
                <w:color w:val="auto"/>
                <w:szCs w:val="21"/>
                <w:highlight w:val="none"/>
                <w:lang w:eastAsia="zh-CN"/>
              </w:rPr>
              <w:t>月</w:t>
            </w:r>
            <w:r>
              <w:rPr>
                <w:rFonts w:hint="eastAsia" w:hAnsi="宋体" w:cs="宋体"/>
                <w:color w:val="auto"/>
                <w:szCs w:val="21"/>
                <w:highlight w:val="none"/>
                <w:lang w:val="en-US" w:eastAsia="zh-CN"/>
              </w:rPr>
              <w:t>15</w:t>
            </w:r>
            <w:r>
              <w:rPr>
                <w:rFonts w:hint="eastAsia" w:hAnsi="宋体" w:cs="宋体"/>
                <w:color w:val="auto"/>
                <w:szCs w:val="21"/>
                <w:highlight w:val="none"/>
                <w:lang w:eastAsia="zh-CN"/>
              </w:rPr>
              <w:t>日</w:t>
            </w:r>
            <w:r>
              <w:rPr>
                <w:rFonts w:hint="eastAsia" w:hAnsi="宋体" w:cs="宋体"/>
                <w:color w:val="auto"/>
                <w:szCs w:val="21"/>
                <w:highlight w:val="none"/>
                <w:lang w:val="en-US" w:eastAsia="zh-CN"/>
              </w:rPr>
              <w:t>15</w:t>
            </w:r>
            <w:r>
              <w:rPr>
                <w:rFonts w:hint="eastAsia" w:hAnsi="宋体" w:cs="宋体"/>
                <w:color w:val="auto"/>
                <w:szCs w:val="21"/>
                <w:highlight w:val="none"/>
              </w:rPr>
              <w:t>时</w:t>
            </w:r>
            <w:r>
              <w:rPr>
                <w:rFonts w:hint="eastAsia" w:hAnsi="宋体" w:cs="宋体"/>
                <w:color w:val="auto"/>
                <w:szCs w:val="21"/>
                <w:highlight w:val="none"/>
                <w:lang w:val="en-US" w:eastAsia="zh-CN"/>
              </w:rPr>
              <w:t>00</w:t>
            </w:r>
            <w:r>
              <w:rPr>
                <w:rFonts w:hint="eastAsia"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14.2</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递交响应文件地点</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eastAsia="宋体" w:cs="宋体"/>
                <w:color w:val="auto"/>
                <w:highlight w:val="none"/>
                <w:lang w:eastAsia="zh-CN"/>
              </w:rPr>
            </w:pPr>
            <w:r>
              <w:rPr>
                <w:rFonts w:hint="eastAsia" w:hAnsi="宋体" w:cs="宋体"/>
                <w:color w:val="auto"/>
                <w:szCs w:val="24"/>
                <w:highlight w:val="none"/>
              </w:rPr>
              <w:t>与第一章公告的递交投标文件地点一致</w:t>
            </w:r>
            <w:r>
              <w:rPr>
                <w:rFonts w:hint="eastAsia" w:hAnsi="宋体" w:cs="宋体"/>
                <w:color w:val="auto"/>
                <w:szCs w:val="24"/>
                <w:highlight w:val="none"/>
                <w:lang w:eastAsia="zh-CN"/>
              </w:rPr>
              <w:t>（</w:t>
            </w:r>
            <w:r>
              <w:rPr>
                <w:rFonts w:hint="eastAsia" w:hAnsi="宋体" w:cs="宋体"/>
                <w:color w:val="auto"/>
                <w:szCs w:val="24"/>
                <w:highlight w:val="none"/>
                <w:lang w:val="en-US" w:eastAsia="zh-CN"/>
              </w:rPr>
              <w:t>可邮寄</w:t>
            </w:r>
            <w:r>
              <w:rPr>
                <w:rFonts w:hint="eastAsia" w:hAnsi="宋体" w:cs="宋体"/>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15.3</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递交磋商样品截止时间</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szCs w:val="24"/>
                <w:highlight w:val="none"/>
              </w:rPr>
            </w:pPr>
            <w:r>
              <w:rPr>
                <w:rFonts w:hint="eastAsia" w:hAnsi="宋体" w:cs="宋体"/>
                <w:color w:val="auto"/>
                <w:highlight w:val="none"/>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15.4</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递交磋商样品地点</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szCs w:val="24"/>
                <w:highlight w:val="none"/>
              </w:rPr>
            </w:pPr>
            <w:r>
              <w:rPr>
                <w:rFonts w:hint="eastAsia" w:hAnsi="宋体" w:cs="宋体"/>
                <w:color w:val="auto"/>
                <w:highlight w:val="none"/>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adjustRightInd w:val="0"/>
              <w:snapToGrid/>
              <w:spacing w:line="340" w:lineRule="exact"/>
              <w:jc w:val="center"/>
              <w:textAlignment w:val="auto"/>
              <w:rPr>
                <w:rFonts w:hint="eastAsia" w:hAnsi="宋体" w:cs="宋体"/>
                <w:color w:val="auto"/>
                <w:szCs w:val="21"/>
                <w:highlight w:val="none"/>
              </w:rPr>
            </w:pPr>
            <w:r>
              <w:rPr>
                <w:rFonts w:hint="eastAsia" w:hAnsi="宋体" w:cs="宋体"/>
                <w:color w:val="auto"/>
                <w:szCs w:val="21"/>
                <w:highlight w:val="none"/>
              </w:rPr>
              <w:t>17.4.8</w:t>
            </w:r>
          </w:p>
        </w:tc>
        <w:tc>
          <w:tcPr>
            <w:tcW w:w="2412" w:type="dxa"/>
            <w:noWrap w:val="0"/>
            <w:vAlign w:val="center"/>
          </w:tcPr>
          <w:p>
            <w:pPr>
              <w:keepNext w:val="0"/>
              <w:keepLines w:val="0"/>
              <w:pageBreakBefore w:val="0"/>
              <w:widowControl w:val="0"/>
              <w:kinsoku/>
              <w:wordWrap/>
              <w:overflowPunct/>
              <w:topLinePunct w:val="0"/>
              <w:bidi w:val="0"/>
              <w:adjustRightInd w:val="0"/>
              <w:snapToGrid/>
              <w:spacing w:line="340" w:lineRule="exact"/>
              <w:jc w:val="center"/>
              <w:textAlignment w:val="auto"/>
              <w:rPr>
                <w:rFonts w:hint="eastAsia" w:ascii="宋体" w:hAnsi="宋体" w:cs="宋体"/>
                <w:color w:val="auto"/>
                <w:kern w:val="0"/>
                <w:highlight w:val="none"/>
              </w:rPr>
            </w:pPr>
            <w:r>
              <w:rPr>
                <w:rFonts w:hint="eastAsia" w:ascii="宋体" w:hAnsi="宋体" w:cs="宋体"/>
                <w:color w:val="auto"/>
                <w:kern w:val="0"/>
                <w:highlight w:val="none"/>
              </w:rPr>
              <w:t>磋商谈判地点</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color w:val="auto"/>
                <w:highlight w:val="none"/>
              </w:rPr>
              <w:t>磋商时间：开标结束后（具体时间另行通知）</w:t>
            </w:r>
            <w:r>
              <w:rPr>
                <w:rFonts w:hint="eastAsia" w:hAnsi="宋体" w:cs="宋体"/>
                <w:color w:val="auto"/>
                <w:szCs w:val="21"/>
                <w:highlight w:val="none"/>
              </w:rPr>
              <w:t>。</w:t>
            </w:r>
          </w:p>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color w:val="auto"/>
                <w:highlight w:val="none"/>
              </w:rPr>
              <w:t>磋商采用</w:t>
            </w:r>
            <w:r>
              <w:rPr>
                <w:rFonts w:hint="eastAsia" w:hAnsi="宋体" w:cs="宋体"/>
                <w:color w:val="auto"/>
                <w:highlight w:val="none"/>
              </w:rPr>
              <w:t>电子邮件、传真或其他书面形式</w:t>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adjustRightInd w:val="0"/>
              <w:snapToGrid/>
              <w:spacing w:line="340" w:lineRule="exact"/>
              <w:jc w:val="center"/>
              <w:textAlignment w:val="auto"/>
              <w:rPr>
                <w:rFonts w:hint="eastAsia" w:hAnsi="宋体" w:cs="宋体"/>
                <w:color w:val="auto"/>
                <w:szCs w:val="21"/>
                <w:highlight w:val="none"/>
              </w:rPr>
            </w:pPr>
            <w:r>
              <w:rPr>
                <w:rFonts w:hint="eastAsia" w:hAnsi="宋体" w:cs="宋体"/>
                <w:color w:val="auto"/>
                <w:szCs w:val="21"/>
                <w:highlight w:val="none"/>
              </w:rPr>
              <w:t>26.1</w:t>
            </w:r>
          </w:p>
        </w:tc>
        <w:tc>
          <w:tcPr>
            <w:tcW w:w="241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s="宋体"/>
                <w:color w:val="auto"/>
                <w:kern w:val="0"/>
                <w:highlight w:val="none"/>
              </w:rPr>
            </w:pPr>
            <w:r>
              <w:rPr>
                <w:rFonts w:hint="eastAsia" w:ascii="宋体" w:hAnsi="宋体" w:cs="宋体"/>
                <w:color w:val="auto"/>
                <w:kern w:val="0"/>
                <w:highlight w:val="none"/>
              </w:rPr>
              <w:t>履约保证金金额</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color w:val="auto"/>
                <w:highlight w:val="none"/>
              </w:rPr>
            </w:pPr>
            <w:r>
              <w:rPr>
                <w:rFonts w:hint="eastAsia" w:hAnsi="宋体" w:cs="宋体"/>
                <w:color w:val="auto"/>
                <w:szCs w:val="21"/>
                <w:highlight w:val="none"/>
              </w:rPr>
              <w:t>本项目不收取</w:t>
            </w:r>
            <w:r>
              <w:rPr>
                <w:rFonts w:hint="eastAsia" w:hAnsi="宋体" w:cs="宋体"/>
                <w:color w:val="auto"/>
                <w:kern w:val="0"/>
                <w:highlight w:val="none"/>
              </w:rPr>
              <w:t>履约保证金</w:t>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3" w:type="dxa"/>
            <w:noWrap w:val="0"/>
            <w:vAlign w:val="center"/>
          </w:tcPr>
          <w:p>
            <w:pPr>
              <w:pStyle w:val="13"/>
              <w:keepNext w:val="0"/>
              <w:keepLines w:val="0"/>
              <w:pageBreakBefore w:val="0"/>
              <w:widowControl w:val="0"/>
              <w:kinsoku/>
              <w:wordWrap/>
              <w:overflowPunct/>
              <w:topLinePunct w:val="0"/>
              <w:bidi w:val="0"/>
              <w:adjustRightInd w:val="0"/>
              <w:snapToGrid/>
              <w:spacing w:line="340" w:lineRule="exact"/>
              <w:jc w:val="center"/>
              <w:textAlignment w:val="auto"/>
              <w:rPr>
                <w:rFonts w:hint="eastAsia" w:hAnsi="宋体" w:cs="宋体"/>
                <w:color w:val="auto"/>
                <w:szCs w:val="21"/>
                <w:highlight w:val="none"/>
              </w:rPr>
            </w:pPr>
            <w:r>
              <w:rPr>
                <w:rFonts w:hint="eastAsia" w:hAnsi="宋体" w:cs="宋体"/>
                <w:color w:val="auto"/>
                <w:highlight w:val="none"/>
              </w:rPr>
              <w:t>28.1</w:t>
            </w:r>
          </w:p>
        </w:tc>
        <w:tc>
          <w:tcPr>
            <w:tcW w:w="2412" w:type="dxa"/>
            <w:noWrap w:val="0"/>
            <w:vAlign w:val="center"/>
          </w:tcPr>
          <w:p>
            <w:pPr>
              <w:pStyle w:val="13"/>
              <w:keepNext w:val="0"/>
              <w:keepLines w:val="0"/>
              <w:pageBreakBefore w:val="0"/>
              <w:widowControl w:val="0"/>
              <w:kinsoku/>
              <w:wordWrap/>
              <w:overflowPunct/>
              <w:topLinePunct w:val="0"/>
              <w:bidi w:val="0"/>
              <w:snapToGrid/>
              <w:spacing w:line="340" w:lineRule="exact"/>
              <w:jc w:val="center"/>
              <w:textAlignment w:val="auto"/>
              <w:rPr>
                <w:rFonts w:hint="eastAsia" w:hAnsi="宋体" w:cs="宋体"/>
                <w:color w:val="auto"/>
                <w:highlight w:val="none"/>
              </w:rPr>
            </w:pPr>
            <w:r>
              <w:rPr>
                <w:rFonts w:hint="eastAsia" w:hAnsi="宋体" w:cs="宋体"/>
                <w:color w:val="auto"/>
                <w:highlight w:val="none"/>
              </w:rPr>
              <w:t>需要补充的其他内容</w:t>
            </w:r>
          </w:p>
        </w:tc>
        <w:tc>
          <w:tcPr>
            <w:tcW w:w="6641" w:type="dxa"/>
            <w:noWrap w:val="0"/>
            <w:vAlign w:val="center"/>
          </w:tcPr>
          <w:p>
            <w:pPr>
              <w:pStyle w:val="13"/>
              <w:keepNext w:val="0"/>
              <w:keepLines w:val="0"/>
              <w:pageBreakBefore w:val="0"/>
              <w:widowControl w:val="0"/>
              <w:kinsoku/>
              <w:wordWrap/>
              <w:overflowPunct/>
              <w:topLinePunct w:val="0"/>
              <w:bidi w:val="0"/>
              <w:snapToGrid/>
              <w:spacing w:line="340" w:lineRule="exact"/>
              <w:textAlignment w:val="auto"/>
              <w:rPr>
                <w:rFonts w:hint="eastAsia" w:hAnsi="宋体" w:cs="宋体"/>
                <w:b/>
                <w:color w:val="auto"/>
                <w:highlight w:val="none"/>
              </w:rPr>
            </w:pPr>
            <w:r>
              <w:rPr>
                <w:rFonts w:hint="eastAsia" w:hAnsi="宋体" w:cs="宋体"/>
                <w:b/>
                <w:color w:val="auto"/>
                <w:highlight w:val="none"/>
              </w:rPr>
              <w:t>1.磋商供应商递交响应文件时，请同时单独递交“磋商供应商信息表”</w:t>
            </w:r>
            <w:r>
              <w:rPr>
                <w:rFonts w:hint="eastAsia" w:hAnsi="宋体" w:cs="宋体"/>
                <w:b/>
                <w:color w:val="auto"/>
                <w:spacing w:val="-11"/>
                <w:highlight w:val="none"/>
              </w:rPr>
              <w:t>（按第五章“响应文件格式”提供的“磋商供应商信息表” 的要求填写）。</w:t>
            </w:r>
          </w:p>
          <w:p>
            <w:pPr>
              <w:keepNext w:val="0"/>
              <w:keepLines w:val="0"/>
              <w:pageBreakBefore w:val="0"/>
              <w:widowControl w:val="0"/>
              <w:kinsoku/>
              <w:wordWrap/>
              <w:overflowPunct/>
              <w:topLinePunct w:val="0"/>
              <w:bidi w:val="0"/>
              <w:snapToGrid/>
              <w:spacing w:line="340" w:lineRule="exact"/>
              <w:textAlignment w:val="auto"/>
              <w:rPr>
                <w:rFonts w:hint="eastAsia" w:ascii="宋体" w:hAnsi="Courier New"/>
                <w:color w:val="auto"/>
                <w:highlight w:val="none"/>
              </w:rPr>
            </w:pPr>
            <w:r>
              <w:rPr>
                <w:rFonts w:hint="eastAsia" w:ascii="宋体" w:hAnsi="Courier New"/>
                <w:color w:val="auto"/>
                <w:highlight w:val="none"/>
              </w:rPr>
              <w:t>2.本采购文件中描述供应商的“公章”是指根据我国对公章的管理规定，用供应商法定主体行为名称制作的印章，除本采购文件有特殊规定外，供应商的财务章、部门章、分公司章、工会章、合同章、投标专用章、业务专用章及银行的转账章、现金收讫章、现金付讫章等其他形式印章均不能代替公章。</w:t>
            </w:r>
          </w:p>
          <w:p>
            <w:pPr>
              <w:keepNext w:val="0"/>
              <w:keepLines w:val="0"/>
              <w:pageBreakBefore w:val="0"/>
              <w:widowControl w:val="0"/>
              <w:kinsoku/>
              <w:wordWrap/>
              <w:overflowPunct/>
              <w:topLinePunct w:val="0"/>
              <w:bidi w:val="0"/>
              <w:snapToGrid/>
              <w:spacing w:line="340" w:lineRule="exact"/>
              <w:textAlignment w:val="auto"/>
              <w:rPr>
                <w:rFonts w:hint="eastAsia" w:ascii="宋体" w:hAnsi="Courier New"/>
                <w:color w:val="auto"/>
                <w:highlight w:val="none"/>
              </w:rPr>
            </w:pPr>
            <w:r>
              <w:rPr>
                <w:rFonts w:hint="eastAsia" w:ascii="宋体" w:hAnsi="Courier New"/>
                <w:color w:val="auto"/>
                <w:highlight w:val="none"/>
              </w:rPr>
              <w:t>3.供应商为其他组织或者自然人时，本采购文件规定的法定代表人指负责人或者自然人。本采购文件所称负责人是指参加磋商的其他组织营业执照上的负责人，本采购文件所称自然人指参与磋商的自然人本人。</w:t>
            </w:r>
          </w:p>
          <w:p>
            <w:pPr>
              <w:keepNext w:val="0"/>
              <w:keepLines w:val="0"/>
              <w:pageBreakBefore w:val="0"/>
              <w:widowControl w:val="0"/>
              <w:kinsoku/>
              <w:wordWrap/>
              <w:overflowPunct/>
              <w:topLinePunct w:val="0"/>
              <w:bidi w:val="0"/>
              <w:snapToGrid/>
              <w:spacing w:line="340" w:lineRule="exact"/>
              <w:textAlignment w:val="auto"/>
              <w:rPr>
                <w:rFonts w:hint="eastAsia" w:ascii="宋体" w:hAnsi="Courier New"/>
                <w:color w:val="auto"/>
                <w:highlight w:val="none"/>
              </w:rPr>
            </w:pPr>
            <w:r>
              <w:rPr>
                <w:rFonts w:hint="eastAsia" w:ascii="宋体" w:hAnsi="Courier New"/>
                <w:color w:val="auto"/>
                <w:highlight w:val="none"/>
              </w:rPr>
              <w:t>4.本采购文件中描述供应商的“签字”是指供应商的法定代表人或者其委托代理人亲自在文件规定签署处亲笔写上个人的名字的行为，私章、签字章、印鉴、影印等其他形式均不能代替亲笔签字。</w:t>
            </w:r>
          </w:p>
          <w:p>
            <w:pPr>
              <w:keepNext w:val="0"/>
              <w:keepLines w:val="0"/>
              <w:pageBreakBefore w:val="0"/>
              <w:widowControl w:val="0"/>
              <w:kinsoku/>
              <w:wordWrap/>
              <w:overflowPunct/>
              <w:topLinePunct w:val="0"/>
              <w:bidi w:val="0"/>
              <w:snapToGrid/>
              <w:spacing w:line="340" w:lineRule="exact"/>
              <w:textAlignment w:val="auto"/>
              <w:rPr>
                <w:rFonts w:hint="eastAsia" w:ascii="宋体" w:hAnsi="Courier New"/>
                <w:color w:val="auto"/>
                <w:highlight w:val="none"/>
              </w:rPr>
            </w:pPr>
            <w:r>
              <w:rPr>
                <w:rFonts w:hint="eastAsia" w:ascii="宋体" w:hAnsi="Courier New"/>
                <w:color w:val="auto"/>
                <w:highlight w:val="none"/>
              </w:rPr>
              <w:t>5.自然人参加磋商的，采购文件规定盖公章处由自然人摁手指指印。</w:t>
            </w:r>
          </w:p>
          <w:p>
            <w:pPr>
              <w:keepNext w:val="0"/>
              <w:keepLines w:val="0"/>
              <w:pageBreakBefore w:val="0"/>
              <w:widowControl w:val="0"/>
              <w:kinsoku/>
              <w:wordWrap/>
              <w:overflowPunct/>
              <w:topLinePunct w:val="0"/>
              <w:bidi w:val="0"/>
              <w:snapToGrid/>
              <w:spacing w:line="340" w:lineRule="exact"/>
              <w:textAlignment w:val="auto"/>
              <w:rPr>
                <w:rFonts w:hint="eastAsia" w:ascii="宋体" w:hAnsi="宋体" w:cs="宋体"/>
                <w:b/>
                <w:color w:val="auto"/>
                <w:highlight w:val="none"/>
              </w:rPr>
            </w:pPr>
            <w:r>
              <w:rPr>
                <w:rFonts w:hint="eastAsia" w:ascii="宋体" w:hAnsi="Courier New"/>
                <w:color w:val="auto"/>
                <w:highlight w:val="none"/>
              </w:rPr>
              <w:t>6.本采购文件所称的“以上”“以下”“以内”“届满”，包括本数；所称的“不满”“超过”“以外”，不包括本数。</w:t>
            </w:r>
          </w:p>
        </w:tc>
      </w:tr>
    </w:tbl>
    <w:p>
      <w:pPr>
        <w:pStyle w:val="13"/>
        <w:jc w:val="center"/>
        <w:outlineLvl w:val="1"/>
        <w:rPr>
          <w:rFonts w:hint="eastAsia" w:hAnsi="宋体" w:cs="宋体"/>
          <w:b/>
          <w:color w:val="auto"/>
          <w:sz w:val="28"/>
          <w:szCs w:val="28"/>
          <w:highlight w:val="none"/>
        </w:rPr>
      </w:pPr>
      <w:r>
        <w:rPr>
          <w:rFonts w:hint="eastAsia" w:hAnsi="宋体" w:cs="宋体"/>
          <w:color w:val="auto"/>
          <w:sz w:val="28"/>
          <w:szCs w:val="28"/>
          <w:highlight w:val="none"/>
        </w:rPr>
        <w:br w:type="page"/>
      </w:r>
      <w:bookmarkStart w:id="78" w:name="_Toc22403"/>
      <w:bookmarkStart w:id="79" w:name="_Toc4802"/>
      <w:r>
        <w:rPr>
          <w:rFonts w:hint="eastAsia" w:hAnsi="宋体" w:cs="宋体"/>
          <w:b/>
          <w:color w:val="auto"/>
          <w:sz w:val="30"/>
          <w:szCs w:val="30"/>
          <w:highlight w:val="none"/>
        </w:rPr>
        <w:t>一    总则</w:t>
      </w:r>
      <w:bookmarkEnd w:id="78"/>
      <w:bookmarkEnd w:id="79"/>
    </w:p>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1. 项目概况</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1.1  采购人：见磋商供应商须知前附表。</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1.2  采购代理机构：见磋商供应商须知前附表。</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1.3  项目名称：见磋商供应商须知前附表。</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1.4  项目编号：见磋商供应商须知前附表。</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1.5  采购预算：见磋商供应商须知前附表。</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1.6  资金来源：政府财政性资金。</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1.7  获取竞争性磋商采购文件、时间、地点，磋商要求：见磋商供应商须知前附表。</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1.8  落实的政府采购政策：见磋商供应商须知前附表。</w:t>
      </w:r>
    </w:p>
    <w:p>
      <w:pPr>
        <w:spacing w:line="400" w:lineRule="exact"/>
        <w:rPr>
          <w:rFonts w:hint="eastAsia" w:ascii="宋体" w:hAnsi="宋体" w:cs="宋体"/>
          <w:b/>
          <w:color w:val="auto"/>
          <w:szCs w:val="21"/>
          <w:highlight w:val="none"/>
        </w:rPr>
      </w:pPr>
      <w:r>
        <w:rPr>
          <w:rFonts w:hint="eastAsia" w:ascii="宋体" w:hAnsi="宋体" w:cs="宋体"/>
          <w:b/>
          <w:color w:val="auto"/>
          <w:sz w:val="24"/>
          <w:highlight w:val="none"/>
        </w:rPr>
        <w:t>2. 政府采购信息发布媒体</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2.1  与本项目相关的政府采购业务信息（包括竞争性磋商采购公告、成交公告及其更正事项等）将在以下媒体上发布：http://www.ccgp.gov.cn/（中国政府采购网）、http://www.ccgp-guangxi.gov.cn/ (广西壮族自治区政府采购网)、https://www.nnggzy.org.cn/gxhxzbw//（</w:t>
      </w:r>
      <w:r>
        <w:rPr>
          <w:rFonts w:hint="eastAsia" w:hAnsi="宋体" w:cs="宋体"/>
          <w:color w:val="auto"/>
          <w:szCs w:val="21"/>
          <w:highlight w:val="none"/>
          <w:lang w:val="en-US" w:eastAsia="zh-CN"/>
        </w:rPr>
        <w:t>横州</w:t>
      </w:r>
      <w:r>
        <w:rPr>
          <w:rFonts w:hint="eastAsia" w:hAnsi="宋体" w:cs="宋体"/>
          <w:color w:val="auto"/>
          <w:szCs w:val="21"/>
          <w:highlight w:val="none"/>
        </w:rPr>
        <w:t>市公共资源交易中心网）。</w:t>
      </w:r>
    </w:p>
    <w:p>
      <w:pPr>
        <w:spacing w:line="400" w:lineRule="exact"/>
        <w:rPr>
          <w:rFonts w:hint="eastAsia" w:ascii="宋体" w:hAnsi="宋体" w:cs="宋体"/>
          <w:b/>
          <w:color w:val="auto"/>
          <w:szCs w:val="21"/>
          <w:highlight w:val="none"/>
        </w:rPr>
      </w:pPr>
      <w:r>
        <w:rPr>
          <w:rFonts w:hint="eastAsia" w:ascii="宋体" w:hAnsi="宋体" w:cs="宋体"/>
          <w:b/>
          <w:color w:val="auto"/>
          <w:sz w:val="24"/>
          <w:highlight w:val="none"/>
        </w:rPr>
        <w:t>3. 竞争性磋商供应商资格要求</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3.1  磋商供应商应符合《中华人民共和国政府采购法》第二十二条规定的下列条件：</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（1）具有独立承担民事责任的能力；</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（2）具有良好的商业信誉和健全的财务会计制度；</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（3）具有履行合同所必需的设备和专业技术能力；</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（4）有依法缴纳税收和社会保障资金的良好记录；</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（5）参加政府采购活动前三年内，在经营活动中没有重大违法记录；</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（6）法律、行政法规规定的其他条件。</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3.2  针对本项目，磋商供应商应具备的特定条件：见磋商供应商须知前附表。</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3.3在“信用中国”网站(www.creditchina.gov.cn)和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color w:val="auto"/>
          <w:szCs w:val="21"/>
          <w:highlight w:val="none"/>
        </w:rPr>
        <w:t>3.5  磋商供应商须知前附表如规定接受联合体磋商的，则两个以上供应商可以组成一个磋商联合体，以一个磋商供应商的身份共同参加磋商。以联合体形式参加磋商的，联合体各方均应当符合本章第3.1项的要求，至少应当有一方符合本章第3.2项的要求；联合体各方应签订共同磋商协议，明确联合体各方承担的工作和相应的责任，并将共同磋商协议连同响应文件一并提交采购代理机构；联合体中有同类资质的供应商按照联合体分工承担相同工作的，应当按照资质等级较低的磋商供应商确定资质等级；联合体各方不得再以自己名义单独或组成新的联合体参加同一项目同一分标磋商，否则与之相关的响应文件作废；联合体的业绩和信誉按联合体磋商协议书中的分工对应相应的业绩和信誉计算。联合体各方均没有在“信用中国”网站(www.creditchina.gov.cn)和中国政府采购网（www.ccgp.gov.cn）被列入失信被执行人、重大税收违法案件当事人名单、政府采购严重违法失信行为记录名单，同时均是符合《中华人民共和国政府采购法》第二十二条规定条件的供应商。</w:t>
      </w:r>
    </w:p>
    <w:p>
      <w:pPr>
        <w:spacing w:line="400" w:lineRule="exact"/>
        <w:rPr>
          <w:rFonts w:hint="eastAsia" w:ascii="宋体" w:hAnsi="宋体" w:cs="宋体"/>
          <w:bCs/>
          <w:color w:val="auto"/>
          <w:szCs w:val="21"/>
          <w:highlight w:val="none"/>
        </w:rPr>
      </w:pPr>
      <w:r>
        <w:rPr>
          <w:rFonts w:hint="eastAsia" w:ascii="宋体" w:hAnsi="宋体" w:cs="宋体"/>
          <w:b/>
          <w:color w:val="auto"/>
          <w:sz w:val="24"/>
          <w:highlight w:val="none"/>
        </w:rPr>
        <w:t>4. 质疑</w:t>
      </w:r>
    </w:p>
    <w:p>
      <w:pPr>
        <w:pStyle w:val="13"/>
        <w:spacing w:line="440" w:lineRule="exact"/>
        <w:ind w:left="2" w:leftChars="1" w:firstLine="420" w:firstLineChars="200"/>
        <w:jc w:val="left"/>
        <w:rPr>
          <w:rFonts w:hint="eastAsia" w:hAnsi="宋体" w:cs="宋体"/>
          <w:color w:val="auto"/>
          <w:szCs w:val="21"/>
          <w:highlight w:val="none"/>
        </w:rPr>
      </w:pPr>
      <w:r>
        <w:rPr>
          <w:rFonts w:hint="eastAsia" w:hAnsi="宋体" w:cs="宋体"/>
          <w:bCs/>
          <w:color w:val="auto"/>
          <w:highlight w:val="none"/>
        </w:rPr>
        <w:t>4.1  供应商</w:t>
      </w:r>
      <w:r>
        <w:rPr>
          <w:rFonts w:hint="eastAsia" w:hAnsi="宋体" w:cs="宋体"/>
          <w:color w:val="auto"/>
          <w:szCs w:val="21"/>
          <w:highlight w:val="none"/>
        </w:rPr>
        <w:t>对政府采购活动事项有疑问的，可以向采购人或</w:t>
      </w:r>
      <w:r>
        <w:rPr>
          <w:rFonts w:hint="eastAsia" w:hAnsi="宋体" w:cs="宋体"/>
          <w:bCs/>
          <w:color w:val="auto"/>
          <w:highlight w:val="none"/>
        </w:rPr>
        <w:t>采购代理机构提出询问</w:t>
      </w:r>
      <w:r>
        <w:rPr>
          <w:rFonts w:hint="eastAsia" w:hAnsi="宋体" w:cs="宋体"/>
          <w:color w:val="auto"/>
          <w:szCs w:val="21"/>
          <w:highlight w:val="none"/>
        </w:rPr>
        <w:t>；</w:t>
      </w:r>
    </w:p>
    <w:p>
      <w:pPr>
        <w:pStyle w:val="13"/>
        <w:spacing w:line="440" w:lineRule="exact"/>
        <w:ind w:left="2" w:leftChars="1" w:firstLine="420" w:firstLineChars="200"/>
        <w:jc w:val="left"/>
        <w:rPr>
          <w:rFonts w:hint="eastAsia" w:hAnsi="宋体" w:cs="宋体"/>
          <w:bCs/>
          <w:color w:val="auto"/>
          <w:highlight w:val="none"/>
        </w:rPr>
      </w:pPr>
      <w:r>
        <w:rPr>
          <w:rFonts w:hint="eastAsia" w:hAnsi="宋体" w:cs="宋体"/>
          <w:color w:val="auto"/>
          <w:szCs w:val="21"/>
          <w:highlight w:val="none"/>
        </w:rPr>
        <w:t xml:space="preserve">4.2  </w:t>
      </w:r>
      <w:r>
        <w:rPr>
          <w:rFonts w:hint="eastAsia" w:hAnsi="宋体" w:cs="宋体"/>
          <w:bCs/>
          <w:color w:val="auto"/>
          <w:highlight w:val="none"/>
        </w:rPr>
        <w:t>供应商认为</w:t>
      </w:r>
      <w:r>
        <w:rPr>
          <w:rFonts w:hint="eastAsia" w:hAnsi="宋体" w:cs="宋体"/>
          <w:color w:val="auto"/>
          <w:szCs w:val="21"/>
          <w:highlight w:val="none"/>
        </w:rPr>
        <w:t>竞争性磋商采购文件、</w:t>
      </w:r>
      <w:r>
        <w:rPr>
          <w:rFonts w:hint="eastAsia" w:hAnsi="宋体" w:cs="宋体"/>
          <w:color w:val="auto"/>
          <w:highlight w:val="none"/>
        </w:rPr>
        <w:t>采购过程和成交结果使自己的权益受到损害的，可</w:t>
      </w:r>
      <w:r>
        <w:rPr>
          <w:rFonts w:hint="eastAsia" w:hAnsi="宋体" w:cs="宋体"/>
          <w:bCs/>
          <w:color w:val="auto"/>
          <w:highlight w:val="none"/>
        </w:rPr>
        <w:t>以</w:t>
      </w:r>
      <w:r>
        <w:rPr>
          <w:rFonts w:hint="eastAsia" w:hAnsi="宋体" w:cs="宋体"/>
          <w:color w:val="auto"/>
          <w:highlight w:val="none"/>
        </w:rPr>
        <w:t>在知道或者应知其权益受到损害之日起七个工作日内，以书面形式向采购人委托的采购代理机构质疑。质疑书的提交地点和质疑受理电话见磋商供应商须知前附表。</w:t>
      </w:r>
    </w:p>
    <w:p>
      <w:pPr>
        <w:pStyle w:val="13"/>
        <w:spacing w:line="440" w:lineRule="exact"/>
        <w:ind w:left="2" w:leftChars="1" w:firstLine="420" w:firstLineChars="200"/>
        <w:jc w:val="left"/>
        <w:rPr>
          <w:rFonts w:hint="eastAsia" w:hAnsi="宋体" w:cs="宋体"/>
          <w:bCs/>
          <w:color w:val="auto"/>
          <w:highlight w:val="none"/>
        </w:rPr>
      </w:pPr>
      <w:r>
        <w:rPr>
          <w:rFonts w:hint="eastAsia" w:hAnsi="宋体" w:cs="宋体"/>
          <w:bCs/>
          <w:color w:val="auto"/>
          <w:szCs w:val="21"/>
          <w:highlight w:val="none"/>
        </w:rPr>
        <w:t>4.3  供应商质疑实行实名制，其质疑应当有具体的质疑事项及事实根据，不得进行虚假、恶意质疑。</w:t>
      </w:r>
    </w:p>
    <w:p>
      <w:pPr>
        <w:pStyle w:val="13"/>
        <w:spacing w:line="440" w:lineRule="exact"/>
        <w:ind w:left="2" w:leftChars="1" w:firstLine="420" w:firstLineChars="200"/>
        <w:jc w:val="left"/>
        <w:rPr>
          <w:rFonts w:hint="eastAsia" w:hAnsi="宋体" w:cs="宋体"/>
          <w:bCs/>
          <w:color w:val="auto"/>
          <w:highlight w:val="none"/>
        </w:rPr>
      </w:pPr>
      <w:r>
        <w:rPr>
          <w:rFonts w:hint="eastAsia" w:hAnsi="宋体" w:cs="宋体"/>
          <w:bCs/>
          <w:color w:val="auto"/>
          <w:szCs w:val="21"/>
          <w:highlight w:val="none"/>
        </w:rPr>
        <w:t>4.4  供应商质疑时，应当提交质疑</w:t>
      </w:r>
      <w:r>
        <w:rPr>
          <w:rFonts w:hint="eastAsia" w:hAnsi="宋体" w:cs="宋体"/>
          <w:bCs/>
          <w:color w:val="auto"/>
          <w:highlight w:val="none"/>
        </w:rPr>
        <w:t>书原件，质疑书应当包括下列主要内容：</w:t>
      </w:r>
    </w:p>
    <w:p>
      <w:pPr>
        <w:pStyle w:val="13"/>
        <w:spacing w:line="440" w:lineRule="exact"/>
        <w:ind w:left="2" w:firstLine="418"/>
        <w:jc w:val="left"/>
        <w:rPr>
          <w:rFonts w:hint="eastAsia" w:hAnsi="宋体" w:cs="宋体"/>
          <w:color w:val="auto"/>
          <w:highlight w:val="none"/>
        </w:rPr>
      </w:pPr>
      <w:r>
        <w:rPr>
          <w:rFonts w:hint="eastAsia" w:hAnsi="宋体" w:cs="宋体"/>
          <w:color w:val="auto"/>
          <w:highlight w:val="none"/>
        </w:rPr>
        <w:t>（1）质疑供应商和被质疑的采购人或采购人委托的采购代理机构名称、地址、电话、邮编等；</w:t>
      </w:r>
    </w:p>
    <w:p>
      <w:pPr>
        <w:pStyle w:val="13"/>
        <w:spacing w:line="440" w:lineRule="exact"/>
        <w:ind w:left="2" w:firstLine="418"/>
        <w:jc w:val="left"/>
        <w:rPr>
          <w:rFonts w:hint="eastAsia" w:hAnsi="宋体" w:cs="宋体"/>
          <w:color w:val="auto"/>
          <w:highlight w:val="none"/>
        </w:rPr>
      </w:pPr>
      <w:r>
        <w:rPr>
          <w:rFonts w:hint="eastAsia" w:hAnsi="宋体" w:cs="宋体"/>
          <w:color w:val="auto"/>
          <w:highlight w:val="none"/>
        </w:rPr>
        <w:t>（2）质疑项目的名称、编号；</w:t>
      </w:r>
    </w:p>
    <w:p>
      <w:pPr>
        <w:pStyle w:val="13"/>
        <w:spacing w:line="440" w:lineRule="exact"/>
        <w:ind w:left="2" w:firstLine="418"/>
        <w:jc w:val="left"/>
        <w:rPr>
          <w:rFonts w:hint="eastAsia" w:hAnsi="宋体" w:cs="宋体"/>
          <w:color w:val="auto"/>
          <w:highlight w:val="none"/>
        </w:rPr>
      </w:pPr>
      <w:r>
        <w:rPr>
          <w:rFonts w:hint="eastAsia" w:hAnsi="宋体" w:cs="宋体"/>
          <w:color w:val="auto"/>
          <w:highlight w:val="none"/>
        </w:rPr>
        <w:t>（3）权益受到损害的事实和理由；</w:t>
      </w:r>
    </w:p>
    <w:p>
      <w:pPr>
        <w:pStyle w:val="13"/>
        <w:spacing w:line="440" w:lineRule="exact"/>
        <w:ind w:left="2" w:firstLine="418"/>
        <w:jc w:val="left"/>
        <w:rPr>
          <w:rFonts w:hint="eastAsia" w:hAnsi="宋体" w:cs="宋体"/>
          <w:color w:val="auto"/>
          <w:highlight w:val="none"/>
        </w:rPr>
      </w:pPr>
      <w:r>
        <w:rPr>
          <w:rFonts w:hint="eastAsia" w:hAnsi="宋体" w:cs="宋体"/>
          <w:color w:val="auto"/>
          <w:highlight w:val="none"/>
        </w:rPr>
        <w:t>（4）相关证明材料；</w:t>
      </w:r>
    </w:p>
    <w:p>
      <w:pPr>
        <w:pStyle w:val="13"/>
        <w:spacing w:line="440" w:lineRule="exact"/>
        <w:ind w:left="2" w:firstLine="418"/>
        <w:jc w:val="left"/>
        <w:rPr>
          <w:rFonts w:hint="eastAsia" w:hAnsi="宋体" w:cs="宋体"/>
          <w:color w:val="auto"/>
          <w:highlight w:val="none"/>
        </w:rPr>
      </w:pPr>
      <w:r>
        <w:rPr>
          <w:rFonts w:hint="eastAsia" w:hAnsi="宋体" w:cs="宋体"/>
          <w:color w:val="auto"/>
          <w:highlight w:val="none"/>
        </w:rPr>
        <w:t>（5）提起质疑的日期。</w:t>
      </w:r>
    </w:p>
    <w:p>
      <w:pPr>
        <w:pStyle w:val="13"/>
        <w:spacing w:line="440" w:lineRule="exact"/>
        <w:ind w:left="2" w:firstLine="418"/>
        <w:jc w:val="left"/>
        <w:rPr>
          <w:rFonts w:hint="eastAsia" w:hAnsi="宋体" w:cs="宋体"/>
          <w:color w:val="auto"/>
          <w:highlight w:val="none"/>
        </w:rPr>
      </w:pPr>
      <w:r>
        <w:rPr>
          <w:rFonts w:hint="eastAsia" w:hAnsi="宋体" w:cs="宋体"/>
          <w:color w:val="auto"/>
          <w:highlight w:val="none"/>
        </w:rPr>
        <w:t>（6）附件材料：营业执照副本内页复印件（要求证件有效且清晰）。</w:t>
      </w:r>
    </w:p>
    <w:p>
      <w:pPr>
        <w:pStyle w:val="13"/>
        <w:spacing w:line="440" w:lineRule="exact"/>
        <w:ind w:firstLine="420" w:firstLineChars="200"/>
        <w:jc w:val="left"/>
        <w:rPr>
          <w:rFonts w:hint="eastAsia" w:hAnsi="宋体" w:cs="宋体"/>
          <w:color w:val="auto"/>
          <w:highlight w:val="none"/>
        </w:rPr>
      </w:pPr>
      <w:r>
        <w:rPr>
          <w:rFonts w:hint="eastAsia" w:hAnsi="宋体" w:cs="宋体"/>
          <w:color w:val="auto"/>
          <w:highlight w:val="none"/>
        </w:rPr>
        <w:t>质疑书应当署名。质疑供应商为法人或者其他组织的，应当由法定代表人或者主要负责人签字并加盖公章。</w:t>
      </w:r>
    </w:p>
    <w:p>
      <w:pPr>
        <w:pStyle w:val="13"/>
        <w:spacing w:line="440" w:lineRule="exact"/>
        <w:ind w:firstLine="420" w:firstLineChars="200"/>
        <w:jc w:val="left"/>
        <w:rPr>
          <w:rFonts w:hint="eastAsia" w:hAnsi="宋体" w:cs="宋体"/>
          <w:bCs/>
          <w:color w:val="auto"/>
          <w:highlight w:val="none"/>
        </w:rPr>
      </w:pPr>
      <w:r>
        <w:rPr>
          <w:rFonts w:hint="eastAsia" w:hAnsi="宋体" w:cs="宋体"/>
          <w:bCs/>
          <w:color w:val="auto"/>
          <w:highlight w:val="none"/>
        </w:rPr>
        <w:t>4.5  质疑供应商可以委托代理人办理质疑事务。代理人办理质疑事务时，除提交质疑书外，还应当提交质疑供应商的授权委托书，授权委托书应当载明委托代理的具体权限和事项。</w:t>
      </w:r>
    </w:p>
    <w:p>
      <w:pPr>
        <w:pStyle w:val="13"/>
        <w:spacing w:line="440" w:lineRule="exact"/>
        <w:ind w:firstLine="420" w:firstLineChars="200"/>
        <w:jc w:val="left"/>
        <w:rPr>
          <w:rFonts w:hint="eastAsia" w:hAnsi="宋体" w:cs="宋体"/>
          <w:color w:val="auto"/>
          <w:highlight w:val="none"/>
        </w:rPr>
      </w:pPr>
      <w:r>
        <w:rPr>
          <w:rFonts w:hint="eastAsia" w:hAnsi="宋体" w:cs="宋体"/>
          <w:bCs/>
          <w:color w:val="auto"/>
          <w:highlight w:val="none"/>
        </w:rPr>
        <w:t>4.6  质疑供应商提起质疑应当符合下列条件：</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（1）质疑供应商是参与所质疑政府采购活动的供应商；</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（2）质疑书内容符合本章第4.3项的规定；</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（3）在质疑有效期限内提起质疑；</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（4）属于所质疑的采购人或采购人委托的采购代理机构组织的采购活动；</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（5）同一质疑事项未经采购人或采购人委托的采购代理机构质疑处理；</w:t>
      </w:r>
    </w:p>
    <w:p>
      <w:pPr>
        <w:spacing w:line="440" w:lineRule="exact"/>
        <w:ind w:firstLine="420"/>
        <w:rPr>
          <w:rFonts w:hint="eastAsia" w:ascii="宋体" w:hAnsi="宋体" w:cs="宋体"/>
          <w:color w:val="auto"/>
          <w:highlight w:val="none"/>
        </w:rPr>
      </w:pPr>
      <w:r>
        <w:rPr>
          <w:rFonts w:hint="eastAsia" w:ascii="宋体" w:hAnsi="宋体" w:cs="宋体"/>
          <w:color w:val="auto"/>
          <w:highlight w:val="none"/>
        </w:rPr>
        <w:t>（6）财政部门规定的其他条件。</w:t>
      </w:r>
    </w:p>
    <w:p>
      <w:pPr>
        <w:spacing w:line="394" w:lineRule="exact"/>
        <w:ind w:firstLine="360"/>
        <w:rPr>
          <w:rFonts w:hint="eastAsia" w:ascii="宋体" w:hAnsi="宋体" w:cs="宋体"/>
          <w:color w:val="auto"/>
          <w:highlight w:val="none"/>
        </w:rPr>
      </w:pPr>
      <w:r>
        <w:rPr>
          <w:rFonts w:hint="eastAsia" w:ascii="宋体" w:hAnsi="宋体" w:cs="宋体"/>
          <w:color w:val="auto"/>
          <w:highlight w:val="none"/>
        </w:rPr>
        <w:t>4.7  采购人或采购人委托的采购代理机构自受理质疑之日起七个工作日内，对质疑事项作出答复，并</w:t>
      </w:r>
      <w:r>
        <w:rPr>
          <w:rFonts w:hint="eastAsia" w:ascii="宋体" w:hAnsi="宋体" w:cs="宋体"/>
          <w:color w:val="auto"/>
          <w:szCs w:val="20"/>
          <w:highlight w:val="none"/>
        </w:rPr>
        <w:t>以公告的形式（在本章第2条规定的政府采购信息发布媒体上发布质疑答复)</w:t>
      </w:r>
      <w:r>
        <w:rPr>
          <w:rFonts w:hint="eastAsia" w:ascii="宋体" w:hAnsi="宋体" w:cs="宋体"/>
          <w:color w:val="auto"/>
          <w:highlight w:val="none"/>
        </w:rPr>
        <w:t>告知质疑供应商及其他有关供应商。</w:t>
      </w:r>
    </w:p>
    <w:p>
      <w:pPr>
        <w:spacing w:line="400" w:lineRule="exact"/>
        <w:rPr>
          <w:rFonts w:hint="eastAsia" w:ascii="宋体" w:hAnsi="宋体" w:cs="宋体"/>
          <w:bCs/>
          <w:color w:val="auto"/>
          <w:sz w:val="24"/>
          <w:highlight w:val="none"/>
        </w:rPr>
      </w:pPr>
      <w:r>
        <w:rPr>
          <w:rFonts w:hint="eastAsia" w:ascii="宋体" w:hAnsi="宋体" w:cs="宋体"/>
          <w:b/>
          <w:color w:val="auto"/>
          <w:sz w:val="24"/>
          <w:highlight w:val="none"/>
        </w:rPr>
        <w:t>5. 投诉</w:t>
      </w:r>
    </w:p>
    <w:p>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5.1  供应商认为磋商采购文件、采购过程、成交和成交结果使自己的合法权益受到损害的，应当首先依法向采购人或采购人委托的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提出质疑。对采购人、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的答复不满意，或者采购人、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未在规定期限内做出答复的，供应商可以在答复期满后十五个工作日内向</w:t>
      </w:r>
      <w:r>
        <w:rPr>
          <w:rFonts w:hint="eastAsia" w:ascii="宋体" w:hAnsi="宋体" w:cs="宋体"/>
          <w:bCs/>
          <w:color w:val="auto"/>
          <w:szCs w:val="21"/>
          <w:highlight w:val="none"/>
          <w:lang w:val="en-US" w:eastAsia="zh-CN"/>
        </w:rPr>
        <w:t>横州</w:t>
      </w:r>
      <w:r>
        <w:rPr>
          <w:rFonts w:hint="eastAsia" w:ascii="宋体" w:hAnsi="宋体" w:cs="宋体"/>
          <w:bCs/>
          <w:color w:val="auto"/>
          <w:szCs w:val="21"/>
          <w:highlight w:val="none"/>
        </w:rPr>
        <w:t>市政府采购监督管理部门提起投诉。</w:t>
      </w:r>
    </w:p>
    <w:p>
      <w:pPr>
        <w:pStyle w:val="13"/>
        <w:spacing w:line="394" w:lineRule="exact"/>
        <w:ind w:left="2" w:firstLine="357" w:firstLineChars="170"/>
        <w:rPr>
          <w:rFonts w:hint="eastAsia" w:hAnsi="宋体" w:cs="宋体"/>
          <w:color w:val="auto"/>
          <w:highlight w:val="none"/>
        </w:rPr>
      </w:pPr>
      <w:r>
        <w:rPr>
          <w:rFonts w:hint="eastAsia" w:hAnsi="宋体" w:cs="宋体"/>
          <w:color w:val="auto"/>
          <w:szCs w:val="21"/>
          <w:highlight w:val="none"/>
        </w:rPr>
        <w:t xml:space="preserve">5.2  </w:t>
      </w:r>
      <w:r>
        <w:rPr>
          <w:rFonts w:hint="eastAsia" w:hAnsi="宋体" w:cs="宋体"/>
          <w:color w:val="auto"/>
          <w:highlight w:val="none"/>
        </w:rPr>
        <w:t>投诉人投诉时,应当提交投诉书和必要的证明材料，并按照被投诉采购人、采购代理机构（以下简称被投诉人）和与投诉事项有关的供应商数量提供投诉书的副本。投诉书应当包括下列内容：</w:t>
      </w:r>
    </w:p>
    <w:p>
      <w:pPr>
        <w:pStyle w:val="13"/>
        <w:spacing w:line="394" w:lineRule="exact"/>
        <w:ind w:left="2" w:firstLine="357" w:firstLineChars="170"/>
        <w:rPr>
          <w:rFonts w:hint="eastAsia" w:hAnsi="宋体" w:cs="宋体"/>
          <w:color w:val="auto"/>
          <w:highlight w:val="none"/>
        </w:rPr>
      </w:pPr>
      <w:r>
        <w:rPr>
          <w:rFonts w:hint="eastAsia" w:hAnsi="宋体" w:cs="宋体"/>
          <w:color w:val="auto"/>
          <w:highlight w:val="none"/>
        </w:rPr>
        <w:t>　　（1）投诉人和被投诉人的姓名或者名称、通讯地址、邮编、联系人及联系电话；</w:t>
      </w:r>
    </w:p>
    <w:p>
      <w:pPr>
        <w:pStyle w:val="13"/>
        <w:spacing w:line="394" w:lineRule="exact"/>
        <w:ind w:left="2" w:firstLine="357" w:firstLineChars="170"/>
        <w:rPr>
          <w:rFonts w:hint="eastAsia" w:hAnsi="宋体" w:cs="宋体"/>
          <w:color w:val="auto"/>
          <w:highlight w:val="none"/>
        </w:rPr>
      </w:pPr>
      <w:r>
        <w:rPr>
          <w:rFonts w:hint="eastAsia" w:hAnsi="宋体" w:cs="宋体"/>
          <w:color w:val="auto"/>
          <w:highlight w:val="none"/>
        </w:rPr>
        <w:t>　　（2）质疑和质疑答复情况说明及相关证明材料；</w:t>
      </w:r>
    </w:p>
    <w:p>
      <w:pPr>
        <w:pStyle w:val="13"/>
        <w:spacing w:line="394" w:lineRule="exact"/>
        <w:ind w:left="2" w:firstLine="357" w:firstLineChars="170"/>
        <w:rPr>
          <w:rFonts w:hint="eastAsia" w:hAnsi="宋体" w:cs="宋体"/>
          <w:color w:val="auto"/>
          <w:highlight w:val="none"/>
        </w:rPr>
      </w:pPr>
      <w:r>
        <w:rPr>
          <w:rFonts w:hint="eastAsia" w:hAnsi="宋体" w:cs="宋体"/>
          <w:color w:val="auto"/>
          <w:highlight w:val="none"/>
        </w:rPr>
        <w:t>　　（3）具体、明确的投诉事项和与投诉事项相关的投诉请求；</w:t>
      </w:r>
    </w:p>
    <w:p>
      <w:pPr>
        <w:pStyle w:val="13"/>
        <w:spacing w:line="394" w:lineRule="exact"/>
        <w:ind w:left="2" w:firstLine="357" w:firstLineChars="170"/>
        <w:rPr>
          <w:rFonts w:hint="eastAsia" w:hAnsi="宋体" w:cs="宋体"/>
          <w:color w:val="auto"/>
          <w:highlight w:val="none"/>
        </w:rPr>
      </w:pPr>
      <w:r>
        <w:rPr>
          <w:rFonts w:hint="eastAsia" w:hAnsi="宋体" w:cs="宋体"/>
          <w:color w:val="auto"/>
          <w:highlight w:val="none"/>
        </w:rPr>
        <w:t>　　（4）事实依据；</w:t>
      </w:r>
    </w:p>
    <w:p>
      <w:pPr>
        <w:pStyle w:val="13"/>
        <w:spacing w:line="394" w:lineRule="exact"/>
        <w:ind w:left="2" w:firstLine="357" w:firstLineChars="170"/>
        <w:rPr>
          <w:rFonts w:hint="eastAsia" w:hAnsi="宋体" w:cs="宋体"/>
          <w:color w:val="auto"/>
          <w:highlight w:val="none"/>
        </w:rPr>
      </w:pPr>
      <w:r>
        <w:rPr>
          <w:rFonts w:hint="eastAsia" w:hAnsi="宋体" w:cs="宋体"/>
          <w:color w:val="auto"/>
          <w:highlight w:val="none"/>
        </w:rPr>
        <w:t>　　（5）法律依据；</w:t>
      </w:r>
    </w:p>
    <w:p>
      <w:pPr>
        <w:pStyle w:val="13"/>
        <w:spacing w:line="394" w:lineRule="exact"/>
        <w:ind w:left="2" w:firstLine="357" w:firstLineChars="170"/>
        <w:rPr>
          <w:rFonts w:hint="eastAsia" w:hAnsi="宋体" w:cs="宋体"/>
          <w:color w:val="auto"/>
          <w:highlight w:val="none"/>
        </w:rPr>
      </w:pPr>
      <w:r>
        <w:rPr>
          <w:rFonts w:hint="eastAsia" w:hAnsi="宋体" w:cs="宋体"/>
          <w:color w:val="auto"/>
          <w:highlight w:val="none"/>
        </w:rPr>
        <w:t>　　（6）提起投诉的日期。</w:t>
      </w:r>
    </w:p>
    <w:p>
      <w:pPr>
        <w:pStyle w:val="13"/>
        <w:spacing w:line="394" w:lineRule="exact"/>
        <w:ind w:left="2" w:firstLine="357" w:firstLineChars="170"/>
        <w:rPr>
          <w:rFonts w:hint="eastAsia" w:hAnsi="宋体" w:cs="宋体"/>
          <w:color w:val="auto"/>
          <w:highlight w:val="none"/>
        </w:rPr>
      </w:pPr>
      <w:r>
        <w:rPr>
          <w:rFonts w:hint="eastAsia" w:hAnsi="宋体" w:cs="宋体"/>
          <w:color w:val="auto"/>
          <w:highlight w:val="none"/>
        </w:rPr>
        <w:t>　　投诉人为自然人的，应当由本人签字；投诉人为法人或者其他组织的，应当由法定代表人、主要负责人，或者其授权代表签字或者盖章，并加盖公章。</w:t>
      </w:r>
    </w:p>
    <w:p>
      <w:pPr>
        <w:pStyle w:val="13"/>
        <w:spacing w:line="394" w:lineRule="exact"/>
        <w:ind w:left="2" w:firstLine="357" w:firstLineChars="170"/>
        <w:jc w:val="left"/>
        <w:rPr>
          <w:rFonts w:hint="eastAsia" w:hAnsi="宋体" w:cs="宋体"/>
          <w:color w:val="auto"/>
          <w:highlight w:val="none"/>
        </w:rPr>
      </w:pPr>
      <w:r>
        <w:rPr>
          <w:rFonts w:hint="eastAsia" w:hAnsi="宋体" w:cs="宋体"/>
          <w:color w:val="auto"/>
          <w:highlight w:val="none"/>
        </w:rPr>
        <w:t>5.3  投诉人可以委托代理人办理投诉事务。代理人办理投诉事务时，除提交投诉书外，还应当提交投诉人的授权委托书，授权委托书应当载明委托代理的具体权限和事项。</w:t>
      </w:r>
    </w:p>
    <w:p>
      <w:pPr>
        <w:pStyle w:val="13"/>
        <w:spacing w:line="394" w:lineRule="exact"/>
        <w:ind w:firstLine="359" w:firstLineChars="171"/>
        <w:rPr>
          <w:rFonts w:hint="eastAsia" w:hAnsi="宋体" w:cs="宋体"/>
          <w:color w:val="auto"/>
          <w:highlight w:val="none"/>
        </w:rPr>
      </w:pPr>
      <w:r>
        <w:rPr>
          <w:rFonts w:hint="eastAsia" w:hAnsi="宋体" w:cs="宋体"/>
          <w:color w:val="auto"/>
          <w:highlight w:val="none"/>
        </w:rPr>
        <w:t>5.4  　投诉人提起投诉应当符合下列条件：</w:t>
      </w:r>
    </w:p>
    <w:p>
      <w:pPr>
        <w:pStyle w:val="13"/>
        <w:spacing w:line="394" w:lineRule="exact"/>
        <w:ind w:firstLine="359" w:firstLineChars="171"/>
        <w:rPr>
          <w:rFonts w:hint="eastAsia" w:hAnsi="宋体" w:cs="宋体"/>
          <w:color w:val="auto"/>
          <w:highlight w:val="none"/>
        </w:rPr>
      </w:pPr>
      <w:r>
        <w:rPr>
          <w:rFonts w:hint="eastAsia" w:hAnsi="宋体" w:cs="宋体"/>
          <w:color w:val="auto"/>
          <w:highlight w:val="none"/>
        </w:rPr>
        <w:t>　　（1）提起投诉前已依法进行质疑；</w:t>
      </w:r>
    </w:p>
    <w:p>
      <w:pPr>
        <w:pStyle w:val="13"/>
        <w:spacing w:line="394" w:lineRule="exact"/>
        <w:ind w:firstLine="359" w:firstLineChars="171"/>
        <w:rPr>
          <w:rFonts w:hint="eastAsia" w:hAnsi="宋体" w:cs="宋体"/>
          <w:color w:val="auto"/>
          <w:highlight w:val="none"/>
        </w:rPr>
      </w:pPr>
      <w:r>
        <w:rPr>
          <w:rFonts w:hint="eastAsia" w:hAnsi="宋体" w:cs="宋体"/>
          <w:color w:val="auto"/>
          <w:highlight w:val="none"/>
        </w:rPr>
        <w:t>　　（2）投诉书内容符合本章第5.2项的规定；</w:t>
      </w:r>
    </w:p>
    <w:p>
      <w:pPr>
        <w:pStyle w:val="13"/>
        <w:spacing w:line="394" w:lineRule="exact"/>
        <w:ind w:firstLine="359" w:firstLineChars="171"/>
        <w:rPr>
          <w:rFonts w:hint="eastAsia" w:hAnsi="宋体" w:cs="宋体"/>
          <w:color w:val="auto"/>
          <w:highlight w:val="none"/>
        </w:rPr>
      </w:pPr>
      <w:r>
        <w:rPr>
          <w:rFonts w:hint="eastAsia" w:hAnsi="宋体" w:cs="宋体"/>
          <w:color w:val="auto"/>
          <w:highlight w:val="none"/>
        </w:rPr>
        <w:t>　　（3）在投诉有效期限内提起投诉；</w:t>
      </w:r>
    </w:p>
    <w:p>
      <w:pPr>
        <w:pStyle w:val="13"/>
        <w:spacing w:line="394" w:lineRule="exact"/>
        <w:ind w:firstLine="359" w:firstLineChars="171"/>
        <w:rPr>
          <w:rFonts w:hint="eastAsia" w:hAnsi="宋体" w:cs="宋体"/>
          <w:color w:val="auto"/>
          <w:highlight w:val="none"/>
        </w:rPr>
      </w:pPr>
      <w:r>
        <w:rPr>
          <w:rFonts w:hint="eastAsia" w:hAnsi="宋体" w:cs="宋体"/>
          <w:color w:val="auto"/>
          <w:highlight w:val="none"/>
        </w:rPr>
        <w:t>　　（4）同一投诉事项未经</w:t>
      </w:r>
      <w:r>
        <w:rPr>
          <w:rFonts w:hint="eastAsia" w:hAnsi="宋体" w:cs="宋体"/>
          <w:bCs/>
          <w:color w:val="auto"/>
          <w:highlight w:val="none"/>
        </w:rPr>
        <w:t>横州市政府采购监督管理部门</w:t>
      </w:r>
      <w:r>
        <w:rPr>
          <w:rFonts w:hint="eastAsia" w:hAnsi="宋体" w:cs="宋体"/>
          <w:color w:val="auto"/>
          <w:highlight w:val="none"/>
        </w:rPr>
        <w:t>投诉处理；</w:t>
      </w:r>
    </w:p>
    <w:p>
      <w:pPr>
        <w:pStyle w:val="13"/>
        <w:spacing w:line="394" w:lineRule="exact"/>
        <w:ind w:firstLine="359" w:firstLineChars="171"/>
        <w:rPr>
          <w:rFonts w:hint="eastAsia" w:hAnsi="宋体" w:cs="宋体"/>
          <w:color w:val="auto"/>
          <w:highlight w:val="none"/>
        </w:rPr>
      </w:pPr>
      <w:r>
        <w:rPr>
          <w:rFonts w:hint="eastAsia" w:hAnsi="宋体" w:cs="宋体"/>
          <w:color w:val="auto"/>
          <w:highlight w:val="none"/>
        </w:rPr>
        <w:t>　　（5）财政部规定的其他条件。</w:t>
      </w:r>
    </w:p>
    <w:p>
      <w:pPr>
        <w:spacing w:line="394" w:lineRule="exact"/>
        <w:ind w:firstLine="360"/>
        <w:rPr>
          <w:rFonts w:hint="eastAsia" w:ascii="宋体" w:hAnsi="宋体" w:cs="宋体"/>
          <w:color w:val="auto"/>
          <w:highlight w:val="none"/>
        </w:rPr>
      </w:pPr>
      <w:r>
        <w:rPr>
          <w:rFonts w:hint="eastAsia" w:ascii="宋体" w:hAnsi="宋体" w:cs="宋体"/>
          <w:color w:val="auto"/>
          <w:highlight w:val="none"/>
        </w:rPr>
        <w:t>5.5  横州市政府采购监督管理部门财政部门应当自收到投诉之日起30个工作日内，对投诉事项作出处理决定，并以书面形式通知投诉人、被投诉人及其他与投诉处理结果有利害关系的政府采购当事人。</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5.6  横州市政府采购监督管理部门在处理投诉事项期间，可以视具体情况暂停采购活动。</w:t>
      </w:r>
    </w:p>
    <w:p>
      <w:pPr>
        <w:spacing w:line="400" w:lineRule="exact"/>
        <w:ind w:firstLine="602" w:firstLineChars="200"/>
        <w:rPr>
          <w:rFonts w:hint="eastAsia" w:ascii="宋体" w:hAnsi="宋体" w:cs="宋体"/>
          <w:b/>
          <w:color w:val="auto"/>
          <w:sz w:val="30"/>
          <w:szCs w:val="30"/>
          <w:highlight w:val="none"/>
        </w:rPr>
      </w:pPr>
    </w:p>
    <w:p>
      <w:pPr>
        <w:pStyle w:val="13"/>
        <w:jc w:val="center"/>
        <w:outlineLvl w:val="1"/>
        <w:rPr>
          <w:rFonts w:hint="eastAsia" w:hAnsi="宋体" w:cs="宋体"/>
          <w:b/>
          <w:color w:val="auto"/>
          <w:sz w:val="30"/>
          <w:szCs w:val="30"/>
          <w:highlight w:val="none"/>
        </w:rPr>
      </w:pPr>
      <w:bookmarkStart w:id="80" w:name="_Toc15382"/>
      <w:bookmarkStart w:id="81" w:name="_Toc23418"/>
      <w:r>
        <w:rPr>
          <w:rFonts w:hint="eastAsia" w:hAnsi="宋体" w:cs="宋体"/>
          <w:b/>
          <w:color w:val="auto"/>
          <w:sz w:val="30"/>
          <w:szCs w:val="30"/>
          <w:highlight w:val="none"/>
        </w:rPr>
        <w:t>二    竞争性</w:t>
      </w:r>
      <w:r>
        <w:rPr>
          <w:rFonts w:hint="eastAsia" w:hAnsi="宋体" w:cs="宋体"/>
          <w:b/>
          <w:bCs/>
          <w:color w:val="auto"/>
          <w:sz w:val="30"/>
          <w:szCs w:val="30"/>
          <w:highlight w:val="none"/>
        </w:rPr>
        <w:t>磋商</w:t>
      </w:r>
      <w:r>
        <w:rPr>
          <w:rFonts w:hint="eastAsia" w:hAnsi="宋体" w:cs="宋体"/>
          <w:b/>
          <w:color w:val="auto"/>
          <w:sz w:val="30"/>
          <w:szCs w:val="30"/>
          <w:highlight w:val="none"/>
        </w:rPr>
        <w:t>采购文件</w:t>
      </w:r>
      <w:bookmarkEnd w:id="80"/>
      <w:bookmarkEnd w:id="81"/>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6. 竞争性磋商采购文件的组成</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6.1  本</w:t>
      </w:r>
      <w:r>
        <w:rPr>
          <w:rFonts w:hint="eastAsia" w:hAnsi="宋体" w:cs="宋体"/>
          <w:bCs/>
          <w:color w:val="auto"/>
          <w:highlight w:val="none"/>
        </w:rPr>
        <w:t>竞争性磋商采购文件</w:t>
      </w:r>
      <w:r>
        <w:rPr>
          <w:rFonts w:hint="eastAsia" w:hAnsi="宋体" w:cs="宋体"/>
          <w:color w:val="auto"/>
          <w:highlight w:val="none"/>
        </w:rPr>
        <w:t>包括五个章节，各章的内容如下：</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第一章  服务需求一览表</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第二章  评审方法</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第三章  磋商供应商须知</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第四章  磋商采购文件格式</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第五章  合同条款及格式</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6.2  根据本章第7.1项的规定对竞争性</w:t>
      </w:r>
      <w:r>
        <w:rPr>
          <w:rFonts w:hint="eastAsia" w:hAnsi="宋体" w:cs="宋体"/>
          <w:bCs/>
          <w:color w:val="auto"/>
          <w:szCs w:val="21"/>
          <w:highlight w:val="none"/>
        </w:rPr>
        <w:t>磋商</w:t>
      </w:r>
      <w:r>
        <w:rPr>
          <w:rFonts w:hint="eastAsia" w:hAnsi="宋体" w:cs="宋体"/>
          <w:color w:val="auto"/>
          <w:highlight w:val="none"/>
        </w:rPr>
        <w:t>采购文件所做的澄清、修改，构成竞争性</w:t>
      </w:r>
      <w:r>
        <w:rPr>
          <w:rFonts w:hint="eastAsia" w:hAnsi="宋体" w:cs="宋体"/>
          <w:bCs/>
          <w:color w:val="auto"/>
          <w:szCs w:val="21"/>
          <w:highlight w:val="none"/>
        </w:rPr>
        <w:t>磋商</w:t>
      </w:r>
      <w:r>
        <w:rPr>
          <w:rFonts w:hint="eastAsia" w:hAnsi="宋体" w:cs="宋体"/>
          <w:color w:val="auto"/>
          <w:highlight w:val="none"/>
        </w:rPr>
        <w:t>采购文件的组成部分。当竞争性</w:t>
      </w:r>
      <w:r>
        <w:rPr>
          <w:rFonts w:hint="eastAsia" w:hAnsi="宋体" w:cs="宋体"/>
          <w:bCs/>
          <w:color w:val="auto"/>
          <w:szCs w:val="21"/>
          <w:highlight w:val="none"/>
        </w:rPr>
        <w:t>磋商</w:t>
      </w:r>
      <w:r>
        <w:rPr>
          <w:rFonts w:hint="eastAsia" w:hAnsi="宋体" w:cs="宋体"/>
          <w:color w:val="auto"/>
          <w:highlight w:val="none"/>
        </w:rPr>
        <w:t>采购文件与竞争性</w:t>
      </w:r>
      <w:r>
        <w:rPr>
          <w:rFonts w:hint="eastAsia" w:hAnsi="宋体" w:cs="宋体"/>
          <w:bCs/>
          <w:color w:val="auto"/>
          <w:szCs w:val="21"/>
          <w:highlight w:val="none"/>
        </w:rPr>
        <w:t>磋商</w:t>
      </w:r>
      <w:r>
        <w:rPr>
          <w:rFonts w:hint="eastAsia" w:hAnsi="宋体" w:cs="宋体"/>
          <w:color w:val="auto"/>
          <w:highlight w:val="none"/>
        </w:rPr>
        <w:t>采购文件的澄清和修改就同一内容的表述不一致时，以最后发出的公告为准。</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7. 竞争性磋商采购文件的澄清和修改</w:t>
      </w:r>
    </w:p>
    <w:p>
      <w:pPr>
        <w:spacing w:line="440" w:lineRule="exact"/>
        <w:ind w:left="2" w:leftChars="1" w:firstLine="420" w:firstLineChars="200"/>
        <w:rPr>
          <w:rFonts w:hint="eastAsia" w:ascii="宋体" w:hAnsi="宋体" w:cs="宋体"/>
          <w:color w:val="auto"/>
          <w:szCs w:val="20"/>
          <w:highlight w:val="none"/>
        </w:rPr>
      </w:pPr>
      <w:r>
        <w:rPr>
          <w:rFonts w:hint="eastAsia" w:ascii="宋体" w:hAnsi="宋体" w:cs="宋体"/>
          <w:color w:val="auto"/>
          <w:szCs w:val="20"/>
          <w:highlight w:val="none"/>
        </w:rPr>
        <w:t>7.1  提交首次响应文件截止之日前，采购代理机构可以对已发出的磋商文件进行必要的澄清或者修改，澄清或者修改的内容作为磋商采购文件的组成部分。澄清或者修改的内容可能影响响应文件编制的，采购人、采购代理机构应当在提交首次响应文件截止时间至少5日前，</w:t>
      </w:r>
      <w:r>
        <w:rPr>
          <w:rFonts w:hint="eastAsia" w:ascii="宋体" w:hAnsi="宋体" w:cs="宋体"/>
          <w:color w:val="auto"/>
          <w:highlight w:val="none"/>
        </w:rPr>
        <w:t>以发布公告的形式通知所有竞争性磋商采购文件收受人；同时，采购代理机构在本章第2.1项规定的政府采购信息发布媒体上发布更正公告，不再另行通知，所有潜在供应商应密切关注政府采购信息发布媒体，因未能及时获知，由此产生的如后果均应自行承担。</w:t>
      </w:r>
      <w:r>
        <w:rPr>
          <w:rFonts w:hint="eastAsia" w:ascii="宋体" w:hAnsi="宋体" w:cs="宋体"/>
          <w:color w:val="auto"/>
          <w:szCs w:val="20"/>
          <w:highlight w:val="none"/>
        </w:rPr>
        <w:t>不足5日的，采购人、采购代理机构应当顺延提交首次响应文件截止时间。</w:t>
      </w:r>
    </w:p>
    <w:p>
      <w:pPr>
        <w:pStyle w:val="13"/>
        <w:spacing w:line="440" w:lineRule="exact"/>
        <w:ind w:left="2" w:firstLine="360"/>
        <w:rPr>
          <w:rFonts w:hint="eastAsia" w:hAnsi="宋体" w:cs="宋体"/>
          <w:color w:val="auto"/>
          <w:highlight w:val="none"/>
        </w:rPr>
      </w:pPr>
      <w:r>
        <w:rPr>
          <w:rFonts w:hint="eastAsia" w:hAnsi="宋体" w:cs="宋体"/>
          <w:color w:val="auto"/>
          <w:highlight w:val="none"/>
        </w:rPr>
        <w:t>7.2  采购代理机构可以视采购具体情况，延长磋商截止时间和开标时间，在磋商截止时间前，以发布公告的形式通知所有竞争性磋商采购文件收受人。同时，采购代理机构在本章第2.1项规定的政府采购信息发布媒体上发布变更公告，不再另行通知，所有潜在供应商应密切关注政府采购信息发布媒体，因未能及时获知，由此产生的如后果均应自行承担。</w:t>
      </w:r>
    </w:p>
    <w:p>
      <w:pPr>
        <w:pStyle w:val="13"/>
        <w:spacing w:line="440" w:lineRule="exact"/>
        <w:ind w:left="2" w:firstLine="360"/>
        <w:rPr>
          <w:rFonts w:hint="eastAsia" w:hAnsi="宋体" w:cs="宋体"/>
          <w:b/>
          <w:bCs/>
          <w:color w:val="auto"/>
          <w:highlight w:val="none"/>
        </w:rPr>
      </w:pPr>
    </w:p>
    <w:p>
      <w:pPr>
        <w:pStyle w:val="13"/>
        <w:jc w:val="center"/>
        <w:outlineLvl w:val="1"/>
        <w:rPr>
          <w:rFonts w:hint="eastAsia" w:hAnsi="宋体" w:cs="宋体"/>
          <w:b/>
          <w:color w:val="auto"/>
          <w:sz w:val="30"/>
          <w:szCs w:val="30"/>
          <w:highlight w:val="none"/>
        </w:rPr>
      </w:pPr>
      <w:bookmarkStart w:id="82" w:name="_Toc9504"/>
      <w:bookmarkStart w:id="83" w:name="_Toc24036"/>
      <w:r>
        <w:rPr>
          <w:rFonts w:hint="eastAsia" w:hAnsi="宋体" w:cs="宋体"/>
          <w:b/>
          <w:color w:val="auto"/>
          <w:sz w:val="30"/>
          <w:szCs w:val="30"/>
          <w:highlight w:val="none"/>
        </w:rPr>
        <w:t>三    响应文件</w:t>
      </w:r>
      <w:bookmarkEnd w:id="82"/>
      <w:bookmarkEnd w:id="83"/>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8. 响应文件的编制</w:t>
      </w:r>
    </w:p>
    <w:p>
      <w:pPr>
        <w:pStyle w:val="13"/>
        <w:spacing w:line="440" w:lineRule="exact"/>
        <w:ind w:left="2" w:leftChars="1" w:firstLine="420" w:firstLineChars="200"/>
        <w:rPr>
          <w:rFonts w:hint="eastAsia" w:hAnsi="宋体" w:cs="宋体"/>
          <w:color w:val="auto"/>
          <w:highlight w:val="none"/>
        </w:rPr>
      </w:pPr>
      <w:r>
        <w:rPr>
          <w:rFonts w:hint="eastAsia" w:hAnsi="宋体" w:cs="宋体"/>
          <w:color w:val="auto"/>
          <w:highlight w:val="none"/>
        </w:rPr>
        <w:t>8.1  磋商供应商应仔细阅读竞争性磋商采购文件，在充分了解采购的内容、服务要求和商务条款以及实质性要求和条件后，编写响应文件。</w:t>
      </w:r>
    </w:p>
    <w:p>
      <w:pPr>
        <w:pStyle w:val="13"/>
        <w:spacing w:line="440" w:lineRule="exact"/>
        <w:ind w:left="2" w:leftChars="1" w:firstLine="420" w:firstLineChars="200"/>
        <w:rPr>
          <w:rFonts w:hint="eastAsia" w:hAnsi="宋体" w:cs="宋体"/>
          <w:color w:val="auto"/>
          <w:highlight w:val="none"/>
        </w:rPr>
      </w:pPr>
      <w:r>
        <w:rPr>
          <w:rFonts w:hint="eastAsia" w:hAnsi="宋体" w:cs="宋体"/>
          <w:color w:val="auto"/>
          <w:highlight w:val="none"/>
        </w:rPr>
        <w:t>8.2  对竞争性磋商采购文件的实质性要求和条件作出响应是指磋商供应商必须对竞争性磋商采购文件中标注为实质性要求和条件的服务要求、商务条款及其它内容</w:t>
      </w:r>
      <w:r>
        <w:rPr>
          <w:rFonts w:hint="eastAsia" w:hAnsi="宋体" w:cs="宋体"/>
          <w:b/>
          <w:color w:val="auto"/>
          <w:highlight w:val="none"/>
        </w:rPr>
        <w:t>作出满足或者优于原要求和条件的承诺</w:t>
      </w:r>
      <w:r>
        <w:rPr>
          <w:rFonts w:hint="eastAsia" w:hAnsi="宋体" w:cs="宋体"/>
          <w:color w:val="auto"/>
          <w:highlight w:val="none"/>
        </w:rPr>
        <w:t>。</w:t>
      </w:r>
    </w:p>
    <w:p>
      <w:pPr>
        <w:pStyle w:val="13"/>
        <w:spacing w:line="440" w:lineRule="exact"/>
        <w:ind w:left="2" w:leftChars="1" w:firstLine="420" w:firstLineChars="200"/>
        <w:rPr>
          <w:rFonts w:hint="eastAsia" w:hAnsi="宋体" w:cs="宋体"/>
          <w:color w:val="auto"/>
          <w:highlight w:val="none"/>
        </w:rPr>
      </w:pPr>
      <w:r>
        <w:rPr>
          <w:rFonts w:hint="eastAsia" w:hAnsi="宋体" w:cs="宋体"/>
          <w:color w:val="auto"/>
          <w:highlight w:val="none"/>
        </w:rPr>
        <w:t>8.3  竞争性磋商采购文件中标注★号的内容为实质性要求和条件。</w:t>
      </w:r>
    </w:p>
    <w:p>
      <w:pPr>
        <w:pStyle w:val="13"/>
        <w:spacing w:line="440" w:lineRule="exact"/>
        <w:ind w:left="2" w:leftChars="1" w:firstLine="420" w:firstLineChars="200"/>
        <w:rPr>
          <w:rFonts w:hint="eastAsia" w:hAnsi="宋体" w:cs="宋体"/>
          <w:color w:val="auto"/>
          <w:highlight w:val="none"/>
        </w:rPr>
      </w:pPr>
      <w:r>
        <w:rPr>
          <w:rFonts w:hint="eastAsia" w:hAnsi="宋体" w:cs="宋体"/>
          <w:color w:val="auto"/>
          <w:highlight w:val="none"/>
        </w:rPr>
        <w:t>8.4  响应文件应用不褪色的材料书写或打印，保证其清楚、工整，相关材料的复印件应清晰可辨认。响应文件字迹潦草、表达不清、模糊无法辨认而导致非唯一理解是磋商供应商的风险，很可能导致该磋商无效。</w:t>
      </w:r>
    </w:p>
    <w:p>
      <w:pPr>
        <w:pStyle w:val="13"/>
        <w:spacing w:line="440" w:lineRule="exact"/>
        <w:ind w:left="2" w:leftChars="1" w:firstLine="420" w:firstLineChars="200"/>
        <w:rPr>
          <w:rFonts w:hint="eastAsia" w:hAnsi="宋体" w:cs="宋体"/>
          <w:color w:val="auto"/>
          <w:highlight w:val="none"/>
        </w:rPr>
      </w:pPr>
      <w:r>
        <w:rPr>
          <w:rFonts w:hint="eastAsia" w:hAnsi="宋体" w:cs="宋体"/>
          <w:color w:val="auto"/>
          <w:highlight w:val="none"/>
        </w:rPr>
        <w:t>8.5  第四章“响应文件格式”中规定了响应文件格式的，应按相应格式要求编写。</w:t>
      </w:r>
    </w:p>
    <w:p>
      <w:pPr>
        <w:pStyle w:val="13"/>
        <w:spacing w:line="440" w:lineRule="exact"/>
        <w:ind w:left="2" w:leftChars="1" w:firstLine="420" w:firstLineChars="200"/>
        <w:rPr>
          <w:rFonts w:hint="eastAsia" w:hAnsi="宋体" w:cs="宋体"/>
          <w:color w:val="auto"/>
          <w:highlight w:val="none"/>
        </w:rPr>
      </w:pPr>
      <w:r>
        <w:rPr>
          <w:rFonts w:hint="eastAsia" w:hAnsi="宋体" w:cs="宋体"/>
          <w:color w:val="auto"/>
          <w:highlight w:val="none"/>
        </w:rPr>
        <w:t>8.6  响应文件应由磋商供应商的法定代表人或其委托代理人在凡规定签字处逐一签字或盖章并加盖单位公章。响应文件应尽量避免涂改、行间插字或删除。如果出现上述情况，改动之处应加盖单位公章或由磋商供应商的法定代表人或其委托代理人签字或盖章确认。</w:t>
      </w:r>
    </w:p>
    <w:p>
      <w:pPr>
        <w:pStyle w:val="13"/>
        <w:spacing w:line="440" w:lineRule="exact"/>
        <w:ind w:left="2" w:leftChars="1" w:firstLine="420" w:firstLineChars="200"/>
        <w:rPr>
          <w:rFonts w:hint="eastAsia" w:hAnsi="宋体" w:cs="宋体"/>
          <w:color w:val="auto"/>
          <w:highlight w:val="none"/>
        </w:rPr>
      </w:pPr>
      <w:r>
        <w:rPr>
          <w:rFonts w:hint="eastAsia" w:hAnsi="宋体" w:cs="宋体"/>
          <w:color w:val="auto"/>
          <w:highlight w:val="none"/>
        </w:rPr>
        <w:t>8.7  响应文件应编制目录，且页码清晰准确。</w:t>
      </w:r>
    </w:p>
    <w:p>
      <w:pPr>
        <w:pStyle w:val="13"/>
        <w:spacing w:line="440" w:lineRule="exact"/>
        <w:ind w:left="2" w:leftChars="1" w:firstLine="420" w:firstLineChars="200"/>
        <w:rPr>
          <w:rFonts w:hint="eastAsia" w:hAnsi="宋体" w:cs="宋体"/>
          <w:color w:val="auto"/>
          <w:highlight w:val="none"/>
        </w:rPr>
      </w:pPr>
      <w:r>
        <w:rPr>
          <w:rFonts w:hint="eastAsia" w:hAnsi="宋体" w:cs="宋体"/>
          <w:color w:val="auto"/>
          <w:highlight w:val="none"/>
        </w:rPr>
        <w:t>8.8  响应文件的正本和副本应分别装订成册，封面上应清楚地标记“正本”或“副本”字样，并标明项目名称、项目编号、磋商供应商名称等内容。副本可以采用正本的复印件，当副本和正本不一致时，以正本为准。磋商供应商请准备首次报价文件、技术文件、商务文件合并装订的正本一份，副本份数见磋商供应商须知前附表第8.8项。</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9. 磋商语言文字及计量单位</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9.1  磋商供应商的响应文件以及磋商供应商与采购人、采购代理机构就有关磋商的所有往来函电统一使用中文（特别规定除外）。磋商供应商随响应文件或往来函电所提交的相关证明材料等可以使用其他语言，但必须同时提供由专业翻译机构出具的或经公证的中文译文，否则视同未提供该项证明材料。</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9.2  对不同文字文本响应文件的解释发生异议的，以中文文本为准。</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9.3  响应文件使用的计量单位除竞争性磋商采购文件中有特殊规定外，一律使用中华人民共和国法定计量单位。</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10. 响应文件的组成</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10.1  磋商供应商需编制的响应文件包括首次报价文件、商务文件、技术文件三部分，磋商供应商应按下列说明编写和提交。应递交的有关文件如未特别注明为原件的，可提交复印件。</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10.1.1  首次报价文件，包括：</w:t>
      </w:r>
    </w:p>
    <w:p>
      <w:pPr>
        <w:pStyle w:val="13"/>
        <w:spacing w:line="440" w:lineRule="exact"/>
        <w:ind w:firstLine="420"/>
        <w:rPr>
          <w:rFonts w:hint="eastAsia" w:hAnsi="宋体" w:cs="宋体"/>
          <w:color w:val="auto"/>
          <w:highlight w:val="none"/>
        </w:rPr>
      </w:pPr>
      <w:r>
        <w:rPr>
          <w:rFonts w:hint="eastAsia" w:hAnsi="宋体" w:cs="宋体"/>
          <w:color w:val="auto"/>
          <w:highlight w:val="none"/>
        </w:rPr>
        <w:t>（1）磋商函：按第四章“响应文件格式”提供的“磋商函（格式）”的要求填写；</w:t>
      </w:r>
    </w:p>
    <w:p>
      <w:pPr>
        <w:pStyle w:val="13"/>
        <w:spacing w:line="440" w:lineRule="exact"/>
        <w:ind w:firstLine="420"/>
        <w:rPr>
          <w:rFonts w:hint="eastAsia" w:hAnsi="宋体" w:cs="宋体"/>
          <w:color w:val="auto"/>
          <w:highlight w:val="none"/>
        </w:rPr>
      </w:pPr>
      <w:r>
        <w:rPr>
          <w:rFonts w:hint="eastAsia" w:hAnsi="宋体" w:cs="宋体"/>
          <w:color w:val="auto"/>
          <w:highlight w:val="none"/>
        </w:rPr>
        <w:t>（2）磋商报价表：按第四章“响应文件格式”提供的“磋商报价表（格式）”的要求填写。</w:t>
      </w:r>
    </w:p>
    <w:p>
      <w:pPr>
        <w:pStyle w:val="13"/>
        <w:spacing w:line="440" w:lineRule="exact"/>
        <w:ind w:firstLine="420"/>
        <w:rPr>
          <w:rFonts w:hint="eastAsia" w:hAnsi="宋体" w:cs="宋体"/>
          <w:color w:val="auto"/>
          <w:highlight w:val="none"/>
        </w:rPr>
      </w:pPr>
      <w:r>
        <w:rPr>
          <w:rFonts w:hint="eastAsia" w:hAnsi="宋体" w:cs="宋体"/>
          <w:color w:val="auto"/>
          <w:highlight w:val="none"/>
        </w:rPr>
        <w:t>（3）磋商供应商针对报价的说明。</w:t>
      </w:r>
    </w:p>
    <w:p>
      <w:pPr>
        <w:pStyle w:val="13"/>
        <w:spacing w:line="460" w:lineRule="exact"/>
        <w:ind w:firstLine="420"/>
        <w:rPr>
          <w:rFonts w:hint="eastAsia" w:hAnsi="宋体" w:cs="宋体"/>
          <w:color w:val="auto"/>
          <w:szCs w:val="21"/>
          <w:highlight w:val="none"/>
        </w:rPr>
      </w:pPr>
      <w:r>
        <w:rPr>
          <w:rFonts w:hint="eastAsia" w:hAnsi="宋体" w:cs="宋体"/>
          <w:color w:val="auto"/>
          <w:highlight w:val="none"/>
        </w:rPr>
        <w:t>（4）中小企业声明函：</w:t>
      </w:r>
      <w:r>
        <w:rPr>
          <w:rFonts w:hint="eastAsia" w:hAnsi="宋体" w:cs="宋体"/>
          <w:color w:val="auto"/>
          <w:szCs w:val="21"/>
          <w:highlight w:val="none"/>
        </w:rPr>
        <w:t>磋商供应商按《政府采购促进中小企业发展管理办法》（财库﹝2020﹞46号）要求符合中小企业划型标准的，提供中小企业声明函。</w:t>
      </w:r>
      <w:r>
        <w:rPr>
          <w:rFonts w:hint="eastAsia" w:hAnsi="宋体" w:cs="宋体"/>
          <w:color w:val="auto"/>
          <w:highlight w:val="none"/>
        </w:rPr>
        <w:t>按第四章“响应文件格式”的要求填写。</w:t>
      </w:r>
    </w:p>
    <w:p>
      <w:pPr>
        <w:pStyle w:val="13"/>
        <w:spacing w:line="460" w:lineRule="exact"/>
        <w:ind w:firstLine="420"/>
        <w:rPr>
          <w:rFonts w:hint="eastAsia" w:hAnsi="宋体" w:cs="宋体"/>
          <w:color w:val="auto"/>
          <w:highlight w:val="none"/>
        </w:rPr>
      </w:pPr>
      <w:r>
        <w:rPr>
          <w:rFonts w:hint="eastAsia" w:hAnsi="宋体" w:cs="宋体"/>
          <w:color w:val="auto"/>
          <w:szCs w:val="21"/>
          <w:highlight w:val="none"/>
        </w:rPr>
        <w:t>（5）监狱企业：</w:t>
      </w:r>
      <w:r>
        <w:rPr>
          <w:rFonts w:hint="eastAsia" w:hAnsi="宋体" w:cs="宋体"/>
          <w:color w:val="auto"/>
          <w:highlight w:val="none"/>
        </w:rPr>
        <w:t>磋商供应商</w:t>
      </w:r>
      <w:r>
        <w:rPr>
          <w:rFonts w:hint="eastAsia" w:hAnsi="宋体" w:cs="宋体"/>
          <w:color w:val="auto"/>
          <w:szCs w:val="21"/>
          <w:highlight w:val="none"/>
        </w:rPr>
        <w:t>按《财政部、司法部关于政府采购支持监狱企业发展有关问题的通知》（财库〔2014〕68号）认定为监狱企业，必须提供由省级以上监狱管理局、戒毒管理局（含新疆生产建设兵团）出具的属于监狱企业的证明文件。</w:t>
      </w:r>
    </w:p>
    <w:p>
      <w:pPr>
        <w:pStyle w:val="13"/>
        <w:spacing w:line="440" w:lineRule="exact"/>
        <w:ind w:firstLine="420"/>
        <w:rPr>
          <w:rFonts w:hint="eastAsia" w:hAnsi="宋体" w:cs="宋体"/>
          <w:color w:val="auto"/>
          <w:highlight w:val="none"/>
        </w:rPr>
      </w:pPr>
      <w:r>
        <w:rPr>
          <w:rFonts w:hint="eastAsia" w:hAnsi="宋体" w:cs="宋体"/>
          <w:color w:val="auto"/>
          <w:highlight w:val="none"/>
        </w:rPr>
        <w:t>（6）《残疾人福利性单位声明函》：磋商供应商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按第四章“响应文件格式”提供的“《残疾人福利性单位声明函》（格式）”的要求填写。</w:t>
      </w:r>
    </w:p>
    <w:p>
      <w:pPr>
        <w:pStyle w:val="13"/>
        <w:spacing w:line="440" w:lineRule="exact"/>
        <w:ind w:firstLine="420"/>
        <w:rPr>
          <w:rFonts w:hint="eastAsia" w:hAnsi="宋体" w:cs="宋体"/>
          <w:color w:val="auto"/>
          <w:highlight w:val="none"/>
        </w:rPr>
      </w:pPr>
      <w:r>
        <w:rPr>
          <w:rFonts w:hint="eastAsia" w:hAnsi="宋体" w:cs="宋体"/>
          <w:b/>
          <w:color w:val="auto"/>
          <w:highlight w:val="none"/>
        </w:rPr>
        <w:t>其中，报价文件的第（1）（2）项必须提交，第（3）～（6）项如有请提交。</w:t>
      </w:r>
    </w:p>
    <w:p>
      <w:pPr>
        <w:pStyle w:val="13"/>
        <w:spacing w:line="440" w:lineRule="exact"/>
        <w:ind w:firstLine="420" w:firstLineChars="200"/>
        <w:rPr>
          <w:rFonts w:hint="eastAsia" w:hAnsi="宋体" w:cs="宋体"/>
          <w:b/>
          <w:bCs/>
          <w:color w:val="auto"/>
          <w:highlight w:val="none"/>
        </w:rPr>
      </w:pPr>
      <w:r>
        <w:rPr>
          <w:rFonts w:hint="eastAsia" w:hAnsi="宋体" w:cs="宋体"/>
          <w:color w:val="auto"/>
          <w:highlight w:val="none"/>
        </w:rPr>
        <w:t>10.1.2  技术文件，包括：</w:t>
      </w:r>
    </w:p>
    <w:p>
      <w:pPr>
        <w:pStyle w:val="13"/>
        <w:spacing w:line="440" w:lineRule="exact"/>
        <w:ind w:firstLine="420"/>
        <w:rPr>
          <w:rFonts w:hint="eastAsia" w:hAnsi="宋体" w:cs="宋体"/>
          <w:color w:val="auto"/>
          <w:highlight w:val="none"/>
        </w:rPr>
      </w:pPr>
      <w:r>
        <w:rPr>
          <w:rFonts w:hint="eastAsia" w:hAnsi="宋体" w:cs="宋体"/>
          <w:color w:val="auto"/>
          <w:highlight w:val="none"/>
        </w:rPr>
        <w:t>（1）磋商服务技术资料表：按第四章“磋商文件格式”提供的“磋商服务技术资料表（格式）”的要求填写；</w:t>
      </w:r>
    </w:p>
    <w:p>
      <w:pPr>
        <w:pStyle w:val="13"/>
        <w:spacing w:line="440" w:lineRule="exact"/>
        <w:ind w:firstLine="420"/>
        <w:rPr>
          <w:rFonts w:hint="eastAsia" w:hAnsi="宋体" w:cs="宋体"/>
          <w:color w:val="auto"/>
          <w:highlight w:val="none"/>
        </w:rPr>
      </w:pPr>
      <w:r>
        <w:rPr>
          <w:rFonts w:hint="eastAsia" w:hAnsi="宋体" w:cs="宋体"/>
          <w:color w:val="auto"/>
          <w:highlight w:val="none"/>
        </w:rPr>
        <w:t>（2）服务方案（按第四章“响应文件格式”提供的格式要求填写）；</w:t>
      </w:r>
    </w:p>
    <w:p>
      <w:pPr>
        <w:pStyle w:val="13"/>
        <w:spacing w:line="440" w:lineRule="exact"/>
        <w:ind w:firstLine="420"/>
        <w:rPr>
          <w:rFonts w:hint="eastAsia" w:hAnsi="宋体" w:cs="宋体"/>
          <w:b/>
          <w:bCs/>
          <w:color w:val="auto"/>
          <w:highlight w:val="none"/>
        </w:rPr>
      </w:pPr>
      <w:r>
        <w:rPr>
          <w:rFonts w:hint="eastAsia" w:hAnsi="宋体" w:cs="宋体"/>
          <w:color w:val="auto"/>
          <w:highlight w:val="none"/>
        </w:rPr>
        <w:t>（3）其它：针对本项目所磋商服务的主要内容的详细说明以及与之相关的资料等等。</w:t>
      </w:r>
    </w:p>
    <w:p>
      <w:pPr>
        <w:pStyle w:val="13"/>
        <w:spacing w:line="440" w:lineRule="exact"/>
        <w:ind w:firstLine="411" w:firstLineChars="196"/>
        <w:rPr>
          <w:rFonts w:hint="eastAsia" w:hAnsi="宋体" w:cs="宋体"/>
          <w:color w:val="auto"/>
          <w:highlight w:val="none"/>
        </w:rPr>
      </w:pPr>
      <w:r>
        <w:rPr>
          <w:rFonts w:hint="eastAsia" w:hAnsi="宋体" w:cs="宋体"/>
          <w:color w:val="auto"/>
          <w:highlight w:val="none"/>
        </w:rPr>
        <w:t>技术文件中的第（1）～（2）项必须提交；第（3）项如有请提交。</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10.1.3  商务文件，包括：</w:t>
      </w:r>
      <w:r>
        <w:rPr>
          <w:rFonts w:hint="eastAsia" w:hAnsi="宋体" w:cs="宋体"/>
          <w:bCs/>
          <w:color w:val="auto"/>
          <w:highlight w:val="none"/>
        </w:rPr>
        <w:t xml:space="preserve"> </w:t>
      </w:r>
    </w:p>
    <w:p>
      <w:pPr>
        <w:pStyle w:val="13"/>
        <w:spacing w:line="440" w:lineRule="exact"/>
        <w:ind w:firstLine="420"/>
        <w:rPr>
          <w:rFonts w:hint="eastAsia" w:hAnsi="宋体" w:cs="宋体"/>
          <w:color w:val="auto"/>
          <w:highlight w:val="none"/>
        </w:rPr>
      </w:pPr>
      <w:r>
        <w:rPr>
          <w:rFonts w:hint="eastAsia" w:hAnsi="宋体" w:cs="宋体"/>
          <w:color w:val="auto"/>
          <w:highlight w:val="none"/>
        </w:rPr>
        <w:t>（1）磋商供应商资格文件：根据本章第3.2项规定的磋商供应商应具备的特定条件提供，包括营业执照副本内页复印件（要求证件有效并清晰反映磋商供应商统一社会信用代码和经营范围）和磋商供应商资格的其他证明文件复印件；</w:t>
      </w:r>
    </w:p>
    <w:p>
      <w:pPr>
        <w:pStyle w:val="13"/>
        <w:spacing w:line="440" w:lineRule="exact"/>
        <w:ind w:firstLine="420"/>
        <w:rPr>
          <w:rFonts w:hint="eastAsia" w:hAnsi="宋体" w:cs="宋体"/>
          <w:color w:val="auto"/>
          <w:highlight w:val="none"/>
        </w:rPr>
      </w:pPr>
      <w:r>
        <w:rPr>
          <w:rFonts w:hint="eastAsia" w:hAnsi="宋体" w:cs="宋体"/>
          <w:color w:val="auto"/>
          <w:highlight w:val="none"/>
        </w:rPr>
        <w:t>（2）法定代表人身份证明复印件：如使用第二代身份证应提交正、反面复印件，如法定代表人非中国国籍应提交护照复印件，要求证件有效并与营业执照中的法定代表人相符；</w:t>
      </w:r>
    </w:p>
    <w:p>
      <w:pPr>
        <w:pStyle w:val="13"/>
        <w:spacing w:line="440" w:lineRule="exact"/>
        <w:ind w:firstLine="420"/>
        <w:rPr>
          <w:rFonts w:hint="eastAsia" w:hAnsi="宋体" w:cs="宋体"/>
          <w:color w:val="auto"/>
          <w:highlight w:val="none"/>
        </w:rPr>
      </w:pPr>
      <w:r>
        <w:rPr>
          <w:rFonts w:hint="eastAsia" w:hAnsi="宋体" w:cs="宋体"/>
          <w:color w:val="auto"/>
          <w:highlight w:val="none"/>
        </w:rPr>
        <w:t>（3）磋商供应商近期财务状况报告（上一年度经审计的财务报告；或截标时间前半年内的能反映财务状况的财务报表）；</w:t>
      </w:r>
    </w:p>
    <w:p>
      <w:pPr>
        <w:pStyle w:val="13"/>
        <w:spacing w:line="440" w:lineRule="exact"/>
        <w:ind w:firstLine="420"/>
        <w:rPr>
          <w:rFonts w:hint="eastAsia" w:hAnsi="宋体" w:cs="宋体"/>
          <w:color w:val="auto"/>
          <w:highlight w:val="none"/>
        </w:rPr>
      </w:pPr>
      <w:r>
        <w:rPr>
          <w:rFonts w:hint="eastAsia" w:hAnsi="宋体" w:cs="宋体"/>
          <w:color w:val="auto"/>
          <w:highlight w:val="none"/>
        </w:rPr>
        <w:t>（4）磋商供应商磋商截止时间前半年内任意一个月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磋商供应商所在地税务部门出具有效期的《依法纳税或依法免税证明》（复印件，格式自拟，原件备查）；</w:t>
      </w:r>
    </w:p>
    <w:p>
      <w:pPr>
        <w:pStyle w:val="13"/>
        <w:spacing w:line="440" w:lineRule="exact"/>
        <w:ind w:firstLine="420"/>
        <w:rPr>
          <w:rFonts w:hint="eastAsia" w:hAnsi="宋体" w:cs="宋体"/>
          <w:color w:val="auto"/>
          <w:highlight w:val="none"/>
        </w:rPr>
      </w:pPr>
      <w:r>
        <w:rPr>
          <w:rFonts w:hint="eastAsia" w:hAnsi="宋体" w:cs="宋体"/>
          <w:color w:val="auto"/>
          <w:highlight w:val="none"/>
        </w:rPr>
        <w:t>（5）磋商供应商磋商截止时间前半年内任意一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磋商供应商所在地社保部门出具有效期的《依法缴纳或依法免缴社保费证明》（复印件，格式自拟，原件备查）；</w:t>
      </w:r>
    </w:p>
    <w:p>
      <w:pPr>
        <w:pStyle w:val="13"/>
        <w:spacing w:line="440" w:lineRule="exact"/>
        <w:ind w:firstLine="420"/>
        <w:rPr>
          <w:rFonts w:hint="eastAsia" w:hAnsi="宋体" w:cs="宋体"/>
          <w:color w:val="auto"/>
          <w:highlight w:val="none"/>
        </w:rPr>
      </w:pPr>
      <w:r>
        <w:rPr>
          <w:rFonts w:hint="eastAsia" w:hAnsi="宋体" w:cs="宋体"/>
          <w:color w:val="auto"/>
          <w:highlight w:val="none"/>
        </w:rPr>
        <w:t>（6）参加政府采购活动前3年内在经营活动中没有重大违法记录的书面声明（格式自拟）。</w:t>
      </w:r>
    </w:p>
    <w:p>
      <w:pPr>
        <w:pStyle w:val="13"/>
        <w:spacing w:line="460" w:lineRule="exact"/>
        <w:ind w:firstLine="420"/>
        <w:jc w:val="left"/>
        <w:rPr>
          <w:rFonts w:hint="eastAsia" w:hAnsi="宋体" w:cs="宋体"/>
          <w:color w:val="auto"/>
          <w:highlight w:val="none"/>
        </w:rPr>
      </w:pPr>
      <w:r>
        <w:rPr>
          <w:rFonts w:hint="eastAsia" w:hAnsi="宋体" w:cs="宋体"/>
          <w:color w:val="auto"/>
          <w:highlight w:val="none"/>
        </w:rPr>
        <w:t>（7）信用记录网站〔“信用中国”网站(www.creditchina.gov.cn)、中国政府采购网(www.ccgp.gov.cn)〕自行查询结果信用声明函（按第四章“响应文件格式”提供的“信用声明函（格式）” 的要求填写；</w:t>
      </w:r>
    </w:p>
    <w:p>
      <w:pPr>
        <w:pStyle w:val="13"/>
        <w:spacing w:line="460" w:lineRule="exact"/>
        <w:ind w:firstLine="420"/>
        <w:rPr>
          <w:rFonts w:hint="eastAsia" w:hAnsi="宋体" w:cs="宋体"/>
          <w:color w:val="auto"/>
          <w:highlight w:val="none"/>
        </w:rPr>
      </w:pPr>
      <w:r>
        <w:rPr>
          <w:rFonts w:hint="eastAsia" w:hAnsi="宋体" w:cs="宋体"/>
          <w:color w:val="auto"/>
          <w:highlight w:val="none"/>
        </w:rPr>
        <w:t>对列入失信被执行人、重大税收违法案件当事人名单、政府采购严重违法失信行为记录名单的磋商供应商，将被拒绝参与本项目政府采购活动。</w:t>
      </w:r>
    </w:p>
    <w:p>
      <w:pPr>
        <w:pStyle w:val="13"/>
        <w:spacing w:line="460" w:lineRule="exact"/>
        <w:ind w:firstLine="420"/>
        <w:rPr>
          <w:rFonts w:hint="eastAsia" w:hAnsi="宋体" w:cs="宋体"/>
          <w:color w:val="auto"/>
          <w:highlight w:val="none"/>
        </w:rPr>
      </w:pPr>
      <w:r>
        <w:rPr>
          <w:rFonts w:hint="eastAsia"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3"/>
        <w:spacing w:line="440" w:lineRule="exact"/>
        <w:ind w:firstLine="420"/>
        <w:jc w:val="left"/>
        <w:rPr>
          <w:rFonts w:hint="eastAsia" w:hAnsi="宋体" w:cs="宋体"/>
          <w:b/>
          <w:color w:val="auto"/>
          <w:highlight w:val="none"/>
        </w:rPr>
      </w:pPr>
      <w:r>
        <w:rPr>
          <w:rFonts w:hint="eastAsia" w:hAnsi="宋体" w:cs="宋体"/>
          <w:b/>
          <w:color w:val="auto"/>
          <w:highlight w:val="none"/>
        </w:rPr>
        <w:t>注明：在成交通知书发出前，采购人或采购代理机构应当对成交供应商信用进行查询，如成交供应商被列入失信被执行人、重大税收违法案件当事人名单、政府采购严重违法失信行为记录名单，则将被取消成交资格。</w:t>
      </w:r>
    </w:p>
    <w:p>
      <w:pPr>
        <w:pStyle w:val="13"/>
        <w:spacing w:line="440" w:lineRule="exact"/>
        <w:ind w:firstLine="420"/>
        <w:rPr>
          <w:rFonts w:hint="eastAsia" w:hAnsi="宋体" w:cs="宋体"/>
          <w:color w:val="auto"/>
          <w:highlight w:val="none"/>
        </w:rPr>
      </w:pPr>
      <w:r>
        <w:rPr>
          <w:rFonts w:hint="eastAsia" w:hAnsi="宋体" w:cs="宋体"/>
          <w:color w:val="auto"/>
          <w:highlight w:val="none"/>
        </w:rPr>
        <w:t>（8）商务条款偏离表：按第四章“响应文件格式”提供的“商务条款偏离表（格式）” 的要求填写；</w:t>
      </w:r>
    </w:p>
    <w:p>
      <w:pPr>
        <w:pStyle w:val="13"/>
        <w:spacing w:line="440" w:lineRule="exact"/>
        <w:ind w:firstLine="420"/>
        <w:rPr>
          <w:rFonts w:hint="eastAsia" w:hAnsi="宋体" w:cs="宋体"/>
          <w:color w:val="auto"/>
          <w:highlight w:val="none"/>
        </w:rPr>
      </w:pPr>
      <w:r>
        <w:rPr>
          <w:rFonts w:hint="eastAsia" w:hAnsi="宋体" w:cs="宋体"/>
          <w:color w:val="auto"/>
          <w:highlight w:val="none"/>
        </w:rPr>
        <w:t>（9）法定代表人授权委托书：按第四章“响应文件格式”提供的“法定代表人授权委托书（格式）”的要求填写；</w:t>
      </w:r>
    </w:p>
    <w:p>
      <w:pPr>
        <w:pStyle w:val="13"/>
        <w:spacing w:line="440" w:lineRule="exact"/>
        <w:ind w:firstLine="420"/>
        <w:rPr>
          <w:rFonts w:hint="eastAsia" w:hAnsi="宋体" w:cs="宋体"/>
          <w:color w:val="auto"/>
          <w:highlight w:val="none"/>
        </w:rPr>
      </w:pPr>
      <w:r>
        <w:rPr>
          <w:rFonts w:hint="eastAsia" w:hAnsi="宋体" w:cs="宋体"/>
          <w:color w:val="auto"/>
          <w:highlight w:val="none"/>
        </w:rPr>
        <w:t>（10）委托代理人身份证明复印件：如使用第二代身份证应提交正、反面复印件，如委托代理人非中国国籍应提交护照复印件，要求证件有效并与法定代表人授权委托书中的委托代理人相符；</w:t>
      </w:r>
    </w:p>
    <w:p>
      <w:pPr>
        <w:pStyle w:val="13"/>
        <w:spacing w:line="440" w:lineRule="exact"/>
        <w:ind w:firstLine="420"/>
        <w:rPr>
          <w:rFonts w:hint="eastAsia" w:hAnsi="宋体" w:cs="宋体"/>
          <w:color w:val="auto"/>
          <w:highlight w:val="none"/>
        </w:rPr>
      </w:pPr>
      <w:r>
        <w:rPr>
          <w:rFonts w:hint="eastAsia" w:hAnsi="宋体" w:cs="宋体"/>
          <w:color w:val="auto"/>
          <w:highlight w:val="none"/>
        </w:rPr>
        <w:t>（11）</w:t>
      </w:r>
      <w:r>
        <w:rPr>
          <w:rFonts w:hint="eastAsia" w:hAnsi="宋体" w:cs="宋体"/>
          <w:color w:val="auto"/>
          <w:szCs w:val="21"/>
          <w:highlight w:val="none"/>
        </w:rPr>
        <w:t>磋商供应商认为需要提供的有关资料，磋商采购文件要求提供的其它资料和需要说明的问题</w:t>
      </w:r>
      <w:r>
        <w:rPr>
          <w:rFonts w:hint="eastAsia" w:hAnsi="宋体" w:cs="宋体"/>
          <w:color w:val="auto"/>
          <w:highlight w:val="none"/>
        </w:rPr>
        <w:t>。</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（12）联合体协议书：按第四章“响应文件格式”提供的“联合体协议书（格式）”的要求填写，协议中应清晰载明联合体各方承担的工作和义务；</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（13）</w:t>
      </w:r>
      <w:r>
        <w:rPr>
          <w:rFonts w:hint="eastAsia" w:hAnsi="宋体" w:cs="宋体"/>
          <w:bCs/>
          <w:color w:val="auto"/>
          <w:szCs w:val="21"/>
          <w:highlight w:val="none"/>
        </w:rPr>
        <w:t>联合体授权委托书</w:t>
      </w:r>
      <w:r>
        <w:rPr>
          <w:rFonts w:hint="eastAsia" w:hAnsi="宋体" w:cs="宋体"/>
          <w:color w:val="auto"/>
          <w:szCs w:val="21"/>
          <w:highlight w:val="none"/>
        </w:rPr>
        <w:t xml:space="preserve"> (</w:t>
      </w:r>
      <w:r>
        <w:rPr>
          <w:rFonts w:hint="eastAsia" w:hAnsi="宋体" w:cs="宋体"/>
          <w:color w:val="auto"/>
          <w:highlight w:val="none"/>
        </w:rPr>
        <w:t>按第四章“响应文件格式”提供的“</w:t>
      </w:r>
      <w:r>
        <w:rPr>
          <w:rFonts w:hint="eastAsia" w:hAnsi="宋体" w:cs="宋体"/>
          <w:bCs/>
          <w:color w:val="auto"/>
          <w:highlight w:val="none"/>
        </w:rPr>
        <w:t>联合体授权委托书</w:t>
      </w:r>
      <w:r>
        <w:rPr>
          <w:rFonts w:hint="eastAsia" w:hAnsi="宋体" w:cs="宋体"/>
          <w:color w:val="auto"/>
          <w:highlight w:val="none"/>
        </w:rPr>
        <w:t>（格式）”的要求填写</w:t>
      </w:r>
      <w:r>
        <w:rPr>
          <w:rFonts w:hint="eastAsia" w:hAnsi="宋体" w:cs="宋体"/>
          <w:color w:val="auto"/>
          <w:szCs w:val="21"/>
          <w:highlight w:val="none"/>
        </w:rPr>
        <w:t>)</w:t>
      </w:r>
      <w:r>
        <w:rPr>
          <w:rFonts w:hint="eastAsia" w:hAnsi="宋体" w:cs="宋体"/>
          <w:bCs/>
          <w:color w:val="auto"/>
          <w:szCs w:val="21"/>
          <w:highlight w:val="none"/>
        </w:rPr>
        <w:t>和联合体</w:t>
      </w:r>
      <w:r>
        <w:rPr>
          <w:rFonts w:hint="eastAsia" w:hAnsi="宋体" w:cs="宋体"/>
          <w:color w:val="auto"/>
          <w:szCs w:val="21"/>
          <w:highlight w:val="none"/>
        </w:rPr>
        <w:t>被授权人身份证复印件（如使用第二代身份证应提交正、反面复印件，如委托代理人非中国国籍应提交护照复印件，要求证件有效并与法定代表人授权委托书中的委托代理人相符）；</w:t>
      </w:r>
    </w:p>
    <w:p>
      <w:pPr>
        <w:pStyle w:val="13"/>
        <w:spacing w:line="440" w:lineRule="exact"/>
        <w:ind w:firstLine="413" w:firstLineChars="196"/>
        <w:rPr>
          <w:rFonts w:hint="eastAsia" w:hAnsi="宋体" w:cs="宋体"/>
          <w:color w:val="auto"/>
          <w:highlight w:val="none"/>
        </w:rPr>
      </w:pPr>
      <w:r>
        <w:rPr>
          <w:rFonts w:hint="eastAsia" w:hAnsi="宋体" w:cs="宋体"/>
          <w:b/>
          <w:color w:val="auto"/>
          <w:highlight w:val="none"/>
        </w:rPr>
        <w:t>商务文件中的第（1）～（8）项必须提交；第（9）、（10）项在委托代理时必须提交；第（11）项如有请提交；第（12）（13）项在联合体磋商时必须提交。</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10.2  磋商供应商请按上述顺序将首次报价文件、技术文件和商务文件</w:t>
      </w:r>
      <w:r>
        <w:rPr>
          <w:rFonts w:hint="eastAsia" w:hAnsi="宋体" w:cs="宋体"/>
          <w:b/>
          <w:color w:val="auto"/>
          <w:highlight w:val="none"/>
        </w:rPr>
        <w:t>合并装订成册，中间可用单独的页面隔开</w:t>
      </w:r>
      <w:r>
        <w:rPr>
          <w:rFonts w:hint="eastAsia" w:hAnsi="宋体" w:cs="宋体"/>
          <w:color w:val="auto"/>
          <w:highlight w:val="none"/>
        </w:rPr>
        <w:t>。</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11. 磋商报价</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11.1  磋商供应商应以人民币报价。</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11.2  磋商供应商可就第一章“需求一览表”中的</w:t>
      </w:r>
      <w:r>
        <w:rPr>
          <w:rFonts w:hint="eastAsia" w:hAnsi="宋体" w:cs="宋体"/>
          <w:b/>
          <w:color w:val="auto"/>
          <w:highlight w:val="none"/>
        </w:rPr>
        <w:t>某一个分标内容报出完整且唯一报价，也可就某几个或所有分标内容分别报出完整且唯一报价。</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11.3  磋商报价为采购人指定地点的现场交货价，其组成部分详见第一章“需求一览表”。采购人不再向成交供应商支付其磋商报价之外的任何费用。</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11.4  本项目的采购代理服务费见磋商供应商须知前附表。</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11.5  不论磋商结果如何，磋商供应商均应自行承担与编制和递交响应文件有关的全部费用。</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12. 磋商有效期</w:t>
      </w:r>
    </w:p>
    <w:p>
      <w:pPr>
        <w:pStyle w:val="13"/>
        <w:spacing w:line="440" w:lineRule="exact"/>
        <w:ind w:firstLine="420" w:firstLineChars="200"/>
        <w:rPr>
          <w:rFonts w:hint="eastAsia" w:hAnsi="宋体" w:cs="宋体"/>
          <w:bCs/>
          <w:color w:val="auto"/>
          <w:sz w:val="24"/>
          <w:szCs w:val="24"/>
          <w:highlight w:val="none"/>
        </w:rPr>
      </w:pPr>
      <w:r>
        <w:rPr>
          <w:rFonts w:hint="eastAsia" w:hAnsi="宋体" w:cs="宋体"/>
          <w:color w:val="auto"/>
          <w:highlight w:val="none"/>
        </w:rPr>
        <w:t>12.1  在磋商供应商须知前附表规定的磋商有效期内，磋商供应商不得要求撤销或修改其响应文件。</w:t>
      </w:r>
    </w:p>
    <w:p>
      <w:pPr>
        <w:pStyle w:val="13"/>
        <w:spacing w:line="440" w:lineRule="exact"/>
        <w:ind w:firstLine="420" w:firstLineChars="200"/>
        <w:rPr>
          <w:rFonts w:hint="eastAsia" w:hAnsi="宋体" w:cs="宋体"/>
          <w:bCs/>
          <w:color w:val="auto"/>
          <w:sz w:val="24"/>
          <w:szCs w:val="24"/>
          <w:highlight w:val="none"/>
        </w:rPr>
      </w:pPr>
      <w:r>
        <w:rPr>
          <w:rFonts w:hint="eastAsia" w:hAnsi="宋体" w:cs="宋体"/>
          <w:color w:val="auto"/>
          <w:highlight w:val="none"/>
        </w:rPr>
        <w:t>12.2  在特殊情况下，采购人或采购代理机构可与磋商供应商协商延长磋商有效期，这种要求与答复均应使用书面形式。但不得要求或被允许修改或撤销其响应文件；磋商供应商拒绝延长的，其磋商失效。</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13. 磋商保证金：</w:t>
      </w:r>
    </w:p>
    <w:p>
      <w:pPr>
        <w:pStyle w:val="13"/>
        <w:spacing w:line="440" w:lineRule="exact"/>
        <w:ind w:firstLine="420" w:firstLineChars="200"/>
        <w:rPr>
          <w:rFonts w:hint="eastAsia" w:hAnsi="宋体" w:cs="宋体"/>
          <w:bCs/>
          <w:color w:val="auto"/>
          <w:sz w:val="24"/>
          <w:szCs w:val="24"/>
          <w:highlight w:val="none"/>
        </w:rPr>
      </w:pPr>
      <w:r>
        <w:rPr>
          <w:rFonts w:hint="eastAsia" w:hAnsi="宋体" w:cs="宋体"/>
          <w:color w:val="auto"/>
          <w:highlight w:val="none"/>
        </w:rPr>
        <w:t>13.1  本项目不收取磋商保证金。</w:t>
      </w:r>
    </w:p>
    <w:p>
      <w:pPr>
        <w:pStyle w:val="13"/>
        <w:spacing w:line="440" w:lineRule="exact"/>
        <w:jc w:val="center"/>
        <w:rPr>
          <w:rFonts w:hint="eastAsia" w:hAnsi="宋体" w:cs="宋体"/>
          <w:b/>
          <w:bCs/>
          <w:color w:val="auto"/>
          <w:highlight w:val="none"/>
        </w:rPr>
      </w:pPr>
    </w:p>
    <w:p>
      <w:pPr>
        <w:pStyle w:val="13"/>
        <w:jc w:val="center"/>
        <w:outlineLvl w:val="1"/>
        <w:rPr>
          <w:rFonts w:hint="eastAsia" w:hAnsi="宋体" w:cs="宋体"/>
          <w:b/>
          <w:color w:val="auto"/>
          <w:sz w:val="30"/>
          <w:szCs w:val="30"/>
          <w:highlight w:val="none"/>
        </w:rPr>
      </w:pPr>
      <w:bookmarkStart w:id="84" w:name="_Toc2182"/>
      <w:bookmarkStart w:id="85" w:name="_Toc30588"/>
      <w:r>
        <w:rPr>
          <w:rFonts w:hint="eastAsia" w:hAnsi="宋体" w:cs="宋体"/>
          <w:b/>
          <w:color w:val="auto"/>
          <w:sz w:val="30"/>
          <w:szCs w:val="30"/>
          <w:highlight w:val="none"/>
        </w:rPr>
        <w:t>四    磋商</w:t>
      </w:r>
      <w:bookmarkEnd w:id="84"/>
      <w:bookmarkEnd w:id="85"/>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14. 响应文件的密封</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14.1  磋商供应商请将所有响应文件包装在一个响应文件袋或者纸箱中，并包装密封。同时在外包装面上标明项目名称、编号、磋商供应商名称、日期，并加盖磋商供应商单位公章。</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15. 响应文件及磋商样品的递交</w:t>
      </w:r>
    </w:p>
    <w:p>
      <w:pPr>
        <w:pStyle w:val="13"/>
        <w:spacing w:line="440" w:lineRule="exact"/>
        <w:ind w:firstLine="420" w:firstLineChars="200"/>
        <w:rPr>
          <w:rFonts w:hint="eastAsia" w:hAnsi="宋体" w:cs="宋体"/>
          <w:bCs/>
          <w:color w:val="auto"/>
          <w:sz w:val="24"/>
          <w:szCs w:val="24"/>
          <w:highlight w:val="none"/>
        </w:rPr>
      </w:pPr>
      <w:r>
        <w:rPr>
          <w:rFonts w:hint="eastAsia" w:hAnsi="宋体" w:cs="宋体"/>
          <w:color w:val="auto"/>
          <w:highlight w:val="none"/>
        </w:rPr>
        <w:t>15.1  磋商供应商递交响应文件截止时间：见磋商供应商须知前附表。</w:t>
      </w:r>
    </w:p>
    <w:p>
      <w:pPr>
        <w:pStyle w:val="13"/>
        <w:spacing w:line="440" w:lineRule="exact"/>
        <w:ind w:firstLine="420" w:firstLineChars="200"/>
        <w:rPr>
          <w:rFonts w:hint="eastAsia" w:hAnsi="宋体" w:cs="宋体"/>
          <w:bCs/>
          <w:color w:val="auto"/>
          <w:sz w:val="24"/>
          <w:szCs w:val="24"/>
          <w:highlight w:val="none"/>
        </w:rPr>
      </w:pPr>
      <w:r>
        <w:rPr>
          <w:rFonts w:hint="eastAsia" w:hAnsi="宋体" w:cs="宋体"/>
          <w:color w:val="auto"/>
          <w:highlight w:val="none"/>
        </w:rPr>
        <w:t>15.2  磋商供应商递交响应文件地点：见磋商供应商须知前附表。</w:t>
      </w:r>
    </w:p>
    <w:p>
      <w:pPr>
        <w:pStyle w:val="13"/>
        <w:spacing w:line="440" w:lineRule="exact"/>
        <w:ind w:firstLine="420" w:firstLineChars="200"/>
        <w:rPr>
          <w:rFonts w:hint="eastAsia" w:hAnsi="宋体" w:cs="宋体"/>
          <w:bCs/>
          <w:color w:val="auto"/>
          <w:sz w:val="24"/>
          <w:szCs w:val="24"/>
          <w:highlight w:val="none"/>
        </w:rPr>
      </w:pPr>
      <w:r>
        <w:rPr>
          <w:rFonts w:hint="eastAsia" w:hAnsi="宋体" w:cs="宋体"/>
          <w:color w:val="auto"/>
          <w:highlight w:val="none"/>
        </w:rPr>
        <w:t>15.3  磋商供应商递交磋商样品截止时间：见磋商供应商须知前附表。</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15.4  磋商供应商递交磋商样品地点：见磋商供应商须知前附表。</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15.5  磋商供应商递交响应文件时，应自行检查其响应文件的密封性，并签字确认。</w:t>
      </w:r>
    </w:p>
    <w:p>
      <w:pPr>
        <w:pStyle w:val="13"/>
        <w:spacing w:line="440" w:lineRule="exact"/>
        <w:jc w:val="center"/>
        <w:rPr>
          <w:rFonts w:hint="eastAsia" w:hAnsi="宋体" w:cs="宋体"/>
          <w:color w:val="auto"/>
          <w:highlight w:val="none"/>
        </w:rPr>
      </w:pPr>
    </w:p>
    <w:p>
      <w:pPr>
        <w:pStyle w:val="13"/>
        <w:jc w:val="center"/>
        <w:outlineLvl w:val="1"/>
        <w:rPr>
          <w:rFonts w:hint="eastAsia" w:hAnsi="宋体" w:cs="宋体"/>
          <w:b/>
          <w:color w:val="auto"/>
          <w:sz w:val="30"/>
          <w:szCs w:val="30"/>
          <w:highlight w:val="none"/>
        </w:rPr>
      </w:pPr>
      <w:bookmarkStart w:id="86" w:name="_Toc8877"/>
      <w:bookmarkStart w:id="87" w:name="_Toc23593"/>
      <w:r>
        <w:rPr>
          <w:rFonts w:hint="eastAsia" w:hAnsi="宋体" w:cs="宋体"/>
          <w:b/>
          <w:color w:val="auto"/>
          <w:sz w:val="30"/>
          <w:szCs w:val="30"/>
          <w:highlight w:val="none"/>
        </w:rPr>
        <w:t>五    评审与磋商谈判</w:t>
      </w:r>
      <w:bookmarkEnd w:id="86"/>
      <w:bookmarkEnd w:id="87"/>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16. 截标</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 xml:space="preserve">16.1  </w:t>
      </w:r>
      <w:r>
        <w:rPr>
          <w:rFonts w:hint="eastAsia" w:hAnsi="宋体" w:cs="宋体"/>
          <w:color w:val="auto"/>
          <w:highlight w:val="none"/>
        </w:rPr>
        <w:t>磋商供应商可自行决定是否安排授权代表(限1人)现场参加项目的响应文件递交截止活动。</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17. 评审与磋商谈判</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17.1  成立磋商小组：评审与磋商谈判活动由依法组建的磋商小组负责。磋商小组由采购人代表和政府采购评审专家组成。采购人或采购代理机构根据本项目的特点，从同级或上一级财政部门设立的政府采购评审专家库中，通过随机方式抽取专家。</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17.2  评审原则：评审活动遵循公平、公正、科学和择优的原则。</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17.3  评审方法：磋商小组按照磋商供应商须知前附表和第二章“评审方法”规定的方法、评审因素和标准对响应文件进行评审。在评审中，不得改变第二章“评审办法”规定的方法、评审因素和标准；第二章“评审办法”没有规定的方法、评审因素和标准，不作为评审依据。</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 xml:space="preserve">17.4  </w:t>
      </w:r>
      <w:r>
        <w:rPr>
          <w:rFonts w:hint="eastAsia" w:hAnsi="宋体" w:cs="宋体"/>
          <w:bCs/>
          <w:color w:val="auto"/>
          <w:highlight w:val="none"/>
        </w:rPr>
        <w:t>评审程序：</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 xml:space="preserve">17.4.1  </w:t>
      </w:r>
      <w:r>
        <w:rPr>
          <w:rFonts w:hint="eastAsia" w:hAnsi="宋体" w:cs="宋体"/>
          <w:bCs/>
          <w:color w:val="auto"/>
          <w:highlight w:val="none"/>
        </w:rPr>
        <w:t>采购代理机构项目负责人宣读评审会场纪律要求，集中管理通讯工具，询问在场人员是否申请回避。</w:t>
      </w:r>
    </w:p>
    <w:p>
      <w:pPr>
        <w:pStyle w:val="13"/>
        <w:spacing w:line="440" w:lineRule="exact"/>
        <w:ind w:firstLine="420" w:firstLineChars="200"/>
        <w:rPr>
          <w:rFonts w:hint="eastAsia" w:hAnsi="宋体" w:cs="宋体"/>
          <w:bCs/>
          <w:color w:val="auto"/>
          <w:highlight w:val="none"/>
        </w:rPr>
      </w:pPr>
      <w:r>
        <w:rPr>
          <w:rFonts w:hint="eastAsia" w:hAnsi="宋体" w:cs="宋体"/>
          <w:color w:val="auto"/>
          <w:highlight w:val="none"/>
        </w:rPr>
        <w:t xml:space="preserve">17.4.2  </w:t>
      </w:r>
      <w:r>
        <w:rPr>
          <w:rFonts w:hint="eastAsia" w:hAnsi="宋体" w:cs="宋体"/>
          <w:bCs/>
          <w:color w:val="auto"/>
          <w:highlight w:val="none"/>
        </w:rPr>
        <w:t>采购代理机构项目负责人介绍项目概况及磋商小组组成情况（但不得发表影响评审的倾向性、歧视性言论），推选磋商小组组长（原则上采购人不得担任磋商小组组长）。</w:t>
      </w:r>
    </w:p>
    <w:p>
      <w:pPr>
        <w:pStyle w:val="13"/>
        <w:spacing w:line="440" w:lineRule="exact"/>
        <w:ind w:firstLine="420" w:firstLineChars="200"/>
        <w:rPr>
          <w:rFonts w:hint="eastAsia" w:hAnsi="宋体" w:cs="宋体"/>
          <w:color w:val="auto"/>
          <w:highlight w:val="none"/>
        </w:rPr>
      </w:pPr>
      <w:r>
        <w:rPr>
          <w:rFonts w:hint="eastAsia" w:hAnsi="宋体" w:cs="宋体"/>
          <w:bCs/>
          <w:color w:val="auto"/>
          <w:highlight w:val="none"/>
        </w:rPr>
        <w:t xml:space="preserve">17.4.3  </w:t>
      </w:r>
      <w:r>
        <w:rPr>
          <w:rFonts w:hint="eastAsia" w:hAnsi="宋体" w:cs="宋体"/>
          <w:color w:val="auto"/>
          <w:highlight w:val="none"/>
        </w:rPr>
        <w:t>磋商小组在响应文件拆封前对响应文件做密封性检查，并签字确认。</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17.4.4  响应文件初审：初审分为资格性检查和符合性检查。</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（1）资格性检查：根据本章第3.2项规定的竞标人应具备的特定条件提供，包括营业执照副本内页复印件（要求证件有效并清晰反映竞标人统一社会信用代码和经营范围）和竞标人资格的其他证明文件复印件。</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（2）符合性检查：依据磋商采购文件的规定，从响应文件的有效性、完整性和对磋商采购文件的响应程度进行审查，以确定是否对磋商采购文件的实质性要求和条件作出响应。</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17.4.5  澄清有关问题。对响应文件中含义不明确、同类问题表述不一致或者有明显文字和计算错误的内容，磋商小组可以</w:t>
      </w:r>
      <w:r>
        <w:rPr>
          <w:rFonts w:hint="eastAsia" w:hAnsi="宋体" w:cs="宋体"/>
          <w:color w:val="auto"/>
          <w:highlight w:val="none"/>
        </w:rPr>
        <w:t>电子邮件、传真或其他书面形式</w:t>
      </w:r>
      <w:r>
        <w:rPr>
          <w:rFonts w:hint="eastAsia" w:hAnsi="宋体" w:cs="宋体"/>
          <w:color w:val="auto"/>
          <w:highlight w:val="none"/>
        </w:rPr>
        <w:t>（应当由磋商小组专家签字）要求磋商供应商作出必要的澄清、说明或者纠正。磋商供应商的澄清、说明或者纠正应当采用</w:t>
      </w:r>
      <w:r>
        <w:rPr>
          <w:rFonts w:hint="eastAsia" w:hAnsi="宋体" w:cs="宋体"/>
          <w:color w:val="auto"/>
          <w:highlight w:val="none"/>
        </w:rPr>
        <w:t>电子邮件、传真或其他书面形式</w:t>
      </w:r>
      <w:r>
        <w:rPr>
          <w:rFonts w:hint="eastAsia" w:hAnsi="宋体" w:cs="宋体"/>
          <w:color w:val="auto"/>
          <w:highlight w:val="none"/>
        </w:rPr>
        <w:t>，由法定代表人或其委托代理人签字确认，且不得超出响应文件的范围或者改变响应文件的实质性内容。该澄清、说明或者纠正是响应文件的组成部分。</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17.4.6  制定磋商谈判文件。磋商小组根据采购项目以及磋商供应商的实际情况制定磋商谈判文件。磋商谈判文件应当明确磋商谈判程序、磋商谈判内容、合同草案的条款以及评定成交的标准等事项。</w:t>
      </w:r>
    </w:p>
    <w:p>
      <w:pPr>
        <w:pStyle w:val="13"/>
        <w:spacing w:line="440" w:lineRule="exact"/>
        <w:ind w:firstLine="420" w:firstLineChars="200"/>
        <w:rPr>
          <w:rFonts w:hint="eastAsia" w:hAnsi="宋体" w:cs="宋体"/>
          <w:color w:val="auto"/>
          <w:szCs w:val="21"/>
          <w:highlight w:val="none"/>
        </w:rPr>
      </w:pPr>
      <w:r>
        <w:rPr>
          <w:rFonts w:hint="eastAsia" w:hAnsi="宋体" w:cs="宋体"/>
          <w:color w:val="auto"/>
          <w:highlight w:val="none"/>
        </w:rPr>
        <w:t>17.4.7  确定邀请参加磋商谈判的供应商名单。磋商小组将所有通过资格性审查的磋商供应商确定为邀请参加磋商谈判的供应商，并向其提供</w:t>
      </w:r>
      <w:r>
        <w:rPr>
          <w:rFonts w:hint="eastAsia" w:hAnsi="宋体" w:cs="宋体"/>
          <w:color w:val="auto"/>
          <w:szCs w:val="21"/>
          <w:highlight w:val="none"/>
        </w:rPr>
        <w:t>磋商谈判文件。</w:t>
      </w:r>
    </w:p>
    <w:p>
      <w:pPr>
        <w:pStyle w:val="13"/>
        <w:spacing w:line="440" w:lineRule="exact"/>
        <w:ind w:firstLine="420" w:firstLineChars="200"/>
        <w:rPr>
          <w:rFonts w:hint="eastAsia" w:hAnsi="宋体" w:cs="宋体"/>
          <w:color w:val="auto"/>
          <w:szCs w:val="21"/>
          <w:highlight w:val="none"/>
        </w:rPr>
      </w:pPr>
      <w:r>
        <w:rPr>
          <w:rFonts w:hint="eastAsia" w:hAnsi="宋体" w:cs="宋体"/>
          <w:color w:val="auto"/>
          <w:highlight w:val="none"/>
        </w:rPr>
        <w:t xml:space="preserve">17.4.8  </w:t>
      </w:r>
      <w:r>
        <w:rPr>
          <w:rFonts w:hint="eastAsia" w:hAnsi="宋体" w:cs="宋体"/>
          <w:color w:val="auto"/>
          <w:szCs w:val="21"/>
          <w:highlight w:val="none"/>
        </w:rPr>
        <w:t>磋商谈判。</w:t>
      </w:r>
    </w:p>
    <w:p>
      <w:pPr>
        <w:pStyle w:val="13"/>
        <w:spacing w:line="440" w:lineRule="exact"/>
        <w:ind w:firstLine="420" w:firstLineChars="200"/>
        <w:rPr>
          <w:rFonts w:hint="eastAsia" w:hAnsi="宋体" w:cs="宋体"/>
          <w:color w:val="auto"/>
          <w:szCs w:val="21"/>
          <w:highlight w:val="none"/>
        </w:rPr>
      </w:pPr>
      <w:r>
        <w:rPr>
          <w:rFonts w:hint="eastAsia" w:hAnsi="宋体" w:cs="宋体"/>
          <w:color w:val="auto"/>
          <w:szCs w:val="21"/>
          <w:highlight w:val="none"/>
        </w:rPr>
        <w:t>（1）磋商小组将在磋商供应商须知前附表规定的地点与各磋商供应商进行每轮磋商谈判</w:t>
      </w:r>
      <w:r>
        <w:rPr>
          <w:rFonts w:hint="eastAsia" w:hAnsi="宋体" w:cs="宋体"/>
          <w:color w:val="auto"/>
          <w:highlight w:val="none"/>
        </w:rPr>
        <w:t>。</w:t>
      </w:r>
    </w:p>
    <w:p>
      <w:pPr>
        <w:pStyle w:val="13"/>
        <w:spacing w:line="440" w:lineRule="exact"/>
        <w:ind w:firstLine="420" w:firstLineChars="200"/>
        <w:rPr>
          <w:rFonts w:hint="eastAsia" w:hAnsi="宋体" w:cs="宋体"/>
          <w:color w:val="auto"/>
          <w:szCs w:val="21"/>
          <w:highlight w:val="none"/>
        </w:rPr>
      </w:pPr>
      <w:r>
        <w:rPr>
          <w:rFonts w:hint="eastAsia" w:hAnsi="宋体" w:cs="宋体"/>
          <w:color w:val="auto"/>
          <w:highlight w:val="none"/>
        </w:rPr>
        <w:t>（2）</w:t>
      </w:r>
      <w:r>
        <w:rPr>
          <w:rFonts w:hint="eastAsia" w:hAnsi="宋体" w:cs="宋体"/>
          <w:color w:val="auto"/>
          <w:szCs w:val="21"/>
          <w:highlight w:val="none"/>
        </w:rPr>
        <w:t>磋商谈判内容包括：磋商报价、服务需求一览表中的内容（</w:t>
      </w:r>
      <w:r>
        <w:rPr>
          <w:rFonts w:hint="eastAsia" w:hAnsi="宋体" w:cs="宋体"/>
          <w:bCs/>
          <w:color w:val="auto"/>
          <w:szCs w:val="21"/>
          <w:highlight w:val="none"/>
        </w:rPr>
        <w:t>标注</w:t>
      </w:r>
      <w:r>
        <w:rPr>
          <w:rFonts w:hint="eastAsia" w:hAnsi="宋体" w:cs="宋体"/>
          <w:b/>
          <w:bCs/>
          <w:color w:val="auto"/>
          <w:szCs w:val="21"/>
          <w:highlight w:val="none"/>
        </w:rPr>
        <w:t>★</w:t>
      </w:r>
      <w:r>
        <w:rPr>
          <w:rFonts w:hint="eastAsia" w:hAnsi="宋体" w:cs="宋体"/>
          <w:bCs/>
          <w:color w:val="auto"/>
          <w:szCs w:val="21"/>
          <w:highlight w:val="none"/>
        </w:rPr>
        <w:t>号的条款</w:t>
      </w:r>
      <w:r>
        <w:rPr>
          <w:rFonts w:hint="eastAsia" w:hAnsi="宋体" w:cs="宋体"/>
          <w:color w:val="auto"/>
          <w:szCs w:val="21"/>
          <w:highlight w:val="none"/>
        </w:rPr>
        <w:t>除外）、合同条款等。</w:t>
      </w:r>
    </w:p>
    <w:p>
      <w:pPr>
        <w:pStyle w:val="13"/>
        <w:spacing w:line="440" w:lineRule="exact"/>
        <w:ind w:firstLine="420" w:firstLineChars="200"/>
        <w:rPr>
          <w:rFonts w:hint="eastAsia" w:hAnsi="宋体" w:cs="宋体"/>
          <w:color w:val="auto"/>
          <w:szCs w:val="21"/>
          <w:highlight w:val="none"/>
        </w:rPr>
      </w:pPr>
      <w:r>
        <w:rPr>
          <w:rFonts w:hint="eastAsia" w:hAnsi="宋体" w:cs="宋体"/>
          <w:color w:val="auto"/>
          <w:szCs w:val="21"/>
          <w:highlight w:val="none"/>
        </w:rPr>
        <w:t>（3）在磋商谈判中，磋商谈判的任何一方不得透露与磋商谈判有关的其他供应商的技术资料、价格和其他信息。磋商谈判文件有实质性变动的，磋商小组应当以</w:t>
      </w:r>
      <w:r>
        <w:rPr>
          <w:rFonts w:hint="eastAsia" w:hAnsi="宋体" w:cs="宋体"/>
          <w:color w:val="auto"/>
          <w:highlight w:val="none"/>
        </w:rPr>
        <w:t>电子邮件、传真或其他书面形式</w:t>
      </w:r>
      <w:r>
        <w:rPr>
          <w:rFonts w:hint="eastAsia" w:hAnsi="宋体" w:cs="宋体"/>
          <w:color w:val="auto"/>
          <w:szCs w:val="21"/>
          <w:highlight w:val="none"/>
        </w:rPr>
        <w:t>通知所有参加磋商谈判的供应商。</w:t>
      </w:r>
    </w:p>
    <w:p>
      <w:pPr>
        <w:pStyle w:val="13"/>
        <w:spacing w:line="440" w:lineRule="exact"/>
        <w:ind w:firstLine="420" w:firstLineChars="200"/>
        <w:rPr>
          <w:rFonts w:hint="eastAsia" w:hAnsi="宋体" w:cs="宋体"/>
          <w:color w:val="auto"/>
          <w:szCs w:val="21"/>
          <w:highlight w:val="none"/>
        </w:rPr>
      </w:pPr>
      <w:r>
        <w:rPr>
          <w:rFonts w:hint="eastAsia" w:hAnsi="宋体" w:cs="宋体"/>
          <w:color w:val="auto"/>
          <w:szCs w:val="21"/>
          <w:highlight w:val="none"/>
        </w:rPr>
        <w:t>（5）</w:t>
      </w:r>
      <w:r>
        <w:rPr>
          <w:rFonts w:hint="eastAsia" w:hAnsi="宋体" w:cs="宋体"/>
          <w:color w:val="auto"/>
          <w:highlight w:val="none"/>
        </w:rPr>
        <w:t>磋商小组与磋商供应商进行磋商谈判的内容，磋商供应商应</w:t>
      </w:r>
      <w:r>
        <w:rPr>
          <w:rFonts w:hint="eastAsia" w:hAnsi="宋体" w:cs="宋体"/>
          <w:color w:val="auto"/>
          <w:szCs w:val="21"/>
          <w:highlight w:val="none"/>
        </w:rPr>
        <w:t>以</w:t>
      </w:r>
      <w:r>
        <w:rPr>
          <w:rFonts w:hint="eastAsia" w:hAnsi="宋体" w:cs="宋体"/>
          <w:color w:val="auto"/>
          <w:highlight w:val="none"/>
        </w:rPr>
        <w:t>电子邮件、传真或其他书面形式</w:t>
      </w:r>
      <w:r>
        <w:rPr>
          <w:rFonts w:hint="eastAsia" w:hAnsi="宋体" w:cs="宋体"/>
          <w:color w:val="auto"/>
          <w:highlight w:val="none"/>
        </w:rPr>
        <w:t>作出应答。书面应答文件必须由磋商供应商的法定代表人或其委托代理人签字，按要求</w:t>
      </w:r>
      <w:r>
        <w:rPr>
          <w:rFonts w:hint="eastAsia" w:hAnsi="宋体" w:cs="宋体"/>
          <w:color w:val="auto"/>
          <w:szCs w:val="21"/>
          <w:highlight w:val="none"/>
        </w:rPr>
        <w:t>以</w:t>
      </w:r>
      <w:r>
        <w:rPr>
          <w:rFonts w:hint="eastAsia" w:hAnsi="宋体" w:cs="宋体"/>
          <w:color w:val="auto"/>
          <w:highlight w:val="none"/>
        </w:rPr>
        <w:t>电子邮件、传真或其他书面形式</w:t>
      </w:r>
      <w:r>
        <w:rPr>
          <w:rFonts w:hint="eastAsia" w:hAnsi="宋体" w:cs="宋体"/>
          <w:color w:val="auto"/>
          <w:highlight w:val="none"/>
        </w:rPr>
        <w:t>在磋商谈判文件规定的合理时间前递交至磋商小组，否则视为放弃磋商。</w:t>
      </w:r>
    </w:p>
    <w:p>
      <w:pPr>
        <w:pStyle w:val="13"/>
        <w:spacing w:line="440" w:lineRule="exact"/>
        <w:ind w:firstLine="420" w:firstLineChars="200"/>
        <w:rPr>
          <w:rFonts w:hint="eastAsia" w:hAnsi="宋体" w:cs="宋体"/>
          <w:color w:val="auto"/>
          <w:szCs w:val="21"/>
          <w:highlight w:val="none"/>
        </w:rPr>
      </w:pPr>
      <w:r>
        <w:rPr>
          <w:rFonts w:hint="eastAsia" w:hAnsi="宋体" w:cs="宋体"/>
          <w:color w:val="auto"/>
          <w:szCs w:val="21"/>
          <w:highlight w:val="none"/>
        </w:rPr>
        <w:t>（6）</w:t>
      </w:r>
      <w:r>
        <w:rPr>
          <w:rFonts w:hint="eastAsia" w:hAnsi="宋体" w:cs="宋体"/>
          <w:color w:val="auto"/>
          <w:highlight w:val="none"/>
        </w:rPr>
        <w:t>磋商小组与磋商供应商可进行多轮磋商谈判，磋商供应商的最后一次应答文件及最终报价应</w:t>
      </w:r>
      <w:r>
        <w:rPr>
          <w:rFonts w:hint="eastAsia" w:hAnsi="宋体" w:cs="宋体"/>
          <w:color w:val="auto"/>
          <w:szCs w:val="21"/>
          <w:highlight w:val="none"/>
        </w:rPr>
        <w:t>以</w:t>
      </w:r>
      <w:r>
        <w:rPr>
          <w:rFonts w:hint="eastAsia" w:hAnsi="宋体" w:cs="宋体"/>
          <w:color w:val="auto"/>
          <w:highlight w:val="none"/>
        </w:rPr>
        <w:t>电子邮件、传真或其他书面形式</w:t>
      </w:r>
      <w:r>
        <w:rPr>
          <w:rFonts w:hint="eastAsia" w:hAnsi="宋体" w:cs="宋体"/>
          <w:color w:val="auto"/>
          <w:highlight w:val="none"/>
        </w:rPr>
        <w:t>递交。在对商务、技术及其他内容的比较和评价结束前，磋商小组不能接触、比较和评价磋商报价。最终报价在磋商小组完成商务、技术及其他内容的评审后采购代理机构才交至磋商小组。</w:t>
      </w:r>
    </w:p>
    <w:p>
      <w:pPr>
        <w:pStyle w:val="13"/>
        <w:spacing w:line="440" w:lineRule="exact"/>
        <w:ind w:firstLine="420" w:firstLineChars="200"/>
        <w:rPr>
          <w:rFonts w:hint="eastAsia" w:hAnsi="宋体" w:cs="宋体"/>
          <w:color w:val="auto"/>
          <w:szCs w:val="21"/>
          <w:highlight w:val="none"/>
        </w:rPr>
      </w:pPr>
      <w:r>
        <w:rPr>
          <w:rFonts w:hint="eastAsia" w:hAnsi="宋体" w:cs="宋体"/>
          <w:color w:val="auto"/>
          <w:szCs w:val="21"/>
          <w:highlight w:val="none"/>
        </w:rPr>
        <w:t>（7）</w:t>
      </w:r>
      <w:r>
        <w:rPr>
          <w:rFonts w:hint="eastAsia" w:hAnsi="宋体" w:cs="宋体"/>
          <w:color w:val="auto"/>
          <w:highlight w:val="none"/>
        </w:rPr>
        <w:t>磋商供应商的应答文件经磋商小组代表确认后，替代竞争性磋商采购文件或响应文件中相应的内容，并构成响应文件的组成部分和评审的依据。如成交，则作为合同的组成部分。</w:t>
      </w:r>
    </w:p>
    <w:p>
      <w:pPr>
        <w:pStyle w:val="13"/>
        <w:spacing w:line="440" w:lineRule="exact"/>
        <w:ind w:firstLine="420" w:firstLineChars="200"/>
        <w:rPr>
          <w:rFonts w:hint="eastAsia" w:hAnsi="宋体" w:cs="宋体"/>
          <w:color w:val="auto"/>
          <w:szCs w:val="21"/>
          <w:highlight w:val="none"/>
        </w:rPr>
      </w:pPr>
      <w:r>
        <w:rPr>
          <w:rFonts w:hint="eastAsia" w:hAnsi="宋体" w:cs="宋体"/>
          <w:color w:val="auto"/>
          <w:szCs w:val="21"/>
          <w:highlight w:val="none"/>
        </w:rPr>
        <w:t>17.4.9</w:t>
      </w:r>
      <w:r>
        <w:rPr>
          <w:rFonts w:hint="eastAsia" w:hAnsi="宋体" w:cs="宋体"/>
          <w:bCs/>
          <w:color w:val="auto"/>
          <w:highlight w:val="none"/>
        </w:rPr>
        <w:t>磋商小组</w:t>
      </w:r>
      <w:r>
        <w:rPr>
          <w:rFonts w:hint="eastAsia" w:hAnsi="宋体" w:cs="宋体"/>
          <w:color w:val="auto"/>
          <w:szCs w:val="21"/>
          <w:highlight w:val="none"/>
        </w:rPr>
        <w:t>在评审过程中</w:t>
      </w:r>
      <w:r>
        <w:rPr>
          <w:rFonts w:hint="eastAsia" w:hAnsi="宋体" w:cs="宋体"/>
          <w:bCs/>
          <w:color w:val="auto"/>
          <w:szCs w:val="21"/>
          <w:highlight w:val="none"/>
        </w:rPr>
        <w:t>认为磋商供应商的最终磋商报价明显低于其他通过符合性审查磋商供应商的最终磋商报价，有可能影响产品质量或者不能诚信履约的，应当要求其在合理的时间内</w:t>
      </w:r>
      <w:r>
        <w:rPr>
          <w:rFonts w:hint="eastAsia" w:hAnsi="宋体" w:cs="宋体"/>
          <w:color w:val="auto"/>
          <w:szCs w:val="21"/>
          <w:highlight w:val="none"/>
        </w:rPr>
        <w:t>以</w:t>
      </w:r>
      <w:r>
        <w:rPr>
          <w:rFonts w:hint="eastAsia" w:hAnsi="宋体" w:cs="宋体"/>
          <w:color w:val="auto"/>
          <w:highlight w:val="none"/>
        </w:rPr>
        <w:t>电子邮件、传真或其他书面形式</w:t>
      </w:r>
      <w:r>
        <w:rPr>
          <w:rFonts w:hint="eastAsia" w:hAnsi="宋体" w:cs="宋体"/>
          <w:bCs/>
          <w:color w:val="auto"/>
          <w:szCs w:val="21"/>
          <w:highlight w:val="none"/>
        </w:rPr>
        <w:t>提供书面说明，必要时提交相关证明材料；磋商供应商不能证明其磋商报价合理性的，</w:t>
      </w:r>
      <w:r>
        <w:rPr>
          <w:rFonts w:hint="eastAsia" w:hAnsi="宋体" w:cs="宋体"/>
          <w:bCs/>
          <w:color w:val="auto"/>
          <w:highlight w:val="none"/>
        </w:rPr>
        <w:t>磋商小组</w:t>
      </w:r>
      <w:r>
        <w:rPr>
          <w:rFonts w:hint="eastAsia" w:hAnsi="宋体" w:cs="宋体"/>
          <w:bCs/>
          <w:color w:val="auto"/>
          <w:szCs w:val="21"/>
          <w:highlight w:val="none"/>
        </w:rPr>
        <w:t>应当将其作为无效磋商处理</w:t>
      </w:r>
      <w:r>
        <w:rPr>
          <w:rFonts w:hint="eastAsia" w:hAnsi="宋体" w:cs="宋体"/>
          <w:color w:val="auto"/>
          <w:szCs w:val="21"/>
          <w:highlight w:val="none"/>
        </w:rPr>
        <w:t>。</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 xml:space="preserve">17.4.10  </w:t>
      </w:r>
      <w:r>
        <w:rPr>
          <w:rFonts w:hint="eastAsia" w:hAnsi="宋体" w:cs="宋体"/>
          <w:bCs/>
          <w:color w:val="auto"/>
          <w:highlight w:val="none"/>
        </w:rPr>
        <w:t>磋商小组根据综合评分由高到低顺序</w:t>
      </w:r>
      <w:r>
        <w:rPr>
          <w:rFonts w:hint="eastAsia" w:hAnsi="宋体" w:cs="宋体"/>
          <w:color w:val="auto"/>
          <w:highlight w:val="none"/>
        </w:rPr>
        <w:t>排列成交候选供应商，并编写评审报告。</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17.4.11  采购代理机构对评审过程和评分、评审结论进行核对和复核，如有错漏，请当事磋商小组进行校正，按校正后的结果确定成交供应商。</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17.5  评审过程的保密。评审在严格保密的情况下进行，任何单位和个人不得非法干预、影响评审办法的确定，以及评审过程和结果。磋商小组成员和参与评审的有关工作人员不得透露对响应文件的评审和比较、成交候选人的推荐情况以及与评审有关的其他情况。</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17.6  磋商供应商应保持其电话、电子邮箱、传真等联系通讯工具的畅通，务必做到：“第四章 响应文件格式”中“磋商函”落款处的“联系电话、电子邮箱”务必填写法定代表人或委托代理人的电话联系方式、电子邮箱，否则后果由磋商供应商自行承担。</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18. 响应文件的修正</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18.1  如果出现计算或表达上的错误，修正的原则如下：</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（1）响应文件中磋商函内容与响应文件中相应内容不一致的，以磋商函为准；</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（2）大写金额和小写金额不一致的，以大写金额为准；</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（3）单价金额小数点或者百分比有明显错位的，以磋商函的总价为准，并修改单价；</w:t>
      </w:r>
    </w:p>
    <w:p>
      <w:pPr>
        <w:pStyle w:val="13"/>
        <w:spacing w:line="440" w:lineRule="exact"/>
        <w:ind w:firstLine="420" w:firstLineChars="200"/>
        <w:rPr>
          <w:rFonts w:hint="eastAsia" w:hAnsi="宋体" w:cs="宋体"/>
          <w:bCs/>
          <w:color w:val="auto"/>
          <w:highlight w:val="none"/>
        </w:rPr>
      </w:pPr>
      <w:r>
        <w:rPr>
          <w:rFonts w:hint="eastAsia" w:hAnsi="宋体" w:cs="宋体"/>
          <w:color w:val="auto"/>
          <w:highlight w:val="none"/>
        </w:rPr>
        <w:t>（4）总价金额与按单价汇总金额不一致的，以单价金额计算结果为准。</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18.2　同时出现两种以上不一致的，按照前款规定的顺序修正，修正后的磋商报价经磋商供应商书面确认后对磋商供应商具有约束力。如果磋商供应商不接受修正后的磋商报价，则其磋商无效。</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19. 拒绝接收</w:t>
      </w:r>
    </w:p>
    <w:p>
      <w:pPr>
        <w:pStyle w:val="13"/>
        <w:spacing w:line="440" w:lineRule="exact"/>
        <w:ind w:firstLine="420"/>
        <w:rPr>
          <w:rFonts w:hint="eastAsia" w:hAnsi="宋体" w:cs="宋体"/>
          <w:color w:val="auto"/>
          <w:highlight w:val="none"/>
        </w:rPr>
      </w:pPr>
      <w:r>
        <w:rPr>
          <w:rFonts w:hint="eastAsia" w:hAnsi="宋体" w:cs="宋体"/>
          <w:color w:val="auto"/>
          <w:highlight w:val="none"/>
        </w:rPr>
        <w:t>19.1  磋商供应商未在本章第15.1项规定的时间之前将响应文件送达至本章第15.2项指定地点的，采购代理机构应当拒绝接收该磋商供应商的响应文件。</w:t>
      </w:r>
    </w:p>
    <w:p>
      <w:pPr>
        <w:pStyle w:val="13"/>
        <w:spacing w:line="440" w:lineRule="exact"/>
        <w:ind w:firstLine="420"/>
        <w:rPr>
          <w:rFonts w:hint="eastAsia" w:hAnsi="宋体" w:cs="宋体"/>
          <w:color w:val="auto"/>
          <w:highlight w:val="none"/>
        </w:rPr>
      </w:pPr>
      <w:r>
        <w:rPr>
          <w:rFonts w:hint="eastAsia" w:hAnsi="宋体" w:cs="宋体"/>
          <w:color w:val="auto"/>
          <w:highlight w:val="none"/>
        </w:rPr>
        <w:t>19.2  磋商供应商未在本章第15.3项规定的时间之前将磋商样品送达至本章第15.4项指定地点的，采购代理机构应当拒绝接收该磋商供应商的磋商样品。</w:t>
      </w:r>
    </w:p>
    <w:p>
      <w:pPr>
        <w:pStyle w:val="13"/>
        <w:spacing w:line="460" w:lineRule="exact"/>
        <w:ind w:firstLine="420"/>
        <w:rPr>
          <w:rFonts w:hint="eastAsia" w:hAnsi="宋体" w:cs="宋体"/>
          <w:color w:val="auto"/>
          <w:highlight w:val="none"/>
        </w:rPr>
      </w:pPr>
      <w:r>
        <w:rPr>
          <w:rFonts w:hint="eastAsia" w:hAnsi="宋体" w:cs="宋体"/>
          <w:color w:val="auto"/>
          <w:highlight w:val="none"/>
        </w:rPr>
        <w:t>19.3  磋商供应商未按本章第14.1项要求密封的，采购代理机构应当拒绝接收该磋商供应商的响应文件。</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20. 磋商无效的情形</w:t>
      </w:r>
    </w:p>
    <w:p>
      <w:pPr>
        <w:pStyle w:val="13"/>
        <w:spacing w:line="440" w:lineRule="exact"/>
        <w:ind w:firstLine="422" w:firstLineChars="200"/>
        <w:rPr>
          <w:rFonts w:hint="eastAsia" w:hAnsi="宋体" w:cs="宋体"/>
          <w:color w:val="auto"/>
          <w:highlight w:val="none"/>
        </w:rPr>
      </w:pPr>
      <w:r>
        <w:rPr>
          <w:rFonts w:hint="eastAsia" w:hAnsi="宋体" w:cs="宋体"/>
          <w:b/>
          <w:bCs/>
          <w:color w:val="auto"/>
          <w:highlight w:val="none"/>
        </w:rPr>
        <w:t>20.1  属下列情形之一的，磋商供应商的磋商无效：</w:t>
      </w:r>
    </w:p>
    <w:p>
      <w:pPr>
        <w:pStyle w:val="13"/>
        <w:spacing w:line="440" w:lineRule="exact"/>
        <w:rPr>
          <w:rFonts w:hint="eastAsia" w:hAnsi="宋体" w:cs="宋体"/>
          <w:color w:val="auto"/>
          <w:highlight w:val="none"/>
        </w:rPr>
      </w:pPr>
      <w:r>
        <w:rPr>
          <w:rFonts w:hint="eastAsia" w:hAnsi="宋体" w:cs="宋体"/>
          <w:color w:val="auto"/>
          <w:highlight w:val="none"/>
        </w:rPr>
        <w:t>（1）磋商供应商不具备本章第3项规定的磋商供应商资格要求的；</w:t>
      </w:r>
    </w:p>
    <w:p>
      <w:pPr>
        <w:pStyle w:val="13"/>
        <w:spacing w:line="440" w:lineRule="exact"/>
        <w:rPr>
          <w:rFonts w:hint="eastAsia" w:hAnsi="宋体" w:cs="宋体"/>
          <w:color w:val="auto"/>
          <w:highlight w:val="none"/>
        </w:rPr>
      </w:pPr>
      <w:r>
        <w:rPr>
          <w:rFonts w:hint="eastAsia" w:hAnsi="宋体" w:cs="宋体"/>
          <w:color w:val="auto"/>
          <w:highlight w:val="none"/>
        </w:rPr>
        <w:t xml:space="preserve">（2）响应文件未按本章第8.8项的规定标识或未按规定的正、副本数量递交的； </w:t>
      </w:r>
    </w:p>
    <w:p>
      <w:pPr>
        <w:pStyle w:val="13"/>
        <w:spacing w:line="440" w:lineRule="exact"/>
        <w:rPr>
          <w:rFonts w:hint="eastAsia" w:hAnsi="宋体" w:cs="宋体"/>
          <w:color w:val="auto"/>
          <w:highlight w:val="none"/>
        </w:rPr>
      </w:pPr>
      <w:r>
        <w:rPr>
          <w:rFonts w:hint="eastAsia" w:hAnsi="宋体" w:cs="宋体"/>
          <w:color w:val="auto"/>
          <w:highlight w:val="none"/>
        </w:rPr>
        <w:t>（3）响应文件未按本章第10项的规定编写和提交的（包括缺少应提交的文件或格式不符合第四章“响应文件格式”的要求）；</w:t>
      </w:r>
    </w:p>
    <w:p>
      <w:pPr>
        <w:pStyle w:val="13"/>
        <w:spacing w:line="440" w:lineRule="exact"/>
        <w:rPr>
          <w:rFonts w:hint="eastAsia" w:hAnsi="宋体" w:cs="宋体"/>
          <w:color w:val="auto"/>
          <w:highlight w:val="none"/>
        </w:rPr>
      </w:pPr>
      <w:r>
        <w:rPr>
          <w:rFonts w:hint="eastAsia" w:hAnsi="宋体" w:cs="宋体"/>
          <w:color w:val="auto"/>
          <w:highlight w:val="none"/>
        </w:rPr>
        <w:t>（4）磋商最终报价不符合本章第11项规定的或超过采购预算（包括总价超预算和分项超预算）的；</w:t>
      </w:r>
    </w:p>
    <w:p>
      <w:pPr>
        <w:pStyle w:val="13"/>
        <w:spacing w:line="440" w:lineRule="exact"/>
        <w:rPr>
          <w:rFonts w:hint="eastAsia" w:hAnsi="宋体" w:cs="宋体"/>
          <w:color w:val="auto"/>
          <w:highlight w:val="none"/>
        </w:rPr>
      </w:pPr>
      <w:r>
        <w:rPr>
          <w:rFonts w:hint="eastAsia" w:hAnsi="宋体" w:cs="宋体"/>
          <w:color w:val="auto"/>
          <w:highlight w:val="none"/>
        </w:rPr>
        <w:t>（5）磋商供应商出现本章第17.4.9项或第18.2项或第20项或所述情形的；</w:t>
      </w:r>
    </w:p>
    <w:p>
      <w:pPr>
        <w:pStyle w:val="13"/>
        <w:spacing w:line="440" w:lineRule="exact"/>
        <w:rPr>
          <w:rFonts w:hint="eastAsia" w:hAnsi="宋体" w:cs="宋体"/>
          <w:color w:val="auto"/>
          <w:highlight w:val="none"/>
        </w:rPr>
      </w:pPr>
      <w:r>
        <w:rPr>
          <w:rFonts w:hint="eastAsia" w:hAnsi="宋体" w:cs="宋体"/>
          <w:color w:val="auto"/>
          <w:highlight w:val="none"/>
        </w:rPr>
        <w:t>（6）响应文件未对竞争性磋商采购文件提出的要求和条件作出实质性响应的；</w:t>
      </w:r>
    </w:p>
    <w:p>
      <w:pPr>
        <w:pStyle w:val="13"/>
        <w:spacing w:line="440" w:lineRule="exact"/>
        <w:rPr>
          <w:rFonts w:hint="eastAsia" w:hAnsi="宋体" w:cs="宋体"/>
          <w:color w:val="auto"/>
          <w:highlight w:val="none"/>
        </w:rPr>
      </w:pPr>
      <w:r>
        <w:rPr>
          <w:rFonts w:hint="eastAsia" w:hAnsi="宋体" w:cs="宋体"/>
          <w:color w:val="auto"/>
          <w:highlight w:val="none"/>
        </w:rPr>
        <w:t>（7）磋商小组认为响应文件存在不能接受的严重负偏离；</w:t>
      </w:r>
    </w:p>
    <w:p>
      <w:pPr>
        <w:pStyle w:val="13"/>
        <w:spacing w:line="440" w:lineRule="exact"/>
        <w:rPr>
          <w:rFonts w:hint="eastAsia" w:hAnsi="宋体" w:cs="宋体"/>
          <w:color w:val="auto"/>
          <w:highlight w:val="none"/>
        </w:rPr>
      </w:pPr>
      <w:r>
        <w:rPr>
          <w:rFonts w:hint="eastAsia" w:hAnsi="宋体" w:cs="宋体"/>
          <w:color w:val="auto"/>
          <w:highlight w:val="none"/>
        </w:rPr>
        <w:t>（8）响应文件附有采购需求以外的条件使磋商小组认为不能接受的；</w:t>
      </w:r>
    </w:p>
    <w:p>
      <w:pPr>
        <w:pStyle w:val="13"/>
        <w:spacing w:line="440" w:lineRule="exact"/>
        <w:rPr>
          <w:rFonts w:hint="eastAsia" w:hAnsi="宋体" w:cs="宋体"/>
          <w:color w:val="auto"/>
          <w:highlight w:val="none"/>
        </w:rPr>
      </w:pPr>
      <w:r>
        <w:rPr>
          <w:rFonts w:hint="eastAsia" w:hAnsi="宋体" w:cs="宋体"/>
          <w:color w:val="auto"/>
          <w:highlight w:val="none"/>
        </w:rPr>
        <w:t>（9）磋商供应商在磋商谈判过程中提供虚假材料的；</w:t>
      </w:r>
    </w:p>
    <w:p>
      <w:pPr>
        <w:pStyle w:val="13"/>
        <w:spacing w:line="440" w:lineRule="exact"/>
        <w:rPr>
          <w:rFonts w:hint="eastAsia" w:hAnsi="宋体" w:cs="宋体"/>
          <w:color w:val="auto"/>
          <w:highlight w:val="none"/>
        </w:rPr>
      </w:pPr>
      <w:r>
        <w:rPr>
          <w:rFonts w:hint="eastAsia" w:hAnsi="宋体" w:cs="宋体"/>
          <w:color w:val="auto"/>
          <w:highlight w:val="none"/>
        </w:rPr>
        <w:t>（10）响应文件含有违反国家法律、法规的内容。</w:t>
      </w:r>
    </w:p>
    <w:p>
      <w:pPr>
        <w:pStyle w:val="13"/>
        <w:spacing w:line="440" w:lineRule="exact"/>
        <w:ind w:firstLine="422" w:firstLineChars="200"/>
        <w:rPr>
          <w:rFonts w:hint="eastAsia" w:hAnsi="宋体" w:cs="宋体"/>
          <w:b/>
          <w:color w:val="auto"/>
          <w:highlight w:val="none"/>
        </w:rPr>
      </w:pPr>
      <w:r>
        <w:rPr>
          <w:rFonts w:hint="eastAsia" w:hAnsi="宋体" w:cs="宋体"/>
          <w:b/>
          <w:color w:val="auto"/>
          <w:highlight w:val="none"/>
        </w:rPr>
        <w:t>20.2有下列情形之一的视为磋商供应商相互串通磋商，响应文件将被视为无效：</w:t>
      </w:r>
    </w:p>
    <w:p>
      <w:pPr>
        <w:pStyle w:val="13"/>
        <w:spacing w:line="440" w:lineRule="exact"/>
        <w:rPr>
          <w:rFonts w:hint="eastAsia" w:hAnsi="宋体" w:cs="宋体"/>
          <w:color w:val="auto"/>
          <w:highlight w:val="none"/>
        </w:rPr>
      </w:pPr>
      <w:r>
        <w:rPr>
          <w:rFonts w:hint="eastAsia" w:hAnsi="宋体" w:cs="宋体"/>
          <w:color w:val="auto"/>
          <w:highlight w:val="none"/>
        </w:rPr>
        <w:t>（1）不同磋商供应商的响应文件由同一单位或者个人编制；或不同磋商供应商报名的IP地址一致的；</w:t>
      </w:r>
    </w:p>
    <w:p>
      <w:pPr>
        <w:pStyle w:val="13"/>
        <w:spacing w:line="440" w:lineRule="exact"/>
        <w:rPr>
          <w:rFonts w:hint="eastAsia" w:hAnsi="宋体" w:cs="宋体"/>
          <w:color w:val="auto"/>
          <w:highlight w:val="none"/>
        </w:rPr>
      </w:pPr>
      <w:r>
        <w:rPr>
          <w:rFonts w:hint="eastAsia" w:hAnsi="宋体" w:cs="宋体"/>
          <w:color w:val="auto"/>
          <w:highlight w:val="none"/>
        </w:rPr>
        <w:t>（2）不同磋商供应商委托同一单位或者个人办理磋商事宜；</w:t>
      </w:r>
    </w:p>
    <w:p>
      <w:pPr>
        <w:pStyle w:val="13"/>
        <w:spacing w:line="440" w:lineRule="exact"/>
        <w:rPr>
          <w:rFonts w:hint="eastAsia" w:hAnsi="宋体" w:cs="宋体"/>
          <w:color w:val="auto"/>
          <w:highlight w:val="none"/>
        </w:rPr>
      </w:pPr>
      <w:r>
        <w:rPr>
          <w:rFonts w:hint="eastAsia" w:hAnsi="宋体" w:cs="宋体"/>
          <w:color w:val="auto"/>
          <w:highlight w:val="none"/>
        </w:rPr>
        <w:t>（3）不同的磋商供应商的响应文件载明的项目管理员为同一个人；</w:t>
      </w:r>
    </w:p>
    <w:p>
      <w:pPr>
        <w:pStyle w:val="13"/>
        <w:spacing w:line="440" w:lineRule="exact"/>
        <w:rPr>
          <w:rFonts w:hint="eastAsia" w:hAnsi="宋体" w:cs="宋体"/>
          <w:color w:val="auto"/>
          <w:highlight w:val="none"/>
        </w:rPr>
      </w:pPr>
      <w:r>
        <w:rPr>
          <w:rFonts w:hint="eastAsia" w:hAnsi="宋体" w:cs="宋体"/>
          <w:color w:val="auto"/>
          <w:highlight w:val="none"/>
        </w:rPr>
        <w:t>（4）不同磋商供应商的响应文件异常一致或磋商报价呈规律性差异；</w:t>
      </w:r>
    </w:p>
    <w:p>
      <w:pPr>
        <w:pStyle w:val="13"/>
        <w:spacing w:line="440" w:lineRule="exact"/>
        <w:rPr>
          <w:rFonts w:hint="eastAsia" w:hAnsi="宋体" w:cs="宋体"/>
          <w:color w:val="auto"/>
          <w:highlight w:val="none"/>
        </w:rPr>
      </w:pPr>
      <w:r>
        <w:rPr>
          <w:rFonts w:hint="eastAsia" w:hAnsi="宋体" w:cs="宋体"/>
          <w:color w:val="auto"/>
          <w:highlight w:val="none"/>
        </w:rPr>
        <w:t>（5）不同磋商供应商的响应文件相互混装；</w:t>
      </w:r>
    </w:p>
    <w:p>
      <w:pPr>
        <w:spacing w:line="43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20.3关联供应商不得参加同一合同项下政府采购活动，否则响应文件将被视为</w:t>
      </w:r>
      <w:r>
        <w:rPr>
          <w:rFonts w:hint="eastAsia" w:ascii="宋体" w:hAnsi="宋体" w:cs="宋体"/>
          <w:b/>
          <w:color w:val="auto"/>
          <w:szCs w:val="21"/>
          <w:highlight w:val="none"/>
        </w:rPr>
        <w:t>磋商</w:t>
      </w:r>
      <w:r>
        <w:rPr>
          <w:rFonts w:hint="eastAsia" w:ascii="宋体" w:hAnsi="宋体" w:cs="宋体"/>
          <w:b/>
          <w:bCs/>
          <w:color w:val="auto"/>
          <w:szCs w:val="21"/>
          <w:highlight w:val="none"/>
        </w:rPr>
        <w:t>无效：</w:t>
      </w:r>
    </w:p>
    <w:p>
      <w:pPr>
        <w:spacing w:line="430" w:lineRule="exact"/>
        <w:ind w:firstLine="210" w:firstLineChars="100"/>
        <w:rPr>
          <w:rFonts w:hint="eastAsia" w:ascii="宋体" w:hAnsi="宋体" w:cs="宋体"/>
          <w:color w:val="auto"/>
          <w:szCs w:val="21"/>
          <w:highlight w:val="none"/>
        </w:rPr>
      </w:pPr>
      <w:r>
        <w:rPr>
          <w:rFonts w:hint="eastAsia" w:ascii="宋体" w:hAnsi="宋体" w:cs="宋体"/>
          <w:bCs/>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w:t>
      </w:r>
    </w:p>
    <w:p>
      <w:pPr>
        <w:spacing w:line="43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20.4磋商供应商未按时到达评审会场参加磋商或未能出示相关证件的或书面应答未按规定的时间前递交至磋商小组的视为磋商无效。</w:t>
      </w:r>
    </w:p>
    <w:p>
      <w:pPr>
        <w:pStyle w:val="13"/>
        <w:spacing w:line="440" w:lineRule="exact"/>
        <w:rPr>
          <w:rFonts w:hint="eastAsia" w:hAnsi="宋体" w:cs="宋体"/>
          <w:color w:val="auto"/>
          <w:highlight w:val="none"/>
        </w:rPr>
      </w:pPr>
      <w:r>
        <w:rPr>
          <w:rFonts w:hint="eastAsia" w:hAnsi="宋体" w:cs="宋体"/>
          <w:color w:val="auto"/>
          <w:highlight w:val="none"/>
        </w:rPr>
        <w:t>磋商供应商磋商无效的，磋商小组应当告知有关磋商供应商。</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21. 废标</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21.1  在采购过程中，出现下列情形之一的，予以废标：</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1）符合资格条件的供应商不足三家，或者对竞争性磋商采购文件作实质响应的供应商不足二家的（在资格性检查中，单位负责人为同一人或者存在直接控股、管理关系的不同供应商，不得参加同一合同项下的政府采购活动，多家代理商或经销商参加磋商，如其中两家或两家以上供应商存在分级代理或代销关系，评审时，应当按一个供应商认定。评审时，取其中通过资格审查后的报价最低一家为有效供应商；当报价相同时，则以技术标最优一家为有效供应商；均相同时，由磋商小组集体决定）；</w:t>
      </w:r>
    </w:p>
    <w:p>
      <w:pPr>
        <w:pStyle w:val="13"/>
        <w:spacing w:line="440" w:lineRule="exact"/>
        <w:ind w:firstLine="420"/>
        <w:rPr>
          <w:rFonts w:hint="eastAsia" w:hAnsi="宋体" w:cs="宋体"/>
          <w:bCs/>
          <w:color w:val="auto"/>
          <w:sz w:val="24"/>
          <w:szCs w:val="24"/>
          <w:highlight w:val="none"/>
        </w:rPr>
      </w:pPr>
      <w:r>
        <w:rPr>
          <w:rFonts w:hint="eastAsia" w:hAnsi="宋体" w:cs="宋体"/>
          <w:color w:val="auto"/>
          <w:highlight w:val="none"/>
        </w:rPr>
        <w:t>（2）出现影响采购公正的违法、违规行为的；</w:t>
      </w:r>
    </w:p>
    <w:p>
      <w:pPr>
        <w:pStyle w:val="13"/>
        <w:spacing w:line="440" w:lineRule="exact"/>
        <w:ind w:firstLine="420"/>
        <w:rPr>
          <w:rFonts w:hint="eastAsia" w:hAnsi="宋体" w:cs="宋体"/>
          <w:color w:val="auto"/>
          <w:highlight w:val="none"/>
        </w:rPr>
      </w:pPr>
      <w:r>
        <w:rPr>
          <w:rFonts w:hint="eastAsia" w:hAnsi="宋体" w:cs="宋体"/>
          <w:color w:val="auto"/>
          <w:highlight w:val="none"/>
        </w:rPr>
        <w:t>（3）磋商供应商的报价均超过了采购预算，采购人不能支付的；</w:t>
      </w:r>
    </w:p>
    <w:p>
      <w:pPr>
        <w:pStyle w:val="13"/>
        <w:spacing w:line="440" w:lineRule="exact"/>
        <w:ind w:firstLine="420"/>
        <w:rPr>
          <w:rFonts w:hint="eastAsia" w:hAnsi="宋体" w:cs="宋体"/>
          <w:color w:val="auto"/>
          <w:highlight w:val="none"/>
        </w:rPr>
      </w:pPr>
      <w:r>
        <w:rPr>
          <w:rFonts w:hint="eastAsia" w:hAnsi="宋体" w:cs="宋体"/>
          <w:color w:val="auto"/>
          <w:highlight w:val="none"/>
        </w:rPr>
        <w:t>（4）因重大变故，采购任务取消的。</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21.2  废标后，采购代理机构将在本章第2.1项规定的政府采购信息发布媒体上公告废标理由，不再另行通知。</w:t>
      </w:r>
      <w:r>
        <w:rPr>
          <w:rFonts w:hint="eastAsia" w:hAnsi="宋体" w:cs="宋体"/>
          <w:b/>
          <w:color w:val="auto"/>
          <w:highlight w:val="none"/>
        </w:rPr>
        <w:t>所有潜在供应商应密切关注政府采购信息发布媒体，因未能及时获知，由此产生的如后果均应自行承担。</w:t>
      </w:r>
    </w:p>
    <w:p>
      <w:pPr>
        <w:pStyle w:val="13"/>
        <w:spacing w:line="440" w:lineRule="exact"/>
        <w:jc w:val="center"/>
        <w:rPr>
          <w:rFonts w:hint="eastAsia" w:hAnsi="宋体" w:cs="宋体"/>
          <w:b/>
          <w:bCs/>
          <w:color w:val="auto"/>
          <w:highlight w:val="none"/>
        </w:rPr>
      </w:pPr>
    </w:p>
    <w:p>
      <w:pPr>
        <w:pStyle w:val="13"/>
        <w:jc w:val="center"/>
        <w:outlineLvl w:val="1"/>
        <w:rPr>
          <w:rFonts w:hint="eastAsia" w:hAnsi="宋体" w:cs="宋体"/>
          <w:b/>
          <w:color w:val="auto"/>
          <w:sz w:val="30"/>
          <w:szCs w:val="30"/>
          <w:highlight w:val="none"/>
        </w:rPr>
      </w:pPr>
      <w:bookmarkStart w:id="88" w:name="_Toc7064"/>
      <w:bookmarkStart w:id="89" w:name="_Toc27068"/>
      <w:r>
        <w:rPr>
          <w:rFonts w:hint="eastAsia" w:hAnsi="宋体" w:cs="宋体"/>
          <w:b/>
          <w:color w:val="auto"/>
          <w:sz w:val="30"/>
          <w:szCs w:val="30"/>
          <w:highlight w:val="none"/>
        </w:rPr>
        <w:t>六    合同授予</w:t>
      </w:r>
      <w:bookmarkEnd w:id="88"/>
      <w:bookmarkEnd w:id="89"/>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22.  成交供应商的确定</w:t>
      </w:r>
    </w:p>
    <w:p>
      <w:pPr>
        <w:spacing w:line="440" w:lineRule="exact"/>
        <w:ind w:firstLine="420" w:firstLineChars="200"/>
        <w:rPr>
          <w:rFonts w:hint="eastAsia" w:ascii="宋体" w:hAnsi="宋体" w:cs="宋体"/>
          <w:color w:val="auto"/>
          <w:szCs w:val="20"/>
          <w:highlight w:val="none"/>
        </w:rPr>
      </w:pPr>
      <w:r>
        <w:rPr>
          <w:rFonts w:hint="eastAsia" w:ascii="宋体" w:hAnsi="宋体" w:cs="宋体"/>
          <w:color w:val="auto"/>
          <w:highlight w:val="none"/>
        </w:rPr>
        <w:t xml:space="preserve">22.1  </w:t>
      </w:r>
      <w:r>
        <w:rPr>
          <w:rFonts w:hint="eastAsia" w:ascii="宋体" w:hAnsi="宋体" w:cs="宋体"/>
          <w:color w:val="auto"/>
          <w:szCs w:val="20"/>
          <w:highlight w:val="none"/>
        </w:rPr>
        <w:t>磋商小组按第二章“评审方法”的规定</w:t>
      </w:r>
      <w:r>
        <w:rPr>
          <w:rFonts w:hint="eastAsia" w:ascii="宋体" w:hAnsi="宋体" w:cs="宋体"/>
          <w:color w:val="auto"/>
          <w:highlight w:val="none"/>
        </w:rPr>
        <w:t>排列成交候选供应商顺序，并依照次序确定成交供应商。采购代理机构在评标结束后2个工作日内将评标报告送采购人，采购人在收到评标报告之日起5个工作日内在评标报告推荐的成交候选人名单中按顺序确定成交人。采购人也可以事先授权评标委员会直接确定成交人。</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23.  成交公告及成交通知书</w:t>
      </w:r>
    </w:p>
    <w:p>
      <w:pPr>
        <w:pStyle w:val="13"/>
        <w:spacing w:line="440" w:lineRule="exact"/>
        <w:ind w:firstLine="420" w:firstLineChars="200"/>
        <w:rPr>
          <w:rFonts w:hint="eastAsia" w:hAnsi="宋体" w:cs="宋体"/>
          <w:color w:val="auto"/>
          <w:kern w:val="0"/>
          <w:szCs w:val="21"/>
          <w:highlight w:val="none"/>
        </w:rPr>
      </w:pPr>
      <w:r>
        <w:rPr>
          <w:rFonts w:hint="eastAsia" w:hAnsi="宋体" w:cs="宋体"/>
          <w:color w:val="auto"/>
          <w:highlight w:val="none"/>
        </w:rPr>
        <w:t xml:space="preserve">23.1  </w:t>
      </w:r>
      <w:r>
        <w:rPr>
          <w:rFonts w:hint="eastAsia" w:hAnsi="宋体" w:cs="宋体"/>
          <w:color w:val="auto"/>
          <w:kern w:val="0"/>
          <w:szCs w:val="21"/>
          <w:highlight w:val="none"/>
        </w:rPr>
        <w:t>成交供应商确定后，成交结果由采购代理机构于二个工作日内在本章第2.1项规定的政府采购信息发布媒体上公告，同时向成交供应商发出成交通知书。对未通过审查的磋商供应商，采购代理机构应当告知其未通过的原因；在成交通知书发出前，采购人或采购代理机构应当对成交供应商信用进行查询，如成交供应商被列入失信被执行人、重大税收违法案件当事人名单、政府采购严重违法失信行为记录名单，则将被取消成交资格。</w:t>
      </w:r>
    </w:p>
    <w:p>
      <w:pPr>
        <w:pStyle w:val="13"/>
        <w:spacing w:line="44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23.2  成交通知书对采购人和成交供应商具有同等法律效力。成交通知书发出后，采购人改变成交结果，或者成交供应商放弃成交，应当承担相应的法律责任。</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24.  响应文件及磋商样品的退回</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24.1  采购人及采购代理机构无义务向未成交供应商退回响应文件。</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24.2  成交供应商的磋商样品由采购人保管，作为验收的依据，验收后由采购人退回。</w:t>
      </w:r>
      <w:r>
        <w:rPr>
          <w:rFonts w:hint="eastAsia" w:hAnsi="宋体" w:cs="宋体"/>
          <w:b/>
          <w:color w:val="auto"/>
          <w:highlight w:val="none"/>
        </w:rPr>
        <w:t>未成交供应商的磋商样品由供应商在成交结果公布后两个工作日内领回，否则按无主物品处理。</w:t>
      </w:r>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25.   签订合同</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25.1  采购人和成交供应商应当在第一章“需求一览表”中商务条款要求载明的合同签订期内，根据竞争性磋商采购文件、成交供应商的响应文件及有关澄清承诺书的要求按第五章“合同条款及格式”订立书面合同。联合体磋商的，联合体各方应当共同与采购人签订采购合同，就采购合同约定的事项对采购人承担连带责任。</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25.2  发出成交通知书后，成交供应商有提供虚假材料或虚假承诺或对</w:t>
      </w:r>
      <w:r>
        <w:rPr>
          <w:rFonts w:hint="eastAsia" w:hAnsi="宋体" w:cs="宋体"/>
          <w:color w:val="auto"/>
          <w:spacing w:val="-2"/>
          <w:highlight w:val="none"/>
        </w:rPr>
        <w:t>采购人造成损失的</w:t>
      </w:r>
      <w:r>
        <w:rPr>
          <w:rFonts w:hint="eastAsia" w:hAnsi="宋体" w:cs="宋体"/>
          <w:color w:val="auto"/>
          <w:highlight w:val="none"/>
        </w:rPr>
        <w:t>，成交无效</w:t>
      </w:r>
      <w:r>
        <w:rPr>
          <w:rFonts w:hint="eastAsia" w:hAnsi="宋体" w:cs="宋体"/>
          <w:color w:val="auto"/>
          <w:spacing w:val="-2"/>
          <w:highlight w:val="none"/>
        </w:rPr>
        <w:t>。</w:t>
      </w:r>
      <w:r>
        <w:rPr>
          <w:rFonts w:hint="eastAsia" w:hAnsi="宋体" w:cs="宋体"/>
          <w:color w:val="auto"/>
          <w:highlight w:val="none"/>
        </w:rPr>
        <w:t>给采购人造成的损失，成交供应商应当予以赔偿</w:t>
      </w:r>
      <w:r>
        <w:rPr>
          <w:rFonts w:hint="eastAsia" w:hAnsi="宋体" w:cs="宋体"/>
          <w:color w:val="auto"/>
          <w:spacing w:val="-2"/>
          <w:highlight w:val="none"/>
        </w:rPr>
        <w:t>损失</w:t>
      </w:r>
      <w:r>
        <w:rPr>
          <w:rFonts w:hint="eastAsia" w:hAnsi="宋体" w:cs="宋体"/>
          <w:color w:val="auto"/>
          <w:highlight w:val="none"/>
        </w:rPr>
        <w:t>。</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25.3  发出成交通知书后，采购人无正当理由拒签合同给成交供应商造成损失的，采购人应当予以赔偿损失。</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25.4  成交供应商因不可抗力或者自身原因不能履行政府采购合同的，采购人可以与排位在成交供应商之后第一位的成交候选供应商签订政府采购合同（或重新组织采购），以此类推。</w:t>
      </w: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 xml:space="preserve">25.5  </w:t>
      </w:r>
      <w:r>
        <w:rPr>
          <w:rFonts w:hint="eastAsia" w:hAnsi="宋体" w:cs="宋体"/>
          <w:color w:val="auto"/>
          <w:kern w:val="0"/>
          <w:szCs w:val="28"/>
          <w:highlight w:val="none"/>
        </w:rPr>
        <w:t>政府采购合同自签订之日起2个工作日内，由</w:t>
      </w:r>
      <w:r>
        <w:rPr>
          <w:rFonts w:hint="eastAsia" w:hAnsi="宋体" w:cs="宋体"/>
          <w:color w:val="auto"/>
          <w:highlight w:val="none"/>
        </w:rPr>
        <w:t>成交供应商</w:t>
      </w:r>
      <w:r>
        <w:rPr>
          <w:rFonts w:hint="eastAsia" w:hAnsi="宋体" w:cs="宋体"/>
          <w:color w:val="auto"/>
          <w:kern w:val="0"/>
          <w:szCs w:val="28"/>
          <w:highlight w:val="none"/>
        </w:rPr>
        <w:t>送二份合同副本至采购代理机构</w:t>
      </w:r>
      <w:r>
        <w:rPr>
          <w:rFonts w:hint="eastAsia" w:hAnsi="宋体" w:cs="宋体"/>
          <w:color w:val="auto"/>
          <w:highlight w:val="none"/>
        </w:rPr>
        <w:t>备案</w:t>
      </w:r>
      <w:r>
        <w:rPr>
          <w:rFonts w:hint="eastAsia" w:hAnsi="宋体" w:cs="宋体"/>
          <w:color w:val="auto"/>
          <w:kern w:val="0"/>
          <w:szCs w:val="28"/>
          <w:highlight w:val="none"/>
        </w:rPr>
        <w:t>。</w:t>
      </w:r>
    </w:p>
    <w:p>
      <w:pPr>
        <w:pStyle w:val="13"/>
        <w:spacing w:line="44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25.6  政府采购合同是政府采购项目验收的依据，</w:t>
      </w:r>
      <w:r>
        <w:rPr>
          <w:rFonts w:hint="eastAsia" w:hAnsi="宋体" w:cs="宋体"/>
          <w:color w:val="auto"/>
          <w:highlight w:val="none"/>
        </w:rPr>
        <w:t>成交</w:t>
      </w:r>
      <w:r>
        <w:rPr>
          <w:rFonts w:hint="eastAsia" w:hAnsi="宋体" w:cs="宋体"/>
          <w:color w:val="auto"/>
          <w:kern w:val="0"/>
          <w:szCs w:val="21"/>
          <w:highlight w:val="none"/>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3"/>
        <w:spacing w:line="440" w:lineRule="exact"/>
        <w:ind w:firstLine="360"/>
        <w:rPr>
          <w:rFonts w:hint="eastAsia" w:hAnsi="宋体" w:cs="宋体"/>
          <w:color w:val="auto"/>
          <w:kern w:val="0"/>
          <w:szCs w:val="21"/>
          <w:highlight w:val="none"/>
        </w:rPr>
      </w:pPr>
      <w:r>
        <w:rPr>
          <w:rFonts w:hint="eastAsia" w:hAnsi="宋体" w:cs="宋体"/>
          <w:color w:val="auto"/>
          <w:kern w:val="0"/>
          <w:szCs w:val="21"/>
          <w:highlight w:val="none"/>
        </w:rPr>
        <w:t>25.7  采购人或</w:t>
      </w:r>
      <w:r>
        <w:rPr>
          <w:rFonts w:hint="eastAsia" w:hAnsi="宋体" w:cs="宋体"/>
          <w:color w:val="auto"/>
          <w:highlight w:val="none"/>
        </w:rPr>
        <w:t>成交</w:t>
      </w:r>
      <w:r>
        <w:rPr>
          <w:rFonts w:hint="eastAsia" w:hAnsi="宋体" w:cs="宋体"/>
          <w:color w:val="auto"/>
          <w:kern w:val="0"/>
          <w:szCs w:val="21"/>
          <w:highlight w:val="none"/>
        </w:rPr>
        <w:t>供应商在合同履行过程中存在违反政府采购合同行为的，权益受损当事人应当将有关违约的情况以及拟采取的措施，及时书面报告采购代理机构。</w:t>
      </w:r>
    </w:p>
    <w:p>
      <w:pPr>
        <w:pStyle w:val="13"/>
        <w:spacing w:line="440" w:lineRule="exact"/>
        <w:ind w:firstLine="360"/>
        <w:rPr>
          <w:rFonts w:hint="eastAsia" w:hAnsi="宋体" w:cs="宋体"/>
          <w:color w:val="auto"/>
          <w:highlight w:val="none"/>
        </w:rPr>
      </w:pPr>
      <w:r>
        <w:rPr>
          <w:rFonts w:hint="eastAsia" w:hAnsi="宋体" w:cs="宋体"/>
          <w:color w:val="auto"/>
          <w:highlight w:val="none"/>
        </w:rPr>
        <w:t>25.8  采购人在签订合同之前有权要求成交</w:t>
      </w:r>
      <w:r>
        <w:rPr>
          <w:rFonts w:hint="eastAsia" w:hAnsi="宋体" w:cs="宋体"/>
          <w:color w:val="auto"/>
          <w:kern w:val="0"/>
          <w:szCs w:val="21"/>
          <w:highlight w:val="none"/>
        </w:rPr>
        <w:t>供应商</w:t>
      </w:r>
      <w:r>
        <w:rPr>
          <w:rFonts w:hint="eastAsia" w:hAnsi="宋体" w:cs="宋体"/>
          <w:color w:val="auto"/>
          <w:highlight w:val="none"/>
        </w:rPr>
        <w:t>提供本项目必需的相关资料原件进行核查，成交</w:t>
      </w:r>
      <w:r>
        <w:rPr>
          <w:rFonts w:hint="eastAsia" w:hAnsi="宋体" w:cs="宋体"/>
          <w:color w:val="auto"/>
          <w:kern w:val="0"/>
          <w:szCs w:val="21"/>
          <w:highlight w:val="none"/>
        </w:rPr>
        <w:t>供应商</w:t>
      </w:r>
      <w:r>
        <w:rPr>
          <w:rFonts w:hint="eastAsia" w:hAnsi="宋体" w:cs="宋体"/>
          <w:color w:val="auto"/>
          <w:highlight w:val="none"/>
        </w:rPr>
        <w:t>不得拒绝。如成交</w:t>
      </w:r>
      <w:r>
        <w:rPr>
          <w:rFonts w:hint="eastAsia" w:hAnsi="宋体" w:cs="宋体"/>
          <w:color w:val="auto"/>
          <w:kern w:val="0"/>
          <w:szCs w:val="21"/>
          <w:highlight w:val="none"/>
        </w:rPr>
        <w:t>供应商</w:t>
      </w:r>
      <w:r>
        <w:rPr>
          <w:rFonts w:hint="eastAsia" w:hAnsi="宋体" w:cs="宋体"/>
          <w:color w:val="auto"/>
          <w:highlight w:val="none"/>
        </w:rPr>
        <w:t>拒绝提供，则自行承担由此产生的后果。</w:t>
      </w:r>
    </w:p>
    <w:p>
      <w:pPr>
        <w:pStyle w:val="13"/>
        <w:spacing w:line="440" w:lineRule="exact"/>
        <w:ind w:firstLine="359" w:firstLineChars="171"/>
        <w:rPr>
          <w:rFonts w:hint="eastAsia" w:hAnsi="宋体" w:cs="宋体"/>
          <w:color w:val="auto"/>
          <w:highlight w:val="none"/>
        </w:rPr>
      </w:pPr>
    </w:p>
    <w:p>
      <w:pPr>
        <w:pStyle w:val="13"/>
        <w:spacing w:line="260" w:lineRule="exact"/>
        <w:jc w:val="center"/>
        <w:rPr>
          <w:rFonts w:hint="eastAsia" w:hAnsi="宋体" w:cs="宋体"/>
          <w:color w:val="auto"/>
          <w:highlight w:val="none"/>
        </w:rPr>
      </w:pPr>
    </w:p>
    <w:p>
      <w:pPr>
        <w:pStyle w:val="13"/>
        <w:jc w:val="center"/>
        <w:outlineLvl w:val="1"/>
        <w:rPr>
          <w:rFonts w:hint="eastAsia" w:hAnsi="宋体" w:cs="宋体"/>
          <w:b/>
          <w:color w:val="auto"/>
          <w:sz w:val="30"/>
          <w:szCs w:val="30"/>
          <w:highlight w:val="none"/>
        </w:rPr>
      </w:pPr>
      <w:bookmarkStart w:id="90" w:name="_Toc20344"/>
      <w:bookmarkStart w:id="91" w:name="_Toc27740"/>
      <w:r>
        <w:rPr>
          <w:rFonts w:hint="eastAsia" w:hAnsi="宋体" w:cs="宋体"/>
          <w:b/>
          <w:color w:val="auto"/>
          <w:sz w:val="30"/>
          <w:szCs w:val="30"/>
          <w:highlight w:val="none"/>
        </w:rPr>
        <w:t>七    其他事项</w:t>
      </w:r>
      <w:bookmarkEnd w:id="90"/>
      <w:bookmarkEnd w:id="91"/>
    </w:p>
    <w:p>
      <w:pPr>
        <w:pStyle w:val="13"/>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27.  解释权</w:t>
      </w:r>
    </w:p>
    <w:p>
      <w:pPr>
        <w:pStyle w:val="13"/>
        <w:spacing w:line="440" w:lineRule="exact"/>
        <w:ind w:firstLine="420" w:firstLineChars="200"/>
        <w:jc w:val="left"/>
        <w:rPr>
          <w:rFonts w:hint="eastAsia" w:hAnsi="宋体" w:cs="宋体"/>
          <w:color w:val="auto"/>
          <w:highlight w:val="none"/>
        </w:rPr>
      </w:pPr>
      <w:r>
        <w:rPr>
          <w:rFonts w:hint="eastAsia" w:hAnsi="宋体" w:cs="宋体"/>
          <w:color w:val="auto"/>
          <w:highlight w:val="none"/>
        </w:rPr>
        <w:t>27.1  本竞争性磋商采购文件根据《中华人民共和国政府采购法》、</w:t>
      </w:r>
      <w:r>
        <w:rPr>
          <w:rFonts w:hint="eastAsia" w:hAnsi="宋体" w:cs="宋体"/>
          <w:color w:val="auto"/>
          <w:kern w:val="0"/>
          <w:szCs w:val="21"/>
          <w:highlight w:val="none"/>
        </w:rPr>
        <w:t>《中华人民共和国政府采购法实施条例》、</w:t>
      </w:r>
      <w:r>
        <w:rPr>
          <w:rFonts w:hint="eastAsia" w:hAnsi="宋体" w:cs="宋体"/>
          <w:color w:val="auto"/>
          <w:highlight w:val="none"/>
        </w:rPr>
        <w:t>《政府采购竞争性磋商采购方式管理暂行办法》及相关法律法规编制，解释权属采购代理机构。</w:t>
      </w:r>
    </w:p>
    <w:p>
      <w:pPr>
        <w:pStyle w:val="13"/>
        <w:spacing w:line="440" w:lineRule="exact"/>
        <w:jc w:val="left"/>
        <w:rPr>
          <w:rFonts w:hint="eastAsia" w:hAnsi="宋体" w:cs="宋体"/>
          <w:b/>
          <w:color w:val="auto"/>
          <w:sz w:val="24"/>
          <w:szCs w:val="24"/>
          <w:highlight w:val="none"/>
        </w:rPr>
      </w:pPr>
      <w:r>
        <w:rPr>
          <w:rFonts w:hint="eastAsia" w:hAnsi="宋体" w:cs="宋体"/>
          <w:b/>
          <w:color w:val="auto"/>
          <w:sz w:val="24"/>
          <w:szCs w:val="24"/>
          <w:highlight w:val="none"/>
        </w:rPr>
        <w:t>28.  需要补充的其他内容</w:t>
      </w:r>
    </w:p>
    <w:p>
      <w:pPr>
        <w:pStyle w:val="13"/>
        <w:spacing w:line="440" w:lineRule="exact"/>
        <w:ind w:firstLine="420" w:firstLineChars="200"/>
        <w:jc w:val="left"/>
        <w:rPr>
          <w:rFonts w:hint="eastAsia" w:hAnsi="宋体" w:cs="宋体"/>
          <w:color w:val="auto"/>
          <w:highlight w:val="none"/>
        </w:rPr>
      </w:pPr>
      <w:r>
        <w:rPr>
          <w:rFonts w:hint="eastAsia" w:hAnsi="宋体" w:cs="宋体"/>
          <w:color w:val="auto"/>
          <w:highlight w:val="none"/>
        </w:rPr>
        <w:t>28.1  需要补充的其他内容：见磋商供应商须知前附表。</w:t>
      </w:r>
    </w:p>
    <w:p>
      <w:pPr>
        <w:pStyle w:val="13"/>
        <w:spacing w:line="440" w:lineRule="exact"/>
        <w:ind w:firstLine="420" w:firstLineChars="200"/>
        <w:jc w:val="left"/>
        <w:rPr>
          <w:rFonts w:hint="eastAsia" w:hAnsi="宋体" w:cs="宋体"/>
          <w:color w:val="auto"/>
          <w:highlight w:val="none"/>
        </w:rPr>
      </w:pPr>
      <w:r>
        <w:rPr>
          <w:rFonts w:hint="eastAsia" w:hAnsi="宋体" w:cs="宋体"/>
          <w:color w:val="auto"/>
          <w:highlight w:val="none"/>
        </w:rPr>
        <w:br w:type="page"/>
      </w:r>
    </w:p>
    <w:p>
      <w:pPr>
        <w:pStyle w:val="13"/>
        <w:jc w:val="center"/>
        <w:outlineLvl w:val="0"/>
        <w:rPr>
          <w:rFonts w:hint="eastAsia" w:hAnsi="宋体" w:cs="宋体"/>
          <w:color w:val="auto"/>
          <w:highlight w:val="none"/>
        </w:rPr>
      </w:pPr>
      <w:bookmarkStart w:id="92" w:name="_Toc14785"/>
      <w:bookmarkStart w:id="93" w:name="_Toc213206175"/>
      <w:bookmarkStart w:id="94" w:name="_Toc213325924"/>
      <w:r>
        <w:rPr>
          <w:rFonts w:hint="eastAsia" w:hAnsi="宋体" w:cs="宋体"/>
          <w:b/>
          <w:color w:val="auto"/>
          <w:sz w:val="36"/>
          <w:highlight w:val="none"/>
        </w:rPr>
        <w:t>第四章  响应文件格式</w:t>
      </w:r>
      <w:bookmarkEnd w:id="92"/>
      <w:bookmarkEnd w:id="93"/>
      <w:bookmarkEnd w:id="94"/>
      <w:r>
        <w:rPr>
          <w:rFonts w:hint="eastAsia" w:hAnsi="宋体" w:cs="宋体"/>
          <w:color w:val="auto"/>
          <w:highlight w:val="none"/>
        </w:rPr>
        <w:t xml:space="preserve"> </w:t>
      </w:r>
    </w:p>
    <w:p>
      <w:pPr>
        <w:pStyle w:val="13"/>
        <w:spacing w:line="500" w:lineRule="exact"/>
        <w:rPr>
          <w:rFonts w:hint="eastAsia" w:hAnsi="宋体" w:cs="宋体"/>
          <w:b/>
          <w:color w:val="auto"/>
          <w:highlight w:val="none"/>
        </w:rPr>
      </w:pPr>
    </w:p>
    <w:p>
      <w:pPr>
        <w:pStyle w:val="13"/>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磋商函（格式）</w:t>
      </w:r>
    </w:p>
    <w:p>
      <w:pPr>
        <w:pStyle w:val="13"/>
        <w:spacing w:line="380" w:lineRule="exact"/>
        <w:ind w:firstLine="420" w:firstLineChars="200"/>
        <w:rPr>
          <w:rFonts w:hint="eastAsia" w:hAnsi="宋体" w:cs="宋体"/>
          <w:color w:val="auto"/>
          <w:highlight w:val="none"/>
        </w:rPr>
      </w:pPr>
    </w:p>
    <w:p>
      <w:pPr>
        <w:pStyle w:val="13"/>
        <w:spacing w:line="380" w:lineRule="exact"/>
        <w:ind w:firstLine="42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pPr>
        <w:pStyle w:val="13"/>
        <w:spacing w:line="380" w:lineRule="exact"/>
        <w:ind w:firstLine="420" w:firstLineChars="200"/>
        <w:rPr>
          <w:rFonts w:hint="eastAsia" w:hAnsi="宋体" w:cs="宋体"/>
          <w:color w:val="auto"/>
          <w:highlight w:val="none"/>
        </w:rPr>
      </w:pPr>
    </w:p>
    <w:p>
      <w:pPr>
        <w:pStyle w:val="13"/>
        <w:spacing w:line="380" w:lineRule="exact"/>
        <w:ind w:firstLine="42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 xml:space="preserve">）的竞争性磋商采购文件的全部内容，现正式递交下述文件参加贵方组织的本次政府采购活动： </w:t>
      </w:r>
    </w:p>
    <w:p>
      <w:pPr>
        <w:pStyle w:val="13"/>
        <w:spacing w:line="380" w:lineRule="exact"/>
        <w:ind w:firstLine="420" w:firstLineChars="200"/>
        <w:rPr>
          <w:rFonts w:hint="eastAsia" w:hAnsi="宋体" w:cs="宋体"/>
          <w:color w:val="auto"/>
          <w:highlight w:val="none"/>
        </w:rPr>
      </w:pPr>
      <w:r>
        <w:rPr>
          <w:rFonts w:hint="eastAsia" w:hAnsi="宋体" w:cs="宋体"/>
          <w:color w:val="auto"/>
          <w:highlight w:val="none"/>
        </w:rPr>
        <w:t>合并装订的首次报价文件、技术文件及商务文件正本一份，副本</w:t>
      </w:r>
      <w:r>
        <w:rPr>
          <w:rFonts w:hint="eastAsia" w:hAnsi="宋体" w:cs="宋体"/>
          <w:color w:val="auto"/>
          <w:highlight w:val="none"/>
          <w:u w:val="single"/>
        </w:rPr>
        <w:t xml:space="preserve">   </w:t>
      </w:r>
      <w:r>
        <w:rPr>
          <w:rFonts w:hint="eastAsia" w:hAnsi="宋体" w:cs="宋体"/>
          <w:color w:val="auto"/>
          <w:highlight w:val="none"/>
        </w:rPr>
        <w:t>份（包含按磋商供应商须知第10.1.1、10.1.2、10.1.3项要求提交的全部文件）。</w:t>
      </w:r>
    </w:p>
    <w:p>
      <w:pPr>
        <w:pStyle w:val="13"/>
        <w:spacing w:line="380" w:lineRule="exact"/>
        <w:ind w:firstLine="482"/>
        <w:rPr>
          <w:rFonts w:hint="eastAsia" w:hAnsi="宋体" w:cs="宋体"/>
          <w:color w:val="auto"/>
          <w:highlight w:val="none"/>
        </w:rPr>
      </w:pPr>
      <w:r>
        <w:rPr>
          <w:rFonts w:hint="eastAsia" w:hAnsi="宋体" w:cs="宋体"/>
          <w:color w:val="auto"/>
          <w:highlight w:val="none"/>
        </w:rPr>
        <w:t>据此函，签字人兹宣布：</w:t>
      </w:r>
    </w:p>
    <w:p>
      <w:pPr>
        <w:pStyle w:val="13"/>
        <w:spacing w:line="380" w:lineRule="exact"/>
        <w:ind w:firstLine="482"/>
        <w:rPr>
          <w:rFonts w:hint="eastAsia"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元)的磋商总报价，</w:t>
      </w:r>
      <w:r>
        <w:rPr>
          <w:rFonts w:hint="eastAsia" w:hAnsi="宋体" w:cs="宋体"/>
          <w:color w:val="auto"/>
          <w:szCs w:val="21"/>
          <w:highlight w:val="none"/>
        </w:rPr>
        <w:t>提交服务成果时间</w:t>
      </w:r>
      <w:r>
        <w:rPr>
          <w:rFonts w:hint="eastAsia" w:hAnsi="宋体" w:cs="宋体"/>
          <w:color w:val="auto"/>
          <w:highlight w:val="none"/>
        </w:rPr>
        <w:t>（无分标时填写）：</w:t>
      </w:r>
      <w:r>
        <w:rPr>
          <w:rFonts w:hint="eastAsia" w:hAnsi="宋体" w:cs="宋体"/>
          <w:color w:val="auto"/>
          <w:highlight w:val="none"/>
          <w:u w:val="single"/>
        </w:rPr>
        <w:t xml:space="preserve">            </w:t>
      </w:r>
      <w:r>
        <w:rPr>
          <w:rFonts w:hint="eastAsia" w:hAnsi="宋体" w:cs="宋体"/>
          <w:color w:val="auto"/>
          <w:highlight w:val="none"/>
        </w:rPr>
        <w:t>，提供本项目竞争性磋商采购文件第一章“需求一览表”中相应的采购内容。</w:t>
      </w:r>
    </w:p>
    <w:p>
      <w:pPr>
        <w:pStyle w:val="13"/>
        <w:spacing w:line="380" w:lineRule="exact"/>
        <w:ind w:firstLine="482"/>
        <w:rPr>
          <w:rFonts w:hint="eastAsia" w:hAnsi="宋体" w:cs="宋体"/>
          <w:color w:val="auto"/>
          <w:highlight w:val="none"/>
        </w:rPr>
      </w:pPr>
      <w:r>
        <w:rPr>
          <w:rFonts w:hint="eastAsia" w:hAnsi="宋体" w:cs="宋体"/>
          <w:color w:val="auto"/>
          <w:highlight w:val="none"/>
        </w:rPr>
        <w:t>其中（有分标时填写）：</w:t>
      </w:r>
    </w:p>
    <w:p>
      <w:pPr>
        <w:pStyle w:val="13"/>
        <w:spacing w:line="400" w:lineRule="exact"/>
        <w:ind w:firstLine="482"/>
        <w:rPr>
          <w:rFonts w:hint="eastAsia" w:hAnsi="宋体" w:cs="宋体"/>
          <w:color w:val="auto"/>
          <w:highlight w:val="non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 xml:space="preserve"> (¥</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s="宋体"/>
          <w:color w:val="auto"/>
          <w:szCs w:val="21"/>
          <w:highlight w:val="none"/>
        </w:rPr>
        <w:t>提交服务成果时间</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pPr>
        <w:pStyle w:val="13"/>
        <w:spacing w:line="400" w:lineRule="exact"/>
        <w:ind w:firstLine="482"/>
        <w:rPr>
          <w:rFonts w:hint="eastAsia" w:hAnsi="宋体" w:cs="宋体"/>
          <w:color w:val="auto"/>
          <w:highlight w:val="non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 xml:space="preserve"> (¥</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s="宋体"/>
          <w:color w:val="auto"/>
          <w:szCs w:val="21"/>
          <w:highlight w:val="none"/>
        </w:rPr>
        <w:t>提交服务成果时间</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pPr>
        <w:pStyle w:val="13"/>
        <w:spacing w:line="380" w:lineRule="exact"/>
        <w:ind w:firstLine="482"/>
        <w:rPr>
          <w:rFonts w:hint="eastAsia" w:hAnsi="宋体" w:cs="宋体"/>
          <w:color w:val="auto"/>
          <w:highlight w:val="none"/>
        </w:rPr>
      </w:pPr>
      <w:r>
        <w:rPr>
          <w:rFonts w:hint="eastAsia" w:hAnsi="宋体" w:cs="宋体"/>
          <w:color w:val="auto"/>
          <w:highlight w:val="none"/>
        </w:rPr>
        <w:t>......</w:t>
      </w:r>
    </w:p>
    <w:p>
      <w:pPr>
        <w:pStyle w:val="13"/>
        <w:spacing w:line="380" w:lineRule="exact"/>
        <w:ind w:firstLine="482"/>
        <w:rPr>
          <w:rFonts w:hint="eastAsia" w:hAnsi="宋体" w:cs="宋体"/>
          <w:color w:val="auto"/>
          <w:highlight w:val="none"/>
        </w:rPr>
      </w:pPr>
      <w:r>
        <w:rPr>
          <w:rFonts w:hint="eastAsia" w:hAnsi="宋体" w:cs="宋体"/>
          <w:color w:val="auto"/>
          <w:highlight w:val="none"/>
        </w:rPr>
        <w:t>2、我方同意自本项目竞争性磋商采购文件“磋商供应商须知”第15.1项规定的递交响应文件截止时间起遵循本磋商函，并承诺在“磋商供应商须知”第12.1项规定的磋商有效期内不修改、撤销响应文件。</w:t>
      </w:r>
    </w:p>
    <w:p>
      <w:pPr>
        <w:pStyle w:val="13"/>
        <w:spacing w:line="380" w:lineRule="exact"/>
        <w:ind w:firstLine="482"/>
        <w:rPr>
          <w:rFonts w:hint="eastAsia" w:hAnsi="宋体" w:cs="宋体"/>
          <w:color w:val="auto"/>
          <w:highlight w:val="none"/>
        </w:rPr>
      </w:pPr>
      <w:r>
        <w:rPr>
          <w:rFonts w:hint="eastAsia" w:hAnsi="宋体" w:cs="宋体"/>
          <w:color w:val="auto"/>
          <w:highlight w:val="none"/>
        </w:rPr>
        <w:t>3、我方在此声明，所递交的响应文件及有关资料内容完整、真实和准确。</w:t>
      </w:r>
    </w:p>
    <w:p>
      <w:pPr>
        <w:pStyle w:val="13"/>
        <w:spacing w:line="380" w:lineRule="exact"/>
        <w:ind w:firstLine="482"/>
        <w:rPr>
          <w:rFonts w:hint="eastAsia"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如本项目采购内容涉及须符合国家强制规定的，我方承诺我方本次磋商均符合国家有关强制规定。</w:t>
      </w:r>
    </w:p>
    <w:p>
      <w:pPr>
        <w:pStyle w:val="13"/>
        <w:spacing w:line="380" w:lineRule="exact"/>
        <w:ind w:firstLine="482"/>
        <w:rPr>
          <w:rFonts w:hint="eastAsia" w:hAnsi="宋体" w:cs="宋体"/>
          <w:color w:val="auto"/>
          <w:highlight w:val="none"/>
        </w:rPr>
      </w:pPr>
      <w:r>
        <w:rPr>
          <w:rFonts w:hint="eastAsia" w:hAnsi="宋体" w:cs="宋体"/>
          <w:color w:val="auto"/>
          <w:highlight w:val="none"/>
        </w:rPr>
        <w:t>5、我方承诺已经具备《中华人民共和国政府采购法》中规定的参加政府采购活动的供应商应当具备的条件：</w:t>
      </w:r>
    </w:p>
    <w:p>
      <w:pPr>
        <w:pStyle w:val="13"/>
        <w:numPr>
          <w:ilvl w:val="0"/>
          <w:numId w:val="4"/>
        </w:numPr>
        <w:spacing w:line="380" w:lineRule="exact"/>
        <w:rPr>
          <w:rFonts w:hint="eastAsia" w:hAnsi="宋体" w:cs="宋体"/>
          <w:color w:val="auto"/>
          <w:highlight w:val="none"/>
        </w:rPr>
      </w:pPr>
      <w:r>
        <w:rPr>
          <w:rFonts w:hint="eastAsia" w:hAnsi="宋体" w:cs="宋体"/>
          <w:color w:val="auto"/>
          <w:highlight w:val="none"/>
        </w:rPr>
        <w:t>具有独立承担民事责任的能力；</w:t>
      </w:r>
    </w:p>
    <w:p>
      <w:pPr>
        <w:pStyle w:val="13"/>
        <w:numPr>
          <w:ilvl w:val="0"/>
          <w:numId w:val="4"/>
        </w:numPr>
        <w:spacing w:line="380" w:lineRule="exact"/>
        <w:rPr>
          <w:rFonts w:hint="eastAsia" w:hAnsi="宋体" w:cs="宋体"/>
          <w:color w:val="auto"/>
          <w:highlight w:val="none"/>
        </w:rPr>
      </w:pPr>
      <w:r>
        <w:rPr>
          <w:rFonts w:hint="eastAsia" w:hAnsi="宋体" w:cs="宋体"/>
          <w:color w:val="auto"/>
          <w:highlight w:val="none"/>
        </w:rPr>
        <w:t>具有良好的商业信誉和健全的财务会计制度；</w:t>
      </w:r>
    </w:p>
    <w:p>
      <w:pPr>
        <w:pStyle w:val="13"/>
        <w:numPr>
          <w:ilvl w:val="0"/>
          <w:numId w:val="4"/>
        </w:numPr>
        <w:spacing w:line="380" w:lineRule="exact"/>
        <w:rPr>
          <w:rFonts w:hint="eastAsia" w:hAnsi="宋体" w:cs="宋体"/>
          <w:color w:val="auto"/>
          <w:highlight w:val="none"/>
        </w:rPr>
      </w:pPr>
      <w:r>
        <w:rPr>
          <w:rFonts w:hint="eastAsia" w:hAnsi="宋体" w:cs="宋体"/>
          <w:color w:val="auto"/>
          <w:highlight w:val="none"/>
        </w:rPr>
        <w:t>具有履行合同所必需的设备和专业技术能力；</w:t>
      </w:r>
    </w:p>
    <w:p>
      <w:pPr>
        <w:pStyle w:val="13"/>
        <w:numPr>
          <w:ilvl w:val="0"/>
          <w:numId w:val="4"/>
        </w:numPr>
        <w:spacing w:line="380" w:lineRule="exact"/>
        <w:rPr>
          <w:rFonts w:hint="eastAsia" w:hAnsi="宋体" w:cs="宋体"/>
          <w:color w:val="auto"/>
          <w:highlight w:val="none"/>
        </w:rPr>
      </w:pPr>
      <w:r>
        <w:rPr>
          <w:rFonts w:hint="eastAsia" w:hAnsi="宋体" w:cs="宋体"/>
          <w:color w:val="auto"/>
          <w:highlight w:val="none"/>
        </w:rPr>
        <w:t>有依法缴纳税收和社会保障资金的良好记录；</w:t>
      </w:r>
    </w:p>
    <w:p>
      <w:pPr>
        <w:pStyle w:val="13"/>
        <w:numPr>
          <w:ilvl w:val="0"/>
          <w:numId w:val="4"/>
        </w:numPr>
        <w:spacing w:line="38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参加政府采购活动前三年内，在经营活动中没有重大违法记录（以行政处罚决定书、法院判决书为准）；</w:t>
      </w:r>
    </w:p>
    <w:p>
      <w:pPr>
        <w:pStyle w:val="13"/>
        <w:numPr>
          <w:ilvl w:val="0"/>
          <w:numId w:val="4"/>
        </w:numPr>
        <w:spacing w:line="380" w:lineRule="exact"/>
        <w:rPr>
          <w:rFonts w:hint="eastAsia" w:hAnsi="宋体" w:cs="宋体"/>
          <w:color w:val="auto"/>
          <w:highlight w:val="none"/>
        </w:rPr>
      </w:pPr>
      <w:r>
        <w:rPr>
          <w:rFonts w:hint="eastAsia" w:hAnsi="宋体" w:cs="宋体"/>
          <w:color w:val="auto"/>
          <w:highlight w:val="none"/>
        </w:rPr>
        <w:t>法律、行政法规规定的其他条件。</w:t>
      </w:r>
    </w:p>
    <w:p>
      <w:pPr>
        <w:pStyle w:val="13"/>
        <w:spacing w:line="380" w:lineRule="exact"/>
        <w:ind w:firstLine="482"/>
        <w:rPr>
          <w:rFonts w:hint="eastAsia" w:hAnsi="宋体" w:cs="宋体"/>
          <w:color w:val="auto"/>
          <w:highlight w:val="none"/>
        </w:rPr>
      </w:pPr>
      <w:r>
        <w:rPr>
          <w:rFonts w:hint="eastAsia" w:hAnsi="宋体" w:cs="宋体"/>
          <w:color w:val="auto"/>
          <w:highlight w:val="none"/>
        </w:rPr>
        <w:t>6、如我方成交，我方承诺在收到成交通知书后，在成交通知书规定的期限内，根据竞争性磋商采购文件、我方的响应文件及有关澄清承诺书的要求按第五章“合同条款及格式”与采购人订立书面合同，并按照合同约定承担完成合同的责任和义务。</w:t>
      </w:r>
    </w:p>
    <w:p>
      <w:pPr>
        <w:pStyle w:val="13"/>
        <w:spacing w:line="380" w:lineRule="exact"/>
        <w:ind w:firstLine="482"/>
        <w:rPr>
          <w:rFonts w:hint="eastAsia" w:hAnsi="宋体" w:cs="宋体"/>
          <w:color w:val="auto"/>
          <w:highlight w:val="none"/>
        </w:rPr>
      </w:pPr>
      <w:r>
        <w:rPr>
          <w:rFonts w:hint="eastAsia" w:hAnsi="宋体" w:cs="宋体"/>
          <w:color w:val="auto"/>
          <w:highlight w:val="none"/>
        </w:rPr>
        <w:t>7、我方已详细审核竞争性磋商采购文件，我方知道必须放弃提出含糊不清或误解问题的权利。</w:t>
      </w:r>
    </w:p>
    <w:p>
      <w:pPr>
        <w:pStyle w:val="13"/>
        <w:spacing w:line="380" w:lineRule="exact"/>
        <w:ind w:firstLine="482"/>
        <w:rPr>
          <w:rFonts w:hint="eastAsia" w:hAnsi="宋体" w:cs="宋体"/>
          <w:color w:val="auto"/>
          <w:highlight w:val="none"/>
        </w:rPr>
      </w:pPr>
      <w:r>
        <w:rPr>
          <w:rFonts w:hint="eastAsia" w:hAnsi="宋体" w:cs="宋体"/>
          <w:color w:val="auto"/>
          <w:highlight w:val="none"/>
        </w:rPr>
        <w:t>8、我方承诺满足竞争性磋商采购文件第五章《南宁市政府采购合同》中的条款，承担完成合同的责任和义务。</w:t>
      </w:r>
    </w:p>
    <w:p>
      <w:pPr>
        <w:pStyle w:val="13"/>
        <w:spacing w:line="380" w:lineRule="exact"/>
        <w:ind w:firstLine="482"/>
        <w:rPr>
          <w:rFonts w:hint="eastAsia" w:hAnsi="宋体" w:cs="宋体"/>
          <w:color w:val="auto"/>
          <w:highlight w:val="none"/>
        </w:rPr>
      </w:pPr>
      <w:r>
        <w:rPr>
          <w:rFonts w:hint="eastAsia" w:hAnsi="宋体" w:cs="宋体"/>
          <w:color w:val="auto"/>
          <w:highlight w:val="none"/>
        </w:rPr>
        <w:t>9、我方同意应贵方要求提供与本磋商有关的任何数据或资料。若贵方需要，我方愿意提供我方作出的一切承诺的证明材料。</w:t>
      </w:r>
    </w:p>
    <w:p>
      <w:pPr>
        <w:pStyle w:val="13"/>
        <w:spacing w:line="380" w:lineRule="exact"/>
        <w:ind w:firstLine="482"/>
        <w:rPr>
          <w:rFonts w:hint="eastAsia" w:hAnsi="宋体" w:cs="宋体"/>
          <w:color w:val="auto"/>
          <w:highlight w:val="none"/>
        </w:rPr>
      </w:pPr>
      <w:r>
        <w:rPr>
          <w:rFonts w:hint="eastAsia" w:hAnsi="宋体" w:cs="宋体"/>
          <w:color w:val="auto"/>
          <w:highlight w:val="none"/>
        </w:rPr>
        <w:t>10、我方完全理解贵方不一定接受磋商报价最低的磋商供应商为成交供应商的行为。</w:t>
      </w:r>
    </w:p>
    <w:p>
      <w:pPr>
        <w:pStyle w:val="13"/>
        <w:spacing w:line="380" w:lineRule="exact"/>
        <w:ind w:firstLine="482"/>
        <w:rPr>
          <w:rFonts w:hint="eastAsia" w:hAnsi="宋体" w:cs="宋体"/>
          <w:bCs/>
          <w:color w:val="auto"/>
          <w:highlight w:val="none"/>
        </w:rPr>
      </w:pPr>
      <w:r>
        <w:rPr>
          <w:rFonts w:hint="eastAsia" w:hAnsi="宋体" w:cs="宋体"/>
          <w:bCs/>
          <w:color w:val="auto"/>
          <w:highlight w:val="none"/>
        </w:rPr>
        <w:t>11 、我方完全同意本响应文件中“报价表”内容和成交后签订的采购合同可用于公示，其中所有内容不涉及磋商供应商商业秘密，并承诺可向招标采购单位提供相关电子文档。</w:t>
      </w:r>
    </w:p>
    <w:p>
      <w:pPr>
        <w:pStyle w:val="13"/>
        <w:spacing w:line="380" w:lineRule="exact"/>
        <w:ind w:firstLine="482"/>
        <w:rPr>
          <w:rFonts w:hint="eastAsia" w:hAnsi="宋体" w:cs="宋体"/>
          <w:color w:val="auto"/>
          <w:highlight w:val="none"/>
        </w:rPr>
      </w:pPr>
      <w:r>
        <w:rPr>
          <w:rFonts w:hint="eastAsia" w:hAnsi="宋体" w:cs="宋体"/>
          <w:color w:val="auto"/>
          <w:highlight w:val="none"/>
        </w:rPr>
        <w:t>12、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5"/>
        </w:numPr>
        <w:spacing w:line="380" w:lineRule="exact"/>
        <w:rPr>
          <w:rFonts w:hint="eastAsia" w:hAnsi="宋体" w:cs="宋体"/>
          <w:color w:val="auto"/>
          <w:highlight w:val="none"/>
        </w:rPr>
      </w:pPr>
      <w:r>
        <w:rPr>
          <w:rFonts w:hint="eastAsia" w:hAnsi="宋体" w:cs="宋体"/>
          <w:color w:val="auto"/>
          <w:highlight w:val="none"/>
        </w:rPr>
        <w:t>提供虚假材料谋取中标、成交的；</w:t>
      </w:r>
    </w:p>
    <w:p>
      <w:pPr>
        <w:pStyle w:val="13"/>
        <w:numPr>
          <w:ilvl w:val="0"/>
          <w:numId w:val="5"/>
        </w:numPr>
        <w:spacing w:line="380" w:lineRule="exact"/>
        <w:rPr>
          <w:rFonts w:hint="eastAsia" w:hAnsi="宋体" w:cs="宋体"/>
          <w:color w:val="auto"/>
          <w:highlight w:val="none"/>
        </w:rPr>
      </w:pPr>
      <w:r>
        <w:rPr>
          <w:rFonts w:hint="eastAsia" w:hAnsi="宋体" w:cs="宋体"/>
          <w:color w:val="auto"/>
          <w:highlight w:val="none"/>
        </w:rPr>
        <w:t>采取不正当手段诋毁、排挤其他供应商的；</w:t>
      </w:r>
    </w:p>
    <w:p>
      <w:pPr>
        <w:pStyle w:val="13"/>
        <w:numPr>
          <w:ilvl w:val="0"/>
          <w:numId w:val="5"/>
        </w:numPr>
        <w:spacing w:line="38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pPr>
        <w:pStyle w:val="13"/>
        <w:numPr>
          <w:ilvl w:val="0"/>
          <w:numId w:val="5"/>
        </w:numPr>
        <w:spacing w:line="38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pPr>
        <w:pStyle w:val="13"/>
        <w:numPr>
          <w:ilvl w:val="0"/>
          <w:numId w:val="5"/>
        </w:numPr>
        <w:spacing w:line="380" w:lineRule="exact"/>
        <w:rPr>
          <w:rFonts w:hint="eastAsia" w:hAnsi="宋体" w:cs="宋体"/>
          <w:color w:val="auto"/>
          <w:highlight w:val="none"/>
        </w:rPr>
      </w:pPr>
      <w:r>
        <w:rPr>
          <w:rFonts w:hint="eastAsia" w:hAnsi="宋体" w:cs="宋体"/>
          <w:color w:val="auto"/>
          <w:highlight w:val="none"/>
        </w:rPr>
        <w:t>在采购过程中与采购人进行协商谈判的；</w:t>
      </w:r>
    </w:p>
    <w:p>
      <w:pPr>
        <w:pStyle w:val="13"/>
        <w:numPr>
          <w:ilvl w:val="0"/>
          <w:numId w:val="5"/>
        </w:numPr>
        <w:spacing w:line="380" w:lineRule="exact"/>
        <w:rPr>
          <w:rFonts w:hint="eastAsia" w:hAnsi="宋体" w:cs="宋体"/>
          <w:color w:val="auto"/>
          <w:highlight w:val="none"/>
        </w:rPr>
      </w:pPr>
      <w:r>
        <w:rPr>
          <w:rFonts w:hint="eastAsia" w:hAnsi="宋体" w:cs="宋体"/>
          <w:color w:val="auto"/>
          <w:highlight w:val="none"/>
        </w:rPr>
        <w:t>拒绝有关部门监督检查或提供虚假情况的。</w:t>
      </w:r>
    </w:p>
    <w:p>
      <w:pPr>
        <w:pStyle w:val="13"/>
        <w:spacing w:line="400" w:lineRule="exact"/>
        <w:rPr>
          <w:rFonts w:hint="eastAsia" w:hAnsi="宋体" w:cs="宋体"/>
          <w:color w:val="auto"/>
          <w:highlight w:val="none"/>
        </w:rPr>
      </w:pPr>
    </w:p>
    <w:p>
      <w:pPr>
        <w:pStyle w:val="13"/>
        <w:spacing w:line="420" w:lineRule="exact"/>
        <w:rPr>
          <w:rFonts w:hint="eastAsia" w:hAnsi="宋体" w:cs="宋体"/>
          <w:color w:val="auto"/>
          <w:highlight w:val="none"/>
        </w:rPr>
      </w:pPr>
    </w:p>
    <w:p>
      <w:pPr>
        <w:pStyle w:val="13"/>
        <w:spacing w:line="420" w:lineRule="exact"/>
        <w:ind w:firstLine="420"/>
        <w:rPr>
          <w:rFonts w:hint="eastAsia" w:hAnsi="宋体" w:cs="宋体"/>
          <w:color w:val="auto"/>
          <w:highlight w:val="none"/>
        </w:rPr>
      </w:pPr>
      <w:r>
        <w:rPr>
          <w:rFonts w:hint="eastAsia" w:hAnsi="宋体" w:cs="宋体"/>
          <w:color w:val="auto"/>
          <w:highlight w:val="none"/>
        </w:rPr>
        <w:t>磋商供应商：</w:t>
      </w:r>
      <w:r>
        <w:rPr>
          <w:rFonts w:hint="eastAsia" w:hAnsi="宋体" w:cs="宋体"/>
          <w:color w:val="auto"/>
          <w:highlight w:val="none"/>
          <w:u w:val="single"/>
        </w:rPr>
        <w:t xml:space="preserve">                                           </w:t>
      </w:r>
      <w:r>
        <w:rPr>
          <w:rFonts w:hint="eastAsia" w:hAnsi="宋体" w:cs="宋体"/>
          <w:color w:val="auto"/>
          <w:highlight w:val="none"/>
        </w:rPr>
        <w:t>（盖单位公章）</w:t>
      </w:r>
    </w:p>
    <w:p>
      <w:pPr>
        <w:snapToGrid w:val="0"/>
        <w:spacing w:line="42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统一社会信用代码：</w:t>
      </w:r>
      <w:r>
        <w:rPr>
          <w:rFonts w:hint="eastAsia" w:ascii="宋体" w:hAnsi="宋体" w:cs="宋体"/>
          <w:color w:val="auto"/>
          <w:szCs w:val="21"/>
          <w:highlight w:val="none"/>
          <w:u w:val="single"/>
        </w:rPr>
        <w:t xml:space="preserve">                                    </w:t>
      </w:r>
    </w:p>
    <w:p>
      <w:pPr>
        <w:snapToGrid w:val="0"/>
        <w:spacing w:line="42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开户行及帐号：</w:t>
      </w:r>
      <w:r>
        <w:rPr>
          <w:rFonts w:hint="eastAsia" w:ascii="宋体" w:hAnsi="宋体" w:cs="宋体"/>
          <w:color w:val="auto"/>
          <w:szCs w:val="21"/>
          <w:highlight w:val="none"/>
          <w:u w:val="single"/>
        </w:rPr>
        <w:t xml:space="preserve">                                        </w:t>
      </w:r>
    </w:p>
    <w:p>
      <w:pPr>
        <w:snapToGrid w:val="0"/>
        <w:spacing w:line="420" w:lineRule="exact"/>
        <w:ind w:firstLine="424" w:firstLineChars="202"/>
        <w:rPr>
          <w:rFonts w:hint="eastAsia" w:ascii="宋体" w:hAnsi="宋体" w:cs="宋体"/>
          <w:color w:val="auto"/>
          <w:szCs w:val="21"/>
          <w:highlight w:val="none"/>
        </w:rPr>
      </w:pPr>
      <w:r>
        <w:rPr>
          <w:rFonts w:hint="eastAsia" w:ascii="宋体" w:hAnsi="宋体" w:cs="宋体"/>
          <w:color w:val="auto"/>
          <w:highlight w:val="none"/>
        </w:rPr>
        <w:t>磋商供应商</w:t>
      </w: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p>
    <w:p>
      <w:pPr>
        <w:snapToGrid w:val="0"/>
        <w:spacing w:line="420" w:lineRule="exact"/>
        <w:ind w:firstLine="424" w:firstLineChars="202"/>
        <w:rPr>
          <w:rFonts w:hint="eastAsia" w:ascii="宋体" w:hAnsi="宋体" w:cs="宋体"/>
          <w:color w:val="auto"/>
          <w:szCs w:val="21"/>
          <w:highlight w:val="none"/>
        </w:rPr>
      </w:pPr>
      <w:r>
        <w:rPr>
          <w:rFonts w:hint="eastAsia" w:ascii="宋体" w:hAnsi="宋体" w:cs="宋体"/>
          <w:color w:val="auto"/>
          <w:highlight w:val="none"/>
        </w:rPr>
        <w:t>联系</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p>
    <w:p>
      <w:pPr>
        <w:snapToGrid w:val="0"/>
        <w:spacing w:line="42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法定代表人姓名：</w:t>
      </w:r>
      <w:r>
        <w:rPr>
          <w:rFonts w:hint="eastAsia" w:ascii="宋体" w:hAnsi="宋体" w:cs="宋体"/>
          <w:color w:val="auto"/>
          <w:szCs w:val="21"/>
          <w:highlight w:val="none"/>
          <w:u w:val="single"/>
        </w:rPr>
        <w:t xml:space="preserve">         　　　　　　　　    　      </w:t>
      </w:r>
    </w:p>
    <w:p>
      <w:pPr>
        <w:snapToGrid w:val="0"/>
        <w:spacing w:line="42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法定代表人身份证号码：</w:t>
      </w:r>
      <w:r>
        <w:rPr>
          <w:rFonts w:hint="eastAsia" w:ascii="宋体" w:hAnsi="宋体" w:cs="宋体"/>
          <w:color w:val="auto"/>
          <w:szCs w:val="21"/>
          <w:highlight w:val="none"/>
          <w:u w:val="single"/>
        </w:rPr>
        <w:t xml:space="preserve">              　　 　          </w:t>
      </w:r>
    </w:p>
    <w:p>
      <w:pPr>
        <w:snapToGrid w:val="0"/>
        <w:spacing w:line="42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授权委托代理人姓名：</w:t>
      </w:r>
      <w:r>
        <w:rPr>
          <w:rFonts w:hint="eastAsia" w:ascii="宋体" w:hAnsi="宋体" w:cs="宋体"/>
          <w:color w:val="auto"/>
          <w:szCs w:val="21"/>
          <w:highlight w:val="none"/>
          <w:u w:val="single"/>
        </w:rPr>
        <w:t xml:space="preserve">        　　　　　　　　　　     </w:t>
      </w:r>
    </w:p>
    <w:p>
      <w:pPr>
        <w:snapToGrid w:val="0"/>
        <w:spacing w:line="42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授权委托代理人身份证号码：</w:t>
      </w:r>
      <w:r>
        <w:rPr>
          <w:rFonts w:hint="eastAsia" w:ascii="宋体" w:hAnsi="宋体" w:cs="宋体"/>
          <w:color w:val="auto"/>
          <w:szCs w:val="21"/>
          <w:highlight w:val="none"/>
          <w:u w:val="single"/>
        </w:rPr>
        <w:t xml:space="preserve">             　            </w:t>
      </w:r>
    </w:p>
    <w:p>
      <w:pPr>
        <w:pStyle w:val="13"/>
        <w:spacing w:line="400" w:lineRule="exact"/>
        <w:ind w:firstLine="420"/>
        <w:rPr>
          <w:rFonts w:hint="eastAsia" w:hAnsi="宋体" w:cs="宋体"/>
          <w:color w:val="auto"/>
          <w:highlight w:val="none"/>
          <w:u w:val="single"/>
        </w:rPr>
      </w:pPr>
      <w:r>
        <w:rPr>
          <w:rFonts w:hint="eastAsia" w:hAnsi="宋体" w:cs="宋体"/>
          <w:color w:val="auto"/>
          <w:highlight w:val="none"/>
        </w:rPr>
        <w:t>法定代表人或其委托代理人：</w:t>
      </w:r>
      <w:r>
        <w:rPr>
          <w:rFonts w:hint="eastAsia" w:hAnsi="宋体" w:cs="宋体"/>
          <w:color w:val="auto"/>
          <w:highlight w:val="none"/>
          <w:u w:val="single"/>
        </w:rPr>
        <w:t xml:space="preserve">               </w:t>
      </w:r>
      <w:r>
        <w:rPr>
          <w:rFonts w:hint="eastAsia" w:hAnsi="宋体" w:cs="宋体"/>
          <w:color w:val="auto"/>
          <w:highlight w:val="none"/>
        </w:rPr>
        <w:t>（签字或盖章）</w:t>
      </w:r>
    </w:p>
    <w:p>
      <w:pPr>
        <w:pStyle w:val="13"/>
        <w:spacing w:line="400" w:lineRule="exact"/>
        <w:ind w:firstLine="420"/>
        <w:jc w:val="right"/>
        <w:rPr>
          <w:rFonts w:hint="eastAsia" w:hAnsi="宋体" w:cs="宋体"/>
          <w:bCs/>
          <w:color w:val="auto"/>
          <w:highlight w:val="none"/>
          <w:u w:val="single"/>
        </w:rPr>
      </w:pPr>
    </w:p>
    <w:p>
      <w:pPr>
        <w:pStyle w:val="13"/>
        <w:spacing w:line="400" w:lineRule="exact"/>
        <w:ind w:firstLine="420"/>
        <w:jc w:val="right"/>
        <w:rPr>
          <w:rFonts w:hint="eastAsia" w:hAnsi="宋体" w:cs="宋体"/>
          <w:bCs/>
          <w:color w:val="auto"/>
          <w:highlight w:val="none"/>
          <w:u w:val="single"/>
        </w:rPr>
      </w:pPr>
    </w:p>
    <w:p>
      <w:pPr>
        <w:pStyle w:val="13"/>
        <w:spacing w:line="400" w:lineRule="exact"/>
        <w:ind w:firstLine="420"/>
        <w:jc w:val="right"/>
        <w:rPr>
          <w:rFonts w:hint="eastAsia" w:hAnsi="宋体" w:cs="宋体"/>
          <w:bCs/>
          <w:color w:val="auto"/>
          <w:szCs w:val="21"/>
          <w:highlight w:val="none"/>
        </w:rPr>
      </w:pPr>
      <w:r>
        <w:rPr>
          <w:rFonts w:hint="eastAsia" w:hAnsi="宋体" w:cs="宋体"/>
          <w:bCs/>
          <w:color w:val="auto"/>
          <w:highlight w:val="none"/>
          <w:u w:val="single"/>
        </w:rPr>
        <w:t xml:space="preserve">    </w:t>
      </w:r>
      <w:r>
        <w:rPr>
          <w:rFonts w:hint="eastAsia" w:hAnsi="宋体" w:cs="宋体"/>
          <w:bCs/>
          <w:color w:val="auto"/>
          <w:szCs w:val="21"/>
          <w:highlight w:val="none"/>
        </w:rPr>
        <w:t>年</w:t>
      </w:r>
      <w:r>
        <w:rPr>
          <w:rFonts w:hint="eastAsia" w:hAnsi="宋体" w:cs="宋体"/>
          <w:bCs/>
          <w:color w:val="auto"/>
          <w:highlight w:val="none"/>
          <w:u w:val="single"/>
        </w:rPr>
        <w:t xml:space="preserve">    </w:t>
      </w:r>
      <w:r>
        <w:rPr>
          <w:rFonts w:hint="eastAsia" w:hAnsi="宋体" w:cs="宋体"/>
          <w:bCs/>
          <w:color w:val="auto"/>
          <w:szCs w:val="21"/>
          <w:highlight w:val="none"/>
        </w:rPr>
        <w:t>月</w:t>
      </w:r>
      <w:r>
        <w:rPr>
          <w:rFonts w:hint="eastAsia" w:hAnsi="宋体" w:cs="宋体"/>
          <w:bCs/>
          <w:color w:val="auto"/>
          <w:highlight w:val="none"/>
          <w:u w:val="single"/>
        </w:rPr>
        <w:t xml:space="preserve">    </w:t>
      </w:r>
      <w:r>
        <w:rPr>
          <w:rFonts w:hint="eastAsia" w:hAnsi="宋体" w:cs="宋体"/>
          <w:bCs/>
          <w:color w:val="auto"/>
          <w:szCs w:val="21"/>
          <w:highlight w:val="none"/>
        </w:rPr>
        <w:t>日</w:t>
      </w:r>
    </w:p>
    <w:p>
      <w:pPr>
        <w:pStyle w:val="13"/>
        <w:wordWrap w:val="0"/>
        <w:spacing w:line="400" w:lineRule="exact"/>
        <w:ind w:left="1140" w:right="210"/>
        <w:jc w:val="right"/>
        <w:rPr>
          <w:rFonts w:hint="eastAsia" w:hAnsi="宋体" w:cs="宋体"/>
          <w:color w:val="auto"/>
          <w:highlight w:val="none"/>
          <w:u w:val="single"/>
        </w:rPr>
      </w:pPr>
    </w:p>
    <w:p>
      <w:pPr>
        <w:pStyle w:val="13"/>
        <w:spacing w:line="360" w:lineRule="auto"/>
        <w:rPr>
          <w:rFonts w:hint="eastAsia" w:hAnsi="宋体" w:cs="宋体"/>
          <w:b/>
          <w:color w:val="auto"/>
          <w:sz w:val="24"/>
          <w:szCs w:val="24"/>
          <w:highlight w:val="none"/>
        </w:rPr>
      </w:pPr>
      <w:r>
        <w:rPr>
          <w:rFonts w:hint="eastAsia" w:hAnsi="宋体" w:cs="宋体"/>
          <w:b/>
          <w:bCs/>
          <w:color w:val="auto"/>
          <w:highlight w:val="none"/>
        </w:rPr>
        <w:br w:type="page"/>
      </w:r>
    </w:p>
    <w:p>
      <w:pPr>
        <w:pStyle w:val="13"/>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磋商报价表（格式）</w:t>
      </w:r>
    </w:p>
    <w:p>
      <w:pPr>
        <w:pStyle w:val="13"/>
        <w:rPr>
          <w:rFonts w:hint="eastAsia" w:hAnsi="宋体" w:cs="宋体"/>
          <w:b/>
          <w:color w:val="auto"/>
          <w:sz w:val="24"/>
          <w:szCs w:val="24"/>
          <w:highlight w:val="none"/>
        </w:rPr>
      </w:pPr>
    </w:p>
    <w:p>
      <w:pPr>
        <w:pStyle w:val="13"/>
        <w:rPr>
          <w:rFonts w:hint="eastAsia" w:hAnsi="宋体" w:cs="宋体"/>
          <w:color w:val="auto"/>
          <w:highlight w:val="none"/>
        </w:rPr>
      </w:pPr>
    </w:p>
    <w:tbl>
      <w:tblPr>
        <w:tblStyle w:val="25"/>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hAnsi="宋体" w:cs="宋体"/>
                <w:color w:val="auto"/>
                <w:highlight w:val="none"/>
              </w:rPr>
            </w:pPr>
            <w:r>
              <w:rPr>
                <w:rFonts w:hint="eastAsia" w:hAnsi="宋体" w:cs="宋体"/>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hAnsi="宋体" w:cs="宋体"/>
                <w:color w:val="auto"/>
                <w:highlight w:val="none"/>
              </w:rPr>
            </w:pPr>
            <w:r>
              <w:rPr>
                <w:rFonts w:hint="eastAsia" w:hAnsi="宋体" w:cs="宋体"/>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单项合价（元）</w:t>
            </w:r>
          </w:p>
          <w:p>
            <w:pPr>
              <w:pStyle w:val="13"/>
              <w:jc w:val="center"/>
              <w:rPr>
                <w:rFonts w:hint="eastAsia" w:hAnsi="宋体" w:cs="宋体"/>
                <w:color w:val="auto"/>
                <w:highlight w:val="none"/>
              </w:rPr>
            </w:pPr>
            <w:r>
              <w:rPr>
                <w:rFonts w:hint="eastAsia" w:hAnsi="宋体" w:cs="宋体"/>
                <w:color w:val="auto"/>
                <w:highlight w:val="none"/>
              </w:rPr>
              <w:t>③＝①×②</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9464"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2"/>
                <w:highlight w:val="none"/>
              </w:rPr>
            </w:pPr>
            <w:r>
              <w:rPr>
                <w:rFonts w:hint="eastAsia" w:ascii="宋体" w:hAnsi="宋体" w:cs="宋体"/>
                <w:color w:val="auto"/>
                <w:szCs w:val="22"/>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64" w:type="dxa"/>
            <w:gridSpan w:val="7"/>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u w:val="single"/>
              </w:rPr>
              <w:t>　　</w:t>
            </w:r>
            <w:r>
              <w:rPr>
                <w:rFonts w:hint="eastAsia" w:hAnsi="宋体" w:cs="宋体"/>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64" w:type="dxa"/>
            <w:gridSpan w:val="7"/>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64" w:type="dxa"/>
            <w:gridSpan w:val="7"/>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法定代表人或其委托代理人（签字或盖章）：</w:t>
            </w:r>
          </w:p>
        </w:tc>
      </w:tr>
    </w:tbl>
    <w:p>
      <w:pPr>
        <w:pStyle w:val="13"/>
        <w:ind w:firstLine="210" w:firstLineChars="100"/>
        <w:rPr>
          <w:rFonts w:hint="eastAsia" w:hAnsi="宋体" w:cs="宋体"/>
          <w:color w:val="auto"/>
          <w:highlight w:val="none"/>
        </w:rPr>
      </w:pPr>
      <w:r>
        <w:rPr>
          <w:rFonts w:hint="eastAsia" w:hAnsi="宋体" w:cs="宋体"/>
          <w:color w:val="auto"/>
          <w:highlight w:val="none"/>
        </w:rPr>
        <w:t>注：表格内容均需按要求填写并盖章，除“备注”外不得留空, 否则按磋商无效处理。</w:t>
      </w:r>
    </w:p>
    <w:p>
      <w:pPr>
        <w:pStyle w:val="13"/>
        <w:rPr>
          <w:rFonts w:hint="eastAsia" w:hAnsi="宋体" w:cs="宋体"/>
          <w:color w:val="auto"/>
          <w:highlight w:val="none"/>
        </w:rPr>
      </w:pPr>
    </w:p>
    <w:p>
      <w:pPr>
        <w:pStyle w:val="13"/>
        <w:rPr>
          <w:rFonts w:hint="eastAsia" w:hAnsi="宋体" w:cs="宋体"/>
          <w:color w:val="auto"/>
          <w:highlight w:val="none"/>
        </w:rPr>
      </w:pPr>
    </w:p>
    <w:p>
      <w:pPr>
        <w:pStyle w:val="13"/>
        <w:rPr>
          <w:rFonts w:hint="eastAsia" w:hAnsi="宋体" w:cs="宋体"/>
          <w:color w:val="auto"/>
          <w:highlight w:val="none"/>
        </w:rPr>
      </w:pPr>
    </w:p>
    <w:p>
      <w:pPr>
        <w:pStyle w:val="13"/>
        <w:rPr>
          <w:rFonts w:hint="eastAsia" w:hAnsi="宋体" w:cs="宋体"/>
          <w:color w:val="auto"/>
          <w:highlight w:val="none"/>
        </w:rPr>
      </w:pPr>
    </w:p>
    <w:p>
      <w:pPr>
        <w:pStyle w:val="13"/>
        <w:rPr>
          <w:rFonts w:hint="eastAsia" w:hAnsi="宋体" w:cs="宋体"/>
          <w:color w:val="auto"/>
          <w:highlight w:val="none"/>
        </w:rPr>
      </w:pPr>
    </w:p>
    <w:p>
      <w:pPr>
        <w:pStyle w:val="13"/>
        <w:spacing w:line="500" w:lineRule="exact"/>
        <w:rPr>
          <w:rFonts w:hint="eastAsia" w:hAnsi="宋体" w:cs="宋体"/>
          <w:color w:val="auto"/>
          <w:highlight w:val="none"/>
          <w:u w:val="single"/>
        </w:rPr>
      </w:pPr>
    </w:p>
    <w:p>
      <w:pPr>
        <w:pStyle w:val="13"/>
        <w:jc w:val="center"/>
        <w:rPr>
          <w:rFonts w:hint="eastAsia" w:hAnsi="宋体" w:cs="宋体"/>
          <w:color w:val="auto"/>
          <w:highlight w:val="none"/>
        </w:rPr>
      </w:pPr>
      <w:r>
        <w:rPr>
          <w:rFonts w:hint="eastAsia" w:hAnsi="宋体" w:cs="宋体"/>
          <w:color w:val="auto"/>
          <w:highlight w:val="none"/>
        </w:rPr>
        <w:br w:type="page"/>
      </w:r>
    </w:p>
    <w:p>
      <w:pPr>
        <w:pStyle w:val="13"/>
        <w:jc w:val="center"/>
        <w:rPr>
          <w:rFonts w:hint="eastAsia" w:hAnsi="宋体" w:cs="宋体"/>
          <w:b/>
          <w:color w:val="auto"/>
          <w:sz w:val="30"/>
          <w:szCs w:val="30"/>
          <w:highlight w:val="none"/>
        </w:rPr>
      </w:pPr>
      <w:r>
        <w:rPr>
          <w:rFonts w:hint="eastAsia" w:hAnsi="宋体" w:cs="宋体"/>
          <w:b/>
          <w:color w:val="auto"/>
          <w:sz w:val="30"/>
          <w:szCs w:val="30"/>
          <w:highlight w:val="none"/>
        </w:rPr>
        <w:t>中小企业声明函（格式）</w:t>
      </w:r>
    </w:p>
    <w:p>
      <w:pPr>
        <w:spacing w:line="360" w:lineRule="auto"/>
        <w:ind w:firstLine="420" w:firstLineChars="200"/>
        <w:rPr>
          <w:rFonts w:hint="eastAsia" w:ascii="宋体" w:hAnsi="宋体"/>
          <w:color w:val="auto"/>
          <w:kern w:val="0"/>
          <w:szCs w:val="21"/>
          <w:highlight w:val="none"/>
        </w:rPr>
      </w:pP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本公司（联合体）郑重声明，根据《政府采购促进中小企业发展管理办法》（财库﹝2020﹞46号）的规定，本公司（联合体）参加</w:t>
      </w:r>
      <w:r>
        <w:rPr>
          <w:rFonts w:ascii="宋体" w:hAnsi="宋体"/>
          <w:color w:val="auto"/>
          <w:kern w:val="0"/>
          <w:szCs w:val="21"/>
          <w:highlight w:val="none"/>
          <w:u w:val="single"/>
        </w:rPr>
        <w:t>（单位名称）</w:t>
      </w:r>
      <w:r>
        <w:rPr>
          <w:rFonts w:ascii="宋体" w:hAnsi="宋体"/>
          <w:color w:val="auto"/>
          <w:kern w:val="0"/>
          <w:szCs w:val="21"/>
          <w:highlight w:val="none"/>
        </w:rPr>
        <w:t>的</w:t>
      </w:r>
      <w:r>
        <w:rPr>
          <w:rFonts w:ascii="宋体" w:hAnsi="宋体"/>
          <w:color w:val="auto"/>
          <w:kern w:val="0"/>
          <w:szCs w:val="21"/>
          <w:highlight w:val="none"/>
          <w:u w:val="single"/>
        </w:rPr>
        <w:t>（项目名称）</w:t>
      </w:r>
      <w:r>
        <w:rPr>
          <w:rFonts w:ascii="宋体" w:hAnsi="宋体"/>
          <w:color w:val="auto"/>
          <w:kern w:val="0"/>
          <w:szCs w:val="21"/>
          <w:highlight w:val="none"/>
        </w:rPr>
        <w:t>采购活动，</w:t>
      </w:r>
      <w:r>
        <w:rPr>
          <w:rFonts w:hint="eastAsia" w:ascii="宋体" w:hAnsi="宋体" w:cs="宋体"/>
          <w:color w:val="auto"/>
          <w:kern w:val="0"/>
          <w:szCs w:val="21"/>
          <w:highlight w:val="none"/>
        </w:rPr>
        <w:t>服务全部由符合政策要求的中小企业承接</w:t>
      </w:r>
      <w:r>
        <w:rPr>
          <w:rFonts w:ascii="宋体" w:hAnsi="宋体"/>
          <w:color w:val="auto"/>
          <w:kern w:val="0"/>
          <w:szCs w:val="21"/>
          <w:highlight w:val="none"/>
        </w:rPr>
        <w:t>。相关企业（含联合体中的中小企业、签订分包意向协议的中小企业） 的具体情况如下：</w:t>
      </w:r>
    </w:p>
    <w:p>
      <w:pPr>
        <w:autoSpaceDE w:val="0"/>
        <w:autoSpaceDN w:val="0"/>
        <w:adjustRightIn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w:t>
      </w:r>
    </w:p>
    <w:p>
      <w:pPr>
        <w:autoSpaceDE w:val="0"/>
        <w:autoSpaceDN w:val="0"/>
        <w:adjustRightIn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本企业对上述声明内容的真实性负责。如有虚假，将依法承担相应责任。</w:t>
      </w:r>
    </w:p>
    <w:p>
      <w:pPr>
        <w:spacing w:line="360" w:lineRule="auto"/>
        <w:jc w:val="left"/>
        <w:rPr>
          <w:rFonts w:ascii="宋体" w:hAnsi="宋体"/>
          <w:color w:val="auto"/>
          <w:kern w:val="0"/>
          <w:szCs w:val="21"/>
          <w:highlight w:val="none"/>
        </w:rPr>
      </w:pPr>
    </w:p>
    <w:p>
      <w:pPr>
        <w:spacing w:line="360" w:lineRule="auto"/>
        <w:jc w:val="left"/>
        <w:rPr>
          <w:rFonts w:ascii="宋体" w:hAnsi="宋体"/>
          <w:color w:val="auto"/>
          <w:kern w:val="0"/>
          <w:szCs w:val="21"/>
          <w:highlight w:val="none"/>
        </w:rPr>
      </w:pPr>
    </w:p>
    <w:p>
      <w:pPr>
        <w:spacing w:line="360" w:lineRule="auto"/>
        <w:ind w:right="560" w:firstLine="2940" w:firstLineChars="1400"/>
        <w:jc w:val="left"/>
        <w:rPr>
          <w:rFonts w:ascii="宋体" w:hAnsi="宋体"/>
          <w:color w:val="auto"/>
          <w:kern w:val="0"/>
          <w:szCs w:val="21"/>
          <w:highlight w:val="none"/>
        </w:rPr>
      </w:pPr>
      <w:r>
        <w:rPr>
          <w:rFonts w:ascii="宋体" w:hAnsi="宋体"/>
          <w:color w:val="auto"/>
          <w:kern w:val="0"/>
          <w:szCs w:val="21"/>
          <w:highlight w:val="none"/>
        </w:rPr>
        <w:t>企业名称（盖章）：</w:t>
      </w:r>
    </w:p>
    <w:p>
      <w:pPr>
        <w:spacing w:line="360" w:lineRule="auto"/>
        <w:ind w:right="560" w:firstLine="2940" w:firstLineChars="1400"/>
        <w:jc w:val="left"/>
        <w:rPr>
          <w:rFonts w:ascii="宋体" w:hAnsi="宋体"/>
          <w:color w:val="auto"/>
          <w:kern w:val="0"/>
          <w:szCs w:val="21"/>
          <w:highlight w:val="none"/>
        </w:rPr>
      </w:pPr>
      <w:r>
        <w:rPr>
          <w:rFonts w:ascii="宋体" w:hAnsi="宋体"/>
          <w:color w:val="auto"/>
          <w:kern w:val="0"/>
          <w:szCs w:val="21"/>
          <w:highlight w:val="none"/>
        </w:rPr>
        <w:t>日 期：</w:t>
      </w:r>
    </w:p>
    <w:p>
      <w:pPr>
        <w:pStyle w:val="13"/>
        <w:spacing w:line="500" w:lineRule="exact"/>
        <w:jc w:val="center"/>
        <w:rPr>
          <w:rFonts w:hint="eastAsia" w:hAnsi="宋体" w:cs="宋体"/>
          <w:bCs/>
          <w:color w:val="auto"/>
          <w:highlight w:val="none"/>
        </w:rPr>
      </w:pPr>
    </w:p>
    <w:p>
      <w:pPr>
        <w:pStyle w:val="13"/>
        <w:spacing w:line="500" w:lineRule="exact"/>
        <w:jc w:val="center"/>
        <w:rPr>
          <w:rFonts w:hint="eastAsia" w:hAnsi="宋体" w:cs="宋体"/>
          <w:bCs/>
          <w:color w:val="auto"/>
          <w:highlight w:val="none"/>
        </w:rPr>
      </w:pPr>
    </w:p>
    <w:p>
      <w:pPr>
        <w:pStyle w:val="13"/>
        <w:spacing w:line="500" w:lineRule="exact"/>
        <w:jc w:val="center"/>
        <w:rPr>
          <w:rFonts w:hint="eastAsia" w:hAnsi="宋体" w:cs="宋体"/>
          <w:bCs/>
          <w:color w:val="auto"/>
          <w:highlight w:val="none"/>
        </w:rPr>
      </w:pPr>
      <w:r>
        <w:rPr>
          <w:rFonts w:hint="eastAsia" w:hAnsi="宋体" w:cs="宋体"/>
          <w:bCs/>
          <w:color w:val="auto"/>
          <w:highlight w:val="none"/>
        </w:rPr>
        <w:br w:type="page"/>
      </w:r>
    </w:p>
    <w:p>
      <w:pPr>
        <w:pStyle w:val="13"/>
        <w:spacing w:line="500" w:lineRule="exact"/>
        <w:jc w:val="center"/>
        <w:rPr>
          <w:rFonts w:hint="eastAsia" w:hAnsi="宋体" w:cs="宋体"/>
          <w:color w:val="auto"/>
          <w:kern w:val="0"/>
          <w:sz w:val="28"/>
          <w:szCs w:val="28"/>
          <w:highlight w:val="none"/>
        </w:rPr>
      </w:pPr>
      <w:r>
        <w:rPr>
          <w:rFonts w:hint="eastAsia" w:hAnsi="宋体" w:cs="宋体"/>
          <w:b/>
          <w:bCs/>
          <w:color w:val="auto"/>
          <w:kern w:val="0"/>
          <w:sz w:val="28"/>
          <w:szCs w:val="28"/>
          <w:highlight w:val="none"/>
        </w:rPr>
        <w:t>残疾人福利性单位声明函(格式)</w:t>
      </w:r>
    </w:p>
    <w:p>
      <w:pPr>
        <w:widowControl/>
        <w:spacing w:before="100" w:beforeAutospacing="1" w:after="100" w:afterAutospacing="1" w:line="425" w:lineRule="atLeast"/>
        <w:jc w:val="left"/>
        <w:rPr>
          <w:rFonts w:hint="eastAsia" w:ascii="宋体" w:hAnsi="宋体" w:cs="宋体"/>
          <w:color w:val="auto"/>
          <w:kern w:val="0"/>
          <w:sz w:val="24"/>
          <w:highlight w:val="none"/>
        </w:rPr>
      </w:pPr>
    </w:p>
    <w:p>
      <w:pPr>
        <w:widowControl/>
        <w:spacing w:before="100" w:beforeAutospacing="1" w:after="100" w:afterAutospacing="1"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项目采购活动提供本单位提供的服务），或者提供其他残疾人福利性单位提供的服务。</w:t>
      </w:r>
    </w:p>
    <w:p>
      <w:pPr>
        <w:widowControl/>
        <w:spacing w:before="100" w:beforeAutospacing="1" w:after="100" w:afterAutospacing="1" w:line="360" w:lineRule="auto"/>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本单位对上述声明的真实性负责。如有虚假，将依法承担相应责任。</w:t>
      </w:r>
    </w:p>
    <w:p>
      <w:pPr>
        <w:widowControl/>
        <w:spacing w:before="100" w:beforeAutospacing="1" w:after="100" w:afterAutospacing="1" w:line="360" w:lineRule="auto"/>
        <w:jc w:val="left"/>
        <w:rPr>
          <w:rFonts w:hint="eastAsia" w:ascii="宋体" w:hAnsi="宋体" w:cs="宋体"/>
          <w:color w:val="auto"/>
          <w:kern w:val="0"/>
          <w:szCs w:val="21"/>
          <w:highlight w:val="none"/>
        </w:rPr>
      </w:pP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单位名称（</w:t>
      </w:r>
      <w:r>
        <w:rPr>
          <w:rFonts w:hint="eastAsia" w:ascii="宋体" w:hAnsi="宋体" w:cs="宋体"/>
          <w:color w:val="auto"/>
          <w:highlight w:val="none"/>
        </w:rPr>
        <w:t>盖单位公章</w:t>
      </w:r>
      <w:r>
        <w:rPr>
          <w:rFonts w:hint="eastAsia" w:ascii="宋体" w:hAnsi="宋体" w:cs="宋体"/>
          <w:color w:val="auto"/>
          <w:kern w:val="0"/>
          <w:szCs w:val="21"/>
          <w:highlight w:val="none"/>
        </w:rPr>
        <w:t>）：</w:t>
      </w: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日  期：</w:t>
      </w:r>
    </w:p>
    <w:p>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说明：</w:t>
      </w:r>
    </w:p>
    <w:p>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1、磋商供应商如为残疾人福利性单位并提供本《残疾人福利性单位声明函》的，必须对声明的真实性负责。</w:t>
      </w:r>
    </w:p>
    <w:p>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2、残疾人福利性单位属于小型、微型企业的，不重复享受政策。</w:t>
      </w:r>
    </w:p>
    <w:p>
      <w:pPr>
        <w:pStyle w:val="13"/>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3、中标、成交供应商为残疾人福利性单位的，采购人或者其委托的采购代理机构应当随中标、成交结果同时公告其《残疾人福利性单位声明函》，接受社会监督。</w:t>
      </w:r>
    </w:p>
    <w:p>
      <w:pPr>
        <w:pStyle w:val="13"/>
        <w:spacing w:line="400" w:lineRule="exact"/>
        <w:ind w:firstLine="420" w:firstLineChars="200"/>
        <w:rPr>
          <w:rFonts w:hint="eastAsia" w:hAnsi="宋体" w:cs="宋体"/>
          <w:b/>
          <w:color w:val="auto"/>
          <w:szCs w:val="21"/>
          <w:highlight w:val="none"/>
        </w:rPr>
      </w:pPr>
      <w:r>
        <w:rPr>
          <w:rFonts w:hint="eastAsia" w:hAnsi="宋体" w:cs="宋体"/>
          <w:color w:val="auto"/>
          <w:szCs w:val="21"/>
          <w:highlight w:val="none"/>
        </w:rPr>
        <w:br w:type="page"/>
      </w:r>
    </w:p>
    <w:p>
      <w:pPr>
        <w:widowControl/>
        <w:spacing w:before="100" w:beforeAutospacing="1" w:after="100" w:afterAutospacing="1" w:line="400" w:lineRule="exact"/>
        <w:ind w:firstLine="590" w:firstLineChars="196"/>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信用声明函（格式）</w:t>
      </w:r>
    </w:p>
    <w:p>
      <w:pPr>
        <w:pStyle w:val="13"/>
        <w:spacing w:line="420" w:lineRule="exact"/>
        <w:jc w:val="center"/>
        <w:rPr>
          <w:rFonts w:hint="eastAsia" w:hAnsi="宋体" w:cs="宋体"/>
          <w:b/>
          <w:color w:val="auto"/>
          <w:sz w:val="30"/>
          <w:szCs w:val="30"/>
          <w:highlight w:val="none"/>
        </w:rPr>
      </w:pPr>
    </w:p>
    <w:p>
      <w:pPr>
        <w:tabs>
          <w:tab w:val="left" w:pos="7200"/>
        </w:tabs>
        <w:spacing w:line="420" w:lineRule="exact"/>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（采购代理机构名称）</w:t>
      </w:r>
    </w:p>
    <w:p>
      <w:pPr>
        <w:tabs>
          <w:tab w:val="left" w:pos="7200"/>
        </w:tabs>
        <w:spacing w:line="420" w:lineRule="exact"/>
        <w:ind w:firstLine="420" w:firstLineChars="200"/>
        <w:jc w:val="left"/>
        <w:rPr>
          <w:rFonts w:hint="eastAsia" w:ascii="宋体" w:hAnsi="宋体" w:cs="宋体"/>
          <w:color w:val="auto"/>
          <w:highlight w:val="none"/>
        </w:rPr>
      </w:pPr>
    </w:p>
    <w:p>
      <w:pPr>
        <w:tabs>
          <w:tab w:val="left" w:pos="7200"/>
        </w:tabs>
        <w:spacing w:line="42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我方愿意参加贵方组织的</w:t>
      </w:r>
      <w:r>
        <w:rPr>
          <w:rFonts w:hint="eastAsia" w:ascii="宋体" w:hAnsi="宋体" w:cs="宋体"/>
          <w:color w:val="auto"/>
          <w:highlight w:val="none"/>
          <w:u w:val="single"/>
        </w:rPr>
        <w:t xml:space="preserve">     (项目名称)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）项目的磋商，为便于贵方公正、择优地确定成交人及其磋商服务成果和服务，我方就本次磋商有关事项郑重声明如下：</w:t>
      </w:r>
    </w:p>
    <w:p>
      <w:pPr>
        <w:numPr>
          <w:ilvl w:val="0"/>
          <w:numId w:val="6"/>
        </w:numPr>
        <w:tabs>
          <w:tab w:val="left" w:pos="7200"/>
        </w:tabs>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经自行查询，在规定的查询时间内，“信用中国”和“中国政府采购网”网站我方未被列入失信被执行人、重大税收违法案件当事人名单、政府采购严重违法失信行为记录名单。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 以上事项如有虚假或隐瞒，我方愿意承担一切后果，并不再寻求任何旨在减轻或免除法律责任的辩解。</w:t>
      </w:r>
    </w:p>
    <w:p>
      <w:pPr>
        <w:pStyle w:val="13"/>
        <w:spacing w:line="360" w:lineRule="auto"/>
        <w:ind w:firstLine="420" w:firstLineChars="200"/>
        <w:rPr>
          <w:rFonts w:hint="eastAsia" w:hAnsi="宋体" w:cs="宋体"/>
          <w:color w:val="auto"/>
          <w:szCs w:val="21"/>
          <w:highlight w:val="none"/>
        </w:rPr>
      </w:pPr>
    </w:p>
    <w:p>
      <w:pPr>
        <w:pStyle w:val="13"/>
        <w:spacing w:line="360" w:lineRule="auto"/>
        <w:ind w:firstLine="422" w:firstLineChars="200"/>
        <w:rPr>
          <w:rFonts w:hint="eastAsia" w:hAnsi="宋体" w:cs="宋体"/>
          <w:b/>
          <w:color w:val="auto"/>
          <w:szCs w:val="21"/>
          <w:highlight w:val="none"/>
        </w:rPr>
      </w:pPr>
      <w:r>
        <w:rPr>
          <w:rFonts w:hint="eastAsia" w:hAnsi="宋体" w:cs="宋体"/>
          <w:b/>
          <w:color w:val="auto"/>
          <w:szCs w:val="21"/>
          <w:highlight w:val="none"/>
        </w:rPr>
        <w:t>本公司对上述声明的真实性负责。如有虚假，将依法承担相应责任。</w:t>
      </w:r>
    </w:p>
    <w:p>
      <w:pPr>
        <w:tabs>
          <w:tab w:val="left" w:pos="7200"/>
        </w:tabs>
        <w:spacing w:line="420" w:lineRule="exact"/>
        <w:rPr>
          <w:rFonts w:hint="eastAsia" w:ascii="宋体" w:hAnsi="宋体" w:cs="宋体"/>
          <w:color w:val="auto"/>
          <w:highlight w:val="none"/>
        </w:rPr>
      </w:pPr>
    </w:p>
    <w:p>
      <w:pPr>
        <w:pStyle w:val="13"/>
        <w:spacing w:line="600" w:lineRule="exact"/>
        <w:ind w:firstLine="4725" w:firstLineChars="2250"/>
        <w:jc w:val="left"/>
        <w:rPr>
          <w:rFonts w:hint="eastAsia" w:hAnsi="宋体" w:cs="宋体"/>
          <w:color w:val="auto"/>
          <w:highlight w:val="none"/>
          <w:u w:val="single"/>
        </w:rPr>
      </w:pPr>
      <w:r>
        <w:rPr>
          <w:rFonts w:hint="eastAsia" w:hAnsi="宋体" w:cs="宋体"/>
          <w:color w:val="auto"/>
          <w:highlight w:val="none"/>
        </w:rPr>
        <w:t>磋商供应商（盖单位公章）：</w:t>
      </w:r>
      <w:r>
        <w:rPr>
          <w:rFonts w:hint="eastAsia" w:hAnsi="宋体" w:cs="宋体"/>
          <w:color w:val="auto"/>
          <w:highlight w:val="none"/>
          <w:u w:val="single"/>
        </w:rPr>
        <w:t xml:space="preserve">                      </w:t>
      </w:r>
    </w:p>
    <w:p>
      <w:pPr>
        <w:pStyle w:val="13"/>
        <w:spacing w:line="600" w:lineRule="exact"/>
        <w:ind w:firstLine="4725" w:firstLineChars="2250"/>
        <w:jc w:val="left"/>
        <w:outlineLvl w:val="0"/>
        <w:rPr>
          <w:rFonts w:hint="eastAsia" w:hAnsi="宋体" w:cs="宋体"/>
          <w:color w:val="auto"/>
          <w:highlight w:val="none"/>
          <w:u w:val="single"/>
        </w:rPr>
      </w:pPr>
      <w:bookmarkStart w:id="95" w:name="_Toc5078"/>
      <w:bookmarkStart w:id="96" w:name="_Toc2479"/>
      <w:r>
        <w:rPr>
          <w:rFonts w:hint="eastAsia" w:hAnsi="宋体" w:cs="宋体"/>
          <w:color w:val="auto"/>
          <w:highlight w:val="none"/>
        </w:rPr>
        <w:t>法定代表人或其委托代理人（签字或盖章）：</w:t>
      </w:r>
      <w:bookmarkEnd w:id="95"/>
      <w:bookmarkEnd w:id="96"/>
      <w:r>
        <w:rPr>
          <w:rFonts w:hint="eastAsia" w:hAnsi="宋体" w:cs="宋体"/>
          <w:color w:val="auto"/>
          <w:highlight w:val="none"/>
          <w:u w:val="single"/>
        </w:rPr>
        <w:t xml:space="preserve">        </w:t>
      </w:r>
    </w:p>
    <w:p>
      <w:pPr>
        <w:tabs>
          <w:tab w:val="left" w:pos="7200"/>
        </w:tabs>
        <w:spacing w:line="420" w:lineRule="exact"/>
        <w:rPr>
          <w:rFonts w:hint="eastAsia" w:ascii="宋体" w:hAnsi="宋体" w:cs="宋体"/>
          <w:color w:val="auto"/>
          <w:highlight w:val="none"/>
        </w:rPr>
      </w:pPr>
    </w:p>
    <w:p>
      <w:pPr>
        <w:tabs>
          <w:tab w:val="left" w:pos="7200"/>
        </w:tabs>
        <w:spacing w:line="420" w:lineRule="exact"/>
        <w:rPr>
          <w:rFonts w:hint="eastAsia" w:ascii="宋体" w:hAnsi="宋体" w:cs="宋体"/>
          <w:color w:val="auto"/>
          <w:highlight w:val="none"/>
        </w:rPr>
      </w:pPr>
    </w:p>
    <w:p>
      <w:pPr>
        <w:tabs>
          <w:tab w:val="left" w:pos="7200"/>
        </w:tabs>
        <w:spacing w:line="420" w:lineRule="exact"/>
        <w:rPr>
          <w:rFonts w:hint="eastAsia" w:ascii="宋体" w:hAnsi="宋体" w:cs="宋体"/>
          <w:color w:val="auto"/>
          <w:highlight w:val="none"/>
        </w:rPr>
      </w:pPr>
      <w:r>
        <w:rPr>
          <w:rFonts w:hint="eastAsia" w:ascii="宋体" w:hAnsi="宋体" w:cs="宋体"/>
          <w:color w:val="auto"/>
          <w:highlight w:val="none"/>
        </w:rPr>
        <w:t>说明：</w:t>
      </w:r>
    </w:p>
    <w:p>
      <w:pPr>
        <w:spacing w:line="42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1.磋商供应商通过 “信用中国”（www.creditchina.gov.cn）和“中国政府采购网”网站（www.ccgp.gov.cn）自行查询磋商供应商相关主体的信用记录。查询时间为本项目磋商公告发布之日起至本项目磋商截止时间中任意一天。对列入失信被执行人、重大税收违法案件当事人名单、政府采购严重违法失信行为记录名单的磋商供应商，将被拒绝参与本项目政府采购活动。</w:t>
      </w:r>
    </w:p>
    <w:p>
      <w:pPr>
        <w:spacing w:line="42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pacing w:before="100" w:beforeAutospacing="1" w:after="100" w:afterAutospacing="1" w:line="400" w:lineRule="exact"/>
        <w:ind w:firstLine="413" w:firstLineChars="196"/>
        <w:jc w:val="left"/>
        <w:rPr>
          <w:rFonts w:hint="eastAsia" w:ascii="宋体" w:hAnsi="宋体" w:cs="宋体"/>
          <w:b/>
          <w:color w:val="auto"/>
          <w:szCs w:val="21"/>
          <w:highlight w:val="none"/>
        </w:rPr>
      </w:pPr>
    </w:p>
    <w:p>
      <w:pPr>
        <w:pStyle w:val="13"/>
        <w:spacing w:line="500" w:lineRule="exact"/>
        <w:rPr>
          <w:rFonts w:hint="eastAsia" w:hAnsi="宋体" w:cs="宋体"/>
          <w:color w:val="auto"/>
          <w:highlight w:val="none"/>
          <w:u w:val="single"/>
        </w:rPr>
      </w:pPr>
    </w:p>
    <w:p>
      <w:pPr>
        <w:pStyle w:val="13"/>
        <w:jc w:val="center"/>
        <w:rPr>
          <w:rFonts w:hint="eastAsia" w:hAnsi="宋体" w:cs="宋体"/>
          <w:color w:val="auto"/>
          <w:szCs w:val="21"/>
          <w:highlight w:val="none"/>
        </w:rPr>
      </w:pPr>
      <w:r>
        <w:rPr>
          <w:rFonts w:hint="eastAsia" w:hAnsi="宋体" w:cs="宋体"/>
          <w:color w:val="auto"/>
          <w:highlight w:val="none"/>
        </w:rPr>
        <w:br w:type="page"/>
      </w:r>
    </w:p>
    <w:p>
      <w:pPr>
        <w:pStyle w:val="13"/>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磋商服务技术资料表（格式）</w:t>
      </w:r>
    </w:p>
    <w:p>
      <w:pPr>
        <w:pStyle w:val="13"/>
        <w:ind w:firstLine="210" w:firstLineChars="100"/>
        <w:rPr>
          <w:rFonts w:hint="eastAsia" w:hAnsi="宋体" w:cs="宋体"/>
          <w:color w:val="auto"/>
          <w:highlight w:val="none"/>
        </w:rPr>
      </w:pPr>
      <w:r>
        <w:rPr>
          <w:rFonts w:hint="eastAsia" w:hAnsi="宋体" w:cs="宋体"/>
          <w:color w:val="auto"/>
          <w:highlight w:val="none"/>
        </w:rPr>
        <w:t xml:space="preserve"> </w:t>
      </w:r>
    </w:p>
    <w:p>
      <w:pPr>
        <w:pStyle w:val="13"/>
        <w:ind w:firstLine="420" w:firstLineChars="200"/>
        <w:rPr>
          <w:rFonts w:hint="eastAsia" w:hAnsi="宋体" w:cs="宋体"/>
          <w:color w:val="auto"/>
          <w:highlight w:val="none"/>
        </w:rPr>
      </w:pPr>
      <w:r>
        <w:rPr>
          <w:rFonts w:hint="eastAsia" w:hAnsi="宋体" w:cs="宋体"/>
          <w:color w:val="auto"/>
          <w:highlight w:val="none"/>
        </w:rPr>
        <w:t>请根据所提供服务的实际技术参数，</w:t>
      </w:r>
      <w:r>
        <w:rPr>
          <w:rFonts w:hint="eastAsia" w:hAnsi="宋体" w:cs="宋体"/>
          <w:b/>
          <w:color w:val="auto"/>
          <w:sz w:val="24"/>
          <w:highlight w:val="none"/>
        </w:rPr>
        <w:t>逐条对应</w:t>
      </w:r>
      <w:r>
        <w:rPr>
          <w:rFonts w:hint="eastAsia" w:hAnsi="宋体" w:cs="宋体"/>
          <w:color w:val="auto"/>
          <w:highlight w:val="none"/>
        </w:rPr>
        <w:t>本项目磋商采购文件第二章“服务需求一览表”中的服务内容及要求详细填写相应的具体内容。“偏离说明”一栏应当选择“正偏离”、“负偏离”或“无偏离”进行填写。</w:t>
      </w:r>
    </w:p>
    <w:tbl>
      <w:tblPr>
        <w:tblStyle w:val="25"/>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hAnsi="宋体" w:cs="宋体"/>
                <w:color w:val="auto"/>
                <w:highlight w:val="none"/>
              </w:rPr>
            </w:pPr>
            <w:r>
              <w:rPr>
                <w:rFonts w:hint="eastAsia" w:hAnsi="宋体" w:cs="宋体"/>
                <w:color w:val="auto"/>
                <w:highlight w:val="none"/>
              </w:rPr>
              <w:t>磋商采购文件需求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hAnsi="宋体" w:cs="宋体"/>
                <w:color w:val="auto"/>
                <w:highlight w:val="none"/>
              </w:rPr>
            </w:pPr>
            <w:r>
              <w:rPr>
                <w:rFonts w:hint="eastAsia" w:hAnsi="宋体" w:cs="宋体"/>
                <w:color w:val="auto"/>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1  ……</w:t>
            </w:r>
          </w:p>
          <w:p>
            <w:pPr>
              <w:pStyle w:val="13"/>
              <w:rPr>
                <w:rFonts w:hint="eastAsia" w:hAnsi="宋体" w:cs="宋体"/>
                <w:color w:val="auto"/>
                <w:highlight w:val="none"/>
              </w:rPr>
            </w:pPr>
            <w:r>
              <w:rPr>
                <w:rFonts w:hint="eastAsia" w:hAnsi="宋体" w:cs="宋体"/>
                <w:color w:val="auto"/>
                <w:highlight w:val="none"/>
              </w:rPr>
              <w:t>2  ……</w:t>
            </w:r>
          </w:p>
          <w:p>
            <w:pPr>
              <w:pStyle w:val="13"/>
              <w:rPr>
                <w:rFonts w:hint="eastAsia" w:hAnsi="宋体" w:cs="宋体"/>
                <w:color w:val="auto"/>
                <w:highlight w:val="none"/>
              </w:rPr>
            </w:pPr>
            <w:r>
              <w:rPr>
                <w:rFonts w:hint="eastAsia" w:hAnsi="宋体" w:cs="宋体"/>
                <w:color w:val="auto"/>
                <w:highlight w:val="none"/>
              </w:rPr>
              <w:t>3  ……</w:t>
            </w:r>
          </w:p>
          <w:p>
            <w:pPr>
              <w:pStyle w:val="13"/>
              <w:rPr>
                <w:rFonts w:hint="eastAsia" w:hAnsi="宋体" w:cs="宋体"/>
                <w:color w:val="auto"/>
                <w:highlight w:val="none"/>
              </w:rPr>
            </w:pPr>
            <w:r>
              <w:rPr>
                <w:rFonts w:hint="eastAsia" w:hAnsi="宋体" w:cs="宋体"/>
                <w:color w:val="auto"/>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1  ……</w:t>
            </w:r>
          </w:p>
          <w:p>
            <w:pPr>
              <w:pStyle w:val="13"/>
              <w:rPr>
                <w:rFonts w:hint="eastAsia" w:hAnsi="宋体" w:cs="宋体"/>
                <w:color w:val="auto"/>
                <w:highlight w:val="none"/>
              </w:rPr>
            </w:pPr>
            <w:r>
              <w:rPr>
                <w:rFonts w:hint="eastAsia" w:hAnsi="宋体" w:cs="宋体"/>
                <w:color w:val="auto"/>
                <w:highlight w:val="none"/>
              </w:rPr>
              <w:t>2  ……</w:t>
            </w:r>
          </w:p>
          <w:p>
            <w:pPr>
              <w:pStyle w:val="13"/>
              <w:rPr>
                <w:rFonts w:hint="eastAsia" w:hAnsi="宋体" w:cs="宋体"/>
                <w:color w:val="auto"/>
                <w:highlight w:val="none"/>
              </w:rPr>
            </w:pPr>
            <w:r>
              <w:rPr>
                <w:rFonts w:hint="eastAsia" w:hAnsi="宋体" w:cs="宋体"/>
                <w:color w:val="auto"/>
                <w:highlight w:val="none"/>
              </w:rPr>
              <w:t>3  ……</w:t>
            </w:r>
          </w:p>
          <w:p>
            <w:pPr>
              <w:pStyle w:val="13"/>
              <w:rPr>
                <w:rFonts w:hint="eastAsia" w:hAnsi="宋体" w:cs="宋体"/>
                <w:color w:val="auto"/>
                <w:highlight w:val="none"/>
              </w:rPr>
            </w:pPr>
            <w:r>
              <w:rPr>
                <w:rFonts w:hint="eastAsia" w:hAnsi="宋体" w:cs="宋体"/>
                <w:color w:val="auto"/>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1  ……</w:t>
            </w:r>
          </w:p>
          <w:p>
            <w:pPr>
              <w:pStyle w:val="13"/>
              <w:rPr>
                <w:rFonts w:hint="eastAsia" w:hAnsi="宋体" w:cs="宋体"/>
                <w:color w:val="auto"/>
                <w:highlight w:val="none"/>
              </w:rPr>
            </w:pPr>
            <w:r>
              <w:rPr>
                <w:rFonts w:hint="eastAsia" w:hAnsi="宋体" w:cs="宋体"/>
                <w:color w:val="auto"/>
                <w:highlight w:val="none"/>
              </w:rPr>
              <w:t>2  ……</w:t>
            </w:r>
          </w:p>
          <w:p>
            <w:pPr>
              <w:pStyle w:val="13"/>
              <w:rPr>
                <w:rFonts w:hint="eastAsia" w:hAnsi="宋体" w:cs="宋体"/>
                <w:color w:val="auto"/>
                <w:highlight w:val="none"/>
              </w:rPr>
            </w:pPr>
            <w:r>
              <w:rPr>
                <w:rFonts w:hint="eastAsia" w:hAnsi="宋体" w:cs="宋体"/>
                <w:color w:val="auto"/>
                <w:highlight w:val="none"/>
              </w:rPr>
              <w:t>3  ……</w:t>
            </w:r>
          </w:p>
          <w:p>
            <w:pPr>
              <w:pStyle w:val="13"/>
              <w:rPr>
                <w:rFonts w:hint="eastAsia" w:hAnsi="宋体" w:cs="宋体"/>
                <w:color w:val="auto"/>
                <w:highlight w:val="none"/>
              </w:rPr>
            </w:pPr>
            <w:r>
              <w:rPr>
                <w:rFonts w:hint="eastAsia" w:hAnsi="宋体" w:cs="宋体"/>
                <w:color w:val="auto"/>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1  ……</w:t>
            </w:r>
          </w:p>
          <w:p>
            <w:pPr>
              <w:pStyle w:val="13"/>
              <w:rPr>
                <w:rFonts w:hint="eastAsia" w:hAnsi="宋体" w:cs="宋体"/>
                <w:color w:val="auto"/>
                <w:highlight w:val="none"/>
              </w:rPr>
            </w:pPr>
            <w:r>
              <w:rPr>
                <w:rFonts w:hint="eastAsia" w:hAnsi="宋体" w:cs="宋体"/>
                <w:color w:val="auto"/>
                <w:highlight w:val="none"/>
              </w:rPr>
              <w:t>2  ……</w:t>
            </w:r>
          </w:p>
          <w:p>
            <w:pPr>
              <w:pStyle w:val="13"/>
              <w:rPr>
                <w:rFonts w:hint="eastAsia" w:hAnsi="宋体" w:cs="宋体"/>
                <w:color w:val="auto"/>
                <w:highlight w:val="none"/>
              </w:rPr>
            </w:pPr>
            <w:r>
              <w:rPr>
                <w:rFonts w:hint="eastAsia" w:hAnsi="宋体" w:cs="宋体"/>
                <w:color w:val="auto"/>
                <w:highlight w:val="none"/>
              </w:rPr>
              <w:t>3  ……</w:t>
            </w:r>
          </w:p>
          <w:p>
            <w:pPr>
              <w:pStyle w:val="13"/>
              <w:rPr>
                <w:rFonts w:hint="eastAsia" w:hAnsi="宋体" w:cs="宋体"/>
                <w:color w:val="auto"/>
                <w:highlight w:val="none"/>
              </w:rPr>
            </w:pPr>
            <w:r>
              <w:rPr>
                <w:rFonts w:hint="eastAsia" w:hAnsi="宋体" w:cs="宋体"/>
                <w:color w:val="auto"/>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u w:val="single"/>
              </w:rPr>
              <w:t>　　</w:t>
            </w:r>
            <w:r>
              <w:rPr>
                <w:rFonts w:hint="eastAsia" w:hAnsi="宋体" w:cs="宋体"/>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cs="宋体"/>
                <w:color w:val="auto"/>
                <w:highlight w:val="none"/>
              </w:rPr>
            </w:pPr>
            <w:r>
              <w:rPr>
                <w:rFonts w:hint="eastAsia" w:hAnsi="宋体" w:cs="宋体"/>
                <w:color w:val="auto"/>
                <w:highlight w:val="none"/>
              </w:rPr>
              <w:t>法定代表人或其委托代理人（签字或盖章）：</w:t>
            </w:r>
          </w:p>
        </w:tc>
      </w:tr>
    </w:tbl>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注：⑴表格内容均需按要求填写并盖章，不得留空，</w:t>
      </w:r>
      <w:r>
        <w:rPr>
          <w:rFonts w:hint="eastAsia" w:ascii="宋体" w:hAnsi="宋体" w:cs="宋体"/>
          <w:bCs/>
          <w:color w:val="auto"/>
          <w:szCs w:val="21"/>
          <w:highlight w:val="none"/>
        </w:rPr>
        <w:t>否则按磋商无效处理</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⑵如果磋商采购文件需求为小于或大于某个数值标准时，响应文件</w:t>
      </w:r>
      <w:r>
        <w:rPr>
          <w:rFonts w:hint="eastAsia" w:ascii="宋体" w:hAnsi="宋体" w:cs="宋体"/>
          <w:color w:val="auto"/>
          <w:highlight w:val="none"/>
        </w:rPr>
        <w:t>承诺</w:t>
      </w:r>
      <w:r>
        <w:rPr>
          <w:rFonts w:hint="eastAsia" w:ascii="宋体" w:hAnsi="宋体" w:cs="宋体"/>
          <w:color w:val="auto"/>
          <w:szCs w:val="21"/>
          <w:highlight w:val="none"/>
        </w:rPr>
        <w:t>不得直接复制磋商采购文件需求，响应文件对应内容应当写明磋商服务具体数值，否则按磋商无效处理。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⑶当响应文件的服务内容低于磋商采购文件要求时，磋商供应商人应当如实写明“负偏离”，否则视为虚假响应。</w:t>
      </w:r>
    </w:p>
    <w:p>
      <w:pPr>
        <w:pStyle w:val="13"/>
        <w:rPr>
          <w:rFonts w:hint="eastAsia" w:hAnsi="宋体" w:cs="宋体"/>
          <w:color w:val="auto"/>
          <w:highlight w:val="none"/>
        </w:rPr>
      </w:pPr>
    </w:p>
    <w:p>
      <w:pPr>
        <w:pStyle w:val="13"/>
        <w:spacing w:line="600" w:lineRule="exact"/>
        <w:jc w:val="center"/>
        <w:rPr>
          <w:rFonts w:hint="eastAsia" w:hAnsi="宋体" w:cs="宋体"/>
          <w:b/>
          <w:bCs/>
          <w:color w:val="auto"/>
          <w:sz w:val="30"/>
          <w:szCs w:val="30"/>
          <w:highlight w:val="none"/>
        </w:rPr>
      </w:pPr>
    </w:p>
    <w:p>
      <w:pPr>
        <w:pStyle w:val="13"/>
        <w:spacing w:line="600" w:lineRule="exact"/>
        <w:jc w:val="center"/>
        <w:rPr>
          <w:rFonts w:hint="eastAsia" w:hAnsi="宋体" w:cs="宋体"/>
          <w:b/>
          <w:bCs/>
          <w:color w:val="auto"/>
          <w:sz w:val="30"/>
          <w:szCs w:val="30"/>
          <w:highlight w:val="none"/>
        </w:rPr>
      </w:pPr>
    </w:p>
    <w:p>
      <w:pPr>
        <w:pStyle w:val="13"/>
        <w:spacing w:line="600" w:lineRule="exact"/>
        <w:jc w:val="center"/>
        <w:rPr>
          <w:rFonts w:hint="eastAsia" w:hAnsi="宋体" w:cs="宋体"/>
          <w:b/>
          <w:bCs/>
          <w:color w:val="auto"/>
          <w:sz w:val="30"/>
          <w:szCs w:val="30"/>
          <w:highlight w:val="none"/>
        </w:rPr>
      </w:pPr>
    </w:p>
    <w:p>
      <w:pPr>
        <w:pStyle w:val="13"/>
        <w:spacing w:line="600" w:lineRule="exact"/>
        <w:jc w:val="center"/>
        <w:rPr>
          <w:rFonts w:hint="eastAsia" w:hAnsi="宋体" w:cs="宋体"/>
          <w:b/>
          <w:bCs/>
          <w:color w:val="auto"/>
          <w:sz w:val="30"/>
          <w:szCs w:val="30"/>
          <w:highlight w:val="none"/>
        </w:rPr>
      </w:pPr>
    </w:p>
    <w:p>
      <w:pPr>
        <w:pStyle w:val="13"/>
        <w:spacing w:line="600" w:lineRule="exact"/>
        <w:jc w:val="center"/>
        <w:rPr>
          <w:rFonts w:hint="eastAsia" w:hAnsi="宋体" w:cs="宋体"/>
          <w:b/>
          <w:bCs/>
          <w:color w:val="auto"/>
          <w:sz w:val="30"/>
          <w:szCs w:val="30"/>
          <w:highlight w:val="none"/>
        </w:rPr>
      </w:pPr>
    </w:p>
    <w:p>
      <w:pPr>
        <w:pStyle w:val="13"/>
        <w:spacing w:line="600" w:lineRule="exact"/>
        <w:rPr>
          <w:rFonts w:hint="eastAsia" w:hAnsi="宋体" w:cs="宋体"/>
          <w:color w:val="auto"/>
          <w:highlight w:val="none"/>
        </w:rPr>
      </w:pPr>
    </w:p>
    <w:p>
      <w:pPr>
        <w:pStyle w:val="13"/>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商务条款偏离表（格式）</w:t>
      </w:r>
    </w:p>
    <w:p>
      <w:pPr>
        <w:pStyle w:val="13"/>
        <w:spacing w:line="600" w:lineRule="exact"/>
        <w:ind w:firstLine="630" w:firstLineChars="300"/>
        <w:rPr>
          <w:rFonts w:hint="eastAsia" w:hAnsi="宋体" w:cs="宋体"/>
          <w:color w:val="auto"/>
          <w:highlight w:val="none"/>
        </w:rPr>
      </w:pPr>
      <w:r>
        <w:rPr>
          <w:rFonts w:hint="eastAsia" w:hAnsi="宋体" w:cs="宋体"/>
          <w:color w:val="auto"/>
          <w:highlight w:val="none"/>
        </w:rPr>
        <w:t>请</w:t>
      </w:r>
      <w:r>
        <w:rPr>
          <w:rFonts w:hint="eastAsia" w:hAnsi="宋体" w:cs="宋体"/>
          <w:b/>
          <w:color w:val="auto"/>
          <w:sz w:val="24"/>
          <w:highlight w:val="none"/>
        </w:rPr>
        <w:t>逐条对应</w:t>
      </w:r>
      <w:r>
        <w:rPr>
          <w:rFonts w:hint="eastAsia" w:hAnsi="宋体" w:cs="宋体"/>
          <w:color w:val="auto"/>
          <w:highlight w:val="none"/>
        </w:rPr>
        <w:t>本项目磋商采购文件第二章“服务需求一览表”中“商务条款”的要求，详细填写相应的具体内容。“偏离说明”一栏应当选择“正偏离”、“负偏离”或“无偏离”进行填写。</w:t>
      </w:r>
    </w:p>
    <w:p>
      <w:pPr>
        <w:pStyle w:val="13"/>
        <w:spacing w:line="600" w:lineRule="exact"/>
        <w:rPr>
          <w:rFonts w:hint="eastAsia" w:hAnsi="宋体" w:cs="宋体"/>
          <w:color w:val="auto"/>
          <w:highlight w:val="none"/>
        </w:rPr>
      </w:pPr>
    </w:p>
    <w:tbl>
      <w:tblPr>
        <w:tblStyle w:val="2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rPr>
                <w:rFonts w:hint="eastAsia" w:hAnsi="宋体" w:cs="宋体"/>
                <w:color w:val="auto"/>
                <w:highlight w:val="none"/>
              </w:rPr>
            </w:pPr>
            <w:r>
              <w:rPr>
                <w:rFonts w:hint="eastAsia" w:hAnsi="宋体" w:cs="宋体"/>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jc w:val="center"/>
              <w:rPr>
                <w:rFonts w:hint="eastAsia" w:hAnsi="宋体" w:cs="宋体"/>
                <w:color w:val="auto"/>
                <w:highlight w:val="none"/>
              </w:rPr>
            </w:pPr>
            <w:r>
              <w:rPr>
                <w:rFonts w:hint="eastAsia" w:hAnsi="宋体" w:cs="宋体"/>
                <w:color w:val="auto"/>
                <w:highlight w:val="none"/>
              </w:rPr>
              <w:t>磋商采购文件的商务条款</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jc w:val="center"/>
              <w:rPr>
                <w:rFonts w:hint="eastAsia" w:hAnsi="宋体" w:cs="宋体"/>
                <w:color w:val="auto"/>
                <w:highlight w:val="none"/>
              </w:rPr>
            </w:pPr>
            <w:r>
              <w:rPr>
                <w:rFonts w:hint="eastAsia" w:hAnsi="宋体" w:cs="宋体"/>
                <w:color w:val="auto"/>
                <w:highlight w:val="none"/>
              </w:rPr>
              <w:t>响应文件承诺的商务条款</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rPr>
                <w:rFonts w:hint="eastAsia" w:hAnsi="宋体" w:cs="宋体"/>
                <w:color w:val="auto"/>
                <w:highlight w:val="none"/>
              </w:rPr>
            </w:pPr>
            <w:r>
              <w:rPr>
                <w:rFonts w:hint="eastAsia" w:hAnsi="宋体" w:cs="宋体"/>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jc w:val="center"/>
              <w:rPr>
                <w:rFonts w:hint="eastAsia" w:hAnsi="宋体" w:cs="宋体"/>
                <w:color w:val="auto"/>
                <w:highlight w:val="none"/>
              </w:rPr>
            </w:pPr>
            <w:r>
              <w:rPr>
                <w:rFonts w:hint="eastAsia" w:hAnsi="宋体" w:cs="宋体"/>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r>
              <w:rPr>
                <w:rFonts w:hint="eastAsia" w:hAnsi="宋体" w:cs="宋体"/>
                <w:color w:val="auto"/>
                <w:highlight w:val="none"/>
              </w:rPr>
              <w:t>1  ……</w:t>
            </w:r>
          </w:p>
          <w:p>
            <w:pPr>
              <w:pStyle w:val="13"/>
              <w:spacing w:line="520" w:lineRule="exact"/>
              <w:rPr>
                <w:rFonts w:hint="eastAsia" w:hAnsi="宋体" w:cs="宋体"/>
                <w:color w:val="auto"/>
                <w:highlight w:val="none"/>
              </w:rPr>
            </w:pPr>
            <w:r>
              <w:rPr>
                <w:rFonts w:hint="eastAsia" w:hAnsi="宋体" w:cs="宋体"/>
                <w:color w:val="auto"/>
                <w:highlight w:val="none"/>
              </w:rPr>
              <w:t>2  ……</w:t>
            </w:r>
          </w:p>
          <w:p>
            <w:pPr>
              <w:pStyle w:val="13"/>
              <w:spacing w:line="520" w:lineRule="exact"/>
              <w:rPr>
                <w:rFonts w:hint="eastAsia" w:hAnsi="宋体" w:cs="宋体"/>
                <w:color w:val="auto"/>
                <w:highlight w:val="none"/>
              </w:rPr>
            </w:pPr>
            <w:r>
              <w:rPr>
                <w:rFonts w:hint="eastAsia" w:hAnsi="宋体" w:cs="宋体"/>
                <w:color w:val="auto"/>
                <w:highlight w:val="none"/>
              </w:rPr>
              <w:t>3  ……</w:t>
            </w:r>
          </w:p>
          <w:p>
            <w:pPr>
              <w:pStyle w:val="13"/>
              <w:spacing w:line="520" w:lineRule="exact"/>
              <w:rPr>
                <w:rFonts w:hint="eastAsia" w:hAnsi="宋体" w:cs="宋体"/>
                <w:color w:val="auto"/>
                <w:highlight w:val="none"/>
              </w:rPr>
            </w:pPr>
            <w:r>
              <w:rPr>
                <w:rFonts w:hint="eastAsia" w:hAnsi="宋体" w:cs="宋体"/>
                <w:color w:val="auto"/>
                <w:highlight w:val="none"/>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r>
              <w:rPr>
                <w:rFonts w:hint="eastAsia" w:hAnsi="宋体" w:cs="宋体"/>
                <w:color w:val="auto"/>
                <w:highlight w:val="none"/>
              </w:rPr>
              <w:t>1  ……</w:t>
            </w:r>
          </w:p>
          <w:p>
            <w:pPr>
              <w:pStyle w:val="13"/>
              <w:spacing w:line="520" w:lineRule="exact"/>
              <w:rPr>
                <w:rFonts w:hint="eastAsia" w:hAnsi="宋体" w:cs="宋体"/>
                <w:color w:val="auto"/>
                <w:highlight w:val="none"/>
              </w:rPr>
            </w:pPr>
            <w:r>
              <w:rPr>
                <w:rFonts w:hint="eastAsia" w:hAnsi="宋体" w:cs="宋体"/>
                <w:color w:val="auto"/>
                <w:highlight w:val="none"/>
              </w:rPr>
              <w:t>2  ……</w:t>
            </w:r>
          </w:p>
          <w:p>
            <w:pPr>
              <w:pStyle w:val="13"/>
              <w:spacing w:line="520" w:lineRule="exact"/>
              <w:rPr>
                <w:rFonts w:hint="eastAsia" w:hAnsi="宋体" w:cs="宋体"/>
                <w:color w:val="auto"/>
                <w:highlight w:val="none"/>
              </w:rPr>
            </w:pPr>
            <w:r>
              <w:rPr>
                <w:rFonts w:hint="eastAsia" w:hAnsi="宋体" w:cs="宋体"/>
                <w:color w:val="auto"/>
                <w:highlight w:val="none"/>
              </w:rPr>
              <w:t>3  ……</w:t>
            </w:r>
          </w:p>
          <w:p>
            <w:pPr>
              <w:pStyle w:val="13"/>
              <w:spacing w:line="520" w:lineRule="exact"/>
              <w:rPr>
                <w:rFonts w:hint="eastAsia" w:hAnsi="宋体" w:cs="宋体"/>
                <w:color w:val="auto"/>
                <w:highlight w:val="none"/>
              </w:rPr>
            </w:pPr>
            <w:r>
              <w:rPr>
                <w:rFonts w:hint="eastAsia" w:hAnsi="宋体" w:cs="宋体"/>
                <w:color w:val="auto"/>
                <w:highlight w:val="none"/>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jc w:val="center"/>
              <w:rPr>
                <w:rFonts w:hint="eastAsia" w:hAnsi="宋体" w:cs="宋体"/>
                <w:color w:val="auto"/>
                <w:highlight w:val="none"/>
              </w:rPr>
            </w:pPr>
            <w:r>
              <w:rPr>
                <w:rFonts w:hint="eastAsia" w:hAnsi="宋体" w:cs="宋体"/>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r>
              <w:rPr>
                <w:rFonts w:hint="eastAsia" w:hAnsi="宋体" w:cs="宋体"/>
                <w:color w:val="auto"/>
                <w:highlight w:val="none"/>
              </w:rPr>
              <w:t>1  ……</w:t>
            </w:r>
          </w:p>
          <w:p>
            <w:pPr>
              <w:pStyle w:val="13"/>
              <w:spacing w:line="520" w:lineRule="exact"/>
              <w:rPr>
                <w:rFonts w:hint="eastAsia" w:hAnsi="宋体" w:cs="宋体"/>
                <w:color w:val="auto"/>
                <w:highlight w:val="none"/>
              </w:rPr>
            </w:pPr>
            <w:r>
              <w:rPr>
                <w:rFonts w:hint="eastAsia" w:hAnsi="宋体" w:cs="宋体"/>
                <w:color w:val="auto"/>
                <w:highlight w:val="none"/>
              </w:rPr>
              <w:t>2  ……</w:t>
            </w:r>
          </w:p>
          <w:p>
            <w:pPr>
              <w:pStyle w:val="13"/>
              <w:spacing w:line="520" w:lineRule="exact"/>
              <w:rPr>
                <w:rFonts w:hint="eastAsia" w:hAnsi="宋体" w:cs="宋体"/>
                <w:color w:val="auto"/>
                <w:highlight w:val="none"/>
              </w:rPr>
            </w:pPr>
            <w:r>
              <w:rPr>
                <w:rFonts w:hint="eastAsia" w:hAnsi="宋体" w:cs="宋体"/>
                <w:color w:val="auto"/>
                <w:highlight w:val="none"/>
              </w:rPr>
              <w:t>3  ……</w:t>
            </w:r>
          </w:p>
          <w:p>
            <w:pPr>
              <w:pStyle w:val="13"/>
              <w:spacing w:line="520" w:lineRule="exact"/>
              <w:rPr>
                <w:rFonts w:hint="eastAsia" w:hAnsi="宋体" w:cs="宋体"/>
                <w:color w:val="auto"/>
                <w:highlight w:val="none"/>
              </w:rPr>
            </w:pPr>
            <w:r>
              <w:rPr>
                <w:rFonts w:hint="eastAsia" w:hAnsi="宋体" w:cs="宋体"/>
                <w:color w:val="auto"/>
                <w:highlight w:val="none"/>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r>
              <w:rPr>
                <w:rFonts w:hint="eastAsia" w:hAnsi="宋体" w:cs="宋体"/>
                <w:color w:val="auto"/>
                <w:highlight w:val="none"/>
              </w:rPr>
              <w:t>1  ……</w:t>
            </w:r>
          </w:p>
          <w:p>
            <w:pPr>
              <w:pStyle w:val="13"/>
              <w:spacing w:line="520" w:lineRule="exact"/>
              <w:rPr>
                <w:rFonts w:hint="eastAsia" w:hAnsi="宋体" w:cs="宋体"/>
                <w:color w:val="auto"/>
                <w:highlight w:val="none"/>
              </w:rPr>
            </w:pPr>
            <w:r>
              <w:rPr>
                <w:rFonts w:hint="eastAsia" w:hAnsi="宋体" w:cs="宋体"/>
                <w:color w:val="auto"/>
                <w:highlight w:val="none"/>
              </w:rPr>
              <w:t>2  ……</w:t>
            </w:r>
          </w:p>
          <w:p>
            <w:pPr>
              <w:pStyle w:val="13"/>
              <w:spacing w:line="520" w:lineRule="exact"/>
              <w:rPr>
                <w:rFonts w:hint="eastAsia" w:hAnsi="宋体" w:cs="宋体"/>
                <w:color w:val="auto"/>
                <w:highlight w:val="none"/>
              </w:rPr>
            </w:pPr>
            <w:r>
              <w:rPr>
                <w:rFonts w:hint="eastAsia" w:hAnsi="宋体" w:cs="宋体"/>
                <w:color w:val="auto"/>
                <w:highlight w:val="none"/>
              </w:rPr>
              <w:t>3  ……</w:t>
            </w:r>
          </w:p>
          <w:p>
            <w:pPr>
              <w:pStyle w:val="13"/>
              <w:spacing w:line="520" w:lineRule="exact"/>
              <w:rPr>
                <w:rFonts w:hint="eastAsia" w:hAnsi="宋体" w:cs="宋体"/>
                <w:color w:val="auto"/>
                <w:highlight w:val="none"/>
              </w:rPr>
            </w:pPr>
            <w:r>
              <w:rPr>
                <w:rFonts w:hint="eastAsia" w:hAnsi="宋体" w:cs="宋体"/>
                <w:color w:val="auto"/>
                <w:highlight w:val="none"/>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jc w:val="center"/>
              <w:rPr>
                <w:rFonts w:hint="eastAsia" w:hAnsi="宋体" w:cs="宋体"/>
                <w:color w:val="auto"/>
                <w:highlight w:val="none"/>
              </w:rPr>
            </w:pPr>
            <w:r>
              <w:rPr>
                <w:rFonts w:hint="eastAsia" w:hAnsi="宋体" w:cs="宋体"/>
                <w:color w:val="auto"/>
                <w:highlight w:val="none"/>
              </w:rPr>
              <w:t>...</w:t>
            </w:r>
          </w:p>
        </w:tc>
        <w:tc>
          <w:tcPr>
            <w:tcW w:w="4071"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p>
        </w:tc>
        <w:tc>
          <w:tcPr>
            <w:tcW w:w="3720"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r>
              <w:rPr>
                <w:rFonts w:hint="eastAsia" w:hAnsi="宋体" w:cs="宋体"/>
                <w:color w:val="auto"/>
                <w:highlight w:val="none"/>
                <w:u w:val="single"/>
              </w:rPr>
              <w:t>　　</w:t>
            </w:r>
            <w:r>
              <w:rPr>
                <w:rFonts w:hint="eastAsia" w:hAnsi="宋体" w:cs="宋体"/>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r>
              <w:rPr>
                <w:rFonts w:hint="eastAsia" w:hAnsi="宋体" w:cs="宋体"/>
                <w:color w:val="auto"/>
                <w:highlight w:val="none"/>
              </w:rPr>
              <w:t>磋商供应商（盖单位公章）：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rPr>
                <w:rFonts w:hint="eastAsia" w:hAnsi="宋体" w:cs="宋体"/>
                <w:color w:val="auto"/>
                <w:highlight w:val="none"/>
              </w:rPr>
            </w:pPr>
            <w:r>
              <w:rPr>
                <w:rFonts w:hint="eastAsia" w:hAnsi="宋体" w:cs="宋体"/>
                <w:color w:val="auto"/>
                <w:highlight w:val="none"/>
              </w:rPr>
              <w:t>法定代表人或其委托代理人（签字或盖章）：</w:t>
            </w:r>
          </w:p>
        </w:tc>
      </w:tr>
    </w:tbl>
    <w:p>
      <w:pPr>
        <w:pStyle w:val="13"/>
        <w:spacing w:line="600" w:lineRule="exact"/>
        <w:rPr>
          <w:rFonts w:hint="eastAsia" w:hAnsi="宋体" w:cs="宋体"/>
          <w:color w:val="auto"/>
          <w:highlight w:val="none"/>
        </w:rPr>
      </w:pPr>
      <w:r>
        <w:rPr>
          <w:rFonts w:hint="eastAsia" w:hAnsi="宋体" w:cs="宋体"/>
          <w:color w:val="auto"/>
          <w:highlight w:val="none"/>
        </w:rPr>
        <w:t>注：⑴表格内容均需按要求填写并盖章，不得留空，</w:t>
      </w:r>
      <w:r>
        <w:rPr>
          <w:rFonts w:hint="eastAsia" w:hAnsi="宋体" w:cs="宋体"/>
          <w:bCs/>
          <w:color w:val="auto"/>
          <w:highlight w:val="none"/>
        </w:rPr>
        <w:t>否则按磋商无效处理</w:t>
      </w:r>
      <w:r>
        <w:rPr>
          <w:rFonts w:hint="eastAsia" w:hAnsi="宋体" w:cs="宋体"/>
          <w:color w:val="auto"/>
          <w:highlight w:val="none"/>
        </w:rPr>
        <w:t>。</w:t>
      </w:r>
    </w:p>
    <w:p>
      <w:pPr>
        <w:pStyle w:val="13"/>
        <w:ind w:firstLine="420" w:firstLineChars="200"/>
        <w:rPr>
          <w:rFonts w:hint="eastAsia" w:hAnsi="宋体" w:cs="宋体"/>
          <w:bCs/>
          <w:color w:val="auto"/>
          <w:highlight w:val="none"/>
        </w:rPr>
      </w:pPr>
      <w:r>
        <w:rPr>
          <w:rFonts w:hint="eastAsia" w:hAnsi="宋体" w:cs="宋体"/>
          <w:bCs/>
          <w:color w:val="auto"/>
          <w:highlight w:val="none"/>
        </w:rPr>
        <w:t>⑵</w:t>
      </w:r>
      <w:r>
        <w:rPr>
          <w:rFonts w:hint="eastAsia" w:hAnsi="宋体" w:cs="宋体"/>
          <w:color w:val="auto"/>
          <w:szCs w:val="21"/>
          <w:highlight w:val="none"/>
        </w:rPr>
        <w:t>如果磋商采购文件需求为小于或大于某个数值标准时，响应文件</w:t>
      </w:r>
      <w:r>
        <w:rPr>
          <w:rFonts w:hint="eastAsia" w:hAnsi="宋体" w:cs="宋体"/>
          <w:color w:val="auto"/>
          <w:highlight w:val="none"/>
        </w:rPr>
        <w:t>承诺</w:t>
      </w:r>
      <w:r>
        <w:rPr>
          <w:rFonts w:hint="eastAsia" w:hAnsi="宋体" w:cs="宋体"/>
          <w:color w:val="auto"/>
          <w:szCs w:val="21"/>
          <w:highlight w:val="none"/>
        </w:rPr>
        <w:t>不得直接复制磋商采购文件需求，响应文件对应内容应当写明磋商服务具体数值，否则按磋商无效处理。</w:t>
      </w:r>
    </w:p>
    <w:p>
      <w:pPr>
        <w:pStyle w:val="13"/>
        <w:ind w:firstLine="420" w:firstLineChars="200"/>
        <w:rPr>
          <w:rFonts w:hint="eastAsia" w:hAnsi="宋体" w:cs="宋体"/>
          <w:color w:val="auto"/>
          <w:highlight w:val="none"/>
        </w:rPr>
      </w:pPr>
      <w:r>
        <w:rPr>
          <w:rFonts w:hint="eastAsia" w:hAnsi="宋体" w:cs="宋体"/>
          <w:color w:val="auto"/>
          <w:highlight w:val="none"/>
        </w:rPr>
        <w:t>⑶当响应文件的服务内容低于磋商采购文件要求时，磋商供应商应当如实写明“负偏离”，否则视为虚假响应。</w:t>
      </w:r>
    </w:p>
    <w:p>
      <w:pPr>
        <w:pStyle w:val="13"/>
        <w:spacing w:line="600" w:lineRule="exact"/>
        <w:rPr>
          <w:rFonts w:hint="eastAsia" w:hAnsi="宋体" w:cs="宋体"/>
          <w:color w:val="auto"/>
          <w:highlight w:val="none"/>
        </w:rPr>
      </w:pPr>
      <w:r>
        <w:rPr>
          <w:rFonts w:hint="eastAsia" w:hAnsi="宋体" w:cs="宋体"/>
          <w:b/>
          <w:color w:val="auto"/>
          <w:sz w:val="32"/>
          <w:highlight w:val="none"/>
        </w:rPr>
        <w:br w:type="page"/>
      </w:r>
    </w:p>
    <w:p>
      <w:pPr>
        <w:pStyle w:val="13"/>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法定代表人授权委托书（格式）</w:t>
      </w:r>
    </w:p>
    <w:p>
      <w:pPr>
        <w:pStyle w:val="13"/>
        <w:spacing w:line="500" w:lineRule="exact"/>
        <w:ind w:firstLine="420" w:firstLineChars="200"/>
        <w:rPr>
          <w:rFonts w:hint="eastAsia" w:hAnsi="宋体" w:cs="宋体"/>
          <w:color w:val="auto"/>
          <w:highlight w:val="none"/>
          <w:u w:val="single"/>
        </w:rPr>
      </w:pP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pPr>
        <w:pStyle w:val="13"/>
        <w:spacing w:line="440" w:lineRule="exact"/>
        <w:ind w:firstLine="420" w:firstLineChars="200"/>
        <w:rPr>
          <w:rFonts w:hint="eastAsia" w:hAnsi="宋体" w:cs="宋体"/>
          <w:color w:val="auto"/>
          <w:highlight w:val="none"/>
        </w:rPr>
      </w:pPr>
    </w:p>
    <w:p>
      <w:pPr>
        <w:pStyle w:val="13"/>
        <w:spacing w:line="440" w:lineRule="exact"/>
        <w:ind w:firstLine="420" w:firstLineChars="200"/>
        <w:rPr>
          <w:rFonts w:hint="eastAsia"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（磋商供应商名称）的法定代表人，现授权</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）的响应文件、签订合同和处理一切有关事宜，其法律后果由我方承担。</w:t>
      </w:r>
    </w:p>
    <w:p>
      <w:pPr>
        <w:pStyle w:val="13"/>
        <w:spacing w:line="360" w:lineRule="auto"/>
        <w:ind w:firstLine="435"/>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pPr>
        <w:pStyle w:val="13"/>
        <w:spacing w:line="360" w:lineRule="auto"/>
        <w:ind w:firstLine="420"/>
        <w:rPr>
          <w:rFonts w:hint="eastAsia" w:hAnsi="宋体" w:cs="宋体"/>
          <w:color w:val="auto"/>
          <w:highlight w:val="none"/>
        </w:rPr>
      </w:pPr>
      <w:r>
        <w:rPr>
          <w:rFonts w:hint="eastAsia" w:hAnsi="宋体" w:cs="宋体"/>
          <w:color w:val="auto"/>
          <w:highlight w:val="none"/>
        </w:rPr>
        <w:t>代理人无转委托权。</w:t>
      </w:r>
    </w:p>
    <w:p>
      <w:pPr>
        <w:pStyle w:val="13"/>
        <w:spacing w:line="360" w:lineRule="auto"/>
        <w:ind w:firstLine="420"/>
        <w:rPr>
          <w:rFonts w:hint="eastAsia" w:hAnsi="宋体" w:cs="宋体"/>
          <w:color w:val="auto"/>
          <w:highlight w:val="none"/>
        </w:rPr>
      </w:pPr>
    </w:p>
    <w:p>
      <w:pPr>
        <w:pStyle w:val="13"/>
        <w:spacing w:line="360" w:lineRule="auto"/>
        <w:ind w:firstLine="420"/>
        <w:rPr>
          <w:rFonts w:hint="eastAsia" w:hAnsi="宋体" w:cs="宋体"/>
          <w:color w:val="auto"/>
          <w:highlight w:val="none"/>
          <w:u w:val="single"/>
        </w:rPr>
      </w:pPr>
      <w:r>
        <w:rPr>
          <w:rFonts w:hint="eastAsia" w:hAnsi="宋体" w:cs="宋体"/>
          <w:color w:val="auto"/>
          <w:highlight w:val="none"/>
        </w:rPr>
        <w:t>磋商供应商（盖单位公章）：</w:t>
      </w:r>
      <w:r>
        <w:rPr>
          <w:rFonts w:hint="eastAsia" w:hAnsi="宋体" w:cs="宋体"/>
          <w:color w:val="auto"/>
          <w:highlight w:val="none"/>
          <w:u w:val="single"/>
        </w:rPr>
        <w:t xml:space="preserve">                                </w:t>
      </w:r>
    </w:p>
    <w:p>
      <w:pPr>
        <w:pStyle w:val="13"/>
        <w:spacing w:line="360" w:lineRule="auto"/>
        <w:ind w:firstLine="420"/>
        <w:rPr>
          <w:rFonts w:hint="eastAsia" w:hAnsi="宋体" w:cs="宋体"/>
          <w:color w:val="auto"/>
          <w:highlight w:val="none"/>
          <w:u w:val="single"/>
        </w:rPr>
      </w:pPr>
      <w:r>
        <w:rPr>
          <w:rFonts w:hint="eastAsia" w:hAnsi="宋体" w:cs="宋体"/>
          <w:color w:val="auto"/>
          <w:highlight w:val="none"/>
        </w:rPr>
        <w:t>法定代表人（签字或盖章）：</w:t>
      </w:r>
      <w:r>
        <w:rPr>
          <w:rFonts w:hint="eastAsia" w:hAnsi="宋体" w:cs="宋体"/>
          <w:color w:val="auto"/>
          <w:highlight w:val="none"/>
          <w:u w:val="single"/>
        </w:rPr>
        <w:t xml:space="preserve">                                </w:t>
      </w:r>
    </w:p>
    <w:p>
      <w:pPr>
        <w:pStyle w:val="13"/>
        <w:spacing w:line="360" w:lineRule="auto"/>
        <w:ind w:firstLine="420"/>
        <w:rPr>
          <w:rFonts w:hint="eastAsia"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pPr>
        <w:pStyle w:val="13"/>
        <w:spacing w:line="360" w:lineRule="auto"/>
        <w:ind w:firstLine="420" w:firstLineChars="200"/>
        <w:rPr>
          <w:rFonts w:hint="eastAsia" w:hAnsi="宋体" w:cs="宋体"/>
          <w:color w:val="auto"/>
          <w:highlight w:val="none"/>
        </w:rPr>
      </w:pPr>
      <w:r>
        <w:rPr>
          <w:rFonts w:hint="eastAsia" w:hAnsi="宋体" w:cs="宋体"/>
          <w:color w:val="auto"/>
          <w:highlight w:val="none"/>
        </w:rPr>
        <w:t>委托代理人（签字或盖章）：</w:t>
      </w:r>
      <w:r>
        <w:rPr>
          <w:rFonts w:hint="eastAsia" w:hAnsi="宋体" w:cs="宋体"/>
          <w:color w:val="auto"/>
          <w:highlight w:val="none"/>
          <w:u w:val="single"/>
        </w:rPr>
        <w:t xml:space="preserve">                                </w:t>
      </w:r>
    </w:p>
    <w:p>
      <w:pPr>
        <w:pStyle w:val="13"/>
        <w:spacing w:line="360" w:lineRule="auto"/>
        <w:ind w:firstLine="420"/>
        <w:rPr>
          <w:rFonts w:hint="eastAsia"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pPr>
        <w:pStyle w:val="13"/>
        <w:spacing w:line="360" w:lineRule="auto"/>
        <w:ind w:firstLine="315" w:firstLineChars="150"/>
        <w:jc w:val="left"/>
        <w:rPr>
          <w:rFonts w:hint="eastAsia" w:hAnsi="宋体" w:cs="宋体"/>
          <w:bCs/>
          <w:color w:val="auto"/>
          <w:highlight w:val="none"/>
          <w:u w:val="single"/>
        </w:rPr>
      </w:pPr>
    </w:p>
    <w:p>
      <w:pPr>
        <w:pStyle w:val="13"/>
        <w:spacing w:line="360" w:lineRule="auto"/>
        <w:ind w:firstLine="315" w:firstLineChars="150"/>
        <w:jc w:val="left"/>
        <w:rPr>
          <w:rFonts w:hint="eastAsia" w:hAnsi="宋体" w:cs="宋体"/>
          <w:bCs/>
          <w:color w:val="auto"/>
          <w:szCs w:val="21"/>
          <w:highlight w:val="none"/>
        </w:rPr>
      </w:pPr>
      <w:r>
        <w:rPr>
          <w:rFonts w:hint="eastAsia" w:hAnsi="宋体" w:cs="宋体"/>
          <w:bCs/>
          <w:color w:val="auto"/>
          <w:highlight w:val="none"/>
          <w:u w:val="single"/>
        </w:rPr>
        <w:t xml:space="preserve">    </w:t>
      </w:r>
      <w:r>
        <w:rPr>
          <w:rFonts w:hint="eastAsia" w:hAnsi="宋体" w:cs="宋体"/>
          <w:bCs/>
          <w:color w:val="auto"/>
          <w:szCs w:val="21"/>
          <w:highlight w:val="none"/>
        </w:rPr>
        <w:t>年</w:t>
      </w:r>
      <w:r>
        <w:rPr>
          <w:rFonts w:hint="eastAsia" w:hAnsi="宋体" w:cs="宋体"/>
          <w:bCs/>
          <w:color w:val="auto"/>
          <w:highlight w:val="none"/>
          <w:u w:val="single"/>
        </w:rPr>
        <w:t xml:space="preserve">    </w:t>
      </w:r>
      <w:r>
        <w:rPr>
          <w:rFonts w:hint="eastAsia" w:hAnsi="宋体" w:cs="宋体"/>
          <w:bCs/>
          <w:color w:val="auto"/>
          <w:szCs w:val="21"/>
          <w:highlight w:val="none"/>
        </w:rPr>
        <w:t>月</w:t>
      </w:r>
      <w:r>
        <w:rPr>
          <w:rFonts w:hint="eastAsia" w:hAnsi="宋体" w:cs="宋体"/>
          <w:bCs/>
          <w:color w:val="auto"/>
          <w:highlight w:val="none"/>
          <w:u w:val="single"/>
        </w:rPr>
        <w:t xml:space="preserve">    </w:t>
      </w:r>
      <w:r>
        <w:rPr>
          <w:rFonts w:hint="eastAsia" w:hAnsi="宋体" w:cs="宋体"/>
          <w:bCs/>
          <w:color w:val="auto"/>
          <w:szCs w:val="21"/>
          <w:highlight w:val="none"/>
        </w:rPr>
        <w:t>日</w:t>
      </w:r>
    </w:p>
    <w:p>
      <w:pPr>
        <w:pStyle w:val="7"/>
        <w:overflowPunct w:val="0"/>
        <w:spacing w:line="360" w:lineRule="auto"/>
        <w:ind w:firstLine="0"/>
        <w:jc w:val="center"/>
        <w:rPr>
          <w:rFonts w:hint="eastAsia" w:ascii="宋体" w:hAnsi="宋体" w:cs="宋体"/>
          <w:b/>
          <w:color w:val="auto"/>
          <w:sz w:val="28"/>
          <w:szCs w:val="28"/>
          <w:highlight w:val="none"/>
        </w:rPr>
      </w:pPr>
      <w:r>
        <w:rPr>
          <w:rFonts w:hint="eastAsia" w:ascii="宋体" w:hAnsi="宋体" w:cs="宋体"/>
          <w:bCs/>
          <w:color w:val="auto"/>
          <w:szCs w:val="21"/>
          <w:highlight w:val="none"/>
        </w:rPr>
        <w:br w:type="page"/>
      </w:r>
    </w:p>
    <w:p>
      <w:pPr>
        <w:pStyle w:val="13"/>
        <w:spacing w:line="420" w:lineRule="exact"/>
        <w:jc w:val="center"/>
        <w:rPr>
          <w:rFonts w:hint="eastAsia" w:hAnsi="宋体" w:cs="宋体"/>
          <w:color w:val="auto"/>
          <w:sz w:val="28"/>
          <w:szCs w:val="28"/>
          <w:highlight w:val="none"/>
        </w:rPr>
      </w:pPr>
      <w:r>
        <w:rPr>
          <w:rFonts w:hint="eastAsia" w:hAnsi="宋体" w:cs="宋体"/>
          <w:b/>
          <w:bCs/>
          <w:color w:val="auto"/>
          <w:sz w:val="28"/>
          <w:szCs w:val="28"/>
          <w:highlight w:val="none"/>
        </w:rPr>
        <w:t>联合体协议书（格式）</w:t>
      </w:r>
    </w:p>
    <w:p>
      <w:pPr>
        <w:autoSpaceDE w:val="0"/>
        <w:autoSpaceDN w:val="0"/>
        <w:adjustRightInd w:val="0"/>
        <w:spacing w:line="420" w:lineRule="exact"/>
        <w:jc w:val="left"/>
        <w:rPr>
          <w:rFonts w:hint="eastAsia" w:ascii="宋体" w:hAnsi="宋体" w:cs="宋体"/>
          <w:color w:val="auto"/>
          <w:kern w:val="0"/>
          <w:sz w:val="28"/>
          <w:szCs w:val="28"/>
          <w:highlight w:val="none"/>
          <w:u w:val="single"/>
        </w:rPr>
      </w:pPr>
    </w:p>
    <w:p>
      <w:pPr>
        <w:autoSpaceDE w:val="0"/>
        <w:autoSpaceDN w:val="0"/>
        <w:adjustRightIn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（采购代理机构名称）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）磋商。现就联合体磋商事宜订立如下协议：</w:t>
      </w:r>
    </w:p>
    <w:p>
      <w:pPr>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w:t>
      </w:r>
      <w:r>
        <w:rPr>
          <w:rFonts w:hint="eastAsia" w:ascii="宋体" w:hAnsi="宋体" w:cs="宋体"/>
          <w:bCs/>
          <w:color w:val="auto"/>
          <w:highlight w:val="none"/>
        </w:rPr>
        <w:t>主体方（或牵头方）</w:t>
      </w:r>
      <w:r>
        <w:rPr>
          <w:rFonts w:hint="eastAsia" w:ascii="宋体" w:hAnsi="宋体" w:cs="宋体"/>
          <w:color w:val="auto"/>
          <w:kern w:val="0"/>
          <w:szCs w:val="21"/>
          <w:highlight w:val="none"/>
        </w:rPr>
        <w:t>。</w:t>
      </w:r>
    </w:p>
    <w:p>
      <w:pPr>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2、联合体</w:t>
      </w:r>
      <w:r>
        <w:rPr>
          <w:rFonts w:hint="eastAsia" w:ascii="宋体" w:hAnsi="宋体" w:cs="宋体"/>
          <w:bCs/>
          <w:color w:val="auto"/>
          <w:highlight w:val="none"/>
        </w:rPr>
        <w:t>主体方（或牵头方）</w:t>
      </w:r>
      <w:r>
        <w:rPr>
          <w:rFonts w:hint="eastAsia" w:ascii="宋体" w:hAnsi="宋体" w:cs="宋体"/>
          <w:color w:val="auto"/>
          <w:kern w:val="0"/>
          <w:szCs w:val="21"/>
          <w:highlight w:val="none"/>
        </w:rPr>
        <w:t>合法代表联合体各成员负责本磋商项目响应文件编制和合同磋商谈判活动，并代表联合体提交和接收相关的资料、信息及指示，并处理与之有关的一切事务，负责合同实施阶段的主办、组织和协调工作。</w:t>
      </w:r>
    </w:p>
    <w:p>
      <w:pPr>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3、联合体将严格按照竞争性磋商采购文件的各项要求，递交响应文件，履行合同，并对外承担连带责任。</w:t>
      </w:r>
    </w:p>
    <w:p>
      <w:pPr>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szCs w:val="21"/>
          <w:highlight w:val="none"/>
        </w:rPr>
        <w:t>________________________________________________</w:t>
      </w:r>
      <w:r>
        <w:rPr>
          <w:rFonts w:hint="eastAsia" w:ascii="宋体" w:hAnsi="宋体" w:cs="宋体"/>
          <w:color w:val="auto"/>
          <w:kern w:val="0"/>
          <w:szCs w:val="21"/>
          <w:highlight w:val="none"/>
        </w:rPr>
        <w:t>。</w:t>
      </w:r>
    </w:p>
    <w:p>
      <w:pPr>
        <w:pStyle w:val="13"/>
        <w:spacing w:line="420" w:lineRule="exact"/>
        <w:ind w:firstLine="420" w:firstLineChars="200"/>
        <w:rPr>
          <w:rFonts w:hint="eastAsia" w:hAnsi="宋体" w:cs="宋体"/>
          <w:color w:val="auto"/>
          <w:highlight w:val="none"/>
        </w:rPr>
      </w:pPr>
      <w:r>
        <w:rPr>
          <w:rFonts w:hint="eastAsia" w:hAnsi="宋体" w:cs="宋体"/>
          <w:color w:val="auto"/>
          <w:highlight w:val="none"/>
        </w:rPr>
        <w:t>5、本联合体中，________________________（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pPr>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pPr>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注：本协议书由授权代表签字的，应附法定代表人授权委托书。</w:t>
      </w:r>
    </w:p>
    <w:p>
      <w:pPr>
        <w:autoSpaceDE w:val="0"/>
        <w:autoSpaceDN w:val="0"/>
        <w:adjustRightInd w:val="0"/>
        <w:spacing w:line="420" w:lineRule="exact"/>
        <w:jc w:val="left"/>
        <w:rPr>
          <w:rFonts w:hint="eastAsia" w:ascii="宋体" w:hAnsi="宋体" w:cs="宋体"/>
          <w:color w:val="auto"/>
          <w:kern w:val="0"/>
          <w:szCs w:val="21"/>
          <w:highlight w:val="none"/>
        </w:rPr>
      </w:pPr>
    </w:p>
    <w:p>
      <w:pPr>
        <w:autoSpaceDE w:val="0"/>
        <w:autoSpaceDN w:val="0"/>
        <w:adjustRightIn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pPr>
        <w:autoSpaceDE w:val="0"/>
        <w:autoSpaceDN w:val="0"/>
        <w:adjustRightInd w:val="0"/>
        <w:spacing w:line="420" w:lineRule="exact"/>
        <w:jc w:val="left"/>
        <w:rPr>
          <w:rFonts w:hint="eastAsia" w:ascii="宋体" w:hAnsi="宋体" w:cs="宋体"/>
          <w:color w:val="auto"/>
          <w:kern w:val="0"/>
          <w:szCs w:val="21"/>
          <w:highlight w:val="none"/>
        </w:rPr>
      </w:pPr>
      <w:r>
        <w:rPr>
          <w:rFonts w:hint="eastAsia" w:ascii="宋体" w:hAnsi="宋体" w:cs="宋体"/>
          <w:color w:val="auto"/>
          <w:highlight w:val="none"/>
        </w:rPr>
        <w:t>法定代表人或法定代表人授权代表</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0"/>
          <w:highlight w:val="none"/>
        </w:rPr>
        <w:t>签字或盖章</w:t>
      </w:r>
      <w:r>
        <w:rPr>
          <w:rFonts w:hint="eastAsia" w:ascii="宋体" w:hAnsi="宋体" w:cs="宋体"/>
          <w:color w:val="auto"/>
          <w:kern w:val="0"/>
          <w:szCs w:val="21"/>
          <w:highlight w:val="none"/>
        </w:rPr>
        <w:t>）</w:t>
      </w:r>
    </w:p>
    <w:p>
      <w:pPr>
        <w:autoSpaceDE w:val="0"/>
        <w:autoSpaceDN w:val="0"/>
        <w:adjustRightInd w:val="0"/>
        <w:spacing w:line="420" w:lineRule="exact"/>
        <w:jc w:val="left"/>
        <w:rPr>
          <w:rFonts w:hint="eastAsia" w:ascii="宋体" w:hAnsi="宋体" w:cs="宋体"/>
          <w:color w:val="auto"/>
          <w:kern w:val="0"/>
          <w:szCs w:val="21"/>
          <w:highlight w:val="none"/>
        </w:rPr>
      </w:pPr>
    </w:p>
    <w:p>
      <w:pPr>
        <w:autoSpaceDE w:val="0"/>
        <w:autoSpaceDN w:val="0"/>
        <w:adjustRightIn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pPr>
        <w:autoSpaceDE w:val="0"/>
        <w:autoSpaceDN w:val="0"/>
        <w:adjustRightInd w:val="0"/>
        <w:spacing w:line="420" w:lineRule="exact"/>
        <w:jc w:val="left"/>
        <w:rPr>
          <w:rFonts w:hint="eastAsia" w:ascii="宋体" w:hAnsi="宋体" w:cs="宋体"/>
          <w:color w:val="auto"/>
          <w:kern w:val="0"/>
          <w:szCs w:val="21"/>
          <w:highlight w:val="none"/>
        </w:rPr>
      </w:pPr>
      <w:r>
        <w:rPr>
          <w:rFonts w:hint="eastAsia" w:ascii="宋体" w:hAnsi="宋体" w:cs="宋体"/>
          <w:color w:val="auto"/>
          <w:highlight w:val="none"/>
        </w:rPr>
        <w:t>法定代表人或法定代表人授权代表</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0"/>
          <w:highlight w:val="none"/>
        </w:rPr>
        <w:t>签字或盖章</w:t>
      </w:r>
      <w:r>
        <w:rPr>
          <w:rFonts w:hint="eastAsia" w:ascii="宋体" w:hAnsi="宋体" w:cs="宋体"/>
          <w:color w:val="auto"/>
          <w:kern w:val="0"/>
          <w:szCs w:val="21"/>
          <w:highlight w:val="none"/>
        </w:rPr>
        <w:t>）</w:t>
      </w:r>
    </w:p>
    <w:p>
      <w:pPr>
        <w:autoSpaceDE w:val="0"/>
        <w:autoSpaceDN w:val="0"/>
        <w:adjustRightInd w:val="0"/>
        <w:spacing w:line="420" w:lineRule="exact"/>
        <w:jc w:val="left"/>
        <w:rPr>
          <w:rFonts w:hint="eastAsia" w:ascii="宋体" w:hAnsi="宋体" w:cs="宋体"/>
          <w:color w:val="auto"/>
          <w:kern w:val="0"/>
          <w:szCs w:val="21"/>
          <w:highlight w:val="none"/>
        </w:rPr>
      </w:pPr>
    </w:p>
    <w:p>
      <w:pPr>
        <w:autoSpaceDE w:val="0"/>
        <w:autoSpaceDN w:val="0"/>
        <w:adjustRightIn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pPr>
        <w:autoSpaceDE w:val="0"/>
        <w:autoSpaceDN w:val="0"/>
        <w:adjustRightInd w:val="0"/>
        <w:spacing w:line="420" w:lineRule="exact"/>
        <w:jc w:val="left"/>
        <w:rPr>
          <w:rFonts w:hint="eastAsia" w:ascii="宋体" w:hAnsi="宋体" w:cs="宋体"/>
          <w:color w:val="auto"/>
          <w:kern w:val="0"/>
          <w:szCs w:val="21"/>
          <w:highlight w:val="none"/>
        </w:rPr>
      </w:pPr>
      <w:r>
        <w:rPr>
          <w:rFonts w:hint="eastAsia" w:ascii="宋体" w:hAnsi="宋体" w:cs="宋体"/>
          <w:color w:val="auto"/>
          <w:highlight w:val="none"/>
        </w:rPr>
        <w:t>法定代表人或法定代表人授权代表</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0"/>
          <w:highlight w:val="none"/>
        </w:rPr>
        <w:t>签字或盖章</w:t>
      </w:r>
      <w:r>
        <w:rPr>
          <w:rFonts w:hint="eastAsia" w:ascii="宋体" w:hAnsi="宋体" w:cs="宋体"/>
          <w:color w:val="auto"/>
          <w:kern w:val="0"/>
          <w:szCs w:val="21"/>
          <w:highlight w:val="none"/>
        </w:rPr>
        <w:t>）</w:t>
      </w:r>
    </w:p>
    <w:p>
      <w:pPr>
        <w:pStyle w:val="13"/>
        <w:spacing w:line="420" w:lineRule="exact"/>
        <w:rPr>
          <w:rFonts w:hint="eastAsia" w:hAnsi="宋体" w:cs="宋体"/>
          <w:color w:val="auto"/>
          <w:highlight w:val="none"/>
        </w:rPr>
      </w:pPr>
      <w:r>
        <w:rPr>
          <w:rFonts w:hint="eastAsia" w:hAnsi="宋体" w:cs="宋体"/>
          <w:color w:val="auto"/>
          <w:highlight w:val="none"/>
        </w:rPr>
        <w:t>......</w:t>
      </w:r>
    </w:p>
    <w:p>
      <w:pPr>
        <w:pStyle w:val="7"/>
        <w:overflowPunct w:val="0"/>
        <w:jc w:val="center"/>
        <w:rPr>
          <w:rFonts w:hint="eastAsia" w:ascii="宋体" w:hAnsi="宋体" w:cs="宋体"/>
          <w:color w:val="auto"/>
          <w:sz w:val="30"/>
          <w:highlight w:val="none"/>
        </w:rPr>
      </w:pPr>
      <w:r>
        <w:rPr>
          <w:rFonts w:hint="eastAsia" w:ascii="宋体" w:hAnsi="宋体" w:cs="宋体"/>
          <w:b/>
          <w:color w:val="auto"/>
          <w:sz w:val="28"/>
          <w:szCs w:val="28"/>
          <w:highlight w:val="none"/>
        </w:rPr>
        <w:br w:type="page"/>
      </w:r>
    </w:p>
    <w:p>
      <w:pPr>
        <w:pStyle w:val="7"/>
        <w:overflowPunct w:val="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联合体授权委托书</w:t>
      </w:r>
      <w:r>
        <w:rPr>
          <w:rFonts w:hint="eastAsia" w:ascii="宋体" w:hAnsi="宋体" w:cs="宋体"/>
          <w:b/>
          <w:bCs/>
          <w:color w:val="auto"/>
          <w:sz w:val="30"/>
          <w:szCs w:val="30"/>
          <w:highlight w:val="none"/>
        </w:rPr>
        <w:t>（格式）</w:t>
      </w:r>
    </w:p>
    <w:p>
      <w:pPr>
        <w:pStyle w:val="7"/>
        <w:overflowPunct w:val="0"/>
        <w:spacing w:line="360" w:lineRule="auto"/>
        <w:rPr>
          <w:rFonts w:hint="eastAsia" w:ascii="宋体" w:hAnsi="宋体" w:cs="宋体"/>
          <w:color w:val="auto"/>
          <w:sz w:val="24"/>
          <w:highlight w:val="none"/>
        </w:rPr>
      </w:pPr>
    </w:p>
    <w:p>
      <w:pPr>
        <w:pStyle w:val="7"/>
        <w:overflowPunct w:val="0"/>
        <w:spacing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本授权委托书声明：  根据签订的《联合体协议书》的内容，</w:t>
      </w:r>
      <w:r>
        <w:rPr>
          <w:rFonts w:hint="eastAsia" w:ascii="宋体" w:hAnsi="宋体" w:cs="宋体"/>
          <w:bCs/>
          <w:color w:val="auto"/>
          <w:szCs w:val="21"/>
          <w:highlight w:val="none"/>
        </w:rPr>
        <w:t>主体方（或牵头方）</w:t>
      </w:r>
      <w:r>
        <w:rPr>
          <w:rFonts w:hint="eastAsia" w:ascii="宋体" w:hAnsi="宋体" w:cs="宋体"/>
          <w:color w:val="auto"/>
          <w:szCs w:val="21"/>
          <w:highlight w:val="none"/>
        </w:rPr>
        <w:t>的法定代表人现授权</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为联合体代理人，代理人在开标、磋商过程中所签署的一切文件和处理与这有关的一切事务， 联合体各方均予以认可并遵守。</w:t>
      </w:r>
    </w:p>
    <w:p>
      <w:pPr>
        <w:pStyle w:val="7"/>
        <w:overflowPunct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特此委托。</w:t>
      </w:r>
    </w:p>
    <w:p>
      <w:pPr>
        <w:pStyle w:val="7"/>
        <w:overflowPunct w:val="0"/>
        <w:spacing w:line="360" w:lineRule="auto"/>
        <w:rPr>
          <w:rFonts w:hint="eastAsia" w:ascii="宋体" w:hAnsi="宋体" w:cs="宋体"/>
          <w:color w:val="auto"/>
          <w:szCs w:val="21"/>
          <w:highlight w:val="none"/>
        </w:rPr>
      </w:pPr>
    </w:p>
    <w:p>
      <w:pPr>
        <w:pStyle w:val="7"/>
        <w:overflowPunct w:val="0"/>
        <w:spacing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授权人（签字或盖章）：</w:t>
      </w:r>
      <w:r>
        <w:rPr>
          <w:rFonts w:hint="eastAsia" w:ascii="宋体" w:hAnsi="宋体" w:cs="宋体"/>
          <w:color w:val="auto"/>
          <w:szCs w:val="21"/>
          <w:highlight w:val="none"/>
          <w:u w:val="single"/>
        </w:rPr>
        <w:t xml:space="preserve">                          </w:t>
      </w:r>
    </w:p>
    <w:p>
      <w:pPr>
        <w:pStyle w:val="7"/>
        <w:overflowPunct w:val="0"/>
        <w:spacing w:line="360" w:lineRule="auto"/>
        <w:ind w:left="420" w:firstLine="0"/>
        <w:rPr>
          <w:rFonts w:hint="eastAsia" w:ascii="宋体" w:hAnsi="宋体" w:cs="宋体"/>
          <w:color w:val="auto"/>
          <w:szCs w:val="21"/>
          <w:highlight w:val="none"/>
        </w:rPr>
      </w:pPr>
      <w:r>
        <w:rPr>
          <w:rFonts w:hint="eastAsia" w:ascii="宋体" w:hAnsi="宋体" w:cs="宋体"/>
          <w:color w:val="auto"/>
          <w:szCs w:val="21"/>
          <w:highlight w:val="none"/>
        </w:rPr>
        <w:t>授权人身份证号码：</w:t>
      </w:r>
      <w:r>
        <w:rPr>
          <w:rFonts w:hint="eastAsia" w:ascii="宋体" w:hAnsi="宋体" w:cs="宋体"/>
          <w:color w:val="auto"/>
          <w:szCs w:val="21"/>
          <w:highlight w:val="none"/>
          <w:u w:val="single"/>
        </w:rPr>
        <w:t xml:space="preserve">                              </w:t>
      </w:r>
    </w:p>
    <w:p>
      <w:pPr>
        <w:pStyle w:val="7"/>
        <w:overflowPunct w:val="0"/>
        <w:spacing w:line="360" w:lineRule="auto"/>
        <w:ind w:left="420" w:firstLine="0"/>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pStyle w:val="7"/>
        <w:overflowPunct w:val="0"/>
        <w:spacing w:line="360" w:lineRule="auto"/>
        <w:rPr>
          <w:rFonts w:hint="eastAsia" w:ascii="宋体" w:hAnsi="宋体" w:cs="宋体"/>
          <w:color w:val="auto"/>
          <w:szCs w:val="21"/>
          <w:highlight w:val="none"/>
        </w:rPr>
      </w:pPr>
    </w:p>
    <w:p>
      <w:pPr>
        <w:pStyle w:val="7"/>
        <w:overflowPunct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被授权人（签字或盖章）； </w:t>
      </w:r>
      <w:r>
        <w:rPr>
          <w:rFonts w:hint="eastAsia" w:ascii="宋体" w:hAnsi="宋体" w:cs="宋体"/>
          <w:color w:val="auto"/>
          <w:szCs w:val="21"/>
          <w:highlight w:val="none"/>
          <w:u w:val="single"/>
        </w:rPr>
        <w:t xml:space="preserve">                       </w:t>
      </w:r>
    </w:p>
    <w:p>
      <w:pPr>
        <w:pStyle w:val="7"/>
        <w:overflowPunct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被授权人身份证号码： </w:t>
      </w:r>
      <w:r>
        <w:rPr>
          <w:rFonts w:hint="eastAsia" w:ascii="宋体" w:hAnsi="宋体" w:cs="宋体"/>
          <w:color w:val="auto"/>
          <w:szCs w:val="21"/>
          <w:highlight w:val="none"/>
          <w:u w:val="single"/>
        </w:rPr>
        <w:t xml:space="preserve">                           </w:t>
      </w:r>
    </w:p>
    <w:p>
      <w:pPr>
        <w:pStyle w:val="7"/>
        <w:overflowPunct w:val="0"/>
        <w:spacing w:line="360" w:lineRule="auto"/>
        <w:rPr>
          <w:rFonts w:hint="eastAsia" w:ascii="宋体" w:hAnsi="宋体" w:cs="宋体"/>
          <w:color w:val="auto"/>
          <w:sz w:val="24"/>
          <w:szCs w:val="24"/>
          <w:highlight w:val="none"/>
        </w:rPr>
      </w:pPr>
    </w:p>
    <w:p>
      <w:pPr>
        <w:pStyle w:val="13"/>
        <w:spacing w:line="360" w:lineRule="auto"/>
        <w:ind w:firstLine="315" w:firstLineChars="150"/>
        <w:jc w:val="left"/>
        <w:rPr>
          <w:rFonts w:hint="eastAsia" w:hAnsi="宋体" w:cs="宋体"/>
          <w:color w:val="auto"/>
          <w:highlight w:val="none"/>
          <w:u w:val="single"/>
        </w:rPr>
      </w:pPr>
    </w:p>
    <w:p>
      <w:pPr>
        <w:pStyle w:val="13"/>
        <w:spacing w:line="360" w:lineRule="auto"/>
        <w:jc w:val="center"/>
        <w:rPr>
          <w:rFonts w:hint="eastAsia" w:hAnsi="宋体" w:cs="宋体"/>
          <w:color w:val="auto"/>
          <w:szCs w:val="21"/>
          <w:highlight w:val="none"/>
        </w:rPr>
      </w:pPr>
      <w:r>
        <w:rPr>
          <w:rFonts w:hint="eastAsia" w:hAnsi="宋体" w:cs="宋体"/>
          <w:color w:val="auto"/>
          <w:spacing w:val="20"/>
          <w:highlight w:val="none"/>
        </w:rPr>
        <w:br w:type="page"/>
      </w:r>
      <w:bookmarkStart w:id="97" w:name="_Toc213325925"/>
      <w:bookmarkStart w:id="98" w:name="_Toc213206176"/>
      <w:r>
        <w:rPr>
          <w:rFonts w:hint="eastAsia" w:hAnsi="宋体" w:cs="宋体"/>
          <w:b/>
          <w:bCs/>
          <w:color w:val="auto"/>
          <w:sz w:val="30"/>
          <w:szCs w:val="30"/>
          <w:highlight w:val="none"/>
        </w:rPr>
        <w:t>磋商供应商信息表（格式）</w:t>
      </w:r>
    </w:p>
    <w:p>
      <w:pPr>
        <w:autoSpaceDE w:val="0"/>
        <w:autoSpaceDN w:val="0"/>
        <w:adjustRightInd w:val="0"/>
        <w:spacing w:line="440" w:lineRule="exact"/>
        <w:jc w:val="left"/>
        <w:rPr>
          <w:rFonts w:hint="eastAsia" w:ascii="宋体" w:hAnsi="宋体" w:cs="宋体"/>
          <w:color w:val="auto"/>
          <w:highlight w:val="none"/>
        </w:rPr>
      </w:pPr>
    </w:p>
    <w:p>
      <w:pPr>
        <w:autoSpaceDE w:val="0"/>
        <w:autoSpaceDN w:val="0"/>
        <w:adjustRightInd w:val="0"/>
        <w:spacing w:line="440" w:lineRule="exact"/>
        <w:jc w:val="left"/>
        <w:rPr>
          <w:rFonts w:hint="eastAsia" w:ascii="宋体" w:hAnsi="宋体" w:cs="宋体"/>
          <w:color w:val="auto"/>
          <w:szCs w:val="21"/>
          <w:highlight w:val="none"/>
        </w:rPr>
      </w:pPr>
      <w:r>
        <w:rPr>
          <w:rFonts w:hint="eastAsia" w:ascii="宋体" w:hAnsi="宋体" w:cs="宋体"/>
          <w:color w:val="auto"/>
          <w:highlight w:val="none"/>
        </w:rPr>
        <w:t>项目名称：</w:t>
      </w:r>
      <w:r>
        <w:rPr>
          <w:rFonts w:hint="eastAsia" w:ascii="宋体" w:hAnsi="宋体" w:cs="宋体"/>
          <w:color w:val="auto"/>
          <w:szCs w:val="21"/>
          <w:highlight w:val="none"/>
          <w:u w:val="single"/>
        </w:rPr>
        <w:t xml:space="preserve">      　　                              </w:t>
      </w:r>
    </w:p>
    <w:p>
      <w:pPr>
        <w:autoSpaceDE w:val="0"/>
        <w:autoSpaceDN w:val="0"/>
        <w:adjustRightInd w:val="0"/>
        <w:spacing w:line="440" w:lineRule="exact"/>
        <w:jc w:val="left"/>
        <w:rPr>
          <w:rFonts w:hint="eastAsia" w:ascii="宋体" w:hAnsi="宋体" w:cs="宋体"/>
          <w:b/>
          <w:color w:val="auto"/>
          <w:kern w:val="0"/>
          <w:szCs w:val="21"/>
          <w:highlight w:val="none"/>
        </w:rPr>
      </w:pPr>
      <w:r>
        <w:rPr>
          <w:rFonts w:hint="eastAsia" w:ascii="宋体" w:hAnsi="宋体" w:cs="宋体"/>
          <w:color w:val="auto"/>
          <w:highlight w:val="none"/>
        </w:rPr>
        <w:t>项目编号：</w:t>
      </w:r>
      <w:r>
        <w:rPr>
          <w:rFonts w:hint="eastAsia" w:ascii="宋体" w:hAnsi="宋体" w:cs="宋体"/>
          <w:color w:val="auto"/>
          <w:szCs w:val="21"/>
          <w:highlight w:val="none"/>
          <w:u w:val="single"/>
        </w:rPr>
        <w:t xml:space="preserve">            　　                        </w:t>
      </w:r>
    </w:p>
    <w:p>
      <w:pPr>
        <w:autoSpaceDE w:val="0"/>
        <w:autoSpaceDN w:val="0"/>
        <w:adjustRightInd w:val="0"/>
        <w:spacing w:line="46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磋商供应商信息：</w:t>
      </w:r>
    </w:p>
    <w:p>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磋商供应商全称：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（加盖公章）</w:t>
      </w:r>
    </w:p>
    <w:p>
      <w:pPr>
        <w:snapToGrid w:val="0"/>
        <w:spacing w:line="46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磋商供应商统一社会信用代码：</w:t>
      </w:r>
      <w:r>
        <w:rPr>
          <w:rFonts w:hint="eastAsia" w:ascii="宋体" w:hAnsi="宋体" w:cs="宋体"/>
          <w:color w:val="auto"/>
          <w:szCs w:val="21"/>
          <w:highlight w:val="none"/>
          <w:u w:val="single"/>
        </w:rPr>
        <w:t xml:space="preserve">                                </w:t>
      </w:r>
    </w:p>
    <w:p>
      <w:pPr>
        <w:snapToGrid w:val="0"/>
        <w:spacing w:line="46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磋商供应商联系电话：</w:t>
      </w:r>
      <w:r>
        <w:rPr>
          <w:rFonts w:hint="eastAsia" w:ascii="宋体" w:hAnsi="宋体" w:cs="宋体"/>
          <w:color w:val="auto"/>
          <w:szCs w:val="21"/>
          <w:highlight w:val="none"/>
          <w:u w:val="single"/>
        </w:rPr>
        <w:t xml:space="preserve">                                        </w:t>
      </w:r>
    </w:p>
    <w:p>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磋商供应商地址：</w:t>
      </w:r>
      <w:r>
        <w:rPr>
          <w:rFonts w:hint="eastAsia" w:ascii="宋体" w:hAnsi="宋体" w:cs="宋体"/>
          <w:color w:val="auto"/>
          <w:szCs w:val="21"/>
          <w:highlight w:val="none"/>
          <w:u w:val="single"/>
        </w:rPr>
        <w:t xml:space="preserve">                                            </w:t>
      </w:r>
    </w:p>
    <w:p>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法定代表人姓名：</w:t>
      </w:r>
      <w:r>
        <w:rPr>
          <w:rFonts w:hint="eastAsia" w:ascii="宋体" w:hAnsi="宋体" w:cs="宋体"/>
          <w:color w:val="auto"/>
          <w:szCs w:val="21"/>
          <w:highlight w:val="none"/>
          <w:u w:val="single"/>
        </w:rPr>
        <w:t xml:space="preserve">         　　　　     　          </w:t>
      </w:r>
    </w:p>
    <w:p>
      <w:pPr>
        <w:snapToGrid w:val="0"/>
        <w:spacing w:line="46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法定代表人身份证号码：</w:t>
      </w:r>
      <w:r>
        <w:rPr>
          <w:rFonts w:hint="eastAsia" w:ascii="宋体" w:hAnsi="宋体" w:cs="宋体"/>
          <w:color w:val="auto"/>
          <w:szCs w:val="21"/>
          <w:highlight w:val="none"/>
          <w:u w:val="single"/>
        </w:rPr>
        <w:t xml:space="preserve">              　            </w:t>
      </w:r>
    </w:p>
    <w:p>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授权委托代理人姓名：</w:t>
      </w:r>
      <w:r>
        <w:rPr>
          <w:rFonts w:hint="eastAsia" w:ascii="宋体" w:hAnsi="宋体" w:cs="宋体"/>
          <w:color w:val="auto"/>
          <w:szCs w:val="21"/>
          <w:highlight w:val="none"/>
          <w:u w:val="single"/>
        </w:rPr>
        <w:t xml:space="preserve">        　　　　　　　　　　            </w:t>
      </w:r>
    </w:p>
    <w:p>
      <w:pPr>
        <w:snapToGrid w:val="0"/>
        <w:spacing w:line="46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授权委托代理人身份证号码：</w:t>
      </w:r>
      <w:r>
        <w:rPr>
          <w:rFonts w:hint="eastAsia" w:ascii="宋体" w:hAnsi="宋体" w:cs="宋体"/>
          <w:color w:val="auto"/>
          <w:szCs w:val="21"/>
          <w:highlight w:val="none"/>
          <w:u w:val="single"/>
        </w:rPr>
        <w:t xml:space="preserve">             　                   </w:t>
      </w:r>
    </w:p>
    <w:p>
      <w:pPr>
        <w:snapToGrid w:val="0"/>
        <w:spacing w:line="460" w:lineRule="exact"/>
        <w:rPr>
          <w:rFonts w:hint="eastAsia" w:ascii="宋体" w:hAnsi="宋体" w:cs="宋体"/>
          <w:b/>
          <w:color w:val="auto"/>
          <w:szCs w:val="21"/>
          <w:highlight w:val="none"/>
        </w:rPr>
      </w:pPr>
    </w:p>
    <w:p>
      <w:pPr>
        <w:snapToGrid w:val="0"/>
        <w:spacing w:line="460" w:lineRule="exact"/>
        <w:rPr>
          <w:rFonts w:hint="eastAsia" w:ascii="宋体" w:hAnsi="宋体" w:cs="宋体"/>
          <w:b/>
          <w:color w:val="auto"/>
          <w:szCs w:val="21"/>
          <w:highlight w:val="none"/>
        </w:rPr>
      </w:pPr>
      <w:r>
        <w:rPr>
          <w:rFonts w:hint="eastAsia" w:ascii="宋体" w:hAnsi="宋体" w:cs="宋体"/>
          <w:b/>
          <w:color w:val="auto"/>
          <w:szCs w:val="21"/>
          <w:highlight w:val="none"/>
        </w:rPr>
        <w:t>磋商供应商开票资料：</w:t>
      </w:r>
    </w:p>
    <w:p>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开票信息：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（填“专票”或“普票”）</w:t>
      </w:r>
    </w:p>
    <w:p>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磋商供应商名称：</w:t>
      </w:r>
      <w:r>
        <w:rPr>
          <w:rFonts w:hint="eastAsia" w:ascii="宋体" w:hAnsi="宋体" w:cs="宋体"/>
          <w:color w:val="auto"/>
          <w:szCs w:val="21"/>
          <w:highlight w:val="none"/>
          <w:u w:val="single"/>
        </w:rPr>
        <w:t xml:space="preserve">                             </w:t>
      </w:r>
    </w:p>
    <w:p>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纳税人识别号：</w:t>
      </w:r>
      <w:r>
        <w:rPr>
          <w:rFonts w:hint="eastAsia" w:ascii="宋体" w:hAnsi="宋体" w:cs="宋体"/>
          <w:color w:val="auto"/>
          <w:szCs w:val="21"/>
          <w:highlight w:val="none"/>
          <w:u w:val="single"/>
        </w:rPr>
        <w:t xml:space="preserve">                               </w:t>
      </w:r>
    </w:p>
    <w:p>
      <w:pPr>
        <w:snapToGrid w:val="0"/>
        <w:spacing w:line="46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地址、电话：</w:t>
      </w:r>
      <w:r>
        <w:rPr>
          <w:rFonts w:hint="eastAsia" w:ascii="宋体" w:hAnsi="宋体" w:cs="宋体"/>
          <w:color w:val="auto"/>
          <w:szCs w:val="21"/>
          <w:highlight w:val="none"/>
          <w:u w:val="single"/>
        </w:rPr>
        <w:t xml:space="preserve">                                 </w:t>
      </w:r>
    </w:p>
    <w:p>
      <w:pPr>
        <w:snapToGrid w:val="0"/>
        <w:spacing w:line="46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开户行及帐号：</w:t>
      </w:r>
      <w:r>
        <w:rPr>
          <w:rFonts w:hint="eastAsia" w:ascii="宋体" w:hAnsi="宋体" w:cs="宋体"/>
          <w:color w:val="auto"/>
          <w:szCs w:val="21"/>
          <w:highlight w:val="none"/>
          <w:u w:val="single"/>
        </w:rPr>
        <w:t xml:space="preserve">                               </w:t>
      </w:r>
    </w:p>
    <w:p>
      <w:pPr>
        <w:autoSpaceDE w:val="0"/>
        <w:autoSpaceDN w:val="0"/>
        <w:adjustRightInd w:val="0"/>
        <w:spacing w:line="360" w:lineRule="auto"/>
        <w:rPr>
          <w:rFonts w:hint="eastAsia" w:ascii="宋体" w:hAnsi="宋体" w:cs="宋体"/>
          <w:color w:val="auto"/>
          <w:spacing w:val="20"/>
          <w:highlight w:val="none"/>
        </w:rPr>
      </w:pPr>
      <w:r>
        <w:rPr>
          <w:rFonts w:hint="eastAsia" w:ascii="宋体" w:hAnsi="宋体" w:cs="宋体"/>
          <w:color w:val="auto"/>
          <w:spacing w:val="20"/>
          <w:highlight w:val="none"/>
        </w:rPr>
        <w:br w:type="page"/>
      </w:r>
    </w:p>
    <w:p>
      <w:pPr>
        <w:pStyle w:val="13"/>
        <w:ind w:firstLine="420"/>
        <w:jc w:val="center"/>
        <w:rPr>
          <w:rFonts w:hint="eastAsia" w:hAnsi="宋体" w:cs="宋体"/>
          <w:color w:val="auto"/>
          <w:spacing w:val="20"/>
          <w:highlight w:val="none"/>
        </w:rPr>
      </w:pPr>
      <w:r>
        <w:rPr>
          <w:rFonts w:hint="eastAsia" w:hAnsi="宋体" w:cs="宋体"/>
          <w:b/>
          <w:bCs/>
          <w:color w:val="auto"/>
          <w:sz w:val="30"/>
          <w:szCs w:val="30"/>
          <w:highlight w:val="none"/>
        </w:rPr>
        <w:t>邮件外包粘贴表格（格式）</w:t>
      </w:r>
    </w:p>
    <w:p>
      <w:pPr>
        <w:autoSpaceDE w:val="0"/>
        <w:autoSpaceDN w:val="0"/>
        <w:adjustRightInd w:val="0"/>
        <w:spacing w:line="360" w:lineRule="auto"/>
        <w:rPr>
          <w:rFonts w:hint="eastAsia" w:ascii="宋体" w:hAnsi="宋体" w:cs="宋体"/>
          <w:color w:val="auto"/>
          <w:spacing w:val="20"/>
          <w:highlight w:val="none"/>
        </w:rPr>
      </w:pPr>
    </w:p>
    <w:p>
      <w:pPr>
        <w:autoSpaceDE w:val="0"/>
        <w:autoSpaceDN w:val="0"/>
        <w:adjustRightInd w:val="0"/>
        <w:spacing w:line="360" w:lineRule="auto"/>
        <w:rPr>
          <w:rFonts w:hint="eastAsia"/>
          <w:color w:val="auto"/>
          <w:spacing w:val="20"/>
          <w:highlight w:val="none"/>
        </w:rPr>
      </w:pPr>
      <w:r>
        <w:rPr>
          <w:rFonts w:hint="eastAsia"/>
          <w:color w:val="auto"/>
          <w:spacing w:val="20"/>
          <w:highlight w:val="none"/>
        </w:rPr>
        <w:t>项目名称：</w:t>
      </w:r>
    </w:p>
    <w:p>
      <w:pPr>
        <w:autoSpaceDE w:val="0"/>
        <w:autoSpaceDN w:val="0"/>
        <w:adjustRightInd w:val="0"/>
        <w:spacing w:line="360" w:lineRule="auto"/>
        <w:rPr>
          <w:color w:val="auto"/>
          <w:spacing w:val="20"/>
          <w:highlight w:val="none"/>
        </w:rPr>
      </w:pPr>
    </w:p>
    <w:p>
      <w:pPr>
        <w:autoSpaceDE w:val="0"/>
        <w:autoSpaceDN w:val="0"/>
        <w:adjustRightInd w:val="0"/>
        <w:spacing w:line="360" w:lineRule="auto"/>
        <w:rPr>
          <w:rFonts w:hint="eastAsia"/>
          <w:color w:val="auto"/>
          <w:spacing w:val="20"/>
          <w:highlight w:val="none"/>
        </w:rPr>
      </w:pPr>
      <w:r>
        <w:rPr>
          <w:rFonts w:hint="eastAsia"/>
          <w:color w:val="auto"/>
          <w:spacing w:val="20"/>
          <w:highlight w:val="none"/>
        </w:rPr>
        <w:t>项目编号：</w:t>
      </w:r>
    </w:p>
    <w:p>
      <w:pPr>
        <w:autoSpaceDE w:val="0"/>
        <w:autoSpaceDN w:val="0"/>
        <w:adjustRightInd w:val="0"/>
        <w:spacing w:line="360" w:lineRule="auto"/>
        <w:rPr>
          <w:color w:val="auto"/>
          <w:spacing w:val="20"/>
          <w:highlight w:val="none"/>
        </w:rPr>
      </w:pPr>
    </w:p>
    <w:p>
      <w:pPr>
        <w:autoSpaceDE w:val="0"/>
        <w:autoSpaceDN w:val="0"/>
        <w:adjustRightInd w:val="0"/>
        <w:spacing w:line="360" w:lineRule="auto"/>
        <w:rPr>
          <w:rFonts w:hint="eastAsia"/>
          <w:color w:val="auto"/>
          <w:spacing w:val="20"/>
          <w:highlight w:val="none"/>
        </w:rPr>
      </w:pPr>
      <w:r>
        <w:rPr>
          <w:rFonts w:hint="eastAsia"/>
          <w:color w:val="auto"/>
          <w:spacing w:val="20"/>
          <w:highlight w:val="none"/>
        </w:rPr>
        <w:t>分标（如有请填写）：</w:t>
      </w:r>
    </w:p>
    <w:p>
      <w:pPr>
        <w:autoSpaceDE w:val="0"/>
        <w:autoSpaceDN w:val="0"/>
        <w:adjustRightInd w:val="0"/>
        <w:spacing w:line="360" w:lineRule="auto"/>
        <w:rPr>
          <w:color w:val="auto"/>
          <w:spacing w:val="20"/>
          <w:highlight w:val="none"/>
        </w:rPr>
      </w:pPr>
    </w:p>
    <w:p>
      <w:pPr>
        <w:autoSpaceDE w:val="0"/>
        <w:autoSpaceDN w:val="0"/>
        <w:adjustRightInd w:val="0"/>
        <w:spacing w:line="360" w:lineRule="auto"/>
        <w:rPr>
          <w:rFonts w:hint="eastAsia"/>
          <w:color w:val="auto"/>
          <w:spacing w:val="20"/>
          <w:highlight w:val="none"/>
        </w:rPr>
      </w:pPr>
      <w:r>
        <w:rPr>
          <w:rFonts w:hint="eastAsia"/>
          <w:color w:val="auto"/>
          <w:spacing w:val="20"/>
          <w:highlight w:val="none"/>
        </w:rPr>
        <w:t>项目递交响应文件截止日期：</w:t>
      </w:r>
    </w:p>
    <w:p>
      <w:pPr>
        <w:autoSpaceDE w:val="0"/>
        <w:autoSpaceDN w:val="0"/>
        <w:adjustRightInd w:val="0"/>
        <w:spacing w:line="360" w:lineRule="auto"/>
        <w:rPr>
          <w:color w:val="auto"/>
          <w:spacing w:val="20"/>
          <w:highlight w:val="none"/>
        </w:rPr>
      </w:pPr>
    </w:p>
    <w:p>
      <w:pPr>
        <w:widowControl/>
        <w:spacing w:after="120" w:line="360" w:lineRule="auto"/>
        <w:rPr>
          <w:rFonts w:hint="eastAsia"/>
          <w:color w:val="auto"/>
          <w:spacing w:val="20"/>
          <w:szCs w:val="21"/>
          <w:highlight w:val="none"/>
        </w:rPr>
      </w:pPr>
      <w:r>
        <w:rPr>
          <w:rFonts w:hint="eastAsia"/>
          <w:color w:val="auto"/>
          <w:spacing w:val="20"/>
          <w:szCs w:val="21"/>
          <w:highlight w:val="none"/>
        </w:rPr>
        <w:t>供应商名称：</w:t>
      </w:r>
    </w:p>
    <w:p>
      <w:pPr>
        <w:spacing w:line="360" w:lineRule="auto"/>
        <w:rPr>
          <w:rFonts w:hint="eastAsia"/>
          <w:color w:val="auto"/>
          <w:spacing w:val="20"/>
          <w:highlight w:val="none"/>
        </w:rPr>
      </w:pPr>
    </w:p>
    <w:p>
      <w:pPr>
        <w:widowControl/>
        <w:spacing w:after="120" w:line="360" w:lineRule="auto"/>
        <w:rPr>
          <w:rFonts w:hint="eastAsia"/>
          <w:color w:val="auto"/>
          <w:spacing w:val="20"/>
          <w:szCs w:val="21"/>
          <w:highlight w:val="none"/>
        </w:rPr>
      </w:pPr>
      <w:r>
        <w:rPr>
          <w:rFonts w:hint="eastAsia"/>
          <w:color w:val="auto"/>
          <w:spacing w:val="20"/>
          <w:szCs w:val="21"/>
          <w:highlight w:val="none"/>
        </w:rPr>
        <w:t>联系电话：</w:t>
      </w:r>
    </w:p>
    <w:p>
      <w:pPr>
        <w:spacing w:line="360" w:lineRule="auto"/>
        <w:rPr>
          <w:color w:val="auto"/>
          <w:highlight w:val="none"/>
        </w:rPr>
      </w:pPr>
    </w:p>
    <w:p>
      <w:pPr>
        <w:autoSpaceDE w:val="0"/>
        <w:autoSpaceDN w:val="0"/>
        <w:adjustRightInd w:val="0"/>
        <w:spacing w:line="360" w:lineRule="auto"/>
        <w:rPr>
          <w:rFonts w:hint="eastAsia"/>
          <w:color w:val="auto"/>
          <w:spacing w:val="20"/>
          <w:highlight w:val="none"/>
        </w:rPr>
      </w:pPr>
      <w:r>
        <w:rPr>
          <w:rFonts w:hint="eastAsia"/>
          <w:color w:val="auto"/>
          <w:spacing w:val="20"/>
          <w:highlight w:val="none"/>
        </w:rPr>
        <w:t>联系电子邮箱：</w:t>
      </w:r>
    </w:p>
    <w:p>
      <w:pPr>
        <w:autoSpaceDE w:val="0"/>
        <w:autoSpaceDN w:val="0"/>
        <w:adjustRightInd w:val="0"/>
        <w:spacing w:line="360" w:lineRule="auto"/>
        <w:rPr>
          <w:rFonts w:hint="eastAsia" w:ascii="宋体" w:hAnsi="宋体" w:cs="宋体"/>
          <w:color w:val="auto"/>
          <w:spacing w:val="20"/>
          <w:highlight w:val="none"/>
        </w:rPr>
      </w:pPr>
    </w:p>
    <w:p>
      <w:pPr>
        <w:pStyle w:val="13"/>
        <w:spacing w:line="600" w:lineRule="exact"/>
        <w:jc w:val="center"/>
        <w:outlineLvl w:val="0"/>
        <w:rPr>
          <w:rFonts w:hint="eastAsia" w:hAnsi="宋体" w:cs="宋体"/>
          <w:color w:val="auto"/>
          <w:spacing w:val="20"/>
          <w:highlight w:val="none"/>
        </w:rPr>
      </w:pPr>
      <w:r>
        <w:rPr>
          <w:rFonts w:hint="eastAsia" w:hAnsi="宋体" w:cs="宋体"/>
          <w:color w:val="auto"/>
          <w:spacing w:val="20"/>
          <w:highlight w:val="none"/>
        </w:rPr>
        <w:br w:type="page"/>
      </w:r>
    </w:p>
    <w:p>
      <w:pPr>
        <w:pStyle w:val="13"/>
        <w:spacing w:line="600" w:lineRule="exact"/>
        <w:jc w:val="center"/>
        <w:outlineLvl w:val="0"/>
        <w:rPr>
          <w:rFonts w:hint="eastAsia" w:hAnsi="宋体" w:cs="宋体"/>
          <w:color w:val="auto"/>
          <w:highlight w:val="none"/>
          <w:u w:val="single"/>
        </w:rPr>
      </w:pPr>
      <w:bookmarkStart w:id="99" w:name="_Toc31416"/>
      <w:r>
        <w:rPr>
          <w:rFonts w:hint="eastAsia" w:hAnsi="宋体" w:cs="宋体"/>
          <w:b/>
          <w:color w:val="auto"/>
          <w:sz w:val="36"/>
          <w:szCs w:val="36"/>
          <w:highlight w:val="none"/>
        </w:rPr>
        <w:t>第五章  合同条款及格式</w:t>
      </w:r>
      <w:bookmarkEnd w:id="97"/>
      <w:bookmarkEnd w:id="98"/>
      <w:bookmarkEnd w:id="99"/>
    </w:p>
    <w:p>
      <w:pPr>
        <w:spacing w:line="360" w:lineRule="auto"/>
        <w:ind w:firstLine="880" w:firstLineChars="200"/>
        <w:rPr>
          <w:rFonts w:hint="eastAsia" w:ascii="宋体" w:hAnsi="宋体" w:cs="宋体"/>
          <w:color w:val="auto"/>
          <w:sz w:val="44"/>
          <w:highlight w:val="none"/>
        </w:rPr>
      </w:pPr>
    </w:p>
    <w:p>
      <w:pPr>
        <w:spacing w:line="360" w:lineRule="auto"/>
        <w:ind w:firstLine="880" w:firstLineChars="200"/>
        <w:rPr>
          <w:rFonts w:hint="eastAsia" w:ascii="宋体" w:hAnsi="宋体" w:cs="宋体"/>
          <w:color w:val="auto"/>
          <w:sz w:val="44"/>
          <w:highlight w:val="none"/>
        </w:rPr>
      </w:pPr>
    </w:p>
    <w:p>
      <w:pPr>
        <w:spacing w:line="360" w:lineRule="auto"/>
        <w:ind w:firstLine="880" w:firstLineChars="200"/>
        <w:rPr>
          <w:rFonts w:hint="eastAsia" w:ascii="宋体" w:hAnsi="宋体" w:cs="宋体"/>
          <w:color w:val="auto"/>
          <w:sz w:val="44"/>
          <w:highlight w:val="none"/>
        </w:rPr>
      </w:pPr>
    </w:p>
    <w:p>
      <w:pPr>
        <w:spacing w:line="360" w:lineRule="auto"/>
        <w:ind w:firstLine="880" w:firstLineChars="200"/>
        <w:rPr>
          <w:rFonts w:hint="eastAsia" w:ascii="宋体" w:hAnsi="宋体" w:cs="宋体"/>
          <w:color w:val="auto"/>
          <w:sz w:val="44"/>
          <w:highlight w:val="none"/>
        </w:rPr>
      </w:pPr>
    </w:p>
    <w:p>
      <w:pPr>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rPr>
        <w:t>横</w:t>
      </w:r>
      <w:r>
        <w:rPr>
          <w:rFonts w:hint="eastAsia" w:ascii="宋体" w:hAnsi="宋体" w:cs="宋体"/>
          <w:b/>
          <w:bCs/>
          <w:color w:val="auto"/>
          <w:sz w:val="52"/>
          <w:highlight w:val="none"/>
          <w:lang w:val="en-US" w:eastAsia="zh-CN"/>
        </w:rPr>
        <w:t xml:space="preserve"> </w:t>
      </w:r>
      <w:r>
        <w:rPr>
          <w:rFonts w:hint="eastAsia" w:ascii="宋体" w:hAnsi="宋体" w:cs="宋体"/>
          <w:b/>
          <w:bCs/>
          <w:color w:val="auto"/>
          <w:sz w:val="52"/>
          <w:highlight w:val="none"/>
        </w:rPr>
        <w:t>州</w:t>
      </w:r>
      <w:r>
        <w:rPr>
          <w:rFonts w:hint="eastAsia" w:ascii="宋体" w:hAnsi="宋体" w:cs="宋体"/>
          <w:b/>
          <w:bCs/>
          <w:color w:val="auto"/>
          <w:sz w:val="52"/>
          <w:highlight w:val="none"/>
          <w:lang w:val="en-US" w:eastAsia="zh-CN"/>
        </w:rPr>
        <w:t xml:space="preserve"> </w:t>
      </w:r>
      <w:r>
        <w:rPr>
          <w:rFonts w:hint="eastAsia" w:ascii="宋体" w:hAnsi="宋体" w:cs="宋体"/>
          <w:b/>
          <w:bCs/>
          <w:color w:val="auto"/>
          <w:sz w:val="52"/>
          <w:highlight w:val="none"/>
        </w:rPr>
        <w:t>市 政 府 采 购</w:t>
      </w: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pPr>
        <w:spacing w:line="360" w:lineRule="auto"/>
        <w:jc w:val="center"/>
        <w:rPr>
          <w:rFonts w:hint="eastAsia" w:ascii="宋体" w:hAnsi="宋体" w:cs="宋体"/>
          <w:b/>
          <w:bCs/>
          <w:color w:val="auto"/>
          <w:sz w:val="44"/>
          <w:highlight w:val="none"/>
        </w:rPr>
      </w:pPr>
    </w:p>
    <w:p>
      <w:pPr>
        <w:spacing w:line="360" w:lineRule="auto"/>
        <w:jc w:val="center"/>
        <w:rPr>
          <w:rFonts w:hint="eastAsia" w:ascii="宋体" w:hAnsi="宋体" w:cs="宋体"/>
          <w:b/>
          <w:bCs/>
          <w:color w:val="auto"/>
          <w:sz w:val="44"/>
          <w:highlight w:val="none"/>
        </w:rPr>
      </w:pPr>
    </w:p>
    <w:p>
      <w:pPr>
        <w:spacing w:line="360" w:lineRule="auto"/>
        <w:ind w:firstLine="3507" w:firstLineChars="794"/>
        <w:rPr>
          <w:rFonts w:hint="eastAsia" w:ascii="宋体" w:hAnsi="宋体" w:cs="宋体"/>
          <w:b/>
          <w:bCs/>
          <w:color w:val="auto"/>
          <w:sz w:val="44"/>
          <w:highlight w:val="none"/>
        </w:rPr>
      </w:pPr>
    </w:p>
    <w:p>
      <w:pPr>
        <w:spacing w:line="360" w:lineRule="auto"/>
        <w:ind w:firstLine="3507" w:firstLineChars="794"/>
        <w:rPr>
          <w:rFonts w:hint="eastAsia" w:ascii="宋体" w:hAnsi="宋体" w:cs="宋体"/>
          <w:b/>
          <w:bCs/>
          <w:color w:val="auto"/>
          <w:sz w:val="44"/>
          <w:highlight w:val="none"/>
        </w:rPr>
      </w:pPr>
    </w:p>
    <w:p>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pPr>
        <w:ind w:firstLine="1995" w:firstLineChars="552"/>
        <w:rPr>
          <w:rFonts w:hint="eastAsia" w:ascii="宋体" w:hAnsi="宋体" w:cs="宋体"/>
          <w:b/>
          <w:color w:val="auto"/>
          <w:sz w:val="36"/>
          <w:szCs w:val="36"/>
          <w:highlight w:val="none"/>
          <w:u w:val="single"/>
        </w:rPr>
      </w:pPr>
    </w:p>
    <w:p>
      <w:pPr>
        <w:ind w:firstLine="1995" w:firstLineChars="552"/>
        <w:rPr>
          <w:rFonts w:hint="eastAsia" w:ascii="宋体" w:hAnsi="宋体" w:cs="宋体"/>
          <w:b/>
          <w:color w:val="auto"/>
          <w:sz w:val="36"/>
          <w:szCs w:val="36"/>
          <w:highlight w:val="none"/>
          <w:u w:val="single"/>
        </w:rPr>
      </w:pPr>
    </w:p>
    <w:p>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pPr>
        <w:tabs>
          <w:tab w:val="left" w:pos="7380"/>
        </w:tabs>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rPr>
        <w:t>成交供应商：</w:t>
      </w:r>
      <w:r>
        <w:rPr>
          <w:rFonts w:hint="eastAsia" w:ascii="宋体" w:hAnsi="宋体" w:cs="宋体"/>
          <w:b/>
          <w:color w:val="auto"/>
          <w:sz w:val="36"/>
          <w:szCs w:val="36"/>
          <w:highlight w:val="none"/>
          <w:u w:val="single"/>
        </w:rPr>
        <w:t xml:space="preserve">                   </w:t>
      </w:r>
    </w:p>
    <w:p>
      <w:pPr>
        <w:tabs>
          <w:tab w:val="left" w:pos="7380"/>
        </w:tabs>
        <w:spacing w:line="360" w:lineRule="auto"/>
        <w:ind w:firstLine="2438" w:firstLineChars="552"/>
        <w:rPr>
          <w:rFonts w:hint="eastAsia" w:ascii="宋体" w:hAnsi="宋体" w:cs="宋体"/>
          <w:b/>
          <w:bCs/>
          <w:color w:val="auto"/>
          <w:sz w:val="44"/>
          <w:highlight w:val="none"/>
        </w:rPr>
      </w:pPr>
    </w:p>
    <w:p>
      <w:pPr>
        <w:tabs>
          <w:tab w:val="left" w:pos="7380"/>
        </w:tabs>
        <w:spacing w:line="360" w:lineRule="auto"/>
        <w:ind w:firstLine="2438" w:firstLineChars="552"/>
        <w:rPr>
          <w:rFonts w:hint="eastAsia" w:ascii="宋体" w:hAnsi="宋体" w:cs="宋体"/>
          <w:b/>
          <w:bCs/>
          <w:color w:val="auto"/>
          <w:sz w:val="44"/>
          <w:highlight w:val="none"/>
        </w:rPr>
      </w:pPr>
    </w:p>
    <w:p>
      <w:pPr>
        <w:spacing w:line="360" w:lineRule="auto"/>
        <w:ind w:left="359" w:leftChars="171" w:firstLine="198" w:firstLineChars="71"/>
        <w:rPr>
          <w:rFonts w:hint="eastAsia" w:ascii="宋体" w:hAnsi="宋体" w:cs="宋体"/>
          <w:color w:val="auto"/>
          <w:sz w:val="28"/>
          <w:highlight w:val="none"/>
        </w:rPr>
      </w:pPr>
      <w:r>
        <w:rPr>
          <w:rFonts w:hint="eastAsia" w:ascii="宋体" w:hAnsi="宋体" w:cs="宋体"/>
          <w:color w:val="auto"/>
          <w:sz w:val="28"/>
          <w:highlight w:val="none"/>
        </w:rPr>
        <w:br w:type="page"/>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pPr>
        <w:tabs>
          <w:tab w:val="left" w:pos="1170"/>
        </w:tabs>
        <w:spacing w:line="360" w:lineRule="auto"/>
        <w:ind w:left="359" w:leftChars="171" w:firstLine="198" w:firstLineChars="71"/>
        <w:rPr>
          <w:rFonts w:hint="eastAsia" w:ascii="宋体" w:hAnsi="宋体" w:cs="宋体"/>
          <w:color w:val="auto"/>
          <w:sz w:val="28"/>
          <w:highlight w:val="none"/>
        </w:rPr>
      </w:pPr>
      <w:r>
        <w:rPr>
          <w:rFonts w:hint="eastAsia" w:ascii="宋体" w:hAnsi="宋体" w:cs="宋体"/>
          <w:color w:val="auto"/>
          <w:sz w:val="28"/>
          <w:highlight w:val="none"/>
        </w:rPr>
        <w:tab/>
      </w:r>
    </w:p>
    <w:p>
      <w:pPr>
        <w:ind w:firstLine="735" w:firstLineChars="244"/>
        <w:rPr>
          <w:rFonts w:hint="eastAsia" w:ascii="宋体" w:hAnsi="宋体" w:cs="宋体"/>
          <w:b/>
          <w:color w:val="auto"/>
          <w:sz w:val="30"/>
          <w:szCs w:val="30"/>
          <w:highlight w:val="none"/>
        </w:rPr>
      </w:pPr>
      <w:r>
        <w:rPr>
          <w:rFonts w:hint="eastAsia" w:ascii="宋体" w:hAnsi="宋体" w:cs="宋体"/>
          <w:b/>
          <w:color w:val="auto"/>
          <w:sz w:val="30"/>
          <w:szCs w:val="30"/>
          <w:highlight w:val="none"/>
        </w:rPr>
        <w:t>一、</w:t>
      </w:r>
      <w:r>
        <w:rPr>
          <w:rFonts w:hint="eastAsia" w:ascii="宋体" w:hAnsi="宋体" w:cs="宋体"/>
          <w:b/>
          <w:color w:val="auto"/>
          <w:sz w:val="30"/>
          <w:szCs w:val="30"/>
          <w:highlight w:val="none"/>
          <w:lang w:val="en-US" w:eastAsia="zh-CN"/>
        </w:rPr>
        <w:t>横州</w:t>
      </w:r>
      <w:r>
        <w:rPr>
          <w:rFonts w:hint="eastAsia" w:ascii="宋体" w:hAnsi="宋体" w:cs="宋体"/>
          <w:b/>
          <w:color w:val="auto"/>
          <w:sz w:val="30"/>
          <w:szCs w:val="30"/>
          <w:highlight w:val="none"/>
        </w:rPr>
        <w:t xml:space="preserve">市政府采购合同书 </w:t>
      </w:r>
    </w:p>
    <w:p>
      <w:pPr>
        <w:ind w:firstLine="735" w:firstLineChars="244"/>
        <w:rPr>
          <w:rFonts w:hint="eastAsia" w:ascii="宋体" w:hAnsi="宋体" w:cs="宋体"/>
          <w:b/>
          <w:color w:val="auto"/>
          <w:sz w:val="30"/>
          <w:szCs w:val="30"/>
          <w:highlight w:val="none"/>
        </w:rPr>
      </w:pPr>
      <w:r>
        <w:rPr>
          <w:rFonts w:hint="eastAsia" w:ascii="宋体" w:hAnsi="宋体" w:cs="宋体"/>
          <w:b/>
          <w:color w:val="auto"/>
          <w:sz w:val="30"/>
          <w:szCs w:val="30"/>
          <w:highlight w:val="none"/>
        </w:rPr>
        <w:t>二、补充协议（如有请提供）</w:t>
      </w:r>
    </w:p>
    <w:p>
      <w:pPr>
        <w:ind w:firstLine="735" w:firstLineChars="244"/>
        <w:rPr>
          <w:rFonts w:hint="eastAsia" w:ascii="宋体" w:hAnsi="宋体" w:cs="宋体"/>
          <w:b/>
          <w:color w:val="auto"/>
          <w:sz w:val="30"/>
          <w:szCs w:val="30"/>
          <w:highlight w:val="none"/>
        </w:rPr>
      </w:pPr>
      <w:r>
        <w:rPr>
          <w:rFonts w:hint="eastAsia" w:ascii="宋体" w:hAnsi="宋体" w:cs="宋体"/>
          <w:b/>
          <w:color w:val="auto"/>
          <w:sz w:val="30"/>
          <w:szCs w:val="30"/>
          <w:highlight w:val="none"/>
        </w:rPr>
        <w:t>三、合同附件</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1、成交通知书</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2、竞争性磋商采购文件项目需求一览表</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3、竞争性磋商采购文件的澄清和修改（如有请提</w:t>
      </w:r>
      <w:r>
        <w:rPr>
          <w:rFonts w:hint="eastAsia" w:hAnsi="宋体" w:cs="宋体"/>
          <w:color w:val="auto"/>
          <w:sz w:val="30"/>
          <w:szCs w:val="30"/>
          <w:highlight w:val="none"/>
        </w:rPr>
        <w:t>供</w:t>
      </w:r>
      <w:r>
        <w:rPr>
          <w:rFonts w:hint="eastAsia" w:hAnsi="宋体" w:cs="宋体"/>
          <w:color w:val="auto"/>
          <w:sz w:val="28"/>
          <w:szCs w:val="28"/>
          <w:highlight w:val="none"/>
        </w:rPr>
        <w:t>）</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4、磋商函</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5、磋商报价表</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6、服务清单</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7、磋商服务技术资料表</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8、商务条款偏离表</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10、磋商谈判文件</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11、成交供应商澄清函（如有请提</w:t>
      </w:r>
      <w:r>
        <w:rPr>
          <w:rFonts w:hint="eastAsia" w:hAnsi="宋体" w:cs="宋体"/>
          <w:color w:val="auto"/>
          <w:sz w:val="30"/>
          <w:szCs w:val="30"/>
          <w:highlight w:val="none"/>
        </w:rPr>
        <w:t>供</w:t>
      </w:r>
      <w:r>
        <w:rPr>
          <w:rFonts w:hint="eastAsia" w:hAnsi="宋体" w:cs="宋体"/>
          <w:color w:val="auto"/>
          <w:sz w:val="28"/>
          <w:szCs w:val="28"/>
          <w:highlight w:val="none"/>
        </w:rPr>
        <w:t>）</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12、最终报价</w:t>
      </w:r>
    </w:p>
    <w:p>
      <w:pPr>
        <w:pStyle w:val="13"/>
        <w:spacing w:line="360" w:lineRule="auto"/>
        <w:ind w:firstLine="1573" w:firstLineChars="562"/>
        <w:rPr>
          <w:rFonts w:hint="eastAsia" w:hAnsi="宋体" w:cs="宋体"/>
          <w:color w:val="auto"/>
          <w:sz w:val="28"/>
          <w:szCs w:val="28"/>
          <w:highlight w:val="none"/>
        </w:rPr>
      </w:pPr>
      <w:r>
        <w:rPr>
          <w:rFonts w:hint="eastAsia" w:hAnsi="宋体" w:cs="宋体"/>
          <w:color w:val="auto"/>
          <w:sz w:val="28"/>
          <w:szCs w:val="28"/>
          <w:highlight w:val="none"/>
        </w:rPr>
        <w:t>13、其他与本合同相关的资料（如有请提</w:t>
      </w:r>
      <w:r>
        <w:rPr>
          <w:rFonts w:hint="eastAsia" w:hAnsi="宋体" w:cs="宋体"/>
          <w:color w:val="auto"/>
          <w:sz w:val="30"/>
          <w:szCs w:val="30"/>
          <w:highlight w:val="none"/>
        </w:rPr>
        <w:t>供）</w:t>
      </w:r>
    </w:p>
    <w:p>
      <w:pPr>
        <w:rPr>
          <w:rFonts w:hint="eastAsia" w:ascii="宋体" w:hAnsi="宋体" w:cs="宋体"/>
          <w:b/>
          <w:color w:val="auto"/>
          <w:sz w:val="30"/>
          <w:szCs w:val="30"/>
          <w:highlight w:val="none"/>
        </w:rPr>
      </w:pPr>
    </w:p>
    <w:p>
      <w:pPr>
        <w:spacing w:line="360" w:lineRule="auto"/>
        <w:jc w:val="center"/>
        <w:rPr>
          <w:rFonts w:hint="eastAsia" w:ascii="宋体" w:hAnsi="宋体" w:cs="宋体"/>
          <w:b/>
          <w:bCs/>
          <w:color w:val="auto"/>
          <w:sz w:val="28"/>
          <w:highlight w:val="none"/>
        </w:rPr>
      </w:pPr>
    </w:p>
    <w:p>
      <w:pPr>
        <w:spacing w:line="360" w:lineRule="auto"/>
        <w:jc w:val="center"/>
        <w:rPr>
          <w:rFonts w:hint="eastAsia" w:ascii="宋体" w:hAnsi="宋体" w:cs="宋体"/>
          <w:b/>
          <w:bCs/>
          <w:color w:val="auto"/>
          <w:sz w:val="30"/>
          <w:szCs w:val="30"/>
          <w:highlight w:val="none"/>
        </w:rPr>
      </w:pPr>
      <w:r>
        <w:rPr>
          <w:rFonts w:hint="eastAsia" w:ascii="宋体" w:hAnsi="宋体" w:cs="宋体"/>
          <w:bCs/>
          <w:color w:val="auto"/>
          <w:sz w:val="28"/>
          <w:highlight w:val="none"/>
        </w:rPr>
        <w:br w:type="page"/>
      </w:r>
      <w:r>
        <w:rPr>
          <w:rFonts w:hint="eastAsia" w:ascii="宋体" w:hAnsi="宋体" w:cs="宋体"/>
          <w:b/>
          <w:color w:val="auto"/>
          <w:sz w:val="30"/>
          <w:szCs w:val="30"/>
          <w:highlight w:val="none"/>
          <w:lang w:val="en-US" w:eastAsia="zh-CN"/>
        </w:rPr>
        <w:t>横州</w:t>
      </w:r>
      <w:r>
        <w:rPr>
          <w:rFonts w:hint="eastAsia" w:ascii="宋体" w:hAnsi="宋体" w:cs="宋体"/>
          <w:b/>
          <w:color w:val="auto"/>
          <w:sz w:val="30"/>
          <w:szCs w:val="30"/>
          <w:highlight w:val="none"/>
        </w:rPr>
        <w:t>市政府采购合同书</w:t>
      </w:r>
    </w:p>
    <w:p>
      <w:pPr>
        <w:pStyle w:val="13"/>
        <w:spacing w:line="460" w:lineRule="exact"/>
        <w:rPr>
          <w:rFonts w:hint="eastAsia" w:hAnsi="宋体" w:cs="宋体"/>
          <w:color w:val="auto"/>
          <w:highlight w:val="none"/>
        </w:rPr>
      </w:pPr>
    </w:p>
    <w:p>
      <w:pPr>
        <w:pStyle w:val="13"/>
        <w:spacing w:line="460" w:lineRule="exact"/>
        <w:rPr>
          <w:rFonts w:hint="eastAsia" w:hAnsi="宋体" w:cs="宋体"/>
          <w:color w:val="auto"/>
          <w:highlight w:val="none"/>
        </w:rPr>
      </w:pPr>
      <w:r>
        <w:rPr>
          <w:rFonts w:hint="eastAsia" w:hAnsi="宋体" w:cs="宋体"/>
          <w:color w:val="auto"/>
          <w:highlight w:val="none"/>
        </w:rPr>
        <w:t>项目名称：</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项目编号：</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分标号（有分标时注明）：</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p>
    <w:p>
      <w:pPr>
        <w:pStyle w:val="13"/>
        <w:spacing w:line="460" w:lineRule="exact"/>
        <w:rPr>
          <w:rFonts w:hint="eastAsia" w:hAnsi="宋体" w:cs="宋体"/>
          <w:color w:val="auto"/>
          <w:highlight w:val="none"/>
        </w:rPr>
      </w:pPr>
      <w:r>
        <w:rPr>
          <w:rFonts w:hint="eastAsia" w:hAnsi="宋体" w:cs="宋体"/>
          <w:color w:val="auto"/>
          <w:highlight w:val="none"/>
        </w:rPr>
        <w:t>甲方（买方）：</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乙方（卖方）：</w:t>
      </w:r>
      <w:r>
        <w:rPr>
          <w:rFonts w:hint="eastAsia" w:hAnsi="宋体" w:cs="宋体"/>
          <w:color w:val="auto"/>
          <w:highlight w:val="none"/>
          <w:u w:val="single"/>
        </w:rPr>
        <w:t xml:space="preserve">                                     </w:t>
      </w:r>
    </w:p>
    <w:p>
      <w:pPr>
        <w:pStyle w:val="13"/>
        <w:spacing w:line="460" w:lineRule="exact"/>
        <w:rPr>
          <w:rFonts w:hint="eastAsia" w:hAnsi="宋体" w:cs="宋体"/>
          <w:b/>
          <w:color w:val="auto"/>
          <w:highlight w:val="none"/>
        </w:rPr>
      </w:pPr>
      <w:r>
        <w:rPr>
          <w:rFonts w:hint="eastAsia" w:hAnsi="宋体" w:cs="宋体"/>
          <w:b/>
          <w:color w:val="auto"/>
          <w:highlight w:val="none"/>
        </w:rPr>
        <w:t xml:space="preserve">    </w:t>
      </w:r>
    </w:p>
    <w:p>
      <w:pPr>
        <w:pStyle w:val="13"/>
        <w:spacing w:line="460" w:lineRule="exact"/>
        <w:rPr>
          <w:rFonts w:hint="eastAsia" w:hAnsi="宋体" w:cs="宋体"/>
          <w:b/>
          <w:color w:val="auto"/>
          <w:highlight w:val="none"/>
        </w:rPr>
      </w:pPr>
      <w:r>
        <w:rPr>
          <w:rFonts w:hint="eastAsia" w:hAnsi="宋体" w:cs="宋体"/>
          <w:color w:val="auto"/>
          <w:highlight w:val="none"/>
        </w:rPr>
        <w:t xml:space="preserve">    根据</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r>
        <w:rPr>
          <w:rFonts w:hint="eastAsia" w:hAnsi="宋体" w:cs="宋体"/>
          <w:color w:val="auto"/>
          <w:highlight w:val="none"/>
          <w:lang w:val="en-US" w:eastAsia="zh-CN"/>
        </w:rPr>
        <w:t>横州</w:t>
      </w:r>
      <w:r>
        <w:rPr>
          <w:rFonts w:hint="eastAsia" w:hAnsi="宋体" w:cs="宋体"/>
          <w:color w:val="auto"/>
          <w:highlight w:val="none"/>
        </w:rPr>
        <w:t>市政府采购项目的采购结果，甲方接受乙方对本项目的磋商，甲、乙双方同意签署本合同（以下简称合同）。</w:t>
      </w:r>
    </w:p>
    <w:p>
      <w:pPr>
        <w:pStyle w:val="13"/>
        <w:spacing w:line="460" w:lineRule="exact"/>
        <w:rPr>
          <w:rFonts w:hint="eastAsia" w:hAnsi="宋体" w:cs="宋体"/>
          <w:b/>
          <w:color w:val="auto"/>
          <w:highlight w:val="none"/>
        </w:rPr>
      </w:pPr>
    </w:p>
    <w:p>
      <w:pPr>
        <w:pStyle w:val="13"/>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1.  采购内容</w:t>
      </w:r>
    </w:p>
    <w:p>
      <w:pPr>
        <w:pStyle w:val="13"/>
        <w:tabs>
          <w:tab w:val="left" w:pos="5220"/>
        </w:tabs>
        <w:spacing w:line="460" w:lineRule="exact"/>
        <w:ind w:firstLine="360"/>
        <w:rPr>
          <w:rFonts w:hint="eastAsia" w:hAnsi="宋体" w:cs="宋体"/>
          <w:color w:val="auto"/>
          <w:highlight w:val="none"/>
        </w:rPr>
      </w:pPr>
      <w:r>
        <w:rPr>
          <w:rFonts w:hint="eastAsia" w:hAnsi="宋体" w:cs="宋体"/>
          <w:color w:val="auto"/>
          <w:highlight w:val="none"/>
        </w:rPr>
        <w:t>1.1 服务名称：</w:t>
      </w:r>
      <w:r>
        <w:rPr>
          <w:rFonts w:hint="eastAsia" w:hAnsi="宋体" w:cs="宋体"/>
          <w:color w:val="auto"/>
          <w:highlight w:val="none"/>
          <w:u w:val="single"/>
        </w:rPr>
        <w:t>详见合同附件中磋商报价表</w:t>
      </w:r>
    </w:p>
    <w:p>
      <w:pPr>
        <w:pStyle w:val="13"/>
        <w:spacing w:line="460" w:lineRule="exact"/>
        <w:ind w:firstLine="360"/>
        <w:rPr>
          <w:rFonts w:hint="eastAsia" w:hAnsi="宋体" w:cs="宋体"/>
          <w:color w:val="auto"/>
          <w:highlight w:val="none"/>
          <w:u w:val="single"/>
        </w:rPr>
      </w:pPr>
      <w:r>
        <w:rPr>
          <w:rFonts w:hint="eastAsia" w:hAnsi="宋体" w:cs="宋体"/>
          <w:color w:val="auto"/>
          <w:highlight w:val="none"/>
        </w:rPr>
        <w:t>1.2 数量（单位）：</w:t>
      </w:r>
      <w:r>
        <w:rPr>
          <w:rFonts w:hint="eastAsia" w:hAnsi="宋体" w:cs="宋体"/>
          <w:color w:val="auto"/>
          <w:highlight w:val="none"/>
          <w:u w:val="single"/>
        </w:rPr>
        <w:t>详见合同附件中磋商报价表</w:t>
      </w:r>
    </w:p>
    <w:p>
      <w:pPr>
        <w:pStyle w:val="13"/>
        <w:spacing w:line="460" w:lineRule="exact"/>
        <w:ind w:firstLine="360"/>
        <w:rPr>
          <w:rFonts w:hint="eastAsia" w:hAnsi="宋体" w:cs="宋体"/>
          <w:color w:val="auto"/>
          <w:highlight w:val="none"/>
          <w:u w:val="single"/>
        </w:rPr>
      </w:pPr>
      <w:r>
        <w:rPr>
          <w:rFonts w:hint="eastAsia" w:hAnsi="宋体" w:cs="宋体"/>
          <w:color w:val="auto"/>
          <w:highlight w:val="none"/>
        </w:rPr>
        <w:t>1.3技术参数：</w:t>
      </w:r>
      <w:r>
        <w:rPr>
          <w:rFonts w:hint="eastAsia" w:hAnsi="宋体" w:cs="宋体"/>
          <w:color w:val="auto"/>
          <w:highlight w:val="none"/>
          <w:u w:val="single"/>
        </w:rPr>
        <w:t>详见合同附件中磋商服务技术资料表（磋商服务技术资料表与澄清函不一致的以澄清函为准）</w:t>
      </w:r>
    </w:p>
    <w:p>
      <w:pPr>
        <w:pStyle w:val="13"/>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2.  合同金额</w:t>
      </w:r>
    </w:p>
    <w:p>
      <w:pPr>
        <w:pStyle w:val="13"/>
        <w:spacing w:line="460" w:lineRule="exact"/>
        <w:ind w:left="2" w:firstLine="359" w:firstLineChars="171"/>
        <w:rPr>
          <w:rFonts w:hint="eastAsia" w:hAnsi="宋体" w:cs="宋体"/>
          <w:color w:val="auto"/>
          <w:highlight w:val="none"/>
        </w:rPr>
      </w:pPr>
      <w:r>
        <w:rPr>
          <w:rFonts w:hint="eastAsia" w:hAnsi="宋体" w:cs="宋体"/>
          <w:color w:val="auto"/>
          <w:highlight w:val="none"/>
        </w:rPr>
        <w:t>2.1 本合同金额为（大写）人民币</w:t>
      </w:r>
      <w:r>
        <w:rPr>
          <w:rFonts w:hint="eastAsia" w:hAnsi="宋体" w:cs="宋体"/>
          <w:color w:val="auto"/>
          <w:highlight w:val="none"/>
          <w:u w:val="single"/>
        </w:rPr>
        <w:t xml:space="preserve">　　　　　　      </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元）。（详见磋商报价表）</w:t>
      </w:r>
    </w:p>
    <w:p>
      <w:pPr>
        <w:pStyle w:val="13"/>
        <w:tabs>
          <w:tab w:val="left" w:pos="5940"/>
        </w:tabs>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3.  交付要求</w:t>
      </w:r>
    </w:p>
    <w:p>
      <w:pPr>
        <w:pStyle w:val="13"/>
        <w:tabs>
          <w:tab w:val="left" w:pos="5220"/>
        </w:tabs>
        <w:spacing w:line="460" w:lineRule="exact"/>
        <w:ind w:firstLine="360"/>
        <w:rPr>
          <w:rFonts w:hint="eastAsia" w:hAnsi="宋体" w:cs="宋体"/>
          <w:bCs/>
          <w:color w:val="auto"/>
          <w:highlight w:val="none"/>
          <w:u w:val="single"/>
        </w:rPr>
      </w:pPr>
      <w:r>
        <w:rPr>
          <w:rFonts w:hint="eastAsia" w:hAnsi="宋体" w:cs="宋体"/>
          <w:bCs/>
          <w:color w:val="auto"/>
          <w:highlight w:val="none"/>
        </w:rPr>
        <w:t>3.1</w:t>
      </w:r>
      <w:r>
        <w:rPr>
          <w:rFonts w:hint="eastAsia" w:hAnsi="宋体" w:cs="宋体"/>
          <w:color w:val="auto"/>
          <w:szCs w:val="21"/>
          <w:highlight w:val="none"/>
        </w:rPr>
        <w:t>提交服务成果时间</w:t>
      </w:r>
      <w:r>
        <w:rPr>
          <w:rFonts w:hint="eastAsia" w:hAnsi="宋体" w:cs="宋体"/>
          <w:bCs/>
          <w:color w:val="auto"/>
          <w:highlight w:val="none"/>
        </w:rPr>
        <w:t>：</w:t>
      </w:r>
      <w:r>
        <w:rPr>
          <w:rFonts w:hint="eastAsia" w:hAnsi="宋体" w:cs="宋体"/>
          <w:color w:val="auto"/>
          <w:highlight w:val="none"/>
          <w:u w:val="single"/>
        </w:rPr>
        <w:t xml:space="preserve">                                </w:t>
      </w:r>
    </w:p>
    <w:p>
      <w:pPr>
        <w:pStyle w:val="13"/>
        <w:spacing w:line="460" w:lineRule="exact"/>
        <w:ind w:firstLine="360"/>
        <w:rPr>
          <w:rFonts w:hint="eastAsia" w:hAnsi="宋体" w:cs="宋体"/>
          <w:bCs/>
          <w:color w:val="auto"/>
          <w:highlight w:val="none"/>
        </w:rPr>
      </w:pPr>
      <w:r>
        <w:rPr>
          <w:rFonts w:hint="eastAsia" w:hAnsi="宋体" w:cs="宋体"/>
          <w:bCs/>
          <w:color w:val="auto"/>
          <w:highlight w:val="none"/>
        </w:rPr>
        <w:t>3.2</w:t>
      </w:r>
      <w:r>
        <w:rPr>
          <w:rFonts w:hint="eastAsia" w:hAnsi="宋体" w:cs="宋体"/>
          <w:color w:val="auto"/>
          <w:kern w:val="0"/>
          <w:szCs w:val="21"/>
          <w:highlight w:val="none"/>
        </w:rPr>
        <w:t>服务成果交付地点</w:t>
      </w:r>
      <w:r>
        <w:rPr>
          <w:rFonts w:hint="eastAsia" w:hAnsi="宋体" w:cs="宋体"/>
          <w:bCs/>
          <w:color w:val="auto"/>
          <w:highlight w:val="none"/>
        </w:rPr>
        <w:t>：</w:t>
      </w:r>
      <w:r>
        <w:rPr>
          <w:rFonts w:hint="eastAsia" w:hAnsi="宋体" w:cs="宋体"/>
          <w:color w:val="auto"/>
          <w:highlight w:val="none"/>
          <w:u w:val="single"/>
        </w:rPr>
        <w:t xml:space="preserve">                                </w:t>
      </w:r>
    </w:p>
    <w:p>
      <w:pPr>
        <w:pStyle w:val="13"/>
        <w:tabs>
          <w:tab w:val="left" w:pos="5220"/>
          <w:tab w:val="left" w:pos="6120"/>
        </w:tabs>
        <w:spacing w:line="460" w:lineRule="exact"/>
        <w:ind w:firstLine="360"/>
        <w:rPr>
          <w:rFonts w:hint="eastAsia" w:hAnsi="宋体" w:cs="宋体"/>
          <w:bCs/>
          <w:color w:val="auto"/>
          <w:highlight w:val="none"/>
        </w:rPr>
      </w:pPr>
      <w:r>
        <w:rPr>
          <w:rFonts w:hint="eastAsia" w:hAnsi="宋体" w:cs="宋体"/>
          <w:bCs/>
          <w:color w:val="auto"/>
          <w:highlight w:val="none"/>
        </w:rPr>
        <w:t>3.3 交付方式：</w:t>
      </w:r>
      <w:r>
        <w:rPr>
          <w:rFonts w:hint="eastAsia" w:hAnsi="宋体" w:cs="宋体"/>
          <w:color w:val="auto"/>
          <w:highlight w:val="none"/>
          <w:u w:val="single"/>
        </w:rPr>
        <w:t>现场交付</w:t>
      </w:r>
    </w:p>
    <w:p>
      <w:pPr>
        <w:pStyle w:val="13"/>
        <w:spacing w:line="460" w:lineRule="exact"/>
        <w:ind w:firstLine="360"/>
        <w:rPr>
          <w:rFonts w:hint="eastAsia" w:hAnsi="宋体" w:cs="宋体"/>
          <w:b/>
          <w:color w:val="auto"/>
          <w:highlight w:val="none"/>
        </w:rPr>
      </w:pPr>
      <w:r>
        <w:rPr>
          <w:rFonts w:hint="eastAsia" w:hAnsi="宋体" w:cs="宋体"/>
          <w:bCs/>
          <w:color w:val="auto"/>
          <w:highlight w:val="none"/>
        </w:rPr>
        <w:t xml:space="preserve">3.4 </w:t>
      </w:r>
      <w:r>
        <w:rPr>
          <w:rFonts w:hint="eastAsia" w:hAnsi="宋体" w:cs="宋体"/>
          <w:color w:val="auto"/>
          <w:highlight w:val="none"/>
        </w:rPr>
        <w:t>乙方必须按磋商文件承诺的技术参数、性能要求、质量标准等向甲方提供服务。</w:t>
      </w:r>
    </w:p>
    <w:p>
      <w:pPr>
        <w:pStyle w:val="13"/>
        <w:spacing w:line="460" w:lineRule="exact"/>
        <w:ind w:left="410" w:hanging="410" w:hangingChars="170"/>
        <w:rPr>
          <w:rFonts w:hint="eastAsia" w:hAnsi="宋体" w:cs="宋体"/>
          <w:b/>
          <w:color w:val="auto"/>
          <w:highlight w:val="none"/>
        </w:rPr>
      </w:pPr>
      <w:r>
        <w:rPr>
          <w:rFonts w:hint="eastAsia" w:hAnsi="宋体" w:cs="宋体"/>
          <w:b/>
          <w:bCs/>
          <w:color w:val="auto"/>
          <w:sz w:val="24"/>
          <w:szCs w:val="24"/>
          <w:highlight w:val="none"/>
        </w:rPr>
        <w:t>4.  履约保证金</w:t>
      </w:r>
    </w:p>
    <w:p>
      <w:pPr>
        <w:pStyle w:val="13"/>
        <w:spacing w:line="460" w:lineRule="exact"/>
        <w:ind w:firstLine="360"/>
        <w:rPr>
          <w:rFonts w:hint="eastAsia" w:hAnsi="宋体" w:cs="宋体"/>
          <w:color w:val="auto"/>
          <w:highlight w:val="none"/>
        </w:rPr>
      </w:pPr>
      <w:r>
        <w:rPr>
          <w:rFonts w:hint="eastAsia" w:hAnsi="宋体" w:cs="宋体"/>
          <w:color w:val="auto"/>
          <w:highlight w:val="none"/>
        </w:rPr>
        <w:t>4.1本项目不收取履约保证金。</w:t>
      </w:r>
    </w:p>
    <w:p>
      <w:pPr>
        <w:pStyle w:val="13"/>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5.  质量保证及售后服务</w:t>
      </w:r>
    </w:p>
    <w:p>
      <w:pPr>
        <w:pStyle w:val="13"/>
        <w:spacing w:line="460" w:lineRule="exact"/>
        <w:ind w:left="2" w:firstLine="359" w:firstLineChars="171"/>
        <w:rPr>
          <w:rFonts w:hint="eastAsia" w:hAnsi="宋体" w:cs="宋体"/>
          <w:color w:val="auto"/>
          <w:highlight w:val="none"/>
        </w:rPr>
      </w:pPr>
      <w:r>
        <w:rPr>
          <w:rFonts w:hint="eastAsia" w:hAnsi="宋体" w:cs="宋体"/>
          <w:color w:val="auto"/>
          <w:highlight w:val="none"/>
        </w:rPr>
        <w:t>5.1</w:t>
      </w:r>
      <w:r>
        <w:rPr>
          <w:rFonts w:hint="eastAsia" w:hAnsi="宋体" w:cs="宋体"/>
          <w:color w:val="auto"/>
          <w:szCs w:val="21"/>
          <w:highlight w:val="none"/>
          <w:lang w:bidi="ar"/>
        </w:rPr>
        <w:t>质量保证期：</w:t>
      </w:r>
      <w:r>
        <w:rPr>
          <w:rFonts w:hint="eastAsia" w:hAnsi="宋体" w:cs="宋体"/>
          <w:color w:val="auto"/>
          <w:szCs w:val="21"/>
          <w:highlight w:val="none"/>
          <w:u w:val="single"/>
          <w:lang w:bidi="ar"/>
        </w:rPr>
        <w:t xml:space="preserve">                 </w:t>
      </w:r>
      <w:r>
        <w:rPr>
          <w:rFonts w:hint="eastAsia" w:hAnsi="宋体" w:cs="宋体"/>
          <w:color w:val="auto"/>
          <w:kern w:val="0"/>
          <w:szCs w:val="21"/>
          <w:highlight w:val="none"/>
        </w:rPr>
        <w:t>。</w:t>
      </w:r>
    </w:p>
    <w:p>
      <w:pPr>
        <w:pStyle w:val="13"/>
        <w:spacing w:line="460" w:lineRule="exact"/>
        <w:ind w:left="2" w:firstLine="359" w:firstLineChars="171"/>
        <w:rPr>
          <w:rFonts w:hint="eastAsia" w:hAnsi="宋体" w:cs="宋体"/>
          <w:color w:val="auto"/>
          <w:highlight w:val="none"/>
        </w:rPr>
      </w:pPr>
      <w:r>
        <w:rPr>
          <w:rFonts w:hint="eastAsia" w:hAnsi="宋体" w:cs="宋体"/>
          <w:color w:val="auto"/>
          <w:highlight w:val="none"/>
        </w:rPr>
        <w:t>5.2本项目不收取质量保证金。</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5.3 如乙方提供的服务发生问题，乙方接到甲方通知后应在磋商文件承诺的时间内到达甲方指定现场，按国家及行业标准及时处理。</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5.4 乙方提供的服务达不到技术要求者，根据实际情况，经双方协商，可按以下办法处理：</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（1）更换：由乙方承担所发生的全部费用；</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（2）贬值处理：由甲乙双方合议定价；</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（3）退款处理：乙方应退还甲方支付的合同款，同时应承担与该服务相关的直接费用（保险、合同款利息及银行手续费等）。</w:t>
      </w:r>
    </w:p>
    <w:p>
      <w:pPr>
        <w:pStyle w:val="13"/>
        <w:spacing w:line="460" w:lineRule="exact"/>
        <w:ind w:left="2" w:firstLine="360"/>
        <w:rPr>
          <w:rFonts w:hint="eastAsia" w:hAnsi="宋体" w:cs="宋体"/>
          <w:color w:val="auto"/>
          <w:highlight w:val="none"/>
        </w:rPr>
      </w:pPr>
      <w:r>
        <w:rPr>
          <w:rFonts w:hint="eastAsia" w:hAnsi="宋体" w:cs="宋体"/>
          <w:color w:val="auto"/>
          <w:highlight w:val="none"/>
        </w:rPr>
        <w:t>5.5 在质量保证期内，乙方负责帮助甲方开展后续相关管理工作。</w:t>
      </w:r>
    </w:p>
    <w:p>
      <w:pPr>
        <w:pStyle w:val="13"/>
        <w:spacing w:line="460" w:lineRule="exact"/>
        <w:ind w:left="2" w:firstLine="360"/>
        <w:rPr>
          <w:rFonts w:hint="eastAsia" w:hAnsi="宋体" w:cs="宋体"/>
          <w:color w:val="auto"/>
          <w:highlight w:val="none"/>
        </w:rPr>
      </w:pPr>
      <w:r>
        <w:rPr>
          <w:rFonts w:hint="eastAsia" w:hAnsi="宋体" w:cs="宋体"/>
          <w:color w:val="auto"/>
          <w:highlight w:val="none"/>
        </w:rPr>
        <w:t>5.6其他服务要求：按磋商文件商务条款偏离表及澄清函（商务条款偏离表与澄清函不一致的以澄清函为准）内容执行。</w:t>
      </w:r>
    </w:p>
    <w:p>
      <w:pPr>
        <w:pStyle w:val="13"/>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6.  合同款支付</w:t>
      </w:r>
    </w:p>
    <w:p>
      <w:pPr>
        <w:pStyle w:val="13"/>
        <w:spacing w:line="460" w:lineRule="exact"/>
        <w:ind w:firstLine="360"/>
        <w:rPr>
          <w:rFonts w:hint="eastAsia" w:hAnsi="宋体" w:cs="宋体"/>
          <w:bCs/>
          <w:color w:val="auto"/>
          <w:highlight w:val="none"/>
          <w:u w:val="single"/>
        </w:rPr>
      </w:pPr>
      <w:r>
        <w:rPr>
          <w:rFonts w:hint="eastAsia" w:hAnsi="宋体" w:cs="宋体"/>
          <w:bCs/>
          <w:color w:val="auto"/>
          <w:highlight w:val="none"/>
        </w:rPr>
        <w:t>6.1 付款方式：</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13"/>
        <w:spacing w:line="460" w:lineRule="exact"/>
        <w:ind w:firstLine="360"/>
        <w:rPr>
          <w:rFonts w:hint="eastAsia" w:hAnsi="宋体" w:cs="宋体"/>
          <w:color w:val="auto"/>
          <w:highlight w:val="none"/>
        </w:rPr>
      </w:pPr>
      <w:r>
        <w:rPr>
          <w:rFonts w:hint="eastAsia" w:hAnsi="宋体" w:cs="宋体"/>
          <w:color w:val="auto"/>
          <w:highlight w:val="none"/>
        </w:rPr>
        <w:t>6.2 支付合同款时，由甲方按照合同约定向</w:t>
      </w:r>
      <w:r>
        <w:rPr>
          <w:rFonts w:hint="eastAsia" w:hAnsi="宋体" w:cs="宋体"/>
          <w:color w:val="auto"/>
          <w:highlight w:val="none"/>
          <w:lang w:val="en-US" w:eastAsia="zh-CN"/>
        </w:rPr>
        <w:t>横州</w:t>
      </w:r>
      <w:r>
        <w:rPr>
          <w:rFonts w:hint="eastAsia" w:hAnsi="宋体" w:cs="宋体"/>
          <w:color w:val="auto"/>
          <w:highlight w:val="none"/>
        </w:rPr>
        <w:t>市财政局提交《</w:t>
      </w:r>
      <w:r>
        <w:rPr>
          <w:rFonts w:hint="eastAsia" w:hAnsi="宋体" w:cs="宋体"/>
          <w:color w:val="auto"/>
          <w:highlight w:val="none"/>
          <w:lang w:val="en-US" w:eastAsia="zh-CN"/>
        </w:rPr>
        <w:t>横州</w:t>
      </w:r>
      <w:r>
        <w:rPr>
          <w:rFonts w:hint="eastAsia" w:hAnsi="宋体" w:cs="宋体"/>
          <w:color w:val="auto"/>
          <w:highlight w:val="none"/>
        </w:rPr>
        <w:t>市政府采购履约验收证明和资金支付申请表》等完整且合格的支付申请材料；</w:t>
      </w:r>
      <w:r>
        <w:rPr>
          <w:rFonts w:hint="eastAsia" w:hAnsi="宋体" w:cs="宋体"/>
          <w:color w:val="auto"/>
          <w:highlight w:val="none"/>
          <w:lang w:val="en-US" w:eastAsia="zh-CN"/>
        </w:rPr>
        <w:t>横州</w:t>
      </w:r>
      <w:r>
        <w:rPr>
          <w:rFonts w:hint="eastAsia" w:hAnsi="宋体" w:cs="宋体"/>
          <w:color w:val="auto"/>
          <w:highlight w:val="none"/>
        </w:rPr>
        <w:t>市财政局按财政国库直接支付程序将款项直接支付给乙方。</w:t>
      </w:r>
    </w:p>
    <w:p>
      <w:pPr>
        <w:pStyle w:val="13"/>
        <w:spacing w:line="460" w:lineRule="exact"/>
        <w:ind w:firstLine="360"/>
        <w:rPr>
          <w:rFonts w:hint="eastAsia" w:hAnsi="宋体" w:cs="宋体"/>
          <w:bCs/>
          <w:color w:val="auto"/>
          <w:highlight w:val="none"/>
          <w:u w:val="single"/>
        </w:rPr>
      </w:pPr>
      <w:r>
        <w:rPr>
          <w:rFonts w:hint="eastAsia" w:hAnsi="宋体" w:cs="宋体"/>
          <w:color w:val="auto"/>
          <w:highlight w:val="none"/>
        </w:rPr>
        <w:t>6.3 当服务数量与实际需求不一致时，甲方可以在报经</w:t>
      </w:r>
      <w:r>
        <w:rPr>
          <w:rFonts w:hint="eastAsia" w:hAnsi="宋体" w:cs="宋体"/>
          <w:color w:val="auto"/>
          <w:highlight w:val="none"/>
          <w:lang w:val="en-US" w:eastAsia="zh-CN"/>
        </w:rPr>
        <w:t>横州</w:t>
      </w:r>
      <w:r>
        <w:rPr>
          <w:rFonts w:hint="eastAsia" w:hAnsi="宋体" w:cs="宋体"/>
          <w:color w:val="auto"/>
          <w:highlight w:val="none"/>
        </w:rPr>
        <w:t>市财政局审核同意后，</w:t>
      </w:r>
      <w:r>
        <w:rPr>
          <w:rFonts w:hint="eastAsia" w:hAnsi="宋体" w:cs="宋体"/>
          <w:color w:val="auto"/>
          <w:szCs w:val="21"/>
          <w:highlight w:val="none"/>
        </w:rPr>
        <w:t>在不改变合同其他条款的前提下与乙方协商签订补充合同，但所有补充合同的采购金额不得超过原合同采购金额的百分之十。</w:t>
      </w:r>
      <w:r>
        <w:rPr>
          <w:rFonts w:hint="eastAsia" w:hAnsi="宋体" w:cs="宋体"/>
          <w:color w:val="auto"/>
          <w:highlight w:val="none"/>
        </w:rPr>
        <w:t>乙方应根据实际服务数量提供服务，合同的最终结算金额按实际服务数量进行计算。</w:t>
      </w:r>
    </w:p>
    <w:p>
      <w:pPr>
        <w:pStyle w:val="13"/>
        <w:spacing w:line="460" w:lineRule="exact"/>
        <w:ind w:firstLine="360"/>
        <w:rPr>
          <w:rFonts w:hint="eastAsia" w:hAnsi="宋体" w:cs="宋体"/>
          <w:bCs/>
          <w:color w:val="auto"/>
          <w:highlight w:val="none"/>
          <w:u w:val="single"/>
        </w:rPr>
      </w:pPr>
      <w:r>
        <w:rPr>
          <w:rFonts w:hint="eastAsia" w:hAnsi="宋体" w:cs="宋体"/>
          <w:bCs/>
          <w:color w:val="auto"/>
          <w:highlight w:val="none"/>
        </w:rPr>
        <w:t>6.4</w:t>
      </w:r>
      <w:r>
        <w:rPr>
          <w:rFonts w:hint="eastAsia" w:hAnsi="宋体" w:cs="宋体"/>
          <w:color w:val="auto"/>
          <w:szCs w:val="21"/>
          <w:highlight w:val="none"/>
        </w:rPr>
        <w:t>政府采购监督管理部门在处理投诉事项期间，可以视具体情况书面通知采购人暂停采购活动</w:t>
      </w:r>
      <w:r>
        <w:rPr>
          <w:rFonts w:hint="eastAsia" w:hAnsi="宋体" w:cs="宋体"/>
          <w:bCs/>
          <w:color w:val="auto"/>
          <w:highlight w:val="none"/>
        </w:rPr>
        <w:t>，并延期支付合同款。</w:t>
      </w:r>
    </w:p>
    <w:p>
      <w:pPr>
        <w:pStyle w:val="13"/>
        <w:spacing w:line="460" w:lineRule="exact"/>
        <w:ind w:left="412" w:hanging="412" w:hangingChars="171"/>
        <w:rPr>
          <w:rFonts w:hint="eastAsia" w:hAnsi="宋体" w:cs="宋体"/>
          <w:b/>
          <w:color w:val="auto"/>
          <w:highlight w:val="none"/>
        </w:rPr>
      </w:pPr>
      <w:r>
        <w:rPr>
          <w:rFonts w:hint="eastAsia" w:hAnsi="宋体" w:cs="宋体"/>
          <w:b/>
          <w:bCs/>
          <w:color w:val="auto"/>
          <w:sz w:val="24"/>
          <w:szCs w:val="24"/>
          <w:highlight w:val="none"/>
        </w:rPr>
        <w:t>7.  产权</w:t>
      </w:r>
    </w:p>
    <w:p>
      <w:pPr>
        <w:pStyle w:val="13"/>
        <w:spacing w:line="460" w:lineRule="exact"/>
        <w:ind w:left="2" w:firstLine="359" w:firstLineChars="171"/>
        <w:rPr>
          <w:rFonts w:hint="eastAsia" w:hAnsi="宋体" w:cs="宋体"/>
          <w:bCs/>
          <w:color w:val="auto"/>
          <w:highlight w:val="none"/>
        </w:rPr>
      </w:pPr>
      <w:r>
        <w:rPr>
          <w:rFonts w:hint="eastAsia" w:hAnsi="宋体" w:cs="宋体"/>
          <w:color w:val="auto"/>
          <w:highlight w:val="none"/>
        </w:rPr>
        <w:t>7.1 乙方保证所提供的服务或其任何一部分均不会侵犯任何第三方的专利权、商标权或著作权</w:t>
      </w:r>
      <w:r>
        <w:rPr>
          <w:rFonts w:hint="eastAsia" w:hAnsi="宋体" w:cs="宋体"/>
          <w:bCs/>
          <w:color w:val="auto"/>
          <w:highlight w:val="none"/>
        </w:rPr>
        <w:t>。</w:t>
      </w:r>
    </w:p>
    <w:p>
      <w:pPr>
        <w:pStyle w:val="13"/>
        <w:spacing w:line="460" w:lineRule="exact"/>
        <w:ind w:left="2" w:firstLine="359" w:firstLineChars="171"/>
        <w:rPr>
          <w:rFonts w:hint="eastAsia" w:hAnsi="宋体" w:cs="宋体"/>
          <w:b/>
          <w:bCs/>
          <w:color w:val="auto"/>
          <w:highlight w:val="none"/>
        </w:rPr>
      </w:pPr>
      <w:r>
        <w:rPr>
          <w:rFonts w:hint="eastAsia" w:hAnsi="宋体" w:cs="宋体"/>
          <w:color w:val="auto"/>
          <w:highlight w:val="none"/>
        </w:rPr>
        <w:t>7.2 乙方保证所交付服务的所有权完全属于乙方且无任何产权瑕疵。如乙方所交付服务有产权瑕疵的，视为乙方违约，按照本合同的约定处理。但在已经全部支付完合同款后才发现有产权瑕疵的，乙方除了支付违约金还应负担甲方由此产生的一切损失。</w:t>
      </w:r>
    </w:p>
    <w:p>
      <w:pPr>
        <w:pStyle w:val="13"/>
        <w:spacing w:line="460" w:lineRule="exact"/>
        <w:rPr>
          <w:rFonts w:hint="eastAsia" w:hAnsi="宋体" w:cs="宋体"/>
          <w:b/>
          <w:color w:val="auto"/>
          <w:highlight w:val="none"/>
        </w:rPr>
      </w:pPr>
      <w:r>
        <w:rPr>
          <w:rFonts w:hint="eastAsia" w:hAnsi="宋体" w:cs="宋体"/>
          <w:b/>
          <w:bCs/>
          <w:color w:val="auto"/>
          <w:sz w:val="24"/>
          <w:szCs w:val="24"/>
          <w:highlight w:val="none"/>
        </w:rPr>
        <w:t>8.  技术资料</w:t>
      </w:r>
    </w:p>
    <w:p>
      <w:pPr>
        <w:pStyle w:val="13"/>
        <w:spacing w:line="460" w:lineRule="exact"/>
        <w:ind w:firstLine="360"/>
        <w:rPr>
          <w:rFonts w:hint="eastAsia" w:hAnsi="宋体" w:cs="宋体"/>
          <w:color w:val="auto"/>
          <w:highlight w:val="none"/>
        </w:rPr>
      </w:pPr>
      <w:r>
        <w:rPr>
          <w:rFonts w:hint="eastAsia" w:hAnsi="宋体" w:cs="宋体"/>
          <w:color w:val="auto"/>
          <w:highlight w:val="none"/>
        </w:rPr>
        <w:t>8.1 甲方向乙方提供采购服务的有关技术要求。</w:t>
      </w:r>
    </w:p>
    <w:p>
      <w:pPr>
        <w:pStyle w:val="13"/>
        <w:spacing w:line="460" w:lineRule="exact"/>
        <w:ind w:firstLine="360"/>
        <w:rPr>
          <w:rFonts w:hint="eastAsia" w:hAnsi="宋体" w:cs="宋体"/>
          <w:color w:val="auto"/>
          <w:highlight w:val="none"/>
        </w:rPr>
      </w:pPr>
      <w:r>
        <w:rPr>
          <w:rFonts w:hint="eastAsia" w:hAnsi="宋体" w:cs="宋体"/>
          <w:color w:val="auto"/>
          <w:highlight w:val="none"/>
        </w:rPr>
        <w:t>8.2 乙方应在采购文件规定的时间向甲方提供服务的有关技术资料。</w:t>
      </w:r>
    </w:p>
    <w:p>
      <w:pPr>
        <w:pStyle w:val="13"/>
        <w:spacing w:line="460" w:lineRule="exact"/>
        <w:ind w:firstLine="360"/>
        <w:rPr>
          <w:rFonts w:hint="eastAsia" w:hAnsi="宋体" w:cs="宋体"/>
          <w:color w:val="auto"/>
          <w:highlight w:val="none"/>
        </w:rPr>
      </w:pPr>
      <w:r>
        <w:rPr>
          <w:rFonts w:hint="eastAsia" w:hAnsi="宋体" w:cs="宋体"/>
          <w:color w:val="auto"/>
          <w:highlight w:val="none"/>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13"/>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9.  验收</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9.1 服务完成后，甲方应在五个工作日内对乙方提交的服务依据竞争性磋商采购文件的要求、磋商文件的承诺和国家标准或行业标准进行验收。</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9.2 乙方应对验收文件进行整理，并列出清单，作为甲方验收的依据。</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9.3 验收时乙方必须在现场，验收完毕后作出验收结果报告。</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9.4 对技术复杂的项目，甲方可请国家认可的专业机构参与验收，并由其出具验收报告，相关费用由甲方承担。</w:t>
      </w:r>
    </w:p>
    <w:p>
      <w:pPr>
        <w:pStyle w:val="13"/>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10.  违约责任</w:t>
      </w:r>
    </w:p>
    <w:p>
      <w:pPr>
        <w:pStyle w:val="13"/>
        <w:spacing w:line="460" w:lineRule="exact"/>
        <w:ind w:left="2" w:firstLine="360"/>
        <w:rPr>
          <w:rFonts w:hint="eastAsia" w:hAnsi="宋体" w:cs="宋体"/>
          <w:color w:val="auto"/>
          <w:highlight w:val="none"/>
        </w:rPr>
      </w:pPr>
      <w:r>
        <w:rPr>
          <w:rFonts w:hint="eastAsia" w:hAnsi="宋体" w:cs="宋体"/>
          <w:color w:val="auto"/>
          <w:highlight w:val="none"/>
        </w:rPr>
        <w:t>10.1 甲方无正当理由拒收服务的，甲方向乙方偿付拒收合同款总值的百分之五违约金。</w:t>
      </w:r>
    </w:p>
    <w:p>
      <w:pPr>
        <w:pStyle w:val="13"/>
        <w:spacing w:line="460" w:lineRule="exact"/>
        <w:ind w:left="2" w:firstLine="360"/>
        <w:rPr>
          <w:rFonts w:hint="eastAsia" w:hAnsi="宋体" w:cs="宋体"/>
          <w:color w:val="auto"/>
          <w:highlight w:val="none"/>
        </w:rPr>
      </w:pPr>
      <w:r>
        <w:rPr>
          <w:rFonts w:hint="eastAsia" w:hAnsi="宋体" w:cs="宋体"/>
          <w:color w:val="auto"/>
          <w:highlight w:val="none"/>
        </w:rPr>
        <w:t xml:space="preserve">10.2 </w:t>
      </w:r>
      <w:r>
        <w:rPr>
          <w:rFonts w:hint="eastAsia" w:hAnsi="宋体" w:cs="宋体"/>
          <w:color w:val="auto"/>
          <w:spacing w:val="-2"/>
          <w:highlight w:val="none"/>
        </w:rPr>
        <w:t>甲方无故逾期验收或办理合同款支付手续的，甲方应按逾期付款总额每日万分之五向乙方支付违约金。</w:t>
      </w:r>
    </w:p>
    <w:p>
      <w:pPr>
        <w:pStyle w:val="13"/>
        <w:spacing w:line="460" w:lineRule="exact"/>
        <w:ind w:left="2" w:firstLine="360"/>
        <w:rPr>
          <w:rFonts w:hint="eastAsia" w:hAnsi="宋体" w:cs="宋体"/>
          <w:color w:val="auto"/>
          <w:highlight w:val="none"/>
        </w:rPr>
      </w:pPr>
      <w:r>
        <w:rPr>
          <w:rFonts w:hint="eastAsia" w:hAnsi="宋体" w:cs="宋体"/>
          <w:color w:val="auto"/>
          <w:highlight w:val="none"/>
        </w:rPr>
        <w:t>10.3 乙方逾期交付服务的，乙方应按逾期交付总额每日万分之五向甲方支付违约金，由甲方从待付合同款中扣除。乙方逾期超过本合同约定交付日期十个工作日不能交付的，甲方可解除本合同。乙方因逾期交付或因其他违约行为导致甲方解除合同的，乙方应向甲方支付合同总值百分之五的违约金，并退还甲方所支付的所有费用，如造成甲方损失超过违约金的，超出部分由乙方继续承担赔偿责任。</w:t>
      </w:r>
    </w:p>
    <w:p>
      <w:pPr>
        <w:pStyle w:val="13"/>
        <w:spacing w:line="460" w:lineRule="exact"/>
        <w:ind w:left="2" w:firstLine="360"/>
        <w:rPr>
          <w:rFonts w:hint="eastAsia" w:hAnsi="宋体" w:cs="宋体"/>
          <w:color w:val="auto"/>
          <w:highlight w:val="none"/>
        </w:rPr>
      </w:pPr>
      <w:r>
        <w:rPr>
          <w:rFonts w:hint="eastAsia" w:hAnsi="宋体" w:cs="宋体"/>
          <w:color w:val="auto"/>
          <w:highlight w:val="none"/>
        </w:rPr>
        <w:t>10.4 乙方所交的服务不符合合同规定及采购文件规定标准的，甲方有权拒收该服务，乙方愿意更换服务但逾期交付的，按乙方逾期交付处理。乙方拒绝更换服务的，甲方可单方面解除合同，并有权要求乙方退还甲方所支付的所有费用，以及要求乙方按照本合同约定承担违约责任。</w:t>
      </w:r>
    </w:p>
    <w:p>
      <w:pPr>
        <w:pStyle w:val="13"/>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11.  不可抗力事件处理</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11.1 在合同有效期内，任何一方因不可抗力事件导致不能履行合同，则合同履行期可延长，其延长期与不可抗力影响期相同。</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11.2 不可抗力事件发生后，应立即通知对方，并寄送有关权威机构出具的证明。</w:t>
      </w:r>
    </w:p>
    <w:p>
      <w:pPr>
        <w:pStyle w:val="13"/>
        <w:spacing w:line="460" w:lineRule="exact"/>
        <w:ind w:firstLine="359" w:firstLineChars="171"/>
        <w:rPr>
          <w:rFonts w:hint="eastAsia" w:hAnsi="宋体" w:cs="宋体"/>
          <w:color w:val="auto"/>
          <w:highlight w:val="none"/>
        </w:rPr>
      </w:pPr>
      <w:r>
        <w:rPr>
          <w:rFonts w:hint="eastAsia" w:hAnsi="宋体" w:cs="宋体"/>
          <w:color w:val="auto"/>
          <w:highlight w:val="none"/>
        </w:rPr>
        <w:t>11.3 不可抗力事件延续120天以上，双方应通过友好协商，确定是否继续履行合同。</w:t>
      </w:r>
    </w:p>
    <w:p>
      <w:pPr>
        <w:pStyle w:val="13"/>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12.  诉讼</w:t>
      </w:r>
    </w:p>
    <w:p>
      <w:pPr>
        <w:pStyle w:val="13"/>
        <w:tabs>
          <w:tab w:val="left" w:pos="0"/>
        </w:tabs>
        <w:spacing w:line="460" w:lineRule="exact"/>
        <w:ind w:firstLine="359" w:firstLineChars="171"/>
        <w:rPr>
          <w:rFonts w:hint="eastAsia" w:hAnsi="宋体" w:cs="宋体"/>
          <w:color w:val="auto"/>
          <w:highlight w:val="none"/>
        </w:rPr>
      </w:pPr>
      <w:r>
        <w:rPr>
          <w:rFonts w:hint="eastAsia" w:hAnsi="宋体" w:cs="宋体"/>
          <w:color w:val="auto"/>
          <w:highlight w:val="none"/>
        </w:rPr>
        <w:t>12.1 双方在执行合同中所发生的一切争议，应通过协商解决。如协商不成，可向合同签订地法院起诉，合同签订地在此约定为广西</w:t>
      </w:r>
      <w:r>
        <w:rPr>
          <w:rFonts w:hint="eastAsia" w:hAnsi="宋体" w:cs="宋体"/>
          <w:color w:val="auto"/>
          <w:highlight w:val="none"/>
          <w:lang w:val="en-US" w:eastAsia="zh-CN"/>
        </w:rPr>
        <w:t>横州市</w:t>
      </w:r>
      <w:r>
        <w:rPr>
          <w:rFonts w:hint="eastAsia" w:hAnsi="宋体" w:cs="宋体"/>
          <w:color w:val="auto"/>
          <w:highlight w:val="none"/>
        </w:rPr>
        <w:t>。</w:t>
      </w:r>
    </w:p>
    <w:p>
      <w:pPr>
        <w:pStyle w:val="13"/>
        <w:spacing w:line="460" w:lineRule="exact"/>
        <w:rPr>
          <w:rFonts w:hint="eastAsia" w:hAnsi="宋体" w:cs="宋体"/>
          <w:b/>
          <w:bCs/>
          <w:color w:val="auto"/>
          <w:sz w:val="24"/>
          <w:szCs w:val="24"/>
          <w:highlight w:val="none"/>
        </w:rPr>
      </w:pPr>
      <w:r>
        <w:rPr>
          <w:rFonts w:hint="eastAsia" w:hAnsi="宋体" w:cs="宋体"/>
          <w:b/>
          <w:bCs/>
          <w:color w:val="auto"/>
          <w:sz w:val="24"/>
          <w:szCs w:val="24"/>
          <w:highlight w:val="none"/>
        </w:rPr>
        <w:t>13.  合同生效及其它</w:t>
      </w:r>
    </w:p>
    <w:p>
      <w:pPr>
        <w:pStyle w:val="13"/>
        <w:spacing w:line="460" w:lineRule="exact"/>
        <w:ind w:firstLine="360"/>
        <w:rPr>
          <w:rFonts w:hint="eastAsia" w:hAnsi="宋体" w:cs="宋体"/>
          <w:color w:val="auto"/>
          <w:highlight w:val="none"/>
        </w:rPr>
      </w:pPr>
      <w:r>
        <w:rPr>
          <w:rFonts w:hint="eastAsia" w:hAnsi="宋体" w:cs="宋体"/>
          <w:color w:val="auto"/>
          <w:highlight w:val="none"/>
        </w:rPr>
        <w:t>13.1 合同经双方法定代表人或授权委托代理人签字并加盖单位公章后生效。</w:t>
      </w:r>
    </w:p>
    <w:p>
      <w:pPr>
        <w:pStyle w:val="13"/>
        <w:spacing w:line="460" w:lineRule="exact"/>
        <w:ind w:firstLine="360"/>
        <w:rPr>
          <w:rFonts w:hint="eastAsia" w:hAnsi="宋体" w:cs="宋体"/>
          <w:color w:val="auto"/>
          <w:highlight w:val="none"/>
        </w:rPr>
      </w:pPr>
      <w:r>
        <w:rPr>
          <w:rFonts w:hint="eastAsia" w:hAnsi="宋体" w:cs="宋体"/>
          <w:color w:val="auto"/>
          <w:highlight w:val="none"/>
        </w:rPr>
        <w:t xml:space="preserve">13.2 </w:t>
      </w:r>
      <w:r>
        <w:rPr>
          <w:rFonts w:hint="eastAsia" w:hAnsi="宋体" w:cs="宋体"/>
          <w:color w:val="auto"/>
          <w:szCs w:val="21"/>
          <w:highlight w:val="none"/>
        </w:rPr>
        <w:t>合同执行中涉及采购资金和采购内容修改或补充的，须经市财政部门审批，并签书面补充协议报横州市政府采购监督管理部门备案，方可作为主合同不可分割的一部分。</w:t>
      </w:r>
    </w:p>
    <w:p>
      <w:pPr>
        <w:pStyle w:val="13"/>
        <w:spacing w:line="460" w:lineRule="exact"/>
        <w:ind w:firstLine="360"/>
        <w:rPr>
          <w:rFonts w:hint="eastAsia" w:hAnsi="宋体" w:cs="宋体"/>
          <w:color w:val="auto"/>
          <w:highlight w:val="none"/>
        </w:rPr>
      </w:pPr>
      <w:r>
        <w:rPr>
          <w:rFonts w:hint="eastAsia" w:hAnsi="宋体" w:cs="宋体"/>
          <w:color w:val="auto"/>
          <w:highlight w:val="none"/>
        </w:rPr>
        <w:t>13.3 下述合同附件为本合同不可分割的部分并与本合同具有同等效力：</w:t>
      </w:r>
    </w:p>
    <w:p>
      <w:pPr>
        <w:pStyle w:val="13"/>
        <w:spacing w:line="460" w:lineRule="exact"/>
        <w:ind w:firstLine="360"/>
        <w:rPr>
          <w:rFonts w:hint="eastAsia" w:hAnsi="宋体" w:cs="宋体"/>
          <w:color w:val="auto"/>
          <w:highlight w:val="none"/>
        </w:rPr>
      </w:pPr>
      <w:r>
        <w:rPr>
          <w:rFonts w:hint="eastAsia" w:hAnsi="宋体" w:cs="宋体"/>
          <w:color w:val="auto"/>
          <w:highlight w:val="none"/>
        </w:rPr>
        <w:t>（1）成交通知书</w:t>
      </w:r>
    </w:p>
    <w:p>
      <w:pPr>
        <w:pStyle w:val="13"/>
        <w:spacing w:line="460" w:lineRule="exact"/>
        <w:ind w:firstLine="360"/>
        <w:rPr>
          <w:rFonts w:hint="eastAsia" w:hAnsi="宋体" w:cs="宋体"/>
          <w:color w:val="auto"/>
          <w:highlight w:val="none"/>
        </w:rPr>
      </w:pPr>
      <w:r>
        <w:rPr>
          <w:rFonts w:hint="eastAsia" w:hAnsi="宋体" w:cs="宋体"/>
          <w:color w:val="auto"/>
          <w:highlight w:val="none"/>
        </w:rPr>
        <w:t>（2）竞争性磋商采购文件需求一览表</w:t>
      </w:r>
    </w:p>
    <w:p>
      <w:pPr>
        <w:pStyle w:val="13"/>
        <w:spacing w:line="460" w:lineRule="exact"/>
        <w:ind w:firstLine="360"/>
        <w:rPr>
          <w:rFonts w:hint="eastAsia" w:hAnsi="宋体" w:cs="宋体"/>
          <w:color w:val="auto"/>
          <w:highlight w:val="none"/>
        </w:rPr>
      </w:pPr>
      <w:r>
        <w:rPr>
          <w:rFonts w:hint="eastAsia" w:hAnsi="宋体" w:cs="宋体"/>
          <w:color w:val="auto"/>
          <w:highlight w:val="none"/>
        </w:rPr>
        <w:t>（3）竞争性磋商采购文件的澄清和修改（如有请提供）</w:t>
      </w:r>
    </w:p>
    <w:p>
      <w:pPr>
        <w:pStyle w:val="13"/>
        <w:spacing w:line="460" w:lineRule="exact"/>
        <w:ind w:firstLine="360"/>
        <w:rPr>
          <w:rFonts w:hint="eastAsia" w:hAnsi="宋体" w:cs="宋体"/>
          <w:color w:val="auto"/>
          <w:highlight w:val="none"/>
        </w:rPr>
      </w:pPr>
      <w:r>
        <w:rPr>
          <w:rFonts w:hint="eastAsia" w:hAnsi="宋体" w:cs="宋体"/>
          <w:color w:val="auto"/>
          <w:highlight w:val="none"/>
        </w:rPr>
        <w:t>（4）磋商函</w:t>
      </w:r>
    </w:p>
    <w:p>
      <w:pPr>
        <w:pStyle w:val="13"/>
        <w:spacing w:line="460" w:lineRule="exact"/>
        <w:ind w:firstLine="360"/>
        <w:rPr>
          <w:rFonts w:hint="eastAsia" w:hAnsi="宋体" w:cs="宋体"/>
          <w:color w:val="auto"/>
          <w:szCs w:val="21"/>
          <w:highlight w:val="none"/>
        </w:rPr>
      </w:pPr>
      <w:r>
        <w:rPr>
          <w:rFonts w:hint="eastAsia" w:hAnsi="宋体" w:cs="宋体"/>
          <w:color w:val="auto"/>
          <w:szCs w:val="21"/>
          <w:highlight w:val="none"/>
        </w:rPr>
        <w:t>（5）磋商报价表</w:t>
      </w:r>
    </w:p>
    <w:p>
      <w:pPr>
        <w:pStyle w:val="13"/>
        <w:spacing w:line="460" w:lineRule="exact"/>
        <w:ind w:firstLine="360"/>
        <w:rPr>
          <w:rFonts w:hint="eastAsia" w:hAnsi="宋体" w:cs="宋体"/>
          <w:color w:val="auto"/>
          <w:szCs w:val="21"/>
          <w:highlight w:val="none"/>
        </w:rPr>
      </w:pPr>
      <w:r>
        <w:rPr>
          <w:rFonts w:hint="eastAsia" w:hAnsi="宋体" w:cs="宋体"/>
          <w:color w:val="auto"/>
          <w:szCs w:val="21"/>
          <w:highlight w:val="none"/>
        </w:rPr>
        <w:t>（6）服务清单</w:t>
      </w:r>
    </w:p>
    <w:p>
      <w:pPr>
        <w:pStyle w:val="13"/>
        <w:spacing w:line="460" w:lineRule="exact"/>
        <w:ind w:firstLine="360"/>
        <w:rPr>
          <w:rFonts w:hint="eastAsia" w:hAnsi="宋体" w:cs="宋体"/>
          <w:color w:val="auto"/>
          <w:szCs w:val="21"/>
          <w:highlight w:val="none"/>
        </w:rPr>
      </w:pPr>
      <w:r>
        <w:rPr>
          <w:rFonts w:hint="eastAsia" w:hAnsi="宋体" w:cs="宋体"/>
          <w:color w:val="auto"/>
          <w:szCs w:val="21"/>
          <w:highlight w:val="none"/>
        </w:rPr>
        <w:t>（7）磋商服务技术资料表</w:t>
      </w:r>
    </w:p>
    <w:p>
      <w:pPr>
        <w:pStyle w:val="13"/>
        <w:spacing w:line="460" w:lineRule="exact"/>
        <w:ind w:firstLine="360"/>
        <w:rPr>
          <w:rFonts w:hint="eastAsia" w:hAnsi="宋体" w:cs="宋体"/>
          <w:color w:val="auto"/>
          <w:szCs w:val="21"/>
          <w:highlight w:val="none"/>
        </w:rPr>
      </w:pPr>
      <w:r>
        <w:rPr>
          <w:rFonts w:hint="eastAsia" w:hAnsi="宋体" w:cs="宋体"/>
          <w:color w:val="auto"/>
          <w:szCs w:val="21"/>
          <w:highlight w:val="none"/>
        </w:rPr>
        <w:t>（8）商务条款偏离表</w:t>
      </w:r>
    </w:p>
    <w:p>
      <w:pPr>
        <w:pStyle w:val="13"/>
        <w:spacing w:line="460" w:lineRule="exact"/>
        <w:ind w:firstLine="360"/>
        <w:rPr>
          <w:rFonts w:hint="eastAsia" w:hAnsi="宋体" w:cs="宋体"/>
          <w:color w:val="auto"/>
          <w:szCs w:val="21"/>
          <w:highlight w:val="none"/>
        </w:rPr>
      </w:pPr>
      <w:r>
        <w:rPr>
          <w:rFonts w:hint="eastAsia" w:hAnsi="宋体" w:cs="宋体"/>
          <w:color w:val="auto"/>
          <w:szCs w:val="21"/>
          <w:highlight w:val="none"/>
        </w:rPr>
        <w:t>（9）磋商谈判文件</w:t>
      </w:r>
    </w:p>
    <w:p>
      <w:pPr>
        <w:pStyle w:val="13"/>
        <w:spacing w:line="460" w:lineRule="exact"/>
        <w:ind w:firstLine="360"/>
        <w:rPr>
          <w:rFonts w:hint="eastAsia" w:hAnsi="宋体" w:cs="宋体"/>
          <w:color w:val="auto"/>
          <w:szCs w:val="21"/>
          <w:highlight w:val="none"/>
        </w:rPr>
      </w:pPr>
      <w:r>
        <w:rPr>
          <w:rFonts w:hint="eastAsia" w:hAnsi="宋体" w:cs="宋体"/>
          <w:color w:val="auto"/>
          <w:szCs w:val="21"/>
          <w:highlight w:val="none"/>
        </w:rPr>
        <w:t>（10）成交供应商澄清函（如有请提供）</w:t>
      </w:r>
    </w:p>
    <w:p>
      <w:pPr>
        <w:pStyle w:val="13"/>
        <w:spacing w:line="460" w:lineRule="exact"/>
        <w:ind w:firstLine="360"/>
        <w:rPr>
          <w:rFonts w:hint="eastAsia" w:hAnsi="宋体" w:cs="宋体"/>
          <w:color w:val="auto"/>
          <w:szCs w:val="21"/>
          <w:highlight w:val="none"/>
        </w:rPr>
      </w:pPr>
      <w:r>
        <w:rPr>
          <w:rFonts w:hint="eastAsia" w:hAnsi="宋体" w:cs="宋体"/>
          <w:color w:val="auto"/>
          <w:szCs w:val="21"/>
          <w:highlight w:val="none"/>
        </w:rPr>
        <w:t>（11）最终报价</w:t>
      </w:r>
    </w:p>
    <w:p>
      <w:pPr>
        <w:pStyle w:val="13"/>
        <w:spacing w:line="460" w:lineRule="exact"/>
        <w:ind w:firstLine="360"/>
        <w:rPr>
          <w:rFonts w:hint="eastAsia" w:hAnsi="宋体" w:cs="宋体"/>
          <w:color w:val="auto"/>
          <w:szCs w:val="21"/>
          <w:highlight w:val="none"/>
        </w:rPr>
      </w:pPr>
      <w:r>
        <w:rPr>
          <w:rFonts w:hint="eastAsia" w:hAnsi="宋体" w:cs="宋体"/>
          <w:color w:val="auto"/>
          <w:szCs w:val="21"/>
          <w:highlight w:val="none"/>
        </w:rPr>
        <w:t>（12）其他与本合同相关的资料（如有请提供）</w:t>
      </w:r>
    </w:p>
    <w:p>
      <w:pPr>
        <w:pStyle w:val="13"/>
        <w:spacing w:line="460" w:lineRule="exact"/>
        <w:ind w:firstLine="360"/>
        <w:rPr>
          <w:rFonts w:hint="eastAsia" w:hAnsi="宋体" w:cs="宋体"/>
          <w:color w:val="auto"/>
          <w:highlight w:val="none"/>
        </w:rPr>
      </w:pPr>
      <w:r>
        <w:rPr>
          <w:rFonts w:hint="eastAsia" w:hAnsi="宋体" w:cs="宋体"/>
          <w:color w:val="auto"/>
          <w:highlight w:val="none"/>
        </w:rPr>
        <w:t>13.4 本合同未尽事宜，遵照《中华人民共和国民法典》有关条文执行。</w:t>
      </w:r>
    </w:p>
    <w:p>
      <w:pPr>
        <w:pStyle w:val="13"/>
        <w:spacing w:line="460" w:lineRule="exact"/>
        <w:ind w:firstLine="360"/>
        <w:rPr>
          <w:rFonts w:hint="eastAsia" w:hAnsi="宋体" w:cs="宋体"/>
          <w:color w:val="auto"/>
          <w:highlight w:val="none"/>
        </w:rPr>
      </w:pPr>
      <w:r>
        <w:rPr>
          <w:rFonts w:hint="eastAsia" w:hAnsi="宋体" w:cs="宋体"/>
          <w:color w:val="auto"/>
          <w:highlight w:val="none"/>
        </w:rPr>
        <w:t>13.5本合同正本一式二份，具有同等法律效力，甲方执一份，乙方执一份；副本三份，甲方执一份，二份由乙方自合同签订之日起三个工作日内送代理机构备案。</w:t>
      </w:r>
    </w:p>
    <w:p>
      <w:pPr>
        <w:pStyle w:val="13"/>
        <w:spacing w:line="460" w:lineRule="exact"/>
        <w:ind w:firstLine="360"/>
        <w:rPr>
          <w:rFonts w:hint="eastAsia" w:hAnsi="宋体" w:cs="宋体"/>
          <w:color w:val="auto"/>
          <w:highlight w:val="none"/>
        </w:rPr>
      </w:pPr>
    </w:p>
    <w:p>
      <w:pPr>
        <w:pStyle w:val="13"/>
        <w:spacing w:line="460" w:lineRule="exact"/>
        <w:rPr>
          <w:rFonts w:hint="eastAsia" w:hAnsi="宋体" w:cs="宋体"/>
          <w:color w:val="auto"/>
          <w:highlight w:val="none"/>
          <w:u w:val="single"/>
        </w:rPr>
      </w:pPr>
      <w:r>
        <w:rPr>
          <w:rFonts w:hint="eastAsia" w:hAnsi="宋体" w:cs="宋体"/>
          <w:color w:val="auto"/>
          <w:highlight w:val="none"/>
        </w:rPr>
        <w:t>甲方：</w:t>
      </w:r>
      <w:r>
        <w:rPr>
          <w:rFonts w:hint="eastAsia" w:hAnsi="宋体" w:cs="宋体"/>
          <w:color w:val="auto"/>
          <w:highlight w:val="none"/>
          <w:u w:val="single"/>
        </w:rPr>
        <w:t xml:space="preserve">                                    </w:t>
      </w:r>
      <w:r>
        <w:rPr>
          <w:rFonts w:hint="eastAsia" w:hAnsi="宋体" w:cs="宋体"/>
          <w:color w:val="auto"/>
          <w:highlight w:val="none"/>
        </w:rPr>
        <w:t xml:space="preserve">    乙方：</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地址：</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法定代表人：</w:t>
      </w:r>
      <w:r>
        <w:rPr>
          <w:rFonts w:hint="eastAsia" w:hAnsi="宋体" w:cs="宋体"/>
          <w:color w:val="auto"/>
          <w:highlight w:val="none"/>
          <w:u w:val="single"/>
        </w:rPr>
        <w:t xml:space="preserve">                    </w:t>
      </w:r>
      <w:r>
        <w:rPr>
          <w:rFonts w:hint="eastAsia" w:hAnsi="宋体" w:cs="宋体"/>
          <w:color w:val="auto"/>
          <w:highlight w:val="none"/>
        </w:rPr>
        <w:t xml:space="preserve">    法定代表人：</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委托代理人：</w:t>
      </w:r>
      <w:r>
        <w:rPr>
          <w:rFonts w:hint="eastAsia" w:hAnsi="宋体" w:cs="宋体"/>
          <w:color w:val="auto"/>
          <w:highlight w:val="none"/>
          <w:u w:val="single"/>
        </w:rPr>
        <w:t xml:space="preserve">                              </w:t>
      </w:r>
      <w:r>
        <w:rPr>
          <w:rFonts w:hint="eastAsia" w:hAnsi="宋体" w:cs="宋体"/>
          <w:color w:val="auto"/>
          <w:highlight w:val="none"/>
        </w:rPr>
        <w:t xml:space="preserve">    委托代理人：</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电话：</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 xml:space="preserve">    传真：</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邮政编码：</w:t>
      </w:r>
      <w:r>
        <w:rPr>
          <w:rFonts w:hint="eastAsia" w:hAnsi="宋体" w:cs="宋体"/>
          <w:color w:val="auto"/>
          <w:highlight w:val="none"/>
          <w:u w:val="single"/>
        </w:rPr>
        <w:t xml:space="preserve">                                </w:t>
      </w:r>
      <w:r>
        <w:rPr>
          <w:rFonts w:hint="eastAsia" w:hAnsi="宋体" w:cs="宋体"/>
          <w:color w:val="auto"/>
          <w:highlight w:val="none"/>
        </w:rPr>
        <w:t xml:space="preserve">    邮政编码：</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u w:val="single"/>
        </w:rPr>
      </w:pPr>
      <w:r>
        <w:rPr>
          <w:rFonts w:hint="eastAsia" w:hAnsi="宋体" w:cs="宋体"/>
          <w:color w:val="auto"/>
          <w:highlight w:val="none"/>
        </w:rPr>
        <w:t xml:space="preserve">                                              开户银行：</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u w:val="single"/>
        </w:rPr>
      </w:pPr>
      <w:r>
        <w:rPr>
          <w:rFonts w:hint="eastAsia" w:hAnsi="宋体" w:cs="宋体"/>
          <w:color w:val="auto"/>
          <w:highlight w:val="none"/>
        </w:rPr>
        <w:t xml:space="preserve">                                              开户名称：</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u w:val="single"/>
        </w:rPr>
      </w:pPr>
      <w:r>
        <w:rPr>
          <w:rFonts w:hint="eastAsia" w:hAnsi="宋体" w:cs="宋体"/>
          <w:color w:val="auto"/>
          <w:highlight w:val="none"/>
        </w:rPr>
        <w:t xml:space="preserve">                                              银行账号：</w:t>
      </w:r>
      <w:r>
        <w:rPr>
          <w:rFonts w:hint="eastAsia" w:hAnsi="宋体" w:cs="宋体"/>
          <w:color w:val="auto"/>
          <w:highlight w:val="none"/>
          <w:u w:val="single"/>
        </w:rPr>
        <w:t xml:space="preserve">                                </w:t>
      </w:r>
    </w:p>
    <w:p>
      <w:pPr>
        <w:pStyle w:val="13"/>
        <w:spacing w:line="460" w:lineRule="exact"/>
        <w:rPr>
          <w:rFonts w:hint="eastAsia" w:hAnsi="宋体" w:cs="宋体"/>
          <w:color w:val="auto"/>
          <w:highlight w:val="none"/>
        </w:rPr>
      </w:pPr>
      <w:r>
        <w:rPr>
          <w:rFonts w:hint="eastAsia" w:hAnsi="宋体" w:cs="宋体"/>
          <w:color w:val="auto"/>
          <w:highlight w:val="none"/>
        </w:rPr>
        <w:t>合同签订地点：广西横州市</w:t>
      </w:r>
    </w:p>
    <w:p>
      <w:pPr>
        <w:pStyle w:val="13"/>
        <w:spacing w:line="460" w:lineRule="exact"/>
        <w:rPr>
          <w:rFonts w:hint="eastAsia" w:hAnsi="宋体" w:cs="宋体"/>
          <w:color w:val="auto"/>
          <w:sz w:val="32"/>
          <w:szCs w:val="32"/>
          <w:highlight w:val="none"/>
        </w:rPr>
      </w:pPr>
      <w:r>
        <w:rPr>
          <w:rFonts w:hint="eastAsia" w:hAnsi="宋体" w:cs="宋体"/>
          <w:color w:val="auto"/>
          <w:highlight w:val="none"/>
        </w:rPr>
        <w:t xml:space="preserve">合同签订日期： </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pPr>
        <w:autoSpaceDE w:val="0"/>
        <w:autoSpaceDN w:val="0"/>
        <w:adjustRightInd w:val="0"/>
        <w:spacing w:line="360" w:lineRule="auto"/>
        <w:jc w:val="center"/>
        <w:outlineLvl w:val="0"/>
        <w:rPr>
          <w:rFonts w:hint="eastAsia"/>
          <w:color w:val="auto"/>
          <w:highlight w:val="none"/>
          <w:u w:val="single"/>
        </w:rPr>
      </w:pPr>
      <w:r>
        <w:rPr>
          <w:rFonts w:hint="eastAsia" w:ascii="宋体" w:hAnsi="宋体" w:cs="宋体"/>
          <w:color w:val="auto"/>
          <w:sz w:val="32"/>
          <w:szCs w:val="32"/>
          <w:highlight w:val="none"/>
        </w:rPr>
        <w:br w:type="page"/>
      </w:r>
      <w:bookmarkStart w:id="100" w:name="_Toc27846"/>
      <w:bookmarkStart w:id="101" w:name="_Toc3523"/>
      <w:bookmarkStart w:id="102" w:name="_Toc26331"/>
      <w:bookmarkStart w:id="103" w:name="_Toc13922"/>
      <w:bookmarkStart w:id="104" w:name="_Toc8088"/>
      <w:bookmarkStart w:id="105" w:name="_Toc5637"/>
      <w:r>
        <w:rPr>
          <w:rFonts w:hint="eastAsia"/>
          <w:b/>
          <w:color w:val="auto"/>
          <w:sz w:val="36"/>
          <w:szCs w:val="20"/>
          <w:highlight w:val="none"/>
        </w:rPr>
        <w:t>第六章  其他文件、文书格式</w:t>
      </w:r>
      <w:bookmarkEnd w:id="100"/>
      <w:bookmarkEnd w:id="101"/>
      <w:bookmarkEnd w:id="102"/>
    </w:p>
    <w:p>
      <w:pPr>
        <w:rPr>
          <w:rFonts w:hint="eastAsia" w:ascii="宋体" w:hAnsi="宋体" w:cs="宋体"/>
          <w:color w:val="auto"/>
          <w:szCs w:val="21"/>
          <w:highlight w:val="none"/>
        </w:rPr>
      </w:pPr>
    </w:p>
    <w:p>
      <w:pPr>
        <w:jc w:val="center"/>
        <w:outlineLvl w:val="0"/>
        <w:rPr>
          <w:rFonts w:hint="eastAsia" w:ascii="宋体" w:hAnsi="宋体" w:cs="宋体"/>
          <w:b/>
          <w:bCs/>
          <w:color w:val="auto"/>
          <w:sz w:val="32"/>
          <w:szCs w:val="32"/>
          <w:highlight w:val="none"/>
        </w:rPr>
      </w:pPr>
      <w:bookmarkStart w:id="106" w:name="_Toc17889"/>
      <w:bookmarkStart w:id="107" w:name="_Toc32647"/>
      <w:r>
        <w:rPr>
          <w:rFonts w:hint="eastAsia" w:ascii="宋体" w:hAnsi="宋体" w:cs="宋体"/>
          <w:b/>
          <w:bCs/>
          <w:color w:val="auto"/>
          <w:sz w:val="32"/>
          <w:szCs w:val="32"/>
          <w:highlight w:val="none"/>
        </w:rPr>
        <w:t>质疑函范本</w:t>
      </w:r>
      <w:bookmarkEnd w:id="103"/>
      <w:bookmarkEnd w:id="104"/>
      <w:bookmarkEnd w:id="105"/>
      <w:bookmarkEnd w:id="106"/>
      <w:bookmarkEnd w:id="107"/>
    </w:p>
    <w:p>
      <w:pPr>
        <w:adjustRightInd w:val="0"/>
        <w:snapToGrid w:val="0"/>
        <w:spacing w:before="331" w:beforeLines="100"/>
        <w:outlineLvl w:val="0"/>
        <w:rPr>
          <w:rFonts w:hint="eastAsia" w:ascii="宋体" w:hAnsi="宋体" w:cs="宋体"/>
          <w:bCs/>
          <w:color w:val="auto"/>
          <w:szCs w:val="21"/>
          <w:highlight w:val="none"/>
        </w:rPr>
      </w:pPr>
      <w:bookmarkStart w:id="108" w:name="_Toc16039"/>
      <w:bookmarkStart w:id="109" w:name="_Toc22589"/>
      <w:bookmarkStart w:id="110" w:name="_Toc21360"/>
      <w:bookmarkStart w:id="111" w:name="_Toc20791"/>
      <w:bookmarkStart w:id="112" w:name="_Toc8182"/>
      <w:r>
        <w:rPr>
          <w:rFonts w:hint="eastAsia" w:ascii="宋体" w:hAnsi="宋体" w:cs="宋体"/>
          <w:bCs/>
          <w:color w:val="auto"/>
          <w:szCs w:val="21"/>
          <w:highlight w:val="none"/>
        </w:rPr>
        <w:t>一、质疑供应商基本信息</w:t>
      </w:r>
      <w:bookmarkEnd w:id="108"/>
      <w:bookmarkEnd w:id="109"/>
      <w:bookmarkEnd w:id="110"/>
      <w:bookmarkEnd w:id="111"/>
      <w:bookmarkEnd w:id="112"/>
    </w:p>
    <w:p>
      <w:pPr>
        <w:adjustRightInd w:val="0"/>
        <w:snapToGrid w:val="0"/>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outlineLvl w:val="0"/>
        <w:rPr>
          <w:rFonts w:hint="eastAsia" w:ascii="宋体" w:hAnsi="宋体" w:cs="宋体"/>
          <w:bCs/>
          <w:color w:val="auto"/>
          <w:szCs w:val="21"/>
          <w:highlight w:val="none"/>
        </w:rPr>
      </w:pPr>
      <w:bookmarkStart w:id="113" w:name="_Toc14915"/>
      <w:bookmarkStart w:id="114" w:name="_Toc16385"/>
      <w:bookmarkStart w:id="115" w:name="_Toc30405"/>
      <w:bookmarkStart w:id="116" w:name="_Toc7222"/>
      <w:bookmarkStart w:id="117" w:name="_Toc13341"/>
      <w:r>
        <w:rPr>
          <w:rFonts w:hint="eastAsia" w:ascii="宋体" w:hAnsi="宋体" w:cs="宋体"/>
          <w:bCs/>
          <w:color w:val="auto"/>
          <w:szCs w:val="21"/>
          <w:highlight w:val="none"/>
        </w:rPr>
        <w:t>二、质疑项目基本情况</w:t>
      </w:r>
      <w:bookmarkEnd w:id="113"/>
      <w:bookmarkEnd w:id="114"/>
      <w:bookmarkEnd w:id="115"/>
      <w:bookmarkEnd w:id="116"/>
      <w:bookmarkEnd w:id="117"/>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adjustRightInd w:val="0"/>
        <w:snapToGrid w:val="0"/>
        <w:outlineLvl w:val="0"/>
        <w:rPr>
          <w:rFonts w:hint="eastAsia" w:ascii="宋体" w:hAnsi="宋体" w:cs="宋体"/>
          <w:bCs/>
          <w:color w:val="auto"/>
          <w:szCs w:val="21"/>
          <w:highlight w:val="none"/>
        </w:rPr>
      </w:pPr>
      <w:bookmarkStart w:id="118" w:name="_Toc7582"/>
      <w:bookmarkStart w:id="119" w:name="_Toc752"/>
      <w:bookmarkStart w:id="120" w:name="_Toc18624"/>
      <w:bookmarkStart w:id="121" w:name="_Toc1983"/>
      <w:bookmarkStart w:id="122" w:name="_Toc26044"/>
      <w:r>
        <w:rPr>
          <w:rFonts w:hint="eastAsia" w:ascii="宋体" w:hAnsi="宋体" w:cs="宋体"/>
          <w:bCs/>
          <w:color w:val="auto"/>
          <w:szCs w:val="21"/>
          <w:highlight w:val="none"/>
        </w:rPr>
        <w:t>三、质疑事项具体内容</w:t>
      </w:r>
      <w:bookmarkEnd w:id="118"/>
      <w:bookmarkEnd w:id="119"/>
      <w:bookmarkEnd w:id="120"/>
      <w:bookmarkEnd w:id="121"/>
      <w:bookmarkEnd w:id="122"/>
    </w:p>
    <w:p>
      <w:pPr>
        <w:adjustRightInd w:val="0"/>
        <w:snapToGrid w:val="0"/>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adjustRightInd w:val="0"/>
        <w:snapToGrid w:val="0"/>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w:t>
      </w:r>
    </w:p>
    <w:p>
      <w:pPr>
        <w:adjustRightInd w:val="0"/>
        <w:snapToGrid w:val="0"/>
        <w:outlineLvl w:val="0"/>
        <w:rPr>
          <w:rFonts w:hint="eastAsia" w:ascii="宋体" w:hAnsi="宋体" w:cs="宋体"/>
          <w:bCs/>
          <w:color w:val="auto"/>
          <w:szCs w:val="21"/>
          <w:highlight w:val="none"/>
        </w:rPr>
      </w:pPr>
      <w:bookmarkStart w:id="123" w:name="_Toc5020"/>
      <w:bookmarkStart w:id="124" w:name="_Toc31471"/>
      <w:bookmarkStart w:id="125" w:name="_Toc23701"/>
      <w:bookmarkStart w:id="126" w:name="_Toc30013"/>
      <w:bookmarkStart w:id="127" w:name="_Toc18136"/>
      <w:r>
        <w:rPr>
          <w:rFonts w:hint="eastAsia" w:ascii="宋体" w:hAnsi="宋体" w:cs="宋体"/>
          <w:bCs/>
          <w:color w:val="auto"/>
          <w:szCs w:val="21"/>
          <w:highlight w:val="none"/>
        </w:rPr>
        <w:t>四、与质疑事项相关的质疑请求</w:t>
      </w:r>
      <w:bookmarkEnd w:id="123"/>
      <w:bookmarkEnd w:id="124"/>
      <w:bookmarkEnd w:id="125"/>
      <w:bookmarkEnd w:id="126"/>
      <w:bookmarkEnd w:id="127"/>
    </w:p>
    <w:p>
      <w:pPr>
        <w:adjustRightInd w:val="0"/>
        <w:snapToGrid w:val="0"/>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pPr>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rPr>
          <w:rFonts w:hint="eastAsia" w:ascii="宋体" w:hAnsi="宋体" w:cs="宋体"/>
          <w:b/>
          <w:color w:val="auto"/>
          <w:szCs w:val="21"/>
          <w:highlight w:val="none"/>
        </w:rPr>
      </w:pPr>
    </w:p>
    <w:p>
      <w:pPr>
        <w:outlineLvl w:val="0"/>
        <w:rPr>
          <w:rFonts w:hint="eastAsia" w:ascii="宋体" w:hAnsi="宋体" w:cs="宋体"/>
          <w:b/>
          <w:color w:val="auto"/>
          <w:szCs w:val="21"/>
          <w:highlight w:val="none"/>
        </w:rPr>
      </w:pPr>
      <w:bookmarkStart w:id="128" w:name="_Toc12003"/>
      <w:bookmarkStart w:id="129" w:name="_Toc11976"/>
      <w:bookmarkStart w:id="130" w:name="_Toc5162"/>
      <w:bookmarkStart w:id="131" w:name="_Toc23660"/>
      <w:r>
        <w:rPr>
          <w:rFonts w:hint="eastAsia" w:ascii="宋体" w:hAnsi="宋体" w:cs="宋体"/>
          <w:b/>
          <w:color w:val="auto"/>
          <w:szCs w:val="21"/>
          <w:highlight w:val="none"/>
        </w:rPr>
        <w:t>质疑函制作说明：</w:t>
      </w:r>
      <w:bookmarkEnd w:id="128"/>
      <w:bookmarkEnd w:id="129"/>
      <w:bookmarkEnd w:id="130"/>
      <w:bookmarkEnd w:id="131"/>
    </w:p>
    <w:p>
      <w:pPr>
        <w:widowControl/>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widowControl/>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widowControl/>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jc w:val="center"/>
        <w:outlineLvl w:val="0"/>
        <w:rPr>
          <w:rFonts w:hint="eastAsia" w:ascii="宋体" w:hAnsi="宋体"/>
          <w:b/>
          <w:color w:val="auto"/>
          <w:sz w:val="32"/>
          <w:szCs w:val="32"/>
          <w:highlight w:val="none"/>
        </w:rPr>
      </w:pPr>
      <w:r>
        <w:rPr>
          <w:rFonts w:hint="eastAsia" w:hAnsi="宋体"/>
          <w:color w:val="auto"/>
          <w:highlight w:val="none"/>
        </w:rPr>
        <w:br w:type="page"/>
      </w:r>
      <w:bookmarkStart w:id="132" w:name="_Toc27510"/>
      <w:bookmarkStart w:id="133" w:name="_Toc19871"/>
      <w:bookmarkStart w:id="134" w:name="_Toc26410"/>
      <w:bookmarkStart w:id="135" w:name="_Toc17532"/>
      <w:bookmarkStart w:id="136" w:name="_Toc30034"/>
      <w:r>
        <w:rPr>
          <w:rFonts w:hint="eastAsia" w:ascii="宋体" w:hAnsi="宋体"/>
          <w:b/>
          <w:color w:val="auto"/>
          <w:sz w:val="32"/>
          <w:szCs w:val="32"/>
          <w:highlight w:val="none"/>
        </w:rPr>
        <w:t>投诉书范本</w:t>
      </w:r>
      <w:bookmarkEnd w:id="132"/>
      <w:bookmarkEnd w:id="133"/>
      <w:bookmarkEnd w:id="134"/>
      <w:bookmarkEnd w:id="135"/>
      <w:bookmarkEnd w:id="136"/>
    </w:p>
    <w:p>
      <w:pPr>
        <w:spacing w:line="260" w:lineRule="exact"/>
        <w:outlineLvl w:val="0"/>
        <w:rPr>
          <w:rFonts w:hint="eastAsia" w:ascii="宋体" w:hAnsi="宋体" w:cs="宋体"/>
          <w:color w:val="auto"/>
          <w:szCs w:val="21"/>
          <w:highlight w:val="none"/>
        </w:rPr>
      </w:pPr>
      <w:bookmarkStart w:id="137" w:name="_Toc13714"/>
      <w:bookmarkStart w:id="138" w:name="_Toc18431"/>
      <w:bookmarkStart w:id="139" w:name="_Toc26996"/>
      <w:bookmarkStart w:id="140" w:name="_Toc17369"/>
      <w:bookmarkStart w:id="141" w:name="_Toc14180"/>
      <w:r>
        <w:rPr>
          <w:rFonts w:hint="eastAsia" w:ascii="宋体" w:hAnsi="宋体" w:cs="宋体"/>
          <w:color w:val="auto"/>
          <w:szCs w:val="21"/>
          <w:highlight w:val="none"/>
        </w:rPr>
        <w:t>一、投诉相关主体基本情况</w:t>
      </w:r>
      <w:bookmarkEnd w:id="137"/>
      <w:bookmarkEnd w:id="138"/>
      <w:bookmarkEnd w:id="139"/>
      <w:bookmarkEnd w:id="140"/>
      <w:bookmarkEnd w:id="141"/>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tabs>
          <w:tab w:val="left" w:pos="6510"/>
        </w:tabs>
        <w:spacing w:line="26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tabs>
          <w:tab w:val="left" w:pos="6510"/>
        </w:tabs>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被投诉人2</w:t>
      </w:r>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rPr>
        <w:t>……</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260" w:lineRule="exact"/>
        <w:outlineLvl w:val="0"/>
        <w:rPr>
          <w:rFonts w:hint="eastAsia" w:ascii="宋体" w:hAnsi="宋体" w:cs="宋体"/>
          <w:color w:val="auto"/>
          <w:szCs w:val="21"/>
          <w:highlight w:val="none"/>
        </w:rPr>
      </w:pPr>
      <w:bookmarkStart w:id="142" w:name="_Toc10695"/>
      <w:bookmarkStart w:id="143" w:name="_Toc9440"/>
      <w:bookmarkStart w:id="144" w:name="_Toc7277"/>
      <w:bookmarkStart w:id="145" w:name="_Toc25898"/>
      <w:bookmarkStart w:id="146" w:name="_Toc883"/>
      <w:r>
        <w:rPr>
          <w:rFonts w:hint="eastAsia" w:ascii="宋体" w:hAnsi="宋体" w:cs="宋体"/>
          <w:color w:val="auto"/>
          <w:szCs w:val="21"/>
          <w:highlight w:val="none"/>
        </w:rPr>
        <w:t>二、投诉项目基本情况</w:t>
      </w:r>
      <w:bookmarkEnd w:id="142"/>
      <w:bookmarkEnd w:id="143"/>
      <w:bookmarkEnd w:id="144"/>
      <w:bookmarkEnd w:id="145"/>
      <w:bookmarkEnd w:id="146"/>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260" w:lineRule="exact"/>
        <w:outlineLvl w:val="0"/>
        <w:rPr>
          <w:rFonts w:hint="eastAsia" w:ascii="宋体" w:hAnsi="宋体" w:cs="宋体"/>
          <w:color w:val="auto"/>
          <w:szCs w:val="21"/>
          <w:highlight w:val="none"/>
        </w:rPr>
      </w:pPr>
      <w:bookmarkStart w:id="147" w:name="_Toc31131"/>
      <w:bookmarkStart w:id="148" w:name="_Toc4553"/>
      <w:bookmarkStart w:id="149" w:name="_Toc27918"/>
      <w:bookmarkStart w:id="150" w:name="_Toc17114"/>
      <w:bookmarkStart w:id="151" w:name="_Toc13987"/>
      <w:r>
        <w:rPr>
          <w:rFonts w:hint="eastAsia" w:ascii="宋体" w:hAnsi="宋体" w:cs="宋体"/>
          <w:color w:val="auto"/>
          <w:szCs w:val="21"/>
          <w:highlight w:val="none"/>
        </w:rPr>
        <w:t>三、质疑基本情况</w:t>
      </w:r>
      <w:bookmarkEnd w:id="147"/>
      <w:bookmarkEnd w:id="148"/>
      <w:bookmarkEnd w:id="149"/>
      <w:bookmarkEnd w:id="150"/>
      <w:bookmarkEnd w:id="151"/>
    </w:p>
    <w:p>
      <w:pPr>
        <w:spacing w:line="260" w:lineRule="exact"/>
        <w:ind w:firstLine="420" w:firstLineChars="200"/>
        <w:rPr>
          <w:rFonts w:hint="eastAsia"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26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pPr>
        <w:spacing w:line="260" w:lineRule="exact"/>
        <w:outlineLvl w:val="0"/>
        <w:rPr>
          <w:rFonts w:hint="eastAsia" w:ascii="宋体" w:hAnsi="宋体" w:cs="宋体"/>
          <w:color w:val="auto"/>
          <w:szCs w:val="21"/>
          <w:highlight w:val="none"/>
        </w:rPr>
      </w:pPr>
      <w:bookmarkStart w:id="152" w:name="_Toc1512"/>
      <w:bookmarkStart w:id="153" w:name="_Toc14688"/>
      <w:bookmarkStart w:id="154" w:name="_Toc29799"/>
      <w:bookmarkStart w:id="155" w:name="_Toc16684"/>
      <w:bookmarkStart w:id="156" w:name="_Toc22699"/>
      <w:r>
        <w:rPr>
          <w:rFonts w:hint="eastAsia" w:ascii="宋体" w:hAnsi="宋体" w:cs="宋体"/>
          <w:color w:val="auto"/>
          <w:szCs w:val="21"/>
          <w:highlight w:val="none"/>
        </w:rPr>
        <w:t>四、投诉事项具体内容</w:t>
      </w:r>
      <w:bookmarkEnd w:id="152"/>
      <w:bookmarkEnd w:id="153"/>
      <w:bookmarkEnd w:id="154"/>
      <w:bookmarkEnd w:id="155"/>
      <w:bookmarkEnd w:id="156"/>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投诉事项2</w:t>
      </w:r>
    </w:p>
    <w:p>
      <w:pPr>
        <w:spacing w:line="260" w:lineRule="exact"/>
        <w:rPr>
          <w:rFonts w:hint="eastAsia" w:ascii="宋体" w:hAnsi="宋体" w:cs="宋体"/>
          <w:color w:val="auto"/>
          <w:szCs w:val="21"/>
          <w:highlight w:val="none"/>
          <w:u w:val="dotted"/>
        </w:rPr>
      </w:pPr>
      <w:r>
        <w:rPr>
          <w:rFonts w:hint="eastAsia" w:ascii="宋体" w:hAnsi="宋体" w:cs="宋体"/>
          <w:color w:val="auto"/>
          <w:szCs w:val="21"/>
          <w:highlight w:val="none"/>
        </w:rPr>
        <w:t>……</w:t>
      </w:r>
    </w:p>
    <w:p>
      <w:pPr>
        <w:spacing w:line="260" w:lineRule="exact"/>
        <w:outlineLvl w:val="0"/>
        <w:rPr>
          <w:rFonts w:hint="eastAsia" w:ascii="宋体" w:hAnsi="宋体" w:cs="宋体"/>
          <w:color w:val="auto"/>
          <w:szCs w:val="21"/>
          <w:highlight w:val="none"/>
        </w:rPr>
      </w:pPr>
      <w:bookmarkStart w:id="157" w:name="_Toc3329"/>
      <w:bookmarkStart w:id="158" w:name="_Toc25083"/>
      <w:bookmarkStart w:id="159" w:name="_Toc4302"/>
      <w:bookmarkStart w:id="160" w:name="_Toc779"/>
      <w:bookmarkStart w:id="161" w:name="_Toc11046"/>
      <w:r>
        <w:rPr>
          <w:rFonts w:hint="eastAsia" w:ascii="宋体" w:hAnsi="宋体" w:cs="宋体"/>
          <w:color w:val="auto"/>
          <w:szCs w:val="21"/>
          <w:highlight w:val="none"/>
        </w:rPr>
        <w:t>五、与投诉事项相关的投诉请求</w:t>
      </w:r>
      <w:bookmarkEnd w:id="157"/>
      <w:bookmarkEnd w:id="158"/>
      <w:bookmarkEnd w:id="159"/>
      <w:bookmarkEnd w:id="160"/>
      <w:bookmarkEnd w:id="161"/>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26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pacing w:line="260" w:lineRule="exact"/>
        <w:rPr>
          <w:rFonts w:hint="eastAsia" w:ascii="宋体" w:hAnsi="宋体" w:cs="宋体"/>
          <w:b/>
          <w:color w:val="auto"/>
          <w:szCs w:val="21"/>
          <w:highlight w:val="none"/>
        </w:rPr>
      </w:pPr>
    </w:p>
    <w:p>
      <w:pPr>
        <w:spacing w:line="260" w:lineRule="exact"/>
        <w:rPr>
          <w:rFonts w:hint="eastAsia" w:ascii="宋体" w:hAnsi="宋体" w:cs="宋体"/>
          <w:b/>
          <w:color w:val="auto"/>
          <w:szCs w:val="21"/>
          <w:highlight w:val="none"/>
        </w:rPr>
      </w:pPr>
    </w:p>
    <w:p>
      <w:pPr>
        <w:spacing w:line="260" w:lineRule="exact"/>
        <w:outlineLvl w:val="0"/>
        <w:rPr>
          <w:rFonts w:hint="eastAsia" w:ascii="宋体" w:hAnsi="宋体" w:cs="宋体"/>
          <w:b/>
          <w:color w:val="auto"/>
          <w:szCs w:val="21"/>
          <w:highlight w:val="none"/>
        </w:rPr>
      </w:pPr>
      <w:bookmarkStart w:id="162" w:name="_Toc9172"/>
      <w:bookmarkStart w:id="163" w:name="_Toc13652"/>
      <w:bookmarkStart w:id="164" w:name="_Toc9953"/>
      <w:bookmarkStart w:id="165" w:name="_Toc986"/>
      <w:r>
        <w:rPr>
          <w:rFonts w:hint="eastAsia" w:ascii="宋体" w:hAnsi="宋体" w:cs="宋体"/>
          <w:b/>
          <w:color w:val="auto"/>
          <w:szCs w:val="21"/>
          <w:highlight w:val="none"/>
        </w:rPr>
        <w:t>投诉书制作说明：</w:t>
      </w:r>
      <w:bookmarkEnd w:id="162"/>
      <w:bookmarkEnd w:id="163"/>
      <w:bookmarkEnd w:id="164"/>
      <w:bookmarkEnd w:id="165"/>
    </w:p>
    <w:p>
      <w:pPr>
        <w:widowControl/>
        <w:spacing w:line="26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pPr>
        <w:widowControl/>
        <w:spacing w:line="2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pPr>
        <w:widowControl/>
        <w:spacing w:line="2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widowControl/>
        <w:spacing w:line="2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widowControl/>
        <w:spacing w:line="2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widowControl/>
        <w:spacing w:line="2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widowControl/>
        <w:spacing w:line="260" w:lineRule="exact"/>
        <w:ind w:firstLine="420" w:firstLineChars="200"/>
        <w:jc w:val="left"/>
        <w:rPr>
          <w:rFonts w:hint="eastAsia" w:ascii="宋体" w:hAnsi="宋体" w:cs="宋体"/>
          <w:color w:val="auto"/>
          <w:sz w:val="32"/>
          <w:szCs w:val="32"/>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sectPr>
      <w:headerReference r:id="rId3" w:type="default"/>
      <w:footerReference r:id="rId4" w:type="default"/>
      <w:footerReference r:id="rId5" w:type="even"/>
      <w:pgSz w:w="11906" w:h="16838"/>
      <w:pgMar w:top="1134" w:right="776" w:bottom="1134" w:left="1134"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Ђ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Fonts w:hint="eastAsia" w:ascii="宋体" w:hAnsi="宋体" w:cs="宋体"/>
      </w:rPr>
    </w:pPr>
    <w:r>
      <w:rPr>
        <w:rFonts w:hint="eastAsia" w:ascii="宋体" w:hAnsi="宋体" w:cs="宋体"/>
      </w:rPr>
      <w:fldChar w:fldCharType="begin"/>
    </w:r>
    <w:r>
      <w:rPr>
        <w:rStyle w:val="29"/>
        <w:rFonts w:hint="eastAsia" w:ascii="宋体" w:hAnsi="宋体" w:cs="宋体"/>
      </w:rPr>
      <w:instrText xml:space="preserve">PAGE  </w:instrText>
    </w:r>
    <w:r>
      <w:rPr>
        <w:rFonts w:hint="eastAsia" w:ascii="宋体" w:hAnsi="宋体" w:cs="宋体"/>
      </w:rPr>
      <w:fldChar w:fldCharType="separate"/>
    </w:r>
    <w:r>
      <w:rPr>
        <w:rStyle w:val="29"/>
        <w:rFonts w:ascii="宋体" w:hAnsi="宋体" w:cs="宋体"/>
      </w:rPr>
      <w:t>5</w:t>
    </w:r>
    <w:r>
      <w:rPr>
        <w:rFonts w:hint="eastAsia" w:ascii="宋体" w:hAnsi="宋体" w:cs="宋体"/>
      </w:rPr>
      <w:fldChar w:fldCharType="end"/>
    </w:r>
  </w:p>
  <w:p>
    <w:pPr>
      <w:pStyle w:val="1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sz w:val="21"/>
      </w:rPr>
    </w:pPr>
    <w:r>
      <w:rPr>
        <w:sz w:val="21"/>
      </w:rPr>
      <w:fldChar w:fldCharType="begin"/>
    </w:r>
    <w:r>
      <w:rPr>
        <w:rStyle w:val="29"/>
        <w:sz w:val="21"/>
      </w:rPr>
      <w:instrText xml:space="preserve">PAGE  </w:instrText>
    </w:r>
    <w:r>
      <w:rPr>
        <w:sz w:val="21"/>
      </w:rPr>
      <w:fldChar w:fldCharType="separate"/>
    </w:r>
    <w:r>
      <w:rPr>
        <w:rStyle w:val="29"/>
        <w:sz w:val="21"/>
      </w:rPr>
      <w:t>34</w:t>
    </w:r>
    <w:r>
      <w:rPr>
        <w:sz w:val="21"/>
      </w:rPr>
      <w:fldChar w:fldCharType="end"/>
    </w:r>
  </w:p>
  <w:p>
    <w:pPr>
      <w:pStyle w:val="17"/>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180" w:firstLineChars="100"/>
      <w:jc w:val="both"/>
      <w:rPr>
        <w:rFonts w:hint="eastAsia" w:ascii="宋体" w:hAnsi="宋体" w:eastAsia="宋体" w:cs="宋体"/>
        <w:lang w:eastAsia="zh-CN"/>
      </w:rPr>
    </w:pPr>
    <w:r>
      <w:rPr>
        <w:rFonts w:hint="eastAsia" w:ascii="宋体" w:hAnsi="宋体" w:cs="宋体"/>
      </w:rPr>
      <w:t xml:space="preserve">广西科联招标中心有限公司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CB48B"/>
    <w:multiLevelType w:val="singleLevel"/>
    <w:tmpl w:val="AA3CB48B"/>
    <w:lvl w:ilvl="0" w:tentative="0">
      <w:start w:val="3"/>
      <w:numFmt w:val="decimal"/>
      <w:lvlText w:val="%1."/>
      <w:lvlJc w:val="left"/>
      <w:pPr>
        <w:tabs>
          <w:tab w:val="left" w:pos="312"/>
        </w:tabs>
      </w:pPr>
    </w:lvl>
  </w:abstractNum>
  <w:abstractNum w:abstractNumId="1">
    <w:nsid w:val="C30EC3B8"/>
    <w:multiLevelType w:val="singleLevel"/>
    <w:tmpl w:val="C30EC3B8"/>
    <w:lvl w:ilvl="0" w:tentative="0">
      <w:start w:val="1"/>
      <w:numFmt w:val="decimal"/>
      <w:lvlText w:val="%1."/>
      <w:lvlJc w:val="left"/>
      <w:pPr>
        <w:tabs>
          <w:tab w:val="left" w:pos="312"/>
        </w:tabs>
      </w:pPr>
    </w:lvl>
  </w:abstractNum>
  <w:abstractNum w:abstractNumId="2">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EE3BB48"/>
    <w:multiLevelType w:val="singleLevel"/>
    <w:tmpl w:val="7EE3BB48"/>
    <w:lvl w:ilvl="0" w:tentative="0">
      <w:start w:val="1"/>
      <w:numFmt w:val="decimal"/>
      <w:suff w:val="space"/>
      <w:lvlText w:val="%1."/>
      <w:lvlJc w:val="left"/>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18"/>
    <w:rsid w:val="000004C0"/>
    <w:rsid w:val="0000053E"/>
    <w:rsid w:val="00001379"/>
    <w:rsid w:val="0000139C"/>
    <w:rsid w:val="00001FD0"/>
    <w:rsid w:val="00002DB4"/>
    <w:rsid w:val="00002E57"/>
    <w:rsid w:val="0000349A"/>
    <w:rsid w:val="00005362"/>
    <w:rsid w:val="0000569E"/>
    <w:rsid w:val="00005901"/>
    <w:rsid w:val="00007CF0"/>
    <w:rsid w:val="0001006E"/>
    <w:rsid w:val="0001009E"/>
    <w:rsid w:val="00010423"/>
    <w:rsid w:val="00010484"/>
    <w:rsid w:val="00010D5D"/>
    <w:rsid w:val="0001122A"/>
    <w:rsid w:val="000125BF"/>
    <w:rsid w:val="0001287A"/>
    <w:rsid w:val="000137CC"/>
    <w:rsid w:val="0001402C"/>
    <w:rsid w:val="00014762"/>
    <w:rsid w:val="0001480D"/>
    <w:rsid w:val="0001492A"/>
    <w:rsid w:val="00014AA2"/>
    <w:rsid w:val="0001583F"/>
    <w:rsid w:val="00015C05"/>
    <w:rsid w:val="000177F8"/>
    <w:rsid w:val="00020593"/>
    <w:rsid w:val="00020CCC"/>
    <w:rsid w:val="00020EC6"/>
    <w:rsid w:val="00021994"/>
    <w:rsid w:val="00021D32"/>
    <w:rsid w:val="00021FB7"/>
    <w:rsid w:val="000224B6"/>
    <w:rsid w:val="00022B3C"/>
    <w:rsid w:val="00023E3E"/>
    <w:rsid w:val="00024792"/>
    <w:rsid w:val="00024F2E"/>
    <w:rsid w:val="00025743"/>
    <w:rsid w:val="00025A12"/>
    <w:rsid w:val="00025E94"/>
    <w:rsid w:val="00025F14"/>
    <w:rsid w:val="00026939"/>
    <w:rsid w:val="00026C88"/>
    <w:rsid w:val="0003019F"/>
    <w:rsid w:val="000308C6"/>
    <w:rsid w:val="00030B9D"/>
    <w:rsid w:val="00030CF3"/>
    <w:rsid w:val="00030D22"/>
    <w:rsid w:val="0003103C"/>
    <w:rsid w:val="00031B33"/>
    <w:rsid w:val="00031C9A"/>
    <w:rsid w:val="000321EE"/>
    <w:rsid w:val="000322F3"/>
    <w:rsid w:val="0003272B"/>
    <w:rsid w:val="00032C23"/>
    <w:rsid w:val="0003322D"/>
    <w:rsid w:val="0003406E"/>
    <w:rsid w:val="000349A3"/>
    <w:rsid w:val="00035B34"/>
    <w:rsid w:val="00035FF2"/>
    <w:rsid w:val="00036062"/>
    <w:rsid w:val="00036519"/>
    <w:rsid w:val="00037690"/>
    <w:rsid w:val="00037D9F"/>
    <w:rsid w:val="00037E30"/>
    <w:rsid w:val="000401A3"/>
    <w:rsid w:val="000407E6"/>
    <w:rsid w:val="00040CA6"/>
    <w:rsid w:val="00040F26"/>
    <w:rsid w:val="00040F78"/>
    <w:rsid w:val="0004117D"/>
    <w:rsid w:val="000411B4"/>
    <w:rsid w:val="00041B57"/>
    <w:rsid w:val="00041B9F"/>
    <w:rsid w:val="00041CD3"/>
    <w:rsid w:val="00041D41"/>
    <w:rsid w:val="00042336"/>
    <w:rsid w:val="000424A7"/>
    <w:rsid w:val="00042A60"/>
    <w:rsid w:val="00043E48"/>
    <w:rsid w:val="0004400E"/>
    <w:rsid w:val="0004404E"/>
    <w:rsid w:val="0004449E"/>
    <w:rsid w:val="00044667"/>
    <w:rsid w:val="00044AFA"/>
    <w:rsid w:val="000456EA"/>
    <w:rsid w:val="00045728"/>
    <w:rsid w:val="000468F5"/>
    <w:rsid w:val="00046B7D"/>
    <w:rsid w:val="0004725C"/>
    <w:rsid w:val="00047384"/>
    <w:rsid w:val="00047AE6"/>
    <w:rsid w:val="00050738"/>
    <w:rsid w:val="000513E0"/>
    <w:rsid w:val="0005191A"/>
    <w:rsid w:val="00051FD1"/>
    <w:rsid w:val="0005260B"/>
    <w:rsid w:val="00053194"/>
    <w:rsid w:val="000531F6"/>
    <w:rsid w:val="000537EA"/>
    <w:rsid w:val="00053893"/>
    <w:rsid w:val="00053BF0"/>
    <w:rsid w:val="000541F3"/>
    <w:rsid w:val="00054499"/>
    <w:rsid w:val="00054567"/>
    <w:rsid w:val="0005500B"/>
    <w:rsid w:val="00055714"/>
    <w:rsid w:val="000559DC"/>
    <w:rsid w:val="00056565"/>
    <w:rsid w:val="00057497"/>
    <w:rsid w:val="00057AD4"/>
    <w:rsid w:val="00057B1D"/>
    <w:rsid w:val="000600FD"/>
    <w:rsid w:val="0006203D"/>
    <w:rsid w:val="00062CE3"/>
    <w:rsid w:val="00064D1E"/>
    <w:rsid w:val="0006513C"/>
    <w:rsid w:val="0006569B"/>
    <w:rsid w:val="000658A9"/>
    <w:rsid w:val="0006657F"/>
    <w:rsid w:val="00066770"/>
    <w:rsid w:val="00066B91"/>
    <w:rsid w:val="00066F72"/>
    <w:rsid w:val="00067A2D"/>
    <w:rsid w:val="00067B60"/>
    <w:rsid w:val="00067DC9"/>
    <w:rsid w:val="000705F6"/>
    <w:rsid w:val="00072963"/>
    <w:rsid w:val="00072D91"/>
    <w:rsid w:val="0007309B"/>
    <w:rsid w:val="00073299"/>
    <w:rsid w:val="000737C1"/>
    <w:rsid w:val="00073C9D"/>
    <w:rsid w:val="00074528"/>
    <w:rsid w:val="00074796"/>
    <w:rsid w:val="000749EF"/>
    <w:rsid w:val="00074A46"/>
    <w:rsid w:val="00074D4E"/>
    <w:rsid w:val="00075980"/>
    <w:rsid w:val="00075F83"/>
    <w:rsid w:val="000767D2"/>
    <w:rsid w:val="00076CDE"/>
    <w:rsid w:val="000774E2"/>
    <w:rsid w:val="000809BF"/>
    <w:rsid w:val="00080F95"/>
    <w:rsid w:val="000811A3"/>
    <w:rsid w:val="000811F3"/>
    <w:rsid w:val="000816DD"/>
    <w:rsid w:val="00081DCF"/>
    <w:rsid w:val="00082890"/>
    <w:rsid w:val="000834E5"/>
    <w:rsid w:val="0008361E"/>
    <w:rsid w:val="000839A4"/>
    <w:rsid w:val="00083AD6"/>
    <w:rsid w:val="00083C1A"/>
    <w:rsid w:val="00083FC1"/>
    <w:rsid w:val="000848E6"/>
    <w:rsid w:val="00084B85"/>
    <w:rsid w:val="000852B4"/>
    <w:rsid w:val="00085645"/>
    <w:rsid w:val="00086292"/>
    <w:rsid w:val="000863B3"/>
    <w:rsid w:val="00090A03"/>
    <w:rsid w:val="000912C8"/>
    <w:rsid w:val="00091638"/>
    <w:rsid w:val="000918CF"/>
    <w:rsid w:val="00091F3A"/>
    <w:rsid w:val="00092E41"/>
    <w:rsid w:val="00093A02"/>
    <w:rsid w:val="00093D41"/>
    <w:rsid w:val="0009400E"/>
    <w:rsid w:val="000944FC"/>
    <w:rsid w:val="00094880"/>
    <w:rsid w:val="00094BCB"/>
    <w:rsid w:val="00094FD2"/>
    <w:rsid w:val="0009504F"/>
    <w:rsid w:val="00095D00"/>
    <w:rsid w:val="00096028"/>
    <w:rsid w:val="00096396"/>
    <w:rsid w:val="00096A0C"/>
    <w:rsid w:val="00096DFE"/>
    <w:rsid w:val="00097C6B"/>
    <w:rsid w:val="000A07CE"/>
    <w:rsid w:val="000A0B31"/>
    <w:rsid w:val="000A1233"/>
    <w:rsid w:val="000A178F"/>
    <w:rsid w:val="000A18A2"/>
    <w:rsid w:val="000A206A"/>
    <w:rsid w:val="000A20AB"/>
    <w:rsid w:val="000A375C"/>
    <w:rsid w:val="000A3D33"/>
    <w:rsid w:val="000A4DF6"/>
    <w:rsid w:val="000A4EA2"/>
    <w:rsid w:val="000A54CB"/>
    <w:rsid w:val="000A6268"/>
    <w:rsid w:val="000A6918"/>
    <w:rsid w:val="000A6B93"/>
    <w:rsid w:val="000A6CDD"/>
    <w:rsid w:val="000A7133"/>
    <w:rsid w:val="000B05DC"/>
    <w:rsid w:val="000B12EC"/>
    <w:rsid w:val="000B206D"/>
    <w:rsid w:val="000B2132"/>
    <w:rsid w:val="000B2B75"/>
    <w:rsid w:val="000B38FF"/>
    <w:rsid w:val="000B45C9"/>
    <w:rsid w:val="000B4972"/>
    <w:rsid w:val="000B524C"/>
    <w:rsid w:val="000B5E80"/>
    <w:rsid w:val="000B5F9E"/>
    <w:rsid w:val="000B6203"/>
    <w:rsid w:val="000B6ABC"/>
    <w:rsid w:val="000B6FA2"/>
    <w:rsid w:val="000B77AB"/>
    <w:rsid w:val="000B781F"/>
    <w:rsid w:val="000B7A0B"/>
    <w:rsid w:val="000B7D22"/>
    <w:rsid w:val="000B7DA5"/>
    <w:rsid w:val="000B7FE0"/>
    <w:rsid w:val="000C01A1"/>
    <w:rsid w:val="000C021A"/>
    <w:rsid w:val="000C04A4"/>
    <w:rsid w:val="000C0645"/>
    <w:rsid w:val="000C0768"/>
    <w:rsid w:val="000C07F2"/>
    <w:rsid w:val="000C093E"/>
    <w:rsid w:val="000C1561"/>
    <w:rsid w:val="000C171A"/>
    <w:rsid w:val="000C2169"/>
    <w:rsid w:val="000C2EC2"/>
    <w:rsid w:val="000C32C2"/>
    <w:rsid w:val="000C37B1"/>
    <w:rsid w:val="000C5719"/>
    <w:rsid w:val="000C677C"/>
    <w:rsid w:val="000C6D1C"/>
    <w:rsid w:val="000C6E46"/>
    <w:rsid w:val="000C71F8"/>
    <w:rsid w:val="000D06D0"/>
    <w:rsid w:val="000D0A70"/>
    <w:rsid w:val="000D0C7F"/>
    <w:rsid w:val="000D0E60"/>
    <w:rsid w:val="000D1AF7"/>
    <w:rsid w:val="000D1E66"/>
    <w:rsid w:val="000D358A"/>
    <w:rsid w:val="000D3697"/>
    <w:rsid w:val="000D3A09"/>
    <w:rsid w:val="000D3ADC"/>
    <w:rsid w:val="000D470B"/>
    <w:rsid w:val="000D4E09"/>
    <w:rsid w:val="000D5805"/>
    <w:rsid w:val="000D5A3F"/>
    <w:rsid w:val="000D60D6"/>
    <w:rsid w:val="000D63EF"/>
    <w:rsid w:val="000D63F7"/>
    <w:rsid w:val="000D687E"/>
    <w:rsid w:val="000D741D"/>
    <w:rsid w:val="000E0FC0"/>
    <w:rsid w:val="000E1177"/>
    <w:rsid w:val="000E218E"/>
    <w:rsid w:val="000E232E"/>
    <w:rsid w:val="000E26BD"/>
    <w:rsid w:val="000E2A12"/>
    <w:rsid w:val="000E339C"/>
    <w:rsid w:val="000E3428"/>
    <w:rsid w:val="000E3BE0"/>
    <w:rsid w:val="000E3F2D"/>
    <w:rsid w:val="000E527D"/>
    <w:rsid w:val="000E5F60"/>
    <w:rsid w:val="000E619B"/>
    <w:rsid w:val="000E6AC6"/>
    <w:rsid w:val="000E6F5D"/>
    <w:rsid w:val="000E7567"/>
    <w:rsid w:val="000F00F4"/>
    <w:rsid w:val="000F00FE"/>
    <w:rsid w:val="000F04CE"/>
    <w:rsid w:val="000F1171"/>
    <w:rsid w:val="000F1398"/>
    <w:rsid w:val="000F156F"/>
    <w:rsid w:val="000F1D9A"/>
    <w:rsid w:val="000F2741"/>
    <w:rsid w:val="000F2892"/>
    <w:rsid w:val="000F2A36"/>
    <w:rsid w:val="000F2B28"/>
    <w:rsid w:val="000F2C08"/>
    <w:rsid w:val="000F30A4"/>
    <w:rsid w:val="000F358E"/>
    <w:rsid w:val="000F3889"/>
    <w:rsid w:val="000F426B"/>
    <w:rsid w:val="000F4ED6"/>
    <w:rsid w:val="000F52BD"/>
    <w:rsid w:val="000F5B70"/>
    <w:rsid w:val="000F5B82"/>
    <w:rsid w:val="000F5D97"/>
    <w:rsid w:val="000F5E1F"/>
    <w:rsid w:val="000F6C2A"/>
    <w:rsid w:val="001002FD"/>
    <w:rsid w:val="0010082F"/>
    <w:rsid w:val="00100898"/>
    <w:rsid w:val="00100D75"/>
    <w:rsid w:val="00101B63"/>
    <w:rsid w:val="001020ED"/>
    <w:rsid w:val="00102594"/>
    <w:rsid w:val="001031EA"/>
    <w:rsid w:val="00103ACA"/>
    <w:rsid w:val="00103EAA"/>
    <w:rsid w:val="00103EE4"/>
    <w:rsid w:val="00104871"/>
    <w:rsid w:val="0010574F"/>
    <w:rsid w:val="00106C9A"/>
    <w:rsid w:val="00106CE8"/>
    <w:rsid w:val="00107859"/>
    <w:rsid w:val="00107ED4"/>
    <w:rsid w:val="00111CE4"/>
    <w:rsid w:val="00111FF3"/>
    <w:rsid w:val="0011229C"/>
    <w:rsid w:val="00112C42"/>
    <w:rsid w:val="001132BB"/>
    <w:rsid w:val="0011357E"/>
    <w:rsid w:val="00114EC7"/>
    <w:rsid w:val="001151D8"/>
    <w:rsid w:val="0011688D"/>
    <w:rsid w:val="00116CED"/>
    <w:rsid w:val="00116D3D"/>
    <w:rsid w:val="00116DB8"/>
    <w:rsid w:val="00116E84"/>
    <w:rsid w:val="0011705D"/>
    <w:rsid w:val="0011732C"/>
    <w:rsid w:val="00117423"/>
    <w:rsid w:val="001177FF"/>
    <w:rsid w:val="00117AAD"/>
    <w:rsid w:val="0012031A"/>
    <w:rsid w:val="00120741"/>
    <w:rsid w:val="00120890"/>
    <w:rsid w:val="0012155E"/>
    <w:rsid w:val="001225BA"/>
    <w:rsid w:val="00122D90"/>
    <w:rsid w:val="001230BE"/>
    <w:rsid w:val="001231BE"/>
    <w:rsid w:val="0012365D"/>
    <w:rsid w:val="00123DDD"/>
    <w:rsid w:val="00123F55"/>
    <w:rsid w:val="001240C0"/>
    <w:rsid w:val="0012504E"/>
    <w:rsid w:val="00125115"/>
    <w:rsid w:val="0012554A"/>
    <w:rsid w:val="001255B9"/>
    <w:rsid w:val="0012642F"/>
    <w:rsid w:val="00126ACD"/>
    <w:rsid w:val="00126C1E"/>
    <w:rsid w:val="00130CB8"/>
    <w:rsid w:val="00130F20"/>
    <w:rsid w:val="00130F69"/>
    <w:rsid w:val="00131032"/>
    <w:rsid w:val="001312B8"/>
    <w:rsid w:val="001313DE"/>
    <w:rsid w:val="00131555"/>
    <w:rsid w:val="001315BF"/>
    <w:rsid w:val="00131F7E"/>
    <w:rsid w:val="00132240"/>
    <w:rsid w:val="001323ED"/>
    <w:rsid w:val="00132ADE"/>
    <w:rsid w:val="00132C34"/>
    <w:rsid w:val="00133B11"/>
    <w:rsid w:val="00133DE9"/>
    <w:rsid w:val="00134167"/>
    <w:rsid w:val="001350DB"/>
    <w:rsid w:val="001352E8"/>
    <w:rsid w:val="001372CA"/>
    <w:rsid w:val="0013799A"/>
    <w:rsid w:val="00137B43"/>
    <w:rsid w:val="00137C8A"/>
    <w:rsid w:val="00137EB9"/>
    <w:rsid w:val="00137F2F"/>
    <w:rsid w:val="001406CE"/>
    <w:rsid w:val="001409F9"/>
    <w:rsid w:val="00142219"/>
    <w:rsid w:val="0014268D"/>
    <w:rsid w:val="00142DC5"/>
    <w:rsid w:val="001432C1"/>
    <w:rsid w:val="00143883"/>
    <w:rsid w:val="00143D6E"/>
    <w:rsid w:val="001443EF"/>
    <w:rsid w:val="00144EBA"/>
    <w:rsid w:val="00145775"/>
    <w:rsid w:val="00146F68"/>
    <w:rsid w:val="00147118"/>
    <w:rsid w:val="00147199"/>
    <w:rsid w:val="00147BAC"/>
    <w:rsid w:val="00147BBF"/>
    <w:rsid w:val="00150020"/>
    <w:rsid w:val="0015097C"/>
    <w:rsid w:val="00150BA2"/>
    <w:rsid w:val="00150E5A"/>
    <w:rsid w:val="001510D7"/>
    <w:rsid w:val="001516C4"/>
    <w:rsid w:val="001516F4"/>
    <w:rsid w:val="0015227E"/>
    <w:rsid w:val="00152667"/>
    <w:rsid w:val="001527BB"/>
    <w:rsid w:val="00152A1A"/>
    <w:rsid w:val="00152CF1"/>
    <w:rsid w:val="0015303D"/>
    <w:rsid w:val="001535CC"/>
    <w:rsid w:val="00153872"/>
    <w:rsid w:val="001539C6"/>
    <w:rsid w:val="00153BB7"/>
    <w:rsid w:val="00154423"/>
    <w:rsid w:val="00155378"/>
    <w:rsid w:val="00155415"/>
    <w:rsid w:val="00155A14"/>
    <w:rsid w:val="00155FCB"/>
    <w:rsid w:val="00156B85"/>
    <w:rsid w:val="00156B94"/>
    <w:rsid w:val="00157015"/>
    <w:rsid w:val="00157BC7"/>
    <w:rsid w:val="00160A61"/>
    <w:rsid w:val="00160E64"/>
    <w:rsid w:val="00161092"/>
    <w:rsid w:val="0016202B"/>
    <w:rsid w:val="001620A7"/>
    <w:rsid w:val="001625D4"/>
    <w:rsid w:val="00162BE7"/>
    <w:rsid w:val="00163643"/>
    <w:rsid w:val="001644ED"/>
    <w:rsid w:val="00164E3E"/>
    <w:rsid w:val="00164E7A"/>
    <w:rsid w:val="00164FF9"/>
    <w:rsid w:val="00165B0F"/>
    <w:rsid w:val="0016619B"/>
    <w:rsid w:val="0016627F"/>
    <w:rsid w:val="00166687"/>
    <w:rsid w:val="00166715"/>
    <w:rsid w:val="00167139"/>
    <w:rsid w:val="00167272"/>
    <w:rsid w:val="001674D0"/>
    <w:rsid w:val="001676DF"/>
    <w:rsid w:val="001701A2"/>
    <w:rsid w:val="001712B9"/>
    <w:rsid w:val="001714B3"/>
    <w:rsid w:val="00171726"/>
    <w:rsid w:val="00171875"/>
    <w:rsid w:val="00171947"/>
    <w:rsid w:val="001722FE"/>
    <w:rsid w:val="00172538"/>
    <w:rsid w:val="001725D6"/>
    <w:rsid w:val="00172AFD"/>
    <w:rsid w:val="00172ED6"/>
    <w:rsid w:val="001734E5"/>
    <w:rsid w:val="0017389C"/>
    <w:rsid w:val="0017390E"/>
    <w:rsid w:val="00174215"/>
    <w:rsid w:val="001745A6"/>
    <w:rsid w:val="0017526C"/>
    <w:rsid w:val="001752DA"/>
    <w:rsid w:val="001758F6"/>
    <w:rsid w:val="00175994"/>
    <w:rsid w:val="00175FA5"/>
    <w:rsid w:val="001768DA"/>
    <w:rsid w:val="00176EFF"/>
    <w:rsid w:val="00180478"/>
    <w:rsid w:val="00181080"/>
    <w:rsid w:val="00181245"/>
    <w:rsid w:val="001814BD"/>
    <w:rsid w:val="00182129"/>
    <w:rsid w:val="00182FB6"/>
    <w:rsid w:val="001837FC"/>
    <w:rsid w:val="0018417A"/>
    <w:rsid w:val="001845E8"/>
    <w:rsid w:val="0018471C"/>
    <w:rsid w:val="00184780"/>
    <w:rsid w:val="00184A84"/>
    <w:rsid w:val="00185026"/>
    <w:rsid w:val="00185414"/>
    <w:rsid w:val="00185796"/>
    <w:rsid w:val="00185DF6"/>
    <w:rsid w:val="00186748"/>
    <w:rsid w:val="00186BBD"/>
    <w:rsid w:val="00186D28"/>
    <w:rsid w:val="00186F71"/>
    <w:rsid w:val="001874F7"/>
    <w:rsid w:val="0019018D"/>
    <w:rsid w:val="00190DB7"/>
    <w:rsid w:val="00191D5F"/>
    <w:rsid w:val="00192600"/>
    <w:rsid w:val="00192D93"/>
    <w:rsid w:val="00192E3D"/>
    <w:rsid w:val="00192F06"/>
    <w:rsid w:val="001934F9"/>
    <w:rsid w:val="00193BFD"/>
    <w:rsid w:val="00197222"/>
    <w:rsid w:val="00197454"/>
    <w:rsid w:val="0019774B"/>
    <w:rsid w:val="00197B36"/>
    <w:rsid w:val="00197CAA"/>
    <w:rsid w:val="00197DD8"/>
    <w:rsid w:val="001A00AF"/>
    <w:rsid w:val="001A0661"/>
    <w:rsid w:val="001A06DA"/>
    <w:rsid w:val="001A0876"/>
    <w:rsid w:val="001A0E41"/>
    <w:rsid w:val="001A0E66"/>
    <w:rsid w:val="001A0E89"/>
    <w:rsid w:val="001A1DB7"/>
    <w:rsid w:val="001A2FB0"/>
    <w:rsid w:val="001A36EA"/>
    <w:rsid w:val="001A3E37"/>
    <w:rsid w:val="001A47B3"/>
    <w:rsid w:val="001A4B20"/>
    <w:rsid w:val="001A4EF3"/>
    <w:rsid w:val="001A5162"/>
    <w:rsid w:val="001A6670"/>
    <w:rsid w:val="001A6A01"/>
    <w:rsid w:val="001A6E56"/>
    <w:rsid w:val="001A731D"/>
    <w:rsid w:val="001A740A"/>
    <w:rsid w:val="001A7DF5"/>
    <w:rsid w:val="001B05DE"/>
    <w:rsid w:val="001B0DF3"/>
    <w:rsid w:val="001B2158"/>
    <w:rsid w:val="001B2BC1"/>
    <w:rsid w:val="001B3121"/>
    <w:rsid w:val="001B393D"/>
    <w:rsid w:val="001B49EA"/>
    <w:rsid w:val="001B4DC2"/>
    <w:rsid w:val="001B5002"/>
    <w:rsid w:val="001B5D15"/>
    <w:rsid w:val="001B67C7"/>
    <w:rsid w:val="001B68F3"/>
    <w:rsid w:val="001B6C44"/>
    <w:rsid w:val="001B6E5A"/>
    <w:rsid w:val="001B7235"/>
    <w:rsid w:val="001B743E"/>
    <w:rsid w:val="001C0723"/>
    <w:rsid w:val="001C08F3"/>
    <w:rsid w:val="001C0E17"/>
    <w:rsid w:val="001C127C"/>
    <w:rsid w:val="001C152F"/>
    <w:rsid w:val="001C222A"/>
    <w:rsid w:val="001C2428"/>
    <w:rsid w:val="001C2489"/>
    <w:rsid w:val="001C24E9"/>
    <w:rsid w:val="001C2CDC"/>
    <w:rsid w:val="001C2F5F"/>
    <w:rsid w:val="001C34A2"/>
    <w:rsid w:val="001C3D7F"/>
    <w:rsid w:val="001C40E0"/>
    <w:rsid w:val="001C4484"/>
    <w:rsid w:val="001C4642"/>
    <w:rsid w:val="001C4AC7"/>
    <w:rsid w:val="001C4EBE"/>
    <w:rsid w:val="001C4F33"/>
    <w:rsid w:val="001C4F5C"/>
    <w:rsid w:val="001C7B06"/>
    <w:rsid w:val="001D02AF"/>
    <w:rsid w:val="001D1213"/>
    <w:rsid w:val="001D1480"/>
    <w:rsid w:val="001D1650"/>
    <w:rsid w:val="001D1B71"/>
    <w:rsid w:val="001D1D00"/>
    <w:rsid w:val="001D1FEC"/>
    <w:rsid w:val="001D2152"/>
    <w:rsid w:val="001D24F6"/>
    <w:rsid w:val="001D26A1"/>
    <w:rsid w:val="001D26FA"/>
    <w:rsid w:val="001D2DA6"/>
    <w:rsid w:val="001D3413"/>
    <w:rsid w:val="001D430C"/>
    <w:rsid w:val="001D492B"/>
    <w:rsid w:val="001D4D83"/>
    <w:rsid w:val="001D5180"/>
    <w:rsid w:val="001D5218"/>
    <w:rsid w:val="001D52A2"/>
    <w:rsid w:val="001D5560"/>
    <w:rsid w:val="001D55EA"/>
    <w:rsid w:val="001D588D"/>
    <w:rsid w:val="001D5C9C"/>
    <w:rsid w:val="001D5E22"/>
    <w:rsid w:val="001D65A3"/>
    <w:rsid w:val="001D6DC8"/>
    <w:rsid w:val="001D6F3B"/>
    <w:rsid w:val="001D7219"/>
    <w:rsid w:val="001D76D7"/>
    <w:rsid w:val="001D7742"/>
    <w:rsid w:val="001D7C38"/>
    <w:rsid w:val="001E16F4"/>
    <w:rsid w:val="001E1B96"/>
    <w:rsid w:val="001E1BB4"/>
    <w:rsid w:val="001E1D2D"/>
    <w:rsid w:val="001E3025"/>
    <w:rsid w:val="001E34B4"/>
    <w:rsid w:val="001E46EB"/>
    <w:rsid w:val="001E4B8D"/>
    <w:rsid w:val="001E4DB1"/>
    <w:rsid w:val="001E56F4"/>
    <w:rsid w:val="001E5B40"/>
    <w:rsid w:val="001E6C5F"/>
    <w:rsid w:val="001E7C10"/>
    <w:rsid w:val="001F04F8"/>
    <w:rsid w:val="001F083E"/>
    <w:rsid w:val="001F0A75"/>
    <w:rsid w:val="001F0B6E"/>
    <w:rsid w:val="001F0C7F"/>
    <w:rsid w:val="001F0EE8"/>
    <w:rsid w:val="001F1278"/>
    <w:rsid w:val="001F15E2"/>
    <w:rsid w:val="001F199F"/>
    <w:rsid w:val="001F201A"/>
    <w:rsid w:val="001F279D"/>
    <w:rsid w:val="001F2C4A"/>
    <w:rsid w:val="001F2E1F"/>
    <w:rsid w:val="001F3B68"/>
    <w:rsid w:val="001F3E5A"/>
    <w:rsid w:val="001F3F99"/>
    <w:rsid w:val="001F4103"/>
    <w:rsid w:val="001F425B"/>
    <w:rsid w:val="001F5284"/>
    <w:rsid w:val="001F59E8"/>
    <w:rsid w:val="001F68EB"/>
    <w:rsid w:val="001F6D7E"/>
    <w:rsid w:val="001F74C4"/>
    <w:rsid w:val="001F78D2"/>
    <w:rsid w:val="001F7A8A"/>
    <w:rsid w:val="001F7E04"/>
    <w:rsid w:val="00200C86"/>
    <w:rsid w:val="00200C8C"/>
    <w:rsid w:val="00200CA5"/>
    <w:rsid w:val="002011AD"/>
    <w:rsid w:val="00201957"/>
    <w:rsid w:val="00201A2C"/>
    <w:rsid w:val="00202252"/>
    <w:rsid w:val="00202ADF"/>
    <w:rsid w:val="002038BC"/>
    <w:rsid w:val="00203D22"/>
    <w:rsid w:val="00203EB4"/>
    <w:rsid w:val="0020414C"/>
    <w:rsid w:val="00204C25"/>
    <w:rsid w:val="00204C59"/>
    <w:rsid w:val="00204CEA"/>
    <w:rsid w:val="00204D43"/>
    <w:rsid w:val="0020500A"/>
    <w:rsid w:val="0020536E"/>
    <w:rsid w:val="00206A89"/>
    <w:rsid w:val="00206F24"/>
    <w:rsid w:val="002112C7"/>
    <w:rsid w:val="00211328"/>
    <w:rsid w:val="00211FB6"/>
    <w:rsid w:val="00211FBE"/>
    <w:rsid w:val="00212BA5"/>
    <w:rsid w:val="002131F9"/>
    <w:rsid w:val="00213F4D"/>
    <w:rsid w:val="0021449A"/>
    <w:rsid w:val="00214615"/>
    <w:rsid w:val="002157CF"/>
    <w:rsid w:val="00215D87"/>
    <w:rsid w:val="002177F9"/>
    <w:rsid w:val="002209D0"/>
    <w:rsid w:val="00221308"/>
    <w:rsid w:val="002215AF"/>
    <w:rsid w:val="002215F3"/>
    <w:rsid w:val="00221B31"/>
    <w:rsid w:val="00221FA6"/>
    <w:rsid w:val="00222002"/>
    <w:rsid w:val="00222308"/>
    <w:rsid w:val="0022265A"/>
    <w:rsid w:val="002229EE"/>
    <w:rsid w:val="00222A9D"/>
    <w:rsid w:val="00222D85"/>
    <w:rsid w:val="0022309C"/>
    <w:rsid w:val="002233CA"/>
    <w:rsid w:val="002238BD"/>
    <w:rsid w:val="00223954"/>
    <w:rsid w:val="00223A1F"/>
    <w:rsid w:val="00223AF8"/>
    <w:rsid w:val="00223B4E"/>
    <w:rsid w:val="00223C95"/>
    <w:rsid w:val="002242EE"/>
    <w:rsid w:val="0022461C"/>
    <w:rsid w:val="00224E98"/>
    <w:rsid w:val="00225376"/>
    <w:rsid w:val="0022539E"/>
    <w:rsid w:val="00225C63"/>
    <w:rsid w:val="0022678D"/>
    <w:rsid w:val="00226B4F"/>
    <w:rsid w:val="0023055B"/>
    <w:rsid w:val="002307F0"/>
    <w:rsid w:val="00232174"/>
    <w:rsid w:val="0023243F"/>
    <w:rsid w:val="00232444"/>
    <w:rsid w:val="00232A61"/>
    <w:rsid w:val="0023368A"/>
    <w:rsid w:val="0023452E"/>
    <w:rsid w:val="002345F1"/>
    <w:rsid w:val="002349EB"/>
    <w:rsid w:val="002362A1"/>
    <w:rsid w:val="00236455"/>
    <w:rsid w:val="0023764E"/>
    <w:rsid w:val="00237BDF"/>
    <w:rsid w:val="00240043"/>
    <w:rsid w:val="002404AE"/>
    <w:rsid w:val="002405F2"/>
    <w:rsid w:val="002408FF"/>
    <w:rsid w:val="00240950"/>
    <w:rsid w:val="00241084"/>
    <w:rsid w:val="00241737"/>
    <w:rsid w:val="00241757"/>
    <w:rsid w:val="00241A5C"/>
    <w:rsid w:val="00241ACB"/>
    <w:rsid w:val="00242A48"/>
    <w:rsid w:val="00243504"/>
    <w:rsid w:val="002437C1"/>
    <w:rsid w:val="00244501"/>
    <w:rsid w:val="002449B5"/>
    <w:rsid w:val="0024523C"/>
    <w:rsid w:val="002452B7"/>
    <w:rsid w:val="002452C9"/>
    <w:rsid w:val="002467A1"/>
    <w:rsid w:val="002467D9"/>
    <w:rsid w:val="00246A92"/>
    <w:rsid w:val="00247785"/>
    <w:rsid w:val="00247A48"/>
    <w:rsid w:val="002504BE"/>
    <w:rsid w:val="00250717"/>
    <w:rsid w:val="00250B8A"/>
    <w:rsid w:val="0025216A"/>
    <w:rsid w:val="002526ED"/>
    <w:rsid w:val="00252715"/>
    <w:rsid w:val="002539B0"/>
    <w:rsid w:val="00254431"/>
    <w:rsid w:val="00254F87"/>
    <w:rsid w:val="0025507B"/>
    <w:rsid w:val="002550A6"/>
    <w:rsid w:val="002555B1"/>
    <w:rsid w:val="002556C8"/>
    <w:rsid w:val="00255952"/>
    <w:rsid w:val="00255A34"/>
    <w:rsid w:val="00255BF4"/>
    <w:rsid w:val="00256432"/>
    <w:rsid w:val="00256E69"/>
    <w:rsid w:val="0025756B"/>
    <w:rsid w:val="0025794F"/>
    <w:rsid w:val="0025795A"/>
    <w:rsid w:val="002603D5"/>
    <w:rsid w:val="0026060C"/>
    <w:rsid w:val="002609CC"/>
    <w:rsid w:val="00260F31"/>
    <w:rsid w:val="0026159F"/>
    <w:rsid w:val="002615A7"/>
    <w:rsid w:val="00261A8D"/>
    <w:rsid w:val="00261D78"/>
    <w:rsid w:val="00262808"/>
    <w:rsid w:val="00262D2B"/>
    <w:rsid w:val="00263A32"/>
    <w:rsid w:val="00263BD7"/>
    <w:rsid w:val="00263C4C"/>
    <w:rsid w:val="00263E1C"/>
    <w:rsid w:val="00264D54"/>
    <w:rsid w:val="00264E8E"/>
    <w:rsid w:val="002651D3"/>
    <w:rsid w:val="00265C54"/>
    <w:rsid w:val="002662C6"/>
    <w:rsid w:val="002665D1"/>
    <w:rsid w:val="00266972"/>
    <w:rsid w:val="002670CD"/>
    <w:rsid w:val="0026731F"/>
    <w:rsid w:val="002674A3"/>
    <w:rsid w:val="00267824"/>
    <w:rsid w:val="00267F4B"/>
    <w:rsid w:val="00270437"/>
    <w:rsid w:val="00270AFD"/>
    <w:rsid w:val="002710CE"/>
    <w:rsid w:val="002711FE"/>
    <w:rsid w:val="00272A42"/>
    <w:rsid w:val="002735FD"/>
    <w:rsid w:val="002738AE"/>
    <w:rsid w:val="00273AAF"/>
    <w:rsid w:val="00273CF4"/>
    <w:rsid w:val="00274068"/>
    <w:rsid w:val="00274CC4"/>
    <w:rsid w:val="00275BA0"/>
    <w:rsid w:val="0027685E"/>
    <w:rsid w:val="00276B13"/>
    <w:rsid w:val="00276BBE"/>
    <w:rsid w:val="00276D2F"/>
    <w:rsid w:val="002777E3"/>
    <w:rsid w:val="002778F4"/>
    <w:rsid w:val="00277E49"/>
    <w:rsid w:val="002810BC"/>
    <w:rsid w:val="0028163A"/>
    <w:rsid w:val="0028174A"/>
    <w:rsid w:val="00281BBC"/>
    <w:rsid w:val="002820F9"/>
    <w:rsid w:val="00282120"/>
    <w:rsid w:val="00282DA3"/>
    <w:rsid w:val="00283235"/>
    <w:rsid w:val="00283692"/>
    <w:rsid w:val="00283F22"/>
    <w:rsid w:val="002841FB"/>
    <w:rsid w:val="00284919"/>
    <w:rsid w:val="00284CBA"/>
    <w:rsid w:val="00284D44"/>
    <w:rsid w:val="00285784"/>
    <w:rsid w:val="00285A3C"/>
    <w:rsid w:val="00285D29"/>
    <w:rsid w:val="00285D2D"/>
    <w:rsid w:val="00286F13"/>
    <w:rsid w:val="002870F7"/>
    <w:rsid w:val="002901C1"/>
    <w:rsid w:val="002901E4"/>
    <w:rsid w:val="002904A6"/>
    <w:rsid w:val="002904F1"/>
    <w:rsid w:val="00290D8A"/>
    <w:rsid w:val="00290E35"/>
    <w:rsid w:val="00290F8A"/>
    <w:rsid w:val="002920D2"/>
    <w:rsid w:val="002920FE"/>
    <w:rsid w:val="002923F7"/>
    <w:rsid w:val="002935CB"/>
    <w:rsid w:val="0029377A"/>
    <w:rsid w:val="00294392"/>
    <w:rsid w:val="00294AEC"/>
    <w:rsid w:val="00294B8F"/>
    <w:rsid w:val="002951E7"/>
    <w:rsid w:val="00295227"/>
    <w:rsid w:val="00295262"/>
    <w:rsid w:val="00296161"/>
    <w:rsid w:val="0029619F"/>
    <w:rsid w:val="002966B3"/>
    <w:rsid w:val="00297751"/>
    <w:rsid w:val="00297A7A"/>
    <w:rsid w:val="002A02E5"/>
    <w:rsid w:val="002A057C"/>
    <w:rsid w:val="002A0A1D"/>
    <w:rsid w:val="002A0BFF"/>
    <w:rsid w:val="002A1BB4"/>
    <w:rsid w:val="002A1BB7"/>
    <w:rsid w:val="002A1FF7"/>
    <w:rsid w:val="002A210C"/>
    <w:rsid w:val="002A21CB"/>
    <w:rsid w:val="002A2CC5"/>
    <w:rsid w:val="002A32A4"/>
    <w:rsid w:val="002A48D3"/>
    <w:rsid w:val="002A4FCB"/>
    <w:rsid w:val="002A55FF"/>
    <w:rsid w:val="002A5E27"/>
    <w:rsid w:val="002A5E95"/>
    <w:rsid w:val="002A71EC"/>
    <w:rsid w:val="002A72A3"/>
    <w:rsid w:val="002A7D1A"/>
    <w:rsid w:val="002B076E"/>
    <w:rsid w:val="002B0ED4"/>
    <w:rsid w:val="002B19FC"/>
    <w:rsid w:val="002B1BC8"/>
    <w:rsid w:val="002B1DA6"/>
    <w:rsid w:val="002B2F1B"/>
    <w:rsid w:val="002B3534"/>
    <w:rsid w:val="002B3773"/>
    <w:rsid w:val="002B37C0"/>
    <w:rsid w:val="002B3EE5"/>
    <w:rsid w:val="002B4007"/>
    <w:rsid w:val="002B4603"/>
    <w:rsid w:val="002B600B"/>
    <w:rsid w:val="002B6C46"/>
    <w:rsid w:val="002B6C8F"/>
    <w:rsid w:val="002B6D1A"/>
    <w:rsid w:val="002B6FBB"/>
    <w:rsid w:val="002B749D"/>
    <w:rsid w:val="002B78CF"/>
    <w:rsid w:val="002B7AAC"/>
    <w:rsid w:val="002C0171"/>
    <w:rsid w:val="002C0CB8"/>
    <w:rsid w:val="002C1D51"/>
    <w:rsid w:val="002C24AB"/>
    <w:rsid w:val="002C2CE2"/>
    <w:rsid w:val="002C311E"/>
    <w:rsid w:val="002C32B2"/>
    <w:rsid w:val="002C5163"/>
    <w:rsid w:val="002C520D"/>
    <w:rsid w:val="002C5266"/>
    <w:rsid w:val="002C5B9F"/>
    <w:rsid w:val="002C5EDF"/>
    <w:rsid w:val="002C7454"/>
    <w:rsid w:val="002C74CE"/>
    <w:rsid w:val="002C75F1"/>
    <w:rsid w:val="002C7D63"/>
    <w:rsid w:val="002D00CF"/>
    <w:rsid w:val="002D07DA"/>
    <w:rsid w:val="002D14F3"/>
    <w:rsid w:val="002D15BD"/>
    <w:rsid w:val="002D314A"/>
    <w:rsid w:val="002D3DE2"/>
    <w:rsid w:val="002D4174"/>
    <w:rsid w:val="002D457A"/>
    <w:rsid w:val="002D4E15"/>
    <w:rsid w:val="002D4E5B"/>
    <w:rsid w:val="002D4EC7"/>
    <w:rsid w:val="002D4F51"/>
    <w:rsid w:val="002D509E"/>
    <w:rsid w:val="002D50BF"/>
    <w:rsid w:val="002D56F9"/>
    <w:rsid w:val="002D638C"/>
    <w:rsid w:val="002D6864"/>
    <w:rsid w:val="002D69A7"/>
    <w:rsid w:val="002D6C57"/>
    <w:rsid w:val="002D79FE"/>
    <w:rsid w:val="002D7BB2"/>
    <w:rsid w:val="002D7C5C"/>
    <w:rsid w:val="002D7D83"/>
    <w:rsid w:val="002E0040"/>
    <w:rsid w:val="002E032D"/>
    <w:rsid w:val="002E079B"/>
    <w:rsid w:val="002E0F20"/>
    <w:rsid w:val="002E1239"/>
    <w:rsid w:val="002E1A95"/>
    <w:rsid w:val="002E1AD5"/>
    <w:rsid w:val="002E1C5E"/>
    <w:rsid w:val="002E20E4"/>
    <w:rsid w:val="002E270A"/>
    <w:rsid w:val="002E3014"/>
    <w:rsid w:val="002E33A3"/>
    <w:rsid w:val="002E347A"/>
    <w:rsid w:val="002E367A"/>
    <w:rsid w:val="002E3BBA"/>
    <w:rsid w:val="002E4027"/>
    <w:rsid w:val="002E4436"/>
    <w:rsid w:val="002E54C9"/>
    <w:rsid w:val="002E5D07"/>
    <w:rsid w:val="002E640D"/>
    <w:rsid w:val="002E66D9"/>
    <w:rsid w:val="002E69CF"/>
    <w:rsid w:val="002E6D07"/>
    <w:rsid w:val="002E6F4C"/>
    <w:rsid w:val="002E7633"/>
    <w:rsid w:val="002F09D5"/>
    <w:rsid w:val="002F1A44"/>
    <w:rsid w:val="002F27EE"/>
    <w:rsid w:val="002F3332"/>
    <w:rsid w:val="002F39D8"/>
    <w:rsid w:val="002F40D3"/>
    <w:rsid w:val="002F4159"/>
    <w:rsid w:val="002F437D"/>
    <w:rsid w:val="002F4CBF"/>
    <w:rsid w:val="002F4E38"/>
    <w:rsid w:val="002F520C"/>
    <w:rsid w:val="002F54E4"/>
    <w:rsid w:val="002F58DD"/>
    <w:rsid w:val="002F6158"/>
    <w:rsid w:val="002F7CA0"/>
    <w:rsid w:val="002F7E8E"/>
    <w:rsid w:val="003004B4"/>
    <w:rsid w:val="003011D6"/>
    <w:rsid w:val="00301D8C"/>
    <w:rsid w:val="0030256F"/>
    <w:rsid w:val="0030294F"/>
    <w:rsid w:val="00302F6E"/>
    <w:rsid w:val="0030339D"/>
    <w:rsid w:val="00303704"/>
    <w:rsid w:val="00303843"/>
    <w:rsid w:val="00303933"/>
    <w:rsid w:val="00305675"/>
    <w:rsid w:val="0030653D"/>
    <w:rsid w:val="003065D8"/>
    <w:rsid w:val="003068B6"/>
    <w:rsid w:val="00306D28"/>
    <w:rsid w:val="00306DF4"/>
    <w:rsid w:val="0030723F"/>
    <w:rsid w:val="003076FD"/>
    <w:rsid w:val="00310004"/>
    <w:rsid w:val="0031067B"/>
    <w:rsid w:val="00311505"/>
    <w:rsid w:val="0031159B"/>
    <w:rsid w:val="0031163D"/>
    <w:rsid w:val="00311E8F"/>
    <w:rsid w:val="003126D3"/>
    <w:rsid w:val="00312ED0"/>
    <w:rsid w:val="003132CA"/>
    <w:rsid w:val="00313861"/>
    <w:rsid w:val="00313D27"/>
    <w:rsid w:val="00314E7A"/>
    <w:rsid w:val="003150B6"/>
    <w:rsid w:val="003154AF"/>
    <w:rsid w:val="003155F3"/>
    <w:rsid w:val="003157BC"/>
    <w:rsid w:val="003159C4"/>
    <w:rsid w:val="00315A26"/>
    <w:rsid w:val="00315C37"/>
    <w:rsid w:val="00315C50"/>
    <w:rsid w:val="00316085"/>
    <w:rsid w:val="0031617B"/>
    <w:rsid w:val="00316D45"/>
    <w:rsid w:val="003172F4"/>
    <w:rsid w:val="00317A9A"/>
    <w:rsid w:val="00317B4C"/>
    <w:rsid w:val="00317B71"/>
    <w:rsid w:val="00317C1D"/>
    <w:rsid w:val="00317F31"/>
    <w:rsid w:val="00320021"/>
    <w:rsid w:val="003209F6"/>
    <w:rsid w:val="0032109A"/>
    <w:rsid w:val="003214C3"/>
    <w:rsid w:val="00322000"/>
    <w:rsid w:val="003222AB"/>
    <w:rsid w:val="00322656"/>
    <w:rsid w:val="00322B10"/>
    <w:rsid w:val="003232FE"/>
    <w:rsid w:val="00323359"/>
    <w:rsid w:val="00323448"/>
    <w:rsid w:val="0032365D"/>
    <w:rsid w:val="00323A0F"/>
    <w:rsid w:val="00323E23"/>
    <w:rsid w:val="00323F9C"/>
    <w:rsid w:val="00324342"/>
    <w:rsid w:val="00324AC9"/>
    <w:rsid w:val="00324EAB"/>
    <w:rsid w:val="00325FAB"/>
    <w:rsid w:val="00326364"/>
    <w:rsid w:val="00326554"/>
    <w:rsid w:val="00326B7E"/>
    <w:rsid w:val="00326D00"/>
    <w:rsid w:val="00326EC0"/>
    <w:rsid w:val="00327168"/>
    <w:rsid w:val="003275E7"/>
    <w:rsid w:val="003275EC"/>
    <w:rsid w:val="0032780E"/>
    <w:rsid w:val="00330259"/>
    <w:rsid w:val="00330811"/>
    <w:rsid w:val="00330E6A"/>
    <w:rsid w:val="0033131D"/>
    <w:rsid w:val="00331792"/>
    <w:rsid w:val="00331919"/>
    <w:rsid w:val="003319A3"/>
    <w:rsid w:val="00331B8B"/>
    <w:rsid w:val="0033217A"/>
    <w:rsid w:val="00332AE4"/>
    <w:rsid w:val="00332BA0"/>
    <w:rsid w:val="00332CEA"/>
    <w:rsid w:val="003331E2"/>
    <w:rsid w:val="00333C97"/>
    <w:rsid w:val="00334088"/>
    <w:rsid w:val="00334829"/>
    <w:rsid w:val="0033525A"/>
    <w:rsid w:val="003365EA"/>
    <w:rsid w:val="00336808"/>
    <w:rsid w:val="00337508"/>
    <w:rsid w:val="00337623"/>
    <w:rsid w:val="00341224"/>
    <w:rsid w:val="00341269"/>
    <w:rsid w:val="00341EE6"/>
    <w:rsid w:val="00341FEC"/>
    <w:rsid w:val="0034205C"/>
    <w:rsid w:val="0034229E"/>
    <w:rsid w:val="0034275F"/>
    <w:rsid w:val="0034340F"/>
    <w:rsid w:val="00344278"/>
    <w:rsid w:val="0034467A"/>
    <w:rsid w:val="003449B2"/>
    <w:rsid w:val="00344A8E"/>
    <w:rsid w:val="0034500F"/>
    <w:rsid w:val="003457AC"/>
    <w:rsid w:val="00347853"/>
    <w:rsid w:val="0035051F"/>
    <w:rsid w:val="00350E16"/>
    <w:rsid w:val="00351E3D"/>
    <w:rsid w:val="003521BB"/>
    <w:rsid w:val="003533D0"/>
    <w:rsid w:val="00353695"/>
    <w:rsid w:val="00353908"/>
    <w:rsid w:val="003540D9"/>
    <w:rsid w:val="003549E8"/>
    <w:rsid w:val="0035531E"/>
    <w:rsid w:val="00355426"/>
    <w:rsid w:val="0035544B"/>
    <w:rsid w:val="00356674"/>
    <w:rsid w:val="00356752"/>
    <w:rsid w:val="00357B68"/>
    <w:rsid w:val="00360064"/>
    <w:rsid w:val="00360C30"/>
    <w:rsid w:val="00362702"/>
    <w:rsid w:val="00362FF1"/>
    <w:rsid w:val="003632BC"/>
    <w:rsid w:val="00364CC2"/>
    <w:rsid w:val="00364E3D"/>
    <w:rsid w:val="00364E57"/>
    <w:rsid w:val="0036558E"/>
    <w:rsid w:val="00365711"/>
    <w:rsid w:val="00365F3A"/>
    <w:rsid w:val="0036672E"/>
    <w:rsid w:val="00366FB2"/>
    <w:rsid w:val="00367341"/>
    <w:rsid w:val="003674CE"/>
    <w:rsid w:val="00367BDD"/>
    <w:rsid w:val="00367C23"/>
    <w:rsid w:val="00367CB8"/>
    <w:rsid w:val="003706C5"/>
    <w:rsid w:val="00370C91"/>
    <w:rsid w:val="00370FF1"/>
    <w:rsid w:val="00371309"/>
    <w:rsid w:val="0037187E"/>
    <w:rsid w:val="00372552"/>
    <w:rsid w:val="003737D2"/>
    <w:rsid w:val="00373BD9"/>
    <w:rsid w:val="00374357"/>
    <w:rsid w:val="00374594"/>
    <w:rsid w:val="00374AD8"/>
    <w:rsid w:val="003753C3"/>
    <w:rsid w:val="00375B44"/>
    <w:rsid w:val="00375C48"/>
    <w:rsid w:val="003778FB"/>
    <w:rsid w:val="00380E93"/>
    <w:rsid w:val="00380FC1"/>
    <w:rsid w:val="00381902"/>
    <w:rsid w:val="00381CE8"/>
    <w:rsid w:val="00381EE9"/>
    <w:rsid w:val="00382708"/>
    <w:rsid w:val="00382B9F"/>
    <w:rsid w:val="003832DE"/>
    <w:rsid w:val="0038381B"/>
    <w:rsid w:val="00383A71"/>
    <w:rsid w:val="0038448E"/>
    <w:rsid w:val="00384D3D"/>
    <w:rsid w:val="003879E5"/>
    <w:rsid w:val="00390C63"/>
    <w:rsid w:val="00391122"/>
    <w:rsid w:val="00391127"/>
    <w:rsid w:val="0039162F"/>
    <w:rsid w:val="00391853"/>
    <w:rsid w:val="00391D4F"/>
    <w:rsid w:val="00391FB7"/>
    <w:rsid w:val="0039329C"/>
    <w:rsid w:val="00393310"/>
    <w:rsid w:val="003933CB"/>
    <w:rsid w:val="00393ABF"/>
    <w:rsid w:val="00393ED5"/>
    <w:rsid w:val="0039422B"/>
    <w:rsid w:val="00394CAD"/>
    <w:rsid w:val="00394E8F"/>
    <w:rsid w:val="00395A62"/>
    <w:rsid w:val="00397DF5"/>
    <w:rsid w:val="00397E40"/>
    <w:rsid w:val="003A07BF"/>
    <w:rsid w:val="003A1752"/>
    <w:rsid w:val="003A2762"/>
    <w:rsid w:val="003A2D44"/>
    <w:rsid w:val="003A38E1"/>
    <w:rsid w:val="003A4816"/>
    <w:rsid w:val="003A4C44"/>
    <w:rsid w:val="003A4CCF"/>
    <w:rsid w:val="003A5465"/>
    <w:rsid w:val="003A6002"/>
    <w:rsid w:val="003A61C7"/>
    <w:rsid w:val="003A620E"/>
    <w:rsid w:val="003A64F3"/>
    <w:rsid w:val="003A702E"/>
    <w:rsid w:val="003B03A1"/>
    <w:rsid w:val="003B0B26"/>
    <w:rsid w:val="003B1AED"/>
    <w:rsid w:val="003B22B7"/>
    <w:rsid w:val="003B2372"/>
    <w:rsid w:val="003B2509"/>
    <w:rsid w:val="003B258C"/>
    <w:rsid w:val="003B2884"/>
    <w:rsid w:val="003B29EC"/>
    <w:rsid w:val="003B365F"/>
    <w:rsid w:val="003B3EBB"/>
    <w:rsid w:val="003B3F89"/>
    <w:rsid w:val="003B4288"/>
    <w:rsid w:val="003B433C"/>
    <w:rsid w:val="003B4F2B"/>
    <w:rsid w:val="003B4F83"/>
    <w:rsid w:val="003B57EB"/>
    <w:rsid w:val="003B5F5A"/>
    <w:rsid w:val="003B5FC7"/>
    <w:rsid w:val="003B60F5"/>
    <w:rsid w:val="003B6613"/>
    <w:rsid w:val="003B69F1"/>
    <w:rsid w:val="003B7B35"/>
    <w:rsid w:val="003B7BD0"/>
    <w:rsid w:val="003B7C23"/>
    <w:rsid w:val="003B7E58"/>
    <w:rsid w:val="003C0CC3"/>
    <w:rsid w:val="003C1F74"/>
    <w:rsid w:val="003C2993"/>
    <w:rsid w:val="003C29CF"/>
    <w:rsid w:val="003C2C21"/>
    <w:rsid w:val="003C2E84"/>
    <w:rsid w:val="003C30DE"/>
    <w:rsid w:val="003C3153"/>
    <w:rsid w:val="003C3192"/>
    <w:rsid w:val="003C3314"/>
    <w:rsid w:val="003C36D1"/>
    <w:rsid w:val="003C3A00"/>
    <w:rsid w:val="003C3B45"/>
    <w:rsid w:val="003C3E23"/>
    <w:rsid w:val="003C44E9"/>
    <w:rsid w:val="003C4525"/>
    <w:rsid w:val="003C45F1"/>
    <w:rsid w:val="003C5D4A"/>
    <w:rsid w:val="003C6618"/>
    <w:rsid w:val="003C79F8"/>
    <w:rsid w:val="003C7C0F"/>
    <w:rsid w:val="003D2812"/>
    <w:rsid w:val="003D36BD"/>
    <w:rsid w:val="003D36D9"/>
    <w:rsid w:val="003D3701"/>
    <w:rsid w:val="003D3C56"/>
    <w:rsid w:val="003D3E0E"/>
    <w:rsid w:val="003D547D"/>
    <w:rsid w:val="003D5A32"/>
    <w:rsid w:val="003D5FDD"/>
    <w:rsid w:val="003D6180"/>
    <w:rsid w:val="003D6642"/>
    <w:rsid w:val="003D6CF2"/>
    <w:rsid w:val="003D701E"/>
    <w:rsid w:val="003D732D"/>
    <w:rsid w:val="003D796A"/>
    <w:rsid w:val="003E0F40"/>
    <w:rsid w:val="003E11F5"/>
    <w:rsid w:val="003E1789"/>
    <w:rsid w:val="003E18C5"/>
    <w:rsid w:val="003E34F1"/>
    <w:rsid w:val="003E4664"/>
    <w:rsid w:val="003E474E"/>
    <w:rsid w:val="003E48C6"/>
    <w:rsid w:val="003E4F21"/>
    <w:rsid w:val="003E52DC"/>
    <w:rsid w:val="003E6676"/>
    <w:rsid w:val="003E669D"/>
    <w:rsid w:val="003E6FA7"/>
    <w:rsid w:val="003E7055"/>
    <w:rsid w:val="003E73E6"/>
    <w:rsid w:val="003E76F6"/>
    <w:rsid w:val="003F0580"/>
    <w:rsid w:val="003F08FE"/>
    <w:rsid w:val="003F0ED6"/>
    <w:rsid w:val="003F1206"/>
    <w:rsid w:val="003F13E4"/>
    <w:rsid w:val="003F1584"/>
    <w:rsid w:val="003F1AAE"/>
    <w:rsid w:val="003F1DCB"/>
    <w:rsid w:val="003F2E09"/>
    <w:rsid w:val="003F3167"/>
    <w:rsid w:val="003F376F"/>
    <w:rsid w:val="003F4F00"/>
    <w:rsid w:val="003F503D"/>
    <w:rsid w:val="003F5171"/>
    <w:rsid w:val="003F5DEF"/>
    <w:rsid w:val="003F611E"/>
    <w:rsid w:val="003F6675"/>
    <w:rsid w:val="003F66DA"/>
    <w:rsid w:val="003F6C1D"/>
    <w:rsid w:val="003F6CCB"/>
    <w:rsid w:val="003F733A"/>
    <w:rsid w:val="003F75AD"/>
    <w:rsid w:val="003F761A"/>
    <w:rsid w:val="003F767F"/>
    <w:rsid w:val="00400BB9"/>
    <w:rsid w:val="00401F0D"/>
    <w:rsid w:val="004027CC"/>
    <w:rsid w:val="004036BB"/>
    <w:rsid w:val="00403F81"/>
    <w:rsid w:val="004045FB"/>
    <w:rsid w:val="00404EF3"/>
    <w:rsid w:val="004056F7"/>
    <w:rsid w:val="0040586C"/>
    <w:rsid w:val="00406402"/>
    <w:rsid w:val="00407352"/>
    <w:rsid w:val="0040765C"/>
    <w:rsid w:val="00407CDB"/>
    <w:rsid w:val="00407E08"/>
    <w:rsid w:val="00410DC9"/>
    <w:rsid w:val="004111B9"/>
    <w:rsid w:val="00412DF4"/>
    <w:rsid w:val="004135A9"/>
    <w:rsid w:val="00413B03"/>
    <w:rsid w:val="0041402C"/>
    <w:rsid w:val="004145C6"/>
    <w:rsid w:val="00416792"/>
    <w:rsid w:val="004167CB"/>
    <w:rsid w:val="00417748"/>
    <w:rsid w:val="00417C19"/>
    <w:rsid w:val="00420BB6"/>
    <w:rsid w:val="0042138D"/>
    <w:rsid w:val="00421646"/>
    <w:rsid w:val="004216A4"/>
    <w:rsid w:val="00421F72"/>
    <w:rsid w:val="004221CC"/>
    <w:rsid w:val="00422453"/>
    <w:rsid w:val="0042300A"/>
    <w:rsid w:val="0042316A"/>
    <w:rsid w:val="004231F2"/>
    <w:rsid w:val="004235C0"/>
    <w:rsid w:val="00423F9F"/>
    <w:rsid w:val="004240EE"/>
    <w:rsid w:val="004259B5"/>
    <w:rsid w:val="004270F3"/>
    <w:rsid w:val="0042768D"/>
    <w:rsid w:val="004277C4"/>
    <w:rsid w:val="004300D1"/>
    <w:rsid w:val="004301AB"/>
    <w:rsid w:val="00430383"/>
    <w:rsid w:val="00430B50"/>
    <w:rsid w:val="00430F31"/>
    <w:rsid w:val="004310BE"/>
    <w:rsid w:val="004316C2"/>
    <w:rsid w:val="00431AB2"/>
    <w:rsid w:val="00432167"/>
    <w:rsid w:val="00433AD7"/>
    <w:rsid w:val="00433D86"/>
    <w:rsid w:val="004340B1"/>
    <w:rsid w:val="004341AF"/>
    <w:rsid w:val="00434239"/>
    <w:rsid w:val="004342E3"/>
    <w:rsid w:val="00434E89"/>
    <w:rsid w:val="00435080"/>
    <w:rsid w:val="0043542A"/>
    <w:rsid w:val="004359EE"/>
    <w:rsid w:val="00435A54"/>
    <w:rsid w:val="00436A43"/>
    <w:rsid w:val="00436BEB"/>
    <w:rsid w:val="0043704B"/>
    <w:rsid w:val="00437279"/>
    <w:rsid w:val="004377B1"/>
    <w:rsid w:val="00437C41"/>
    <w:rsid w:val="00440188"/>
    <w:rsid w:val="0044063B"/>
    <w:rsid w:val="00440680"/>
    <w:rsid w:val="00440789"/>
    <w:rsid w:val="004410A6"/>
    <w:rsid w:val="004410D5"/>
    <w:rsid w:val="004422F1"/>
    <w:rsid w:val="00442658"/>
    <w:rsid w:val="004427AB"/>
    <w:rsid w:val="004427DA"/>
    <w:rsid w:val="0044289C"/>
    <w:rsid w:val="00442943"/>
    <w:rsid w:val="00442EE4"/>
    <w:rsid w:val="004433BC"/>
    <w:rsid w:val="0044414A"/>
    <w:rsid w:val="0044426A"/>
    <w:rsid w:val="0044447A"/>
    <w:rsid w:val="00444FF7"/>
    <w:rsid w:val="004450EA"/>
    <w:rsid w:val="004458AF"/>
    <w:rsid w:val="004463DE"/>
    <w:rsid w:val="00446D45"/>
    <w:rsid w:val="00446F28"/>
    <w:rsid w:val="00447437"/>
    <w:rsid w:val="00447A82"/>
    <w:rsid w:val="00450565"/>
    <w:rsid w:val="00451039"/>
    <w:rsid w:val="004520CF"/>
    <w:rsid w:val="004521B6"/>
    <w:rsid w:val="00453C6B"/>
    <w:rsid w:val="00455411"/>
    <w:rsid w:val="004557B3"/>
    <w:rsid w:val="004564D4"/>
    <w:rsid w:val="0045655E"/>
    <w:rsid w:val="00457070"/>
    <w:rsid w:val="004573D9"/>
    <w:rsid w:val="00457455"/>
    <w:rsid w:val="00460068"/>
    <w:rsid w:val="004601EE"/>
    <w:rsid w:val="004602C6"/>
    <w:rsid w:val="00460923"/>
    <w:rsid w:val="0046186A"/>
    <w:rsid w:val="004621C5"/>
    <w:rsid w:val="00462C6B"/>
    <w:rsid w:val="00462EFF"/>
    <w:rsid w:val="00462FF7"/>
    <w:rsid w:val="00463377"/>
    <w:rsid w:val="00463CB8"/>
    <w:rsid w:val="00463F31"/>
    <w:rsid w:val="00464C97"/>
    <w:rsid w:val="004650CF"/>
    <w:rsid w:val="00465965"/>
    <w:rsid w:val="00466388"/>
    <w:rsid w:val="004667FF"/>
    <w:rsid w:val="00467AC6"/>
    <w:rsid w:val="00467CE9"/>
    <w:rsid w:val="004706F4"/>
    <w:rsid w:val="00470730"/>
    <w:rsid w:val="00470BE9"/>
    <w:rsid w:val="0047175A"/>
    <w:rsid w:val="00472394"/>
    <w:rsid w:val="0047288F"/>
    <w:rsid w:val="00473C07"/>
    <w:rsid w:val="0047417B"/>
    <w:rsid w:val="004749D2"/>
    <w:rsid w:val="00475129"/>
    <w:rsid w:val="00476231"/>
    <w:rsid w:val="0047643B"/>
    <w:rsid w:val="0047645D"/>
    <w:rsid w:val="00476CD4"/>
    <w:rsid w:val="004776B6"/>
    <w:rsid w:val="00480953"/>
    <w:rsid w:val="00480B21"/>
    <w:rsid w:val="00481B15"/>
    <w:rsid w:val="00481F77"/>
    <w:rsid w:val="004828CA"/>
    <w:rsid w:val="00483BBF"/>
    <w:rsid w:val="00483C54"/>
    <w:rsid w:val="00483D5C"/>
    <w:rsid w:val="004842D8"/>
    <w:rsid w:val="0048457A"/>
    <w:rsid w:val="004846D8"/>
    <w:rsid w:val="00484A05"/>
    <w:rsid w:val="004858B6"/>
    <w:rsid w:val="00486318"/>
    <w:rsid w:val="00486380"/>
    <w:rsid w:val="00486507"/>
    <w:rsid w:val="004866A7"/>
    <w:rsid w:val="00486A9E"/>
    <w:rsid w:val="00486C9E"/>
    <w:rsid w:val="004871F0"/>
    <w:rsid w:val="0048723B"/>
    <w:rsid w:val="00487C8A"/>
    <w:rsid w:val="00487DC1"/>
    <w:rsid w:val="00490094"/>
    <w:rsid w:val="0049018E"/>
    <w:rsid w:val="00490277"/>
    <w:rsid w:val="00490803"/>
    <w:rsid w:val="00490B36"/>
    <w:rsid w:val="00490FAA"/>
    <w:rsid w:val="004915A2"/>
    <w:rsid w:val="004923FA"/>
    <w:rsid w:val="00493E8A"/>
    <w:rsid w:val="00494A66"/>
    <w:rsid w:val="0049518F"/>
    <w:rsid w:val="00495B0A"/>
    <w:rsid w:val="0049738B"/>
    <w:rsid w:val="004976C3"/>
    <w:rsid w:val="00497A40"/>
    <w:rsid w:val="004A0F65"/>
    <w:rsid w:val="004A12DE"/>
    <w:rsid w:val="004A13F6"/>
    <w:rsid w:val="004A215A"/>
    <w:rsid w:val="004A24B3"/>
    <w:rsid w:val="004A29FC"/>
    <w:rsid w:val="004A2CF2"/>
    <w:rsid w:val="004A2CF4"/>
    <w:rsid w:val="004A33B1"/>
    <w:rsid w:val="004A4221"/>
    <w:rsid w:val="004A4293"/>
    <w:rsid w:val="004A4665"/>
    <w:rsid w:val="004A4987"/>
    <w:rsid w:val="004A53A9"/>
    <w:rsid w:val="004A5901"/>
    <w:rsid w:val="004A5FEB"/>
    <w:rsid w:val="004A67F9"/>
    <w:rsid w:val="004A6DDF"/>
    <w:rsid w:val="004A7D2E"/>
    <w:rsid w:val="004B00B5"/>
    <w:rsid w:val="004B048A"/>
    <w:rsid w:val="004B0A03"/>
    <w:rsid w:val="004B0F0D"/>
    <w:rsid w:val="004B0F42"/>
    <w:rsid w:val="004B10F5"/>
    <w:rsid w:val="004B2A89"/>
    <w:rsid w:val="004B2BFC"/>
    <w:rsid w:val="004B2D72"/>
    <w:rsid w:val="004B32E1"/>
    <w:rsid w:val="004B40C4"/>
    <w:rsid w:val="004B5F6F"/>
    <w:rsid w:val="004B6C92"/>
    <w:rsid w:val="004B7345"/>
    <w:rsid w:val="004C00BB"/>
    <w:rsid w:val="004C1063"/>
    <w:rsid w:val="004C1243"/>
    <w:rsid w:val="004C129A"/>
    <w:rsid w:val="004C2243"/>
    <w:rsid w:val="004C24C0"/>
    <w:rsid w:val="004C275E"/>
    <w:rsid w:val="004C279F"/>
    <w:rsid w:val="004C2CE3"/>
    <w:rsid w:val="004C31A0"/>
    <w:rsid w:val="004C31E0"/>
    <w:rsid w:val="004C31F2"/>
    <w:rsid w:val="004C33BA"/>
    <w:rsid w:val="004C33F0"/>
    <w:rsid w:val="004C35B9"/>
    <w:rsid w:val="004C3BF8"/>
    <w:rsid w:val="004C3F59"/>
    <w:rsid w:val="004C43BF"/>
    <w:rsid w:val="004C46D2"/>
    <w:rsid w:val="004C4DD9"/>
    <w:rsid w:val="004C51AB"/>
    <w:rsid w:val="004C56A5"/>
    <w:rsid w:val="004C5A99"/>
    <w:rsid w:val="004C5F2B"/>
    <w:rsid w:val="004C6160"/>
    <w:rsid w:val="004C65DC"/>
    <w:rsid w:val="004C7119"/>
    <w:rsid w:val="004C7192"/>
    <w:rsid w:val="004C731B"/>
    <w:rsid w:val="004C7F53"/>
    <w:rsid w:val="004D0FF5"/>
    <w:rsid w:val="004D121E"/>
    <w:rsid w:val="004D14E8"/>
    <w:rsid w:val="004D1F52"/>
    <w:rsid w:val="004D25CA"/>
    <w:rsid w:val="004D2F09"/>
    <w:rsid w:val="004D2F24"/>
    <w:rsid w:val="004D2F2F"/>
    <w:rsid w:val="004D3635"/>
    <w:rsid w:val="004D3BDA"/>
    <w:rsid w:val="004D4570"/>
    <w:rsid w:val="004D4A2C"/>
    <w:rsid w:val="004D4A9D"/>
    <w:rsid w:val="004D4E87"/>
    <w:rsid w:val="004D5AEC"/>
    <w:rsid w:val="004D5D6A"/>
    <w:rsid w:val="004D60B2"/>
    <w:rsid w:val="004D60C5"/>
    <w:rsid w:val="004D6262"/>
    <w:rsid w:val="004D70F2"/>
    <w:rsid w:val="004D7C4D"/>
    <w:rsid w:val="004D7D61"/>
    <w:rsid w:val="004E04B6"/>
    <w:rsid w:val="004E06D3"/>
    <w:rsid w:val="004E17E0"/>
    <w:rsid w:val="004E1BF3"/>
    <w:rsid w:val="004E1E9A"/>
    <w:rsid w:val="004E23F0"/>
    <w:rsid w:val="004E25F7"/>
    <w:rsid w:val="004E2C6D"/>
    <w:rsid w:val="004E2D9C"/>
    <w:rsid w:val="004E4E6E"/>
    <w:rsid w:val="004E5112"/>
    <w:rsid w:val="004E5C22"/>
    <w:rsid w:val="004E6EB7"/>
    <w:rsid w:val="004F08A2"/>
    <w:rsid w:val="004F0AAC"/>
    <w:rsid w:val="004F2CA5"/>
    <w:rsid w:val="004F390F"/>
    <w:rsid w:val="004F3A82"/>
    <w:rsid w:val="004F3C82"/>
    <w:rsid w:val="004F444F"/>
    <w:rsid w:val="004F4AB7"/>
    <w:rsid w:val="004F4B19"/>
    <w:rsid w:val="004F4C39"/>
    <w:rsid w:val="004F5103"/>
    <w:rsid w:val="004F55D7"/>
    <w:rsid w:val="004F5A21"/>
    <w:rsid w:val="004F5E16"/>
    <w:rsid w:val="004F70A3"/>
    <w:rsid w:val="00500117"/>
    <w:rsid w:val="0050169D"/>
    <w:rsid w:val="005018DA"/>
    <w:rsid w:val="00501A6F"/>
    <w:rsid w:val="00502B32"/>
    <w:rsid w:val="005031B8"/>
    <w:rsid w:val="005036DD"/>
    <w:rsid w:val="00504B62"/>
    <w:rsid w:val="00504CA2"/>
    <w:rsid w:val="00504EB6"/>
    <w:rsid w:val="00504F64"/>
    <w:rsid w:val="00505879"/>
    <w:rsid w:val="00506014"/>
    <w:rsid w:val="0050607D"/>
    <w:rsid w:val="00506281"/>
    <w:rsid w:val="0050648F"/>
    <w:rsid w:val="005074FC"/>
    <w:rsid w:val="0051008E"/>
    <w:rsid w:val="00510476"/>
    <w:rsid w:val="00510537"/>
    <w:rsid w:val="00510D0C"/>
    <w:rsid w:val="005118F9"/>
    <w:rsid w:val="00511BCD"/>
    <w:rsid w:val="00511D31"/>
    <w:rsid w:val="00513425"/>
    <w:rsid w:val="0051486D"/>
    <w:rsid w:val="005149AF"/>
    <w:rsid w:val="00514EE8"/>
    <w:rsid w:val="00515295"/>
    <w:rsid w:val="00515833"/>
    <w:rsid w:val="00515DBA"/>
    <w:rsid w:val="005163A0"/>
    <w:rsid w:val="005163F3"/>
    <w:rsid w:val="0051643C"/>
    <w:rsid w:val="00516D60"/>
    <w:rsid w:val="005179EF"/>
    <w:rsid w:val="00521135"/>
    <w:rsid w:val="00521554"/>
    <w:rsid w:val="00521667"/>
    <w:rsid w:val="0052170F"/>
    <w:rsid w:val="0052197D"/>
    <w:rsid w:val="00521FE8"/>
    <w:rsid w:val="0052206A"/>
    <w:rsid w:val="0052212E"/>
    <w:rsid w:val="005222AB"/>
    <w:rsid w:val="00522FC2"/>
    <w:rsid w:val="005235C2"/>
    <w:rsid w:val="00524945"/>
    <w:rsid w:val="005272EB"/>
    <w:rsid w:val="00527686"/>
    <w:rsid w:val="005279F3"/>
    <w:rsid w:val="00527CED"/>
    <w:rsid w:val="00527D4F"/>
    <w:rsid w:val="00527F6F"/>
    <w:rsid w:val="00530139"/>
    <w:rsid w:val="0053125A"/>
    <w:rsid w:val="005315FB"/>
    <w:rsid w:val="0053209A"/>
    <w:rsid w:val="0053272A"/>
    <w:rsid w:val="00533545"/>
    <w:rsid w:val="005342F1"/>
    <w:rsid w:val="005343DC"/>
    <w:rsid w:val="005346E4"/>
    <w:rsid w:val="005346E8"/>
    <w:rsid w:val="00534CEA"/>
    <w:rsid w:val="00534DC6"/>
    <w:rsid w:val="00535075"/>
    <w:rsid w:val="0053595A"/>
    <w:rsid w:val="00535C6B"/>
    <w:rsid w:val="0053622E"/>
    <w:rsid w:val="005363B6"/>
    <w:rsid w:val="005368AC"/>
    <w:rsid w:val="00536E0A"/>
    <w:rsid w:val="00537B02"/>
    <w:rsid w:val="005401BB"/>
    <w:rsid w:val="00540538"/>
    <w:rsid w:val="005407B5"/>
    <w:rsid w:val="005411F6"/>
    <w:rsid w:val="0054132C"/>
    <w:rsid w:val="00542C17"/>
    <w:rsid w:val="005430F3"/>
    <w:rsid w:val="005437F5"/>
    <w:rsid w:val="00543936"/>
    <w:rsid w:val="00544BBF"/>
    <w:rsid w:val="00544CE0"/>
    <w:rsid w:val="00545253"/>
    <w:rsid w:val="00545C8A"/>
    <w:rsid w:val="00545F91"/>
    <w:rsid w:val="00546FA5"/>
    <w:rsid w:val="0054752A"/>
    <w:rsid w:val="00547705"/>
    <w:rsid w:val="00551B95"/>
    <w:rsid w:val="005529C7"/>
    <w:rsid w:val="00552A72"/>
    <w:rsid w:val="00552C35"/>
    <w:rsid w:val="00553306"/>
    <w:rsid w:val="00556344"/>
    <w:rsid w:val="0055642A"/>
    <w:rsid w:val="0055667D"/>
    <w:rsid w:val="00560106"/>
    <w:rsid w:val="00560726"/>
    <w:rsid w:val="00560748"/>
    <w:rsid w:val="00560E8B"/>
    <w:rsid w:val="00560F62"/>
    <w:rsid w:val="005614A7"/>
    <w:rsid w:val="0056150C"/>
    <w:rsid w:val="00561748"/>
    <w:rsid w:val="0056175F"/>
    <w:rsid w:val="00562380"/>
    <w:rsid w:val="0056244C"/>
    <w:rsid w:val="00562852"/>
    <w:rsid w:val="005631BB"/>
    <w:rsid w:val="0056372E"/>
    <w:rsid w:val="00564A90"/>
    <w:rsid w:val="00564F0C"/>
    <w:rsid w:val="0056501D"/>
    <w:rsid w:val="00565052"/>
    <w:rsid w:val="00565DBC"/>
    <w:rsid w:val="00566037"/>
    <w:rsid w:val="00566773"/>
    <w:rsid w:val="0056737B"/>
    <w:rsid w:val="00567629"/>
    <w:rsid w:val="005707BE"/>
    <w:rsid w:val="005707D0"/>
    <w:rsid w:val="0057112F"/>
    <w:rsid w:val="0057215D"/>
    <w:rsid w:val="0057253A"/>
    <w:rsid w:val="00572AD2"/>
    <w:rsid w:val="00575414"/>
    <w:rsid w:val="005758B9"/>
    <w:rsid w:val="00575CD2"/>
    <w:rsid w:val="00575DAB"/>
    <w:rsid w:val="0057699D"/>
    <w:rsid w:val="005775AA"/>
    <w:rsid w:val="00580155"/>
    <w:rsid w:val="00580464"/>
    <w:rsid w:val="00580871"/>
    <w:rsid w:val="005809D5"/>
    <w:rsid w:val="00581213"/>
    <w:rsid w:val="005821CB"/>
    <w:rsid w:val="00582220"/>
    <w:rsid w:val="005831DA"/>
    <w:rsid w:val="00583F28"/>
    <w:rsid w:val="005840AB"/>
    <w:rsid w:val="005848A8"/>
    <w:rsid w:val="00584C5E"/>
    <w:rsid w:val="00584FE9"/>
    <w:rsid w:val="0058548E"/>
    <w:rsid w:val="005855BE"/>
    <w:rsid w:val="00585767"/>
    <w:rsid w:val="0058687B"/>
    <w:rsid w:val="0058774F"/>
    <w:rsid w:val="00590EE3"/>
    <w:rsid w:val="00591145"/>
    <w:rsid w:val="005918C4"/>
    <w:rsid w:val="00592A18"/>
    <w:rsid w:val="00592E9D"/>
    <w:rsid w:val="00593C2F"/>
    <w:rsid w:val="00593CE8"/>
    <w:rsid w:val="005948D7"/>
    <w:rsid w:val="00594F62"/>
    <w:rsid w:val="00595605"/>
    <w:rsid w:val="00595621"/>
    <w:rsid w:val="0059576C"/>
    <w:rsid w:val="00596A78"/>
    <w:rsid w:val="00596FBD"/>
    <w:rsid w:val="005975FB"/>
    <w:rsid w:val="00597EE8"/>
    <w:rsid w:val="005A059A"/>
    <w:rsid w:val="005A0CA5"/>
    <w:rsid w:val="005A1FC7"/>
    <w:rsid w:val="005A234B"/>
    <w:rsid w:val="005A2472"/>
    <w:rsid w:val="005A25D5"/>
    <w:rsid w:val="005A2685"/>
    <w:rsid w:val="005A2771"/>
    <w:rsid w:val="005A2E95"/>
    <w:rsid w:val="005A313A"/>
    <w:rsid w:val="005A335F"/>
    <w:rsid w:val="005A52F1"/>
    <w:rsid w:val="005A538C"/>
    <w:rsid w:val="005A578F"/>
    <w:rsid w:val="005A6382"/>
    <w:rsid w:val="005A66C4"/>
    <w:rsid w:val="005A6747"/>
    <w:rsid w:val="005A6F18"/>
    <w:rsid w:val="005A6F92"/>
    <w:rsid w:val="005A7347"/>
    <w:rsid w:val="005A7812"/>
    <w:rsid w:val="005B084C"/>
    <w:rsid w:val="005B1E6A"/>
    <w:rsid w:val="005B1F45"/>
    <w:rsid w:val="005B2968"/>
    <w:rsid w:val="005B2B47"/>
    <w:rsid w:val="005B37FB"/>
    <w:rsid w:val="005B3AB2"/>
    <w:rsid w:val="005B3F91"/>
    <w:rsid w:val="005B5A9A"/>
    <w:rsid w:val="005B651F"/>
    <w:rsid w:val="005B6AFF"/>
    <w:rsid w:val="005B6C6F"/>
    <w:rsid w:val="005B70BA"/>
    <w:rsid w:val="005B73E0"/>
    <w:rsid w:val="005B7B47"/>
    <w:rsid w:val="005C06A6"/>
    <w:rsid w:val="005C100F"/>
    <w:rsid w:val="005C12A3"/>
    <w:rsid w:val="005C1CF4"/>
    <w:rsid w:val="005C314D"/>
    <w:rsid w:val="005C3593"/>
    <w:rsid w:val="005C37A4"/>
    <w:rsid w:val="005C3841"/>
    <w:rsid w:val="005C4AC7"/>
    <w:rsid w:val="005C553A"/>
    <w:rsid w:val="005C596F"/>
    <w:rsid w:val="005C6D8B"/>
    <w:rsid w:val="005C722E"/>
    <w:rsid w:val="005C7C08"/>
    <w:rsid w:val="005C7CD7"/>
    <w:rsid w:val="005C7CF0"/>
    <w:rsid w:val="005D0092"/>
    <w:rsid w:val="005D0533"/>
    <w:rsid w:val="005D0648"/>
    <w:rsid w:val="005D0707"/>
    <w:rsid w:val="005D094F"/>
    <w:rsid w:val="005D1EB0"/>
    <w:rsid w:val="005D2EB0"/>
    <w:rsid w:val="005D34A9"/>
    <w:rsid w:val="005D363F"/>
    <w:rsid w:val="005D3940"/>
    <w:rsid w:val="005D4BBA"/>
    <w:rsid w:val="005D4ED8"/>
    <w:rsid w:val="005D5EA7"/>
    <w:rsid w:val="005D5F69"/>
    <w:rsid w:val="005D659F"/>
    <w:rsid w:val="005D6912"/>
    <w:rsid w:val="005D6AD3"/>
    <w:rsid w:val="005D754F"/>
    <w:rsid w:val="005E1406"/>
    <w:rsid w:val="005E161E"/>
    <w:rsid w:val="005E16A7"/>
    <w:rsid w:val="005E182A"/>
    <w:rsid w:val="005E1A79"/>
    <w:rsid w:val="005E1D72"/>
    <w:rsid w:val="005E2E92"/>
    <w:rsid w:val="005E324B"/>
    <w:rsid w:val="005E3827"/>
    <w:rsid w:val="005E3A18"/>
    <w:rsid w:val="005E4244"/>
    <w:rsid w:val="005E4716"/>
    <w:rsid w:val="005E4937"/>
    <w:rsid w:val="005E4973"/>
    <w:rsid w:val="005E4990"/>
    <w:rsid w:val="005E4FB9"/>
    <w:rsid w:val="005E5E6D"/>
    <w:rsid w:val="005E65CE"/>
    <w:rsid w:val="005E6B7C"/>
    <w:rsid w:val="005E70F5"/>
    <w:rsid w:val="005E79A5"/>
    <w:rsid w:val="005E7B72"/>
    <w:rsid w:val="005F0A13"/>
    <w:rsid w:val="005F15CD"/>
    <w:rsid w:val="005F18A3"/>
    <w:rsid w:val="005F1AFA"/>
    <w:rsid w:val="005F2FD1"/>
    <w:rsid w:val="005F3197"/>
    <w:rsid w:val="005F37F8"/>
    <w:rsid w:val="005F43AC"/>
    <w:rsid w:val="005F4B96"/>
    <w:rsid w:val="005F5102"/>
    <w:rsid w:val="005F60EA"/>
    <w:rsid w:val="005F69B1"/>
    <w:rsid w:val="005F69C6"/>
    <w:rsid w:val="005F7045"/>
    <w:rsid w:val="005F75D0"/>
    <w:rsid w:val="005F76B1"/>
    <w:rsid w:val="005F7C24"/>
    <w:rsid w:val="006003C0"/>
    <w:rsid w:val="00600A37"/>
    <w:rsid w:val="006010C5"/>
    <w:rsid w:val="006016A6"/>
    <w:rsid w:val="0060239B"/>
    <w:rsid w:val="00603874"/>
    <w:rsid w:val="0060397E"/>
    <w:rsid w:val="00604100"/>
    <w:rsid w:val="00604345"/>
    <w:rsid w:val="006043AA"/>
    <w:rsid w:val="00604475"/>
    <w:rsid w:val="00604B65"/>
    <w:rsid w:val="006058BE"/>
    <w:rsid w:val="00605A33"/>
    <w:rsid w:val="00605CB2"/>
    <w:rsid w:val="0060769D"/>
    <w:rsid w:val="00610344"/>
    <w:rsid w:val="00610428"/>
    <w:rsid w:val="006105C4"/>
    <w:rsid w:val="006116FC"/>
    <w:rsid w:val="006124A8"/>
    <w:rsid w:val="00613418"/>
    <w:rsid w:val="0061354B"/>
    <w:rsid w:val="00613ED2"/>
    <w:rsid w:val="0061400E"/>
    <w:rsid w:val="00614947"/>
    <w:rsid w:val="006158B5"/>
    <w:rsid w:val="0061648C"/>
    <w:rsid w:val="00616988"/>
    <w:rsid w:val="00616EE5"/>
    <w:rsid w:val="006174C8"/>
    <w:rsid w:val="00620026"/>
    <w:rsid w:val="0062014F"/>
    <w:rsid w:val="0062132F"/>
    <w:rsid w:val="00621639"/>
    <w:rsid w:val="006217F8"/>
    <w:rsid w:val="00621E94"/>
    <w:rsid w:val="006221B8"/>
    <w:rsid w:val="006227D6"/>
    <w:rsid w:val="00622FCE"/>
    <w:rsid w:val="006232B8"/>
    <w:rsid w:val="00624052"/>
    <w:rsid w:val="006247B2"/>
    <w:rsid w:val="00624B5F"/>
    <w:rsid w:val="00624DA9"/>
    <w:rsid w:val="00625717"/>
    <w:rsid w:val="00625B26"/>
    <w:rsid w:val="00625BC0"/>
    <w:rsid w:val="00625F53"/>
    <w:rsid w:val="00625FB4"/>
    <w:rsid w:val="006263B2"/>
    <w:rsid w:val="006272BD"/>
    <w:rsid w:val="00630147"/>
    <w:rsid w:val="00630BCC"/>
    <w:rsid w:val="00631761"/>
    <w:rsid w:val="00632637"/>
    <w:rsid w:val="00632E25"/>
    <w:rsid w:val="00632F69"/>
    <w:rsid w:val="006338A0"/>
    <w:rsid w:val="00633A7E"/>
    <w:rsid w:val="006341E0"/>
    <w:rsid w:val="006342B1"/>
    <w:rsid w:val="006346AC"/>
    <w:rsid w:val="00634A60"/>
    <w:rsid w:val="00634F75"/>
    <w:rsid w:val="00635506"/>
    <w:rsid w:val="006355E9"/>
    <w:rsid w:val="00635D3C"/>
    <w:rsid w:val="0063729E"/>
    <w:rsid w:val="00637C0F"/>
    <w:rsid w:val="00640858"/>
    <w:rsid w:val="00640B1C"/>
    <w:rsid w:val="00640B3C"/>
    <w:rsid w:val="0064171A"/>
    <w:rsid w:val="00641E02"/>
    <w:rsid w:val="00641E94"/>
    <w:rsid w:val="0064243E"/>
    <w:rsid w:val="006426E7"/>
    <w:rsid w:val="00642C23"/>
    <w:rsid w:val="006433FB"/>
    <w:rsid w:val="00643FCF"/>
    <w:rsid w:val="00644A29"/>
    <w:rsid w:val="0064539D"/>
    <w:rsid w:val="006454BB"/>
    <w:rsid w:val="00645B75"/>
    <w:rsid w:val="00645C9B"/>
    <w:rsid w:val="00646B06"/>
    <w:rsid w:val="00647078"/>
    <w:rsid w:val="00647561"/>
    <w:rsid w:val="00647D54"/>
    <w:rsid w:val="0065029C"/>
    <w:rsid w:val="0065090B"/>
    <w:rsid w:val="00654589"/>
    <w:rsid w:val="00654D99"/>
    <w:rsid w:val="00654E22"/>
    <w:rsid w:val="00655645"/>
    <w:rsid w:val="00655EEC"/>
    <w:rsid w:val="00656352"/>
    <w:rsid w:val="00656628"/>
    <w:rsid w:val="00656854"/>
    <w:rsid w:val="006568AA"/>
    <w:rsid w:val="0065736E"/>
    <w:rsid w:val="00660764"/>
    <w:rsid w:val="00660982"/>
    <w:rsid w:val="00661831"/>
    <w:rsid w:val="00661A40"/>
    <w:rsid w:val="0066207D"/>
    <w:rsid w:val="0066219A"/>
    <w:rsid w:val="00662445"/>
    <w:rsid w:val="00662630"/>
    <w:rsid w:val="0066312E"/>
    <w:rsid w:val="0066354E"/>
    <w:rsid w:val="006644AE"/>
    <w:rsid w:val="00664D7A"/>
    <w:rsid w:val="00664ECB"/>
    <w:rsid w:val="00664FF1"/>
    <w:rsid w:val="0066503B"/>
    <w:rsid w:val="0066505A"/>
    <w:rsid w:val="00665696"/>
    <w:rsid w:val="006659FB"/>
    <w:rsid w:val="00666B3D"/>
    <w:rsid w:val="0066704D"/>
    <w:rsid w:val="006673A1"/>
    <w:rsid w:val="006673BA"/>
    <w:rsid w:val="00667731"/>
    <w:rsid w:val="006677D2"/>
    <w:rsid w:val="006713E5"/>
    <w:rsid w:val="00671CFA"/>
    <w:rsid w:val="00672A90"/>
    <w:rsid w:val="00673E8E"/>
    <w:rsid w:val="00673F93"/>
    <w:rsid w:val="0067432C"/>
    <w:rsid w:val="0067485F"/>
    <w:rsid w:val="00674A83"/>
    <w:rsid w:val="00674C72"/>
    <w:rsid w:val="006753BD"/>
    <w:rsid w:val="00675CA4"/>
    <w:rsid w:val="00675D27"/>
    <w:rsid w:val="006763AE"/>
    <w:rsid w:val="00676EE7"/>
    <w:rsid w:val="006809AE"/>
    <w:rsid w:val="00681773"/>
    <w:rsid w:val="00682638"/>
    <w:rsid w:val="006829A7"/>
    <w:rsid w:val="006829BC"/>
    <w:rsid w:val="00683F2F"/>
    <w:rsid w:val="00684704"/>
    <w:rsid w:val="00685809"/>
    <w:rsid w:val="006859FE"/>
    <w:rsid w:val="00685C18"/>
    <w:rsid w:val="006867B0"/>
    <w:rsid w:val="00687A0A"/>
    <w:rsid w:val="00687AD7"/>
    <w:rsid w:val="00687B29"/>
    <w:rsid w:val="00690C4D"/>
    <w:rsid w:val="00691500"/>
    <w:rsid w:val="006915D6"/>
    <w:rsid w:val="00691B07"/>
    <w:rsid w:val="00691C92"/>
    <w:rsid w:val="00691E14"/>
    <w:rsid w:val="00692822"/>
    <w:rsid w:val="0069288E"/>
    <w:rsid w:val="0069295B"/>
    <w:rsid w:val="006929C0"/>
    <w:rsid w:val="00693058"/>
    <w:rsid w:val="006935EF"/>
    <w:rsid w:val="00693775"/>
    <w:rsid w:val="0069385F"/>
    <w:rsid w:val="00693C85"/>
    <w:rsid w:val="0069405E"/>
    <w:rsid w:val="006951A3"/>
    <w:rsid w:val="00695F6E"/>
    <w:rsid w:val="00696334"/>
    <w:rsid w:val="00696DC4"/>
    <w:rsid w:val="00697223"/>
    <w:rsid w:val="00697F42"/>
    <w:rsid w:val="006A126D"/>
    <w:rsid w:val="006A12D6"/>
    <w:rsid w:val="006A1506"/>
    <w:rsid w:val="006A17CD"/>
    <w:rsid w:val="006A29FE"/>
    <w:rsid w:val="006A2ADF"/>
    <w:rsid w:val="006A2D38"/>
    <w:rsid w:val="006A4ADB"/>
    <w:rsid w:val="006A4BEC"/>
    <w:rsid w:val="006A4F21"/>
    <w:rsid w:val="006A5499"/>
    <w:rsid w:val="006A5888"/>
    <w:rsid w:val="006A5E78"/>
    <w:rsid w:val="006A67AF"/>
    <w:rsid w:val="006A75BA"/>
    <w:rsid w:val="006A77CB"/>
    <w:rsid w:val="006A7977"/>
    <w:rsid w:val="006A7A86"/>
    <w:rsid w:val="006B000E"/>
    <w:rsid w:val="006B02CB"/>
    <w:rsid w:val="006B0408"/>
    <w:rsid w:val="006B041B"/>
    <w:rsid w:val="006B0703"/>
    <w:rsid w:val="006B0A9A"/>
    <w:rsid w:val="006B0AEC"/>
    <w:rsid w:val="006B0EB6"/>
    <w:rsid w:val="006B15F0"/>
    <w:rsid w:val="006B1614"/>
    <w:rsid w:val="006B1E1C"/>
    <w:rsid w:val="006B2A95"/>
    <w:rsid w:val="006B2C8A"/>
    <w:rsid w:val="006B30A9"/>
    <w:rsid w:val="006B3670"/>
    <w:rsid w:val="006B3EEE"/>
    <w:rsid w:val="006B3FDC"/>
    <w:rsid w:val="006B40B6"/>
    <w:rsid w:val="006B49A0"/>
    <w:rsid w:val="006B4EE3"/>
    <w:rsid w:val="006B5699"/>
    <w:rsid w:val="006B5CA8"/>
    <w:rsid w:val="006B65C1"/>
    <w:rsid w:val="006B6BD8"/>
    <w:rsid w:val="006B6E53"/>
    <w:rsid w:val="006B7558"/>
    <w:rsid w:val="006B7785"/>
    <w:rsid w:val="006B7AD8"/>
    <w:rsid w:val="006B7B67"/>
    <w:rsid w:val="006B7CE2"/>
    <w:rsid w:val="006B7EBF"/>
    <w:rsid w:val="006C02E6"/>
    <w:rsid w:val="006C0F0B"/>
    <w:rsid w:val="006C1075"/>
    <w:rsid w:val="006C195D"/>
    <w:rsid w:val="006C27B3"/>
    <w:rsid w:val="006C3612"/>
    <w:rsid w:val="006C3DED"/>
    <w:rsid w:val="006C458C"/>
    <w:rsid w:val="006C4656"/>
    <w:rsid w:val="006C4952"/>
    <w:rsid w:val="006C4FF8"/>
    <w:rsid w:val="006C502A"/>
    <w:rsid w:val="006C586F"/>
    <w:rsid w:val="006C6198"/>
    <w:rsid w:val="006C61C9"/>
    <w:rsid w:val="006C65C4"/>
    <w:rsid w:val="006C66A6"/>
    <w:rsid w:val="006C680E"/>
    <w:rsid w:val="006C6A5A"/>
    <w:rsid w:val="006C6D62"/>
    <w:rsid w:val="006C703C"/>
    <w:rsid w:val="006C7803"/>
    <w:rsid w:val="006C7EED"/>
    <w:rsid w:val="006D01B7"/>
    <w:rsid w:val="006D057F"/>
    <w:rsid w:val="006D07C7"/>
    <w:rsid w:val="006D093B"/>
    <w:rsid w:val="006D16C3"/>
    <w:rsid w:val="006D1828"/>
    <w:rsid w:val="006D1CD2"/>
    <w:rsid w:val="006D218D"/>
    <w:rsid w:val="006D31E2"/>
    <w:rsid w:val="006D375C"/>
    <w:rsid w:val="006D3CDD"/>
    <w:rsid w:val="006D436F"/>
    <w:rsid w:val="006D4491"/>
    <w:rsid w:val="006D579B"/>
    <w:rsid w:val="006D5F6B"/>
    <w:rsid w:val="006D6533"/>
    <w:rsid w:val="006D78D8"/>
    <w:rsid w:val="006E06AB"/>
    <w:rsid w:val="006E0FA3"/>
    <w:rsid w:val="006E1423"/>
    <w:rsid w:val="006E1F7E"/>
    <w:rsid w:val="006E2336"/>
    <w:rsid w:val="006E28E0"/>
    <w:rsid w:val="006E2986"/>
    <w:rsid w:val="006E2DD2"/>
    <w:rsid w:val="006E2EA3"/>
    <w:rsid w:val="006E3316"/>
    <w:rsid w:val="006E3A7E"/>
    <w:rsid w:val="006E4220"/>
    <w:rsid w:val="006E4230"/>
    <w:rsid w:val="006E4B8E"/>
    <w:rsid w:val="006E54C3"/>
    <w:rsid w:val="006E5E14"/>
    <w:rsid w:val="006E5E5B"/>
    <w:rsid w:val="006E68BF"/>
    <w:rsid w:val="006E7339"/>
    <w:rsid w:val="006E73B3"/>
    <w:rsid w:val="006F1899"/>
    <w:rsid w:val="006F2529"/>
    <w:rsid w:val="006F30DF"/>
    <w:rsid w:val="006F31DE"/>
    <w:rsid w:val="006F3A66"/>
    <w:rsid w:val="006F49F8"/>
    <w:rsid w:val="006F4C83"/>
    <w:rsid w:val="006F4D96"/>
    <w:rsid w:val="006F4FAD"/>
    <w:rsid w:val="006F5072"/>
    <w:rsid w:val="006F55F7"/>
    <w:rsid w:val="006F57AF"/>
    <w:rsid w:val="006F5D5D"/>
    <w:rsid w:val="006F5E41"/>
    <w:rsid w:val="006F6742"/>
    <w:rsid w:val="006F7ACB"/>
    <w:rsid w:val="006F7D4D"/>
    <w:rsid w:val="006F7F7D"/>
    <w:rsid w:val="00700454"/>
    <w:rsid w:val="00700F0A"/>
    <w:rsid w:val="00702139"/>
    <w:rsid w:val="00702D6A"/>
    <w:rsid w:val="00703182"/>
    <w:rsid w:val="00703393"/>
    <w:rsid w:val="00703AD7"/>
    <w:rsid w:val="00703BD6"/>
    <w:rsid w:val="00704417"/>
    <w:rsid w:val="007046A2"/>
    <w:rsid w:val="00704B33"/>
    <w:rsid w:val="00705599"/>
    <w:rsid w:val="00705DA6"/>
    <w:rsid w:val="00705FB5"/>
    <w:rsid w:val="0070621E"/>
    <w:rsid w:val="00706442"/>
    <w:rsid w:val="007068F4"/>
    <w:rsid w:val="0070716C"/>
    <w:rsid w:val="00710152"/>
    <w:rsid w:val="0071066D"/>
    <w:rsid w:val="00711FA7"/>
    <w:rsid w:val="00711FE6"/>
    <w:rsid w:val="00712B1A"/>
    <w:rsid w:val="00712B20"/>
    <w:rsid w:val="00713373"/>
    <w:rsid w:val="00713430"/>
    <w:rsid w:val="0071366D"/>
    <w:rsid w:val="007136D8"/>
    <w:rsid w:val="00713947"/>
    <w:rsid w:val="00713971"/>
    <w:rsid w:val="0071420A"/>
    <w:rsid w:val="007145C3"/>
    <w:rsid w:val="00715061"/>
    <w:rsid w:val="00715361"/>
    <w:rsid w:val="00716635"/>
    <w:rsid w:val="00716713"/>
    <w:rsid w:val="00717782"/>
    <w:rsid w:val="00717ADA"/>
    <w:rsid w:val="00720090"/>
    <w:rsid w:val="007205F9"/>
    <w:rsid w:val="00721155"/>
    <w:rsid w:val="00721282"/>
    <w:rsid w:val="00721B8C"/>
    <w:rsid w:val="00722B38"/>
    <w:rsid w:val="00722D55"/>
    <w:rsid w:val="0072305C"/>
    <w:rsid w:val="00723ECC"/>
    <w:rsid w:val="0072431C"/>
    <w:rsid w:val="007245A7"/>
    <w:rsid w:val="00724A8F"/>
    <w:rsid w:val="00725432"/>
    <w:rsid w:val="007263F1"/>
    <w:rsid w:val="007272D1"/>
    <w:rsid w:val="007276DF"/>
    <w:rsid w:val="00730048"/>
    <w:rsid w:val="0073091D"/>
    <w:rsid w:val="00730ABC"/>
    <w:rsid w:val="0073112B"/>
    <w:rsid w:val="00731512"/>
    <w:rsid w:val="00731628"/>
    <w:rsid w:val="00731B50"/>
    <w:rsid w:val="007324C2"/>
    <w:rsid w:val="00732A2E"/>
    <w:rsid w:val="007351B6"/>
    <w:rsid w:val="0073528A"/>
    <w:rsid w:val="007353B2"/>
    <w:rsid w:val="0073547E"/>
    <w:rsid w:val="00735683"/>
    <w:rsid w:val="00735A7B"/>
    <w:rsid w:val="00736165"/>
    <w:rsid w:val="00736BFF"/>
    <w:rsid w:val="007376C9"/>
    <w:rsid w:val="0074044C"/>
    <w:rsid w:val="00740DE8"/>
    <w:rsid w:val="007421BF"/>
    <w:rsid w:val="0074258B"/>
    <w:rsid w:val="007429C7"/>
    <w:rsid w:val="00742FD2"/>
    <w:rsid w:val="007435DD"/>
    <w:rsid w:val="00743968"/>
    <w:rsid w:val="00743B87"/>
    <w:rsid w:val="00743BB3"/>
    <w:rsid w:val="007443C9"/>
    <w:rsid w:val="00744970"/>
    <w:rsid w:val="00744AD0"/>
    <w:rsid w:val="00745352"/>
    <w:rsid w:val="007455A1"/>
    <w:rsid w:val="00745B2A"/>
    <w:rsid w:val="00745BFB"/>
    <w:rsid w:val="00745D25"/>
    <w:rsid w:val="007465B5"/>
    <w:rsid w:val="00746654"/>
    <w:rsid w:val="00747900"/>
    <w:rsid w:val="007503C4"/>
    <w:rsid w:val="00750A65"/>
    <w:rsid w:val="00750F5E"/>
    <w:rsid w:val="00751CD9"/>
    <w:rsid w:val="007523D9"/>
    <w:rsid w:val="00754FCC"/>
    <w:rsid w:val="007556C7"/>
    <w:rsid w:val="007556DD"/>
    <w:rsid w:val="007556E4"/>
    <w:rsid w:val="0075646F"/>
    <w:rsid w:val="007573C7"/>
    <w:rsid w:val="00757759"/>
    <w:rsid w:val="00757979"/>
    <w:rsid w:val="00761C5F"/>
    <w:rsid w:val="00761DFC"/>
    <w:rsid w:val="00761EDD"/>
    <w:rsid w:val="0076233F"/>
    <w:rsid w:val="00762DB0"/>
    <w:rsid w:val="007631D0"/>
    <w:rsid w:val="007638CB"/>
    <w:rsid w:val="007646A7"/>
    <w:rsid w:val="00764FC4"/>
    <w:rsid w:val="00765651"/>
    <w:rsid w:val="00765B3F"/>
    <w:rsid w:val="00765C49"/>
    <w:rsid w:val="007664DB"/>
    <w:rsid w:val="007666FE"/>
    <w:rsid w:val="00766945"/>
    <w:rsid w:val="00767158"/>
    <w:rsid w:val="007678D3"/>
    <w:rsid w:val="00767D54"/>
    <w:rsid w:val="007700D2"/>
    <w:rsid w:val="00770ACA"/>
    <w:rsid w:val="00771183"/>
    <w:rsid w:val="0077195F"/>
    <w:rsid w:val="00772C13"/>
    <w:rsid w:val="00772D12"/>
    <w:rsid w:val="00773EAA"/>
    <w:rsid w:val="007749E2"/>
    <w:rsid w:val="007753EA"/>
    <w:rsid w:val="00775A15"/>
    <w:rsid w:val="00775A39"/>
    <w:rsid w:val="0077657A"/>
    <w:rsid w:val="00776D5E"/>
    <w:rsid w:val="00776F19"/>
    <w:rsid w:val="007772DF"/>
    <w:rsid w:val="00777B90"/>
    <w:rsid w:val="00777CFC"/>
    <w:rsid w:val="007801D7"/>
    <w:rsid w:val="00780386"/>
    <w:rsid w:val="0078041D"/>
    <w:rsid w:val="007811A9"/>
    <w:rsid w:val="00781BBC"/>
    <w:rsid w:val="00781D28"/>
    <w:rsid w:val="007829EA"/>
    <w:rsid w:val="00782A6C"/>
    <w:rsid w:val="007830A0"/>
    <w:rsid w:val="00783337"/>
    <w:rsid w:val="00784190"/>
    <w:rsid w:val="007843DD"/>
    <w:rsid w:val="0078445B"/>
    <w:rsid w:val="007850A0"/>
    <w:rsid w:val="00785359"/>
    <w:rsid w:val="0078552A"/>
    <w:rsid w:val="00785557"/>
    <w:rsid w:val="0078562B"/>
    <w:rsid w:val="0078576A"/>
    <w:rsid w:val="007857A1"/>
    <w:rsid w:val="00785D11"/>
    <w:rsid w:val="00786505"/>
    <w:rsid w:val="00786D62"/>
    <w:rsid w:val="0078736D"/>
    <w:rsid w:val="007878BC"/>
    <w:rsid w:val="00787A6F"/>
    <w:rsid w:val="00787B31"/>
    <w:rsid w:val="0079094A"/>
    <w:rsid w:val="00790E25"/>
    <w:rsid w:val="0079157C"/>
    <w:rsid w:val="007919C7"/>
    <w:rsid w:val="00791ACA"/>
    <w:rsid w:val="00791FCD"/>
    <w:rsid w:val="00792D28"/>
    <w:rsid w:val="00792D99"/>
    <w:rsid w:val="00792DB1"/>
    <w:rsid w:val="00792E6F"/>
    <w:rsid w:val="007930D3"/>
    <w:rsid w:val="0079341F"/>
    <w:rsid w:val="00794254"/>
    <w:rsid w:val="007942A9"/>
    <w:rsid w:val="00794B09"/>
    <w:rsid w:val="007952CE"/>
    <w:rsid w:val="0079546C"/>
    <w:rsid w:val="0079640C"/>
    <w:rsid w:val="007966CF"/>
    <w:rsid w:val="00796C70"/>
    <w:rsid w:val="007974A0"/>
    <w:rsid w:val="0079773B"/>
    <w:rsid w:val="00797A23"/>
    <w:rsid w:val="00797ED0"/>
    <w:rsid w:val="007A0185"/>
    <w:rsid w:val="007A03B0"/>
    <w:rsid w:val="007A1770"/>
    <w:rsid w:val="007A44D5"/>
    <w:rsid w:val="007A4A84"/>
    <w:rsid w:val="007A5545"/>
    <w:rsid w:val="007A5834"/>
    <w:rsid w:val="007A5C6E"/>
    <w:rsid w:val="007A6839"/>
    <w:rsid w:val="007A6DAE"/>
    <w:rsid w:val="007A713A"/>
    <w:rsid w:val="007A7838"/>
    <w:rsid w:val="007A7FF4"/>
    <w:rsid w:val="007B0046"/>
    <w:rsid w:val="007B0712"/>
    <w:rsid w:val="007B0F4C"/>
    <w:rsid w:val="007B3096"/>
    <w:rsid w:val="007B340A"/>
    <w:rsid w:val="007B4C3F"/>
    <w:rsid w:val="007B5240"/>
    <w:rsid w:val="007B54BA"/>
    <w:rsid w:val="007B5A34"/>
    <w:rsid w:val="007B65F9"/>
    <w:rsid w:val="007B6624"/>
    <w:rsid w:val="007B6782"/>
    <w:rsid w:val="007B67E8"/>
    <w:rsid w:val="007B68CD"/>
    <w:rsid w:val="007B69E3"/>
    <w:rsid w:val="007B6A7C"/>
    <w:rsid w:val="007B6F08"/>
    <w:rsid w:val="007B702E"/>
    <w:rsid w:val="007B7413"/>
    <w:rsid w:val="007B777B"/>
    <w:rsid w:val="007C1747"/>
    <w:rsid w:val="007C25C7"/>
    <w:rsid w:val="007C3333"/>
    <w:rsid w:val="007C3666"/>
    <w:rsid w:val="007C39B7"/>
    <w:rsid w:val="007C3D42"/>
    <w:rsid w:val="007C3FCB"/>
    <w:rsid w:val="007C40A0"/>
    <w:rsid w:val="007C5B1F"/>
    <w:rsid w:val="007C5D5D"/>
    <w:rsid w:val="007C6216"/>
    <w:rsid w:val="007C6721"/>
    <w:rsid w:val="007C6CC2"/>
    <w:rsid w:val="007C6CC3"/>
    <w:rsid w:val="007C6EA9"/>
    <w:rsid w:val="007C70F7"/>
    <w:rsid w:val="007C7825"/>
    <w:rsid w:val="007C7D17"/>
    <w:rsid w:val="007C7D67"/>
    <w:rsid w:val="007D0A01"/>
    <w:rsid w:val="007D0CDE"/>
    <w:rsid w:val="007D12DA"/>
    <w:rsid w:val="007D2D31"/>
    <w:rsid w:val="007D367D"/>
    <w:rsid w:val="007D37AE"/>
    <w:rsid w:val="007D3C85"/>
    <w:rsid w:val="007D44A6"/>
    <w:rsid w:val="007D4F81"/>
    <w:rsid w:val="007D5C4F"/>
    <w:rsid w:val="007D63CE"/>
    <w:rsid w:val="007D6D7D"/>
    <w:rsid w:val="007D720A"/>
    <w:rsid w:val="007D7985"/>
    <w:rsid w:val="007D7E6D"/>
    <w:rsid w:val="007E05B8"/>
    <w:rsid w:val="007E074C"/>
    <w:rsid w:val="007E1149"/>
    <w:rsid w:val="007E18CB"/>
    <w:rsid w:val="007E199F"/>
    <w:rsid w:val="007E42B2"/>
    <w:rsid w:val="007E4300"/>
    <w:rsid w:val="007E45F8"/>
    <w:rsid w:val="007E4C52"/>
    <w:rsid w:val="007E6296"/>
    <w:rsid w:val="007E667F"/>
    <w:rsid w:val="007E6CC4"/>
    <w:rsid w:val="007E77A7"/>
    <w:rsid w:val="007E7D17"/>
    <w:rsid w:val="007F164E"/>
    <w:rsid w:val="007F297B"/>
    <w:rsid w:val="007F3745"/>
    <w:rsid w:val="007F3945"/>
    <w:rsid w:val="007F3B60"/>
    <w:rsid w:val="007F3F1A"/>
    <w:rsid w:val="007F41A4"/>
    <w:rsid w:val="007F4765"/>
    <w:rsid w:val="007F4AB0"/>
    <w:rsid w:val="007F4E06"/>
    <w:rsid w:val="007F5E92"/>
    <w:rsid w:val="007F6022"/>
    <w:rsid w:val="007F6129"/>
    <w:rsid w:val="007F6A55"/>
    <w:rsid w:val="007F6BC5"/>
    <w:rsid w:val="007F7188"/>
    <w:rsid w:val="007F73AD"/>
    <w:rsid w:val="007F7642"/>
    <w:rsid w:val="008005BF"/>
    <w:rsid w:val="0080064E"/>
    <w:rsid w:val="0080188B"/>
    <w:rsid w:val="00801A99"/>
    <w:rsid w:val="00801F15"/>
    <w:rsid w:val="008028EA"/>
    <w:rsid w:val="00803684"/>
    <w:rsid w:val="00803B2F"/>
    <w:rsid w:val="0080427D"/>
    <w:rsid w:val="00804B9A"/>
    <w:rsid w:val="008061B8"/>
    <w:rsid w:val="00806B67"/>
    <w:rsid w:val="00810B48"/>
    <w:rsid w:val="00810C48"/>
    <w:rsid w:val="00810F6D"/>
    <w:rsid w:val="008112E7"/>
    <w:rsid w:val="008115D3"/>
    <w:rsid w:val="0081184E"/>
    <w:rsid w:val="008127EB"/>
    <w:rsid w:val="00812A2C"/>
    <w:rsid w:val="008135FA"/>
    <w:rsid w:val="008139D4"/>
    <w:rsid w:val="00813A9A"/>
    <w:rsid w:val="0081426A"/>
    <w:rsid w:val="00814D6A"/>
    <w:rsid w:val="008152D9"/>
    <w:rsid w:val="008157B0"/>
    <w:rsid w:val="00815B7C"/>
    <w:rsid w:val="00816F54"/>
    <w:rsid w:val="008202F5"/>
    <w:rsid w:val="008203DA"/>
    <w:rsid w:val="0082045C"/>
    <w:rsid w:val="00820FC2"/>
    <w:rsid w:val="0082192C"/>
    <w:rsid w:val="00822503"/>
    <w:rsid w:val="0082303C"/>
    <w:rsid w:val="008237CA"/>
    <w:rsid w:val="0082384C"/>
    <w:rsid w:val="008239F2"/>
    <w:rsid w:val="008244F0"/>
    <w:rsid w:val="00824583"/>
    <w:rsid w:val="00824B06"/>
    <w:rsid w:val="00824BDB"/>
    <w:rsid w:val="008250C6"/>
    <w:rsid w:val="00825194"/>
    <w:rsid w:val="008259FD"/>
    <w:rsid w:val="0082633A"/>
    <w:rsid w:val="008277D5"/>
    <w:rsid w:val="00827BE9"/>
    <w:rsid w:val="00830277"/>
    <w:rsid w:val="00830414"/>
    <w:rsid w:val="0083054A"/>
    <w:rsid w:val="008306C2"/>
    <w:rsid w:val="008306CA"/>
    <w:rsid w:val="0083190D"/>
    <w:rsid w:val="008320B7"/>
    <w:rsid w:val="00832A01"/>
    <w:rsid w:val="0083307E"/>
    <w:rsid w:val="008330BE"/>
    <w:rsid w:val="00833865"/>
    <w:rsid w:val="00834023"/>
    <w:rsid w:val="00834651"/>
    <w:rsid w:val="00834D9F"/>
    <w:rsid w:val="008350F2"/>
    <w:rsid w:val="008351AD"/>
    <w:rsid w:val="00835322"/>
    <w:rsid w:val="0083639E"/>
    <w:rsid w:val="008378DA"/>
    <w:rsid w:val="00840101"/>
    <w:rsid w:val="008405ED"/>
    <w:rsid w:val="00841E74"/>
    <w:rsid w:val="0084218A"/>
    <w:rsid w:val="008431C4"/>
    <w:rsid w:val="008433B4"/>
    <w:rsid w:val="00845136"/>
    <w:rsid w:val="008457B1"/>
    <w:rsid w:val="00845DF7"/>
    <w:rsid w:val="008469C5"/>
    <w:rsid w:val="00850B8A"/>
    <w:rsid w:val="00850FE6"/>
    <w:rsid w:val="00851751"/>
    <w:rsid w:val="00851D63"/>
    <w:rsid w:val="00851EBF"/>
    <w:rsid w:val="00851F1E"/>
    <w:rsid w:val="0085299F"/>
    <w:rsid w:val="00853006"/>
    <w:rsid w:val="0085353D"/>
    <w:rsid w:val="0085382A"/>
    <w:rsid w:val="00853AFF"/>
    <w:rsid w:val="00853B02"/>
    <w:rsid w:val="00855159"/>
    <w:rsid w:val="008553BA"/>
    <w:rsid w:val="00855CF4"/>
    <w:rsid w:val="008562C6"/>
    <w:rsid w:val="008562EE"/>
    <w:rsid w:val="008569B9"/>
    <w:rsid w:val="00856E11"/>
    <w:rsid w:val="00857043"/>
    <w:rsid w:val="008573FC"/>
    <w:rsid w:val="00857CFD"/>
    <w:rsid w:val="00860746"/>
    <w:rsid w:val="00860AF0"/>
    <w:rsid w:val="00860E82"/>
    <w:rsid w:val="00860ECA"/>
    <w:rsid w:val="008612D0"/>
    <w:rsid w:val="00861781"/>
    <w:rsid w:val="00861842"/>
    <w:rsid w:val="00861DC3"/>
    <w:rsid w:val="00862095"/>
    <w:rsid w:val="0086244C"/>
    <w:rsid w:val="00862BC8"/>
    <w:rsid w:val="00863315"/>
    <w:rsid w:val="00863B7E"/>
    <w:rsid w:val="008656DD"/>
    <w:rsid w:val="0086579A"/>
    <w:rsid w:val="008662E1"/>
    <w:rsid w:val="008706A0"/>
    <w:rsid w:val="0087082D"/>
    <w:rsid w:val="008708E6"/>
    <w:rsid w:val="008710B5"/>
    <w:rsid w:val="00871287"/>
    <w:rsid w:val="0087128A"/>
    <w:rsid w:val="0087157F"/>
    <w:rsid w:val="00871697"/>
    <w:rsid w:val="008735D7"/>
    <w:rsid w:val="008743E9"/>
    <w:rsid w:val="00874BEE"/>
    <w:rsid w:val="00875D1B"/>
    <w:rsid w:val="0087604A"/>
    <w:rsid w:val="00876FE5"/>
    <w:rsid w:val="008771ED"/>
    <w:rsid w:val="00877B45"/>
    <w:rsid w:val="0088014F"/>
    <w:rsid w:val="008804AD"/>
    <w:rsid w:val="008808A2"/>
    <w:rsid w:val="0088096A"/>
    <w:rsid w:val="00880E0A"/>
    <w:rsid w:val="008814E6"/>
    <w:rsid w:val="00882201"/>
    <w:rsid w:val="008823BF"/>
    <w:rsid w:val="008828B1"/>
    <w:rsid w:val="00882A54"/>
    <w:rsid w:val="00883128"/>
    <w:rsid w:val="008832E1"/>
    <w:rsid w:val="008835A6"/>
    <w:rsid w:val="0088415C"/>
    <w:rsid w:val="008858BC"/>
    <w:rsid w:val="00885F05"/>
    <w:rsid w:val="0088683E"/>
    <w:rsid w:val="00886BC1"/>
    <w:rsid w:val="0088710D"/>
    <w:rsid w:val="00887B42"/>
    <w:rsid w:val="00887FBA"/>
    <w:rsid w:val="008912CD"/>
    <w:rsid w:val="00891A8F"/>
    <w:rsid w:val="00891C4A"/>
    <w:rsid w:val="00892356"/>
    <w:rsid w:val="008931C1"/>
    <w:rsid w:val="008931F0"/>
    <w:rsid w:val="00893743"/>
    <w:rsid w:val="008939B0"/>
    <w:rsid w:val="00893DB4"/>
    <w:rsid w:val="00893E80"/>
    <w:rsid w:val="00894302"/>
    <w:rsid w:val="0089438B"/>
    <w:rsid w:val="0089553B"/>
    <w:rsid w:val="00895CEB"/>
    <w:rsid w:val="008975A4"/>
    <w:rsid w:val="008A0C3E"/>
    <w:rsid w:val="008A1E90"/>
    <w:rsid w:val="008A225D"/>
    <w:rsid w:val="008A23CE"/>
    <w:rsid w:val="008A3272"/>
    <w:rsid w:val="008A3621"/>
    <w:rsid w:val="008A3A70"/>
    <w:rsid w:val="008A3D29"/>
    <w:rsid w:val="008A3F75"/>
    <w:rsid w:val="008A4075"/>
    <w:rsid w:val="008A4901"/>
    <w:rsid w:val="008A4F51"/>
    <w:rsid w:val="008A5061"/>
    <w:rsid w:val="008A60CA"/>
    <w:rsid w:val="008A61C7"/>
    <w:rsid w:val="008A66D1"/>
    <w:rsid w:val="008A7B92"/>
    <w:rsid w:val="008B0202"/>
    <w:rsid w:val="008B0C27"/>
    <w:rsid w:val="008B0CE0"/>
    <w:rsid w:val="008B22D6"/>
    <w:rsid w:val="008B253E"/>
    <w:rsid w:val="008B420B"/>
    <w:rsid w:val="008B4E83"/>
    <w:rsid w:val="008B5017"/>
    <w:rsid w:val="008B54BB"/>
    <w:rsid w:val="008B5FC9"/>
    <w:rsid w:val="008B6702"/>
    <w:rsid w:val="008B716F"/>
    <w:rsid w:val="008C00AA"/>
    <w:rsid w:val="008C13C0"/>
    <w:rsid w:val="008C1E69"/>
    <w:rsid w:val="008C3942"/>
    <w:rsid w:val="008C3E52"/>
    <w:rsid w:val="008C3E98"/>
    <w:rsid w:val="008C3FFB"/>
    <w:rsid w:val="008C49F1"/>
    <w:rsid w:val="008C5493"/>
    <w:rsid w:val="008C54FC"/>
    <w:rsid w:val="008C56CC"/>
    <w:rsid w:val="008C58CA"/>
    <w:rsid w:val="008C596A"/>
    <w:rsid w:val="008C5CB7"/>
    <w:rsid w:val="008C66E2"/>
    <w:rsid w:val="008D1790"/>
    <w:rsid w:val="008D1B0A"/>
    <w:rsid w:val="008D28BA"/>
    <w:rsid w:val="008D2F10"/>
    <w:rsid w:val="008D40A3"/>
    <w:rsid w:val="008D4966"/>
    <w:rsid w:val="008D4B59"/>
    <w:rsid w:val="008D5294"/>
    <w:rsid w:val="008D5544"/>
    <w:rsid w:val="008D622F"/>
    <w:rsid w:val="008D64C8"/>
    <w:rsid w:val="008D6765"/>
    <w:rsid w:val="008D72A9"/>
    <w:rsid w:val="008D74E2"/>
    <w:rsid w:val="008D74F5"/>
    <w:rsid w:val="008D7C6F"/>
    <w:rsid w:val="008E052D"/>
    <w:rsid w:val="008E060C"/>
    <w:rsid w:val="008E0BA7"/>
    <w:rsid w:val="008E0F29"/>
    <w:rsid w:val="008E10C6"/>
    <w:rsid w:val="008E1189"/>
    <w:rsid w:val="008E134F"/>
    <w:rsid w:val="008E1A0A"/>
    <w:rsid w:val="008E1CAF"/>
    <w:rsid w:val="008E2DD5"/>
    <w:rsid w:val="008E542F"/>
    <w:rsid w:val="008E569A"/>
    <w:rsid w:val="008E58F3"/>
    <w:rsid w:val="008E59BA"/>
    <w:rsid w:val="008E5ECB"/>
    <w:rsid w:val="008E7018"/>
    <w:rsid w:val="008E73EB"/>
    <w:rsid w:val="008E777D"/>
    <w:rsid w:val="008F0D55"/>
    <w:rsid w:val="008F2622"/>
    <w:rsid w:val="008F28F4"/>
    <w:rsid w:val="008F3E5B"/>
    <w:rsid w:val="008F43C4"/>
    <w:rsid w:val="008F4B31"/>
    <w:rsid w:val="008F4BC1"/>
    <w:rsid w:val="008F4CF2"/>
    <w:rsid w:val="008F5D83"/>
    <w:rsid w:val="008F69FC"/>
    <w:rsid w:val="008F6DA1"/>
    <w:rsid w:val="008F7F47"/>
    <w:rsid w:val="008F7FD8"/>
    <w:rsid w:val="00900BDE"/>
    <w:rsid w:val="00900DBA"/>
    <w:rsid w:val="00900F3F"/>
    <w:rsid w:val="0090105E"/>
    <w:rsid w:val="009013B5"/>
    <w:rsid w:val="009014BD"/>
    <w:rsid w:val="0090156B"/>
    <w:rsid w:val="009016B7"/>
    <w:rsid w:val="009016C4"/>
    <w:rsid w:val="009022BF"/>
    <w:rsid w:val="00902841"/>
    <w:rsid w:val="009033C7"/>
    <w:rsid w:val="009038F4"/>
    <w:rsid w:val="00903CFD"/>
    <w:rsid w:val="00903F1B"/>
    <w:rsid w:val="00904455"/>
    <w:rsid w:val="00905D2E"/>
    <w:rsid w:val="00906058"/>
    <w:rsid w:val="009064B2"/>
    <w:rsid w:val="00906E44"/>
    <w:rsid w:val="00906EFA"/>
    <w:rsid w:val="00907622"/>
    <w:rsid w:val="00907DEE"/>
    <w:rsid w:val="00910170"/>
    <w:rsid w:val="00910320"/>
    <w:rsid w:val="0091060E"/>
    <w:rsid w:val="00910A01"/>
    <w:rsid w:val="00911098"/>
    <w:rsid w:val="009145E1"/>
    <w:rsid w:val="00915243"/>
    <w:rsid w:val="0091532D"/>
    <w:rsid w:val="00915F56"/>
    <w:rsid w:val="009166F0"/>
    <w:rsid w:val="00916B42"/>
    <w:rsid w:val="00916BE2"/>
    <w:rsid w:val="00917168"/>
    <w:rsid w:val="00920C7E"/>
    <w:rsid w:val="00921285"/>
    <w:rsid w:val="00921CFF"/>
    <w:rsid w:val="009220E0"/>
    <w:rsid w:val="009225C0"/>
    <w:rsid w:val="00922780"/>
    <w:rsid w:val="009228C1"/>
    <w:rsid w:val="00922C4B"/>
    <w:rsid w:val="0092363C"/>
    <w:rsid w:val="009238BA"/>
    <w:rsid w:val="00924499"/>
    <w:rsid w:val="00924542"/>
    <w:rsid w:val="00924751"/>
    <w:rsid w:val="00925604"/>
    <w:rsid w:val="00926467"/>
    <w:rsid w:val="00927F1C"/>
    <w:rsid w:val="009300D0"/>
    <w:rsid w:val="009304F3"/>
    <w:rsid w:val="00930DE0"/>
    <w:rsid w:val="00930F50"/>
    <w:rsid w:val="00931428"/>
    <w:rsid w:val="009314A7"/>
    <w:rsid w:val="009314F0"/>
    <w:rsid w:val="00931A1F"/>
    <w:rsid w:val="00932627"/>
    <w:rsid w:val="00932EA4"/>
    <w:rsid w:val="009337C3"/>
    <w:rsid w:val="00933ABA"/>
    <w:rsid w:val="0093538C"/>
    <w:rsid w:val="0093574D"/>
    <w:rsid w:val="00935AA1"/>
    <w:rsid w:val="00936324"/>
    <w:rsid w:val="00936375"/>
    <w:rsid w:val="0093657F"/>
    <w:rsid w:val="0093667F"/>
    <w:rsid w:val="00936869"/>
    <w:rsid w:val="00936B72"/>
    <w:rsid w:val="00936BD4"/>
    <w:rsid w:val="00937310"/>
    <w:rsid w:val="009373C5"/>
    <w:rsid w:val="00940752"/>
    <w:rsid w:val="009409EF"/>
    <w:rsid w:val="00940C37"/>
    <w:rsid w:val="00941A10"/>
    <w:rsid w:val="00942178"/>
    <w:rsid w:val="009425F6"/>
    <w:rsid w:val="00942718"/>
    <w:rsid w:val="009432E3"/>
    <w:rsid w:val="00945984"/>
    <w:rsid w:val="009467B3"/>
    <w:rsid w:val="00946E4A"/>
    <w:rsid w:val="00947563"/>
    <w:rsid w:val="009478CF"/>
    <w:rsid w:val="00947B60"/>
    <w:rsid w:val="00950737"/>
    <w:rsid w:val="00950B20"/>
    <w:rsid w:val="00951419"/>
    <w:rsid w:val="00951B41"/>
    <w:rsid w:val="00952738"/>
    <w:rsid w:val="0095328E"/>
    <w:rsid w:val="0095412B"/>
    <w:rsid w:val="00954229"/>
    <w:rsid w:val="00954872"/>
    <w:rsid w:val="00954B1E"/>
    <w:rsid w:val="00954F80"/>
    <w:rsid w:val="009560EF"/>
    <w:rsid w:val="00956424"/>
    <w:rsid w:val="0095664C"/>
    <w:rsid w:val="009566C3"/>
    <w:rsid w:val="00956FFD"/>
    <w:rsid w:val="00957034"/>
    <w:rsid w:val="00960023"/>
    <w:rsid w:val="0096035A"/>
    <w:rsid w:val="0096035D"/>
    <w:rsid w:val="00960BFA"/>
    <w:rsid w:val="009610F6"/>
    <w:rsid w:val="00961630"/>
    <w:rsid w:val="00962251"/>
    <w:rsid w:val="0096352B"/>
    <w:rsid w:val="009654D3"/>
    <w:rsid w:val="009656F6"/>
    <w:rsid w:val="00967135"/>
    <w:rsid w:val="0096769E"/>
    <w:rsid w:val="00967B31"/>
    <w:rsid w:val="00967BF5"/>
    <w:rsid w:val="009705C1"/>
    <w:rsid w:val="00970AA9"/>
    <w:rsid w:val="0097231B"/>
    <w:rsid w:val="00973895"/>
    <w:rsid w:val="00973F55"/>
    <w:rsid w:val="00973F5D"/>
    <w:rsid w:val="009744E1"/>
    <w:rsid w:val="00974575"/>
    <w:rsid w:val="00974C76"/>
    <w:rsid w:val="00975D3C"/>
    <w:rsid w:val="00976247"/>
    <w:rsid w:val="009766E6"/>
    <w:rsid w:val="00976E70"/>
    <w:rsid w:val="0097787B"/>
    <w:rsid w:val="009801EC"/>
    <w:rsid w:val="009802BA"/>
    <w:rsid w:val="00980997"/>
    <w:rsid w:val="0098119B"/>
    <w:rsid w:val="00981630"/>
    <w:rsid w:val="0098217B"/>
    <w:rsid w:val="009823AF"/>
    <w:rsid w:val="009825F3"/>
    <w:rsid w:val="00982793"/>
    <w:rsid w:val="009827EA"/>
    <w:rsid w:val="009831A5"/>
    <w:rsid w:val="0098355B"/>
    <w:rsid w:val="00983E73"/>
    <w:rsid w:val="00983FF5"/>
    <w:rsid w:val="0098402C"/>
    <w:rsid w:val="0098409A"/>
    <w:rsid w:val="009845E5"/>
    <w:rsid w:val="00984994"/>
    <w:rsid w:val="009854C7"/>
    <w:rsid w:val="0098580E"/>
    <w:rsid w:val="00986572"/>
    <w:rsid w:val="009865A5"/>
    <w:rsid w:val="009869CD"/>
    <w:rsid w:val="00987646"/>
    <w:rsid w:val="00990571"/>
    <w:rsid w:val="00990702"/>
    <w:rsid w:val="009907B6"/>
    <w:rsid w:val="009913D9"/>
    <w:rsid w:val="0099186D"/>
    <w:rsid w:val="00991B8F"/>
    <w:rsid w:val="009929D2"/>
    <w:rsid w:val="0099353F"/>
    <w:rsid w:val="009940B4"/>
    <w:rsid w:val="00994AFE"/>
    <w:rsid w:val="00994EF0"/>
    <w:rsid w:val="00995EA7"/>
    <w:rsid w:val="00996021"/>
    <w:rsid w:val="009966D6"/>
    <w:rsid w:val="00996C55"/>
    <w:rsid w:val="00997796"/>
    <w:rsid w:val="009978CD"/>
    <w:rsid w:val="00997AE7"/>
    <w:rsid w:val="009A0190"/>
    <w:rsid w:val="009A0851"/>
    <w:rsid w:val="009A0E33"/>
    <w:rsid w:val="009A0FB7"/>
    <w:rsid w:val="009A14A2"/>
    <w:rsid w:val="009A1ADD"/>
    <w:rsid w:val="009A1D77"/>
    <w:rsid w:val="009A21FD"/>
    <w:rsid w:val="009A2259"/>
    <w:rsid w:val="009A2518"/>
    <w:rsid w:val="009A27D8"/>
    <w:rsid w:val="009A2EAD"/>
    <w:rsid w:val="009A324B"/>
    <w:rsid w:val="009A4579"/>
    <w:rsid w:val="009A4B4D"/>
    <w:rsid w:val="009A4C6F"/>
    <w:rsid w:val="009A5DC5"/>
    <w:rsid w:val="009A6EDE"/>
    <w:rsid w:val="009A6F54"/>
    <w:rsid w:val="009A741A"/>
    <w:rsid w:val="009A767F"/>
    <w:rsid w:val="009A7834"/>
    <w:rsid w:val="009A7998"/>
    <w:rsid w:val="009B07DC"/>
    <w:rsid w:val="009B09D9"/>
    <w:rsid w:val="009B0D9F"/>
    <w:rsid w:val="009B11B2"/>
    <w:rsid w:val="009B129C"/>
    <w:rsid w:val="009B2A15"/>
    <w:rsid w:val="009B3C44"/>
    <w:rsid w:val="009B3CED"/>
    <w:rsid w:val="009B3E56"/>
    <w:rsid w:val="009B3E87"/>
    <w:rsid w:val="009B3F0D"/>
    <w:rsid w:val="009B40BD"/>
    <w:rsid w:val="009B449D"/>
    <w:rsid w:val="009B4B10"/>
    <w:rsid w:val="009B4B68"/>
    <w:rsid w:val="009B5A6F"/>
    <w:rsid w:val="009B5F9C"/>
    <w:rsid w:val="009B6071"/>
    <w:rsid w:val="009B668D"/>
    <w:rsid w:val="009B7370"/>
    <w:rsid w:val="009B73FE"/>
    <w:rsid w:val="009B75F5"/>
    <w:rsid w:val="009B77AC"/>
    <w:rsid w:val="009C02B1"/>
    <w:rsid w:val="009C03E4"/>
    <w:rsid w:val="009C04DD"/>
    <w:rsid w:val="009C054A"/>
    <w:rsid w:val="009C0697"/>
    <w:rsid w:val="009C0E65"/>
    <w:rsid w:val="009C123A"/>
    <w:rsid w:val="009C1341"/>
    <w:rsid w:val="009C1951"/>
    <w:rsid w:val="009C27A7"/>
    <w:rsid w:val="009C290C"/>
    <w:rsid w:val="009C2D16"/>
    <w:rsid w:val="009C2F17"/>
    <w:rsid w:val="009C31EC"/>
    <w:rsid w:val="009C32B3"/>
    <w:rsid w:val="009C4371"/>
    <w:rsid w:val="009C452E"/>
    <w:rsid w:val="009C4DD5"/>
    <w:rsid w:val="009C7327"/>
    <w:rsid w:val="009C780A"/>
    <w:rsid w:val="009C7CCC"/>
    <w:rsid w:val="009C7CD2"/>
    <w:rsid w:val="009C7EB5"/>
    <w:rsid w:val="009D0966"/>
    <w:rsid w:val="009D09A1"/>
    <w:rsid w:val="009D0A34"/>
    <w:rsid w:val="009D1270"/>
    <w:rsid w:val="009D1479"/>
    <w:rsid w:val="009D1A60"/>
    <w:rsid w:val="009D1EDA"/>
    <w:rsid w:val="009D2335"/>
    <w:rsid w:val="009D2D44"/>
    <w:rsid w:val="009D2F75"/>
    <w:rsid w:val="009D3B88"/>
    <w:rsid w:val="009D3D2F"/>
    <w:rsid w:val="009D4913"/>
    <w:rsid w:val="009D4A2E"/>
    <w:rsid w:val="009D4BDE"/>
    <w:rsid w:val="009D52C9"/>
    <w:rsid w:val="009D5B6A"/>
    <w:rsid w:val="009D5B97"/>
    <w:rsid w:val="009D5CAA"/>
    <w:rsid w:val="009D5E91"/>
    <w:rsid w:val="009D65AB"/>
    <w:rsid w:val="009D69C4"/>
    <w:rsid w:val="009D7DB1"/>
    <w:rsid w:val="009E00E9"/>
    <w:rsid w:val="009E09FD"/>
    <w:rsid w:val="009E0E44"/>
    <w:rsid w:val="009E2276"/>
    <w:rsid w:val="009E262F"/>
    <w:rsid w:val="009E3081"/>
    <w:rsid w:val="009E3251"/>
    <w:rsid w:val="009E3CA8"/>
    <w:rsid w:val="009E3D85"/>
    <w:rsid w:val="009E4CCD"/>
    <w:rsid w:val="009E4F5F"/>
    <w:rsid w:val="009E5177"/>
    <w:rsid w:val="009E5A1B"/>
    <w:rsid w:val="009E6010"/>
    <w:rsid w:val="009E6ADD"/>
    <w:rsid w:val="009E6D06"/>
    <w:rsid w:val="009E72E3"/>
    <w:rsid w:val="009E797F"/>
    <w:rsid w:val="009F03B2"/>
    <w:rsid w:val="009F101E"/>
    <w:rsid w:val="009F1255"/>
    <w:rsid w:val="009F12C9"/>
    <w:rsid w:val="009F207C"/>
    <w:rsid w:val="009F215A"/>
    <w:rsid w:val="009F284B"/>
    <w:rsid w:val="009F31BD"/>
    <w:rsid w:val="009F32BF"/>
    <w:rsid w:val="009F3963"/>
    <w:rsid w:val="009F3B42"/>
    <w:rsid w:val="009F3E48"/>
    <w:rsid w:val="009F64CD"/>
    <w:rsid w:val="009F7055"/>
    <w:rsid w:val="00A00634"/>
    <w:rsid w:val="00A01A02"/>
    <w:rsid w:val="00A01B8A"/>
    <w:rsid w:val="00A020FC"/>
    <w:rsid w:val="00A0258A"/>
    <w:rsid w:val="00A037C4"/>
    <w:rsid w:val="00A03A20"/>
    <w:rsid w:val="00A03AA2"/>
    <w:rsid w:val="00A04C73"/>
    <w:rsid w:val="00A05865"/>
    <w:rsid w:val="00A05D3F"/>
    <w:rsid w:val="00A075F7"/>
    <w:rsid w:val="00A0782E"/>
    <w:rsid w:val="00A07AEB"/>
    <w:rsid w:val="00A1058D"/>
    <w:rsid w:val="00A10D45"/>
    <w:rsid w:val="00A10E44"/>
    <w:rsid w:val="00A11704"/>
    <w:rsid w:val="00A122D4"/>
    <w:rsid w:val="00A128AE"/>
    <w:rsid w:val="00A12970"/>
    <w:rsid w:val="00A129A4"/>
    <w:rsid w:val="00A13367"/>
    <w:rsid w:val="00A134E9"/>
    <w:rsid w:val="00A140E9"/>
    <w:rsid w:val="00A142F0"/>
    <w:rsid w:val="00A144C2"/>
    <w:rsid w:val="00A15143"/>
    <w:rsid w:val="00A154B6"/>
    <w:rsid w:val="00A158B5"/>
    <w:rsid w:val="00A15B77"/>
    <w:rsid w:val="00A15E2D"/>
    <w:rsid w:val="00A167AB"/>
    <w:rsid w:val="00A16E7E"/>
    <w:rsid w:val="00A17840"/>
    <w:rsid w:val="00A20112"/>
    <w:rsid w:val="00A206F2"/>
    <w:rsid w:val="00A20A45"/>
    <w:rsid w:val="00A20EF0"/>
    <w:rsid w:val="00A2147C"/>
    <w:rsid w:val="00A228DD"/>
    <w:rsid w:val="00A23EBD"/>
    <w:rsid w:val="00A242D3"/>
    <w:rsid w:val="00A242D4"/>
    <w:rsid w:val="00A2437F"/>
    <w:rsid w:val="00A2483E"/>
    <w:rsid w:val="00A24CDC"/>
    <w:rsid w:val="00A2514B"/>
    <w:rsid w:val="00A267AF"/>
    <w:rsid w:val="00A26AC7"/>
    <w:rsid w:val="00A2779B"/>
    <w:rsid w:val="00A27950"/>
    <w:rsid w:val="00A30AB1"/>
    <w:rsid w:val="00A30CD5"/>
    <w:rsid w:val="00A30F2A"/>
    <w:rsid w:val="00A31AC0"/>
    <w:rsid w:val="00A31DB9"/>
    <w:rsid w:val="00A31F11"/>
    <w:rsid w:val="00A32803"/>
    <w:rsid w:val="00A33066"/>
    <w:rsid w:val="00A37DC9"/>
    <w:rsid w:val="00A4007B"/>
    <w:rsid w:val="00A400C5"/>
    <w:rsid w:val="00A4028A"/>
    <w:rsid w:val="00A40747"/>
    <w:rsid w:val="00A41813"/>
    <w:rsid w:val="00A41866"/>
    <w:rsid w:val="00A4188C"/>
    <w:rsid w:val="00A41C43"/>
    <w:rsid w:val="00A41EBF"/>
    <w:rsid w:val="00A423E1"/>
    <w:rsid w:val="00A42441"/>
    <w:rsid w:val="00A426F2"/>
    <w:rsid w:val="00A42A4C"/>
    <w:rsid w:val="00A4310E"/>
    <w:rsid w:val="00A431E5"/>
    <w:rsid w:val="00A43569"/>
    <w:rsid w:val="00A44A7D"/>
    <w:rsid w:val="00A44DD5"/>
    <w:rsid w:val="00A45102"/>
    <w:rsid w:val="00A45582"/>
    <w:rsid w:val="00A46222"/>
    <w:rsid w:val="00A46970"/>
    <w:rsid w:val="00A46A1B"/>
    <w:rsid w:val="00A47104"/>
    <w:rsid w:val="00A47975"/>
    <w:rsid w:val="00A47C50"/>
    <w:rsid w:val="00A51FF2"/>
    <w:rsid w:val="00A52E73"/>
    <w:rsid w:val="00A52ED3"/>
    <w:rsid w:val="00A548FF"/>
    <w:rsid w:val="00A54F75"/>
    <w:rsid w:val="00A54FAB"/>
    <w:rsid w:val="00A54FE8"/>
    <w:rsid w:val="00A55455"/>
    <w:rsid w:val="00A556D7"/>
    <w:rsid w:val="00A55DCA"/>
    <w:rsid w:val="00A56444"/>
    <w:rsid w:val="00A5650B"/>
    <w:rsid w:val="00A57013"/>
    <w:rsid w:val="00A573FA"/>
    <w:rsid w:val="00A575A0"/>
    <w:rsid w:val="00A602A3"/>
    <w:rsid w:val="00A6058A"/>
    <w:rsid w:val="00A60CA1"/>
    <w:rsid w:val="00A60EA3"/>
    <w:rsid w:val="00A615C9"/>
    <w:rsid w:val="00A61DA1"/>
    <w:rsid w:val="00A630A9"/>
    <w:rsid w:val="00A632A3"/>
    <w:rsid w:val="00A63B59"/>
    <w:rsid w:val="00A63DA8"/>
    <w:rsid w:val="00A6452B"/>
    <w:rsid w:val="00A64CFA"/>
    <w:rsid w:val="00A66BB5"/>
    <w:rsid w:val="00A66DDA"/>
    <w:rsid w:val="00A67D44"/>
    <w:rsid w:val="00A67DBD"/>
    <w:rsid w:val="00A70212"/>
    <w:rsid w:val="00A70783"/>
    <w:rsid w:val="00A707B3"/>
    <w:rsid w:val="00A7171E"/>
    <w:rsid w:val="00A71751"/>
    <w:rsid w:val="00A722A1"/>
    <w:rsid w:val="00A72697"/>
    <w:rsid w:val="00A72C34"/>
    <w:rsid w:val="00A72F2D"/>
    <w:rsid w:val="00A7354F"/>
    <w:rsid w:val="00A748D4"/>
    <w:rsid w:val="00A749B3"/>
    <w:rsid w:val="00A7564C"/>
    <w:rsid w:val="00A7593F"/>
    <w:rsid w:val="00A75AB1"/>
    <w:rsid w:val="00A75E8C"/>
    <w:rsid w:val="00A765A7"/>
    <w:rsid w:val="00A76A2B"/>
    <w:rsid w:val="00A772BE"/>
    <w:rsid w:val="00A7791C"/>
    <w:rsid w:val="00A77B2E"/>
    <w:rsid w:val="00A80885"/>
    <w:rsid w:val="00A8092C"/>
    <w:rsid w:val="00A80CB6"/>
    <w:rsid w:val="00A810D4"/>
    <w:rsid w:val="00A81574"/>
    <w:rsid w:val="00A8187B"/>
    <w:rsid w:val="00A818E1"/>
    <w:rsid w:val="00A81BF8"/>
    <w:rsid w:val="00A81F5A"/>
    <w:rsid w:val="00A8340C"/>
    <w:rsid w:val="00A83860"/>
    <w:rsid w:val="00A8387E"/>
    <w:rsid w:val="00A83D22"/>
    <w:rsid w:val="00A83F8A"/>
    <w:rsid w:val="00A84062"/>
    <w:rsid w:val="00A84090"/>
    <w:rsid w:val="00A84230"/>
    <w:rsid w:val="00A85061"/>
    <w:rsid w:val="00A856A9"/>
    <w:rsid w:val="00A8613D"/>
    <w:rsid w:val="00A869B2"/>
    <w:rsid w:val="00A86C5E"/>
    <w:rsid w:val="00A86C78"/>
    <w:rsid w:val="00A879CF"/>
    <w:rsid w:val="00A90E56"/>
    <w:rsid w:val="00A910B3"/>
    <w:rsid w:val="00A913C7"/>
    <w:rsid w:val="00A91BFA"/>
    <w:rsid w:val="00A91F07"/>
    <w:rsid w:val="00A93258"/>
    <w:rsid w:val="00A94246"/>
    <w:rsid w:val="00A9503D"/>
    <w:rsid w:val="00A954A4"/>
    <w:rsid w:val="00A95EA3"/>
    <w:rsid w:val="00A96AB2"/>
    <w:rsid w:val="00A96F17"/>
    <w:rsid w:val="00A97A6B"/>
    <w:rsid w:val="00AA0921"/>
    <w:rsid w:val="00AA0BC1"/>
    <w:rsid w:val="00AA0F14"/>
    <w:rsid w:val="00AA1856"/>
    <w:rsid w:val="00AA1FAC"/>
    <w:rsid w:val="00AA2071"/>
    <w:rsid w:val="00AA2CCF"/>
    <w:rsid w:val="00AA2DCE"/>
    <w:rsid w:val="00AA6429"/>
    <w:rsid w:val="00AA6D73"/>
    <w:rsid w:val="00AA717D"/>
    <w:rsid w:val="00AA778F"/>
    <w:rsid w:val="00AA7A01"/>
    <w:rsid w:val="00AB0265"/>
    <w:rsid w:val="00AB0411"/>
    <w:rsid w:val="00AB0E9F"/>
    <w:rsid w:val="00AB0ED3"/>
    <w:rsid w:val="00AB1317"/>
    <w:rsid w:val="00AB181B"/>
    <w:rsid w:val="00AB26D5"/>
    <w:rsid w:val="00AB336A"/>
    <w:rsid w:val="00AB3A6B"/>
    <w:rsid w:val="00AB4580"/>
    <w:rsid w:val="00AB47A7"/>
    <w:rsid w:val="00AB4936"/>
    <w:rsid w:val="00AB4A22"/>
    <w:rsid w:val="00AB4FF3"/>
    <w:rsid w:val="00AB5573"/>
    <w:rsid w:val="00AB58E7"/>
    <w:rsid w:val="00AB5C9C"/>
    <w:rsid w:val="00AB5F0A"/>
    <w:rsid w:val="00AB63A5"/>
    <w:rsid w:val="00AB674A"/>
    <w:rsid w:val="00AB6880"/>
    <w:rsid w:val="00AB6DBC"/>
    <w:rsid w:val="00AB70EC"/>
    <w:rsid w:val="00AC0041"/>
    <w:rsid w:val="00AC03DB"/>
    <w:rsid w:val="00AC04D6"/>
    <w:rsid w:val="00AC0EDB"/>
    <w:rsid w:val="00AC10B3"/>
    <w:rsid w:val="00AC136C"/>
    <w:rsid w:val="00AC13E7"/>
    <w:rsid w:val="00AC196A"/>
    <w:rsid w:val="00AC1A69"/>
    <w:rsid w:val="00AC1E9F"/>
    <w:rsid w:val="00AC2803"/>
    <w:rsid w:val="00AC37E9"/>
    <w:rsid w:val="00AC410B"/>
    <w:rsid w:val="00AC463A"/>
    <w:rsid w:val="00AC470E"/>
    <w:rsid w:val="00AC5205"/>
    <w:rsid w:val="00AC53E0"/>
    <w:rsid w:val="00AC5CBF"/>
    <w:rsid w:val="00AC6DCB"/>
    <w:rsid w:val="00AC7533"/>
    <w:rsid w:val="00AD0181"/>
    <w:rsid w:val="00AD298D"/>
    <w:rsid w:val="00AD2AD4"/>
    <w:rsid w:val="00AD3166"/>
    <w:rsid w:val="00AD3B83"/>
    <w:rsid w:val="00AD44B0"/>
    <w:rsid w:val="00AD510E"/>
    <w:rsid w:val="00AD542E"/>
    <w:rsid w:val="00AD5528"/>
    <w:rsid w:val="00AD5C45"/>
    <w:rsid w:val="00AD678F"/>
    <w:rsid w:val="00AD6DBC"/>
    <w:rsid w:val="00AD79C2"/>
    <w:rsid w:val="00AE0B26"/>
    <w:rsid w:val="00AE0F28"/>
    <w:rsid w:val="00AE15D3"/>
    <w:rsid w:val="00AE17D8"/>
    <w:rsid w:val="00AE2899"/>
    <w:rsid w:val="00AE298B"/>
    <w:rsid w:val="00AE2E6B"/>
    <w:rsid w:val="00AE3942"/>
    <w:rsid w:val="00AE53D9"/>
    <w:rsid w:val="00AE5467"/>
    <w:rsid w:val="00AE578B"/>
    <w:rsid w:val="00AE59AC"/>
    <w:rsid w:val="00AE5B96"/>
    <w:rsid w:val="00AE5BFB"/>
    <w:rsid w:val="00AE6107"/>
    <w:rsid w:val="00AE61DD"/>
    <w:rsid w:val="00AE6BB1"/>
    <w:rsid w:val="00AE7226"/>
    <w:rsid w:val="00AE763F"/>
    <w:rsid w:val="00AE7A4D"/>
    <w:rsid w:val="00AE7BA6"/>
    <w:rsid w:val="00AF02CF"/>
    <w:rsid w:val="00AF0749"/>
    <w:rsid w:val="00AF0D97"/>
    <w:rsid w:val="00AF211D"/>
    <w:rsid w:val="00AF2227"/>
    <w:rsid w:val="00AF23B0"/>
    <w:rsid w:val="00AF2B5E"/>
    <w:rsid w:val="00AF2D7E"/>
    <w:rsid w:val="00AF3833"/>
    <w:rsid w:val="00AF3D1B"/>
    <w:rsid w:val="00AF44DA"/>
    <w:rsid w:val="00AF477F"/>
    <w:rsid w:val="00AF5049"/>
    <w:rsid w:val="00AF5384"/>
    <w:rsid w:val="00AF5C1F"/>
    <w:rsid w:val="00AF72D9"/>
    <w:rsid w:val="00AF786C"/>
    <w:rsid w:val="00AF7A79"/>
    <w:rsid w:val="00B01236"/>
    <w:rsid w:val="00B01344"/>
    <w:rsid w:val="00B013BB"/>
    <w:rsid w:val="00B01457"/>
    <w:rsid w:val="00B018BF"/>
    <w:rsid w:val="00B02627"/>
    <w:rsid w:val="00B02A74"/>
    <w:rsid w:val="00B02A97"/>
    <w:rsid w:val="00B02E04"/>
    <w:rsid w:val="00B03015"/>
    <w:rsid w:val="00B03439"/>
    <w:rsid w:val="00B03FD1"/>
    <w:rsid w:val="00B04EED"/>
    <w:rsid w:val="00B04FB6"/>
    <w:rsid w:val="00B06805"/>
    <w:rsid w:val="00B06DCC"/>
    <w:rsid w:val="00B07257"/>
    <w:rsid w:val="00B0755B"/>
    <w:rsid w:val="00B07643"/>
    <w:rsid w:val="00B077B2"/>
    <w:rsid w:val="00B07B29"/>
    <w:rsid w:val="00B07BD8"/>
    <w:rsid w:val="00B07C1E"/>
    <w:rsid w:val="00B07E81"/>
    <w:rsid w:val="00B07F9F"/>
    <w:rsid w:val="00B1034C"/>
    <w:rsid w:val="00B10A85"/>
    <w:rsid w:val="00B118CE"/>
    <w:rsid w:val="00B12249"/>
    <w:rsid w:val="00B12D9D"/>
    <w:rsid w:val="00B13964"/>
    <w:rsid w:val="00B13AF8"/>
    <w:rsid w:val="00B15DCF"/>
    <w:rsid w:val="00B162B6"/>
    <w:rsid w:val="00B16AB7"/>
    <w:rsid w:val="00B16FEC"/>
    <w:rsid w:val="00B17279"/>
    <w:rsid w:val="00B17A63"/>
    <w:rsid w:val="00B17B0E"/>
    <w:rsid w:val="00B17E2E"/>
    <w:rsid w:val="00B20624"/>
    <w:rsid w:val="00B20D99"/>
    <w:rsid w:val="00B213E5"/>
    <w:rsid w:val="00B21C62"/>
    <w:rsid w:val="00B222EB"/>
    <w:rsid w:val="00B2265B"/>
    <w:rsid w:val="00B22F24"/>
    <w:rsid w:val="00B238C9"/>
    <w:rsid w:val="00B23B28"/>
    <w:rsid w:val="00B2436D"/>
    <w:rsid w:val="00B245DD"/>
    <w:rsid w:val="00B24D5F"/>
    <w:rsid w:val="00B26117"/>
    <w:rsid w:val="00B26E67"/>
    <w:rsid w:val="00B27811"/>
    <w:rsid w:val="00B27DAA"/>
    <w:rsid w:val="00B27E56"/>
    <w:rsid w:val="00B30C2D"/>
    <w:rsid w:val="00B30FD1"/>
    <w:rsid w:val="00B31053"/>
    <w:rsid w:val="00B310E1"/>
    <w:rsid w:val="00B3184D"/>
    <w:rsid w:val="00B31BC0"/>
    <w:rsid w:val="00B324FD"/>
    <w:rsid w:val="00B32A99"/>
    <w:rsid w:val="00B3305B"/>
    <w:rsid w:val="00B332C6"/>
    <w:rsid w:val="00B332E3"/>
    <w:rsid w:val="00B337BD"/>
    <w:rsid w:val="00B33DE0"/>
    <w:rsid w:val="00B3416F"/>
    <w:rsid w:val="00B34980"/>
    <w:rsid w:val="00B3498A"/>
    <w:rsid w:val="00B34E74"/>
    <w:rsid w:val="00B34F24"/>
    <w:rsid w:val="00B3510C"/>
    <w:rsid w:val="00B35167"/>
    <w:rsid w:val="00B351B9"/>
    <w:rsid w:val="00B35881"/>
    <w:rsid w:val="00B35E06"/>
    <w:rsid w:val="00B36493"/>
    <w:rsid w:val="00B3685E"/>
    <w:rsid w:val="00B36A53"/>
    <w:rsid w:val="00B36D1A"/>
    <w:rsid w:val="00B36EF4"/>
    <w:rsid w:val="00B37015"/>
    <w:rsid w:val="00B37237"/>
    <w:rsid w:val="00B40132"/>
    <w:rsid w:val="00B40269"/>
    <w:rsid w:val="00B40DCF"/>
    <w:rsid w:val="00B40EB0"/>
    <w:rsid w:val="00B418E5"/>
    <w:rsid w:val="00B42986"/>
    <w:rsid w:val="00B4427D"/>
    <w:rsid w:val="00B4444A"/>
    <w:rsid w:val="00B44717"/>
    <w:rsid w:val="00B4471D"/>
    <w:rsid w:val="00B4483F"/>
    <w:rsid w:val="00B44BAC"/>
    <w:rsid w:val="00B44FA3"/>
    <w:rsid w:val="00B450AC"/>
    <w:rsid w:val="00B4572E"/>
    <w:rsid w:val="00B45730"/>
    <w:rsid w:val="00B4606B"/>
    <w:rsid w:val="00B4618B"/>
    <w:rsid w:val="00B461CA"/>
    <w:rsid w:val="00B46897"/>
    <w:rsid w:val="00B46E9E"/>
    <w:rsid w:val="00B4737E"/>
    <w:rsid w:val="00B47A38"/>
    <w:rsid w:val="00B501E3"/>
    <w:rsid w:val="00B5052A"/>
    <w:rsid w:val="00B51B19"/>
    <w:rsid w:val="00B5226A"/>
    <w:rsid w:val="00B524E0"/>
    <w:rsid w:val="00B524F9"/>
    <w:rsid w:val="00B52700"/>
    <w:rsid w:val="00B52966"/>
    <w:rsid w:val="00B52F3E"/>
    <w:rsid w:val="00B531DD"/>
    <w:rsid w:val="00B5352C"/>
    <w:rsid w:val="00B540ED"/>
    <w:rsid w:val="00B54295"/>
    <w:rsid w:val="00B5524C"/>
    <w:rsid w:val="00B56527"/>
    <w:rsid w:val="00B56AD5"/>
    <w:rsid w:val="00B5781A"/>
    <w:rsid w:val="00B57AC2"/>
    <w:rsid w:val="00B60490"/>
    <w:rsid w:val="00B609DB"/>
    <w:rsid w:val="00B61607"/>
    <w:rsid w:val="00B61E05"/>
    <w:rsid w:val="00B6217C"/>
    <w:rsid w:val="00B6260F"/>
    <w:rsid w:val="00B62767"/>
    <w:rsid w:val="00B62A8C"/>
    <w:rsid w:val="00B62D43"/>
    <w:rsid w:val="00B63D2A"/>
    <w:rsid w:val="00B646B7"/>
    <w:rsid w:val="00B6479F"/>
    <w:rsid w:val="00B65282"/>
    <w:rsid w:val="00B6530D"/>
    <w:rsid w:val="00B65AEC"/>
    <w:rsid w:val="00B65E3C"/>
    <w:rsid w:val="00B669E2"/>
    <w:rsid w:val="00B66B5F"/>
    <w:rsid w:val="00B66B98"/>
    <w:rsid w:val="00B674E0"/>
    <w:rsid w:val="00B67FE7"/>
    <w:rsid w:val="00B70A0A"/>
    <w:rsid w:val="00B7142B"/>
    <w:rsid w:val="00B719EE"/>
    <w:rsid w:val="00B72387"/>
    <w:rsid w:val="00B7253C"/>
    <w:rsid w:val="00B72B2A"/>
    <w:rsid w:val="00B733BA"/>
    <w:rsid w:val="00B73B4E"/>
    <w:rsid w:val="00B74005"/>
    <w:rsid w:val="00B74AC3"/>
    <w:rsid w:val="00B74C4B"/>
    <w:rsid w:val="00B7525D"/>
    <w:rsid w:val="00B754A0"/>
    <w:rsid w:val="00B757CA"/>
    <w:rsid w:val="00B75921"/>
    <w:rsid w:val="00B75C20"/>
    <w:rsid w:val="00B75EE5"/>
    <w:rsid w:val="00B762FC"/>
    <w:rsid w:val="00B76B42"/>
    <w:rsid w:val="00B775F3"/>
    <w:rsid w:val="00B8037D"/>
    <w:rsid w:val="00B818F1"/>
    <w:rsid w:val="00B81C84"/>
    <w:rsid w:val="00B81D40"/>
    <w:rsid w:val="00B81E15"/>
    <w:rsid w:val="00B820AD"/>
    <w:rsid w:val="00B8223B"/>
    <w:rsid w:val="00B822B9"/>
    <w:rsid w:val="00B84CE8"/>
    <w:rsid w:val="00B85337"/>
    <w:rsid w:val="00B863FB"/>
    <w:rsid w:val="00B8697C"/>
    <w:rsid w:val="00B86FFD"/>
    <w:rsid w:val="00B87734"/>
    <w:rsid w:val="00B87AC2"/>
    <w:rsid w:val="00B900B3"/>
    <w:rsid w:val="00B90864"/>
    <w:rsid w:val="00B91542"/>
    <w:rsid w:val="00B91B4F"/>
    <w:rsid w:val="00B92307"/>
    <w:rsid w:val="00B92415"/>
    <w:rsid w:val="00B929FB"/>
    <w:rsid w:val="00B930CB"/>
    <w:rsid w:val="00B93171"/>
    <w:rsid w:val="00B93193"/>
    <w:rsid w:val="00B93EE9"/>
    <w:rsid w:val="00B94289"/>
    <w:rsid w:val="00B94395"/>
    <w:rsid w:val="00B94BC1"/>
    <w:rsid w:val="00B9510D"/>
    <w:rsid w:val="00B958C8"/>
    <w:rsid w:val="00B95DC4"/>
    <w:rsid w:val="00BA03B3"/>
    <w:rsid w:val="00BA0639"/>
    <w:rsid w:val="00BA0A89"/>
    <w:rsid w:val="00BA162E"/>
    <w:rsid w:val="00BA2220"/>
    <w:rsid w:val="00BA3FB9"/>
    <w:rsid w:val="00BA426D"/>
    <w:rsid w:val="00BA430B"/>
    <w:rsid w:val="00BA4606"/>
    <w:rsid w:val="00BA49BD"/>
    <w:rsid w:val="00BA4B2E"/>
    <w:rsid w:val="00BA4B6E"/>
    <w:rsid w:val="00BA5403"/>
    <w:rsid w:val="00BA5E54"/>
    <w:rsid w:val="00BA64B6"/>
    <w:rsid w:val="00BA66B8"/>
    <w:rsid w:val="00BA68F2"/>
    <w:rsid w:val="00BA7C5A"/>
    <w:rsid w:val="00BB088A"/>
    <w:rsid w:val="00BB105E"/>
    <w:rsid w:val="00BB10CE"/>
    <w:rsid w:val="00BB1365"/>
    <w:rsid w:val="00BB1A8D"/>
    <w:rsid w:val="00BB2AB9"/>
    <w:rsid w:val="00BB37D7"/>
    <w:rsid w:val="00BB384C"/>
    <w:rsid w:val="00BB479C"/>
    <w:rsid w:val="00BB4D33"/>
    <w:rsid w:val="00BB5A7A"/>
    <w:rsid w:val="00BB5C94"/>
    <w:rsid w:val="00BB637E"/>
    <w:rsid w:val="00BB7211"/>
    <w:rsid w:val="00BC07C2"/>
    <w:rsid w:val="00BC20DF"/>
    <w:rsid w:val="00BC27F2"/>
    <w:rsid w:val="00BC328E"/>
    <w:rsid w:val="00BC3A94"/>
    <w:rsid w:val="00BC48C5"/>
    <w:rsid w:val="00BC4FBF"/>
    <w:rsid w:val="00BC5D5E"/>
    <w:rsid w:val="00BC6607"/>
    <w:rsid w:val="00BC6CE1"/>
    <w:rsid w:val="00BC763E"/>
    <w:rsid w:val="00BD06A0"/>
    <w:rsid w:val="00BD086A"/>
    <w:rsid w:val="00BD28AC"/>
    <w:rsid w:val="00BD3BC8"/>
    <w:rsid w:val="00BD3F0F"/>
    <w:rsid w:val="00BD4030"/>
    <w:rsid w:val="00BD4CED"/>
    <w:rsid w:val="00BD5B15"/>
    <w:rsid w:val="00BD5EF6"/>
    <w:rsid w:val="00BD5FD1"/>
    <w:rsid w:val="00BD6059"/>
    <w:rsid w:val="00BD6690"/>
    <w:rsid w:val="00BD7365"/>
    <w:rsid w:val="00BD782B"/>
    <w:rsid w:val="00BD7BCA"/>
    <w:rsid w:val="00BE074C"/>
    <w:rsid w:val="00BE0894"/>
    <w:rsid w:val="00BE1535"/>
    <w:rsid w:val="00BE1F81"/>
    <w:rsid w:val="00BE20D1"/>
    <w:rsid w:val="00BE41AC"/>
    <w:rsid w:val="00BE4BA5"/>
    <w:rsid w:val="00BE4C6F"/>
    <w:rsid w:val="00BE5763"/>
    <w:rsid w:val="00BE580F"/>
    <w:rsid w:val="00BE5CB4"/>
    <w:rsid w:val="00BE64C5"/>
    <w:rsid w:val="00BE6C6E"/>
    <w:rsid w:val="00BE7048"/>
    <w:rsid w:val="00BE75A9"/>
    <w:rsid w:val="00BE776A"/>
    <w:rsid w:val="00BE7B0B"/>
    <w:rsid w:val="00BE7E46"/>
    <w:rsid w:val="00BF048C"/>
    <w:rsid w:val="00BF080D"/>
    <w:rsid w:val="00BF0975"/>
    <w:rsid w:val="00BF0D7A"/>
    <w:rsid w:val="00BF0DC6"/>
    <w:rsid w:val="00BF13B9"/>
    <w:rsid w:val="00BF2621"/>
    <w:rsid w:val="00BF2A72"/>
    <w:rsid w:val="00BF2F44"/>
    <w:rsid w:val="00BF3115"/>
    <w:rsid w:val="00BF32E3"/>
    <w:rsid w:val="00BF3C6C"/>
    <w:rsid w:val="00BF4E91"/>
    <w:rsid w:val="00BF6200"/>
    <w:rsid w:val="00BF6547"/>
    <w:rsid w:val="00BF707C"/>
    <w:rsid w:val="00BF7277"/>
    <w:rsid w:val="00BF7828"/>
    <w:rsid w:val="00BF7CC4"/>
    <w:rsid w:val="00C001DC"/>
    <w:rsid w:val="00C0195E"/>
    <w:rsid w:val="00C01ABA"/>
    <w:rsid w:val="00C01C48"/>
    <w:rsid w:val="00C01CFD"/>
    <w:rsid w:val="00C020AA"/>
    <w:rsid w:val="00C027DC"/>
    <w:rsid w:val="00C02898"/>
    <w:rsid w:val="00C02F5C"/>
    <w:rsid w:val="00C03734"/>
    <w:rsid w:val="00C03FF7"/>
    <w:rsid w:val="00C043D8"/>
    <w:rsid w:val="00C044CD"/>
    <w:rsid w:val="00C04790"/>
    <w:rsid w:val="00C048C9"/>
    <w:rsid w:val="00C04ED6"/>
    <w:rsid w:val="00C05228"/>
    <w:rsid w:val="00C05C17"/>
    <w:rsid w:val="00C0622B"/>
    <w:rsid w:val="00C07564"/>
    <w:rsid w:val="00C0793E"/>
    <w:rsid w:val="00C100C1"/>
    <w:rsid w:val="00C1019E"/>
    <w:rsid w:val="00C10360"/>
    <w:rsid w:val="00C10F45"/>
    <w:rsid w:val="00C10FBB"/>
    <w:rsid w:val="00C11550"/>
    <w:rsid w:val="00C11A1E"/>
    <w:rsid w:val="00C11AFF"/>
    <w:rsid w:val="00C12914"/>
    <w:rsid w:val="00C130FC"/>
    <w:rsid w:val="00C13705"/>
    <w:rsid w:val="00C13AD8"/>
    <w:rsid w:val="00C14058"/>
    <w:rsid w:val="00C14158"/>
    <w:rsid w:val="00C145A1"/>
    <w:rsid w:val="00C14D57"/>
    <w:rsid w:val="00C14F41"/>
    <w:rsid w:val="00C15140"/>
    <w:rsid w:val="00C16EB6"/>
    <w:rsid w:val="00C17194"/>
    <w:rsid w:val="00C17BE5"/>
    <w:rsid w:val="00C207F5"/>
    <w:rsid w:val="00C20C0B"/>
    <w:rsid w:val="00C20EB0"/>
    <w:rsid w:val="00C213EB"/>
    <w:rsid w:val="00C21A3E"/>
    <w:rsid w:val="00C224E9"/>
    <w:rsid w:val="00C25DBE"/>
    <w:rsid w:val="00C26138"/>
    <w:rsid w:val="00C2727E"/>
    <w:rsid w:val="00C27ED8"/>
    <w:rsid w:val="00C31C78"/>
    <w:rsid w:val="00C32079"/>
    <w:rsid w:val="00C329CE"/>
    <w:rsid w:val="00C331DD"/>
    <w:rsid w:val="00C3349B"/>
    <w:rsid w:val="00C33C68"/>
    <w:rsid w:val="00C34DA5"/>
    <w:rsid w:val="00C352A9"/>
    <w:rsid w:val="00C35886"/>
    <w:rsid w:val="00C35E93"/>
    <w:rsid w:val="00C3665D"/>
    <w:rsid w:val="00C37599"/>
    <w:rsid w:val="00C3760C"/>
    <w:rsid w:val="00C37A21"/>
    <w:rsid w:val="00C40092"/>
    <w:rsid w:val="00C40A59"/>
    <w:rsid w:val="00C41B19"/>
    <w:rsid w:val="00C42D94"/>
    <w:rsid w:val="00C42FEC"/>
    <w:rsid w:val="00C43062"/>
    <w:rsid w:val="00C43285"/>
    <w:rsid w:val="00C4348D"/>
    <w:rsid w:val="00C43FC0"/>
    <w:rsid w:val="00C440DD"/>
    <w:rsid w:val="00C44909"/>
    <w:rsid w:val="00C44F8E"/>
    <w:rsid w:val="00C44FD6"/>
    <w:rsid w:val="00C44FF4"/>
    <w:rsid w:val="00C45366"/>
    <w:rsid w:val="00C45C17"/>
    <w:rsid w:val="00C45EB1"/>
    <w:rsid w:val="00C45EF7"/>
    <w:rsid w:val="00C4649E"/>
    <w:rsid w:val="00C46FC8"/>
    <w:rsid w:val="00C47280"/>
    <w:rsid w:val="00C47B42"/>
    <w:rsid w:val="00C47DE1"/>
    <w:rsid w:val="00C50714"/>
    <w:rsid w:val="00C50A06"/>
    <w:rsid w:val="00C50EED"/>
    <w:rsid w:val="00C51699"/>
    <w:rsid w:val="00C51771"/>
    <w:rsid w:val="00C51E3F"/>
    <w:rsid w:val="00C5253F"/>
    <w:rsid w:val="00C52A6B"/>
    <w:rsid w:val="00C52CB3"/>
    <w:rsid w:val="00C531E9"/>
    <w:rsid w:val="00C532A1"/>
    <w:rsid w:val="00C53CDF"/>
    <w:rsid w:val="00C542D3"/>
    <w:rsid w:val="00C54AE8"/>
    <w:rsid w:val="00C55269"/>
    <w:rsid w:val="00C554E7"/>
    <w:rsid w:val="00C55AF6"/>
    <w:rsid w:val="00C55C8C"/>
    <w:rsid w:val="00C55D15"/>
    <w:rsid w:val="00C55F43"/>
    <w:rsid w:val="00C5608E"/>
    <w:rsid w:val="00C564A3"/>
    <w:rsid w:val="00C57294"/>
    <w:rsid w:val="00C57E90"/>
    <w:rsid w:val="00C6015C"/>
    <w:rsid w:val="00C61023"/>
    <w:rsid w:val="00C610EF"/>
    <w:rsid w:val="00C62638"/>
    <w:rsid w:val="00C62B6E"/>
    <w:rsid w:val="00C62CC5"/>
    <w:rsid w:val="00C630B7"/>
    <w:rsid w:val="00C642AA"/>
    <w:rsid w:val="00C64324"/>
    <w:rsid w:val="00C64387"/>
    <w:rsid w:val="00C64F9D"/>
    <w:rsid w:val="00C65708"/>
    <w:rsid w:val="00C6592D"/>
    <w:rsid w:val="00C65C3D"/>
    <w:rsid w:val="00C66A2E"/>
    <w:rsid w:val="00C66D02"/>
    <w:rsid w:val="00C66D8F"/>
    <w:rsid w:val="00C676F6"/>
    <w:rsid w:val="00C70A13"/>
    <w:rsid w:val="00C711EF"/>
    <w:rsid w:val="00C71E82"/>
    <w:rsid w:val="00C7241C"/>
    <w:rsid w:val="00C727C4"/>
    <w:rsid w:val="00C72D75"/>
    <w:rsid w:val="00C72FC4"/>
    <w:rsid w:val="00C73B07"/>
    <w:rsid w:val="00C73D43"/>
    <w:rsid w:val="00C746D2"/>
    <w:rsid w:val="00C74DDA"/>
    <w:rsid w:val="00C750D4"/>
    <w:rsid w:val="00C769F8"/>
    <w:rsid w:val="00C76A43"/>
    <w:rsid w:val="00C76A8C"/>
    <w:rsid w:val="00C77062"/>
    <w:rsid w:val="00C77403"/>
    <w:rsid w:val="00C77B88"/>
    <w:rsid w:val="00C8045A"/>
    <w:rsid w:val="00C80538"/>
    <w:rsid w:val="00C80923"/>
    <w:rsid w:val="00C80B2C"/>
    <w:rsid w:val="00C80DC3"/>
    <w:rsid w:val="00C80EA8"/>
    <w:rsid w:val="00C810E0"/>
    <w:rsid w:val="00C81197"/>
    <w:rsid w:val="00C81D50"/>
    <w:rsid w:val="00C83A90"/>
    <w:rsid w:val="00C83BF0"/>
    <w:rsid w:val="00C83E80"/>
    <w:rsid w:val="00C83F65"/>
    <w:rsid w:val="00C84207"/>
    <w:rsid w:val="00C844DD"/>
    <w:rsid w:val="00C85113"/>
    <w:rsid w:val="00C85914"/>
    <w:rsid w:val="00C866BF"/>
    <w:rsid w:val="00C8727A"/>
    <w:rsid w:val="00C90750"/>
    <w:rsid w:val="00C908D1"/>
    <w:rsid w:val="00C91001"/>
    <w:rsid w:val="00C91530"/>
    <w:rsid w:val="00C918E7"/>
    <w:rsid w:val="00C928C2"/>
    <w:rsid w:val="00C9328D"/>
    <w:rsid w:val="00C93C03"/>
    <w:rsid w:val="00C94A82"/>
    <w:rsid w:val="00C952C1"/>
    <w:rsid w:val="00C95A43"/>
    <w:rsid w:val="00C95FB6"/>
    <w:rsid w:val="00C9661B"/>
    <w:rsid w:val="00C9669D"/>
    <w:rsid w:val="00C96744"/>
    <w:rsid w:val="00C96781"/>
    <w:rsid w:val="00C968BC"/>
    <w:rsid w:val="00C969D6"/>
    <w:rsid w:val="00C97486"/>
    <w:rsid w:val="00C97FB2"/>
    <w:rsid w:val="00CA03A7"/>
    <w:rsid w:val="00CA0A16"/>
    <w:rsid w:val="00CA0BDB"/>
    <w:rsid w:val="00CA146C"/>
    <w:rsid w:val="00CA1D8F"/>
    <w:rsid w:val="00CA1F8A"/>
    <w:rsid w:val="00CA2100"/>
    <w:rsid w:val="00CA2A43"/>
    <w:rsid w:val="00CA2A66"/>
    <w:rsid w:val="00CA30A1"/>
    <w:rsid w:val="00CA3453"/>
    <w:rsid w:val="00CA3845"/>
    <w:rsid w:val="00CA39B2"/>
    <w:rsid w:val="00CA576F"/>
    <w:rsid w:val="00CA646B"/>
    <w:rsid w:val="00CA6703"/>
    <w:rsid w:val="00CA6722"/>
    <w:rsid w:val="00CA77E0"/>
    <w:rsid w:val="00CA7C8B"/>
    <w:rsid w:val="00CA7FF3"/>
    <w:rsid w:val="00CB0181"/>
    <w:rsid w:val="00CB020E"/>
    <w:rsid w:val="00CB1580"/>
    <w:rsid w:val="00CB1D79"/>
    <w:rsid w:val="00CB3587"/>
    <w:rsid w:val="00CB3732"/>
    <w:rsid w:val="00CB39FA"/>
    <w:rsid w:val="00CB3C87"/>
    <w:rsid w:val="00CB3EAF"/>
    <w:rsid w:val="00CB3F64"/>
    <w:rsid w:val="00CB4211"/>
    <w:rsid w:val="00CB4A61"/>
    <w:rsid w:val="00CB567B"/>
    <w:rsid w:val="00CB56D5"/>
    <w:rsid w:val="00CB5922"/>
    <w:rsid w:val="00CB5C67"/>
    <w:rsid w:val="00CB5F0A"/>
    <w:rsid w:val="00CB5F10"/>
    <w:rsid w:val="00CB62B0"/>
    <w:rsid w:val="00CB674B"/>
    <w:rsid w:val="00CB7B57"/>
    <w:rsid w:val="00CB7DD6"/>
    <w:rsid w:val="00CB7E95"/>
    <w:rsid w:val="00CC03B9"/>
    <w:rsid w:val="00CC05C2"/>
    <w:rsid w:val="00CC0ABF"/>
    <w:rsid w:val="00CC0DFC"/>
    <w:rsid w:val="00CC1187"/>
    <w:rsid w:val="00CC1551"/>
    <w:rsid w:val="00CC1892"/>
    <w:rsid w:val="00CC1D4E"/>
    <w:rsid w:val="00CC401C"/>
    <w:rsid w:val="00CC4089"/>
    <w:rsid w:val="00CC489F"/>
    <w:rsid w:val="00CC4EF6"/>
    <w:rsid w:val="00CC4F60"/>
    <w:rsid w:val="00CC511B"/>
    <w:rsid w:val="00CC5223"/>
    <w:rsid w:val="00CC5EE8"/>
    <w:rsid w:val="00CC6177"/>
    <w:rsid w:val="00CC76BF"/>
    <w:rsid w:val="00CD0667"/>
    <w:rsid w:val="00CD0952"/>
    <w:rsid w:val="00CD0CC3"/>
    <w:rsid w:val="00CD1FA5"/>
    <w:rsid w:val="00CD2857"/>
    <w:rsid w:val="00CD3797"/>
    <w:rsid w:val="00CD3C85"/>
    <w:rsid w:val="00CD3D12"/>
    <w:rsid w:val="00CD3EA8"/>
    <w:rsid w:val="00CD4F77"/>
    <w:rsid w:val="00CD5901"/>
    <w:rsid w:val="00CD5B18"/>
    <w:rsid w:val="00CD6D72"/>
    <w:rsid w:val="00CD6FBF"/>
    <w:rsid w:val="00CD74FC"/>
    <w:rsid w:val="00CD76E5"/>
    <w:rsid w:val="00CD7B79"/>
    <w:rsid w:val="00CE0DC7"/>
    <w:rsid w:val="00CE0FDF"/>
    <w:rsid w:val="00CE1464"/>
    <w:rsid w:val="00CE19DC"/>
    <w:rsid w:val="00CE2504"/>
    <w:rsid w:val="00CE2713"/>
    <w:rsid w:val="00CE287F"/>
    <w:rsid w:val="00CE2C98"/>
    <w:rsid w:val="00CE3809"/>
    <w:rsid w:val="00CE3DCB"/>
    <w:rsid w:val="00CE51B3"/>
    <w:rsid w:val="00CE53FC"/>
    <w:rsid w:val="00CE5522"/>
    <w:rsid w:val="00CE5D3E"/>
    <w:rsid w:val="00CE641F"/>
    <w:rsid w:val="00CE6D44"/>
    <w:rsid w:val="00CE727B"/>
    <w:rsid w:val="00CE73ED"/>
    <w:rsid w:val="00CF00A8"/>
    <w:rsid w:val="00CF102F"/>
    <w:rsid w:val="00CF10C6"/>
    <w:rsid w:val="00CF1963"/>
    <w:rsid w:val="00CF1CE0"/>
    <w:rsid w:val="00CF1D5D"/>
    <w:rsid w:val="00CF393E"/>
    <w:rsid w:val="00CF40DA"/>
    <w:rsid w:val="00CF430E"/>
    <w:rsid w:val="00CF4ED0"/>
    <w:rsid w:val="00CF4F72"/>
    <w:rsid w:val="00CF514F"/>
    <w:rsid w:val="00CF5C66"/>
    <w:rsid w:val="00CF5D94"/>
    <w:rsid w:val="00CF68E3"/>
    <w:rsid w:val="00D00AB3"/>
    <w:rsid w:val="00D00E8C"/>
    <w:rsid w:val="00D01245"/>
    <w:rsid w:val="00D01A68"/>
    <w:rsid w:val="00D0215E"/>
    <w:rsid w:val="00D02967"/>
    <w:rsid w:val="00D04201"/>
    <w:rsid w:val="00D0467D"/>
    <w:rsid w:val="00D0479A"/>
    <w:rsid w:val="00D055DE"/>
    <w:rsid w:val="00D0571E"/>
    <w:rsid w:val="00D059C4"/>
    <w:rsid w:val="00D05A65"/>
    <w:rsid w:val="00D05B1D"/>
    <w:rsid w:val="00D05ED7"/>
    <w:rsid w:val="00D064AF"/>
    <w:rsid w:val="00D06BA0"/>
    <w:rsid w:val="00D0727A"/>
    <w:rsid w:val="00D07A2D"/>
    <w:rsid w:val="00D1008F"/>
    <w:rsid w:val="00D100CB"/>
    <w:rsid w:val="00D101FC"/>
    <w:rsid w:val="00D104E0"/>
    <w:rsid w:val="00D10D4D"/>
    <w:rsid w:val="00D11492"/>
    <w:rsid w:val="00D11B8F"/>
    <w:rsid w:val="00D11CDE"/>
    <w:rsid w:val="00D11DA9"/>
    <w:rsid w:val="00D129A7"/>
    <w:rsid w:val="00D12EE7"/>
    <w:rsid w:val="00D13C7F"/>
    <w:rsid w:val="00D13E6E"/>
    <w:rsid w:val="00D1445B"/>
    <w:rsid w:val="00D14481"/>
    <w:rsid w:val="00D1509D"/>
    <w:rsid w:val="00D15A92"/>
    <w:rsid w:val="00D16351"/>
    <w:rsid w:val="00D16931"/>
    <w:rsid w:val="00D200E6"/>
    <w:rsid w:val="00D20352"/>
    <w:rsid w:val="00D20733"/>
    <w:rsid w:val="00D20823"/>
    <w:rsid w:val="00D20B7A"/>
    <w:rsid w:val="00D21895"/>
    <w:rsid w:val="00D21977"/>
    <w:rsid w:val="00D21BCB"/>
    <w:rsid w:val="00D21EA9"/>
    <w:rsid w:val="00D224D9"/>
    <w:rsid w:val="00D22F3C"/>
    <w:rsid w:val="00D230A3"/>
    <w:rsid w:val="00D23143"/>
    <w:rsid w:val="00D2381E"/>
    <w:rsid w:val="00D23BF2"/>
    <w:rsid w:val="00D255E9"/>
    <w:rsid w:val="00D25C78"/>
    <w:rsid w:val="00D25DA1"/>
    <w:rsid w:val="00D26390"/>
    <w:rsid w:val="00D2651E"/>
    <w:rsid w:val="00D2656C"/>
    <w:rsid w:val="00D265DB"/>
    <w:rsid w:val="00D274DA"/>
    <w:rsid w:val="00D27690"/>
    <w:rsid w:val="00D27A14"/>
    <w:rsid w:val="00D27AE8"/>
    <w:rsid w:val="00D27DE0"/>
    <w:rsid w:val="00D304A7"/>
    <w:rsid w:val="00D30B70"/>
    <w:rsid w:val="00D31C5D"/>
    <w:rsid w:val="00D328E4"/>
    <w:rsid w:val="00D32E7E"/>
    <w:rsid w:val="00D3328D"/>
    <w:rsid w:val="00D33CE0"/>
    <w:rsid w:val="00D34030"/>
    <w:rsid w:val="00D358BF"/>
    <w:rsid w:val="00D359A7"/>
    <w:rsid w:val="00D36707"/>
    <w:rsid w:val="00D36BB6"/>
    <w:rsid w:val="00D378AA"/>
    <w:rsid w:val="00D37946"/>
    <w:rsid w:val="00D40230"/>
    <w:rsid w:val="00D4073D"/>
    <w:rsid w:val="00D40C2E"/>
    <w:rsid w:val="00D40C96"/>
    <w:rsid w:val="00D41C4B"/>
    <w:rsid w:val="00D41C81"/>
    <w:rsid w:val="00D4209B"/>
    <w:rsid w:val="00D42354"/>
    <w:rsid w:val="00D4262D"/>
    <w:rsid w:val="00D4276C"/>
    <w:rsid w:val="00D43181"/>
    <w:rsid w:val="00D43654"/>
    <w:rsid w:val="00D4426E"/>
    <w:rsid w:val="00D44949"/>
    <w:rsid w:val="00D44C91"/>
    <w:rsid w:val="00D44DD7"/>
    <w:rsid w:val="00D459D8"/>
    <w:rsid w:val="00D45ACA"/>
    <w:rsid w:val="00D4661E"/>
    <w:rsid w:val="00D466EF"/>
    <w:rsid w:val="00D4682E"/>
    <w:rsid w:val="00D4688E"/>
    <w:rsid w:val="00D469A8"/>
    <w:rsid w:val="00D46D60"/>
    <w:rsid w:val="00D46DFE"/>
    <w:rsid w:val="00D46EAD"/>
    <w:rsid w:val="00D46F1C"/>
    <w:rsid w:val="00D47B5E"/>
    <w:rsid w:val="00D507CE"/>
    <w:rsid w:val="00D51F51"/>
    <w:rsid w:val="00D52236"/>
    <w:rsid w:val="00D5252E"/>
    <w:rsid w:val="00D525E9"/>
    <w:rsid w:val="00D52821"/>
    <w:rsid w:val="00D529FF"/>
    <w:rsid w:val="00D52EEE"/>
    <w:rsid w:val="00D52F2F"/>
    <w:rsid w:val="00D53B00"/>
    <w:rsid w:val="00D53FE4"/>
    <w:rsid w:val="00D540E7"/>
    <w:rsid w:val="00D554FF"/>
    <w:rsid w:val="00D55503"/>
    <w:rsid w:val="00D55E0A"/>
    <w:rsid w:val="00D5633E"/>
    <w:rsid w:val="00D568D4"/>
    <w:rsid w:val="00D5703A"/>
    <w:rsid w:val="00D570FB"/>
    <w:rsid w:val="00D57819"/>
    <w:rsid w:val="00D57E68"/>
    <w:rsid w:val="00D60299"/>
    <w:rsid w:val="00D60A9E"/>
    <w:rsid w:val="00D60C71"/>
    <w:rsid w:val="00D60CB3"/>
    <w:rsid w:val="00D60D8D"/>
    <w:rsid w:val="00D61184"/>
    <w:rsid w:val="00D6200D"/>
    <w:rsid w:val="00D62268"/>
    <w:rsid w:val="00D62CDA"/>
    <w:rsid w:val="00D62DCA"/>
    <w:rsid w:val="00D6423E"/>
    <w:rsid w:val="00D6440A"/>
    <w:rsid w:val="00D6491E"/>
    <w:rsid w:val="00D649D4"/>
    <w:rsid w:val="00D653EB"/>
    <w:rsid w:val="00D6540A"/>
    <w:rsid w:val="00D654BD"/>
    <w:rsid w:val="00D65851"/>
    <w:rsid w:val="00D65A58"/>
    <w:rsid w:val="00D65EFB"/>
    <w:rsid w:val="00D663AF"/>
    <w:rsid w:val="00D67296"/>
    <w:rsid w:val="00D679E8"/>
    <w:rsid w:val="00D67D12"/>
    <w:rsid w:val="00D70445"/>
    <w:rsid w:val="00D70DD6"/>
    <w:rsid w:val="00D70FDD"/>
    <w:rsid w:val="00D711F4"/>
    <w:rsid w:val="00D71A7A"/>
    <w:rsid w:val="00D728C1"/>
    <w:rsid w:val="00D72D5B"/>
    <w:rsid w:val="00D73A9B"/>
    <w:rsid w:val="00D74589"/>
    <w:rsid w:val="00D74C51"/>
    <w:rsid w:val="00D74D2B"/>
    <w:rsid w:val="00D7503E"/>
    <w:rsid w:val="00D751C9"/>
    <w:rsid w:val="00D757F9"/>
    <w:rsid w:val="00D75CDD"/>
    <w:rsid w:val="00D76351"/>
    <w:rsid w:val="00D76516"/>
    <w:rsid w:val="00D76723"/>
    <w:rsid w:val="00D76853"/>
    <w:rsid w:val="00D776DB"/>
    <w:rsid w:val="00D77823"/>
    <w:rsid w:val="00D805B3"/>
    <w:rsid w:val="00D8066A"/>
    <w:rsid w:val="00D80821"/>
    <w:rsid w:val="00D80BCF"/>
    <w:rsid w:val="00D81E59"/>
    <w:rsid w:val="00D81F57"/>
    <w:rsid w:val="00D83113"/>
    <w:rsid w:val="00D8363F"/>
    <w:rsid w:val="00D8462E"/>
    <w:rsid w:val="00D84DC4"/>
    <w:rsid w:val="00D84E29"/>
    <w:rsid w:val="00D85160"/>
    <w:rsid w:val="00D8542C"/>
    <w:rsid w:val="00D855F7"/>
    <w:rsid w:val="00D858D9"/>
    <w:rsid w:val="00D85C8B"/>
    <w:rsid w:val="00D85EAD"/>
    <w:rsid w:val="00D8692F"/>
    <w:rsid w:val="00D86954"/>
    <w:rsid w:val="00D87A91"/>
    <w:rsid w:val="00D9053F"/>
    <w:rsid w:val="00D925DD"/>
    <w:rsid w:val="00D92ABD"/>
    <w:rsid w:val="00D92EF1"/>
    <w:rsid w:val="00D9311B"/>
    <w:rsid w:val="00D93829"/>
    <w:rsid w:val="00D9398C"/>
    <w:rsid w:val="00D93B97"/>
    <w:rsid w:val="00D9409C"/>
    <w:rsid w:val="00D9454F"/>
    <w:rsid w:val="00D947AE"/>
    <w:rsid w:val="00D94878"/>
    <w:rsid w:val="00D95F8F"/>
    <w:rsid w:val="00D96357"/>
    <w:rsid w:val="00D96577"/>
    <w:rsid w:val="00D96EF0"/>
    <w:rsid w:val="00D9713E"/>
    <w:rsid w:val="00D971CB"/>
    <w:rsid w:val="00D97B02"/>
    <w:rsid w:val="00D97D6E"/>
    <w:rsid w:val="00DA07C6"/>
    <w:rsid w:val="00DA0C79"/>
    <w:rsid w:val="00DA1057"/>
    <w:rsid w:val="00DA1420"/>
    <w:rsid w:val="00DA184F"/>
    <w:rsid w:val="00DA1A1B"/>
    <w:rsid w:val="00DA1D42"/>
    <w:rsid w:val="00DA28E2"/>
    <w:rsid w:val="00DA28F2"/>
    <w:rsid w:val="00DA2AAB"/>
    <w:rsid w:val="00DA3105"/>
    <w:rsid w:val="00DA32FF"/>
    <w:rsid w:val="00DA44FA"/>
    <w:rsid w:val="00DA4B33"/>
    <w:rsid w:val="00DA64AE"/>
    <w:rsid w:val="00DA6C74"/>
    <w:rsid w:val="00DA7154"/>
    <w:rsid w:val="00DA74D9"/>
    <w:rsid w:val="00DA74FE"/>
    <w:rsid w:val="00DA7657"/>
    <w:rsid w:val="00DB06BA"/>
    <w:rsid w:val="00DB0B7E"/>
    <w:rsid w:val="00DB0F2C"/>
    <w:rsid w:val="00DB0F5C"/>
    <w:rsid w:val="00DB196C"/>
    <w:rsid w:val="00DB1CB2"/>
    <w:rsid w:val="00DB2CA0"/>
    <w:rsid w:val="00DB2CED"/>
    <w:rsid w:val="00DB3B9A"/>
    <w:rsid w:val="00DB3FCB"/>
    <w:rsid w:val="00DB432C"/>
    <w:rsid w:val="00DB44E5"/>
    <w:rsid w:val="00DB4E48"/>
    <w:rsid w:val="00DB5693"/>
    <w:rsid w:val="00DB62B6"/>
    <w:rsid w:val="00DB66BB"/>
    <w:rsid w:val="00DB75DC"/>
    <w:rsid w:val="00DB78CE"/>
    <w:rsid w:val="00DC0300"/>
    <w:rsid w:val="00DC0805"/>
    <w:rsid w:val="00DC0CA4"/>
    <w:rsid w:val="00DC18AC"/>
    <w:rsid w:val="00DC3511"/>
    <w:rsid w:val="00DC3EE6"/>
    <w:rsid w:val="00DC41B3"/>
    <w:rsid w:val="00DC4204"/>
    <w:rsid w:val="00DC5166"/>
    <w:rsid w:val="00DC53A1"/>
    <w:rsid w:val="00DC54FB"/>
    <w:rsid w:val="00DC626A"/>
    <w:rsid w:val="00DC6823"/>
    <w:rsid w:val="00DC688A"/>
    <w:rsid w:val="00DC6A6D"/>
    <w:rsid w:val="00DC6FA1"/>
    <w:rsid w:val="00DC7837"/>
    <w:rsid w:val="00DC78E3"/>
    <w:rsid w:val="00DD0ED5"/>
    <w:rsid w:val="00DD193B"/>
    <w:rsid w:val="00DD38A3"/>
    <w:rsid w:val="00DD3FCE"/>
    <w:rsid w:val="00DD49C2"/>
    <w:rsid w:val="00DD4A2D"/>
    <w:rsid w:val="00DD4C52"/>
    <w:rsid w:val="00DD5324"/>
    <w:rsid w:val="00DD5C12"/>
    <w:rsid w:val="00DD5CF4"/>
    <w:rsid w:val="00DD5F13"/>
    <w:rsid w:val="00DD6E2C"/>
    <w:rsid w:val="00DD734A"/>
    <w:rsid w:val="00DD74AD"/>
    <w:rsid w:val="00DD76F3"/>
    <w:rsid w:val="00DD77B2"/>
    <w:rsid w:val="00DD7A08"/>
    <w:rsid w:val="00DD7B3F"/>
    <w:rsid w:val="00DE098F"/>
    <w:rsid w:val="00DE0AA8"/>
    <w:rsid w:val="00DE0ACF"/>
    <w:rsid w:val="00DE0D44"/>
    <w:rsid w:val="00DE0F27"/>
    <w:rsid w:val="00DE206F"/>
    <w:rsid w:val="00DE23D7"/>
    <w:rsid w:val="00DE25D8"/>
    <w:rsid w:val="00DE3DA8"/>
    <w:rsid w:val="00DE3FDB"/>
    <w:rsid w:val="00DE44B8"/>
    <w:rsid w:val="00DE4793"/>
    <w:rsid w:val="00DE4973"/>
    <w:rsid w:val="00DE4BBB"/>
    <w:rsid w:val="00DE4E64"/>
    <w:rsid w:val="00DE540A"/>
    <w:rsid w:val="00DE5D26"/>
    <w:rsid w:val="00DE5DB0"/>
    <w:rsid w:val="00DE609F"/>
    <w:rsid w:val="00DE62BF"/>
    <w:rsid w:val="00DE6408"/>
    <w:rsid w:val="00DE79C5"/>
    <w:rsid w:val="00DE7A10"/>
    <w:rsid w:val="00DF00DF"/>
    <w:rsid w:val="00DF00FE"/>
    <w:rsid w:val="00DF02C8"/>
    <w:rsid w:val="00DF061D"/>
    <w:rsid w:val="00DF066A"/>
    <w:rsid w:val="00DF0D1E"/>
    <w:rsid w:val="00DF108F"/>
    <w:rsid w:val="00DF1189"/>
    <w:rsid w:val="00DF18AC"/>
    <w:rsid w:val="00DF2BB6"/>
    <w:rsid w:val="00DF35DB"/>
    <w:rsid w:val="00DF3963"/>
    <w:rsid w:val="00DF49EE"/>
    <w:rsid w:val="00DF5708"/>
    <w:rsid w:val="00DF59FE"/>
    <w:rsid w:val="00DF5BD6"/>
    <w:rsid w:val="00DF5DE5"/>
    <w:rsid w:val="00DF5E9B"/>
    <w:rsid w:val="00DF6D78"/>
    <w:rsid w:val="00DF6F44"/>
    <w:rsid w:val="00DF71B4"/>
    <w:rsid w:val="00DF7345"/>
    <w:rsid w:val="00DF7F95"/>
    <w:rsid w:val="00E00A37"/>
    <w:rsid w:val="00E00CD8"/>
    <w:rsid w:val="00E00D3C"/>
    <w:rsid w:val="00E00E51"/>
    <w:rsid w:val="00E01C6A"/>
    <w:rsid w:val="00E02679"/>
    <w:rsid w:val="00E05151"/>
    <w:rsid w:val="00E0655B"/>
    <w:rsid w:val="00E06EA2"/>
    <w:rsid w:val="00E07D06"/>
    <w:rsid w:val="00E10395"/>
    <w:rsid w:val="00E1049E"/>
    <w:rsid w:val="00E104A2"/>
    <w:rsid w:val="00E1081D"/>
    <w:rsid w:val="00E10A18"/>
    <w:rsid w:val="00E10E45"/>
    <w:rsid w:val="00E1109A"/>
    <w:rsid w:val="00E1120E"/>
    <w:rsid w:val="00E11233"/>
    <w:rsid w:val="00E116DD"/>
    <w:rsid w:val="00E11B43"/>
    <w:rsid w:val="00E12DDE"/>
    <w:rsid w:val="00E13BFE"/>
    <w:rsid w:val="00E14604"/>
    <w:rsid w:val="00E146DE"/>
    <w:rsid w:val="00E150F1"/>
    <w:rsid w:val="00E157EE"/>
    <w:rsid w:val="00E15C61"/>
    <w:rsid w:val="00E1695F"/>
    <w:rsid w:val="00E16AE2"/>
    <w:rsid w:val="00E1707D"/>
    <w:rsid w:val="00E2011C"/>
    <w:rsid w:val="00E20B99"/>
    <w:rsid w:val="00E20CE4"/>
    <w:rsid w:val="00E20EA7"/>
    <w:rsid w:val="00E21266"/>
    <w:rsid w:val="00E214CE"/>
    <w:rsid w:val="00E218B6"/>
    <w:rsid w:val="00E22761"/>
    <w:rsid w:val="00E2296C"/>
    <w:rsid w:val="00E23755"/>
    <w:rsid w:val="00E252AC"/>
    <w:rsid w:val="00E253DD"/>
    <w:rsid w:val="00E26016"/>
    <w:rsid w:val="00E26079"/>
    <w:rsid w:val="00E26A05"/>
    <w:rsid w:val="00E26C2F"/>
    <w:rsid w:val="00E26C4A"/>
    <w:rsid w:val="00E26E34"/>
    <w:rsid w:val="00E26E62"/>
    <w:rsid w:val="00E2709B"/>
    <w:rsid w:val="00E274DC"/>
    <w:rsid w:val="00E274FD"/>
    <w:rsid w:val="00E2766E"/>
    <w:rsid w:val="00E27F72"/>
    <w:rsid w:val="00E305D9"/>
    <w:rsid w:val="00E30DE0"/>
    <w:rsid w:val="00E3135D"/>
    <w:rsid w:val="00E314F3"/>
    <w:rsid w:val="00E31D04"/>
    <w:rsid w:val="00E32769"/>
    <w:rsid w:val="00E32786"/>
    <w:rsid w:val="00E32B6E"/>
    <w:rsid w:val="00E33A08"/>
    <w:rsid w:val="00E33AD3"/>
    <w:rsid w:val="00E33F26"/>
    <w:rsid w:val="00E33FD7"/>
    <w:rsid w:val="00E34030"/>
    <w:rsid w:val="00E34064"/>
    <w:rsid w:val="00E34A89"/>
    <w:rsid w:val="00E34E88"/>
    <w:rsid w:val="00E34F11"/>
    <w:rsid w:val="00E3544A"/>
    <w:rsid w:val="00E35898"/>
    <w:rsid w:val="00E35A79"/>
    <w:rsid w:val="00E36504"/>
    <w:rsid w:val="00E36D77"/>
    <w:rsid w:val="00E36F35"/>
    <w:rsid w:val="00E37176"/>
    <w:rsid w:val="00E373EE"/>
    <w:rsid w:val="00E37EDD"/>
    <w:rsid w:val="00E401A7"/>
    <w:rsid w:val="00E40529"/>
    <w:rsid w:val="00E4060A"/>
    <w:rsid w:val="00E423CB"/>
    <w:rsid w:val="00E42506"/>
    <w:rsid w:val="00E4267B"/>
    <w:rsid w:val="00E429DD"/>
    <w:rsid w:val="00E42B69"/>
    <w:rsid w:val="00E431AF"/>
    <w:rsid w:val="00E4353C"/>
    <w:rsid w:val="00E43658"/>
    <w:rsid w:val="00E44B8E"/>
    <w:rsid w:val="00E45E82"/>
    <w:rsid w:val="00E46734"/>
    <w:rsid w:val="00E46787"/>
    <w:rsid w:val="00E4689E"/>
    <w:rsid w:val="00E4696F"/>
    <w:rsid w:val="00E46C2E"/>
    <w:rsid w:val="00E478B6"/>
    <w:rsid w:val="00E50294"/>
    <w:rsid w:val="00E504B7"/>
    <w:rsid w:val="00E50973"/>
    <w:rsid w:val="00E50E45"/>
    <w:rsid w:val="00E51147"/>
    <w:rsid w:val="00E5156A"/>
    <w:rsid w:val="00E51608"/>
    <w:rsid w:val="00E523A3"/>
    <w:rsid w:val="00E52B1D"/>
    <w:rsid w:val="00E5322E"/>
    <w:rsid w:val="00E533E4"/>
    <w:rsid w:val="00E53C32"/>
    <w:rsid w:val="00E5410D"/>
    <w:rsid w:val="00E557E7"/>
    <w:rsid w:val="00E55D75"/>
    <w:rsid w:val="00E55DC2"/>
    <w:rsid w:val="00E5654A"/>
    <w:rsid w:val="00E566A7"/>
    <w:rsid w:val="00E5684E"/>
    <w:rsid w:val="00E57006"/>
    <w:rsid w:val="00E5720E"/>
    <w:rsid w:val="00E57A93"/>
    <w:rsid w:val="00E57D26"/>
    <w:rsid w:val="00E6056D"/>
    <w:rsid w:val="00E60670"/>
    <w:rsid w:val="00E6074E"/>
    <w:rsid w:val="00E60D12"/>
    <w:rsid w:val="00E615D0"/>
    <w:rsid w:val="00E61A9B"/>
    <w:rsid w:val="00E62062"/>
    <w:rsid w:val="00E631EA"/>
    <w:rsid w:val="00E64320"/>
    <w:rsid w:val="00E6508A"/>
    <w:rsid w:val="00E653A0"/>
    <w:rsid w:val="00E65564"/>
    <w:rsid w:val="00E658DF"/>
    <w:rsid w:val="00E65A97"/>
    <w:rsid w:val="00E660B8"/>
    <w:rsid w:val="00E6684C"/>
    <w:rsid w:val="00E67061"/>
    <w:rsid w:val="00E67D9E"/>
    <w:rsid w:val="00E67F3C"/>
    <w:rsid w:val="00E701EB"/>
    <w:rsid w:val="00E70A85"/>
    <w:rsid w:val="00E7226A"/>
    <w:rsid w:val="00E724BA"/>
    <w:rsid w:val="00E72D27"/>
    <w:rsid w:val="00E74461"/>
    <w:rsid w:val="00E7539A"/>
    <w:rsid w:val="00E75686"/>
    <w:rsid w:val="00E75ACA"/>
    <w:rsid w:val="00E75FF2"/>
    <w:rsid w:val="00E763BF"/>
    <w:rsid w:val="00E764D5"/>
    <w:rsid w:val="00E766EF"/>
    <w:rsid w:val="00E76E39"/>
    <w:rsid w:val="00E77E2B"/>
    <w:rsid w:val="00E77EF1"/>
    <w:rsid w:val="00E800C5"/>
    <w:rsid w:val="00E80702"/>
    <w:rsid w:val="00E8123C"/>
    <w:rsid w:val="00E81902"/>
    <w:rsid w:val="00E81C1A"/>
    <w:rsid w:val="00E82760"/>
    <w:rsid w:val="00E82B51"/>
    <w:rsid w:val="00E835B9"/>
    <w:rsid w:val="00E8391A"/>
    <w:rsid w:val="00E839CA"/>
    <w:rsid w:val="00E839F9"/>
    <w:rsid w:val="00E83FF5"/>
    <w:rsid w:val="00E84789"/>
    <w:rsid w:val="00E850D2"/>
    <w:rsid w:val="00E854F7"/>
    <w:rsid w:val="00E86D85"/>
    <w:rsid w:val="00E872D4"/>
    <w:rsid w:val="00E87F4C"/>
    <w:rsid w:val="00E9010B"/>
    <w:rsid w:val="00E90F0B"/>
    <w:rsid w:val="00E910FC"/>
    <w:rsid w:val="00E91858"/>
    <w:rsid w:val="00E91F2B"/>
    <w:rsid w:val="00E92097"/>
    <w:rsid w:val="00E920AE"/>
    <w:rsid w:val="00E9281C"/>
    <w:rsid w:val="00E92B4E"/>
    <w:rsid w:val="00E92DE8"/>
    <w:rsid w:val="00E92F14"/>
    <w:rsid w:val="00E94D46"/>
    <w:rsid w:val="00E95752"/>
    <w:rsid w:val="00E958B6"/>
    <w:rsid w:val="00E95BCA"/>
    <w:rsid w:val="00E95C97"/>
    <w:rsid w:val="00E95C9E"/>
    <w:rsid w:val="00E95F31"/>
    <w:rsid w:val="00E95F4D"/>
    <w:rsid w:val="00E9695D"/>
    <w:rsid w:val="00E96DF9"/>
    <w:rsid w:val="00E96FB0"/>
    <w:rsid w:val="00E97D9A"/>
    <w:rsid w:val="00EA065F"/>
    <w:rsid w:val="00EA150A"/>
    <w:rsid w:val="00EA1607"/>
    <w:rsid w:val="00EA17F4"/>
    <w:rsid w:val="00EA2390"/>
    <w:rsid w:val="00EA2685"/>
    <w:rsid w:val="00EA2DF5"/>
    <w:rsid w:val="00EA4431"/>
    <w:rsid w:val="00EA4AD3"/>
    <w:rsid w:val="00EA4CC8"/>
    <w:rsid w:val="00EA4F00"/>
    <w:rsid w:val="00EA5C87"/>
    <w:rsid w:val="00EA5D4A"/>
    <w:rsid w:val="00EA60E3"/>
    <w:rsid w:val="00EA68A8"/>
    <w:rsid w:val="00EA6F35"/>
    <w:rsid w:val="00EA6F6E"/>
    <w:rsid w:val="00EA7613"/>
    <w:rsid w:val="00EA76ED"/>
    <w:rsid w:val="00EA7CC0"/>
    <w:rsid w:val="00EB082C"/>
    <w:rsid w:val="00EB0DEB"/>
    <w:rsid w:val="00EB112F"/>
    <w:rsid w:val="00EB1BF8"/>
    <w:rsid w:val="00EB3CCA"/>
    <w:rsid w:val="00EB41F0"/>
    <w:rsid w:val="00EB56BE"/>
    <w:rsid w:val="00EB6814"/>
    <w:rsid w:val="00EB682E"/>
    <w:rsid w:val="00EB79A5"/>
    <w:rsid w:val="00EC056B"/>
    <w:rsid w:val="00EC05A9"/>
    <w:rsid w:val="00EC1116"/>
    <w:rsid w:val="00EC1280"/>
    <w:rsid w:val="00EC1584"/>
    <w:rsid w:val="00EC1BB9"/>
    <w:rsid w:val="00EC3348"/>
    <w:rsid w:val="00EC36B0"/>
    <w:rsid w:val="00EC54FF"/>
    <w:rsid w:val="00EC5A1E"/>
    <w:rsid w:val="00EC5BAC"/>
    <w:rsid w:val="00EC5E2F"/>
    <w:rsid w:val="00EC64A2"/>
    <w:rsid w:val="00EC6D12"/>
    <w:rsid w:val="00EC6E0A"/>
    <w:rsid w:val="00EC7894"/>
    <w:rsid w:val="00EC7A10"/>
    <w:rsid w:val="00ED0222"/>
    <w:rsid w:val="00ED07FB"/>
    <w:rsid w:val="00ED1A05"/>
    <w:rsid w:val="00ED1CA3"/>
    <w:rsid w:val="00ED25C8"/>
    <w:rsid w:val="00ED2E4A"/>
    <w:rsid w:val="00ED2ED5"/>
    <w:rsid w:val="00ED3936"/>
    <w:rsid w:val="00ED393B"/>
    <w:rsid w:val="00ED427E"/>
    <w:rsid w:val="00ED458F"/>
    <w:rsid w:val="00ED5860"/>
    <w:rsid w:val="00ED5AB7"/>
    <w:rsid w:val="00ED5BC4"/>
    <w:rsid w:val="00ED613E"/>
    <w:rsid w:val="00ED6773"/>
    <w:rsid w:val="00ED686F"/>
    <w:rsid w:val="00ED6B09"/>
    <w:rsid w:val="00ED76FF"/>
    <w:rsid w:val="00ED773F"/>
    <w:rsid w:val="00ED7A3E"/>
    <w:rsid w:val="00ED7BB1"/>
    <w:rsid w:val="00EE0AC4"/>
    <w:rsid w:val="00EE0F07"/>
    <w:rsid w:val="00EE194A"/>
    <w:rsid w:val="00EE23CC"/>
    <w:rsid w:val="00EE2724"/>
    <w:rsid w:val="00EE2E06"/>
    <w:rsid w:val="00EE355D"/>
    <w:rsid w:val="00EE3DAD"/>
    <w:rsid w:val="00EE3EC8"/>
    <w:rsid w:val="00EE42DD"/>
    <w:rsid w:val="00EE4B2B"/>
    <w:rsid w:val="00EE4DF3"/>
    <w:rsid w:val="00EE52D1"/>
    <w:rsid w:val="00EE5DC5"/>
    <w:rsid w:val="00EE6167"/>
    <w:rsid w:val="00EE6368"/>
    <w:rsid w:val="00EE6510"/>
    <w:rsid w:val="00EE6A4A"/>
    <w:rsid w:val="00EE6BA5"/>
    <w:rsid w:val="00EE7832"/>
    <w:rsid w:val="00EE7C72"/>
    <w:rsid w:val="00EF05CE"/>
    <w:rsid w:val="00EF0665"/>
    <w:rsid w:val="00EF0680"/>
    <w:rsid w:val="00EF0C32"/>
    <w:rsid w:val="00EF212D"/>
    <w:rsid w:val="00EF216B"/>
    <w:rsid w:val="00EF2542"/>
    <w:rsid w:val="00EF2F61"/>
    <w:rsid w:val="00EF31BA"/>
    <w:rsid w:val="00EF3DD9"/>
    <w:rsid w:val="00EF4219"/>
    <w:rsid w:val="00EF442E"/>
    <w:rsid w:val="00EF44CF"/>
    <w:rsid w:val="00EF49FA"/>
    <w:rsid w:val="00EF52B7"/>
    <w:rsid w:val="00EF5DFB"/>
    <w:rsid w:val="00EF5E59"/>
    <w:rsid w:val="00EF5FE5"/>
    <w:rsid w:val="00EF7C3F"/>
    <w:rsid w:val="00EF7FEF"/>
    <w:rsid w:val="00F0009F"/>
    <w:rsid w:val="00F000A7"/>
    <w:rsid w:val="00F00569"/>
    <w:rsid w:val="00F00FB9"/>
    <w:rsid w:val="00F0184C"/>
    <w:rsid w:val="00F0194C"/>
    <w:rsid w:val="00F019A4"/>
    <w:rsid w:val="00F01E37"/>
    <w:rsid w:val="00F0345E"/>
    <w:rsid w:val="00F035D7"/>
    <w:rsid w:val="00F03668"/>
    <w:rsid w:val="00F0385E"/>
    <w:rsid w:val="00F03CDA"/>
    <w:rsid w:val="00F0495C"/>
    <w:rsid w:val="00F04BB7"/>
    <w:rsid w:val="00F05157"/>
    <w:rsid w:val="00F052E4"/>
    <w:rsid w:val="00F056AA"/>
    <w:rsid w:val="00F059F0"/>
    <w:rsid w:val="00F05DDF"/>
    <w:rsid w:val="00F06367"/>
    <w:rsid w:val="00F065B9"/>
    <w:rsid w:val="00F06C14"/>
    <w:rsid w:val="00F06EEF"/>
    <w:rsid w:val="00F07560"/>
    <w:rsid w:val="00F07A57"/>
    <w:rsid w:val="00F10719"/>
    <w:rsid w:val="00F10727"/>
    <w:rsid w:val="00F10A5A"/>
    <w:rsid w:val="00F112EA"/>
    <w:rsid w:val="00F11D76"/>
    <w:rsid w:val="00F12A4F"/>
    <w:rsid w:val="00F12B4D"/>
    <w:rsid w:val="00F13A0D"/>
    <w:rsid w:val="00F13BDF"/>
    <w:rsid w:val="00F14C59"/>
    <w:rsid w:val="00F14CFB"/>
    <w:rsid w:val="00F14D5B"/>
    <w:rsid w:val="00F15381"/>
    <w:rsid w:val="00F1569E"/>
    <w:rsid w:val="00F15F64"/>
    <w:rsid w:val="00F1619B"/>
    <w:rsid w:val="00F1664D"/>
    <w:rsid w:val="00F16A0C"/>
    <w:rsid w:val="00F16E74"/>
    <w:rsid w:val="00F172A2"/>
    <w:rsid w:val="00F17D5C"/>
    <w:rsid w:val="00F20412"/>
    <w:rsid w:val="00F20EAE"/>
    <w:rsid w:val="00F2102A"/>
    <w:rsid w:val="00F211CE"/>
    <w:rsid w:val="00F21595"/>
    <w:rsid w:val="00F21728"/>
    <w:rsid w:val="00F221C8"/>
    <w:rsid w:val="00F2321D"/>
    <w:rsid w:val="00F23F86"/>
    <w:rsid w:val="00F24761"/>
    <w:rsid w:val="00F25320"/>
    <w:rsid w:val="00F25604"/>
    <w:rsid w:val="00F26474"/>
    <w:rsid w:val="00F269CF"/>
    <w:rsid w:val="00F26CCB"/>
    <w:rsid w:val="00F27BFF"/>
    <w:rsid w:val="00F30840"/>
    <w:rsid w:val="00F30A5F"/>
    <w:rsid w:val="00F30B28"/>
    <w:rsid w:val="00F30D29"/>
    <w:rsid w:val="00F30DBF"/>
    <w:rsid w:val="00F314D5"/>
    <w:rsid w:val="00F316D5"/>
    <w:rsid w:val="00F31C08"/>
    <w:rsid w:val="00F32017"/>
    <w:rsid w:val="00F32539"/>
    <w:rsid w:val="00F32966"/>
    <w:rsid w:val="00F32BAD"/>
    <w:rsid w:val="00F343CB"/>
    <w:rsid w:val="00F352DA"/>
    <w:rsid w:val="00F355C0"/>
    <w:rsid w:val="00F360EE"/>
    <w:rsid w:val="00F36111"/>
    <w:rsid w:val="00F366D4"/>
    <w:rsid w:val="00F36835"/>
    <w:rsid w:val="00F373AE"/>
    <w:rsid w:val="00F40B99"/>
    <w:rsid w:val="00F414C5"/>
    <w:rsid w:val="00F428DF"/>
    <w:rsid w:val="00F42E02"/>
    <w:rsid w:val="00F43840"/>
    <w:rsid w:val="00F439D8"/>
    <w:rsid w:val="00F43D65"/>
    <w:rsid w:val="00F44839"/>
    <w:rsid w:val="00F449D4"/>
    <w:rsid w:val="00F452B3"/>
    <w:rsid w:val="00F45930"/>
    <w:rsid w:val="00F45F62"/>
    <w:rsid w:val="00F468D9"/>
    <w:rsid w:val="00F472F5"/>
    <w:rsid w:val="00F47B47"/>
    <w:rsid w:val="00F47C40"/>
    <w:rsid w:val="00F47D65"/>
    <w:rsid w:val="00F50055"/>
    <w:rsid w:val="00F501DA"/>
    <w:rsid w:val="00F5074F"/>
    <w:rsid w:val="00F50F71"/>
    <w:rsid w:val="00F51803"/>
    <w:rsid w:val="00F521DF"/>
    <w:rsid w:val="00F52837"/>
    <w:rsid w:val="00F52A46"/>
    <w:rsid w:val="00F53726"/>
    <w:rsid w:val="00F54277"/>
    <w:rsid w:val="00F54746"/>
    <w:rsid w:val="00F54B2E"/>
    <w:rsid w:val="00F551D2"/>
    <w:rsid w:val="00F55E08"/>
    <w:rsid w:val="00F560EE"/>
    <w:rsid w:val="00F5620A"/>
    <w:rsid w:val="00F56AEC"/>
    <w:rsid w:val="00F56CD8"/>
    <w:rsid w:val="00F57C31"/>
    <w:rsid w:val="00F57D3B"/>
    <w:rsid w:val="00F57E09"/>
    <w:rsid w:val="00F57EF6"/>
    <w:rsid w:val="00F60667"/>
    <w:rsid w:val="00F60B27"/>
    <w:rsid w:val="00F612CE"/>
    <w:rsid w:val="00F61FCA"/>
    <w:rsid w:val="00F62777"/>
    <w:rsid w:val="00F632DB"/>
    <w:rsid w:val="00F63A4C"/>
    <w:rsid w:val="00F6555B"/>
    <w:rsid w:val="00F66E97"/>
    <w:rsid w:val="00F67504"/>
    <w:rsid w:val="00F67A09"/>
    <w:rsid w:val="00F67F80"/>
    <w:rsid w:val="00F70FBE"/>
    <w:rsid w:val="00F71EEC"/>
    <w:rsid w:val="00F7289F"/>
    <w:rsid w:val="00F7336C"/>
    <w:rsid w:val="00F738B3"/>
    <w:rsid w:val="00F73974"/>
    <w:rsid w:val="00F74418"/>
    <w:rsid w:val="00F7463F"/>
    <w:rsid w:val="00F746A8"/>
    <w:rsid w:val="00F75094"/>
    <w:rsid w:val="00F75269"/>
    <w:rsid w:val="00F759B7"/>
    <w:rsid w:val="00F75B60"/>
    <w:rsid w:val="00F76796"/>
    <w:rsid w:val="00F778CD"/>
    <w:rsid w:val="00F77E39"/>
    <w:rsid w:val="00F8020D"/>
    <w:rsid w:val="00F8029E"/>
    <w:rsid w:val="00F803F1"/>
    <w:rsid w:val="00F81624"/>
    <w:rsid w:val="00F81E71"/>
    <w:rsid w:val="00F82544"/>
    <w:rsid w:val="00F82552"/>
    <w:rsid w:val="00F828B4"/>
    <w:rsid w:val="00F8324E"/>
    <w:rsid w:val="00F83990"/>
    <w:rsid w:val="00F8400F"/>
    <w:rsid w:val="00F845F1"/>
    <w:rsid w:val="00F84FC8"/>
    <w:rsid w:val="00F85022"/>
    <w:rsid w:val="00F853B1"/>
    <w:rsid w:val="00F85877"/>
    <w:rsid w:val="00F86312"/>
    <w:rsid w:val="00F86C11"/>
    <w:rsid w:val="00F86F98"/>
    <w:rsid w:val="00F871C8"/>
    <w:rsid w:val="00F8783F"/>
    <w:rsid w:val="00F906AF"/>
    <w:rsid w:val="00F90D2A"/>
    <w:rsid w:val="00F9148F"/>
    <w:rsid w:val="00F92200"/>
    <w:rsid w:val="00F9274A"/>
    <w:rsid w:val="00F92A42"/>
    <w:rsid w:val="00F92FF5"/>
    <w:rsid w:val="00F932F9"/>
    <w:rsid w:val="00F9380B"/>
    <w:rsid w:val="00F93AB4"/>
    <w:rsid w:val="00F93E13"/>
    <w:rsid w:val="00F9504F"/>
    <w:rsid w:val="00F9542E"/>
    <w:rsid w:val="00F955FE"/>
    <w:rsid w:val="00F95C8D"/>
    <w:rsid w:val="00F95E4C"/>
    <w:rsid w:val="00F9646F"/>
    <w:rsid w:val="00F972B6"/>
    <w:rsid w:val="00F97949"/>
    <w:rsid w:val="00F97AC0"/>
    <w:rsid w:val="00F97E6D"/>
    <w:rsid w:val="00FA0BF7"/>
    <w:rsid w:val="00FA0C94"/>
    <w:rsid w:val="00FA0F8E"/>
    <w:rsid w:val="00FA1129"/>
    <w:rsid w:val="00FA1832"/>
    <w:rsid w:val="00FA1B7B"/>
    <w:rsid w:val="00FA1C1E"/>
    <w:rsid w:val="00FA1E1B"/>
    <w:rsid w:val="00FA20B2"/>
    <w:rsid w:val="00FA29BB"/>
    <w:rsid w:val="00FA2FFE"/>
    <w:rsid w:val="00FA33C0"/>
    <w:rsid w:val="00FA3993"/>
    <w:rsid w:val="00FA4AF3"/>
    <w:rsid w:val="00FA4DA5"/>
    <w:rsid w:val="00FA5151"/>
    <w:rsid w:val="00FA5439"/>
    <w:rsid w:val="00FA56EF"/>
    <w:rsid w:val="00FA5DC3"/>
    <w:rsid w:val="00FA6C2F"/>
    <w:rsid w:val="00FA6DAC"/>
    <w:rsid w:val="00FA7953"/>
    <w:rsid w:val="00FB020B"/>
    <w:rsid w:val="00FB0442"/>
    <w:rsid w:val="00FB1046"/>
    <w:rsid w:val="00FB1321"/>
    <w:rsid w:val="00FB17A6"/>
    <w:rsid w:val="00FB1E2E"/>
    <w:rsid w:val="00FB1F1B"/>
    <w:rsid w:val="00FB2125"/>
    <w:rsid w:val="00FB2319"/>
    <w:rsid w:val="00FB2CC4"/>
    <w:rsid w:val="00FB305E"/>
    <w:rsid w:val="00FB35D3"/>
    <w:rsid w:val="00FB3678"/>
    <w:rsid w:val="00FB38D2"/>
    <w:rsid w:val="00FB3E9A"/>
    <w:rsid w:val="00FB55D3"/>
    <w:rsid w:val="00FB5637"/>
    <w:rsid w:val="00FB5FFA"/>
    <w:rsid w:val="00FB664C"/>
    <w:rsid w:val="00FB691D"/>
    <w:rsid w:val="00FB69FC"/>
    <w:rsid w:val="00FB6EC0"/>
    <w:rsid w:val="00FB7D32"/>
    <w:rsid w:val="00FC07ED"/>
    <w:rsid w:val="00FC0A56"/>
    <w:rsid w:val="00FC0C2E"/>
    <w:rsid w:val="00FC161A"/>
    <w:rsid w:val="00FC25B0"/>
    <w:rsid w:val="00FC2A5E"/>
    <w:rsid w:val="00FC2BC7"/>
    <w:rsid w:val="00FC304B"/>
    <w:rsid w:val="00FC327B"/>
    <w:rsid w:val="00FC3AE2"/>
    <w:rsid w:val="00FC40A7"/>
    <w:rsid w:val="00FC4502"/>
    <w:rsid w:val="00FC52CC"/>
    <w:rsid w:val="00FC54DF"/>
    <w:rsid w:val="00FC5589"/>
    <w:rsid w:val="00FC6138"/>
    <w:rsid w:val="00FC68CA"/>
    <w:rsid w:val="00FD05F3"/>
    <w:rsid w:val="00FD0C91"/>
    <w:rsid w:val="00FD0D48"/>
    <w:rsid w:val="00FD15FE"/>
    <w:rsid w:val="00FD2630"/>
    <w:rsid w:val="00FD28E2"/>
    <w:rsid w:val="00FD2CCC"/>
    <w:rsid w:val="00FD30E7"/>
    <w:rsid w:val="00FD34A2"/>
    <w:rsid w:val="00FD356F"/>
    <w:rsid w:val="00FD378D"/>
    <w:rsid w:val="00FD4F10"/>
    <w:rsid w:val="00FD60D4"/>
    <w:rsid w:val="00FD6578"/>
    <w:rsid w:val="00FD66EF"/>
    <w:rsid w:val="00FD6B7E"/>
    <w:rsid w:val="00FD7338"/>
    <w:rsid w:val="00FD778A"/>
    <w:rsid w:val="00FD7D13"/>
    <w:rsid w:val="00FD7E6D"/>
    <w:rsid w:val="00FD7F2D"/>
    <w:rsid w:val="00FE0093"/>
    <w:rsid w:val="00FE0918"/>
    <w:rsid w:val="00FE0CB8"/>
    <w:rsid w:val="00FE0DC0"/>
    <w:rsid w:val="00FE0F11"/>
    <w:rsid w:val="00FE0F94"/>
    <w:rsid w:val="00FE108D"/>
    <w:rsid w:val="00FE1193"/>
    <w:rsid w:val="00FE1264"/>
    <w:rsid w:val="00FE2B89"/>
    <w:rsid w:val="00FE2D2B"/>
    <w:rsid w:val="00FE3557"/>
    <w:rsid w:val="00FE3C22"/>
    <w:rsid w:val="00FE4280"/>
    <w:rsid w:val="00FE492E"/>
    <w:rsid w:val="00FE49F0"/>
    <w:rsid w:val="00FE4A2C"/>
    <w:rsid w:val="00FE5249"/>
    <w:rsid w:val="00FE53C1"/>
    <w:rsid w:val="00FE5859"/>
    <w:rsid w:val="00FE59EF"/>
    <w:rsid w:val="00FE6594"/>
    <w:rsid w:val="00FE695C"/>
    <w:rsid w:val="00FE7A61"/>
    <w:rsid w:val="00FF0506"/>
    <w:rsid w:val="00FF1423"/>
    <w:rsid w:val="00FF1543"/>
    <w:rsid w:val="00FF40DF"/>
    <w:rsid w:val="00FF449A"/>
    <w:rsid w:val="00FF4AA3"/>
    <w:rsid w:val="00FF51A8"/>
    <w:rsid w:val="00FF55B1"/>
    <w:rsid w:val="00FF5D29"/>
    <w:rsid w:val="00FF6ED7"/>
    <w:rsid w:val="00FF7105"/>
    <w:rsid w:val="00FF7810"/>
    <w:rsid w:val="00FF7AD5"/>
    <w:rsid w:val="00FF7CA3"/>
    <w:rsid w:val="02BF371F"/>
    <w:rsid w:val="04596852"/>
    <w:rsid w:val="056310CD"/>
    <w:rsid w:val="05F803FB"/>
    <w:rsid w:val="066C3269"/>
    <w:rsid w:val="070764FE"/>
    <w:rsid w:val="07185150"/>
    <w:rsid w:val="07947EFC"/>
    <w:rsid w:val="0A1A3A3A"/>
    <w:rsid w:val="0A897BF8"/>
    <w:rsid w:val="0AEC6B4A"/>
    <w:rsid w:val="0B0E7EBF"/>
    <w:rsid w:val="0E4D5B2D"/>
    <w:rsid w:val="0E6104DA"/>
    <w:rsid w:val="0E8C3912"/>
    <w:rsid w:val="0EB3632D"/>
    <w:rsid w:val="11441F05"/>
    <w:rsid w:val="117E41D4"/>
    <w:rsid w:val="118A2253"/>
    <w:rsid w:val="1194268F"/>
    <w:rsid w:val="12ED4670"/>
    <w:rsid w:val="13A00FD5"/>
    <w:rsid w:val="140A4008"/>
    <w:rsid w:val="1573154E"/>
    <w:rsid w:val="15C662A8"/>
    <w:rsid w:val="1603571E"/>
    <w:rsid w:val="16B676D7"/>
    <w:rsid w:val="183F6B73"/>
    <w:rsid w:val="189A2F85"/>
    <w:rsid w:val="19056661"/>
    <w:rsid w:val="199D233C"/>
    <w:rsid w:val="19AE6FC0"/>
    <w:rsid w:val="1A3C2E58"/>
    <w:rsid w:val="1A505C32"/>
    <w:rsid w:val="1A5E5CBB"/>
    <w:rsid w:val="1AE77F5C"/>
    <w:rsid w:val="1B6263AB"/>
    <w:rsid w:val="1B64777D"/>
    <w:rsid w:val="1C72003C"/>
    <w:rsid w:val="1CB62477"/>
    <w:rsid w:val="1CE03E28"/>
    <w:rsid w:val="1D020602"/>
    <w:rsid w:val="1D3B722C"/>
    <w:rsid w:val="1E7B1B68"/>
    <w:rsid w:val="20E245A5"/>
    <w:rsid w:val="20E6317D"/>
    <w:rsid w:val="239735D1"/>
    <w:rsid w:val="249E69A1"/>
    <w:rsid w:val="25126EC4"/>
    <w:rsid w:val="26C474CA"/>
    <w:rsid w:val="287B6F94"/>
    <w:rsid w:val="296C7081"/>
    <w:rsid w:val="29E016BD"/>
    <w:rsid w:val="2A2E62E4"/>
    <w:rsid w:val="2A81347B"/>
    <w:rsid w:val="2BE65904"/>
    <w:rsid w:val="2BF1524C"/>
    <w:rsid w:val="2C397F6C"/>
    <w:rsid w:val="2C7844DF"/>
    <w:rsid w:val="2CDE56B0"/>
    <w:rsid w:val="2DDF1B77"/>
    <w:rsid w:val="2E7C4EB5"/>
    <w:rsid w:val="2EBA3549"/>
    <w:rsid w:val="2ECC5149"/>
    <w:rsid w:val="2F0637AF"/>
    <w:rsid w:val="30626F36"/>
    <w:rsid w:val="310F70E2"/>
    <w:rsid w:val="31BC7CB0"/>
    <w:rsid w:val="33BD7EB1"/>
    <w:rsid w:val="3435701C"/>
    <w:rsid w:val="345615BD"/>
    <w:rsid w:val="3538487B"/>
    <w:rsid w:val="35706FD4"/>
    <w:rsid w:val="35BC2CCE"/>
    <w:rsid w:val="36BE3303"/>
    <w:rsid w:val="36C004E4"/>
    <w:rsid w:val="3802156F"/>
    <w:rsid w:val="381739D0"/>
    <w:rsid w:val="38402058"/>
    <w:rsid w:val="38906156"/>
    <w:rsid w:val="39D7233F"/>
    <w:rsid w:val="3A2B6BB3"/>
    <w:rsid w:val="3A3C7C66"/>
    <w:rsid w:val="3B854BF3"/>
    <w:rsid w:val="3BEC30C6"/>
    <w:rsid w:val="3CAD7982"/>
    <w:rsid w:val="3CE527A9"/>
    <w:rsid w:val="3D8D35B4"/>
    <w:rsid w:val="3DE437A7"/>
    <w:rsid w:val="3F9D2CA1"/>
    <w:rsid w:val="3FDC26ED"/>
    <w:rsid w:val="40A13433"/>
    <w:rsid w:val="40C825B9"/>
    <w:rsid w:val="40FB491F"/>
    <w:rsid w:val="41FE6252"/>
    <w:rsid w:val="422A173A"/>
    <w:rsid w:val="43E93596"/>
    <w:rsid w:val="43EA6F6A"/>
    <w:rsid w:val="43ED3E85"/>
    <w:rsid w:val="44185189"/>
    <w:rsid w:val="45201961"/>
    <w:rsid w:val="45892C9D"/>
    <w:rsid w:val="46504A68"/>
    <w:rsid w:val="46EA0DE5"/>
    <w:rsid w:val="474D1336"/>
    <w:rsid w:val="4888168E"/>
    <w:rsid w:val="4914361B"/>
    <w:rsid w:val="491471DA"/>
    <w:rsid w:val="499A71BF"/>
    <w:rsid w:val="4B1324D4"/>
    <w:rsid w:val="4B9A6543"/>
    <w:rsid w:val="4CB0099F"/>
    <w:rsid w:val="4DD83652"/>
    <w:rsid w:val="4DE75D3A"/>
    <w:rsid w:val="4DE9645B"/>
    <w:rsid w:val="4DFA0473"/>
    <w:rsid w:val="4E185953"/>
    <w:rsid w:val="505844C6"/>
    <w:rsid w:val="511F2A5F"/>
    <w:rsid w:val="5226271C"/>
    <w:rsid w:val="52682BA2"/>
    <w:rsid w:val="5284594B"/>
    <w:rsid w:val="53DE3FB9"/>
    <w:rsid w:val="54431C68"/>
    <w:rsid w:val="54FB0E5B"/>
    <w:rsid w:val="5503777C"/>
    <w:rsid w:val="55AB6B87"/>
    <w:rsid w:val="57081358"/>
    <w:rsid w:val="588562C6"/>
    <w:rsid w:val="5A175212"/>
    <w:rsid w:val="5BE257A2"/>
    <w:rsid w:val="5C5570C8"/>
    <w:rsid w:val="5C662094"/>
    <w:rsid w:val="5DCC3FA8"/>
    <w:rsid w:val="5E97276A"/>
    <w:rsid w:val="5EF57DF2"/>
    <w:rsid w:val="5F9E1DD4"/>
    <w:rsid w:val="605F5058"/>
    <w:rsid w:val="60C7650F"/>
    <w:rsid w:val="618D4CF0"/>
    <w:rsid w:val="62025677"/>
    <w:rsid w:val="626D2E3D"/>
    <w:rsid w:val="62FA0DE0"/>
    <w:rsid w:val="63E20AC7"/>
    <w:rsid w:val="642D2EDD"/>
    <w:rsid w:val="645B53B0"/>
    <w:rsid w:val="64D561D4"/>
    <w:rsid w:val="64DE3DD8"/>
    <w:rsid w:val="66290DEA"/>
    <w:rsid w:val="673C69F8"/>
    <w:rsid w:val="678166EC"/>
    <w:rsid w:val="67DE0531"/>
    <w:rsid w:val="680972E4"/>
    <w:rsid w:val="685B2E3D"/>
    <w:rsid w:val="69BA3EE2"/>
    <w:rsid w:val="6C8071D2"/>
    <w:rsid w:val="6D807AA2"/>
    <w:rsid w:val="6F413A10"/>
    <w:rsid w:val="70E51877"/>
    <w:rsid w:val="71312D06"/>
    <w:rsid w:val="71373D39"/>
    <w:rsid w:val="72442DB2"/>
    <w:rsid w:val="726C5DC7"/>
    <w:rsid w:val="72FC5066"/>
    <w:rsid w:val="737475A5"/>
    <w:rsid w:val="73E976AC"/>
    <w:rsid w:val="751948B4"/>
    <w:rsid w:val="75CF7C09"/>
    <w:rsid w:val="76A67D6B"/>
    <w:rsid w:val="76EC3AE6"/>
    <w:rsid w:val="77771721"/>
    <w:rsid w:val="781C0BF2"/>
    <w:rsid w:val="78BC50A1"/>
    <w:rsid w:val="79515352"/>
    <w:rsid w:val="7A0C5351"/>
    <w:rsid w:val="7A3C2077"/>
    <w:rsid w:val="7A7A6798"/>
    <w:rsid w:val="7AC91E49"/>
    <w:rsid w:val="7AFA3BC8"/>
    <w:rsid w:val="7E28664B"/>
    <w:rsid w:val="7E6D59BB"/>
    <w:rsid w:val="7E870883"/>
    <w:rsid w:val="7F435B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4">
    <w:name w:val="heading 2"/>
    <w:basedOn w:val="1"/>
    <w:next w:val="1"/>
    <w:link w:val="35"/>
    <w:qFormat/>
    <w:uiPriority w:val="0"/>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5">
    <w:name w:val="heading 3"/>
    <w:basedOn w:val="1"/>
    <w:next w:val="1"/>
    <w:link w:val="40"/>
    <w:qFormat/>
    <w:uiPriority w:val="0"/>
    <w:pPr>
      <w:numPr>
        <w:ilvl w:val="2"/>
        <w:numId w:val="1"/>
      </w:numPr>
      <w:tabs>
        <w:tab w:val="left" w:pos="900"/>
        <w:tab w:val="clear" w:pos="1588"/>
      </w:tabs>
      <w:adjustRightInd w:val="0"/>
      <w:spacing w:before="120" w:line="360" w:lineRule="auto"/>
      <w:textAlignment w:val="baseline"/>
      <w:outlineLvl w:val="2"/>
    </w:pPr>
    <w:rPr>
      <w:rFonts w:eastAsia="黑体"/>
      <w:b/>
      <w:kern w:val="0"/>
      <w:sz w:val="28"/>
      <w:szCs w:val="20"/>
    </w:rPr>
  </w:style>
  <w:style w:type="paragraph" w:styleId="6">
    <w:name w:val="heading 4"/>
    <w:basedOn w:val="1"/>
    <w:next w:val="1"/>
    <w:link w:val="38"/>
    <w:qFormat/>
    <w:uiPriority w:val="0"/>
    <w:pPr>
      <w:numPr>
        <w:ilvl w:val="3"/>
        <w:numId w:val="1"/>
      </w:numPr>
      <w:adjustRightInd w:val="0"/>
      <w:spacing w:before="120" w:line="360" w:lineRule="auto"/>
      <w:textAlignment w:val="baseline"/>
      <w:outlineLvl w:val="3"/>
    </w:pPr>
    <w:rPr>
      <w:rFonts w:ascii="Arial" w:eastAsia="黑体"/>
      <w:kern w:val="0"/>
      <w:sz w:val="28"/>
      <w:szCs w:val="20"/>
    </w:rPr>
  </w:style>
  <w:style w:type="character" w:default="1" w:styleId="27">
    <w:name w:val="Default Paragraph Font"/>
    <w:semiHidden/>
    <w:qFormat/>
    <w:uiPriority w:val="0"/>
  </w:style>
  <w:style w:type="table" w:default="1" w:styleId="2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link w:val="39"/>
    <w:qFormat/>
    <w:uiPriority w:val="0"/>
    <w:pPr>
      <w:spacing w:after="120"/>
    </w:pPr>
  </w:style>
  <w:style w:type="paragraph" w:styleId="7">
    <w:name w:val="Normal Indent"/>
    <w:basedOn w:val="1"/>
    <w:link w:val="34"/>
    <w:qFormat/>
    <w:uiPriority w:val="0"/>
    <w:pPr>
      <w:ind w:firstLine="420"/>
    </w:pPr>
    <w:rPr>
      <w:szCs w:val="20"/>
    </w:rPr>
  </w:style>
  <w:style w:type="paragraph" w:styleId="8">
    <w:name w:val="Document Map"/>
    <w:basedOn w:val="1"/>
    <w:semiHidden/>
    <w:qFormat/>
    <w:uiPriority w:val="0"/>
    <w:pPr>
      <w:shd w:val="clear" w:color="auto" w:fill="000080"/>
    </w:pPr>
  </w:style>
  <w:style w:type="paragraph" w:styleId="9">
    <w:name w:val="annotation text"/>
    <w:basedOn w:val="1"/>
    <w:link w:val="41"/>
    <w:qFormat/>
    <w:uiPriority w:val="99"/>
    <w:pPr>
      <w:jc w:val="left"/>
    </w:pPr>
  </w:style>
  <w:style w:type="paragraph" w:styleId="10">
    <w:name w:val="Body Text 3"/>
    <w:basedOn w:val="1"/>
    <w:qFormat/>
    <w:uiPriority w:val="0"/>
    <w:pPr>
      <w:spacing w:after="120"/>
    </w:pPr>
    <w:rPr>
      <w:sz w:val="16"/>
      <w:szCs w:val="16"/>
    </w:rPr>
  </w:style>
  <w:style w:type="paragraph" w:styleId="11">
    <w:name w:val="Body Text Indent"/>
    <w:basedOn w:val="1"/>
    <w:link w:val="42"/>
    <w:qFormat/>
    <w:uiPriority w:val="0"/>
    <w:pPr>
      <w:spacing w:line="200" w:lineRule="exact"/>
      <w:ind w:firstLine="301"/>
    </w:pPr>
    <w:rPr>
      <w:rFonts w:ascii="宋体" w:hAnsi="Courier New"/>
      <w:spacing w:val="-4"/>
      <w:sz w:val="18"/>
      <w:szCs w:val="20"/>
    </w:rPr>
  </w:style>
  <w:style w:type="paragraph" w:styleId="12">
    <w:name w:val="toc 3"/>
    <w:basedOn w:val="1"/>
    <w:next w:val="1"/>
    <w:qFormat/>
    <w:uiPriority w:val="0"/>
    <w:pPr>
      <w:ind w:left="840" w:leftChars="400"/>
    </w:pPr>
  </w:style>
  <w:style w:type="paragraph" w:styleId="13">
    <w:name w:val="Plain Text"/>
    <w:basedOn w:val="1"/>
    <w:next w:val="6"/>
    <w:link w:val="43"/>
    <w:qFormat/>
    <w:uiPriority w:val="0"/>
    <w:rPr>
      <w:rFonts w:ascii="宋体" w:hAnsi="Courier New"/>
      <w:szCs w:val="20"/>
    </w:rPr>
  </w:style>
  <w:style w:type="paragraph" w:styleId="14">
    <w:name w:val="Date"/>
    <w:basedOn w:val="1"/>
    <w:next w:val="1"/>
    <w:qFormat/>
    <w:uiPriority w:val="0"/>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44"/>
    <w:semiHidden/>
    <w:qFormat/>
    <w:uiPriority w:val="0"/>
    <w:rPr>
      <w:sz w:val="18"/>
      <w:szCs w:val="18"/>
    </w:rPr>
  </w:style>
  <w:style w:type="paragraph" w:styleId="17">
    <w:name w:val="footer"/>
    <w:basedOn w:val="1"/>
    <w:link w:val="45"/>
    <w:qFormat/>
    <w:uiPriority w:val="0"/>
    <w:pPr>
      <w:tabs>
        <w:tab w:val="center" w:pos="4153"/>
        <w:tab w:val="right" w:pos="8306"/>
      </w:tabs>
      <w:snapToGrid w:val="0"/>
      <w:jc w:val="left"/>
    </w:pPr>
    <w:rPr>
      <w:sz w:val="18"/>
      <w:szCs w:val="18"/>
    </w:rPr>
  </w:style>
  <w:style w:type="paragraph" w:styleId="18">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spacing w:before="120" w:after="120"/>
      <w:jc w:val="left"/>
    </w:pPr>
    <w:rPr>
      <w:b/>
      <w:bCs/>
      <w:caps/>
      <w:sz w:val="20"/>
      <w:szCs w:val="20"/>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semiHidden/>
    <w:qFormat/>
    <w:uiPriority w:val="0"/>
    <w:pPr>
      <w:tabs>
        <w:tab w:val="right" w:leader="dot" w:pos="9628"/>
      </w:tabs>
      <w:ind w:left="420" w:firstLine="120"/>
      <w:jc w:val="left"/>
    </w:pPr>
    <w:rPr>
      <w:smallCaps/>
      <w:sz w:val="20"/>
      <w:szCs w:val="20"/>
    </w:rPr>
  </w:style>
  <w:style w:type="paragraph" w:styleId="22">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24">
    <w:name w:val="annotation subject"/>
    <w:basedOn w:val="9"/>
    <w:next w:val="9"/>
    <w:semiHidden/>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Emphasis"/>
    <w:qFormat/>
    <w:uiPriority w:val="20"/>
    <w:rPr>
      <w:i/>
      <w:iCs/>
    </w:rPr>
  </w:style>
  <w:style w:type="character" w:styleId="32">
    <w:name w:val="Hyperlink"/>
    <w:qFormat/>
    <w:uiPriority w:val="0"/>
    <w:rPr>
      <w:color w:val="0000FF"/>
      <w:u w:val="single"/>
    </w:rPr>
  </w:style>
  <w:style w:type="character" w:styleId="33">
    <w:name w:val="annotation reference"/>
    <w:qFormat/>
    <w:uiPriority w:val="99"/>
    <w:rPr>
      <w:sz w:val="21"/>
      <w:szCs w:val="21"/>
    </w:rPr>
  </w:style>
  <w:style w:type="character" w:customStyle="1" w:styleId="34">
    <w:name w:val="正文缩进 Char"/>
    <w:link w:val="7"/>
    <w:qFormat/>
    <w:locked/>
    <w:uiPriority w:val="0"/>
    <w:rPr>
      <w:rFonts w:eastAsia="宋体"/>
      <w:kern w:val="2"/>
      <w:sz w:val="21"/>
      <w:lang w:val="en-US" w:eastAsia="zh-CN" w:bidi="ar-SA"/>
    </w:rPr>
  </w:style>
  <w:style w:type="character" w:customStyle="1" w:styleId="35">
    <w:name w:val="标题 2 Char"/>
    <w:link w:val="4"/>
    <w:qFormat/>
    <w:uiPriority w:val="0"/>
    <w:rPr>
      <w:rFonts w:eastAsia="黑体"/>
      <w:b/>
      <w:sz w:val="28"/>
      <w:lang w:val="en-US" w:eastAsia="zh-CN" w:bidi="ar-SA"/>
    </w:rPr>
  </w:style>
  <w:style w:type="character" w:customStyle="1" w:styleId="36">
    <w:name w:val="标题 3 Char"/>
    <w:qFormat/>
    <w:uiPriority w:val="0"/>
    <w:rPr>
      <w:rFonts w:eastAsia="宋体"/>
      <w:b/>
      <w:bCs/>
      <w:kern w:val="2"/>
      <w:sz w:val="32"/>
      <w:szCs w:val="32"/>
      <w:lang w:val="en-US" w:eastAsia="zh-CN" w:bidi="ar-SA"/>
    </w:rPr>
  </w:style>
  <w:style w:type="character" w:customStyle="1" w:styleId="37">
    <w:name w:val="标题 1 Char"/>
    <w:link w:val="3"/>
    <w:qFormat/>
    <w:uiPriority w:val="0"/>
    <w:rPr>
      <w:rFonts w:eastAsia="黑体"/>
      <w:b/>
      <w:kern w:val="44"/>
      <w:sz w:val="28"/>
      <w:lang w:val="en-US" w:eastAsia="zh-CN" w:bidi="ar-SA"/>
    </w:rPr>
  </w:style>
  <w:style w:type="character" w:customStyle="1" w:styleId="38">
    <w:name w:val="标题 4 Char"/>
    <w:link w:val="6"/>
    <w:qFormat/>
    <w:uiPriority w:val="0"/>
    <w:rPr>
      <w:rFonts w:ascii="Arial" w:eastAsia="黑体"/>
      <w:sz w:val="28"/>
      <w:lang w:val="en-US" w:eastAsia="zh-CN" w:bidi="ar-SA"/>
    </w:rPr>
  </w:style>
  <w:style w:type="character" w:customStyle="1" w:styleId="39">
    <w:name w:val="正文文本 Char"/>
    <w:link w:val="2"/>
    <w:semiHidden/>
    <w:qFormat/>
    <w:uiPriority w:val="0"/>
    <w:rPr>
      <w:rFonts w:eastAsia="宋体"/>
      <w:kern w:val="2"/>
      <w:sz w:val="21"/>
      <w:szCs w:val="24"/>
      <w:lang w:val="en-US" w:eastAsia="zh-CN" w:bidi="ar-SA"/>
    </w:rPr>
  </w:style>
  <w:style w:type="character" w:customStyle="1" w:styleId="40">
    <w:name w:val="标题 3 Char1"/>
    <w:link w:val="5"/>
    <w:qFormat/>
    <w:uiPriority w:val="0"/>
    <w:rPr>
      <w:rFonts w:eastAsia="黑体"/>
      <w:b/>
      <w:sz w:val="28"/>
      <w:lang w:val="en-US" w:eastAsia="zh-CN" w:bidi="ar-SA"/>
    </w:rPr>
  </w:style>
  <w:style w:type="character" w:customStyle="1" w:styleId="41">
    <w:name w:val="批注文字 Char1"/>
    <w:link w:val="9"/>
    <w:semiHidden/>
    <w:qFormat/>
    <w:locked/>
    <w:uiPriority w:val="99"/>
    <w:rPr>
      <w:kern w:val="2"/>
      <w:sz w:val="21"/>
      <w:szCs w:val="24"/>
    </w:rPr>
  </w:style>
  <w:style w:type="character" w:customStyle="1" w:styleId="42">
    <w:name w:val="正文文本缩进 Char"/>
    <w:link w:val="11"/>
    <w:qFormat/>
    <w:locked/>
    <w:uiPriority w:val="0"/>
    <w:rPr>
      <w:rFonts w:ascii="宋体" w:hAnsi="Courier New" w:eastAsia="宋体"/>
      <w:spacing w:val="-4"/>
      <w:kern w:val="2"/>
      <w:sz w:val="18"/>
      <w:lang w:val="en-US" w:eastAsia="zh-CN" w:bidi="ar-SA"/>
    </w:rPr>
  </w:style>
  <w:style w:type="character" w:customStyle="1" w:styleId="43">
    <w:name w:val="纯文本 Char"/>
    <w:link w:val="13"/>
    <w:qFormat/>
    <w:uiPriority w:val="0"/>
    <w:rPr>
      <w:rFonts w:ascii="宋体" w:hAnsi="Courier New" w:eastAsia="宋体"/>
      <w:kern w:val="2"/>
      <w:sz w:val="21"/>
      <w:lang w:val="en-US" w:eastAsia="zh-CN" w:bidi="ar-SA"/>
    </w:rPr>
  </w:style>
  <w:style w:type="character" w:customStyle="1" w:styleId="44">
    <w:name w:val="批注框文本 Char"/>
    <w:link w:val="16"/>
    <w:semiHidden/>
    <w:qFormat/>
    <w:locked/>
    <w:uiPriority w:val="0"/>
    <w:rPr>
      <w:rFonts w:eastAsia="宋体"/>
      <w:kern w:val="2"/>
      <w:sz w:val="18"/>
      <w:szCs w:val="18"/>
      <w:lang w:val="en-US" w:eastAsia="zh-CN" w:bidi="ar-SA"/>
    </w:rPr>
  </w:style>
  <w:style w:type="character" w:customStyle="1" w:styleId="45">
    <w:name w:val="页脚 Char"/>
    <w:link w:val="17"/>
    <w:semiHidden/>
    <w:qFormat/>
    <w:locked/>
    <w:uiPriority w:val="0"/>
    <w:rPr>
      <w:rFonts w:eastAsia="宋体"/>
      <w:kern w:val="2"/>
      <w:sz w:val="18"/>
      <w:szCs w:val="18"/>
      <w:lang w:val="en-US" w:eastAsia="zh-CN" w:bidi="ar-SA"/>
    </w:rPr>
  </w:style>
  <w:style w:type="character" w:customStyle="1" w:styleId="46">
    <w:name w:val="页眉 Char"/>
    <w:link w:val="18"/>
    <w:semiHidden/>
    <w:qFormat/>
    <w:locked/>
    <w:uiPriority w:val="0"/>
    <w:rPr>
      <w:rFonts w:eastAsia="宋体"/>
      <w:kern w:val="2"/>
      <w:sz w:val="18"/>
      <w:szCs w:val="18"/>
      <w:lang w:val="en-US" w:eastAsia="zh-CN" w:bidi="ar-SA"/>
    </w:rPr>
  </w:style>
  <w:style w:type="character" w:customStyle="1" w:styleId="47">
    <w:name w:val="HTML 预设格式 Char"/>
    <w:link w:val="22"/>
    <w:qFormat/>
    <w:uiPriority w:val="0"/>
    <w:rPr>
      <w:rFonts w:ascii="宋体" w:hAnsi="宋体" w:eastAsia="宋体" w:cs="宋体"/>
      <w:sz w:val="24"/>
      <w:szCs w:val="24"/>
      <w:lang w:val="en-US" w:eastAsia="zh-CN" w:bidi="ar-SA"/>
    </w:rPr>
  </w:style>
  <w:style w:type="character" w:customStyle="1" w:styleId="48">
    <w:name w:val=" Char Char7"/>
    <w:qFormat/>
    <w:uiPriority w:val="0"/>
    <w:rPr>
      <w:kern w:val="2"/>
      <w:sz w:val="18"/>
      <w:szCs w:val="18"/>
    </w:rPr>
  </w:style>
  <w:style w:type="character" w:customStyle="1" w:styleId="49">
    <w:name w:val="Char Char4"/>
    <w:qFormat/>
    <w:uiPriority w:val="0"/>
    <w:rPr>
      <w:kern w:val="2"/>
      <w:sz w:val="18"/>
    </w:rPr>
  </w:style>
  <w:style w:type="character" w:customStyle="1" w:styleId="50">
    <w:name w:val="style11"/>
    <w:basedOn w:val="27"/>
    <w:qFormat/>
    <w:uiPriority w:val="0"/>
  </w:style>
  <w:style w:type="character" w:customStyle="1" w:styleId="51">
    <w:name w:val="hps"/>
    <w:basedOn w:val="27"/>
    <w:qFormat/>
    <w:uiPriority w:val="0"/>
  </w:style>
  <w:style w:type="character" w:customStyle="1" w:styleId="52">
    <w:name w:val=" Char Char6"/>
    <w:qFormat/>
    <w:uiPriority w:val="0"/>
    <w:rPr>
      <w:kern w:val="2"/>
      <w:sz w:val="18"/>
      <w:szCs w:val="18"/>
    </w:rPr>
  </w:style>
  <w:style w:type="character" w:customStyle="1" w:styleId="53">
    <w:name w:val="mark16"/>
    <w:basedOn w:val="27"/>
    <w:qFormat/>
    <w:uiPriority w:val="0"/>
  </w:style>
  <w:style w:type="character" w:customStyle="1" w:styleId="54">
    <w:name w:val="style1"/>
    <w:basedOn w:val="27"/>
    <w:qFormat/>
    <w:uiPriority w:val="0"/>
  </w:style>
  <w:style w:type="character" w:customStyle="1" w:styleId="55">
    <w:name w:val=" Char Char3"/>
    <w:qFormat/>
    <w:uiPriority w:val="0"/>
    <w:rPr>
      <w:rFonts w:ascii="宋体" w:hAnsi="Courier New" w:eastAsia="宋体" w:cs="Times New Roman"/>
      <w:spacing w:val="-4"/>
      <w:sz w:val="18"/>
      <w:szCs w:val="20"/>
    </w:rPr>
  </w:style>
  <w:style w:type="character" w:customStyle="1" w:styleId="56">
    <w:name w:val="纯文本 Char1"/>
    <w:qFormat/>
    <w:uiPriority w:val="0"/>
    <w:rPr>
      <w:rFonts w:ascii="宋体" w:hAnsi="Courier New" w:eastAsia="宋体" w:cs="Courier New"/>
      <w:szCs w:val="21"/>
    </w:rPr>
  </w:style>
  <w:style w:type="character" w:customStyle="1" w:styleId="57">
    <w:name w:val="zcl style1"/>
    <w:basedOn w:val="27"/>
    <w:qFormat/>
    <w:uiPriority w:val="0"/>
  </w:style>
  <w:style w:type="character" w:customStyle="1" w:styleId="58">
    <w:name w:val=" Char Char9"/>
    <w:qFormat/>
    <w:uiPriority w:val="0"/>
    <w:rPr>
      <w:rFonts w:ascii="宋体" w:hAnsi="Courier New" w:eastAsia="宋体"/>
      <w:spacing w:val="-4"/>
      <w:kern w:val="2"/>
      <w:sz w:val="18"/>
      <w:lang w:bidi="ar-SA"/>
    </w:rPr>
  </w:style>
  <w:style w:type="character" w:customStyle="1" w:styleId="59">
    <w:name w:val=" Char Char16"/>
    <w:qFormat/>
    <w:uiPriority w:val="0"/>
    <w:rPr>
      <w:rFonts w:eastAsia="黑体"/>
      <w:b/>
      <w:kern w:val="44"/>
      <w:sz w:val="28"/>
      <w:lang w:val="en-US" w:eastAsia="zh-CN" w:bidi="ar-SA"/>
    </w:rPr>
  </w:style>
  <w:style w:type="character" w:customStyle="1" w:styleId="60">
    <w:name w:val="textindent"/>
    <w:basedOn w:val="27"/>
    <w:qFormat/>
    <w:uiPriority w:val="0"/>
  </w:style>
  <w:style w:type="character" w:customStyle="1" w:styleId="61">
    <w:name w:val=" Char Char15"/>
    <w:qFormat/>
    <w:uiPriority w:val="0"/>
    <w:rPr>
      <w:rFonts w:eastAsia="黑体"/>
      <w:b/>
      <w:sz w:val="28"/>
      <w:lang w:val="en-US" w:eastAsia="zh-CN" w:bidi="ar-SA"/>
    </w:rPr>
  </w:style>
  <w:style w:type="character" w:customStyle="1" w:styleId="62">
    <w:name w:val="Plain Text Char1"/>
    <w:semiHidden/>
    <w:qFormat/>
    <w:locked/>
    <w:uiPriority w:val="0"/>
    <w:rPr>
      <w:rFonts w:ascii="宋体" w:hAnsi="Courier New" w:cs="Courier New"/>
      <w:sz w:val="21"/>
      <w:szCs w:val="21"/>
    </w:rPr>
  </w:style>
  <w:style w:type="character" w:customStyle="1" w:styleId="63">
    <w:name w:val="maywed421"/>
    <w:qFormat/>
    <w:uiPriority w:val="0"/>
    <w:rPr>
      <w:color w:val="366FB6"/>
      <w:u w:val="none"/>
    </w:rPr>
  </w:style>
  <w:style w:type="character" w:customStyle="1" w:styleId="64">
    <w:name w:val="正文－缩进 Char"/>
    <w:link w:val="65"/>
    <w:qFormat/>
    <w:locked/>
    <w:uiPriority w:val="0"/>
    <w:rPr>
      <w:sz w:val="24"/>
      <w:lang w:bidi="ar-SA"/>
    </w:rPr>
  </w:style>
  <w:style w:type="paragraph" w:customStyle="1" w:styleId="65">
    <w:name w:val="正文－缩进"/>
    <w:basedOn w:val="1"/>
    <w:link w:val="64"/>
    <w:qFormat/>
    <w:uiPriority w:val="0"/>
    <w:pPr>
      <w:spacing w:beforeLines="50" w:after="120" w:line="360" w:lineRule="auto"/>
      <w:ind w:firstLine="200" w:firstLineChars="200"/>
    </w:pPr>
    <w:rPr>
      <w:kern w:val="0"/>
      <w:sz w:val="24"/>
      <w:szCs w:val="20"/>
    </w:rPr>
  </w:style>
  <w:style w:type="character" w:customStyle="1" w:styleId="66">
    <w:name w:val=" Char Char4"/>
    <w:qFormat/>
    <w:uiPriority w:val="0"/>
    <w:rPr>
      <w:kern w:val="2"/>
      <w:sz w:val="18"/>
      <w:szCs w:val="18"/>
      <w:lang w:bidi="ar-SA"/>
    </w:rPr>
  </w:style>
  <w:style w:type="character" w:customStyle="1" w:styleId="67">
    <w:name w:val=" Char Char14"/>
    <w:qFormat/>
    <w:uiPriority w:val="0"/>
    <w:rPr>
      <w:rFonts w:eastAsia="黑体"/>
      <w:b/>
      <w:sz w:val="28"/>
      <w:lang w:val="en-US" w:eastAsia="zh-CN" w:bidi="ar-SA"/>
    </w:rPr>
  </w:style>
  <w:style w:type="character" w:customStyle="1" w:styleId="68">
    <w:name w:val="批注文字 Char"/>
    <w:qFormat/>
    <w:locked/>
    <w:uiPriority w:val="0"/>
    <w:rPr>
      <w:kern w:val="2"/>
      <w:sz w:val="21"/>
      <w:szCs w:val="24"/>
    </w:rPr>
  </w:style>
  <w:style w:type="character" w:customStyle="1" w:styleId="69">
    <w:name w:val="con2"/>
    <w:basedOn w:val="27"/>
    <w:qFormat/>
    <w:uiPriority w:val="0"/>
  </w:style>
  <w:style w:type="character" w:customStyle="1" w:styleId="70">
    <w:name w:val="green50bold1"/>
    <w:qFormat/>
    <w:uiPriority w:val="0"/>
    <w:rPr>
      <w:b/>
      <w:bCs/>
      <w:color w:val="316563"/>
      <w:sz w:val="68"/>
      <w:szCs w:val="68"/>
    </w:rPr>
  </w:style>
  <w:style w:type="character" w:customStyle="1" w:styleId="71">
    <w:name w:val="text11"/>
    <w:qFormat/>
    <w:uiPriority w:val="0"/>
    <w:rPr>
      <w:rFonts w:hint="default" w:ascii="Verdana" w:hAnsi="Verdana"/>
      <w:color w:val="4E4E4E"/>
      <w:sz w:val="18"/>
      <w:szCs w:val="18"/>
    </w:rPr>
  </w:style>
  <w:style w:type="character" w:customStyle="1" w:styleId="72">
    <w:name w:val=" Char Char8"/>
    <w:qFormat/>
    <w:uiPriority w:val="0"/>
    <w:rPr>
      <w:rFonts w:ascii="Calibri" w:hAnsi="Calibri" w:eastAsia="宋体"/>
      <w:sz w:val="18"/>
      <w:szCs w:val="18"/>
      <w:lang w:bidi="ar-SA"/>
    </w:rPr>
  </w:style>
  <w:style w:type="character" w:customStyle="1" w:styleId="73">
    <w:name w:val="paramname2"/>
    <w:qFormat/>
    <w:uiPriority w:val="0"/>
    <w:rPr>
      <w:color w:val="999999"/>
    </w:rPr>
  </w:style>
  <w:style w:type="character" w:customStyle="1" w:styleId="74">
    <w:name w:val="da"/>
    <w:basedOn w:val="27"/>
    <w:qFormat/>
    <w:uiPriority w:val="0"/>
  </w:style>
  <w:style w:type="paragraph" w:customStyle="1" w:styleId="75">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表格文字"/>
    <w:basedOn w:val="1"/>
    <w:qFormat/>
    <w:uiPriority w:val="0"/>
    <w:pPr>
      <w:spacing w:before="25" w:after="25"/>
    </w:pPr>
    <w:rPr>
      <w:rFonts w:ascii="Times New Roman" w:hAnsi="Times New Roman"/>
      <w:bCs/>
      <w:spacing w:val="10"/>
      <w:kern w:val="0"/>
    </w:rPr>
  </w:style>
  <w:style w:type="paragraph" w:customStyle="1" w:styleId="78">
    <w:name w:val="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9">
    <w:name w:val="_Style 2"/>
    <w:basedOn w:val="1"/>
    <w:qFormat/>
    <w:uiPriority w:val="0"/>
    <w:pPr>
      <w:widowControl/>
      <w:ind w:firstLine="420" w:firstLineChars="200"/>
      <w:jc w:val="left"/>
    </w:pPr>
    <w:rPr>
      <w:rFonts w:ascii="宋体" w:hAnsi="宋体" w:cs="宋体"/>
      <w:kern w:val="0"/>
      <w:sz w:val="24"/>
    </w:rPr>
  </w:style>
  <w:style w:type="paragraph" w:customStyle="1" w:styleId="80">
    <w:name w:val="01"/>
    <w:basedOn w:val="1"/>
    <w:qFormat/>
    <w:uiPriority w:val="0"/>
    <w:pPr>
      <w:widowControl/>
      <w:spacing w:before="100" w:beforeAutospacing="1" w:after="75" w:line="360" w:lineRule="atLeast"/>
      <w:jc w:val="left"/>
    </w:pPr>
    <w:rPr>
      <w:rFonts w:ascii="宋体" w:hAnsi="宋体" w:cs="宋体"/>
      <w:kern w:val="0"/>
      <w:sz w:val="24"/>
    </w:rPr>
  </w:style>
  <w:style w:type="paragraph" w:customStyle="1" w:styleId="81">
    <w:name w:val=" Char"/>
    <w:basedOn w:val="1"/>
    <w:qFormat/>
    <w:uiPriority w:val="0"/>
    <w:rPr>
      <w:szCs w:val="21"/>
    </w:rPr>
  </w:style>
  <w:style w:type="paragraph" w:customStyle="1" w:styleId="82">
    <w:name w:val="Char Char8"/>
    <w:basedOn w:val="1"/>
    <w:qFormat/>
    <w:uiPriority w:val="0"/>
    <w:pPr>
      <w:widowControl/>
      <w:spacing w:after="160" w:line="240" w:lineRule="exact"/>
      <w:jc w:val="left"/>
    </w:pPr>
    <w:rPr>
      <w:rFonts w:ascii="Tahoma" w:hAnsi="Tahoma" w:cs="Verdana"/>
      <w:kern w:val="0"/>
      <w:szCs w:val="20"/>
      <w:lang w:eastAsia="en-US"/>
    </w:rPr>
  </w:style>
  <w:style w:type="paragraph" w:customStyle="1" w:styleId="8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Char Char Char Char Char Char Char"/>
    <w:basedOn w:val="1"/>
    <w:qFormat/>
    <w:uiPriority w:val="0"/>
    <w:rPr>
      <w:szCs w:val="21"/>
    </w:rPr>
  </w:style>
  <w:style w:type="paragraph" w:customStyle="1" w:styleId="8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Char"/>
    <w:basedOn w:val="1"/>
    <w:qFormat/>
    <w:uiPriority w:val="0"/>
    <w:rPr>
      <w:szCs w:val="20"/>
    </w:rPr>
  </w:style>
  <w:style w:type="paragraph" w:customStyle="1" w:styleId="88">
    <w:name w:val="样式 Verdana 首行缩进:  0.74 厘米"/>
    <w:basedOn w:val="1"/>
    <w:qFormat/>
    <w:uiPriority w:val="0"/>
    <w:pPr>
      <w:spacing w:line="360" w:lineRule="auto"/>
      <w:ind w:firstLine="420"/>
    </w:pPr>
    <w:rPr>
      <w:rFonts w:ascii="Verdana" w:hAnsi="Verdana"/>
      <w:sz w:val="24"/>
      <w:szCs w:val="20"/>
    </w:rPr>
  </w:style>
  <w:style w:type="paragraph" w:customStyle="1" w:styleId="89">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表头"/>
    <w:qFormat/>
    <w:uiPriority w:val="0"/>
    <w:rPr>
      <w:rFonts w:ascii="Arial" w:hAnsi="Arial" w:eastAsia="宋体" w:cs="Times New Roman"/>
      <w:kern w:val="2"/>
      <w:sz w:val="18"/>
      <w:szCs w:val="24"/>
      <w:lang w:val="en-US" w:eastAsia="zh-CN" w:bidi="ar-SA"/>
    </w:rPr>
  </w:style>
  <w:style w:type="paragraph" w:customStyle="1" w:styleId="92">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93">
    <w:name w:val="列出段落1"/>
    <w:basedOn w:val="1"/>
    <w:qFormat/>
    <w:uiPriority w:val="0"/>
    <w:pPr>
      <w:ind w:firstLine="420" w:firstLineChars="200"/>
    </w:pPr>
    <w:rPr>
      <w:rFonts w:ascii="Calibri" w:hAnsi="Calibri"/>
      <w:szCs w:val="22"/>
    </w:rPr>
  </w:style>
  <w:style w:type="paragraph" w:customStyle="1" w:styleId="94">
    <w:name w:val="页脚 New New New New New"/>
    <w:basedOn w:val="1"/>
    <w:qFormat/>
    <w:uiPriority w:val="0"/>
    <w:pPr>
      <w:tabs>
        <w:tab w:val="center" w:pos="4153"/>
        <w:tab w:val="right" w:pos="8306"/>
      </w:tabs>
      <w:snapToGrid w:val="0"/>
      <w:jc w:val="left"/>
    </w:pPr>
    <w:rPr>
      <w:rFonts w:ascii="Calibri" w:hAnsi="Calibri"/>
      <w:sz w:val="18"/>
      <w:szCs w:val="20"/>
    </w:rPr>
  </w:style>
  <w:style w:type="paragraph" w:customStyle="1" w:styleId="95">
    <w:name w:val="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96">
    <w:name w:val="xl33"/>
    <w:basedOn w:val="1"/>
    <w:qFormat/>
    <w:uiPriority w:val="0"/>
    <w:pPr>
      <w:widowControl/>
      <w:spacing w:before="100" w:beforeAutospacing="1" w:after="100" w:afterAutospacing="1"/>
      <w:jc w:val="center"/>
    </w:pPr>
    <w:rPr>
      <w:rFonts w:ascii="Arial Unicode MS" w:hAnsi="Arial Unicode MS"/>
      <w:b/>
      <w:bCs/>
      <w:kern w:val="0"/>
      <w:sz w:val="32"/>
      <w:szCs w:val="32"/>
    </w:rPr>
  </w:style>
  <w:style w:type="paragraph" w:customStyle="1" w:styleId="97">
    <w:name w:val="Char Char Char1 Char"/>
    <w:basedOn w:val="1"/>
    <w:qFormat/>
    <w:uiPriority w:val="0"/>
  </w:style>
  <w:style w:type="paragraph" w:customStyle="1" w:styleId="98">
    <w:name w:val=" Char Char16 Char Char"/>
    <w:basedOn w:val="1"/>
    <w:qFormat/>
    <w:uiPriority w:val="0"/>
    <w:pPr>
      <w:adjustRightInd w:val="0"/>
      <w:spacing w:line="360" w:lineRule="auto"/>
    </w:pPr>
  </w:style>
  <w:style w:type="paragraph" w:styleId="99">
    <w:name w:val="List Paragraph"/>
    <w:basedOn w:val="1"/>
    <w:qFormat/>
    <w:uiPriority w:val="34"/>
    <w:pPr>
      <w:ind w:firstLine="420" w:firstLineChars="200"/>
    </w:pPr>
    <w:rPr>
      <w:rFonts w:ascii="Calibri" w:hAnsi="Calibri"/>
      <w:szCs w:val="22"/>
    </w:rPr>
  </w:style>
  <w:style w:type="paragraph" w:customStyle="1" w:styleId="100">
    <w:name w:val="_Style 99"/>
    <w:semiHidden/>
    <w:qFormat/>
    <w:uiPriority w:val="99"/>
    <w:rPr>
      <w:rFonts w:ascii="Times New Roman" w:hAnsi="Times New Roman" w:eastAsia="宋体" w:cs="Times New Roman"/>
      <w:kern w:val="2"/>
      <w:sz w:val="21"/>
      <w:szCs w:val="24"/>
      <w:lang w:val="en-US" w:eastAsia="zh-CN" w:bidi="ar-SA"/>
    </w:rPr>
  </w:style>
  <w:style w:type="paragraph" w:customStyle="1" w:styleId="101">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2">
    <w:name w:val="Char Char Char"/>
    <w:basedOn w:val="1"/>
    <w:qFormat/>
    <w:uiPriority w:val="0"/>
    <w:rPr>
      <w:rFonts w:ascii="Tahoma" w:hAnsi="Tahoma"/>
      <w:sz w:val="24"/>
      <w:szCs w:val="20"/>
    </w:rPr>
  </w:style>
  <w:style w:type="paragraph" w:customStyle="1" w:styleId="103">
    <w:name w:val="纯文本1"/>
    <w:basedOn w:val="1"/>
    <w:qFormat/>
    <w:uiPriority w:val="0"/>
    <w:rPr>
      <w:rFonts w:ascii="Courier New" w:hAnsi="Ђˎ̥" w:eastAsia="Courier New" w:cs="Courier New"/>
      <w:szCs w:val="21"/>
    </w:rPr>
  </w:style>
  <w:style w:type="paragraph" w:customStyle="1" w:styleId="104">
    <w:name w:val="p0"/>
    <w:basedOn w:val="1"/>
    <w:qFormat/>
    <w:uiPriority w:val="0"/>
    <w:pPr>
      <w:widowControl/>
      <w:jc w:val="left"/>
    </w:pPr>
    <w:rPr>
      <w:kern w:val="0"/>
      <w:szCs w:val="21"/>
    </w:rPr>
  </w:style>
  <w:style w:type="paragraph" w:customStyle="1" w:styleId="105">
    <w:name w:val="List Paragraph1"/>
    <w:basedOn w:val="1"/>
    <w:qFormat/>
    <w:uiPriority w:val="0"/>
    <w:pPr>
      <w:ind w:firstLine="420" w:firstLineChars="200"/>
    </w:pPr>
    <w:rPr>
      <w:rFonts w:ascii="Calibri" w:hAnsi="Calibri"/>
      <w:szCs w:val="22"/>
    </w:rPr>
  </w:style>
  <w:style w:type="paragraph" w:customStyle="1" w:styleId="106">
    <w:name w:val="正文段"/>
    <w:basedOn w:val="1"/>
    <w:qFormat/>
    <w:uiPriority w:val="0"/>
    <w:pPr>
      <w:widowControl/>
      <w:snapToGrid w:val="0"/>
      <w:spacing w:after="156" w:afterLines="50"/>
      <w:ind w:firstLine="200" w:firstLineChars="200"/>
    </w:pPr>
    <w:rPr>
      <w:kern w:val="0"/>
      <w:sz w:val="24"/>
      <w:szCs w:val="20"/>
    </w:rPr>
  </w:style>
  <w:style w:type="paragraph" w:customStyle="1" w:styleId="107">
    <w:name w:val="Char Char Char1"/>
    <w:basedOn w:val="1"/>
    <w:qFormat/>
    <w:uiPriority w:val="0"/>
    <w:rPr>
      <w:szCs w:val="21"/>
    </w:rPr>
  </w:style>
  <w:style w:type="paragraph" w:customStyle="1" w:styleId="1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09">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110">
    <w:name w:val="样式1"/>
    <w:basedOn w:val="1"/>
    <w:qFormat/>
    <w:uiPriority w:val="0"/>
  </w:style>
  <w:style w:type="paragraph" w:customStyle="1" w:styleId="111">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 Char Char Char Char Char Char Char"/>
    <w:basedOn w:val="1"/>
    <w:qFormat/>
    <w:uiPriority w:val="0"/>
    <w:rPr>
      <w:szCs w:val="21"/>
    </w:rPr>
  </w:style>
  <w:style w:type="paragraph" w:customStyle="1" w:styleId="113">
    <w:name w:val="xl35"/>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Arial Unicode MS" w:hAnsi="Arial Unicode MS" w:eastAsia="Arial Unicode MS"/>
      <w:kern w:val="0"/>
      <w:szCs w:val="21"/>
    </w:rPr>
  </w:style>
  <w:style w:type="paragraph" w:customStyle="1" w:styleId="114">
    <w:name w:val="2"/>
    <w:basedOn w:val="1"/>
    <w:next w:val="13"/>
    <w:qFormat/>
    <w:uiPriority w:val="0"/>
    <w:rPr>
      <w:rFonts w:ascii="宋体" w:hAnsi="Courier New"/>
      <w:szCs w:val="20"/>
    </w:rPr>
  </w:style>
  <w:style w:type="paragraph" w:styleId="115">
    <w:name w:val="No Spacing"/>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DaDiGhost.Com</Company>
  <Pages>46</Pages>
  <Words>5886</Words>
  <Characters>33553</Characters>
  <Lines>279</Lines>
  <Paragraphs>78</Paragraphs>
  <TotalTime>62</TotalTime>
  <ScaleCrop>false</ScaleCrop>
  <LinksUpToDate>false</LinksUpToDate>
  <CharactersWithSpaces>39361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2021-06-10T10:51:00Z</dcterms:created>
  <dc:creator>廖琪</dc:creator>
  <cp:lastModifiedBy>OU</cp:lastModifiedBy>
  <cp:lastPrinted>2020-05-07T08:20:00Z</cp:lastPrinted>
  <dcterms:modified xsi:type="dcterms:W3CDTF">2021-09-30T10:29:54Z</dcterms:modified>
  <dc:title>南财采管〔2009〕号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AAFA0FB06D274546B4A9AA73608FF88B</vt:lpwstr>
  </property>
</Properties>
</file>