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color w:val="auto"/>
          <w:sz w:val="36"/>
          <w:szCs w:val="36"/>
        </w:rPr>
      </w:pPr>
    </w:p>
    <w:p>
      <w:pPr>
        <w:pStyle w:val="35"/>
        <w:rPr>
          <w:color w:val="auto"/>
          <w:lang w:val="en-US" w:bidi="ar-SA"/>
        </w:rPr>
      </w:pPr>
    </w:p>
    <w:p>
      <w:pPr>
        <w:spacing w:line="360" w:lineRule="auto"/>
        <w:jc w:val="center"/>
        <w:rPr>
          <w:rFonts w:ascii="宋体" w:hAnsi="宋体"/>
          <w:b/>
          <w:color w:val="auto"/>
          <w:sz w:val="48"/>
          <w:szCs w:val="48"/>
        </w:rPr>
      </w:pPr>
      <w:r>
        <w:rPr>
          <w:rFonts w:hint="eastAsia" w:ascii="宋体" w:hAnsi="宋体" w:cs="宋体"/>
          <w:b/>
          <w:bCs/>
          <w:color w:val="auto"/>
          <w:sz w:val="72"/>
          <w:szCs w:val="72"/>
        </w:rPr>
        <w:t>广西科联招标中心有限公司</w:t>
      </w:r>
    </w:p>
    <w:p>
      <w:pPr>
        <w:snapToGrid w:val="0"/>
        <w:spacing w:beforeLines="50" w:line="360" w:lineRule="auto"/>
        <w:jc w:val="center"/>
        <w:rPr>
          <w:rFonts w:ascii="宋体" w:hAnsi="宋体" w:cs="宋体"/>
          <w:color w:val="auto"/>
          <w:sz w:val="72"/>
          <w:szCs w:val="72"/>
        </w:rPr>
      </w:pPr>
      <w:r>
        <w:rPr>
          <w:rFonts w:hint="eastAsia" w:ascii="宋体" w:hAnsi="宋体" w:cs="宋体"/>
          <w:b/>
          <w:color w:val="auto"/>
          <w:sz w:val="110"/>
          <w:szCs w:val="110"/>
        </w:rPr>
        <w:t>招标文件</w:t>
      </w:r>
    </w:p>
    <w:p>
      <w:pPr>
        <w:snapToGrid w:val="0"/>
        <w:spacing w:beforeLines="50" w:line="360" w:lineRule="auto"/>
        <w:jc w:val="center"/>
        <w:rPr>
          <w:rFonts w:ascii="仿宋_GB2312" w:hAnsi="宋体" w:eastAsia="仿宋_GB2312"/>
          <w:color w:val="auto"/>
          <w:sz w:val="30"/>
          <w:szCs w:val="72"/>
        </w:rPr>
      </w:pPr>
      <w:r>
        <w:rPr>
          <w:rFonts w:hint="eastAsia" w:ascii="仿宋_GB2312" w:hAnsi="宋体" w:eastAsia="仿宋_GB2312"/>
          <w:color w:val="auto"/>
          <w:sz w:val="30"/>
          <w:szCs w:val="72"/>
        </w:rPr>
        <w:t>（全流程电子化评标）</w:t>
      </w:r>
    </w:p>
    <w:p>
      <w:pPr>
        <w:snapToGrid w:val="0"/>
        <w:spacing w:beforeLines="50" w:line="360" w:lineRule="auto"/>
        <w:rPr>
          <w:rFonts w:ascii="仿宋_GB2312" w:hAnsi="宋体" w:eastAsia="仿宋_GB2312"/>
          <w:color w:val="auto"/>
          <w:sz w:val="30"/>
          <w:szCs w:val="72"/>
        </w:rPr>
      </w:pPr>
    </w:p>
    <w:p>
      <w:pPr>
        <w:pStyle w:val="14"/>
        <w:snapToGrid w:val="0"/>
        <w:spacing w:before="50" w:after="120" w:line="360" w:lineRule="auto"/>
        <w:ind w:firstLine="2711" w:firstLineChars="900"/>
        <w:rPr>
          <w:rFonts w:hAnsi="宋体" w:cs="宋体"/>
          <w:b/>
          <w:bCs/>
          <w:color w:val="auto"/>
          <w:sz w:val="30"/>
          <w:szCs w:val="30"/>
        </w:rPr>
      </w:pPr>
    </w:p>
    <w:p>
      <w:pPr>
        <w:pStyle w:val="14"/>
        <w:snapToGrid w:val="0"/>
        <w:spacing w:before="50" w:after="120" w:line="360" w:lineRule="auto"/>
        <w:jc w:val="center"/>
        <w:rPr>
          <w:rFonts w:hint="eastAsia" w:hAnsi="宋体" w:eastAsia="宋体" w:cs="宋体"/>
          <w:color w:val="auto"/>
          <w:sz w:val="30"/>
          <w:szCs w:val="30"/>
          <w:lang w:eastAsia="zh-CN"/>
        </w:rPr>
      </w:pPr>
      <w:r>
        <w:rPr>
          <w:rFonts w:hint="eastAsia" w:hAnsi="宋体" w:cs="宋体"/>
          <w:b/>
          <w:bCs/>
          <w:color w:val="auto"/>
          <w:sz w:val="30"/>
          <w:szCs w:val="30"/>
        </w:rPr>
        <w:t>项目名称：</w:t>
      </w:r>
      <w:r>
        <w:rPr>
          <w:rFonts w:hint="eastAsia" w:hAnsi="宋体" w:cs="宋体"/>
          <w:b/>
          <w:bCs/>
          <w:color w:val="auto"/>
          <w:sz w:val="30"/>
          <w:szCs w:val="30"/>
          <w:lang w:eastAsia="zh-CN"/>
        </w:rPr>
        <w:t>空调设备及部分医疗辅助设施维保服务</w:t>
      </w:r>
    </w:p>
    <w:p>
      <w:pPr>
        <w:pStyle w:val="14"/>
        <w:snapToGrid w:val="0"/>
        <w:spacing w:before="50" w:after="120" w:line="360" w:lineRule="auto"/>
        <w:jc w:val="center"/>
        <w:rPr>
          <w:rFonts w:hint="eastAsia" w:hAnsi="宋体" w:eastAsia="宋体" w:cs="宋体"/>
          <w:b/>
          <w:bCs/>
          <w:color w:val="auto"/>
          <w:w w:val="95"/>
          <w:sz w:val="30"/>
          <w:szCs w:val="30"/>
          <w:lang w:eastAsia="zh-CN"/>
        </w:rPr>
      </w:pPr>
      <w:r>
        <w:rPr>
          <w:rFonts w:hint="eastAsia" w:hAnsi="宋体" w:cs="宋体"/>
          <w:b/>
          <w:bCs/>
          <w:color w:val="auto"/>
          <w:sz w:val="30"/>
          <w:szCs w:val="30"/>
        </w:rPr>
        <w:t>项目编号：</w:t>
      </w:r>
      <w:r>
        <w:rPr>
          <w:rFonts w:hint="eastAsia" w:hAnsi="宋体" w:cs="宋体"/>
          <w:b/>
          <w:bCs/>
          <w:color w:val="auto"/>
          <w:sz w:val="30"/>
          <w:szCs w:val="30"/>
          <w:lang w:eastAsia="zh-CN"/>
        </w:rPr>
        <w:t>GXZC2023-G3-002226-KLZB</w:t>
      </w:r>
    </w:p>
    <w:p>
      <w:pPr>
        <w:snapToGrid w:val="0"/>
        <w:spacing w:before="50" w:after="120" w:line="360" w:lineRule="auto"/>
        <w:ind w:firstLine="2576" w:firstLineChars="900"/>
        <w:rPr>
          <w:rFonts w:ascii="宋体" w:hAnsi="宋体" w:cs="宋体"/>
          <w:b/>
          <w:bCs/>
          <w:color w:val="auto"/>
          <w:w w:val="95"/>
          <w:sz w:val="30"/>
          <w:szCs w:val="30"/>
        </w:rPr>
      </w:pPr>
    </w:p>
    <w:p>
      <w:pPr>
        <w:pStyle w:val="2"/>
        <w:rPr>
          <w:rFonts w:ascii="宋体" w:hAnsi="宋体" w:cs="宋体"/>
          <w:b/>
          <w:bCs/>
          <w:color w:val="auto"/>
          <w:w w:val="95"/>
          <w:sz w:val="30"/>
          <w:szCs w:val="30"/>
        </w:rPr>
      </w:pPr>
    </w:p>
    <w:p>
      <w:pPr>
        <w:pStyle w:val="2"/>
        <w:rPr>
          <w:rFonts w:ascii="宋体" w:hAnsi="宋体" w:cs="宋体"/>
          <w:b/>
          <w:bCs/>
          <w:color w:val="auto"/>
          <w:w w:val="95"/>
          <w:sz w:val="30"/>
          <w:szCs w:val="30"/>
        </w:rPr>
      </w:pPr>
    </w:p>
    <w:p>
      <w:pPr>
        <w:pStyle w:val="2"/>
        <w:rPr>
          <w:rFonts w:ascii="宋体" w:hAnsi="宋体" w:cs="宋体"/>
          <w:b/>
          <w:bCs/>
          <w:color w:val="auto"/>
          <w:w w:val="95"/>
          <w:sz w:val="30"/>
          <w:szCs w:val="30"/>
        </w:rPr>
      </w:pPr>
    </w:p>
    <w:p>
      <w:pPr>
        <w:snapToGrid w:val="0"/>
        <w:spacing w:before="50" w:after="120" w:line="360" w:lineRule="auto"/>
        <w:jc w:val="center"/>
        <w:rPr>
          <w:rFonts w:ascii="宋体" w:hAnsi="宋体" w:cs="宋体"/>
          <w:b/>
          <w:bCs/>
          <w:color w:val="auto"/>
          <w:sz w:val="30"/>
          <w:szCs w:val="30"/>
        </w:rPr>
      </w:pPr>
      <w:r>
        <w:rPr>
          <w:rFonts w:hint="eastAsia" w:ascii="宋体" w:hAnsi="宋体" w:cs="宋体"/>
          <w:b/>
          <w:bCs/>
          <w:color w:val="auto"/>
          <w:sz w:val="30"/>
          <w:szCs w:val="30"/>
        </w:rPr>
        <w:t>采购人：广西医科大学第二附属医院</w:t>
      </w:r>
    </w:p>
    <w:p>
      <w:pPr>
        <w:snapToGrid w:val="0"/>
        <w:spacing w:before="50" w:after="120" w:line="360" w:lineRule="auto"/>
        <w:jc w:val="center"/>
        <w:rPr>
          <w:rFonts w:ascii="宋体" w:hAnsi="宋体" w:cs="宋体"/>
          <w:b/>
          <w:bCs/>
          <w:color w:val="auto"/>
          <w:sz w:val="30"/>
          <w:szCs w:val="30"/>
        </w:rPr>
      </w:pPr>
      <w:r>
        <w:rPr>
          <w:rFonts w:hint="eastAsia" w:ascii="宋体" w:hAnsi="宋体" w:cs="宋体"/>
          <w:b/>
          <w:bCs/>
          <w:color w:val="auto"/>
          <w:sz w:val="30"/>
          <w:szCs w:val="30"/>
        </w:rPr>
        <w:t>采购代理机构：</w:t>
      </w:r>
      <w:bookmarkStart w:id="0" w:name="PO_3000001866_PM031"/>
      <w:r>
        <w:rPr>
          <w:rFonts w:hint="eastAsia" w:ascii="宋体" w:hAnsi="宋体" w:cs="宋体"/>
          <w:b/>
          <w:bCs/>
          <w:color w:val="auto"/>
          <w:sz w:val="30"/>
          <w:szCs w:val="30"/>
        </w:rPr>
        <w:t>广西科联招标中心有限公司</w:t>
      </w:r>
      <w:bookmarkEnd w:id="0"/>
    </w:p>
    <w:p>
      <w:pPr>
        <w:pStyle w:val="14"/>
        <w:snapToGrid w:val="0"/>
        <w:spacing w:before="50" w:after="120" w:line="360" w:lineRule="auto"/>
        <w:ind w:firstLine="4293" w:firstLineChars="1500"/>
        <w:rPr>
          <w:rFonts w:hAnsi="宋体" w:cs="宋体"/>
          <w:b/>
          <w:bCs/>
          <w:color w:val="auto"/>
          <w:w w:val="95"/>
          <w:sz w:val="30"/>
          <w:szCs w:val="30"/>
        </w:rPr>
      </w:pPr>
    </w:p>
    <w:p>
      <w:pPr>
        <w:pStyle w:val="14"/>
        <w:snapToGrid w:val="0"/>
        <w:spacing w:before="50" w:after="120" w:line="360" w:lineRule="auto"/>
        <w:ind w:firstLine="4006" w:firstLineChars="1400"/>
        <w:rPr>
          <w:rFonts w:hAnsi="宋体" w:cs="宋体"/>
          <w:b/>
          <w:bCs/>
          <w:color w:val="auto"/>
          <w:w w:val="95"/>
          <w:sz w:val="30"/>
          <w:szCs w:val="30"/>
        </w:rPr>
      </w:pPr>
      <w:r>
        <w:rPr>
          <w:rFonts w:hint="eastAsia" w:hAnsi="宋体" w:cs="宋体"/>
          <w:b/>
          <w:bCs/>
          <w:color w:val="auto"/>
          <w:w w:val="95"/>
          <w:sz w:val="30"/>
          <w:szCs w:val="30"/>
        </w:rPr>
        <w:t xml:space="preserve"> 2023年</w:t>
      </w:r>
      <w:r>
        <w:rPr>
          <w:rFonts w:hint="eastAsia" w:hAnsi="宋体" w:cs="宋体"/>
          <w:b/>
          <w:bCs/>
          <w:color w:val="auto"/>
          <w:w w:val="95"/>
          <w:sz w:val="30"/>
          <w:szCs w:val="30"/>
          <w:lang w:val="en-US" w:eastAsia="zh-CN"/>
        </w:rPr>
        <w:t>7</w:t>
      </w:r>
      <w:r>
        <w:rPr>
          <w:rFonts w:hint="eastAsia" w:hAnsi="宋体" w:cs="宋体"/>
          <w:b/>
          <w:bCs/>
          <w:color w:val="auto"/>
          <w:w w:val="95"/>
          <w:sz w:val="30"/>
          <w:szCs w:val="30"/>
        </w:rPr>
        <w:t>月</w:t>
      </w:r>
      <w:r>
        <w:rPr>
          <w:rFonts w:hint="eastAsia" w:hAnsi="宋体" w:cs="宋体"/>
          <w:b/>
          <w:bCs/>
          <w:color w:val="auto"/>
          <w:w w:val="95"/>
          <w:sz w:val="30"/>
          <w:szCs w:val="30"/>
          <w:lang w:val="en-US" w:eastAsia="zh-CN"/>
        </w:rPr>
        <w:t>4</w:t>
      </w:r>
      <w:r>
        <w:rPr>
          <w:rFonts w:hint="eastAsia" w:hAnsi="宋体" w:cs="宋体"/>
          <w:b/>
          <w:bCs/>
          <w:color w:val="auto"/>
          <w:w w:val="95"/>
          <w:sz w:val="30"/>
          <w:szCs w:val="30"/>
        </w:rPr>
        <w:t>日</w:t>
      </w:r>
    </w:p>
    <w:p>
      <w:pPr>
        <w:widowControl/>
        <w:spacing w:line="360" w:lineRule="auto"/>
        <w:rPr>
          <w:rFonts w:ascii="宋体" w:hAnsi="宋体" w:cs="宋体"/>
          <w:b/>
          <w:bCs/>
          <w:color w:val="auto"/>
          <w:w w:val="95"/>
          <w:sz w:val="30"/>
          <w:szCs w:val="30"/>
        </w:rPr>
        <w:sectPr>
          <w:headerReference r:id="rId5" w:type="first"/>
          <w:footerReference r:id="rId8" w:type="first"/>
          <w:headerReference r:id="rId3" w:type="default"/>
          <w:footerReference r:id="rId6" w:type="default"/>
          <w:headerReference r:id="rId4" w:type="even"/>
          <w:footerReference r:id="rId7" w:type="even"/>
          <w:pgSz w:w="11905" w:h="16838"/>
          <w:pgMar w:top="1134" w:right="1134" w:bottom="1134" w:left="1134" w:header="850" w:footer="850" w:gutter="0"/>
          <w:pgNumType w:start="1"/>
          <w:cols w:space="0" w:num="1"/>
          <w:titlePg/>
          <w:docGrid w:linePitch="331" w:charSpace="0"/>
        </w:sectPr>
      </w:pPr>
    </w:p>
    <w:p>
      <w:pPr>
        <w:rPr>
          <w:b/>
          <w:color w:val="auto"/>
          <w:sz w:val="48"/>
          <w:szCs w:val="48"/>
        </w:rPr>
      </w:pPr>
    </w:p>
    <w:p>
      <w:pPr>
        <w:pStyle w:val="14"/>
        <w:jc w:val="center"/>
        <w:rPr>
          <w:rFonts w:ascii="Times New Roman" w:hAnsi="Times New Roman"/>
          <w:b/>
          <w:color w:val="auto"/>
          <w:sz w:val="48"/>
          <w:szCs w:val="48"/>
        </w:rPr>
      </w:pPr>
      <w:r>
        <w:rPr>
          <w:rFonts w:hint="eastAsia" w:ascii="Times New Roman" w:hAnsi="Times New Roman"/>
          <w:b/>
          <w:color w:val="auto"/>
          <w:sz w:val="48"/>
          <w:szCs w:val="48"/>
        </w:rPr>
        <w:t>目录</w:t>
      </w:r>
    </w:p>
    <w:p>
      <w:pPr>
        <w:pStyle w:val="18"/>
        <w:tabs>
          <w:tab w:val="right" w:leader="dot" w:pos="9637"/>
        </w:tabs>
        <w:rPr>
          <w:color w:val="auto"/>
        </w:rPr>
      </w:pPr>
    </w:p>
    <w:p>
      <w:pPr>
        <w:pStyle w:val="18"/>
        <w:tabs>
          <w:tab w:val="right" w:leader="dot" w:pos="9637"/>
        </w:tabs>
        <w:rPr>
          <w:rFonts w:ascii="宋体" w:hAnsi="宋体" w:cs="宋体"/>
          <w:color w:val="auto"/>
          <w:sz w:val="32"/>
          <w:szCs w:val="32"/>
        </w:rPr>
      </w:pPr>
      <w:r>
        <w:rPr>
          <w:color w:val="auto"/>
        </w:rPr>
        <w:fldChar w:fldCharType="begin"/>
      </w:r>
      <w:r>
        <w:rPr>
          <w:color w:val="auto"/>
        </w:rPr>
        <w:instrText xml:space="preserve">TOC \o "1-1" \h \u </w:instrText>
      </w:r>
      <w:r>
        <w:rPr>
          <w:color w:val="auto"/>
        </w:rPr>
        <w:fldChar w:fldCharType="separate"/>
      </w:r>
      <w:r>
        <w:rPr>
          <w:color w:val="auto"/>
        </w:rPr>
        <w:fldChar w:fldCharType="begin"/>
      </w:r>
      <w:r>
        <w:rPr>
          <w:color w:val="auto"/>
        </w:rPr>
        <w:instrText xml:space="preserve"> HYPERLINK \l "_Toc16222" </w:instrText>
      </w:r>
      <w:r>
        <w:rPr>
          <w:color w:val="auto"/>
        </w:rPr>
        <w:fldChar w:fldCharType="separate"/>
      </w:r>
      <w:r>
        <w:rPr>
          <w:rFonts w:hint="eastAsia" w:ascii="宋体" w:hAnsi="宋体" w:cs="宋体"/>
          <w:color w:val="auto"/>
          <w:sz w:val="32"/>
          <w:szCs w:val="32"/>
        </w:rPr>
        <w:t>第一章  招标公告</w:t>
      </w:r>
      <w:r>
        <w:rPr>
          <w:rFonts w:hint="eastAsia" w:ascii="宋体" w:hAnsi="宋体" w:cs="宋体"/>
          <w:color w:val="auto"/>
          <w:sz w:val="32"/>
          <w:szCs w:val="32"/>
        </w:rPr>
        <w:tab/>
      </w:r>
      <w:r>
        <w:rPr>
          <w:rFonts w:hint="eastAsia" w:ascii="宋体" w:hAnsi="宋体" w:cs="宋体"/>
          <w:color w:val="auto"/>
          <w:sz w:val="32"/>
          <w:szCs w:val="32"/>
        </w:rPr>
        <w:fldChar w:fldCharType="begin"/>
      </w:r>
      <w:r>
        <w:rPr>
          <w:rFonts w:hint="eastAsia" w:ascii="宋体" w:hAnsi="宋体" w:cs="宋体"/>
          <w:color w:val="auto"/>
          <w:sz w:val="32"/>
          <w:szCs w:val="32"/>
        </w:rPr>
        <w:instrText xml:space="preserve"> PAGEREF _Toc16222 </w:instrText>
      </w:r>
      <w:r>
        <w:rPr>
          <w:rFonts w:hint="eastAsia" w:ascii="宋体" w:hAnsi="宋体" w:cs="宋体"/>
          <w:color w:val="auto"/>
          <w:sz w:val="32"/>
          <w:szCs w:val="32"/>
        </w:rPr>
        <w:fldChar w:fldCharType="separate"/>
      </w:r>
      <w:r>
        <w:rPr>
          <w:rFonts w:hint="eastAsia" w:ascii="宋体" w:hAnsi="宋体" w:cs="宋体"/>
          <w:color w:val="auto"/>
          <w:sz w:val="32"/>
          <w:szCs w:val="32"/>
        </w:rPr>
        <w:t>2</w:t>
      </w:r>
      <w:r>
        <w:rPr>
          <w:rFonts w:hint="eastAsia" w:ascii="宋体" w:hAnsi="宋体" w:cs="宋体"/>
          <w:color w:val="auto"/>
          <w:sz w:val="32"/>
          <w:szCs w:val="32"/>
        </w:rPr>
        <w:fldChar w:fldCharType="end"/>
      </w:r>
      <w:r>
        <w:rPr>
          <w:rFonts w:hint="eastAsia" w:ascii="宋体" w:hAnsi="宋体" w:cs="宋体"/>
          <w:color w:val="auto"/>
          <w:sz w:val="32"/>
          <w:szCs w:val="32"/>
        </w:rPr>
        <w:fldChar w:fldCharType="end"/>
      </w:r>
    </w:p>
    <w:p>
      <w:pPr>
        <w:pStyle w:val="18"/>
        <w:tabs>
          <w:tab w:val="right" w:leader="dot" w:pos="9637"/>
        </w:tabs>
        <w:rPr>
          <w:rFonts w:ascii="宋体" w:hAnsi="宋体" w:cs="宋体"/>
          <w:color w:val="auto"/>
          <w:sz w:val="32"/>
          <w:szCs w:val="32"/>
        </w:rPr>
      </w:pPr>
      <w:r>
        <w:rPr>
          <w:color w:val="auto"/>
        </w:rPr>
        <w:fldChar w:fldCharType="begin"/>
      </w:r>
      <w:r>
        <w:rPr>
          <w:color w:val="auto"/>
        </w:rPr>
        <w:instrText xml:space="preserve"> HYPERLINK \l "_Toc8382" </w:instrText>
      </w:r>
      <w:r>
        <w:rPr>
          <w:color w:val="auto"/>
        </w:rPr>
        <w:fldChar w:fldCharType="separate"/>
      </w:r>
      <w:r>
        <w:rPr>
          <w:rFonts w:hint="eastAsia" w:ascii="宋体" w:hAnsi="宋体" w:cs="宋体"/>
          <w:color w:val="auto"/>
          <w:sz w:val="32"/>
          <w:szCs w:val="32"/>
        </w:rPr>
        <w:t>第二章  采购需求</w:t>
      </w:r>
      <w:r>
        <w:rPr>
          <w:rFonts w:hint="eastAsia" w:ascii="宋体" w:hAnsi="宋体" w:cs="宋体"/>
          <w:color w:val="auto"/>
          <w:sz w:val="32"/>
          <w:szCs w:val="32"/>
        </w:rPr>
        <w:tab/>
      </w:r>
      <w:r>
        <w:rPr>
          <w:rFonts w:hint="eastAsia" w:ascii="宋体" w:hAnsi="宋体" w:cs="宋体"/>
          <w:color w:val="auto"/>
          <w:sz w:val="32"/>
          <w:szCs w:val="32"/>
        </w:rPr>
        <w:fldChar w:fldCharType="begin"/>
      </w:r>
      <w:r>
        <w:rPr>
          <w:rFonts w:hint="eastAsia" w:ascii="宋体" w:hAnsi="宋体" w:cs="宋体"/>
          <w:color w:val="auto"/>
          <w:sz w:val="32"/>
          <w:szCs w:val="32"/>
        </w:rPr>
        <w:instrText xml:space="preserve"> PAGEREF _Toc8382 </w:instrText>
      </w:r>
      <w:r>
        <w:rPr>
          <w:rFonts w:hint="eastAsia" w:ascii="宋体" w:hAnsi="宋体" w:cs="宋体"/>
          <w:color w:val="auto"/>
          <w:sz w:val="32"/>
          <w:szCs w:val="32"/>
        </w:rPr>
        <w:fldChar w:fldCharType="separate"/>
      </w:r>
      <w:r>
        <w:rPr>
          <w:rFonts w:hint="eastAsia" w:ascii="宋体" w:hAnsi="宋体" w:cs="宋体"/>
          <w:color w:val="auto"/>
          <w:sz w:val="32"/>
          <w:szCs w:val="32"/>
        </w:rPr>
        <w:t>5</w:t>
      </w:r>
      <w:r>
        <w:rPr>
          <w:rFonts w:hint="eastAsia" w:ascii="宋体" w:hAnsi="宋体" w:cs="宋体"/>
          <w:color w:val="auto"/>
          <w:sz w:val="32"/>
          <w:szCs w:val="32"/>
        </w:rPr>
        <w:fldChar w:fldCharType="end"/>
      </w:r>
      <w:r>
        <w:rPr>
          <w:rFonts w:hint="eastAsia" w:ascii="宋体" w:hAnsi="宋体" w:cs="宋体"/>
          <w:color w:val="auto"/>
          <w:sz w:val="32"/>
          <w:szCs w:val="32"/>
        </w:rPr>
        <w:fldChar w:fldCharType="end"/>
      </w:r>
    </w:p>
    <w:p>
      <w:pPr>
        <w:pStyle w:val="18"/>
        <w:tabs>
          <w:tab w:val="right" w:leader="dot" w:pos="9637"/>
        </w:tabs>
        <w:rPr>
          <w:rFonts w:ascii="宋体" w:hAnsi="宋体" w:cs="宋体"/>
          <w:color w:val="auto"/>
          <w:sz w:val="32"/>
          <w:szCs w:val="32"/>
        </w:rPr>
      </w:pPr>
      <w:r>
        <w:rPr>
          <w:color w:val="auto"/>
        </w:rPr>
        <w:fldChar w:fldCharType="begin"/>
      </w:r>
      <w:r>
        <w:rPr>
          <w:color w:val="auto"/>
        </w:rPr>
        <w:instrText xml:space="preserve"> HYPERLINK \l "_Toc15364" </w:instrText>
      </w:r>
      <w:r>
        <w:rPr>
          <w:color w:val="auto"/>
        </w:rPr>
        <w:fldChar w:fldCharType="separate"/>
      </w:r>
      <w:r>
        <w:rPr>
          <w:rFonts w:hint="eastAsia" w:ascii="宋体" w:hAnsi="宋体" w:cs="宋体"/>
          <w:color w:val="auto"/>
          <w:sz w:val="32"/>
          <w:szCs w:val="32"/>
        </w:rPr>
        <w:t>第三章  投标人须知</w:t>
      </w:r>
      <w:r>
        <w:rPr>
          <w:rFonts w:hint="eastAsia" w:ascii="宋体" w:hAnsi="宋体" w:cs="宋体"/>
          <w:color w:val="auto"/>
          <w:sz w:val="32"/>
          <w:szCs w:val="32"/>
        </w:rPr>
        <w:tab/>
      </w:r>
      <w:r>
        <w:rPr>
          <w:rFonts w:hint="eastAsia" w:ascii="宋体" w:hAnsi="宋体" w:cs="宋体"/>
          <w:color w:val="auto"/>
          <w:sz w:val="32"/>
          <w:szCs w:val="32"/>
        </w:rPr>
        <w:fldChar w:fldCharType="begin"/>
      </w:r>
      <w:r>
        <w:rPr>
          <w:rFonts w:hint="eastAsia" w:ascii="宋体" w:hAnsi="宋体" w:cs="宋体"/>
          <w:color w:val="auto"/>
          <w:sz w:val="32"/>
          <w:szCs w:val="32"/>
        </w:rPr>
        <w:instrText xml:space="preserve"> PAGEREF _Toc15364 </w:instrText>
      </w:r>
      <w:r>
        <w:rPr>
          <w:rFonts w:hint="eastAsia" w:ascii="宋体" w:hAnsi="宋体" w:cs="宋体"/>
          <w:color w:val="auto"/>
          <w:sz w:val="32"/>
          <w:szCs w:val="32"/>
        </w:rPr>
        <w:fldChar w:fldCharType="separate"/>
      </w:r>
      <w:r>
        <w:rPr>
          <w:rFonts w:hint="eastAsia" w:ascii="宋体" w:hAnsi="宋体" w:cs="宋体"/>
          <w:color w:val="auto"/>
          <w:sz w:val="32"/>
          <w:szCs w:val="32"/>
        </w:rPr>
        <w:t>45</w:t>
      </w:r>
      <w:r>
        <w:rPr>
          <w:rFonts w:hint="eastAsia" w:ascii="宋体" w:hAnsi="宋体" w:cs="宋体"/>
          <w:color w:val="auto"/>
          <w:sz w:val="32"/>
          <w:szCs w:val="32"/>
        </w:rPr>
        <w:fldChar w:fldCharType="end"/>
      </w:r>
      <w:r>
        <w:rPr>
          <w:rFonts w:hint="eastAsia" w:ascii="宋体" w:hAnsi="宋体" w:cs="宋体"/>
          <w:color w:val="auto"/>
          <w:sz w:val="32"/>
          <w:szCs w:val="32"/>
        </w:rPr>
        <w:fldChar w:fldCharType="end"/>
      </w:r>
    </w:p>
    <w:p>
      <w:pPr>
        <w:pStyle w:val="18"/>
        <w:tabs>
          <w:tab w:val="right" w:leader="dot" w:pos="9637"/>
        </w:tabs>
        <w:rPr>
          <w:rFonts w:ascii="宋体" w:hAnsi="宋体" w:cs="宋体"/>
          <w:color w:val="auto"/>
          <w:sz w:val="32"/>
          <w:szCs w:val="32"/>
        </w:rPr>
      </w:pPr>
      <w:r>
        <w:rPr>
          <w:color w:val="auto"/>
        </w:rPr>
        <w:fldChar w:fldCharType="begin"/>
      </w:r>
      <w:r>
        <w:rPr>
          <w:color w:val="auto"/>
        </w:rPr>
        <w:instrText xml:space="preserve"> HYPERLINK \l "_Toc10034" </w:instrText>
      </w:r>
      <w:r>
        <w:rPr>
          <w:color w:val="auto"/>
        </w:rPr>
        <w:fldChar w:fldCharType="separate"/>
      </w:r>
      <w:r>
        <w:rPr>
          <w:rFonts w:hint="eastAsia" w:ascii="宋体" w:hAnsi="宋体" w:cs="宋体"/>
          <w:color w:val="auto"/>
          <w:sz w:val="32"/>
          <w:szCs w:val="32"/>
        </w:rPr>
        <w:t>第四章  评标方法和评标标准</w:t>
      </w:r>
      <w:r>
        <w:rPr>
          <w:rFonts w:hint="eastAsia" w:ascii="宋体" w:hAnsi="宋体" w:cs="宋体"/>
          <w:color w:val="auto"/>
          <w:sz w:val="32"/>
          <w:szCs w:val="32"/>
        </w:rPr>
        <w:tab/>
      </w:r>
      <w:r>
        <w:rPr>
          <w:rFonts w:hint="eastAsia" w:ascii="宋体" w:hAnsi="宋体" w:cs="宋体"/>
          <w:color w:val="auto"/>
          <w:sz w:val="32"/>
          <w:szCs w:val="32"/>
        </w:rPr>
        <w:fldChar w:fldCharType="begin"/>
      </w:r>
      <w:r>
        <w:rPr>
          <w:rFonts w:hint="eastAsia" w:ascii="宋体" w:hAnsi="宋体" w:cs="宋体"/>
          <w:color w:val="auto"/>
          <w:sz w:val="32"/>
          <w:szCs w:val="32"/>
        </w:rPr>
        <w:instrText xml:space="preserve"> PAGEREF _Toc10034 </w:instrText>
      </w:r>
      <w:r>
        <w:rPr>
          <w:rFonts w:hint="eastAsia" w:ascii="宋体" w:hAnsi="宋体" w:cs="宋体"/>
          <w:color w:val="auto"/>
          <w:sz w:val="32"/>
          <w:szCs w:val="32"/>
        </w:rPr>
        <w:fldChar w:fldCharType="separate"/>
      </w:r>
      <w:r>
        <w:rPr>
          <w:rFonts w:hint="eastAsia" w:ascii="宋体" w:hAnsi="宋体" w:cs="宋体"/>
          <w:color w:val="auto"/>
          <w:sz w:val="32"/>
          <w:szCs w:val="32"/>
        </w:rPr>
        <w:t>67</w:t>
      </w:r>
      <w:r>
        <w:rPr>
          <w:rFonts w:hint="eastAsia" w:ascii="宋体" w:hAnsi="宋体" w:cs="宋体"/>
          <w:color w:val="auto"/>
          <w:sz w:val="32"/>
          <w:szCs w:val="32"/>
        </w:rPr>
        <w:fldChar w:fldCharType="end"/>
      </w:r>
      <w:r>
        <w:rPr>
          <w:rFonts w:hint="eastAsia" w:ascii="宋体" w:hAnsi="宋体" w:cs="宋体"/>
          <w:color w:val="auto"/>
          <w:sz w:val="32"/>
          <w:szCs w:val="32"/>
        </w:rPr>
        <w:fldChar w:fldCharType="end"/>
      </w:r>
    </w:p>
    <w:p>
      <w:pPr>
        <w:pStyle w:val="18"/>
        <w:tabs>
          <w:tab w:val="right" w:leader="dot" w:pos="9637"/>
        </w:tabs>
        <w:rPr>
          <w:rFonts w:ascii="宋体" w:hAnsi="宋体" w:cs="宋体"/>
          <w:color w:val="auto"/>
          <w:sz w:val="32"/>
          <w:szCs w:val="32"/>
        </w:rPr>
      </w:pPr>
      <w:r>
        <w:rPr>
          <w:color w:val="auto"/>
        </w:rPr>
        <w:fldChar w:fldCharType="begin"/>
      </w:r>
      <w:r>
        <w:rPr>
          <w:color w:val="auto"/>
        </w:rPr>
        <w:instrText xml:space="preserve"> HYPERLINK \l "_Toc32021" </w:instrText>
      </w:r>
      <w:r>
        <w:rPr>
          <w:color w:val="auto"/>
        </w:rPr>
        <w:fldChar w:fldCharType="separate"/>
      </w:r>
      <w:r>
        <w:rPr>
          <w:rFonts w:hint="eastAsia" w:ascii="宋体" w:hAnsi="宋体" w:cs="宋体"/>
          <w:color w:val="auto"/>
          <w:sz w:val="32"/>
          <w:szCs w:val="32"/>
        </w:rPr>
        <w:t xml:space="preserve">第五章 </w:t>
      </w:r>
      <w:r>
        <w:rPr>
          <w:rFonts w:hint="eastAsia" w:ascii="宋体" w:hAnsi="宋体" w:cs="宋体"/>
          <w:color w:val="auto"/>
          <w:sz w:val="32"/>
          <w:szCs w:val="32"/>
          <w:lang w:val="en-US" w:eastAsia="zh-CN"/>
        </w:rPr>
        <w:t xml:space="preserve"> </w:t>
      </w:r>
      <w:r>
        <w:rPr>
          <w:rFonts w:hint="eastAsia" w:ascii="宋体" w:hAnsi="宋体" w:cs="宋体"/>
          <w:color w:val="auto"/>
          <w:sz w:val="32"/>
          <w:szCs w:val="32"/>
        </w:rPr>
        <w:t>拟签订的合同文本</w:t>
      </w:r>
      <w:r>
        <w:rPr>
          <w:rFonts w:hint="eastAsia" w:ascii="宋体" w:hAnsi="宋体" w:cs="宋体"/>
          <w:color w:val="auto"/>
          <w:sz w:val="32"/>
          <w:szCs w:val="32"/>
        </w:rPr>
        <w:tab/>
      </w:r>
      <w:r>
        <w:rPr>
          <w:rFonts w:hint="eastAsia" w:ascii="宋体" w:hAnsi="宋体" w:cs="宋体"/>
          <w:color w:val="auto"/>
          <w:sz w:val="32"/>
          <w:szCs w:val="32"/>
        </w:rPr>
        <w:fldChar w:fldCharType="begin"/>
      </w:r>
      <w:r>
        <w:rPr>
          <w:rFonts w:hint="eastAsia" w:ascii="宋体" w:hAnsi="宋体" w:cs="宋体"/>
          <w:color w:val="auto"/>
          <w:sz w:val="32"/>
          <w:szCs w:val="32"/>
        </w:rPr>
        <w:instrText xml:space="preserve"> PAGEREF _Toc32021 </w:instrText>
      </w:r>
      <w:r>
        <w:rPr>
          <w:rFonts w:hint="eastAsia" w:ascii="宋体" w:hAnsi="宋体" w:cs="宋体"/>
          <w:color w:val="auto"/>
          <w:sz w:val="32"/>
          <w:szCs w:val="32"/>
        </w:rPr>
        <w:fldChar w:fldCharType="separate"/>
      </w:r>
      <w:r>
        <w:rPr>
          <w:rFonts w:hint="eastAsia" w:ascii="宋体" w:hAnsi="宋体" w:cs="宋体"/>
          <w:color w:val="auto"/>
          <w:sz w:val="32"/>
          <w:szCs w:val="32"/>
        </w:rPr>
        <w:t>73</w:t>
      </w:r>
      <w:r>
        <w:rPr>
          <w:rFonts w:hint="eastAsia" w:ascii="宋体" w:hAnsi="宋体" w:cs="宋体"/>
          <w:color w:val="auto"/>
          <w:sz w:val="32"/>
          <w:szCs w:val="32"/>
        </w:rPr>
        <w:fldChar w:fldCharType="end"/>
      </w:r>
      <w:r>
        <w:rPr>
          <w:rFonts w:hint="eastAsia" w:ascii="宋体" w:hAnsi="宋体" w:cs="宋体"/>
          <w:color w:val="auto"/>
          <w:sz w:val="32"/>
          <w:szCs w:val="32"/>
        </w:rPr>
        <w:fldChar w:fldCharType="end"/>
      </w:r>
    </w:p>
    <w:p>
      <w:pPr>
        <w:pStyle w:val="18"/>
        <w:tabs>
          <w:tab w:val="right" w:leader="dot" w:pos="9637"/>
        </w:tabs>
        <w:rPr>
          <w:rFonts w:ascii="宋体" w:hAnsi="宋体" w:cs="宋体"/>
          <w:color w:val="auto"/>
          <w:sz w:val="32"/>
          <w:szCs w:val="32"/>
        </w:rPr>
      </w:pPr>
      <w:r>
        <w:rPr>
          <w:color w:val="auto"/>
        </w:rPr>
        <w:fldChar w:fldCharType="begin"/>
      </w:r>
      <w:r>
        <w:rPr>
          <w:color w:val="auto"/>
        </w:rPr>
        <w:instrText xml:space="preserve"> HYPERLINK \l "_Toc2517" </w:instrText>
      </w:r>
      <w:r>
        <w:rPr>
          <w:color w:val="auto"/>
        </w:rPr>
        <w:fldChar w:fldCharType="separate"/>
      </w:r>
      <w:r>
        <w:rPr>
          <w:rFonts w:hint="eastAsia" w:ascii="宋体" w:hAnsi="宋体" w:cs="宋体"/>
          <w:color w:val="auto"/>
          <w:sz w:val="32"/>
          <w:szCs w:val="32"/>
        </w:rPr>
        <w:t xml:space="preserve">第六章 </w:t>
      </w:r>
      <w:r>
        <w:rPr>
          <w:rFonts w:hint="eastAsia" w:ascii="宋体" w:hAnsi="宋体" w:cs="宋体"/>
          <w:color w:val="auto"/>
          <w:sz w:val="32"/>
          <w:szCs w:val="32"/>
          <w:lang w:val="en-US" w:eastAsia="zh-CN"/>
        </w:rPr>
        <w:t xml:space="preserve"> </w:t>
      </w:r>
      <w:r>
        <w:rPr>
          <w:rFonts w:hint="eastAsia" w:ascii="宋体" w:hAnsi="宋体" w:cs="宋体"/>
          <w:color w:val="auto"/>
          <w:sz w:val="32"/>
          <w:szCs w:val="32"/>
        </w:rPr>
        <w:t>投标文件格式</w:t>
      </w:r>
      <w:r>
        <w:rPr>
          <w:rFonts w:hint="eastAsia" w:ascii="宋体" w:hAnsi="宋体" w:cs="宋体"/>
          <w:color w:val="auto"/>
          <w:sz w:val="32"/>
          <w:szCs w:val="32"/>
        </w:rPr>
        <w:tab/>
      </w:r>
      <w:r>
        <w:rPr>
          <w:rFonts w:hint="eastAsia" w:ascii="宋体" w:hAnsi="宋体" w:cs="宋体"/>
          <w:color w:val="auto"/>
          <w:sz w:val="32"/>
          <w:szCs w:val="32"/>
        </w:rPr>
        <w:fldChar w:fldCharType="begin"/>
      </w:r>
      <w:r>
        <w:rPr>
          <w:rFonts w:hint="eastAsia" w:ascii="宋体" w:hAnsi="宋体" w:cs="宋体"/>
          <w:color w:val="auto"/>
          <w:sz w:val="32"/>
          <w:szCs w:val="32"/>
        </w:rPr>
        <w:instrText xml:space="preserve"> PAGEREF _Toc2517 </w:instrText>
      </w:r>
      <w:r>
        <w:rPr>
          <w:rFonts w:hint="eastAsia" w:ascii="宋体" w:hAnsi="宋体" w:cs="宋体"/>
          <w:color w:val="auto"/>
          <w:sz w:val="32"/>
          <w:szCs w:val="32"/>
        </w:rPr>
        <w:fldChar w:fldCharType="separate"/>
      </w:r>
      <w:r>
        <w:rPr>
          <w:rFonts w:hint="eastAsia" w:ascii="宋体" w:hAnsi="宋体" w:cs="宋体"/>
          <w:color w:val="auto"/>
          <w:sz w:val="32"/>
          <w:szCs w:val="32"/>
        </w:rPr>
        <w:t>78</w:t>
      </w:r>
      <w:r>
        <w:rPr>
          <w:rFonts w:hint="eastAsia" w:ascii="宋体" w:hAnsi="宋体" w:cs="宋体"/>
          <w:color w:val="auto"/>
          <w:sz w:val="32"/>
          <w:szCs w:val="32"/>
        </w:rPr>
        <w:fldChar w:fldCharType="end"/>
      </w:r>
      <w:r>
        <w:rPr>
          <w:rFonts w:hint="eastAsia" w:ascii="宋体" w:hAnsi="宋体" w:cs="宋体"/>
          <w:color w:val="auto"/>
          <w:sz w:val="32"/>
          <w:szCs w:val="32"/>
        </w:rPr>
        <w:fldChar w:fldCharType="end"/>
      </w:r>
    </w:p>
    <w:p>
      <w:pPr>
        <w:pStyle w:val="18"/>
        <w:tabs>
          <w:tab w:val="right" w:leader="dot" w:pos="9637"/>
        </w:tabs>
        <w:rPr>
          <w:color w:val="auto"/>
        </w:rPr>
      </w:pPr>
      <w:r>
        <w:rPr>
          <w:color w:val="auto"/>
        </w:rPr>
        <w:fldChar w:fldCharType="begin"/>
      </w:r>
      <w:r>
        <w:rPr>
          <w:color w:val="auto"/>
        </w:rPr>
        <w:instrText xml:space="preserve"> HYPERLINK \l "_Toc31310" </w:instrText>
      </w:r>
      <w:r>
        <w:rPr>
          <w:color w:val="auto"/>
        </w:rPr>
        <w:fldChar w:fldCharType="separate"/>
      </w:r>
      <w:r>
        <w:rPr>
          <w:rFonts w:hint="eastAsia" w:ascii="宋体" w:hAnsi="宋体" w:cs="宋体"/>
          <w:color w:val="auto"/>
          <w:sz w:val="32"/>
          <w:szCs w:val="32"/>
        </w:rPr>
        <w:t xml:space="preserve">第七章 </w:t>
      </w:r>
      <w:r>
        <w:rPr>
          <w:rFonts w:hint="eastAsia" w:ascii="宋体" w:hAnsi="宋体" w:cs="宋体"/>
          <w:color w:val="auto"/>
          <w:sz w:val="32"/>
          <w:szCs w:val="32"/>
          <w:lang w:val="en-US" w:eastAsia="zh-CN"/>
        </w:rPr>
        <w:t xml:space="preserve"> </w:t>
      </w:r>
      <w:r>
        <w:rPr>
          <w:rFonts w:hint="eastAsia" w:ascii="宋体" w:hAnsi="宋体" w:cs="宋体"/>
          <w:color w:val="auto"/>
          <w:sz w:val="32"/>
          <w:szCs w:val="32"/>
        </w:rPr>
        <w:t>质疑、投诉材料格式</w:t>
      </w:r>
      <w:r>
        <w:rPr>
          <w:rFonts w:hint="eastAsia" w:ascii="宋体" w:hAnsi="宋体" w:cs="宋体"/>
          <w:color w:val="auto"/>
          <w:sz w:val="32"/>
          <w:szCs w:val="32"/>
        </w:rPr>
        <w:tab/>
      </w:r>
      <w:r>
        <w:rPr>
          <w:rFonts w:hint="eastAsia" w:ascii="宋体" w:hAnsi="宋体" w:cs="宋体"/>
          <w:color w:val="auto"/>
          <w:sz w:val="32"/>
          <w:szCs w:val="32"/>
        </w:rPr>
        <w:fldChar w:fldCharType="begin"/>
      </w:r>
      <w:r>
        <w:rPr>
          <w:rFonts w:hint="eastAsia" w:ascii="宋体" w:hAnsi="宋体" w:cs="宋体"/>
          <w:color w:val="auto"/>
          <w:sz w:val="32"/>
          <w:szCs w:val="32"/>
        </w:rPr>
        <w:instrText xml:space="preserve"> PAGEREF _Toc31310 </w:instrText>
      </w:r>
      <w:r>
        <w:rPr>
          <w:rFonts w:hint="eastAsia" w:ascii="宋体" w:hAnsi="宋体" w:cs="宋体"/>
          <w:color w:val="auto"/>
          <w:sz w:val="32"/>
          <w:szCs w:val="32"/>
        </w:rPr>
        <w:fldChar w:fldCharType="separate"/>
      </w:r>
      <w:r>
        <w:rPr>
          <w:rFonts w:hint="eastAsia" w:ascii="宋体" w:hAnsi="宋体" w:cs="宋体"/>
          <w:color w:val="auto"/>
          <w:sz w:val="32"/>
          <w:szCs w:val="32"/>
        </w:rPr>
        <w:t>115</w:t>
      </w:r>
      <w:r>
        <w:rPr>
          <w:rFonts w:hint="eastAsia" w:ascii="宋体" w:hAnsi="宋体" w:cs="宋体"/>
          <w:color w:val="auto"/>
          <w:sz w:val="32"/>
          <w:szCs w:val="32"/>
        </w:rPr>
        <w:fldChar w:fldCharType="end"/>
      </w:r>
      <w:r>
        <w:rPr>
          <w:rFonts w:hint="eastAsia" w:ascii="宋体" w:hAnsi="宋体" w:cs="宋体"/>
          <w:color w:val="auto"/>
          <w:sz w:val="32"/>
          <w:szCs w:val="32"/>
        </w:rPr>
        <w:fldChar w:fldCharType="end"/>
      </w:r>
    </w:p>
    <w:p>
      <w:pPr>
        <w:pStyle w:val="14"/>
        <w:jc w:val="center"/>
        <w:rPr>
          <w:color w:val="auto"/>
        </w:rPr>
      </w:pPr>
      <w:r>
        <w:rPr>
          <w:color w:val="auto"/>
        </w:rPr>
        <w:fldChar w:fldCharType="end"/>
      </w:r>
      <w:r>
        <w:rPr>
          <w:rFonts w:hint="eastAsia"/>
          <w:color w:val="auto"/>
        </w:rPr>
        <w:tab/>
      </w:r>
      <w:bookmarkStart w:id="1" w:name="_Toc532545041"/>
    </w:p>
    <w:p>
      <w:pPr>
        <w:rPr>
          <w:color w:val="auto"/>
        </w:rPr>
      </w:pPr>
      <w:r>
        <w:rPr>
          <w:rFonts w:hint="eastAsia"/>
          <w:color w:val="auto"/>
        </w:rPr>
        <w:br w:type="page"/>
      </w:r>
    </w:p>
    <w:p>
      <w:pPr>
        <w:pStyle w:val="14"/>
        <w:jc w:val="center"/>
        <w:outlineLvl w:val="0"/>
        <w:rPr>
          <w:rFonts w:ascii="Times New Roman" w:hAnsi="Times New Roman"/>
          <w:b/>
          <w:color w:val="auto"/>
          <w:sz w:val="36"/>
        </w:rPr>
      </w:pPr>
      <w:bookmarkStart w:id="2" w:name="_Toc18459"/>
      <w:bookmarkStart w:id="3" w:name="_Toc16576"/>
      <w:bookmarkStart w:id="4" w:name="_Toc11500"/>
      <w:bookmarkStart w:id="5" w:name="_Toc184"/>
      <w:bookmarkStart w:id="6" w:name="_Toc18707"/>
      <w:bookmarkStart w:id="7" w:name="_Toc19537"/>
      <w:bookmarkStart w:id="8" w:name="_Toc9949"/>
      <w:bookmarkStart w:id="9" w:name="_Toc12228"/>
      <w:bookmarkStart w:id="10" w:name="_Toc8345"/>
      <w:bookmarkStart w:id="11" w:name="_Toc16222"/>
      <w:bookmarkStart w:id="12" w:name="_Toc20258"/>
      <w:r>
        <w:rPr>
          <w:rFonts w:hint="eastAsia" w:ascii="Times New Roman" w:hAnsi="Times New Roman"/>
          <w:b/>
          <w:color w:val="auto"/>
          <w:sz w:val="36"/>
        </w:rPr>
        <w:t>第一章招标公告</w:t>
      </w:r>
      <w:bookmarkEnd w:id="1"/>
      <w:bookmarkEnd w:id="2"/>
      <w:bookmarkEnd w:id="3"/>
      <w:bookmarkEnd w:id="4"/>
      <w:bookmarkEnd w:id="5"/>
      <w:bookmarkEnd w:id="6"/>
      <w:bookmarkEnd w:id="7"/>
      <w:bookmarkEnd w:id="8"/>
      <w:bookmarkEnd w:id="9"/>
      <w:bookmarkEnd w:id="10"/>
      <w:bookmarkEnd w:id="11"/>
      <w:bookmarkEnd w:id="12"/>
    </w:p>
    <w:p>
      <w:pPr>
        <w:pStyle w:val="14"/>
        <w:jc w:val="center"/>
        <w:rPr>
          <w:rFonts w:ascii="Times New Roman" w:hAnsi="Times New Roman"/>
          <w:b/>
          <w:color w:val="auto"/>
          <w:sz w:val="30"/>
          <w:szCs w:val="30"/>
        </w:rPr>
      </w:pPr>
    </w:p>
    <w:p>
      <w:pPr>
        <w:pStyle w:val="14"/>
        <w:jc w:val="center"/>
        <w:rPr>
          <w:rFonts w:ascii="Times New Roman" w:hAnsi="Times New Roman"/>
          <w:b/>
          <w:color w:val="auto"/>
          <w:sz w:val="30"/>
          <w:szCs w:val="30"/>
        </w:rPr>
      </w:pPr>
      <w:r>
        <w:rPr>
          <w:rFonts w:hint="eastAsia" w:ascii="Times New Roman" w:hAnsi="Times New Roman"/>
          <w:b/>
          <w:color w:val="auto"/>
          <w:sz w:val="30"/>
          <w:szCs w:val="30"/>
        </w:rPr>
        <w:t>招标公告</w:t>
      </w:r>
    </w:p>
    <w:p>
      <w:pPr>
        <w:pBdr>
          <w:top w:val="single" w:color="auto" w:sz="4" w:space="1"/>
          <w:left w:val="single" w:color="auto" w:sz="4" w:space="4"/>
          <w:bottom w:val="single" w:color="auto" w:sz="4" w:space="1"/>
          <w:right w:val="single" w:color="auto" w:sz="4" w:space="4"/>
        </w:pBdr>
        <w:spacing w:line="360" w:lineRule="auto"/>
        <w:ind w:firstLine="420" w:firstLineChars="200"/>
        <w:rPr>
          <w:rFonts w:ascii="宋体" w:hAnsi="宋体" w:cs="宋体"/>
          <w:color w:val="auto"/>
          <w:szCs w:val="21"/>
        </w:rPr>
      </w:pPr>
      <w:r>
        <w:rPr>
          <w:rFonts w:hint="eastAsia" w:ascii="宋体" w:hAnsi="宋体" w:cs="宋体"/>
          <w:color w:val="auto"/>
          <w:szCs w:val="21"/>
        </w:rPr>
        <w:t>项目概况</w:t>
      </w:r>
    </w:p>
    <w:p>
      <w:pPr>
        <w:pBdr>
          <w:top w:val="single" w:color="auto" w:sz="4" w:space="1"/>
          <w:left w:val="single" w:color="auto" w:sz="4" w:space="4"/>
          <w:bottom w:val="single" w:color="auto" w:sz="4" w:space="1"/>
          <w:right w:val="single" w:color="auto" w:sz="4" w:space="4"/>
        </w:pBdr>
        <w:spacing w:line="360" w:lineRule="auto"/>
        <w:ind w:firstLine="525" w:firstLineChars="250"/>
        <w:rPr>
          <w:rFonts w:ascii="宋体" w:hAnsi="宋体" w:cs="宋体"/>
          <w:color w:val="auto"/>
          <w:szCs w:val="21"/>
          <w:u w:val="single"/>
        </w:rPr>
      </w:pPr>
      <w:r>
        <w:rPr>
          <w:rFonts w:hint="eastAsia" w:ascii="宋体" w:hAnsi="宋体" w:cs="宋体"/>
          <w:color w:val="auto"/>
          <w:szCs w:val="21"/>
          <w:u w:val="single"/>
          <w:lang w:eastAsia="zh-CN"/>
        </w:rPr>
        <w:t>空调设备及部分医疗辅助设施维保服务</w:t>
      </w:r>
      <w:r>
        <w:rPr>
          <w:rFonts w:hint="eastAsia" w:ascii="宋体" w:hAnsi="宋体" w:cs="宋体"/>
          <w:color w:val="auto"/>
          <w:szCs w:val="21"/>
        </w:rPr>
        <w:t>招标项目的潜在投标人应在“政采云”平台（https://www.zcygov.cn/）获取（下载）招标文件，并于</w:t>
      </w:r>
      <w:bookmarkStart w:id="13" w:name="PO_3000001866_PM015"/>
      <w:bookmarkStart w:id="14" w:name="PO_3000001867_PM015"/>
      <w:r>
        <w:rPr>
          <w:rFonts w:hint="eastAsia" w:ascii="宋体" w:hAnsi="宋体" w:cs="宋体"/>
          <w:color w:val="auto"/>
          <w:szCs w:val="21"/>
          <w:u w:val="single"/>
        </w:rPr>
        <w:t>2023年</w:t>
      </w:r>
      <w:r>
        <w:rPr>
          <w:rFonts w:hint="eastAsia" w:ascii="宋体" w:hAnsi="宋体" w:cs="宋体"/>
          <w:color w:val="auto"/>
          <w:szCs w:val="21"/>
          <w:u w:val="single"/>
          <w:lang w:val="en-US" w:eastAsia="zh-CN"/>
        </w:rPr>
        <w:t>7</w:t>
      </w:r>
      <w:r>
        <w:rPr>
          <w:rFonts w:hint="eastAsia" w:ascii="宋体" w:hAnsi="宋体" w:cs="宋体"/>
          <w:color w:val="auto"/>
          <w:szCs w:val="21"/>
          <w:u w:val="single"/>
        </w:rPr>
        <w:t>月</w:t>
      </w:r>
      <w:r>
        <w:rPr>
          <w:rFonts w:hint="eastAsia" w:ascii="宋体" w:hAnsi="宋体" w:cs="宋体"/>
          <w:color w:val="auto"/>
          <w:szCs w:val="21"/>
          <w:u w:val="single"/>
          <w:lang w:val="en-US" w:eastAsia="zh-CN"/>
        </w:rPr>
        <w:t>25</w:t>
      </w:r>
      <w:r>
        <w:rPr>
          <w:rFonts w:hint="eastAsia" w:ascii="宋体" w:hAnsi="宋体" w:cs="宋体"/>
          <w:color w:val="auto"/>
          <w:szCs w:val="21"/>
          <w:u w:val="single"/>
        </w:rPr>
        <w:t>日09点00分</w:t>
      </w:r>
      <w:bookmarkEnd w:id="13"/>
      <w:bookmarkEnd w:id="14"/>
      <w:r>
        <w:rPr>
          <w:rFonts w:hint="eastAsia" w:ascii="宋体" w:hAnsi="宋体" w:cs="宋体"/>
          <w:bCs/>
          <w:color w:val="auto"/>
          <w:szCs w:val="21"/>
        </w:rPr>
        <w:t>（北京时间）前</w:t>
      </w:r>
      <w:r>
        <w:rPr>
          <w:rFonts w:hint="eastAsia" w:ascii="宋体" w:hAnsi="宋体" w:cs="宋体"/>
          <w:color w:val="auto"/>
          <w:szCs w:val="21"/>
        </w:rPr>
        <w:t>递交投标文件。</w:t>
      </w:r>
    </w:p>
    <w:p>
      <w:pPr>
        <w:spacing w:line="360" w:lineRule="auto"/>
        <w:rPr>
          <w:rFonts w:ascii="黑体" w:hAnsi="黑体" w:eastAsia="黑体"/>
          <w:b/>
          <w:bCs/>
          <w:color w:val="auto"/>
          <w:sz w:val="24"/>
        </w:rPr>
      </w:pPr>
      <w:bookmarkStart w:id="15" w:name="_Toc35393621"/>
      <w:bookmarkStart w:id="16" w:name="_Toc28359002"/>
      <w:bookmarkStart w:id="17" w:name="_Toc28359079"/>
      <w:bookmarkStart w:id="18" w:name="_Toc35393790"/>
      <w:bookmarkStart w:id="19" w:name="_Hlk24379207"/>
      <w:r>
        <w:rPr>
          <w:rFonts w:hint="eastAsia" w:ascii="黑体" w:hAnsi="黑体" w:eastAsia="黑体"/>
          <w:b/>
          <w:bCs/>
          <w:color w:val="auto"/>
          <w:sz w:val="24"/>
        </w:rPr>
        <w:t>一、项目基本情况</w:t>
      </w:r>
      <w:bookmarkEnd w:id="15"/>
      <w:bookmarkEnd w:id="16"/>
      <w:bookmarkEnd w:id="17"/>
      <w:bookmarkEnd w:id="18"/>
    </w:p>
    <w:p>
      <w:pPr>
        <w:spacing w:line="360" w:lineRule="auto"/>
        <w:ind w:firstLine="420" w:firstLineChars="200"/>
        <w:rPr>
          <w:rFonts w:ascii="宋体" w:hAnsi="宋体"/>
          <w:color w:val="auto"/>
          <w:szCs w:val="21"/>
        </w:rPr>
      </w:pPr>
      <w:r>
        <w:rPr>
          <w:rFonts w:hint="eastAsia" w:ascii="宋体" w:hAnsi="宋体"/>
          <w:color w:val="auto"/>
          <w:szCs w:val="21"/>
        </w:rPr>
        <w:t xml:space="preserve">项目编号： </w:t>
      </w:r>
      <w:r>
        <w:rPr>
          <w:rFonts w:hint="eastAsia" w:ascii="宋体" w:hAnsi="宋体"/>
          <w:color w:val="auto"/>
          <w:szCs w:val="21"/>
          <w:lang w:eastAsia="zh-CN"/>
        </w:rPr>
        <w:t>GXZC2023-G3-002226-KLZB</w:t>
      </w:r>
      <w:r>
        <w:rPr>
          <w:rFonts w:hint="eastAsia" w:ascii="宋体" w:hAnsi="宋体" w:cs="宋体"/>
          <w:color w:val="auto"/>
          <w:szCs w:val="21"/>
        </w:rPr>
        <w:t>（政府采购计划编号：广西政采[2023]12725号）</w:t>
      </w:r>
    </w:p>
    <w:p>
      <w:pPr>
        <w:spacing w:line="360" w:lineRule="auto"/>
        <w:ind w:firstLine="420" w:firstLineChars="200"/>
        <w:rPr>
          <w:rFonts w:hint="eastAsia" w:ascii="宋体" w:hAnsi="宋体" w:eastAsia="宋体"/>
          <w:color w:val="auto"/>
          <w:szCs w:val="21"/>
          <w:lang w:eastAsia="zh-CN"/>
        </w:rPr>
      </w:pPr>
      <w:r>
        <w:rPr>
          <w:rFonts w:hint="eastAsia" w:ascii="宋体" w:hAnsi="宋体"/>
          <w:color w:val="auto"/>
          <w:szCs w:val="21"/>
        </w:rPr>
        <w:t>项目名称：</w:t>
      </w:r>
      <w:bookmarkEnd w:id="19"/>
      <w:r>
        <w:rPr>
          <w:rFonts w:hint="eastAsia" w:ascii="宋体" w:hAnsi="宋体"/>
          <w:color w:val="auto"/>
          <w:szCs w:val="21"/>
          <w:lang w:eastAsia="zh-CN"/>
        </w:rPr>
        <w:t>空调设备及部分医疗辅助设施维保服务</w:t>
      </w:r>
    </w:p>
    <w:p>
      <w:pPr>
        <w:spacing w:line="360" w:lineRule="auto"/>
        <w:ind w:firstLine="420" w:firstLineChars="200"/>
        <w:rPr>
          <w:rFonts w:ascii="宋体" w:hAnsi="宋体" w:cs="宋体"/>
          <w:color w:val="auto"/>
          <w:szCs w:val="21"/>
        </w:rPr>
      </w:pPr>
      <w:r>
        <w:rPr>
          <w:rFonts w:hint="eastAsia" w:ascii="宋体" w:hAnsi="宋体"/>
          <w:color w:val="auto"/>
          <w:szCs w:val="21"/>
        </w:rPr>
        <w:t>预算金额：</w:t>
      </w:r>
      <w:bookmarkStart w:id="20" w:name="PO_3000001867_PM001392"/>
      <w:r>
        <w:rPr>
          <w:rFonts w:hint="eastAsia" w:ascii="宋体" w:hAnsi="宋体" w:cs="宋体"/>
          <w:color w:val="auto"/>
          <w:szCs w:val="21"/>
        </w:rPr>
        <w:t>（大写）人民币</w:t>
      </w:r>
      <w:r>
        <w:rPr>
          <w:rFonts w:hint="eastAsia" w:ascii="宋体" w:hAnsi="宋体" w:cs="宋体"/>
          <w:color w:val="auto"/>
          <w:szCs w:val="21"/>
          <w:lang w:val="en-US" w:eastAsia="zh-CN"/>
        </w:rPr>
        <w:fldChar w:fldCharType="begin"/>
      </w:r>
      <w:r>
        <w:rPr>
          <w:rFonts w:hint="eastAsia" w:ascii="宋体" w:hAnsi="宋体" w:cs="宋体"/>
          <w:color w:val="auto"/>
          <w:szCs w:val="21"/>
          <w:lang w:val="en-US" w:eastAsia="zh-CN"/>
        </w:rPr>
        <w:instrText xml:space="preserve"> = 5050000 \* CHINESENUM2 \* MERGEFORMAT </w:instrText>
      </w:r>
      <w:r>
        <w:rPr>
          <w:rFonts w:hint="eastAsia" w:ascii="宋体" w:hAnsi="宋体" w:cs="宋体"/>
          <w:color w:val="auto"/>
          <w:szCs w:val="21"/>
          <w:lang w:val="en-US" w:eastAsia="zh-CN"/>
        </w:rPr>
        <w:fldChar w:fldCharType="separate"/>
      </w:r>
      <w:r>
        <w:rPr>
          <w:color w:val="auto"/>
        </w:rPr>
        <w:t>伍佰零伍万</w:t>
      </w:r>
      <w:r>
        <w:rPr>
          <w:rFonts w:hint="eastAsia" w:ascii="宋体" w:hAnsi="宋体" w:cs="宋体"/>
          <w:color w:val="auto"/>
          <w:szCs w:val="21"/>
          <w:lang w:val="en-US" w:eastAsia="zh-CN"/>
        </w:rPr>
        <w:fldChar w:fldCharType="end"/>
      </w:r>
      <w:r>
        <w:rPr>
          <w:rFonts w:hint="eastAsia" w:ascii="宋体" w:hAnsi="宋体" w:cs="宋体"/>
          <w:color w:val="auto"/>
          <w:szCs w:val="21"/>
        </w:rPr>
        <w:t>元整（小写）¥</w:t>
      </w:r>
      <w:r>
        <w:rPr>
          <w:rFonts w:hint="eastAsia" w:ascii="宋体" w:hAnsi="宋体" w:cs="宋体"/>
          <w:color w:val="auto"/>
          <w:szCs w:val="21"/>
          <w:lang w:val="en-US" w:eastAsia="zh-CN"/>
        </w:rPr>
        <w:t>5050000</w:t>
      </w:r>
      <w:r>
        <w:rPr>
          <w:rFonts w:hint="eastAsia" w:ascii="宋体" w:hAnsi="宋体" w:cs="宋体"/>
          <w:color w:val="auto"/>
          <w:szCs w:val="21"/>
        </w:rPr>
        <w:t>.00。</w:t>
      </w:r>
      <w:bookmarkEnd w:id="20"/>
    </w:p>
    <w:p>
      <w:pPr>
        <w:spacing w:line="360" w:lineRule="auto"/>
        <w:ind w:firstLine="420" w:firstLineChars="200"/>
        <w:rPr>
          <w:rFonts w:ascii="宋体" w:hAnsi="宋体"/>
          <w:color w:val="auto"/>
          <w:szCs w:val="21"/>
          <w:u w:val="single"/>
        </w:rPr>
      </w:pPr>
      <w:r>
        <w:rPr>
          <w:rFonts w:hint="eastAsia" w:ascii="宋体" w:hAnsi="宋体"/>
          <w:color w:val="auto"/>
          <w:szCs w:val="21"/>
        </w:rPr>
        <w:t>最高限价：与预算金额一致</w:t>
      </w:r>
      <w:r>
        <w:rPr>
          <w:rFonts w:hint="eastAsia" w:ascii="宋体" w:hAnsi="宋体" w:cs="宋体"/>
          <w:color w:val="auto"/>
          <w:szCs w:val="21"/>
        </w:rPr>
        <w:t>。</w:t>
      </w:r>
    </w:p>
    <w:p>
      <w:pPr>
        <w:spacing w:line="360" w:lineRule="auto"/>
        <w:ind w:firstLine="420" w:firstLineChars="200"/>
        <w:rPr>
          <w:rFonts w:ascii="宋体" w:hAnsi="宋体" w:cs="宋体"/>
          <w:color w:val="auto"/>
          <w:szCs w:val="21"/>
        </w:rPr>
      </w:pPr>
      <w:r>
        <w:rPr>
          <w:rFonts w:hint="eastAsia" w:ascii="宋体" w:hAnsi="宋体"/>
          <w:color w:val="auto"/>
          <w:szCs w:val="21"/>
        </w:rPr>
        <w:t>采购需求：广西医科大学第二附属医院</w:t>
      </w:r>
      <w:r>
        <w:rPr>
          <w:rFonts w:hint="eastAsia" w:ascii="宋体" w:hAnsi="宋体" w:cs="宋体"/>
          <w:bCs/>
          <w:color w:val="auto"/>
          <w:szCs w:val="21"/>
          <w:lang w:eastAsia="zh-CN"/>
        </w:rPr>
        <w:t>空调设备及部分医疗辅助设施</w:t>
      </w:r>
      <w:r>
        <w:rPr>
          <w:rFonts w:hint="eastAsia" w:ascii="宋体" w:hAnsi="宋体"/>
          <w:color w:val="auto"/>
          <w:szCs w:val="21"/>
        </w:rPr>
        <w:t>运行维护服务；如需进一步了解详细内容，详见招标文件</w:t>
      </w:r>
      <w:r>
        <w:rPr>
          <w:rFonts w:hint="eastAsia" w:ascii="宋体" w:hAnsi="宋体" w:cs="宋体"/>
          <w:color w:val="auto"/>
          <w:szCs w:val="21"/>
        </w:rPr>
        <w:t>，简要技术需求或服务要求详见本公告附件。</w:t>
      </w:r>
    </w:p>
    <w:p>
      <w:pPr>
        <w:spacing w:line="360" w:lineRule="auto"/>
        <w:ind w:firstLine="420" w:firstLineChars="200"/>
        <w:rPr>
          <w:rFonts w:ascii="宋体" w:hAnsi="宋体"/>
          <w:color w:val="auto"/>
          <w:szCs w:val="21"/>
        </w:rPr>
      </w:pPr>
      <w:r>
        <w:rPr>
          <w:rFonts w:hint="eastAsia" w:ascii="宋体" w:hAnsi="宋体"/>
          <w:color w:val="auto"/>
          <w:szCs w:val="21"/>
        </w:rPr>
        <w:t>合同履行期限：自合同签订之日起至服务期满（合同二年）。</w:t>
      </w:r>
    </w:p>
    <w:p>
      <w:pPr>
        <w:spacing w:line="360" w:lineRule="auto"/>
        <w:ind w:firstLine="420" w:firstLineChars="200"/>
        <w:rPr>
          <w:rFonts w:ascii="宋体" w:hAnsi="宋体"/>
          <w:color w:val="auto"/>
          <w:szCs w:val="21"/>
        </w:rPr>
      </w:pPr>
      <w:r>
        <w:rPr>
          <w:rFonts w:hint="eastAsia" w:ascii="宋体" w:hAnsi="宋体"/>
          <w:color w:val="auto"/>
          <w:szCs w:val="21"/>
        </w:rPr>
        <w:t>本项目</w:t>
      </w:r>
      <w:r>
        <w:rPr>
          <w:rFonts w:hint="eastAsia" w:ascii="宋体" w:hAnsi="宋体" w:cs="宋体"/>
          <w:color w:val="auto"/>
          <w:szCs w:val="21"/>
        </w:rPr>
        <w:t>不</w:t>
      </w:r>
      <w:r>
        <w:rPr>
          <w:rFonts w:hint="eastAsia" w:ascii="宋体" w:hAnsi="宋体"/>
          <w:color w:val="auto"/>
          <w:szCs w:val="21"/>
        </w:rPr>
        <w:t>接受联合体投标</w:t>
      </w:r>
      <w:r>
        <w:rPr>
          <w:rFonts w:hint="eastAsia" w:ascii="宋体" w:hAnsi="宋体" w:cs="宋体"/>
          <w:color w:val="auto"/>
          <w:szCs w:val="21"/>
        </w:rPr>
        <w:t>。</w:t>
      </w:r>
    </w:p>
    <w:p>
      <w:pPr>
        <w:spacing w:line="360" w:lineRule="auto"/>
        <w:rPr>
          <w:rFonts w:ascii="黑体" w:hAnsi="黑体" w:eastAsia="黑体"/>
          <w:b/>
          <w:bCs/>
          <w:color w:val="auto"/>
          <w:sz w:val="24"/>
        </w:rPr>
      </w:pPr>
      <w:bookmarkStart w:id="21" w:name="_Toc35393791"/>
      <w:bookmarkStart w:id="22" w:name="_Toc28359003"/>
      <w:bookmarkStart w:id="23" w:name="_Toc35393622"/>
      <w:bookmarkStart w:id="24" w:name="_Toc28359080"/>
      <w:bookmarkStart w:id="25" w:name="_Toc28359004"/>
      <w:bookmarkStart w:id="26" w:name="_Toc28359081"/>
      <w:r>
        <w:rPr>
          <w:rFonts w:hint="eastAsia" w:ascii="黑体" w:hAnsi="黑体" w:eastAsia="黑体"/>
          <w:b/>
          <w:bCs/>
          <w:color w:val="auto"/>
          <w:sz w:val="24"/>
        </w:rPr>
        <w:t>二、申请人的资格要求：</w:t>
      </w:r>
      <w:bookmarkEnd w:id="21"/>
      <w:bookmarkEnd w:id="22"/>
      <w:bookmarkEnd w:id="23"/>
      <w:bookmarkEnd w:id="24"/>
    </w:p>
    <w:p>
      <w:pPr>
        <w:spacing w:line="360" w:lineRule="auto"/>
        <w:ind w:firstLine="420" w:firstLineChars="200"/>
        <w:rPr>
          <w:rFonts w:ascii="宋体" w:hAnsi="宋体"/>
          <w:color w:val="auto"/>
          <w:szCs w:val="21"/>
        </w:rPr>
      </w:pPr>
      <w:r>
        <w:rPr>
          <w:rFonts w:hint="eastAsia" w:ascii="宋体" w:hAnsi="宋体"/>
          <w:color w:val="auto"/>
          <w:szCs w:val="21"/>
        </w:rPr>
        <w:t>1.满足《中华人民共和国政府采购法》第二十二条规定；</w:t>
      </w:r>
    </w:p>
    <w:p>
      <w:pPr>
        <w:spacing w:line="360" w:lineRule="auto"/>
        <w:ind w:firstLine="420" w:firstLineChars="200"/>
        <w:rPr>
          <w:rFonts w:ascii="宋体" w:hAnsi="宋体" w:cs="宋体"/>
          <w:i/>
          <w:iCs/>
          <w:color w:val="auto"/>
          <w:szCs w:val="21"/>
          <w:u w:val="single"/>
        </w:rPr>
      </w:pPr>
      <w:r>
        <w:rPr>
          <w:rFonts w:hint="eastAsia" w:ascii="宋体" w:hAnsi="宋体"/>
          <w:color w:val="auto"/>
          <w:szCs w:val="21"/>
        </w:rPr>
        <w:t>2.落实政府采购政策需满足的资格要求：本项目为专门面向中小企业采购的项目。{按桂财采〔2021〕70号《广西壮族自治区财政厅 广西壮族自治区工业和信息化厅关于贯彻落实政府采购促进中小企业发展管理办法的通知》规定，提供中小企业声明函或者残疾人福利性单位声明函（格式后附）或者供应商属于监狱企业的需提供由省级以上监狱管理局、戒毒管理局（含新疆生产建设兵团）出具的属于监狱企业的证明文件。}</w:t>
      </w:r>
      <w:r>
        <w:rPr>
          <w:rFonts w:hint="eastAsia" w:ascii="宋体" w:hAnsi="宋体" w:cs="宋体"/>
          <w:color w:val="auto"/>
          <w:szCs w:val="21"/>
        </w:rPr>
        <w:t>；</w:t>
      </w:r>
    </w:p>
    <w:p>
      <w:pPr>
        <w:spacing w:line="360" w:lineRule="auto"/>
        <w:ind w:firstLine="420" w:firstLineChars="200"/>
        <w:rPr>
          <w:rFonts w:ascii="宋体" w:hAnsi="宋体"/>
          <w:color w:val="auto"/>
          <w:szCs w:val="21"/>
        </w:rPr>
      </w:pPr>
      <w:r>
        <w:rPr>
          <w:rFonts w:hint="eastAsia" w:ascii="宋体" w:hAnsi="宋体"/>
          <w:color w:val="auto"/>
          <w:szCs w:val="21"/>
        </w:rPr>
        <w:t>3.本项目的特定资格要求：</w:t>
      </w:r>
      <w:r>
        <w:rPr>
          <w:rFonts w:hint="eastAsia" w:ascii="宋体" w:hAnsi="宋体"/>
          <w:color w:val="auto"/>
          <w:szCs w:val="21"/>
          <w:lang w:eastAsia="zh-CN"/>
        </w:rPr>
        <w:t>无</w:t>
      </w:r>
      <w:r>
        <w:rPr>
          <w:rFonts w:hint="eastAsia" w:ascii="宋体" w:hAnsi="宋体"/>
          <w:color w:val="auto"/>
          <w:szCs w:val="21"/>
        </w:rPr>
        <w:t>。</w:t>
      </w:r>
    </w:p>
    <w:p>
      <w:pPr>
        <w:spacing w:line="360" w:lineRule="auto"/>
        <w:rPr>
          <w:rFonts w:ascii="黑体" w:hAnsi="黑体" w:eastAsia="黑体"/>
          <w:b/>
          <w:bCs/>
          <w:color w:val="auto"/>
          <w:sz w:val="24"/>
        </w:rPr>
      </w:pPr>
      <w:bookmarkStart w:id="27" w:name="_Toc35393623"/>
      <w:bookmarkStart w:id="28" w:name="_Toc35393792"/>
      <w:r>
        <w:rPr>
          <w:rFonts w:hint="eastAsia" w:ascii="黑体" w:hAnsi="黑体" w:eastAsia="黑体"/>
          <w:b/>
          <w:bCs/>
          <w:color w:val="auto"/>
          <w:sz w:val="24"/>
        </w:rPr>
        <w:t>三、获取招标文件</w:t>
      </w:r>
      <w:bookmarkEnd w:id="25"/>
      <w:bookmarkEnd w:id="26"/>
      <w:bookmarkEnd w:id="27"/>
      <w:bookmarkEnd w:id="28"/>
    </w:p>
    <w:p>
      <w:pPr>
        <w:snapToGrid w:val="0"/>
        <w:spacing w:line="360" w:lineRule="auto"/>
        <w:ind w:firstLine="472" w:firstLineChars="225"/>
        <w:rPr>
          <w:rFonts w:ascii="宋体" w:hAnsi="宋体"/>
          <w:color w:val="auto"/>
          <w:szCs w:val="21"/>
        </w:rPr>
      </w:pPr>
      <w:bookmarkStart w:id="29" w:name="_Toc28359082"/>
      <w:bookmarkStart w:id="30" w:name="_Toc28359005"/>
      <w:bookmarkStart w:id="31" w:name="_Toc35393624"/>
      <w:bookmarkStart w:id="32" w:name="_Toc35393793"/>
      <w:r>
        <w:rPr>
          <w:rFonts w:hint="eastAsia" w:ascii="宋体" w:hAnsi="宋体"/>
          <w:color w:val="auto"/>
          <w:szCs w:val="21"/>
        </w:rPr>
        <w:t>时间：</w:t>
      </w:r>
      <w:r>
        <w:rPr>
          <w:rFonts w:hint="eastAsia" w:ascii="宋体" w:hAnsi="宋体" w:cs="宋体"/>
          <w:bCs/>
          <w:color w:val="auto"/>
          <w:kern w:val="0"/>
          <w:szCs w:val="21"/>
          <w:u w:val="single"/>
        </w:rPr>
        <w:t>2023年</w:t>
      </w:r>
      <w:r>
        <w:rPr>
          <w:rFonts w:hint="eastAsia" w:ascii="宋体" w:hAnsi="宋体" w:cs="宋体"/>
          <w:bCs/>
          <w:color w:val="auto"/>
          <w:kern w:val="0"/>
          <w:szCs w:val="21"/>
          <w:u w:val="single"/>
          <w:lang w:val="en-US" w:eastAsia="zh-CN"/>
        </w:rPr>
        <w:t>7</w:t>
      </w:r>
      <w:r>
        <w:rPr>
          <w:rFonts w:hint="eastAsia" w:ascii="宋体" w:hAnsi="宋体" w:cs="宋体"/>
          <w:bCs/>
          <w:color w:val="auto"/>
          <w:kern w:val="0"/>
          <w:szCs w:val="21"/>
          <w:u w:val="single"/>
        </w:rPr>
        <w:t>月</w:t>
      </w:r>
      <w:r>
        <w:rPr>
          <w:rFonts w:hint="eastAsia" w:ascii="宋体" w:hAnsi="宋体" w:cs="宋体"/>
          <w:bCs/>
          <w:color w:val="auto"/>
          <w:kern w:val="0"/>
          <w:szCs w:val="21"/>
          <w:u w:val="single"/>
          <w:lang w:val="en-US" w:eastAsia="zh-CN"/>
        </w:rPr>
        <w:t>4</w:t>
      </w:r>
      <w:r>
        <w:rPr>
          <w:rFonts w:hint="eastAsia" w:ascii="宋体" w:hAnsi="宋体" w:cs="宋体"/>
          <w:bCs/>
          <w:color w:val="auto"/>
          <w:kern w:val="0"/>
          <w:szCs w:val="21"/>
          <w:u w:val="single"/>
        </w:rPr>
        <w:t>日</w:t>
      </w:r>
      <w:r>
        <w:rPr>
          <w:rFonts w:hint="eastAsia" w:ascii="宋体" w:hAnsi="宋体" w:cs="宋体"/>
          <w:bCs/>
          <w:color w:val="auto"/>
          <w:kern w:val="0"/>
          <w:szCs w:val="21"/>
        </w:rPr>
        <w:t>至</w:t>
      </w:r>
      <w:r>
        <w:rPr>
          <w:rFonts w:hint="eastAsia" w:ascii="宋体" w:hAnsi="宋体" w:cs="宋体"/>
          <w:bCs/>
          <w:color w:val="auto"/>
          <w:kern w:val="0"/>
          <w:szCs w:val="21"/>
          <w:u w:val="single"/>
        </w:rPr>
        <w:t>2023年</w:t>
      </w:r>
      <w:r>
        <w:rPr>
          <w:rFonts w:hint="eastAsia" w:ascii="宋体" w:hAnsi="宋体" w:cs="宋体"/>
          <w:bCs/>
          <w:color w:val="auto"/>
          <w:kern w:val="0"/>
          <w:szCs w:val="21"/>
          <w:u w:val="single"/>
          <w:lang w:val="en-US" w:eastAsia="zh-CN"/>
        </w:rPr>
        <w:t>7</w:t>
      </w:r>
      <w:r>
        <w:rPr>
          <w:rFonts w:hint="eastAsia" w:ascii="宋体" w:hAnsi="宋体" w:cs="宋体"/>
          <w:bCs/>
          <w:color w:val="auto"/>
          <w:kern w:val="0"/>
          <w:szCs w:val="21"/>
          <w:u w:val="single"/>
        </w:rPr>
        <w:t>月</w:t>
      </w:r>
      <w:r>
        <w:rPr>
          <w:rFonts w:hint="eastAsia" w:ascii="宋体" w:hAnsi="宋体" w:cs="宋体"/>
          <w:bCs/>
          <w:color w:val="auto"/>
          <w:kern w:val="0"/>
          <w:szCs w:val="21"/>
          <w:u w:val="single"/>
          <w:lang w:val="en-US" w:eastAsia="zh-CN"/>
        </w:rPr>
        <w:t>11</w:t>
      </w:r>
      <w:r>
        <w:rPr>
          <w:rFonts w:hint="eastAsia" w:ascii="宋体" w:hAnsi="宋体" w:cs="宋体"/>
          <w:bCs/>
          <w:color w:val="auto"/>
          <w:kern w:val="0"/>
          <w:szCs w:val="21"/>
          <w:u w:val="single"/>
        </w:rPr>
        <w:t>日</w:t>
      </w:r>
      <w:r>
        <w:rPr>
          <w:rFonts w:hint="eastAsia" w:ascii="宋体" w:hAnsi="宋体" w:cs="宋体"/>
          <w:bCs/>
          <w:color w:val="auto"/>
          <w:kern w:val="0"/>
          <w:szCs w:val="21"/>
        </w:rPr>
        <w:t>，</w:t>
      </w:r>
      <w:r>
        <w:rPr>
          <w:rFonts w:hint="eastAsia" w:ascii="宋体" w:hAnsi="宋体"/>
          <w:color w:val="auto"/>
          <w:szCs w:val="21"/>
        </w:rPr>
        <w:t>每天上午0</w:t>
      </w:r>
      <w:r>
        <w:rPr>
          <w:rFonts w:hint="eastAsia" w:ascii="宋体" w:hAnsi="宋体"/>
          <w:color w:val="auto"/>
          <w:szCs w:val="21"/>
          <w:lang w:val="en-US" w:eastAsia="zh-CN"/>
        </w:rPr>
        <w:t>0</w:t>
      </w:r>
      <w:r>
        <w:rPr>
          <w:rFonts w:hint="eastAsia" w:ascii="宋体" w:hAnsi="宋体"/>
          <w:color w:val="auto"/>
          <w:szCs w:val="21"/>
        </w:rPr>
        <w:t>:00至1</w:t>
      </w:r>
      <w:r>
        <w:rPr>
          <w:rFonts w:hint="eastAsia" w:ascii="宋体" w:hAnsi="宋体"/>
          <w:color w:val="auto"/>
          <w:szCs w:val="21"/>
          <w:lang w:val="en-US" w:eastAsia="zh-CN"/>
        </w:rPr>
        <w:t>1</w:t>
      </w:r>
      <w:r>
        <w:rPr>
          <w:rFonts w:hint="eastAsia" w:ascii="宋体" w:hAnsi="宋体"/>
          <w:color w:val="auto"/>
          <w:szCs w:val="21"/>
        </w:rPr>
        <w:t>:</w:t>
      </w:r>
      <w:r>
        <w:rPr>
          <w:rFonts w:hint="eastAsia" w:ascii="宋体" w:hAnsi="宋体"/>
          <w:color w:val="auto"/>
          <w:szCs w:val="21"/>
          <w:lang w:val="en-US" w:eastAsia="zh-CN"/>
        </w:rPr>
        <w:t>59</w:t>
      </w:r>
      <w:r>
        <w:rPr>
          <w:rFonts w:hint="eastAsia" w:ascii="宋体" w:hAnsi="宋体"/>
          <w:color w:val="auto"/>
          <w:szCs w:val="21"/>
        </w:rPr>
        <w:t>，下午12:00至</w:t>
      </w:r>
      <w:r>
        <w:rPr>
          <w:rFonts w:hint="eastAsia" w:ascii="宋体" w:hAnsi="宋体"/>
          <w:color w:val="auto"/>
          <w:szCs w:val="21"/>
          <w:lang w:val="en-US" w:eastAsia="zh-CN"/>
        </w:rPr>
        <w:t>23</w:t>
      </w:r>
      <w:r>
        <w:rPr>
          <w:rFonts w:hint="eastAsia" w:ascii="宋体" w:hAnsi="宋体"/>
          <w:color w:val="auto"/>
          <w:szCs w:val="21"/>
        </w:rPr>
        <w:t>:</w:t>
      </w:r>
      <w:r>
        <w:rPr>
          <w:rFonts w:hint="eastAsia" w:ascii="宋体" w:hAnsi="宋体"/>
          <w:color w:val="auto"/>
          <w:szCs w:val="21"/>
          <w:lang w:val="en-US" w:eastAsia="zh-CN"/>
        </w:rPr>
        <w:t>59</w:t>
      </w:r>
      <w:r>
        <w:rPr>
          <w:rFonts w:hint="eastAsia" w:ascii="宋体" w:hAnsi="宋体"/>
          <w:color w:val="auto"/>
          <w:szCs w:val="21"/>
        </w:rPr>
        <w:t>（北京时间，法定节假日除外）。</w:t>
      </w:r>
    </w:p>
    <w:p>
      <w:pPr>
        <w:snapToGrid w:val="0"/>
        <w:spacing w:line="360" w:lineRule="auto"/>
        <w:ind w:firstLine="472" w:firstLineChars="225"/>
        <w:rPr>
          <w:rFonts w:ascii="宋体" w:hAnsi="宋体"/>
          <w:color w:val="auto"/>
          <w:szCs w:val="21"/>
        </w:rPr>
      </w:pPr>
      <w:r>
        <w:rPr>
          <w:rFonts w:hint="eastAsia" w:ascii="宋体" w:hAnsi="宋体"/>
          <w:color w:val="auto"/>
          <w:szCs w:val="21"/>
        </w:rPr>
        <w:t>地点：“政采云”平台（https：//www.zcygov.cn）</w:t>
      </w:r>
    </w:p>
    <w:p>
      <w:pPr>
        <w:snapToGrid w:val="0"/>
        <w:spacing w:line="360" w:lineRule="auto"/>
        <w:ind w:firstLine="472" w:firstLineChars="225"/>
        <w:rPr>
          <w:rFonts w:ascii="宋体" w:hAnsi="宋体"/>
          <w:color w:val="auto"/>
          <w:szCs w:val="21"/>
        </w:rPr>
      </w:pPr>
      <w:r>
        <w:rPr>
          <w:rFonts w:hint="eastAsia" w:ascii="宋体" w:hAnsi="宋体"/>
          <w:color w:val="auto"/>
          <w:szCs w:val="21"/>
        </w:rPr>
        <w:t>方式:网上下载。本项目不发放纸质文件，</w:t>
      </w:r>
      <w:r>
        <w:rPr>
          <w:rFonts w:hint="eastAsia" w:ascii="宋体" w:hAnsi="宋体" w:cs="宋体"/>
          <w:color w:val="auto"/>
          <w:szCs w:val="21"/>
        </w:rPr>
        <w:t>潜在投标人</w:t>
      </w:r>
      <w:r>
        <w:rPr>
          <w:rFonts w:hint="eastAsia" w:ascii="宋体" w:hAnsi="宋体"/>
          <w:color w:val="auto"/>
          <w:szCs w:val="21"/>
        </w:rPr>
        <w:t>可自行在</w:t>
      </w:r>
      <w:r>
        <w:rPr>
          <w:color w:val="auto"/>
        </w:rPr>
        <w:fldChar w:fldCharType="begin"/>
      </w:r>
      <w:r>
        <w:rPr>
          <w:color w:val="auto"/>
        </w:rPr>
        <w:instrText xml:space="preserve"> HYPERLINK </w:instrText>
      </w:r>
      <w:r>
        <w:rPr>
          <w:color w:val="auto"/>
        </w:rPr>
        <w:fldChar w:fldCharType="separate"/>
      </w:r>
      <w:r>
        <w:rPr>
          <w:color w:val="auto"/>
        </w:rPr>
        <w:fldChar w:fldCharType="end"/>
      </w:r>
      <w:r>
        <w:rPr>
          <w:rFonts w:hint="eastAsia" w:ascii="宋体" w:hAnsi="宋体"/>
          <w:color w:val="auto"/>
          <w:szCs w:val="21"/>
        </w:rPr>
        <w:t>“政采云”平台（https://www.zcygov.cn/）下载招标文件（操作路径：登录“政采云”平台-项目采购-获取采购文件-找到本项目-点击“申请获取采购文件”），电子投标文件制作需要基于“政采云”平台获取的招标文件编制。</w:t>
      </w:r>
    </w:p>
    <w:p>
      <w:pPr>
        <w:snapToGrid w:val="0"/>
        <w:spacing w:line="360" w:lineRule="auto"/>
        <w:ind w:firstLine="472" w:firstLineChars="225"/>
        <w:rPr>
          <w:rFonts w:ascii="宋体" w:hAnsi="宋体"/>
          <w:color w:val="auto"/>
          <w:szCs w:val="21"/>
        </w:rPr>
      </w:pPr>
      <w:r>
        <w:rPr>
          <w:rFonts w:hint="eastAsia" w:ascii="宋体" w:hAnsi="宋体"/>
          <w:color w:val="auto"/>
          <w:szCs w:val="21"/>
        </w:rPr>
        <w:t>售价：</w:t>
      </w:r>
      <w:r>
        <w:rPr>
          <w:rFonts w:hint="eastAsia" w:ascii="宋体" w:hAnsi="宋体" w:cs="宋体"/>
          <w:color w:val="auto"/>
          <w:szCs w:val="21"/>
        </w:rPr>
        <w:t>人民币0元</w:t>
      </w:r>
    </w:p>
    <w:p>
      <w:pPr>
        <w:spacing w:line="360" w:lineRule="auto"/>
        <w:rPr>
          <w:rFonts w:ascii="黑体" w:hAnsi="黑体" w:eastAsia="黑体"/>
          <w:b/>
          <w:bCs/>
          <w:color w:val="auto"/>
          <w:sz w:val="24"/>
        </w:rPr>
      </w:pPr>
      <w:r>
        <w:rPr>
          <w:rFonts w:hint="eastAsia" w:ascii="黑体" w:hAnsi="黑体" w:eastAsia="黑体"/>
          <w:b/>
          <w:bCs/>
          <w:color w:val="auto"/>
          <w:sz w:val="24"/>
        </w:rPr>
        <w:t>四、提交投标文件</w:t>
      </w:r>
      <w:bookmarkEnd w:id="29"/>
      <w:bookmarkEnd w:id="30"/>
      <w:r>
        <w:rPr>
          <w:rFonts w:hint="eastAsia" w:ascii="黑体" w:hAnsi="黑体" w:eastAsia="黑体"/>
          <w:b/>
          <w:bCs/>
          <w:color w:val="auto"/>
          <w:sz w:val="24"/>
        </w:rPr>
        <w:t>截止时间、开标时间和地点</w:t>
      </w:r>
      <w:bookmarkEnd w:id="31"/>
      <w:bookmarkEnd w:id="32"/>
    </w:p>
    <w:p>
      <w:pPr>
        <w:spacing w:line="360" w:lineRule="auto"/>
        <w:ind w:firstLine="420" w:firstLineChars="200"/>
        <w:rPr>
          <w:rFonts w:ascii="宋体" w:hAnsi="宋体" w:cs="宋体"/>
          <w:bCs/>
          <w:color w:val="auto"/>
          <w:szCs w:val="21"/>
        </w:rPr>
      </w:pPr>
      <w:r>
        <w:rPr>
          <w:rFonts w:hint="eastAsia" w:ascii="宋体" w:hAnsi="宋体" w:cs="宋体"/>
          <w:bCs/>
          <w:color w:val="auto"/>
          <w:szCs w:val="21"/>
        </w:rPr>
        <w:t>1、提交投标文件截止时间和开标时间：</w:t>
      </w:r>
      <w:bookmarkStart w:id="33" w:name="PO_3000001867_PM015_1"/>
      <w:r>
        <w:rPr>
          <w:rFonts w:hint="eastAsia" w:ascii="宋体" w:hAnsi="宋体" w:cs="宋体"/>
          <w:bCs/>
          <w:color w:val="auto"/>
          <w:szCs w:val="21"/>
          <w:u w:val="single"/>
        </w:rPr>
        <w:t>2023年</w:t>
      </w:r>
      <w:r>
        <w:rPr>
          <w:rFonts w:hint="eastAsia" w:ascii="宋体" w:hAnsi="宋体" w:cs="宋体"/>
          <w:bCs/>
          <w:color w:val="auto"/>
          <w:szCs w:val="21"/>
          <w:u w:val="single"/>
          <w:lang w:val="en-US" w:eastAsia="zh-CN"/>
        </w:rPr>
        <w:t>7</w:t>
      </w:r>
      <w:r>
        <w:rPr>
          <w:rFonts w:hint="eastAsia" w:ascii="宋体" w:hAnsi="宋体" w:cs="宋体"/>
          <w:bCs/>
          <w:color w:val="auto"/>
          <w:szCs w:val="21"/>
          <w:u w:val="single"/>
        </w:rPr>
        <w:t>月</w:t>
      </w:r>
      <w:r>
        <w:rPr>
          <w:rFonts w:hint="eastAsia" w:ascii="宋体" w:hAnsi="宋体" w:cs="宋体"/>
          <w:bCs/>
          <w:color w:val="auto"/>
          <w:szCs w:val="21"/>
          <w:u w:val="single"/>
          <w:lang w:val="en-US" w:eastAsia="zh-CN"/>
        </w:rPr>
        <w:t>25</w:t>
      </w:r>
      <w:r>
        <w:rPr>
          <w:rFonts w:hint="eastAsia" w:ascii="宋体" w:hAnsi="宋体" w:cs="宋体"/>
          <w:bCs/>
          <w:color w:val="auto"/>
          <w:szCs w:val="21"/>
          <w:u w:val="single"/>
        </w:rPr>
        <w:t>日09点00分</w:t>
      </w:r>
      <w:r>
        <w:rPr>
          <w:rFonts w:hint="eastAsia" w:ascii="宋体" w:hAnsi="宋体" w:cs="宋体"/>
          <w:bCs/>
          <w:color w:val="auto"/>
          <w:szCs w:val="21"/>
        </w:rPr>
        <w:t>（北京时间）</w:t>
      </w:r>
      <w:bookmarkEnd w:id="33"/>
    </w:p>
    <w:p>
      <w:pPr>
        <w:spacing w:line="360" w:lineRule="auto"/>
        <w:ind w:firstLine="420" w:firstLineChars="200"/>
        <w:rPr>
          <w:rFonts w:ascii="宋体" w:hAnsi="宋体" w:cs="宋体"/>
          <w:color w:val="auto"/>
          <w:szCs w:val="21"/>
        </w:rPr>
      </w:pPr>
      <w:r>
        <w:rPr>
          <w:rFonts w:hint="eastAsia" w:ascii="宋体" w:hAnsi="宋体" w:cs="宋体"/>
          <w:color w:val="auto"/>
          <w:szCs w:val="21"/>
        </w:rPr>
        <w:t>2、提交投标文件和开标地点：</w:t>
      </w:r>
      <w:r>
        <w:rPr>
          <w:rFonts w:hint="eastAsia" w:ascii="宋体" w:hAnsi="宋体"/>
          <w:color w:val="auto"/>
          <w:szCs w:val="21"/>
        </w:rPr>
        <w:t>“政采云”平台（https：//www.zcygov.cn）（本项目为全流程电子化采购项目不要求投标供应商到达开标现场，但供应商应派法定代表人或委托代理人准时在线出席电子开评标会议，随时关注开评标进度，如在开评标过程中有电子询标，应在规定的时间内对电子询标函进行澄清回复。）</w:t>
      </w:r>
    </w:p>
    <w:p>
      <w:pPr>
        <w:spacing w:line="360" w:lineRule="auto"/>
        <w:rPr>
          <w:rFonts w:ascii="黑体" w:hAnsi="黑体" w:eastAsia="黑体"/>
          <w:b/>
          <w:bCs/>
          <w:color w:val="auto"/>
          <w:sz w:val="24"/>
        </w:rPr>
      </w:pPr>
      <w:bookmarkStart w:id="34" w:name="_Toc28359007"/>
      <w:bookmarkStart w:id="35" w:name="_Toc28359084"/>
      <w:bookmarkStart w:id="36" w:name="_Toc35393625"/>
      <w:bookmarkStart w:id="37" w:name="_Toc35393794"/>
      <w:r>
        <w:rPr>
          <w:rFonts w:hint="eastAsia" w:ascii="黑体" w:hAnsi="黑体" w:eastAsia="黑体"/>
          <w:b/>
          <w:bCs/>
          <w:color w:val="auto"/>
          <w:sz w:val="24"/>
        </w:rPr>
        <w:t>五、公告期限</w:t>
      </w:r>
      <w:bookmarkEnd w:id="34"/>
      <w:bookmarkEnd w:id="35"/>
      <w:bookmarkEnd w:id="36"/>
      <w:bookmarkEnd w:id="37"/>
    </w:p>
    <w:p>
      <w:pPr>
        <w:spacing w:line="360" w:lineRule="auto"/>
        <w:ind w:firstLine="420" w:firstLineChars="200"/>
        <w:rPr>
          <w:rFonts w:ascii="宋体" w:hAnsi="宋体" w:cs="宋体"/>
          <w:color w:val="auto"/>
          <w:kern w:val="0"/>
          <w:szCs w:val="21"/>
        </w:rPr>
      </w:pPr>
      <w:r>
        <w:rPr>
          <w:rFonts w:hint="eastAsia" w:ascii="宋体" w:hAnsi="宋体" w:cs="宋体"/>
          <w:color w:val="auto"/>
          <w:kern w:val="0"/>
          <w:szCs w:val="21"/>
        </w:rPr>
        <w:t>自本公告发布之日起5个工作日。</w:t>
      </w:r>
    </w:p>
    <w:p>
      <w:pPr>
        <w:spacing w:line="360" w:lineRule="auto"/>
        <w:rPr>
          <w:rFonts w:ascii="黑体" w:hAnsi="黑体" w:eastAsia="黑体"/>
          <w:b/>
          <w:bCs/>
          <w:color w:val="auto"/>
          <w:sz w:val="24"/>
        </w:rPr>
      </w:pPr>
      <w:bookmarkStart w:id="38" w:name="_Toc35393626"/>
      <w:bookmarkStart w:id="39" w:name="_Toc35393795"/>
      <w:r>
        <w:rPr>
          <w:rFonts w:hint="eastAsia" w:ascii="黑体" w:hAnsi="黑体" w:eastAsia="黑体"/>
          <w:b/>
          <w:bCs/>
          <w:color w:val="auto"/>
          <w:sz w:val="24"/>
        </w:rPr>
        <w:t>六、其他补充事宜</w:t>
      </w:r>
      <w:bookmarkEnd w:id="38"/>
      <w:bookmarkEnd w:id="39"/>
    </w:p>
    <w:p>
      <w:pPr>
        <w:spacing w:line="360" w:lineRule="auto"/>
        <w:ind w:firstLine="420" w:firstLineChars="200"/>
        <w:rPr>
          <w:rFonts w:ascii="宋体" w:hAnsi="宋体" w:cs="宋体"/>
          <w:color w:val="auto"/>
          <w:kern w:val="0"/>
          <w:szCs w:val="21"/>
        </w:rPr>
      </w:pPr>
      <w:r>
        <w:rPr>
          <w:rFonts w:hint="eastAsia" w:ascii="宋体" w:hAnsi="宋体" w:cs="宋体"/>
          <w:color w:val="auto"/>
          <w:kern w:val="0"/>
          <w:szCs w:val="21"/>
        </w:rPr>
        <w:t>1.投标保证金：</w:t>
      </w:r>
    </w:p>
    <w:p>
      <w:pPr>
        <w:spacing w:line="360" w:lineRule="auto"/>
        <w:ind w:firstLine="843" w:firstLineChars="400"/>
        <w:rPr>
          <w:rFonts w:ascii="宋体" w:hAnsi="宋体" w:cs="宋体"/>
          <w:b/>
          <w:bCs/>
          <w:color w:val="auto"/>
          <w:szCs w:val="21"/>
        </w:rPr>
      </w:pPr>
      <w:r>
        <w:rPr>
          <w:rFonts w:hint="eastAsia" w:ascii="宋体" w:hAnsi="宋体" w:cs="宋体"/>
          <w:b/>
          <w:bCs/>
          <w:color w:val="auto"/>
          <w:szCs w:val="21"/>
        </w:rPr>
        <w:t>□ 本项目不需要缴</w:t>
      </w:r>
      <w:r>
        <w:rPr>
          <w:rFonts w:hint="eastAsia" w:ascii="宋体" w:hAnsi="宋体" w:cs="宋体"/>
          <w:b/>
          <w:bCs/>
          <w:color w:val="auto"/>
          <w:kern w:val="0"/>
          <w:szCs w:val="21"/>
        </w:rPr>
        <w:t>纳</w:t>
      </w:r>
      <w:r>
        <w:rPr>
          <w:rFonts w:hint="eastAsia" w:ascii="宋体" w:hAnsi="宋体" w:cs="宋体"/>
          <w:b/>
          <w:bCs/>
          <w:color w:val="auto"/>
          <w:szCs w:val="21"/>
        </w:rPr>
        <w:t>投标保证金。</w:t>
      </w:r>
    </w:p>
    <w:p>
      <w:pPr>
        <w:spacing w:line="360" w:lineRule="auto"/>
        <w:ind w:firstLine="843" w:firstLineChars="400"/>
        <w:rPr>
          <w:rFonts w:ascii="宋体" w:hAnsi="宋体" w:cs="宋体"/>
          <w:b/>
          <w:bCs/>
          <w:color w:val="auto"/>
          <w:szCs w:val="21"/>
        </w:rPr>
      </w:pPr>
      <w:r>
        <w:rPr>
          <w:rFonts w:hint="eastAsia" w:ascii="宋体" w:hAnsi="宋体" w:cs="宋体"/>
          <w:b/>
          <w:bCs/>
          <w:color w:val="auto"/>
          <w:szCs w:val="21"/>
        </w:rPr>
        <w:t>☑ 本项目需要缴</w:t>
      </w:r>
      <w:r>
        <w:rPr>
          <w:rFonts w:hint="eastAsia" w:ascii="宋体" w:hAnsi="宋体" w:cs="宋体"/>
          <w:b/>
          <w:bCs/>
          <w:color w:val="auto"/>
          <w:kern w:val="0"/>
          <w:szCs w:val="21"/>
        </w:rPr>
        <w:t>纳</w:t>
      </w:r>
      <w:r>
        <w:rPr>
          <w:rFonts w:hint="eastAsia" w:ascii="宋体" w:hAnsi="宋体" w:cs="宋体"/>
          <w:b/>
          <w:bCs/>
          <w:color w:val="auto"/>
          <w:szCs w:val="21"/>
        </w:rPr>
        <w:t>投标保证金，相关要求：</w:t>
      </w:r>
    </w:p>
    <w:p>
      <w:pPr>
        <w:spacing w:line="360" w:lineRule="auto"/>
        <w:ind w:firstLine="840" w:firstLineChars="400"/>
        <w:rPr>
          <w:rFonts w:ascii="宋体" w:hAnsi="宋体" w:cs="宋体"/>
          <w:b/>
          <w:bCs/>
          <w:i/>
          <w:iCs/>
          <w:color w:val="auto"/>
          <w:kern w:val="0"/>
          <w:szCs w:val="21"/>
        </w:rPr>
      </w:pPr>
      <w:r>
        <w:rPr>
          <w:rFonts w:hint="eastAsia" w:ascii="宋体" w:hAnsi="宋体" w:cs="宋体"/>
          <w:color w:val="auto"/>
          <w:kern w:val="0"/>
          <w:szCs w:val="21"/>
        </w:rPr>
        <w:t>投标保证金金额：</w:t>
      </w:r>
      <w:r>
        <w:rPr>
          <w:rFonts w:hint="eastAsia" w:ascii="宋体" w:hAnsi="宋体" w:cs="宋体"/>
          <w:color w:val="auto"/>
          <w:szCs w:val="21"/>
        </w:rPr>
        <w:t>（大写）人民币</w:t>
      </w:r>
      <w:r>
        <w:rPr>
          <w:rFonts w:hint="eastAsia" w:ascii="宋体" w:hAnsi="宋体" w:cs="宋体"/>
          <w:color w:val="auto"/>
          <w:szCs w:val="21"/>
          <w:lang w:eastAsia="zh-CN"/>
        </w:rPr>
        <w:t>伍</w:t>
      </w:r>
      <w:r>
        <w:rPr>
          <w:rFonts w:hint="eastAsia" w:ascii="宋体" w:hAnsi="宋体" w:cs="宋体"/>
          <w:color w:val="auto"/>
          <w:szCs w:val="21"/>
        </w:rPr>
        <w:t>万元整（小写）</w:t>
      </w:r>
      <w:r>
        <w:rPr>
          <w:rFonts w:hint="eastAsia" w:ascii="宋体" w:hAnsi="宋体" w:cs="宋体"/>
          <w:color w:val="auto"/>
          <w:szCs w:val="21"/>
          <w:lang w:val="en-US" w:eastAsia="zh-CN"/>
        </w:rPr>
        <w:t>5</w:t>
      </w:r>
      <w:r>
        <w:rPr>
          <w:rFonts w:hint="eastAsia" w:ascii="宋体" w:hAnsi="宋体" w:cs="宋体"/>
          <w:color w:val="auto"/>
          <w:szCs w:val="21"/>
        </w:rPr>
        <w:t>0000.00</w:t>
      </w:r>
    </w:p>
    <w:p>
      <w:pPr>
        <w:pStyle w:val="40"/>
        <w:spacing w:line="360" w:lineRule="auto"/>
        <w:ind w:firstLine="840" w:firstLineChars="400"/>
        <w:rPr>
          <w:rFonts w:hint="default" w:ascii="宋体" w:hAnsi="宋体" w:eastAsia="宋体" w:cs="宋体"/>
          <w:color w:val="auto"/>
          <w:kern w:val="0"/>
          <w:szCs w:val="21"/>
          <w:lang w:val="en-US" w:eastAsia="zh-CN"/>
        </w:rPr>
      </w:pPr>
      <w:r>
        <w:rPr>
          <w:rFonts w:hint="eastAsia" w:ascii="宋体" w:hAnsi="宋体" w:cs="宋体"/>
          <w:color w:val="auto"/>
          <w:kern w:val="0"/>
          <w:szCs w:val="21"/>
        </w:rPr>
        <w:t>投标保证金的缴纳方式：以银行转账、支票、汇票、本票或者金融机构、担保机构出具的保函等非现金形式提交。采用银行转账方式的，在投标截止时间前交至采购代理机构指定账户并且到账。缴纳投标保证金指定账户的信息：开户银行：招商银行南宁市双拥路支行；开户名称：广西科联招标中心有限公司；银行账号：7719011969103333000005051</w:t>
      </w:r>
      <w:r>
        <w:rPr>
          <w:rFonts w:hint="eastAsia" w:ascii="宋体" w:hAnsi="宋体" w:cs="宋体"/>
          <w:color w:val="auto"/>
          <w:kern w:val="0"/>
          <w:szCs w:val="21"/>
          <w:lang w:val="en-US" w:eastAsia="zh-CN"/>
        </w:rPr>
        <w:t xml:space="preserve">。                          </w:t>
      </w:r>
    </w:p>
    <w:p>
      <w:pPr>
        <w:pStyle w:val="40"/>
        <w:spacing w:line="360" w:lineRule="auto"/>
        <w:ind w:firstLine="840" w:firstLineChars="400"/>
        <w:rPr>
          <w:rFonts w:ascii="宋体" w:hAnsi="宋体" w:cs="宋体"/>
          <w:color w:val="auto"/>
        </w:rPr>
      </w:pPr>
      <w:r>
        <w:rPr>
          <w:rFonts w:hint="eastAsia" w:ascii="宋体" w:hAnsi="宋体" w:cs="宋体"/>
          <w:color w:val="auto"/>
          <w:kern w:val="0"/>
          <w:szCs w:val="21"/>
        </w:rPr>
        <w:t>采用支票、汇票、本票或者保函等方式的，在投标截止时间前，投标人必须递交单独密封的支票、汇票、本票或者保函等原件给采购代理机构。</w:t>
      </w:r>
      <w:r>
        <w:rPr>
          <w:rFonts w:hint="eastAsia" w:ascii="宋体" w:hAnsi="宋体" w:cs="宋体"/>
          <w:b/>
          <w:bCs/>
          <w:color w:val="auto"/>
          <w:kern w:val="0"/>
          <w:szCs w:val="21"/>
        </w:rPr>
        <w:t>否则视为无效投标保证金</w:t>
      </w:r>
      <w:r>
        <w:rPr>
          <w:rFonts w:hint="eastAsia" w:ascii="宋体" w:hAnsi="宋体" w:cs="宋体"/>
          <w:color w:val="auto"/>
          <w:kern w:val="0"/>
          <w:szCs w:val="21"/>
        </w:rPr>
        <w:t>。</w:t>
      </w:r>
    </w:p>
    <w:p>
      <w:pPr>
        <w:spacing w:line="360" w:lineRule="auto"/>
        <w:ind w:firstLine="315" w:firstLineChars="150"/>
        <w:rPr>
          <w:rFonts w:ascii="宋体" w:hAnsi="宋体" w:cs="宋体"/>
          <w:color w:val="auto"/>
          <w:kern w:val="0"/>
          <w:szCs w:val="21"/>
        </w:rPr>
      </w:pPr>
      <w:r>
        <w:rPr>
          <w:rFonts w:hint="eastAsia" w:ascii="宋体" w:hAnsi="宋体" w:cs="宋体"/>
          <w:color w:val="auto"/>
          <w:kern w:val="0"/>
          <w:szCs w:val="21"/>
        </w:rPr>
        <w:t>2.网上查询地址</w:t>
      </w:r>
    </w:p>
    <w:p>
      <w:pPr>
        <w:spacing w:line="360" w:lineRule="auto"/>
        <w:ind w:firstLine="315" w:firstLineChars="150"/>
        <w:rPr>
          <w:rFonts w:ascii="宋体" w:hAnsi="宋体" w:cs="宋体"/>
          <w:color w:val="auto"/>
          <w:kern w:val="0"/>
          <w:szCs w:val="21"/>
        </w:rPr>
      </w:pPr>
      <w:r>
        <w:rPr>
          <w:rFonts w:hint="eastAsia" w:ascii="宋体" w:hAnsi="宋体" w:cs="宋体"/>
          <w:color w:val="auto"/>
          <w:kern w:val="0"/>
          <w:szCs w:val="21"/>
        </w:rPr>
        <w:t>http://www.ccgp.gov.cn/（中国政府采购网</w:t>
      </w:r>
      <w:r>
        <w:rPr>
          <w:rFonts w:hint="eastAsia" w:ascii="宋体" w:hAnsi="宋体" w:cs="宋体"/>
          <w:color w:val="auto"/>
          <w:kern w:val="0"/>
          <w:szCs w:val="21"/>
          <w:lang w:eastAsia="zh-CN"/>
        </w:rPr>
        <w:t>）</w:t>
      </w:r>
      <w:r>
        <w:rPr>
          <w:rFonts w:hint="eastAsia" w:ascii="宋体" w:hAnsi="宋体" w:cs="宋体"/>
          <w:color w:val="auto"/>
          <w:kern w:val="0"/>
          <w:szCs w:val="21"/>
        </w:rPr>
        <w:t>http://www.ccgp-guangxi.gov.cn/ (广西政府采购网)。</w:t>
      </w:r>
    </w:p>
    <w:p>
      <w:pPr>
        <w:spacing w:line="360" w:lineRule="auto"/>
        <w:ind w:firstLine="315" w:firstLineChars="150"/>
        <w:rPr>
          <w:rFonts w:ascii="宋体" w:hAnsi="宋体" w:cs="宋体"/>
          <w:color w:val="auto"/>
          <w:kern w:val="0"/>
          <w:szCs w:val="21"/>
        </w:rPr>
      </w:pPr>
      <w:r>
        <w:rPr>
          <w:rFonts w:hint="eastAsia" w:ascii="宋体" w:hAnsi="宋体" w:cs="宋体"/>
          <w:color w:val="auto"/>
          <w:kern w:val="0"/>
          <w:szCs w:val="21"/>
        </w:rPr>
        <w:t>3.本项目需要落实的政府采购政策：</w:t>
      </w:r>
    </w:p>
    <w:p>
      <w:pPr>
        <w:spacing w:line="360" w:lineRule="auto"/>
        <w:ind w:firstLine="315" w:firstLineChars="150"/>
        <w:rPr>
          <w:rFonts w:ascii="宋体" w:hAnsi="宋体" w:cs="宋体"/>
          <w:color w:val="auto"/>
          <w:kern w:val="0"/>
          <w:szCs w:val="21"/>
        </w:rPr>
      </w:pPr>
      <w:r>
        <w:rPr>
          <w:rFonts w:hint="eastAsia" w:ascii="宋体" w:hAnsi="宋体" w:cs="宋体"/>
          <w:color w:val="auto"/>
          <w:kern w:val="0"/>
          <w:szCs w:val="21"/>
        </w:rPr>
        <w:t>（1）政府采购促进中小企业发展。</w:t>
      </w:r>
    </w:p>
    <w:p>
      <w:pPr>
        <w:spacing w:line="360" w:lineRule="auto"/>
        <w:ind w:firstLine="315" w:firstLineChars="150"/>
        <w:rPr>
          <w:rFonts w:ascii="宋体" w:hAnsi="宋体" w:cs="宋体"/>
          <w:color w:val="auto"/>
          <w:kern w:val="0"/>
          <w:szCs w:val="21"/>
        </w:rPr>
      </w:pPr>
      <w:r>
        <w:rPr>
          <w:rFonts w:hint="eastAsia" w:ascii="宋体" w:hAnsi="宋体" w:cs="宋体"/>
          <w:color w:val="auto"/>
          <w:kern w:val="0"/>
          <w:szCs w:val="21"/>
        </w:rPr>
        <w:t>（2）政府采购支持采用本国产品的政策。</w:t>
      </w:r>
    </w:p>
    <w:p>
      <w:pPr>
        <w:spacing w:line="360" w:lineRule="auto"/>
        <w:ind w:firstLine="315" w:firstLineChars="150"/>
        <w:rPr>
          <w:rFonts w:ascii="宋体" w:hAnsi="宋体" w:cs="宋体"/>
          <w:color w:val="auto"/>
          <w:kern w:val="0"/>
          <w:szCs w:val="21"/>
        </w:rPr>
      </w:pPr>
      <w:r>
        <w:rPr>
          <w:rFonts w:hint="eastAsia" w:ascii="宋体" w:hAnsi="宋体" w:cs="宋体"/>
          <w:color w:val="auto"/>
          <w:kern w:val="0"/>
          <w:szCs w:val="21"/>
        </w:rPr>
        <w:t>（3）强制采购节能产品；优先采购节能产品、环境标志产品。</w:t>
      </w:r>
    </w:p>
    <w:p>
      <w:pPr>
        <w:spacing w:line="360" w:lineRule="auto"/>
        <w:ind w:firstLine="315" w:firstLineChars="150"/>
        <w:rPr>
          <w:rFonts w:ascii="宋体" w:hAnsi="宋体" w:cs="宋体"/>
          <w:color w:val="auto"/>
          <w:kern w:val="0"/>
          <w:szCs w:val="21"/>
        </w:rPr>
      </w:pPr>
      <w:r>
        <w:rPr>
          <w:rFonts w:hint="eastAsia" w:ascii="宋体" w:hAnsi="宋体" w:cs="宋体"/>
          <w:color w:val="auto"/>
          <w:kern w:val="0"/>
          <w:szCs w:val="21"/>
        </w:rPr>
        <w:t>（4）政府采购促进残疾人就业政策。</w:t>
      </w:r>
    </w:p>
    <w:p>
      <w:pPr>
        <w:spacing w:line="360" w:lineRule="auto"/>
        <w:ind w:firstLine="315" w:firstLineChars="150"/>
        <w:rPr>
          <w:rFonts w:ascii="宋体" w:hAnsi="宋体" w:cs="宋体"/>
          <w:color w:val="auto"/>
          <w:kern w:val="0"/>
          <w:szCs w:val="21"/>
        </w:rPr>
      </w:pPr>
      <w:r>
        <w:rPr>
          <w:rFonts w:hint="eastAsia" w:ascii="宋体" w:hAnsi="宋体" w:cs="宋体"/>
          <w:color w:val="auto"/>
          <w:kern w:val="0"/>
          <w:szCs w:val="21"/>
        </w:rPr>
        <w:t>（5）政府采购支持监狱企业发展。</w:t>
      </w:r>
    </w:p>
    <w:p>
      <w:pPr>
        <w:spacing w:line="360" w:lineRule="auto"/>
        <w:ind w:firstLine="315" w:firstLineChars="150"/>
        <w:rPr>
          <w:rFonts w:ascii="宋体" w:hAnsi="宋体" w:cs="宋体"/>
          <w:color w:val="auto"/>
          <w:kern w:val="0"/>
          <w:szCs w:val="21"/>
        </w:rPr>
      </w:pPr>
      <w:r>
        <w:rPr>
          <w:rFonts w:hint="eastAsia" w:ascii="宋体" w:hAnsi="宋体" w:cs="宋体"/>
          <w:color w:val="auto"/>
          <w:kern w:val="0"/>
          <w:szCs w:val="21"/>
        </w:rPr>
        <w:t>4.单位负责人为同一人或者存在直接控股、管理关系的不同供应商，不得参加同一合同项下的政府采购活动。为本项目提供过整体设计、规范编制或者项目管理、监理、检测等服务的供应商，不得再参加本项目上述服务以外的其他采购活动。</w:t>
      </w:r>
    </w:p>
    <w:p>
      <w:pPr>
        <w:spacing w:line="360" w:lineRule="auto"/>
        <w:ind w:firstLine="315" w:firstLineChars="150"/>
        <w:rPr>
          <w:rFonts w:ascii="宋体" w:hAnsi="宋体" w:cs="宋体"/>
          <w:color w:val="auto"/>
          <w:kern w:val="0"/>
          <w:szCs w:val="21"/>
        </w:rPr>
      </w:pPr>
      <w:r>
        <w:rPr>
          <w:rFonts w:hint="eastAsia" w:ascii="宋体" w:hAnsi="宋体" w:cs="宋体"/>
          <w:color w:val="auto"/>
          <w:kern w:val="0"/>
          <w:szCs w:val="21"/>
        </w:rPr>
        <w:t>5.对在“信用中国”网站(www.creditchina.gov.cn) 、中国政府采购网(www.ccgp.gov.cn)被列入失信被执行人、</w:t>
      </w:r>
      <w:r>
        <w:rPr>
          <w:rFonts w:hint="eastAsia" w:ascii="宋体" w:hAnsi="宋体" w:cs="宋体"/>
          <w:color w:val="auto"/>
          <w:szCs w:val="21"/>
        </w:rPr>
        <w:t>重大税收违法失信主体</w:t>
      </w:r>
      <w:r>
        <w:rPr>
          <w:rFonts w:hint="eastAsia" w:ascii="宋体" w:hAnsi="宋体" w:cs="宋体"/>
          <w:color w:val="auto"/>
          <w:kern w:val="0"/>
          <w:szCs w:val="21"/>
        </w:rPr>
        <w:t>、政府采购严重违法失信行为记录名单及其他不符合《中华人民共和国政府采购法》第二十二条规定条件的供应商，不得参与政府采购活动。</w:t>
      </w:r>
    </w:p>
    <w:p>
      <w:pPr>
        <w:spacing w:line="360" w:lineRule="auto"/>
        <w:ind w:firstLine="316" w:firstLineChars="150"/>
        <w:rPr>
          <w:rFonts w:ascii="宋体" w:hAnsi="宋体" w:cs="宋体"/>
          <w:color w:val="auto"/>
          <w:kern w:val="0"/>
          <w:szCs w:val="21"/>
        </w:rPr>
      </w:pPr>
      <w:r>
        <w:rPr>
          <w:rFonts w:hint="eastAsia" w:ascii="宋体" w:hAnsi="宋体" w:cs="宋体"/>
          <w:b/>
          <w:bCs/>
          <w:color w:val="auto"/>
          <w:kern w:val="0"/>
          <w:szCs w:val="21"/>
        </w:rPr>
        <w:t>6.</w:t>
      </w:r>
      <w:r>
        <w:rPr>
          <w:rFonts w:hint="eastAsia" w:ascii="宋体" w:hAnsi="宋体" w:cs="宋体"/>
          <w:b/>
          <w:bCs/>
          <w:color w:val="auto"/>
          <w:szCs w:val="21"/>
        </w:rPr>
        <w:t>在线投标的有关说明</w:t>
      </w:r>
      <w:r>
        <w:rPr>
          <w:rFonts w:hint="eastAsia" w:ascii="宋体" w:hAnsi="宋体" w:cs="宋体"/>
          <w:b/>
          <w:bCs/>
          <w:color w:val="auto"/>
          <w:kern w:val="0"/>
          <w:szCs w:val="21"/>
        </w:rPr>
        <w:t>：</w:t>
      </w:r>
    </w:p>
    <w:p>
      <w:pPr>
        <w:widowControl/>
        <w:spacing w:line="360" w:lineRule="auto"/>
        <w:ind w:firstLine="420" w:firstLineChars="200"/>
        <w:jc w:val="left"/>
        <w:rPr>
          <w:rFonts w:ascii="宋体" w:hAnsi="宋体"/>
          <w:color w:val="auto"/>
          <w:szCs w:val="21"/>
        </w:rPr>
      </w:pPr>
      <w:r>
        <w:rPr>
          <w:rFonts w:hint="eastAsia" w:ascii="宋体" w:hAnsi="宋体"/>
          <w:color w:val="auto"/>
          <w:szCs w:val="21"/>
        </w:rPr>
        <w:t>（1）投标文件提交方式：本项目为全流程电子化项目，通过“政采云”平台（https://www.zcygov.cn/）实行在线电子投标，供应商应先安装“政采云电子交易客户端”（请自行前往“政采云”平台进行下载），并按照本项目招标文件和“政采云”平台的要求编制、加密后在投标截止时间前通过网络上传至“政采云”平台，</w:t>
      </w:r>
      <w:r>
        <w:rPr>
          <w:rFonts w:hint="eastAsia" w:ascii="宋体" w:hAnsi="宋体"/>
          <w:b/>
          <w:bCs/>
          <w:color w:val="auto"/>
          <w:szCs w:val="21"/>
        </w:rPr>
        <w:t>投标人在“政采云”平台提交电子版投标文件时，请填写参加远程开标活动经办人联系方式</w:t>
      </w:r>
      <w:r>
        <w:rPr>
          <w:rFonts w:hint="eastAsia" w:ascii="宋体" w:hAnsi="宋体"/>
          <w:color w:val="auto"/>
          <w:szCs w:val="21"/>
        </w:rPr>
        <w:t>。</w:t>
      </w:r>
    </w:p>
    <w:p>
      <w:pPr>
        <w:widowControl/>
        <w:spacing w:line="360" w:lineRule="auto"/>
        <w:ind w:firstLine="420" w:firstLineChars="200"/>
        <w:jc w:val="left"/>
        <w:rPr>
          <w:rFonts w:ascii="宋体" w:hAnsi="宋体"/>
          <w:color w:val="auto"/>
          <w:szCs w:val="21"/>
        </w:rPr>
      </w:pPr>
      <w:r>
        <w:rPr>
          <w:rFonts w:hint="eastAsia" w:ascii="宋体" w:hAnsi="宋体"/>
          <w:color w:val="auto"/>
          <w:szCs w:val="21"/>
        </w:rPr>
        <w:t>（2）未进行网上注册并办理数字证书（CA认证）的供应商将无法参与本项目政府采购活动，潜在投标人应当在投标截止时间前，完成电子交易平台上的CA数字证书办理及投标文件的提交。完成CA数字证书办理预计7日左右，</w:t>
      </w:r>
      <w:r>
        <w:rPr>
          <w:rFonts w:hint="eastAsia" w:ascii="宋体" w:hAnsi="宋体" w:cs="宋体"/>
          <w:color w:val="auto"/>
          <w:szCs w:val="21"/>
        </w:rPr>
        <w:t>投标人只需办理其中一家CA数字证书及签章</w:t>
      </w:r>
      <w:r>
        <w:rPr>
          <w:rFonts w:hint="eastAsia" w:ascii="宋体" w:hAnsi="宋体"/>
          <w:color w:val="auto"/>
          <w:szCs w:val="21"/>
        </w:rPr>
        <w:t>。</w:t>
      </w:r>
    </w:p>
    <w:p>
      <w:pPr>
        <w:widowControl/>
        <w:spacing w:line="360" w:lineRule="auto"/>
        <w:ind w:firstLine="420" w:firstLineChars="200"/>
        <w:jc w:val="left"/>
        <w:rPr>
          <w:rFonts w:ascii="宋体" w:hAnsi="宋体"/>
          <w:color w:val="auto"/>
          <w:szCs w:val="21"/>
        </w:rPr>
      </w:pPr>
      <w:r>
        <w:rPr>
          <w:rFonts w:hint="eastAsia" w:ascii="宋体" w:hAnsi="宋体"/>
          <w:color w:val="auto"/>
          <w:szCs w:val="21"/>
        </w:rPr>
        <w:t>（3）为确保网上操作合法、有效和安全，请投标人确保在电子投标过程中能够对相关数据电文进行加密和使用电子签章，妥善保管CA数字证书并使用有效的CA数字证书参与整个招标活动。</w:t>
      </w:r>
    </w:p>
    <w:p>
      <w:pPr>
        <w:spacing w:line="360" w:lineRule="auto"/>
        <w:ind w:firstLine="422" w:firstLineChars="200"/>
        <w:rPr>
          <w:rFonts w:ascii="宋体" w:hAnsi="宋体"/>
          <w:b/>
          <w:bCs/>
          <w:color w:val="auto"/>
          <w:szCs w:val="21"/>
        </w:rPr>
      </w:pPr>
      <w:r>
        <w:rPr>
          <w:rFonts w:hint="eastAsia" w:ascii="宋体" w:hAnsi="宋体"/>
          <w:b/>
          <w:bCs/>
          <w:color w:val="auto"/>
          <w:szCs w:val="21"/>
        </w:rPr>
        <w:t>注：投标人应当在投标截止时间前完成电子投标文件的上传、递交，投标截止时间前可以补充、修改或者撤回投标文件。补充或者修改投标文件的，应当先行撤回原文件，补充、修改后重新上传、递交。投标截止时间前未完成上传、递交的，视为撤回投标文件。投标截止时间以后上传递交的投标文件“政采云”平台将予以拒收。</w:t>
      </w:r>
    </w:p>
    <w:p>
      <w:pPr>
        <w:snapToGrid w:val="0"/>
        <w:spacing w:line="360" w:lineRule="auto"/>
        <w:ind w:firstLine="420" w:firstLineChars="200"/>
        <w:rPr>
          <w:rFonts w:ascii="宋体" w:hAnsi="宋体" w:cs="宋体"/>
          <w:color w:val="auto"/>
          <w:kern w:val="0"/>
          <w:szCs w:val="21"/>
        </w:rPr>
      </w:pPr>
      <w:r>
        <w:rPr>
          <w:rFonts w:hint="eastAsia" w:ascii="宋体" w:hAnsi="宋体" w:cs="宋体"/>
          <w:color w:val="auto"/>
          <w:kern w:val="0"/>
          <w:szCs w:val="21"/>
        </w:rPr>
        <w:t>（4）CA证书在线解密：投标人投标时，需携带制作投标文件时用来加密的有效数字证书（CA认证）登录“政采云”平台电子开标大厅现场按规定时间对加密的投标文件进行解密。</w:t>
      </w:r>
    </w:p>
    <w:p>
      <w:pPr>
        <w:snapToGrid w:val="0"/>
        <w:spacing w:line="360" w:lineRule="auto"/>
        <w:ind w:firstLine="420" w:firstLineChars="200"/>
        <w:rPr>
          <w:rFonts w:ascii="宋体" w:hAnsi="宋体" w:cs="宋体"/>
          <w:color w:val="auto"/>
          <w:kern w:val="0"/>
          <w:szCs w:val="21"/>
        </w:rPr>
      </w:pPr>
      <w:r>
        <w:rPr>
          <w:rFonts w:hint="eastAsia" w:ascii="宋体" w:hAnsi="宋体" w:cs="宋体"/>
          <w:color w:val="auto"/>
          <w:kern w:val="0"/>
          <w:szCs w:val="21"/>
        </w:rPr>
        <w:t>（5）若对项目采购电子交易系统操作有疑问，可登录“政采云”平台（https://www.zcygov.cn/），点击右侧咨询小采，获取采小蜜智能服务管家帮助，或拨打政采云服务热线95763获取热线服务帮助。</w:t>
      </w:r>
    </w:p>
    <w:p>
      <w:pPr>
        <w:spacing w:line="360" w:lineRule="auto"/>
        <w:rPr>
          <w:rFonts w:ascii="黑体" w:hAnsi="黑体" w:eastAsia="黑体"/>
          <w:b/>
          <w:bCs/>
          <w:color w:val="auto"/>
          <w:sz w:val="24"/>
        </w:rPr>
      </w:pPr>
      <w:bookmarkStart w:id="40" w:name="_Toc35393796"/>
      <w:bookmarkStart w:id="41" w:name="_Toc28359008"/>
      <w:bookmarkStart w:id="42" w:name="_Toc28359085"/>
      <w:bookmarkStart w:id="43" w:name="_Toc35393627"/>
      <w:r>
        <w:rPr>
          <w:rFonts w:hint="eastAsia" w:ascii="黑体" w:hAnsi="黑体" w:eastAsia="黑体"/>
          <w:b/>
          <w:bCs/>
          <w:color w:val="auto"/>
          <w:sz w:val="24"/>
        </w:rPr>
        <w:t>七、对本次招标提出询问，请按以下方式联系。</w:t>
      </w:r>
      <w:bookmarkEnd w:id="40"/>
      <w:bookmarkEnd w:id="41"/>
      <w:bookmarkEnd w:id="42"/>
      <w:bookmarkEnd w:id="43"/>
    </w:p>
    <w:p>
      <w:pPr>
        <w:spacing w:line="360" w:lineRule="auto"/>
        <w:ind w:firstLine="420" w:firstLineChars="200"/>
        <w:rPr>
          <w:rFonts w:ascii="宋体" w:hAnsi="宋体" w:cs="宋体"/>
          <w:color w:val="auto"/>
          <w:kern w:val="0"/>
          <w:szCs w:val="21"/>
        </w:rPr>
      </w:pPr>
      <w:r>
        <w:rPr>
          <w:rFonts w:hint="eastAsia" w:ascii="宋体" w:hAnsi="宋体" w:cs="宋体"/>
          <w:color w:val="auto"/>
          <w:kern w:val="0"/>
          <w:szCs w:val="21"/>
        </w:rPr>
        <w:t>1.采购人信息</w:t>
      </w:r>
    </w:p>
    <w:p>
      <w:pPr>
        <w:spacing w:line="360" w:lineRule="auto"/>
        <w:ind w:firstLine="630" w:firstLineChars="300"/>
        <w:rPr>
          <w:rFonts w:ascii="宋体" w:hAnsi="宋体" w:cs="宋体"/>
          <w:color w:val="auto"/>
          <w:kern w:val="0"/>
          <w:szCs w:val="21"/>
        </w:rPr>
      </w:pPr>
      <w:r>
        <w:rPr>
          <w:rFonts w:hint="eastAsia" w:ascii="宋体" w:hAnsi="宋体" w:cs="宋体"/>
          <w:color w:val="auto"/>
          <w:kern w:val="0"/>
          <w:szCs w:val="21"/>
        </w:rPr>
        <w:t>名称：广西医科大学第二附属医院</w:t>
      </w:r>
    </w:p>
    <w:p>
      <w:pPr>
        <w:spacing w:line="360" w:lineRule="auto"/>
        <w:ind w:firstLine="630" w:firstLineChars="300"/>
        <w:rPr>
          <w:rFonts w:ascii="宋体" w:hAnsi="宋体" w:cs="宋体"/>
          <w:color w:val="auto"/>
          <w:kern w:val="0"/>
          <w:szCs w:val="21"/>
        </w:rPr>
      </w:pPr>
      <w:r>
        <w:rPr>
          <w:rFonts w:hint="eastAsia" w:ascii="宋体" w:hAnsi="宋体" w:cs="宋体"/>
          <w:color w:val="auto"/>
          <w:kern w:val="0"/>
          <w:szCs w:val="21"/>
        </w:rPr>
        <w:t>地址：广西南宁市大学东路166号</w:t>
      </w:r>
    </w:p>
    <w:p>
      <w:pPr>
        <w:spacing w:line="360" w:lineRule="auto"/>
        <w:ind w:firstLine="630" w:firstLineChars="300"/>
        <w:rPr>
          <w:rFonts w:hint="default" w:ascii="宋体" w:hAnsi="宋体" w:eastAsia="宋体" w:cs="宋体"/>
          <w:color w:val="auto"/>
          <w:kern w:val="0"/>
          <w:szCs w:val="21"/>
          <w:lang w:val="en-US" w:eastAsia="zh-CN"/>
        </w:rPr>
      </w:pPr>
      <w:r>
        <w:rPr>
          <w:rFonts w:hint="eastAsia" w:ascii="宋体" w:hAnsi="宋体" w:cs="宋体"/>
          <w:color w:val="auto"/>
          <w:kern w:val="0"/>
          <w:szCs w:val="21"/>
        </w:rPr>
        <w:t>项目联系人：黎老师</w:t>
      </w:r>
      <w:r>
        <w:rPr>
          <w:rFonts w:hint="eastAsia" w:ascii="宋体" w:hAnsi="宋体" w:cs="宋体"/>
          <w:color w:val="auto"/>
          <w:kern w:val="0"/>
          <w:szCs w:val="21"/>
          <w:lang w:val="en-US" w:eastAsia="zh-CN"/>
        </w:rPr>
        <w:t xml:space="preserve">        </w:t>
      </w:r>
    </w:p>
    <w:p>
      <w:pPr>
        <w:spacing w:line="360" w:lineRule="auto"/>
        <w:ind w:firstLine="630" w:firstLineChars="300"/>
        <w:rPr>
          <w:rFonts w:hint="default" w:ascii="宋体" w:hAnsi="宋体" w:eastAsia="宋体" w:cs="宋体"/>
          <w:color w:val="auto"/>
          <w:kern w:val="0"/>
          <w:szCs w:val="21"/>
          <w:lang w:val="en-US" w:eastAsia="zh-CN"/>
        </w:rPr>
      </w:pPr>
      <w:r>
        <w:rPr>
          <w:rFonts w:hint="eastAsia" w:ascii="宋体" w:hAnsi="宋体" w:cs="宋体"/>
          <w:color w:val="auto"/>
          <w:kern w:val="0"/>
          <w:szCs w:val="21"/>
        </w:rPr>
        <w:t>联系电话：0771-3277155</w:t>
      </w:r>
      <w:r>
        <w:rPr>
          <w:rFonts w:hint="eastAsia" w:ascii="宋体" w:hAnsi="宋体" w:cs="宋体"/>
          <w:color w:val="auto"/>
          <w:kern w:val="0"/>
          <w:szCs w:val="21"/>
          <w:lang w:val="en-US" w:eastAsia="zh-CN"/>
        </w:rPr>
        <w:t xml:space="preserve">           </w:t>
      </w:r>
    </w:p>
    <w:p>
      <w:pPr>
        <w:spacing w:line="360" w:lineRule="auto"/>
        <w:ind w:firstLine="420" w:firstLineChars="200"/>
        <w:rPr>
          <w:rFonts w:hint="eastAsia" w:ascii="宋体" w:hAnsi="宋体" w:cs="宋体"/>
          <w:color w:val="auto"/>
          <w:kern w:val="0"/>
          <w:szCs w:val="21"/>
        </w:rPr>
      </w:pPr>
      <w:r>
        <w:rPr>
          <w:rFonts w:hint="eastAsia" w:ascii="宋体" w:hAnsi="宋体" w:cs="宋体"/>
          <w:color w:val="auto"/>
          <w:kern w:val="0"/>
          <w:szCs w:val="21"/>
        </w:rPr>
        <w:t>2.采购代理机构信息</w:t>
      </w:r>
    </w:p>
    <w:p>
      <w:pPr>
        <w:spacing w:line="360" w:lineRule="auto"/>
        <w:ind w:firstLine="630" w:firstLineChars="300"/>
        <w:rPr>
          <w:rFonts w:hint="eastAsia" w:ascii="宋体" w:hAnsi="宋体" w:cs="宋体"/>
          <w:color w:val="auto"/>
          <w:kern w:val="0"/>
          <w:szCs w:val="21"/>
        </w:rPr>
      </w:pPr>
      <w:r>
        <w:rPr>
          <w:rFonts w:hint="eastAsia" w:ascii="宋体" w:hAnsi="宋体" w:cs="宋体"/>
          <w:color w:val="auto"/>
          <w:kern w:val="0"/>
          <w:szCs w:val="21"/>
        </w:rPr>
        <w:t>名称：</w:t>
      </w:r>
      <w:bookmarkStart w:id="44" w:name="PO_3000001867_PM031_1"/>
      <w:r>
        <w:rPr>
          <w:rFonts w:hint="eastAsia" w:ascii="宋体" w:hAnsi="宋体" w:cs="宋体"/>
          <w:color w:val="auto"/>
          <w:kern w:val="0"/>
          <w:szCs w:val="21"/>
        </w:rPr>
        <w:t>广西科联招标中心有限公司</w:t>
      </w:r>
      <w:bookmarkEnd w:id="44"/>
    </w:p>
    <w:p>
      <w:pPr>
        <w:spacing w:line="360" w:lineRule="auto"/>
        <w:ind w:firstLine="630" w:firstLineChars="300"/>
        <w:rPr>
          <w:rFonts w:hint="eastAsia" w:ascii="宋体" w:hAnsi="宋体" w:cs="宋体"/>
          <w:color w:val="auto"/>
          <w:kern w:val="0"/>
          <w:szCs w:val="21"/>
        </w:rPr>
      </w:pPr>
      <w:r>
        <w:rPr>
          <w:rFonts w:hint="eastAsia" w:ascii="宋体" w:hAnsi="宋体" w:cs="宋体"/>
          <w:color w:val="auto"/>
          <w:kern w:val="0"/>
          <w:szCs w:val="21"/>
        </w:rPr>
        <w:t>地址：</w:t>
      </w:r>
      <w:bookmarkStart w:id="45" w:name="PO_3000001867_PM035"/>
      <w:r>
        <w:rPr>
          <w:rFonts w:hint="eastAsia" w:ascii="宋体" w:hAnsi="宋体" w:cs="宋体"/>
          <w:color w:val="auto"/>
          <w:kern w:val="0"/>
          <w:szCs w:val="21"/>
        </w:rPr>
        <w:t>南宁市西乡塘区大学东路170号</w:t>
      </w:r>
      <w:bookmarkEnd w:id="45"/>
    </w:p>
    <w:p>
      <w:pPr>
        <w:spacing w:line="360" w:lineRule="auto"/>
        <w:ind w:firstLine="630" w:firstLineChars="300"/>
        <w:rPr>
          <w:rFonts w:hint="eastAsia" w:ascii="宋体" w:hAnsi="宋体" w:cs="宋体"/>
          <w:color w:val="auto"/>
          <w:kern w:val="0"/>
          <w:szCs w:val="21"/>
        </w:rPr>
      </w:pPr>
      <w:r>
        <w:rPr>
          <w:rFonts w:hint="eastAsia" w:ascii="宋体" w:hAnsi="宋体" w:cs="宋体"/>
          <w:color w:val="auto"/>
          <w:kern w:val="0"/>
          <w:szCs w:val="21"/>
        </w:rPr>
        <w:t>联系电话：</w:t>
      </w:r>
      <w:bookmarkStart w:id="46" w:name="PO_3000001867_PM033"/>
      <w:r>
        <w:rPr>
          <w:rFonts w:hint="eastAsia" w:ascii="宋体" w:hAnsi="宋体" w:cs="宋体"/>
          <w:color w:val="auto"/>
          <w:kern w:val="0"/>
          <w:szCs w:val="21"/>
        </w:rPr>
        <w:t>0771-</w:t>
      </w:r>
      <w:bookmarkEnd w:id="46"/>
      <w:r>
        <w:rPr>
          <w:rFonts w:hint="eastAsia" w:ascii="宋体" w:hAnsi="宋体" w:cs="宋体"/>
          <w:color w:val="auto"/>
          <w:kern w:val="0"/>
          <w:szCs w:val="21"/>
        </w:rPr>
        <w:t>2273829</w:t>
      </w:r>
    </w:p>
    <w:p>
      <w:pPr>
        <w:spacing w:line="360" w:lineRule="auto"/>
        <w:ind w:firstLine="420" w:firstLineChars="200"/>
        <w:rPr>
          <w:rFonts w:hint="eastAsia" w:ascii="宋体" w:hAnsi="宋体" w:cs="宋体"/>
          <w:color w:val="auto"/>
          <w:kern w:val="0"/>
          <w:szCs w:val="21"/>
        </w:rPr>
      </w:pPr>
      <w:r>
        <w:rPr>
          <w:rFonts w:hint="eastAsia" w:ascii="宋体" w:hAnsi="宋体" w:cs="宋体"/>
          <w:color w:val="auto"/>
          <w:kern w:val="0"/>
          <w:szCs w:val="21"/>
        </w:rPr>
        <w:t>3.项目联系方式</w:t>
      </w:r>
    </w:p>
    <w:p>
      <w:pPr>
        <w:spacing w:line="360" w:lineRule="auto"/>
        <w:ind w:firstLine="630" w:firstLineChars="300"/>
        <w:rPr>
          <w:rFonts w:hint="eastAsia" w:ascii="宋体" w:hAnsi="宋体" w:cs="宋体"/>
          <w:color w:val="auto"/>
          <w:kern w:val="0"/>
          <w:szCs w:val="21"/>
        </w:rPr>
      </w:pPr>
      <w:r>
        <w:rPr>
          <w:rFonts w:hint="eastAsia" w:ascii="宋体" w:hAnsi="宋体" w:cs="宋体"/>
          <w:color w:val="auto"/>
          <w:kern w:val="0"/>
          <w:szCs w:val="21"/>
        </w:rPr>
        <w:t>项目联系人：韦俊珉</w:t>
      </w:r>
    </w:p>
    <w:p>
      <w:pPr>
        <w:spacing w:line="360" w:lineRule="auto"/>
        <w:ind w:firstLine="630" w:firstLineChars="300"/>
        <w:rPr>
          <w:rFonts w:hint="eastAsia" w:ascii="宋体" w:hAnsi="宋体" w:cs="宋体"/>
          <w:color w:val="auto"/>
          <w:kern w:val="0"/>
          <w:szCs w:val="21"/>
        </w:rPr>
      </w:pPr>
      <w:r>
        <w:rPr>
          <w:rFonts w:hint="eastAsia" w:ascii="宋体" w:hAnsi="宋体" w:cs="宋体"/>
          <w:color w:val="auto"/>
          <w:kern w:val="0"/>
          <w:szCs w:val="21"/>
        </w:rPr>
        <w:t>电话：0771-2273829</w:t>
      </w:r>
    </w:p>
    <w:p>
      <w:pPr>
        <w:spacing w:line="360" w:lineRule="auto"/>
        <w:jc w:val="right"/>
        <w:rPr>
          <w:rFonts w:hint="eastAsia" w:ascii="宋体" w:hAnsi="宋体"/>
          <w:color w:val="auto"/>
          <w:szCs w:val="21"/>
        </w:rPr>
      </w:pPr>
    </w:p>
    <w:p>
      <w:pPr>
        <w:spacing w:line="360" w:lineRule="auto"/>
        <w:jc w:val="right"/>
        <w:rPr>
          <w:rFonts w:ascii="宋体" w:hAnsi="宋体"/>
          <w:color w:val="auto"/>
          <w:szCs w:val="21"/>
        </w:rPr>
      </w:pPr>
      <w:r>
        <w:rPr>
          <w:rFonts w:hint="eastAsia" w:ascii="宋体" w:hAnsi="宋体"/>
          <w:color w:val="auto"/>
          <w:szCs w:val="21"/>
        </w:rPr>
        <w:t>广西科联招标中心有限公司</w:t>
      </w:r>
    </w:p>
    <w:p>
      <w:pPr>
        <w:spacing w:line="360" w:lineRule="auto"/>
        <w:ind w:firstLine="210" w:firstLineChars="100"/>
        <w:jc w:val="right"/>
        <w:rPr>
          <w:rFonts w:ascii="宋体" w:hAnsi="宋体"/>
          <w:color w:val="auto"/>
        </w:rPr>
      </w:pPr>
      <w:r>
        <w:rPr>
          <w:rFonts w:hint="eastAsia" w:ascii="宋体" w:hAnsi="宋体"/>
          <w:color w:val="auto"/>
          <w:szCs w:val="21"/>
        </w:rPr>
        <w:t>2023年</w:t>
      </w:r>
      <w:r>
        <w:rPr>
          <w:rFonts w:hint="eastAsia" w:ascii="宋体" w:hAnsi="宋体"/>
          <w:color w:val="auto"/>
          <w:szCs w:val="21"/>
          <w:lang w:val="en-US" w:eastAsia="zh-CN"/>
        </w:rPr>
        <w:t>7</w:t>
      </w:r>
      <w:r>
        <w:rPr>
          <w:rFonts w:hint="eastAsia" w:ascii="宋体" w:hAnsi="宋体"/>
          <w:color w:val="auto"/>
          <w:szCs w:val="21"/>
        </w:rPr>
        <w:t>月</w:t>
      </w:r>
      <w:r>
        <w:rPr>
          <w:rFonts w:hint="eastAsia" w:ascii="宋体" w:hAnsi="宋体"/>
          <w:color w:val="auto"/>
          <w:szCs w:val="21"/>
          <w:lang w:val="en-US" w:eastAsia="zh-CN"/>
        </w:rPr>
        <w:t>4</w:t>
      </w:r>
      <w:r>
        <w:rPr>
          <w:rFonts w:hint="eastAsia" w:ascii="宋体" w:hAnsi="宋体"/>
          <w:color w:val="auto"/>
          <w:szCs w:val="21"/>
        </w:rPr>
        <w:t>日</w:t>
      </w:r>
    </w:p>
    <w:p>
      <w:pPr>
        <w:widowControl/>
        <w:spacing w:line="360" w:lineRule="auto"/>
        <w:jc w:val="left"/>
        <w:rPr>
          <w:rFonts w:ascii="宋体" w:hAnsi="宋体" w:cs="宋体"/>
          <w:color w:val="auto"/>
          <w:sz w:val="24"/>
          <w:lang w:val="zh-CN"/>
        </w:rPr>
        <w:sectPr>
          <w:footerReference r:id="rId10" w:type="first"/>
          <w:footerReference r:id="rId9" w:type="default"/>
          <w:pgSz w:w="11905" w:h="16838"/>
          <w:pgMar w:top="1134" w:right="1134" w:bottom="1134" w:left="1134" w:header="850" w:footer="850" w:gutter="0"/>
          <w:pgNumType w:start="1"/>
          <w:cols w:space="0" w:num="1"/>
          <w:titlePg/>
          <w:docGrid w:linePitch="331" w:charSpace="0"/>
        </w:sectPr>
      </w:pPr>
    </w:p>
    <w:p>
      <w:pPr>
        <w:pStyle w:val="14"/>
        <w:jc w:val="center"/>
        <w:outlineLvl w:val="0"/>
        <w:rPr>
          <w:rFonts w:ascii="Times New Roman" w:hAnsi="Times New Roman"/>
          <w:b/>
          <w:color w:val="auto"/>
          <w:sz w:val="36"/>
        </w:rPr>
      </w:pPr>
      <w:bookmarkStart w:id="47" w:name="_Toc532545042"/>
      <w:bookmarkStart w:id="48" w:name="_Toc22408"/>
      <w:bookmarkStart w:id="49" w:name="_Toc7686"/>
      <w:bookmarkStart w:id="50" w:name="_Toc21081"/>
      <w:bookmarkStart w:id="51" w:name="_Toc13449"/>
      <w:bookmarkStart w:id="52" w:name="_Toc32573"/>
      <w:bookmarkStart w:id="53" w:name="_Toc28689"/>
      <w:bookmarkStart w:id="54" w:name="_Toc4483"/>
      <w:bookmarkStart w:id="55" w:name="_Toc17621"/>
      <w:bookmarkStart w:id="56" w:name="_Toc24210"/>
      <w:bookmarkStart w:id="57" w:name="_Toc8382"/>
      <w:bookmarkStart w:id="58" w:name="_Toc7337"/>
      <w:bookmarkStart w:id="59" w:name="_Toc937"/>
      <w:bookmarkStart w:id="60" w:name="_Toc2299"/>
      <w:r>
        <w:rPr>
          <w:rFonts w:hint="eastAsia" w:ascii="Times New Roman" w:hAnsi="Times New Roman"/>
          <w:b/>
          <w:color w:val="auto"/>
          <w:sz w:val="36"/>
        </w:rPr>
        <w:t>第二章</w:t>
      </w:r>
      <w:bookmarkEnd w:id="47"/>
      <w:r>
        <w:rPr>
          <w:rFonts w:hint="eastAsia" w:ascii="Times New Roman" w:hAnsi="Times New Roman"/>
          <w:b/>
          <w:color w:val="auto"/>
          <w:sz w:val="36"/>
        </w:rPr>
        <w:t>采购需求</w:t>
      </w:r>
      <w:bookmarkEnd w:id="48"/>
      <w:bookmarkEnd w:id="49"/>
      <w:bookmarkEnd w:id="50"/>
      <w:bookmarkEnd w:id="51"/>
      <w:bookmarkEnd w:id="52"/>
      <w:bookmarkEnd w:id="53"/>
      <w:bookmarkEnd w:id="54"/>
      <w:bookmarkEnd w:id="55"/>
      <w:bookmarkEnd w:id="56"/>
      <w:bookmarkEnd w:id="57"/>
      <w:bookmarkEnd w:id="58"/>
      <w:bookmarkEnd w:id="59"/>
      <w:bookmarkEnd w:id="60"/>
    </w:p>
    <w:p>
      <w:pPr>
        <w:adjustRightInd w:val="0"/>
        <w:spacing w:line="340" w:lineRule="exact"/>
        <w:rPr>
          <w:rFonts w:hAnsi="宋体"/>
          <w:b/>
          <w:color w:val="auto"/>
          <w:szCs w:val="21"/>
        </w:rPr>
      </w:pPr>
    </w:p>
    <w:p>
      <w:pPr>
        <w:adjustRightInd w:val="0"/>
        <w:spacing w:line="340" w:lineRule="exact"/>
        <w:rPr>
          <w:rFonts w:hAnsi="宋体"/>
          <w:b/>
          <w:color w:val="auto"/>
          <w:szCs w:val="21"/>
        </w:rPr>
      </w:pPr>
      <w:r>
        <w:rPr>
          <w:rFonts w:hint="eastAsia" w:hAnsi="宋体"/>
          <w:b/>
          <w:color w:val="auto"/>
          <w:szCs w:val="21"/>
        </w:rPr>
        <w:t>说明：</w:t>
      </w:r>
    </w:p>
    <w:p>
      <w:pPr>
        <w:spacing w:line="360" w:lineRule="auto"/>
        <w:ind w:firstLine="420" w:firstLineChars="200"/>
        <w:jc w:val="left"/>
        <w:rPr>
          <w:rFonts w:ascii="宋体" w:hAnsi="宋体" w:cs="宋体"/>
          <w:color w:val="auto"/>
        </w:rPr>
      </w:pPr>
      <w:r>
        <w:rPr>
          <w:rFonts w:hint="eastAsia" w:ascii="宋体" w:hAnsi="宋体" w:cs="宋体"/>
          <w:color w:val="auto"/>
        </w:rPr>
        <w:t>1. 为落实政府采购政策需满足的要求：</w:t>
      </w:r>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（1）本招标文件所称中小企业必须符合《政府采购促进中小企业发展管理办法》（财库〔2020〕46号）的规定。</w:t>
      </w:r>
    </w:p>
    <w:p>
      <w:pPr>
        <w:spacing w:line="360" w:lineRule="auto"/>
        <w:ind w:firstLine="424" w:firstLineChars="202"/>
        <w:jc w:val="left"/>
        <w:rPr>
          <w:rFonts w:ascii="宋体" w:hAnsi="宋体" w:cs="宋体"/>
          <w:color w:val="auto"/>
          <w:szCs w:val="21"/>
        </w:rPr>
      </w:pPr>
      <w:r>
        <w:rPr>
          <w:rFonts w:hint="eastAsia" w:ascii="宋体" w:hAnsi="宋体" w:cs="宋体"/>
          <w:color w:val="auto"/>
          <w:szCs w:val="21"/>
        </w:rPr>
        <w:t>（2）服务项目中伴随货物的，根据《财政部 发展改革委 生态环境部 市场监管总局关于调整优化节能产品、环境标志产品政府采购执行机制的通知》（财库〔2019〕9号）和《关于印发节能产品政府采购品目清单的通知》（财库〔2019〕19号）的规定，采购需求中的产品属于节能产品政府采购品目清单内标注“★”的（详见本章附件1的节能产品政府采购品目清单），投标人的投标货物必须使用政府强制采购的节能产品，投标人必须在投标文件中提供所投标产品有效期内的节能产品认证证书复印件（加盖投标人公章），</w:t>
      </w:r>
      <w:r>
        <w:rPr>
          <w:rFonts w:hint="eastAsia" w:ascii="宋体" w:hAnsi="宋体" w:cs="宋体"/>
          <w:b/>
          <w:bCs/>
          <w:color w:val="auto"/>
          <w:szCs w:val="21"/>
        </w:rPr>
        <w:t>否则投标文件作无效处理</w:t>
      </w:r>
      <w:r>
        <w:rPr>
          <w:rFonts w:hint="eastAsia" w:ascii="宋体" w:hAnsi="宋体" w:cs="宋体"/>
          <w:color w:val="auto"/>
          <w:szCs w:val="21"/>
        </w:rPr>
        <w:t>。如本项目包含的货物属于品目清单内非标注“★”的产品时，应优先采购，具体详见“第四章 评标方法和评标标准”。</w:t>
      </w:r>
    </w:p>
    <w:p>
      <w:pPr>
        <w:spacing w:line="360" w:lineRule="auto"/>
        <w:ind w:firstLine="426" w:firstLineChars="202"/>
        <w:jc w:val="left"/>
        <w:rPr>
          <w:rFonts w:ascii="宋体" w:hAnsi="宋体" w:cs="宋体"/>
          <w:b/>
          <w:color w:val="auto"/>
          <w:szCs w:val="21"/>
        </w:rPr>
      </w:pPr>
      <w:r>
        <w:rPr>
          <w:rFonts w:hint="eastAsia" w:ascii="宋体" w:hAnsi="宋体" w:cs="宋体"/>
          <w:b/>
          <w:bCs/>
          <w:color w:val="auto"/>
          <w:szCs w:val="21"/>
        </w:rPr>
        <w:t>（3）本</w:t>
      </w:r>
      <w:r>
        <w:rPr>
          <w:rFonts w:hint="eastAsia" w:ascii="宋体" w:hAnsi="宋体" w:cs="宋体"/>
          <w:b/>
          <w:color w:val="auto"/>
          <w:szCs w:val="21"/>
        </w:rPr>
        <w:t>服务项目中伴随的货物包含信息安全产品的（信息安全产品包括：防火墙、网络安全隔离卡与线路选择器、安全隔离与信息交换产品、安全路由器、智能卡COS、数据备份与恢复产品、安全操作系统、安全数据库系统、反垃圾邮件产品、入侵检测系统（IDS</w:t>
      </w:r>
      <w:r>
        <w:rPr>
          <w:rFonts w:hint="eastAsia" w:ascii="宋体" w:hAnsi="宋体" w:cs="宋体"/>
          <w:b/>
          <w:color w:val="auto"/>
          <w:szCs w:val="21"/>
          <w:lang w:eastAsia="zh-CN"/>
        </w:rPr>
        <w:t>）</w:t>
      </w:r>
      <w:r>
        <w:rPr>
          <w:rFonts w:hint="eastAsia" w:ascii="宋体" w:hAnsi="宋体" w:cs="宋体"/>
          <w:b/>
          <w:color w:val="auto"/>
          <w:szCs w:val="21"/>
        </w:rPr>
        <w:t>网络脆弱扫描产品、安全审计产品、网站恢复产品），根据《关于信息安全产品实施政府采购的通知》（财库〔2010〕48号）的规定，投标人必须在投标文件中提供中国网络安全审查技术与认证中心（原中国信息安全认证中心）颁发的有效的信息安全产品认证证书复印件（加盖投标人公章），否则投标文件作无效处理。</w:t>
      </w:r>
    </w:p>
    <w:p>
      <w:pPr>
        <w:spacing w:line="360" w:lineRule="auto"/>
        <w:ind w:firstLine="420" w:firstLineChars="200"/>
        <w:jc w:val="left"/>
        <w:rPr>
          <w:rFonts w:ascii="宋体" w:hAnsi="宋体" w:cs="宋体"/>
          <w:color w:val="auto"/>
        </w:rPr>
      </w:pPr>
      <w:r>
        <w:rPr>
          <w:rFonts w:hint="eastAsia" w:ascii="宋体" w:hAnsi="宋体" w:cs="宋体"/>
          <w:color w:val="auto"/>
        </w:rPr>
        <w:t>2.“实质性要求”是指招标文件中已经指明不满足则投标无效的条款，或者不能负偏离的条款，或者采购需求中带“▲”的条款。</w:t>
      </w:r>
    </w:p>
    <w:p>
      <w:pPr>
        <w:spacing w:line="360" w:lineRule="auto"/>
        <w:ind w:firstLine="424" w:firstLineChars="202"/>
        <w:jc w:val="left"/>
        <w:rPr>
          <w:rFonts w:ascii="宋体" w:hAnsi="宋体" w:cs="宋体"/>
          <w:color w:val="auto"/>
          <w:szCs w:val="21"/>
        </w:rPr>
      </w:pPr>
      <w:r>
        <w:rPr>
          <w:rFonts w:hint="eastAsia" w:ascii="宋体" w:hAnsi="宋体" w:cs="宋体"/>
          <w:color w:val="auto"/>
          <w:szCs w:val="21"/>
        </w:rPr>
        <w:t>3.本服务项目中伴随货物的，采购需求中出现的品牌、型号或者生产厂家仅起参考作用，不属于指定品牌、型号或者生产厂家的情形。投标人可参照或者选用其他相当的品牌、型号或者生产厂家替代，但选用的投标产品技术参数及配置必须满足采购要求。</w:t>
      </w:r>
    </w:p>
    <w:p>
      <w:pPr>
        <w:spacing w:line="360" w:lineRule="auto"/>
        <w:ind w:firstLine="424" w:firstLineChars="202"/>
        <w:jc w:val="left"/>
        <w:rPr>
          <w:rFonts w:ascii="宋体" w:hAnsi="宋体" w:cs="宋体"/>
          <w:color w:val="auto"/>
        </w:rPr>
      </w:pPr>
      <w:r>
        <w:rPr>
          <w:rFonts w:hint="eastAsia" w:ascii="宋体" w:hAnsi="宋体" w:cs="宋体"/>
          <w:color w:val="auto"/>
          <w:szCs w:val="21"/>
        </w:rPr>
        <w:t>4.投标人必须对投标文件中提供的证明材料和资质文件真实性负责，如出现虚假应标情况，投标人除了应接受有关部门的处罚外，还应依据《中华人民共和国民法典》的相关条款来进行赔偿。</w:t>
      </w:r>
    </w:p>
    <w:p>
      <w:pPr>
        <w:spacing w:line="360" w:lineRule="auto"/>
        <w:ind w:firstLine="424" w:firstLineChars="202"/>
        <w:jc w:val="left"/>
        <w:rPr>
          <w:rFonts w:ascii="宋体" w:hAnsi="宋体" w:cs="宋体"/>
          <w:color w:val="auto"/>
        </w:rPr>
      </w:pPr>
      <w:r>
        <w:rPr>
          <w:rFonts w:hint="eastAsia" w:ascii="宋体" w:hAnsi="宋体" w:cs="宋体"/>
          <w:color w:val="auto"/>
        </w:rPr>
        <w:t>5.投标人应对投标内容所涉及的专利承担法律责任，并负责保护采购人的利益不受任何损害。一切由于文字、商标、技术和软件专利授权引起的法律裁决、诉讼和赔偿费用均由中标人负责。</w:t>
      </w:r>
    </w:p>
    <w:p>
      <w:pPr>
        <w:tabs>
          <w:tab w:val="left" w:pos="180"/>
          <w:tab w:val="left" w:pos="1620"/>
        </w:tabs>
        <w:spacing w:line="420" w:lineRule="exact"/>
        <w:ind w:firstLine="420" w:firstLineChars="200"/>
        <w:jc w:val="left"/>
        <w:rPr>
          <w:rFonts w:ascii="宋体" w:hAnsi="宋体" w:cs="宋体"/>
          <w:color w:val="auto"/>
        </w:rPr>
      </w:pPr>
      <w:r>
        <w:rPr>
          <w:rFonts w:hint="eastAsia" w:ascii="宋体" w:hAnsi="宋体" w:cs="宋体"/>
          <w:color w:val="auto"/>
        </w:rPr>
        <w:t>6.采购内容所属行业：</w:t>
      </w:r>
      <w:r>
        <w:rPr>
          <w:rFonts w:hint="eastAsia" w:ascii="宋体" w:hAnsi="宋体" w:cs="宋体"/>
          <w:color w:val="auto"/>
          <w:u w:val="single"/>
        </w:rPr>
        <w:t>其他未列明行业</w:t>
      </w:r>
      <w:r>
        <w:rPr>
          <w:rFonts w:hint="eastAsia" w:ascii="宋体" w:hAnsi="宋体" w:cs="宋体"/>
          <w:color w:val="auto"/>
          <w:kern w:val="0"/>
          <w:szCs w:val="21"/>
          <w:u w:val="single"/>
        </w:rPr>
        <w:t>。</w:t>
      </w:r>
    </w:p>
    <w:p>
      <w:pPr>
        <w:rPr>
          <w:color w:val="auto"/>
        </w:rPr>
      </w:pPr>
      <w:r>
        <w:rPr>
          <w:color w:val="auto"/>
        </w:rPr>
        <w:br w:type="page"/>
      </w:r>
    </w:p>
    <w:tbl>
      <w:tblPr>
        <w:tblStyle w:val="24"/>
        <w:tblW w:w="10328"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5"/>
        <w:gridCol w:w="610"/>
        <w:gridCol w:w="1166"/>
        <w:gridCol w:w="912"/>
        <w:gridCol w:w="5432"/>
        <w:gridCol w:w="166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1" w:hRule="atLeast"/>
          <w:jc w:val="center"/>
        </w:trPr>
        <w:tc>
          <w:tcPr>
            <w:tcW w:w="10328" w:type="dxa"/>
            <w:gridSpan w:val="6"/>
            <w:tcBorders>
              <w:top w:val="single" w:color="auto" w:sz="4" w:space="0"/>
              <w:left w:val="single" w:color="auto" w:sz="4" w:space="0"/>
              <w:right w:val="single" w:color="auto" w:sz="4" w:space="0"/>
            </w:tcBorders>
            <w:noWrap/>
            <w:vAlign w:val="center"/>
          </w:tcPr>
          <w:p>
            <w:pPr>
              <w:spacing w:line="360" w:lineRule="exact"/>
              <w:jc w:val="left"/>
              <w:rPr>
                <w:rFonts w:ascii="宋体" w:hAnsi="宋体" w:cs="宋体"/>
                <w:b/>
                <w:color w:val="auto"/>
                <w:szCs w:val="21"/>
              </w:rPr>
            </w:pPr>
            <w:bookmarkStart w:id="442" w:name="_GoBack"/>
            <w:r>
              <w:rPr>
                <w:rFonts w:hint="eastAsia" w:ascii="宋体" w:hAnsi="宋体" w:cs="宋体"/>
                <w:color w:val="auto"/>
                <w:szCs w:val="21"/>
              </w:rPr>
              <w:t>分标：无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jc w:val="center"/>
        </w:trPr>
        <w:tc>
          <w:tcPr>
            <w:tcW w:w="545" w:type="dxa"/>
            <w:vMerge w:val="restart"/>
            <w:tcBorders>
              <w:top w:val="single" w:color="auto" w:sz="4" w:space="0"/>
              <w:left w:val="single" w:color="auto" w:sz="4" w:space="0"/>
              <w:right w:val="single" w:color="auto" w:sz="4" w:space="0"/>
            </w:tcBorders>
            <w:noWrap/>
            <w:vAlign w:val="center"/>
          </w:tcPr>
          <w:p>
            <w:pPr>
              <w:spacing w:line="360" w:lineRule="exact"/>
              <w:jc w:val="center"/>
              <w:rPr>
                <w:rFonts w:ascii="宋体" w:hAnsi="宋体" w:cs="宋体"/>
                <w:color w:val="auto"/>
                <w:szCs w:val="21"/>
              </w:rPr>
            </w:pPr>
            <w:r>
              <w:rPr>
                <w:rFonts w:hint="eastAsia" w:ascii="宋体" w:hAnsi="宋体" w:cs="宋体"/>
                <w:b/>
                <w:color w:val="auto"/>
                <w:szCs w:val="21"/>
              </w:rPr>
              <w:t>服务要求</w:t>
            </w:r>
          </w:p>
        </w:tc>
        <w:tc>
          <w:tcPr>
            <w:tcW w:w="610" w:type="dxa"/>
            <w:tcBorders>
              <w:top w:val="single" w:color="auto" w:sz="4" w:space="0"/>
              <w:left w:val="single" w:color="auto" w:sz="4" w:space="0"/>
              <w:bottom w:val="single" w:color="auto" w:sz="4" w:space="0"/>
              <w:right w:val="single" w:color="auto" w:sz="4" w:space="0"/>
            </w:tcBorders>
            <w:noWrap/>
            <w:tcMar>
              <w:top w:w="0" w:type="dxa"/>
              <w:left w:w="0" w:type="dxa"/>
              <w:bottom w:w="0" w:type="dxa"/>
              <w:right w:w="0" w:type="dxa"/>
            </w:tcMar>
            <w:vAlign w:val="center"/>
          </w:tcPr>
          <w:p>
            <w:pPr>
              <w:spacing w:line="360" w:lineRule="exact"/>
              <w:jc w:val="center"/>
              <w:rPr>
                <w:rFonts w:ascii="宋体" w:hAnsi="宋体" w:cs="宋体"/>
                <w:color w:val="auto"/>
                <w:szCs w:val="21"/>
              </w:rPr>
            </w:pPr>
            <w:r>
              <w:rPr>
                <w:rFonts w:hint="eastAsia" w:ascii="宋体" w:hAnsi="宋体" w:cs="宋体"/>
                <w:color w:val="auto"/>
                <w:szCs w:val="21"/>
              </w:rPr>
              <w:t>序号</w:t>
            </w:r>
          </w:p>
        </w:tc>
        <w:tc>
          <w:tcPr>
            <w:tcW w:w="1166"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cs="宋体"/>
                <w:color w:val="auto"/>
                <w:szCs w:val="21"/>
              </w:rPr>
            </w:pPr>
            <w:r>
              <w:rPr>
                <w:rFonts w:hint="eastAsia" w:ascii="宋体" w:hAnsi="宋体" w:cs="宋体"/>
                <w:color w:val="auto"/>
                <w:szCs w:val="21"/>
              </w:rPr>
              <w:t>标的名称</w:t>
            </w:r>
          </w:p>
        </w:tc>
        <w:tc>
          <w:tcPr>
            <w:tcW w:w="912"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cs="宋体"/>
                <w:color w:val="auto"/>
                <w:szCs w:val="21"/>
              </w:rPr>
            </w:pPr>
          </w:p>
          <w:p>
            <w:pPr>
              <w:spacing w:line="360" w:lineRule="exact"/>
              <w:jc w:val="center"/>
              <w:rPr>
                <w:rFonts w:ascii="宋体" w:hAnsi="宋体" w:cs="宋体"/>
                <w:color w:val="auto"/>
                <w:szCs w:val="21"/>
              </w:rPr>
            </w:pPr>
            <w:r>
              <w:rPr>
                <w:rFonts w:hint="eastAsia" w:ascii="宋体" w:hAnsi="宋体" w:cs="宋体"/>
                <w:color w:val="auto"/>
                <w:szCs w:val="21"/>
              </w:rPr>
              <w:t>数量及单位</w:t>
            </w:r>
          </w:p>
          <w:p>
            <w:pPr>
              <w:spacing w:line="360" w:lineRule="exact"/>
              <w:jc w:val="center"/>
              <w:rPr>
                <w:rFonts w:ascii="宋体" w:hAnsi="宋体" w:cs="宋体"/>
                <w:color w:val="auto"/>
                <w:szCs w:val="21"/>
              </w:rPr>
            </w:pPr>
          </w:p>
        </w:tc>
        <w:tc>
          <w:tcPr>
            <w:tcW w:w="5432"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cs="宋体"/>
                <w:color w:val="auto"/>
                <w:szCs w:val="21"/>
              </w:rPr>
            </w:pPr>
            <w:r>
              <w:rPr>
                <w:rFonts w:hint="eastAsia" w:ascii="宋体" w:hAnsi="宋体" w:cs="宋体"/>
                <w:color w:val="auto"/>
                <w:szCs w:val="21"/>
              </w:rPr>
              <w:t>服务内容</w:t>
            </w:r>
          </w:p>
        </w:tc>
        <w:tc>
          <w:tcPr>
            <w:tcW w:w="1663"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cs="宋体"/>
                <w:color w:val="auto"/>
                <w:szCs w:val="21"/>
              </w:rPr>
            </w:pPr>
            <w:r>
              <w:rPr>
                <w:rFonts w:hint="eastAsia" w:ascii="宋体" w:hAnsi="宋体" w:cs="宋体"/>
                <w:color w:val="auto"/>
                <w:szCs w:val="21"/>
              </w:rPr>
              <w:t>中小企业划分标准所属行业名称（行业名称及划分见本章附件2）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545" w:type="dxa"/>
            <w:vMerge w:val="continue"/>
            <w:tcBorders>
              <w:left w:val="single" w:color="auto" w:sz="4" w:space="0"/>
              <w:right w:val="single" w:color="auto" w:sz="4" w:space="0"/>
            </w:tcBorders>
            <w:noWrap/>
          </w:tcPr>
          <w:p>
            <w:pPr>
              <w:spacing w:line="360" w:lineRule="exact"/>
              <w:jc w:val="center"/>
              <w:rPr>
                <w:rFonts w:ascii="宋体" w:hAnsi="宋体" w:cs="宋体"/>
                <w:b/>
                <w:bCs/>
                <w:color w:val="auto"/>
                <w:szCs w:val="21"/>
              </w:rPr>
            </w:pPr>
          </w:p>
        </w:tc>
        <w:tc>
          <w:tcPr>
            <w:tcW w:w="610"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cs="宋体"/>
                <w:color w:val="auto"/>
                <w:szCs w:val="21"/>
              </w:rPr>
            </w:pPr>
            <w:r>
              <w:rPr>
                <w:rFonts w:hint="eastAsia" w:ascii="宋体" w:hAnsi="宋体" w:cs="宋体"/>
                <w:color w:val="auto"/>
                <w:szCs w:val="21"/>
              </w:rPr>
              <w:t>1</w:t>
            </w:r>
          </w:p>
        </w:tc>
        <w:tc>
          <w:tcPr>
            <w:tcW w:w="1166"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hint="eastAsia" w:ascii="宋体" w:hAnsi="宋体" w:eastAsia="宋体" w:cs="宋体"/>
                <w:bCs/>
                <w:color w:val="auto"/>
                <w:szCs w:val="21"/>
                <w:lang w:eastAsia="zh-CN"/>
              </w:rPr>
            </w:pPr>
            <w:r>
              <w:rPr>
                <w:rFonts w:hint="eastAsia" w:ascii="宋体" w:hAnsi="宋体" w:cs="宋体"/>
                <w:bCs/>
                <w:color w:val="auto"/>
                <w:szCs w:val="21"/>
                <w:lang w:eastAsia="zh-CN"/>
              </w:rPr>
              <w:t>空调设备及部分医疗辅助设施维保服务</w:t>
            </w:r>
          </w:p>
        </w:tc>
        <w:tc>
          <w:tcPr>
            <w:tcW w:w="912"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cs="宋体"/>
                <w:color w:val="auto"/>
                <w:szCs w:val="21"/>
              </w:rPr>
            </w:pPr>
            <w:r>
              <w:rPr>
                <w:rFonts w:hint="eastAsia" w:ascii="宋体" w:hAnsi="宋体" w:cs="宋体"/>
                <w:color w:val="auto"/>
                <w:szCs w:val="21"/>
              </w:rPr>
              <w:t>1项</w:t>
            </w:r>
          </w:p>
        </w:tc>
        <w:tc>
          <w:tcPr>
            <w:tcW w:w="5432"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left"/>
              <w:rPr>
                <w:color w:val="auto"/>
              </w:rPr>
            </w:pPr>
            <w:r>
              <w:rPr>
                <w:rFonts w:hint="eastAsia"/>
                <w:color w:val="auto"/>
              </w:rPr>
              <w:t>一、服务范围</w:t>
            </w:r>
          </w:p>
          <w:p>
            <w:pPr>
              <w:spacing w:line="360" w:lineRule="exact"/>
              <w:ind w:firstLine="420" w:firstLineChars="200"/>
              <w:jc w:val="left"/>
              <w:rPr>
                <w:rFonts w:hint="eastAsia"/>
                <w:color w:val="auto"/>
                <w:lang w:eastAsia="zh-CN"/>
              </w:rPr>
            </w:pPr>
            <w:r>
              <w:rPr>
                <w:rFonts w:hint="eastAsia"/>
                <w:color w:val="auto"/>
              </w:rPr>
              <w:t>广西医科大学第二附属医院医疗配套附属设备及空调设施相关设备、设施、管道及配件等全系统的运行维护服务。(含高新工业园社区卫生服务中心及临床医学研究中心实验室、病房医技综合楼，其中病房医技综合楼项目占地面积1.26万㎡，总建筑面积12.8万㎡，地上21层，地上面积9万㎡</w:t>
            </w:r>
            <w:r>
              <w:rPr>
                <w:rFonts w:hint="eastAsia"/>
                <w:color w:val="auto"/>
                <w:lang w:eastAsia="zh-CN"/>
              </w:rPr>
              <w:t>；</w:t>
            </w:r>
            <w:r>
              <w:rPr>
                <w:rFonts w:hint="eastAsia"/>
                <w:color w:val="auto"/>
                <w:lang w:val="en-US" w:eastAsia="zh-CN"/>
              </w:rPr>
              <w:t>医院其他区域</w:t>
            </w:r>
            <w:r>
              <w:rPr>
                <w:rFonts w:hint="eastAsia"/>
                <w:color w:val="auto"/>
              </w:rPr>
              <w:t>总建筑面积5.8万㎡。)。合计：18.6万㎡</w:t>
            </w:r>
            <w:r>
              <w:rPr>
                <w:rFonts w:hint="eastAsia"/>
                <w:color w:val="auto"/>
                <w:lang w:eastAsia="zh-CN"/>
              </w:rPr>
              <w:t>。</w:t>
            </w:r>
          </w:p>
          <w:p>
            <w:pPr>
              <w:spacing w:line="360" w:lineRule="exact"/>
              <w:jc w:val="left"/>
              <w:rPr>
                <w:color w:val="auto"/>
              </w:rPr>
            </w:pPr>
            <w:r>
              <w:rPr>
                <w:rFonts w:hint="eastAsia"/>
                <w:color w:val="auto"/>
              </w:rPr>
              <w:t>二、服务内容及服务技术标准要求</w:t>
            </w:r>
          </w:p>
          <w:p>
            <w:pPr>
              <w:spacing w:line="360" w:lineRule="exact"/>
              <w:ind w:firstLine="420" w:firstLineChars="200"/>
              <w:jc w:val="left"/>
              <w:rPr>
                <w:rFonts w:hint="eastAsia"/>
                <w:color w:val="auto"/>
              </w:rPr>
            </w:pPr>
            <w:r>
              <w:rPr>
                <w:rFonts w:hint="eastAsia"/>
                <w:color w:val="auto"/>
              </w:rPr>
              <w:t>（一</w:t>
            </w:r>
            <w:r>
              <w:rPr>
                <w:rFonts w:hint="eastAsia"/>
                <w:color w:val="auto"/>
                <w:lang w:eastAsia="zh-CN"/>
              </w:rPr>
              <w:t>）</w:t>
            </w:r>
            <w:r>
              <w:rPr>
                <w:rFonts w:hint="eastAsia"/>
                <w:color w:val="auto"/>
              </w:rPr>
              <w:t>洁净室（净化系统）部分：</w:t>
            </w:r>
          </w:p>
          <w:p>
            <w:pPr>
              <w:spacing w:line="360" w:lineRule="exact"/>
              <w:ind w:firstLine="420" w:firstLineChars="200"/>
              <w:jc w:val="left"/>
              <w:rPr>
                <w:rFonts w:hint="eastAsia"/>
                <w:color w:val="auto"/>
              </w:rPr>
            </w:pPr>
            <w:r>
              <w:rPr>
                <w:rFonts w:hint="eastAsia"/>
                <w:color w:val="auto"/>
              </w:rPr>
              <w:t>①每日巡检净化机房及冷源系统设备运行工况。包括：风压、出风温度、回风温度检查并记录。</w:t>
            </w:r>
          </w:p>
          <w:p>
            <w:pPr>
              <w:spacing w:line="360" w:lineRule="exact"/>
              <w:ind w:firstLine="420" w:firstLineChars="200"/>
              <w:jc w:val="left"/>
              <w:rPr>
                <w:rFonts w:hint="eastAsia"/>
                <w:color w:val="auto"/>
              </w:rPr>
            </w:pPr>
            <w:r>
              <w:rPr>
                <w:rFonts w:hint="eastAsia"/>
                <w:color w:val="auto"/>
              </w:rPr>
              <w:t>②每周清洗净化区域的出风装置、回风口、排风口、滤网及新风机初效过滤器。</w:t>
            </w:r>
          </w:p>
          <w:p>
            <w:pPr>
              <w:spacing w:line="360" w:lineRule="exact"/>
              <w:ind w:firstLine="420" w:firstLineChars="200"/>
              <w:jc w:val="left"/>
              <w:rPr>
                <w:rFonts w:hint="eastAsia"/>
                <w:color w:val="auto"/>
              </w:rPr>
            </w:pPr>
            <w:r>
              <w:rPr>
                <w:rFonts w:hint="eastAsia"/>
                <w:color w:val="auto"/>
              </w:rPr>
              <w:t>每月测定维护净化房间压差，调整合理的梯度压差。</w:t>
            </w:r>
          </w:p>
          <w:p>
            <w:pPr>
              <w:spacing w:line="360" w:lineRule="exact"/>
              <w:ind w:firstLine="420" w:firstLineChars="200"/>
              <w:jc w:val="left"/>
              <w:rPr>
                <w:rFonts w:hint="eastAsia"/>
                <w:color w:val="auto"/>
              </w:rPr>
            </w:pPr>
            <w:r>
              <w:rPr>
                <w:rFonts w:hint="eastAsia"/>
                <w:color w:val="auto"/>
              </w:rPr>
              <w:t>每季度检查维护净化空气处理机组、净化自控系统、净化间配电系统、空调通风管道、风阀、洁净室冷源系统设备、净化空调水系统管网、照明开关及净化间电动门。</w:t>
            </w:r>
          </w:p>
          <w:p>
            <w:pPr>
              <w:spacing w:line="360" w:lineRule="exact"/>
              <w:ind w:firstLine="420" w:firstLineChars="200"/>
              <w:jc w:val="left"/>
              <w:rPr>
                <w:rFonts w:hint="eastAsia"/>
                <w:color w:val="auto"/>
              </w:rPr>
            </w:pPr>
            <w:r>
              <w:rPr>
                <w:rFonts w:hint="eastAsia"/>
                <w:color w:val="auto"/>
              </w:rPr>
              <w:t>每季度空气处理机组检查维护包括：输入电压检查、运行电流检查、运行声音检查、叶轮转向检查、皮带张松紧度检查、设备电源箱、设备密闭性、承水盘杀菌、承水盘保养。</w:t>
            </w:r>
          </w:p>
          <w:p>
            <w:pPr>
              <w:spacing w:line="360" w:lineRule="exact"/>
              <w:ind w:firstLine="420" w:firstLineChars="200"/>
              <w:jc w:val="left"/>
              <w:rPr>
                <w:rFonts w:hint="eastAsia"/>
                <w:color w:val="auto"/>
              </w:rPr>
            </w:pPr>
            <w:r>
              <w:rPr>
                <w:rFonts w:hint="eastAsia"/>
                <w:color w:val="auto"/>
              </w:rPr>
              <w:t>每季度净化自控系统检查维护包括：自控系统电动阀、阀门执行器、温湿度传感器、加湿器、加热器等进行维护、检测。</w:t>
            </w:r>
          </w:p>
          <w:p>
            <w:pPr>
              <w:spacing w:line="360" w:lineRule="exact"/>
              <w:ind w:firstLine="420" w:firstLineChars="200"/>
              <w:jc w:val="left"/>
              <w:rPr>
                <w:rFonts w:hint="eastAsia"/>
                <w:color w:val="auto"/>
              </w:rPr>
            </w:pPr>
            <w:r>
              <w:rPr>
                <w:rFonts w:hint="eastAsia"/>
                <w:color w:val="auto"/>
              </w:rPr>
              <w:t>每季度净化间配电系统检查维护包括：区域强电线路、照明开关、插座箱、控制箱、隔离变压器等强电设施。</w:t>
            </w:r>
          </w:p>
          <w:p>
            <w:pPr>
              <w:spacing w:line="360" w:lineRule="exact"/>
              <w:ind w:firstLine="420" w:firstLineChars="200"/>
              <w:jc w:val="left"/>
              <w:rPr>
                <w:rFonts w:hint="eastAsia"/>
                <w:color w:val="auto"/>
              </w:rPr>
            </w:pPr>
            <w:r>
              <w:rPr>
                <w:rFonts w:hint="eastAsia"/>
                <w:color w:val="auto"/>
              </w:rPr>
              <w:t>每季度空调通风管道检查维护包括：支吊架检查保温层表面温度测量保温层表面检查风管共振防火阀检查调节阀检查管道及阀门密闭性。</w:t>
            </w:r>
          </w:p>
          <w:p>
            <w:pPr>
              <w:spacing w:line="360" w:lineRule="exact"/>
              <w:ind w:firstLine="420" w:firstLineChars="200"/>
              <w:jc w:val="left"/>
              <w:rPr>
                <w:rFonts w:hint="eastAsia"/>
                <w:color w:val="auto"/>
              </w:rPr>
            </w:pPr>
            <w:r>
              <w:rPr>
                <w:rFonts w:hint="eastAsia"/>
                <w:color w:val="auto"/>
              </w:rPr>
              <w:t>每季度净化空调水系统管网检查维护包括：水管支吊架检查、保温层表面温度测量、保温层表面检查、水管存气量检查、水管共振检查、阀门检查、管道及阀门密闭性检查、冷冻水水垢处理、冷冻水杀菌青苔处理、冷冻水系统排气。每年机房Y型水过滤器清洗。</w:t>
            </w:r>
          </w:p>
          <w:p>
            <w:pPr>
              <w:spacing w:line="360" w:lineRule="exact"/>
              <w:ind w:firstLine="420" w:firstLineChars="200"/>
              <w:jc w:val="left"/>
              <w:rPr>
                <w:rFonts w:hint="eastAsia"/>
                <w:color w:val="auto"/>
              </w:rPr>
            </w:pPr>
            <w:r>
              <w:rPr>
                <w:rFonts w:hint="eastAsia"/>
                <w:color w:val="auto"/>
                <w:lang w:eastAsia="zh-CN"/>
              </w:rPr>
              <w:t>③</w:t>
            </w:r>
            <w:r>
              <w:rPr>
                <w:rFonts w:hint="eastAsia"/>
                <w:color w:val="auto"/>
              </w:rPr>
              <w:t>每季度净化数据检测与调整</w:t>
            </w:r>
            <w:r>
              <w:rPr>
                <w:rFonts w:hint="eastAsia"/>
                <w:color w:val="auto"/>
                <w:lang w:eastAsia="zh-CN"/>
              </w:rPr>
              <w:t>，</w:t>
            </w:r>
            <w:r>
              <w:rPr>
                <w:rFonts w:hint="eastAsia"/>
                <w:color w:val="auto"/>
              </w:rPr>
              <w:t>测定维护洁净区域内各级用房洁净度及净化间气压，并出具书面检测报告。</w:t>
            </w:r>
          </w:p>
          <w:p>
            <w:pPr>
              <w:spacing w:line="360" w:lineRule="exact"/>
              <w:ind w:firstLine="420" w:firstLineChars="200"/>
              <w:jc w:val="left"/>
              <w:rPr>
                <w:rFonts w:hint="eastAsia"/>
                <w:color w:val="auto"/>
              </w:rPr>
            </w:pPr>
            <w:r>
              <w:rPr>
                <w:rFonts w:hint="eastAsia"/>
                <w:color w:val="auto"/>
                <w:lang w:eastAsia="zh-CN"/>
              </w:rPr>
              <w:t>④</w:t>
            </w:r>
            <w:r>
              <w:rPr>
                <w:rFonts w:hint="eastAsia"/>
                <w:color w:val="auto"/>
              </w:rPr>
              <w:t>每</w:t>
            </w:r>
            <w:r>
              <w:rPr>
                <w:rFonts w:hint="eastAsia"/>
                <w:color w:val="auto"/>
                <w:lang w:val="en-US" w:eastAsia="zh-CN"/>
              </w:rPr>
              <w:t>月清洗或</w:t>
            </w:r>
            <w:r>
              <w:rPr>
                <w:rFonts w:hint="eastAsia"/>
                <w:color w:val="auto"/>
              </w:rPr>
              <w:t>更换</w:t>
            </w:r>
            <w:r>
              <w:rPr>
                <w:rFonts w:hint="eastAsia"/>
                <w:color w:val="auto"/>
                <w:lang w:val="en-US" w:eastAsia="zh-CN"/>
              </w:rPr>
              <w:t>新风过滤网/新风过滤棉</w:t>
            </w:r>
            <w:r>
              <w:rPr>
                <w:rFonts w:hint="eastAsia"/>
                <w:color w:val="auto"/>
              </w:rPr>
              <w:t>。</w:t>
            </w:r>
            <w:r>
              <w:rPr>
                <w:rFonts w:hint="eastAsia"/>
                <w:color w:val="auto"/>
                <w:lang w:eastAsia="zh-CN"/>
              </w:rPr>
              <w:t>（</w:t>
            </w:r>
            <w:r>
              <w:rPr>
                <w:rFonts w:hint="eastAsia"/>
                <w:color w:val="auto"/>
                <w:lang w:val="en-US" w:eastAsia="zh-CN"/>
              </w:rPr>
              <w:t>含提供材料</w:t>
            </w:r>
            <w:r>
              <w:rPr>
                <w:rFonts w:hint="eastAsia"/>
                <w:color w:val="auto"/>
                <w:lang w:eastAsia="zh-CN"/>
              </w:rPr>
              <w:t>）</w:t>
            </w:r>
          </w:p>
          <w:p>
            <w:pPr>
              <w:spacing w:line="360" w:lineRule="exact"/>
              <w:ind w:firstLine="420" w:firstLineChars="200"/>
              <w:jc w:val="left"/>
              <w:rPr>
                <w:rFonts w:hint="eastAsia"/>
                <w:color w:val="auto"/>
              </w:rPr>
            </w:pPr>
            <w:r>
              <w:rPr>
                <w:rFonts w:hint="eastAsia"/>
                <w:color w:val="auto"/>
                <w:lang w:eastAsia="zh-CN"/>
              </w:rPr>
              <w:t>⑤</w:t>
            </w:r>
            <w:r>
              <w:rPr>
                <w:rFonts w:hint="eastAsia"/>
                <w:color w:val="auto"/>
              </w:rPr>
              <w:t>每季度更换循环净化设备的初效过滤器。</w:t>
            </w:r>
            <w:r>
              <w:rPr>
                <w:rFonts w:hint="eastAsia"/>
                <w:color w:val="auto"/>
                <w:lang w:eastAsia="zh-CN"/>
              </w:rPr>
              <w:t>（</w:t>
            </w:r>
            <w:r>
              <w:rPr>
                <w:rFonts w:hint="eastAsia"/>
                <w:color w:val="auto"/>
                <w:lang w:val="en-US" w:eastAsia="zh-CN"/>
              </w:rPr>
              <w:t>含提供材料</w:t>
            </w:r>
            <w:r>
              <w:rPr>
                <w:rFonts w:hint="eastAsia"/>
                <w:color w:val="auto"/>
                <w:lang w:eastAsia="zh-CN"/>
              </w:rPr>
              <w:t>）</w:t>
            </w:r>
          </w:p>
          <w:p>
            <w:pPr>
              <w:spacing w:line="360" w:lineRule="exact"/>
              <w:ind w:firstLine="420" w:firstLineChars="200"/>
              <w:jc w:val="left"/>
              <w:rPr>
                <w:rFonts w:hint="eastAsia"/>
                <w:color w:val="auto"/>
              </w:rPr>
            </w:pPr>
            <w:r>
              <w:rPr>
                <w:rFonts w:hint="eastAsia"/>
                <w:color w:val="auto"/>
                <w:lang w:eastAsia="zh-CN"/>
              </w:rPr>
              <w:t>⑥</w:t>
            </w:r>
            <w:r>
              <w:rPr>
                <w:rFonts w:hint="eastAsia"/>
                <w:color w:val="auto"/>
              </w:rPr>
              <w:t>每半年更换循环净化设备的中效过滤器。</w:t>
            </w:r>
            <w:r>
              <w:rPr>
                <w:rFonts w:hint="eastAsia"/>
                <w:color w:val="auto"/>
                <w:lang w:eastAsia="zh-CN"/>
              </w:rPr>
              <w:t>（</w:t>
            </w:r>
            <w:r>
              <w:rPr>
                <w:rFonts w:hint="eastAsia"/>
                <w:color w:val="auto"/>
                <w:lang w:val="en-US" w:eastAsia="zh-CN"/>
              </w:rPr>
              <w:t>含提供材料</w:t>
            </w:r>
            <w:r>
              <w:rPr>
                <w:rFonts w:hint="eastAsia"/>
                <w:color w:val="auto"/>
                <w:lang w:eastAsia="zh-CN"/>
              </w:rPr>
              <w:t>）</w:t>
            </w:r>
          </w:p>
          <w:p>
            <w:pPr>
              <w:spacing w:line="360" w:lineRule="exact"/>
              <w:ind w:firstLine="420" w:firstLineChars="200"/>
              <w:jc w:val="left"/>
              <w:rPr>
                <w:rFonts w:hint="eastAsia"/>
                <w:color w:val="auto"/>
              </w:rPr>
            </w:pPr>
            <w:r>
              <w:rPr>
                <w:rFonts w:hint="eastAsia"/>
                <w:color w:val="auto"/>
                <w:lang w:eastAsia="zh-CN"/>
              </w:rPr>
              <w:t>⑦</w:t>
            </w:r>
            <w:r>
              <w:rPr>
                <w:rFonts w:hint="eastAsia"/>
                <w:color w:val="auto"/>
              </w:rPr>
              <w:t>每季度检查一次医用气体终端。</w:t>
            </w:r>
          </w:p>
          <w:p>
            <w:pPr>
              <w:spacing w:line="360" w:lineRule="exact"/>
              <w:ind w:firstLine="420" w:firstLineChars="200"/>
              <w:jc w:val="left"/>
              <w:rPr>
                <w:rFonts w:hint="eastAsia"/>
                <w:color w:val="auto"/>
              </w:rPr>
            </w:pPr>
            <w:r>
              <w:rPr>
                <w:rFonts w:hint="eastAsia"/>
                <w:color w:val="auto"/>
                <w:lang w:eastAsia="zh-CN"/>
              </w:rPr>
              <w:t>⑧</w:t>
            </w:r>
            <w:r>
              <w:rPr>
                <w:rFonts w:hint="eastAsia"/>
                <w:color w:val="auto"/>
              </w:rPr>
              <w:t>按《医院洁净手术部建筑技术规范》GB50333-2013规范标准进行维护（确保净化系统清洁卫生）。</w:t>
            </w:r>
          </w:p>
          <w:p>
            <w:pPr>
              <w:spacing w:line="360" w:lineRule="exact"/>
              <w:ind w:firstLine="420" w:firstLineChars="200"/>
              <w:jc w:val="left"/>
              <w:rPr>
                <w:rFonts w:hint="eastAsia"/>
                <w:color w:val="auto"/>
              </w:rPr>
            </w:pPr>
            <w:r>
              <w:rPr>
                <w:rFonts w:hint="eastAsia"/>
                <w:color w:val="auto"/>
                <w:lang w:eastAsia="zh-CN"/>
              </w:rPr>
              <w:t>⑨</w:t>
            </w:r>
            <w:r>
              <w:rPr>
                <w:rFonts w:hint="eastAsia"/>
                <w:color w:val="auto"/>
              </w:rPr>
              <w:t>每年净化风柜机组表冷器及叶轮清洗保养。</w:t>
            </w:r>
          </w:p>
          <w:p>
            <w:pPr>
              <w:spacing w:line="360" w:lineRule="exact"/>
              <w:ind w:firstLine="420" w:firstLineChars="200"/>
              <w:jc w:val="left"/>
              <w:rPr>
                <w:rFonts w:hint="eastAsia"/>
                <w:color w:val="auto"/>
              </w:rPr>
            </w:pPr>
          </w:p>
          <w:p>
            <w:pPr>
              <w:spacing w:line="360" w:lineRule="exact"/>
              <w:ind w:firstLine="420" w:firstLineChars="200"/>
              <w:jc w:val="left"/>
              <w:rPr>
                <w:rFonts w:hint="eastAsia"/>
                <w:color w:val="auto"/>
              </w:rPr>
            </w:pPr>
            <w:r>
              <w:rPr>
                <w:rFonts w:hint="eastAsia"/>
                <w:color w:val="auto"/>
              </w:rPr>
              <w:t>（二</w:t>
            </w:r>
            <w:r>
              <w:rPr>
                <w:rFonts w:hint="eastAsia"/>
                <w:color w:val="auto"/>
                <w:lang w:eastAsia="zh-CN"/>
              </w:rPr>
              <w:t>）</w:t>
            </w:r>
            <w:r>
              <w:rPr>
                <w:rFonts w:hint="eastAsia"/>
                <w:color w:val="auto"/>
              </w:rPr>
              <w:t>中央空调部分：</w:t>
            </w:r>
          </w:p>
          <w:p>
            <w:pPr>
              <w:spacing w:line="360" w:lineRule="exact"/>
              <w:ind w:firstLine="420" w:firstLineChars="200"/>
              <w:jc w:val="left"/>
              <w:rPr>
                <w:rFonts w:hint="eastAsia"/>
                <w:color w:val="auto"/>
              </w:rPr>
            </w:pPr>
            <w:r>
              <w:rPr>
                <w:rFonts w:hint="eastAsia"/>
                <w:color w:val="auto"/>
              </w:rPr>
              <w:t>①每日巡检制冷机房设备、水泵、冷却塔及新风机运行工况。</w:t>
            </w:r>
          </w:p>
          <w:p>
            <w:pPr>
              <w:spacing w:line="360" w:lineRule="exact"/>
              <w:ind w:firstLine="420" w:firstLineChars="200"/>
              <w:jc w:val="left"/>
              <w:rPr>
                <w:rFonts w:hint="eastAsia"/>
                <w:color w:val="auto"/>
              </w:rPr>
            </w:pPr>
            <w:r>
              <w:rPr>
                <w:rFonts w:hint="eastAsia"/>
                <w:color w:val="auto"/>
              </w:rPr>
              <w:t>②每周对冷却水系统进行水质</w:t>
            </w:r>
            <w:r>
              <w:rPr>
                <w:rFonts w:hint="eastAsia"/>
                <w:color w:val="auto"/>
                <w:lang w:val="en-US" w:eastAsia="zh-CN"/>
              </w:rPr>
              <w:t>检测处理</w:t>
            </w:r>
            <w:r>
              <w:rPr>
                <w:rFonts w:hint="eastAsia"/>
                <w:color w:val="auto"/>
              </w:rPr>
              <w:t>，</w:t>
            </w:r>
            <w:r>
              <w:rPr>
                <w:rFonts w:hint="eastAsia"/>
                <w:color w:val="auto"/>
                <w:lang w:val="en-US" w:eastAsia="zh-CN"/>
              </w:rPr>
              <w:t>按需</w:t>
            </w:r>
            <w:r>
              <w:rPr>
                <w:rFonts w:hint="eastAsia"/>
                <w:color w:val="auto"/>
              </w:rPr>
              <w:t>投放杀菌除藻剂及阻垢剂。</w:t>
            </w:r>
          </w:p>
          <w:p>
            <w:pPr>
              <w:spacing w:line="360" w:lineRule="exact"/>
              <w:ind w:firstLine="420" w:firstLineChars="200"/>
              <w:jc w:val="left"/>
              <w:rPr>
                <w:rFonts w:hint="eastAsia"/>
                <w:color w:val="auto"/>
              </w:rPr>
            </w:pPr>
            <w:r>
              <w:rPr>
                <w:rFonts w:hint="eastAsia"/>
                <w:color w:val="auto"/>
              </w:rPr>
              <w:t>③每</w:t>
            </w:r>
            <w:r>
              <w:rPr>
                <w:rFonts w:hint="eastAsia"/>
                <w:color w:val="auto"/>
                <w:lang w:val="en-US" w:eastAsia="zh-CN"/>
              </w:rPr>
              <w:t>月</w:t>
            </w:r>
            <w:r>
              <w:rPr>
                <w:rFonts w:hint="eastAsia"/>
                <w:color w:val="auto"/>
              </w:rPr>
              <w:t>清洗公共区域的中央空调的出风口、回风口、排风口、滤网及新风机初效过滤器。</w:t>
            </w:r>
          </w:p>
          <w:p>
            <w:pPr>
              <w:spacing w:line="360" w:lineRule="exact"/>
              <w:ind w:firstLine="420" w:firstLineChars="200"/>
              <w:jc w:val="left"/>
              <w:rPr>
                <w:rFonts w:hint="eastAsia"/>
                <w:color w:val="auto"/>
              </w:rPr>
            </w:pPr>
            <w:r>
              <w:rPr>
                <w:rFonts w:hint="eastAsia"/>
                <w:color w:val="auto"/>
              </w:rPr>
              <w:t>④每季度清洗其他区域中央空调的出风口、回风口、排风口、滤网及新风机初效过滤器、风冷主机、多联外机清洗保养。</w:t>
            </w:r>
          </w:p>
          <w:p>
            <w:pPr>
              <w:spacing w:line="360" w:lineRule="exact"/>
              <w:ind w:firstLine="420" w:firstLineChars="200"/>
              <w:jc w:val="left"/>
              <w:rPr>
                <w:rFonts w:hint="eastAsia"/>
                <w:color w:val="auto"/>
              </w:rPr>
            </w:pPr>
            <w:r>
              <w:rPr>
                <w:rFonts w:hint="eastAsia"/>
                <w:color w:val="auto"/>
              </w:rPr>
              <w:t>⑤每季度检查维护风机盘管机组、空气处理机组、空调通风管道、风阀、制冷机房设备、水泵、冷却塔、空调水系统管网、排风机及供热系统。</w:t>
            </w:r>
          </w:p>
          <w:p>
            <w:pPr>
              <w:spacing w:line="360" w:lineRule="exact"/>
              <w:ind w:firstLine="420" w:firstLineChars="200"/>
              <w:jc w:val="left"/>
              <w:rPr>
                <w:rFonts w:hint="eastAsia"/>
                <w:color w:val="auto"/>
              </w:rPr>
            </w:pPr>
            <w:r>
              <w:rPr>
                <w:rFonts w:hint="eastAsia"/>
                <w:color w:val="auto"/>
              </w:rPr>
              <w:t>每季度制冷主机检查维护包括：压缩机排气压力检查、压缩机排气温度检查、压缩机的油温检查、压缩机的油压检查、压缩机的油位检查、压缩机的冷凝温度检查、设备电源箱检查、设备密闭性检查、设备输入电压检查、压缩机的运行电流检查、压缩机运行声音检查、冷却水进水温度检查、冷却水出水温度检查、冷冻水进水温度检查、冷冻水出水温度检查。</w:t>
            </w:r>
          </w:p>
          <w:p>
            <w:pPr>
              <w:spacing w:line="360" w:lineRule="exact"/>
              <w:ind w:firstLine="420" w:firstLineChars="200"/>
              <w:jc w:val="left"/>
              <w:rPr>
                <w:rFonts w:hint="eastAsia"/>
                <w:color w:val="auto"/>
              </w:rPr>
            </w:pPr>
            <w:r>
              <w:rPr>
                <w:rFonts w:hint="eastAsia"/>
                <w:color w:val="auto"/>
              </w:rPr>
              <w:t>每季度水泵检查维护包括：水泵输入电压检查、水泵的运行电流检查、水泵运行声音检查、叶轮转向检查、设备电源箱检查、设备密闭性检查、进水压力检查、出水压力检查。</w:t>
            </w:r>
          </w:p>
          <w:p>
            <w:pPr>
              <w:spacing w:line="360" w:lineRule="exact"/>
              <w:ind w:firstLine="420" w:firstLineChars="200"/>
              <w:jc w:val="left"/>
              <w:rPr>
                <w:rFonts w:hint="eastAsia"/>
                <w:color w:val="auto"/>
              </w:rPr>
            </w:pPr>
            <w:r>
              <w:rPr>
                <w:rFonts w:hint="eastAsia"/>
                <w:color w:val="auto"/>
              </w:rPr>
              <w:t>每季度冷却塔检查维护包括：冷却塔风机输入电压检查、冷却塔风机的运行电流检查、冷却塔风机运行声音检查、冷却塔风机转向检查、冷却塔风机叶片检查、设备电源箱检查、设备密闭性检查、冷却塔传动装置安全罩检查、冷却塔攀爬梯检查、冷却塔风机皮带松紧度检查、冷却塔填料破损率检查、冷却塔布水检查、冷却塔飘水检查、冷却塔水垢投药处理、冷却塔青苔投药处理。每年冷却水系统换水。</w:t>
            </w:r>
          </w:p>
          <w:p>
            <w:pPr>
              <w:spacing w:line="360" w:lineRule="exact"/>
              <w:ind w:firstLine="420" w:firstLineChars="200"/>
              <w:jc w:val="left"/>
              <w:rPr>
                <w:rFonts w:hint="eastAsia"/>
                <w:color w:val="auto"/>
              </w:rPr>
            </w:pPr>
            <w:r>
              <w:rPr>
                <w:rFonts w:hint="eastAsia"/>
                <w:color w:val="auto"/>
              </w:rPr>
              <w:t>每季度空调水系统管网检查维护包括：水管支吊架检查、保温层表面温度测量、保温层表面检查、水管存气量检查、水管共振检查、阀门检查、管道及阀门密闭性检查、冷冻水水垢处理、冷冻水杀菌青苔处理、冷冻水系统排气。每年机房Y型水过滤器清洗。</w:t>
            </w:r>
          </w:p>
          <w:p>
            <w:pPr>
              <w:spacing w:line="360" w:lineRule="exact"/>
              <w:ind w:firstLine="420" w:firstLineChars="200"/>
              <w:jc w:val="left"/>
              <w:rPr>
                <w:rFonts w:hint="eastAsia"/>
                <w:color w:val="auto"/>
              </w:rPr>
            </w:pPr>
            <w:r>
              <w:rPr>
                <w:rFonts w:hint="eastAsia"/>
                <w:color w:val="auto"/>
              </w:rPr>
              <w:t>每季度空调通风管道检查维护包括：支吊架检查保温层表面温度测量保温层表面检查风管共振防火阀检查调节阀检查管道及阀门密闭性。</w:t>
            </w:r>
          </w:p>
          <w:p>
            <w:pPr>
              <w:spacing w:line="360" w:lineRule="exact"/>
              <w:ind w:firstLine="420" w:firstLineChars="200"/>
              <w:jc w:val="left"/>
              <w:rPr>
                <w:rFonts w:hint="eastAsia"/>
                <w:color w:val="auto"/>
              </w:rPr>
            </w:pPr>
            <w:r>
              <w:rPr>
                <w:rFonts w:hint="eastAsia"/>
                <w:color w:val="auto"/>
              </w:rPr>
              <w:t>每季度风机盘管机组检查维护包括：温控器外观检查、控制动作试验、出风风速检查、出风温度检查、运行声音检查、承水盘杀菌、承水盘保养。</w:t>
            </w:r>
          </w:p>
          <w:p>
            <w:pPr>
              <w:spacing w:line="360" w:lineRule="exact"/>
              <w:ind w:firstLine="420" w:firstLineChars="200"/>
              <w:jc w:val="left"/>
              <w:rPr>
                <w:rFonts w:hint="eastAsia"/>
                <w:color w:val="auto"/>
              </w:rPr>
            </w:pPr>
            <w:r>
              <w:rPr>
                <w:rFonts w:hint="eastAsia"/>
                <w:color w:val="auto"/>
              </w:rPr>
              <w:t>每季度空气处理机组检查维护包括：输入电压检查、运行电流检查、运行声音检查、叶轮转向检查、皮带张松紧度检查、设备电源箱、设备密闭性、承水盘杀菌、承水盘保养。</w:t>
            </w:r>
          </w:p>
          <w:p>
            <w:pPr>
              <w:spacing w:line="360" w:lineRule="exact"/>
              <w:ind w:firstLine="420" w:firstLineChars="200"/>
              <w:jc w:val="left"/>
              <w:rPr>
                <w:rFonts w:hint="eastAsia"/>
                <w:color w:val="auto"/>
              </w:rPr>
            </w:pPr>
            <w:r>
              <w:rPr>
                <w:rFonts w:hint="eastAsia"/>
                <w:color w:val="auto"/>
              </w:rPr>
              <w:t>⑥每季度测定冷却水水质及卫生情况，委托第三方检测机构分别出具水质检测报告和卫生检测报告。</w:t>
            </w:r>
          </w:p>
          <w:p>
            <w:pPr>
              <w:spacing w:line="360" w:lineRule="exact"/>
              <w:ind w:firstLine="420" w:firstLineChars="200"/>
              <w:jc w:val="left"/>
              <w:rPr>
                <w:rFonts w:hint="eastAsia"/>
                <w:color w:val="auto"/>
              </w:rPr>
            </w:pPr>
            <w:r>
              <w:rPr>
                <w:rFonts w:hint="eastAsia"/>
                <w:color w:val="auto"/>
              </w:rPr>
              <w:t>⑦每年通炮清洗制冷主机冷凝器。</w:t>
            </w:r>
          </w:p>
          <w:p>
            <w:pPr>
              <w:spacing w:line="360" w:lineRule="exact"/>
              <w:ind w:firstLine="420" w:firstLineChars="200"/>
              <w:jc w:val="left"/>
              <w:rPr>
                <w:rFonts w:hint="eastAsia"/>
                <w:color w:val="auto"/>
              </w:rPr>
            </w:pPr>
            <w:r>
              <w:rPr>
                <w:rFonts w:hint="eastAsia"/>
                <w:color w:val="auto"/>
              </w:rPr>
              <w:t>⑧每年</w:t>
            </w:r>
            <w:r>
              <w:rPr>
                <w:rFonts w:hint="eastAsia"/>
                <w:color w:val="auto"/>
                <w:lang w:val="en-US" w:eastAsia="zh-CN"/>
              </w:rPr>
              <w:t>深度</w:t>
            </w:r>
            <w:r>
              <w:rPr>
                <w:rFonts w:hint="eastAsia"/>
                <w:color w:val="auto"/>
              </w:rPr>
              <w:t>清洗中央空调末端表冷器、叶轮及电机。</w:t>
            </w:r>
          </w:p>
          <w:p>
            <w:pPr>
              <w:spacing w:line="360" w:lineRule="exact"/>
              <w:ind w:firstLine="420" w:firstLineChars="200"/>
              <w:jc w:val="left"/>
              <w:rPr>
                <w:rFonts w:hint="eastAsia"/>
                <w:color w:val="auto"/>
              </w:rPr>
            </w:pPr>
          </w:p>
          <w:p>
            <w:pPr>
              <w:spacing w:line="360" w:lineRule="exact"/>
              <w:ind w:firstLine="420" w:firstLineChars="200"/>
              <w:jc w:val="left"/>
              <w:rPr>
                <w:rFonts w:hint="eastAsia"/>
                <w:color w:val="auto"/>
              </w:rPr>
            </w:pPr>
            <w:r>
              <w:rPr>
                <w:rFonts w:hint="eastAsia"/>
                <w:color w:val="auto"/>
              </w:rPr>
              <w:t>（三</w:t>
            </w:r>
            <w:r>
              <w:rPr>
                <w:rFonts w:hint="eastAsia"/>
                <w:color w:val="auto"/>
                <w:lang w:eastAsia="zh-CN"/>
              </w:rPr>
              <w:t>）</w:t>
            </w:r>
            <w:r>
              <w:rPr>
                <w:rFonts w:hint="eastAsia"/>
                <w:color w:val="auto"/>
              </w:rPr>
              <w:t>分体空调部分：</w:t>
            </w:r>
          </w:p>
          <w:p>
            <w:pPr>
              <w:spacing w:line="360" w:lineRule="exact"/>
              <w:ind w:firstLine="420" w:firstLineChars="200"/>
              <w:jc w:val="left"/>
              <w:rPr>
                <w:rFonts w:hint="eastAsia"/>
                <w:color w:val="auto"/>
              </w:rPr>
            </w:pPr>
            <w:r>
              <w:rPr>
                <w:rFonts w:hint="eastAsia"/>
                <w:color w:val="auto"/>
              </w:rPr>
              <w:t>①每季度检查维护分体空调。检查内外机接线装置检查，查看接线是否牢固，包括检查电机电路安全、电流测试，制冷系统压力检查制冷剂是否泄漏，并补加氟利昂 (冷媒)等。内机蒸发器、承水盘、排水管和内外机外壳、内机过滤网和内机出风口一个季度清洗一次。包括：输入电压检查、运行电流检查、运行声音检查、控制器外观检查、控制动作试验、出风风速检查、出风温度检查。</w:t>
            </w:r>
          </w:p>
          <w:p>
            <w:pPr>
              <w:spacing w:line="360" w:lineRule="exact"/>
              <w:ind w:firstLine="420" w:firstLineChars="200"/>
              <w:jc w:val="left"/>
              <w:rPr>
                <w:rFonts w:hint="eastAsia"/>
                <w:color w:val="auto"/>
              </w:rPr>
            </w:pPr>
            <w:r>
              <w:rPr>
                <w:rFonts w:hint="eastAsia"/>
                <w:color w:val="auto"/>
              </w:rPr>
              <w:t>②每年深度清洗保养分体空调。分体空调设备内外机清洗清洁（含外机冷凝器，风扇叶轮）。</w:t>
            </w:r>
          </w:p>
          <w:p>
            <w:pPr>
              <w:spacing w:line="360" w:lineRule="exact"/>
              <w:ind w:firstLine="420" w:firstLineChars="200"/>
              <w:jc w:val="left"/>
              <w:rPr>
                <w:rFonts w:hint="eastAsia"/>
                <w:color w:val="auto"/>
              </w:rPr>
            </w:pPr>
            <w:r>
              <w:rPr>
                <w:rFonts w:hint="eastAsia"/>
                <w:color w:val="auto"/>
              </w:rPr>
              <w:t>③公共部分分体空调内机（门诊大厅、急诊大厅等）</w:t>
            </w:r>
            <w:r>
              <w:rPr>
                <w:rFonts w:hint="eastAsia"/>
                <w:color w:val="auto"/>
                <w:lang w:val="en-US" w:eastAsia="zh-CN"/>
              </w:rPr>
              <w:t>每月</w:t>
            </w:r>
            <w:r>
              <w:rPr>
                <w:rFonts w:hint="eastAsia"/>
                <w:color w:val="auto"/>
              </w:rPr>
              <w:t>清洗一次。</w:t>
            </w:r>
          </w:p>
          <w:p>
            <w:pPr>
              <w:spacing w:line="360" w:lineRule="exact"/>
              <w:ind w:firstLine="420" w:firstLineChars="200"/>
              <w:jc w:val="left"/>
              <w:rPr>
                <w:rFonts w:hint="eastAsia"/>
                <w:color w:val="auto"/>
              </w:rPr>
            </w:pPr>
          </w:p>
          <w:p>
            <w:pPr>
              <w:spacing w:line="360" w:lineRule="exact"/>
              <w:ind w:firstLine="420" w:firstLineChars="200"/>
              <w:jc w:val="left"/>
              <w:rPr>
                <w:rFonts w:hint="eastAsia"/>
                <w:color w:val="auto"/>
              </w:rPr>
            </w:pPr>
            <w:r>
              <w:rPr>
                <w:rFonts w:hint="eastAsia"/>
                <w:color w:val="auto"/>
              </w:rPr>
              <w:t>（四</w:t>
            </w:r>
            <w:r>
              <w:rPr>
                <w:rFonts w:hint="eastAsia"/>
                <w:color w:val="auto"/>
                <w:lang w:eastAsia="zh-CN"/>
              </w:rPr>
              <w:t>）</w:t>
            </w:r>
            <w:r>
              <w:rPr>
                <w:rFonts w:hint="eastAsia"/>
                <w:color w:val="auto"/>
              </w:rPr>
              <w:t>医用气体部分：</w:t>
            </w:r>
          </w:p>
          <w:p>
            <w:pPr>
              <w:spacing w:line="360" w:lineRule="exact"/>
              <w:ind w:firstLine="420" w:firstLineChars="200"/>
              <w:jc w:val="left"/>
              <w:rPr>
                <w:rFonts w:hint="eastAsia"/>
                <w:color w:val="auto"/>
              </w:rPr>
            </w:pPr>
            <w:r>
              <w:rPr>
                <w:rFonts w:hint="eastAsia"/>
                <w:color w:val="auto"/>
              </w:rPr>
              <w:t>①巡检：</w:t>
            </w:r>
          </w:p>
          <w:p>
            <w:pPr>
              <w:spacing w:line="360" w:lineRule="exact"/>
              <w:ind w:firstLine="420" w:firstLineChars="200"/>
              <w:jc w:val="left"/>
              <w:rPr>
                <w:rFonts w:hint="eastAsia"/>
                <w:color w:val="auto"/>
              </w:rPr>
            </w:pPr>
            <w:r>
              <w:rPr>
                <w:rFonts w:hint="eastAsia"/>
                <w:color w:val="auto"/>
              </w:rPr>
              <w:t>每6小时巡检中央供氧站</w:t>
            </w:r>
          </w:p>
          <w:p>
            <w:pPr>
              <w:spacing w:line="360" w:lineRule="exact"/>
              <w:ind w:firstLine="420" w:firstLineChars="200"/>
              <w:jc w:val="left"/>
              <w:rPr>
                <w:rFonts w:hint="eastAsia"/>
                <w:color w:val="auto"/>
              </w:rPr>
            </w:pPr>
            <w:r>
              <w:rPr>
                <w:rFonts w:hint="eastAsia"/>
                <w:color w:val="auto"/>
              </w:rPr>
              <w:t>每12小时巡检医疗气体机房、汇流排运行工况。</w:t>
            </w:r>
          </w:p>
          <w:p>
            <w:pPr>
              <w:spacing w:line="360" w:lineRule="exact"/>
              <w:ind w:firstLine="420" w:firstLineChars="200"/>
              <w:jc w:val="left"/>
              <w:rPr>
                <w:rFonts w:hint="eastAsia"/>
                <w:color w:val="auto"/>
              </w:rPr>
            </w:pPr>
            <w:r>
              <w:rPr>
                <w:rFonts w:hint="eastAsia"/>
                <w:color w:val="auto"/>
              </w:rPr>
              <w:t>②检查维护:</w:t>
            </w:r>
          </w:p>
          <w:p>
            <w:pPr>
              <w:spacing w:line="360" w:lineRule="exact"/>
              <w:ind w:firstLine="420" w:firstLineChars="200"/>
              <w:jc w:val="left"/>
              <w:rPr>
                <w:rFonts w:hint="eastAsia"/>
                <w:color w:val="auto"/>
              </w:rPr>
            </w:pPr>
            <w:r>
              <w:rPr>
                <w:rFonts w:hint="eastAsia"/>
                <w:color w:val="auto"/>
              </w:rPr>
              <w:t>每季度医疗设备带检查维护包括：氧气终端气密性检测、负压终端气密性检测、空气终端气密性检测、管道气密性检测、维修阀气密性检测、减压阀气密性检测、减压箱调试、床头灯检查维修、开关插座检查维修。</w:t>
            </w:r>
          </w:p>
          <w:p>
            <w:pPr>
              <w:spacing w:line="360" w:lineRule="exact"/>
              <w:ind w:firstLine="420" w:firstLineChars="200"/>
              <w:jc w:val="left"/>
              <w:rPr>
                <w:rFonts w:hint="eastAsia"/>
                <w:color w:val="auto"/>
              </w:rPr>
            </w:pPr>
            <w:r>
              <w:rPr>
                <w:rFonts w:hint="eastAsia"/>
                <w:color w:val="auto"/>
              </w:rPr>
              <w:t>每月液氧罐、汇流排机房检查维护包括：高压软管进行气密性测试、高压阀门进行气密性试验、一级减压装置进行压力检测、欠压报警装置进行试验、压力表检测灵敏性、机房内防爆开关、防爆风扇、防爆灯清洁卫生。</w:t>
            </w:r>
          </w:p>
          <w:p>
            <w:pPr>
              <w:spacing w:line="360" w:lineRule="exact"/>
              <w:ind w:firstLine="420" w:firstLineChars="200"/>
              <w:jc w:val="left"/>
              <w:rPr>
                <w:rFonts w:hint="eastAsia"/>
                <w:color w:val="auto"/>
              </w:rPr>
            </w:pPr>
            <w:r>
              <w:rPr>
                <w:rFonts w:hint="eastAsia"/>
                <w:color w:val="auto"/>
              </w:rPr>
              <w:t>每月负压设备房检查维护包括：水箱换水、检查自动加水装置、电磁阀试验吸合度、检测阀门打开度、水环泵的压力检测、水环泵的启动时间检测、水环泵的停机时间检测、水环泵的工作时间检测、压力表的灵敏性检测、设备电源箱检查、设备密闭性检查、设备输入电压检查、运行电流检查、运行声音检查。</w:t>
            </w:r>
          </w:p>
          <w:p>
            <w:pPr>
              <w:spacing w:line="360" w:lineRule="exact"/>
              <w:ind w:firstLine="420" w:firstLineChars="200"/>
              <w:jc w:val="left"/>
              <w:rPr>
                <w:rFonts w:hint="eastAsia"/>
                <w:color w:val="auto"/>
              </w:rPr>
            </w:pPr>
            <w:r>
              <w:rPr>
                <w:rFonts w:hint="eastAsia"/>
                <w:color w:val="auto"/>
              </w:rPr>
              <w:t>每月压缩空气机房检查维护包括：高压软管进行气密性测、试高压阀门进行气密性测试、设备电源箱检查、设备密闭性检查、设备输入电压检查、运行电流检查运行声音检查。</w:t>
            </w:r>
          </w:p>
          <w:p>
            <w:pPr>
              <w:spacing w:line="360" w:lineRule="exact"/>
              <w:ind w:firstLine="420" w:firstLineChars="200"/>
              <w:jc w:val="left"/>
              <w:rPr>
                <w:rFonts w:hint="eastAsia"/>
                <w:color w:val="auto"/>
              </w:rPr>
            </w:pPr>
            <w:r>
              <w:rPr>
                <w:rFonts w:hint="eastAsia"/>
                <w:color w:val="auto"/>
              </w:rPr>
              <w:t>③维修服务：</w:t>
            </w:r>
          </w:p>
          <w:p>
            <w:pPr>
              <w:spacing w:line="360" w:lineRule="exact"/>
              <w:ind w:firstLine="420" w:firstLineChars="200"/>
              <w:jc w:val="left"/>
              <w:rPr>
                <w:rFonts w:hint="eastAsia"/>
                <w:color w:val="auto"/>
              </w:rPr>
            </w:pPr>
            <w:r>
              <w:rPr>
                <w:rFonts w:hint="eastAsia"/>
                <w:color w:val="auto"/>
              </w:rPr>
              <w:t>每月对氧气不锈钢管，吸引镀锌管进行泄漏测试，损坏检查，对腐蚀的管子进行重装，对漏气的阀门进行更换， 如配件损坏则维修或更换。</w:t>
            </w:r>
          </w:p>
          <w:p>
            <w:pPr>
              <w:spacing w:line="360" w:lineRule="exact"/>
              <w:ind w:firstLine="420" w:firstLineChars="200"/>
              <w:jc w:val="left"/>
              <w:rPr>
                <w:rFonts w:hint="eastAsia"/>
                <w:color w:val="auto"/>
              </w:rPr>
            </w:pPr>
            <w:r>
              <w:rPr>
                <w:rFonts w:hint="eastAsia"/>
                <w:color w:val="auto"/>
              </w:rPr>
              <w:t>每月逐个测试每个终端是否有泄漏现象，对其灵活性进行调校，对使用不灵的快速插座进行维修或更换。</w:t>
            </w:r>
          </w:p>
          <w:p>
            <w:pPr>
              <w:spacing w:line="360" w:lineRule="exact"/>
              <w:ind w:firstLine="420" w:firstLineChars="200"/>
              <w:jc w:val="left"/>
              <w:rPr>
                <w:rFonts w:hint="eastAsia"/>
                <w:color w:val="auto"/>
              </w:rPr>
            </w:pPr>
            <w:r>
              <w:rPr>
                <w:rFonts w:hint="eastAsia"/>
                <w:color w:val="auto"/>
              </w:rPr>
              <w:t>每月对床头灯检查维修如遇接触不好或损坏的进行维修或更换。</w:t>
            </w:r>
          </w:p>
          <w:p>
            <w:pPr>
              <w:spacing w:line="360" w:lineRule="exact"/>
              <w:ind w:firstLine="420" w:firstLineChars="200"/>
              <w:jc w:val="left"/>
              <w:rPr>
                <w:rFonts w:hint="eastAsia"/>
                <w:color w:val="auto"/>
              </w:rPr>
            </w:pPr>
            <w:r>
              <w:rPr>
                <w:rFonts w:hint="eastAsia"/>
                <w:color w:val="auto"/>
              </w:rPr>
              <w:t>每月对开关插座检查维修如遇接触不好或损坏的进行维修或更换。</w:t>
            </w:r>
          </w:p>
          <w:p>
            <w:pPr>
              <w:spacing w:line="360" w:lineRule="exact"/>
              <w:ind w:firstLine="420" w:firstLineChars="200"/>
              <w:jc w:val="left"/>
              <w:rPr>
                <w:rFonts w:hint="eastAsia"/>
                <w:color w:val="auto"/>
              </w:rPr>
            </w:pPr>
            <w:r>
              <w:rPr>
                <w:rFonts w:hint="eastAsia"/>
                <w:color w:val="auto"/>
              </w:rPr>
              <w:t>④值班服务</w:t>
            </w:r>
          </w:p>
          <w:p>
            <w:pPr>
              <w:spacing w:line="360" w:lineRule="exact"/>
              <w:ind w:firstLine="420" w:firstLineChars="200"/>
              <w:jc w:val="left"/>
              <w:rPr>
                <w:rFonts w:hint="eastAsia"/>
                <w:color w:val="auto"/>
              </w:rPr>
            </w:pPr>
            <w:r>
              <w:rPr>
                <w:rFonts w:hint="eastAsia"/>
                <w:color w:val="auto"/>
              </w:rPr>
              <w:t>365天24小时供气站值班服务，按科室要求完成充气、送气服务（包括120救护车）。</w:t>
            </w:r>
          </w:p>
          <w:p>
            <w:pPr>
              <w:spacing w:line="360" w:lineRule="exact"/>
              <w:ind w:firstLine="420" w:firstLineChars="200"/>
              <w:jc w:val="left"/>
              <w:rPr>
                <w:rFonts w:hint="eastAsia"/>
                <w:color w:val="auto"/>
              </w:rPr>
            </w:pPr>
          </w:p>
          <w:p>
            <w:pPr>
              <w:spacing w:line="360" w:lineRule="exact"/>
              <w:ind w:firstLine="420" w:firstLineChars="200"/>
              <w:jc w:val="left"/>
              <w:rPr>
                <w:rFonts w:hint="eastAsia"/>
                <w:color w:val="auto"/>
              </w:rPr>
            </w:pPr>
            <w:r>
              <w:rPr>
                <w:rFonts w:hint="eastAsia"/>
                <w:color w:val="auto"/>
              </w:rPr>
              <w:t>（</w:t>
            </w:r>
            <w:r>
              <w:rPr>
                <w:rFonts w:hint="eastAsia"/>
                <w:color w:val="auto"/>
                <w:lang w:val="en-US" w:eastAsia="zh-CN"/>
              </w:rPr>
              <w:t>五</w:t>
            </w:r>
            <w:r>
              <w:rPr>
                <w:rFonts w:hint="eastAsia"/>
                <w:color w:val="auto"/>
                <w:lang w:eastAsia="zh-CN"/>
              </w:rPr>
              <w:t>）</w:t>
            </w:r>
            <w:r>
              <w:rPr>
                <w:rFonts w:hint="eastAsia"/>
                <w:color w:val="auto"/>
                <w:lang w:val="en-US" w:eastAsia="zh-CN"/>
              </w:rPr>
              <w:t>太阳能热水</w:t>
            </w:r>
            <w:r>
              <w:rPr>
                <w:rFonts w:hint="eastAsia"/>
                <w:color w:val="auto"/>
              </w:rPr>
              <w:t>部分：</w:t>
            </w:r>
          </w:p>
          <w:p>
            <w:pPr>
              <w:spacing w:line="360" w:lineRule="exact"/>
              <w:ind w:firstLine="420" w:firstLineChars="200"/>
              <w:jc w:val="left"/>
              <w:rPr>
                <w:rFonts w:hint="eastAsia"/>
                <w:color w:val="auto"/>
                <w:lang w:val="en-US" w:eastAsia="zh-CN"/>
              </w:rPr>
            </w:pPr>
            <w:r>
              <w:rPr>
                <w:rFonts w:hint="eastAsia"/>
                <w:color w:val="auto"/>
                <w:lang w:val="en-US" w:eastAsia="zh-CN"/>
              </w:rPr>
              <w:t xml:space="preserve">  </w:t>
            </w:r>
            <w:r>
              <w:rPr>
                <w:rFonts w:hint="eastAsia"/>
                <w:color w:val="auto"/>
              </w:rPr>
              <w:t>①</w:t>
            </w:r>
            <w:r>
              <w:rPr>
                <w:rFonts w:hint="eastAsia"/>
                <w:color w:val="auto"/>
                <w:lang w:val="en-US" w:eastAsia="zh-CN"/>
              </w:rPr>
              <w:t>检查维护</w:t>
            </w:r>
            <w:r>
              <w:rPr>
                <w:rFonts w:hint="eastAsia"/>
                <w:color w:val="auto"/>
              </w:rPr>
              <w:t>：</w:t>
            </w:r>
          </w:p>
          <w:p>
            <w:pPr>
              <w:spacing w:line="360" w:lineRule="exact"/>
              <w:ind w:firstLine="420" w:firstLineChars="200"/>
              <w:jc w:val="left"/>
              <w:rPr>
                <w:rFonts w:hint="eastAsia"/>
                <w:color w:val="auto"/>
                <w:lang w:val="en-US" w:eastAsia="zh-CN"/>
              </w:rPr>
            </w:pPr>
            <w:r>
              <w:rPr>
                <w:rFonts w:hint="eastAsia"/>
                <w:color w:val="auto"/>
                <w:lang w:val="en-US" w:eastAsia="zh-CN"/>
              </w:rPr>
              <w:t>每年对太阳能集热器进行全面检查。</w:t>
            </w:r>
          </w:p>
          <w:p>
            <w:pPr>
              <w:spacing w:line="360" w:lineRule="exact"/>
              <w:ind w:firstLine="420" w:firstLineChars="200"/>
              <w:jc w:val="left"/>
              <w:rPr>
                <w:rFonts w:hint="eastAsia"/>
                <w:color w:val="auto"/>
                <w:lang w:val="en-US" w:eastAsia="zh-CN"/>
              </w:rPr>
            </w:pPr>
            <w:r>
              <w:rPr>
                <w:rFonts w:hint="eastAsia"/>
                <w:color w:val="auto"/>
                <w:lang w:val="en-US" w:eastAsia="zh-CN"/>
              </w:rPr>
              <w:t>每年对太阳能空调系统进行定期检查。</w:t>
            </w:r>
          </w:p>
          <w:p>
            <w:pPr>
              <w:spacing w:line="360" w:lineRule="exact"/>
              <w:ind w:firstLine="420" w:firstLineChars="200"/>
              <w:jc w:val="left"/>
              <w:rPr>
                <w:rFonts w:hint="eastAsia"/>
                <w:color w:val="auto"/>
                <w:lang w:val="en-US" w:eastAsia="zh-CN"/>
              </w:rPr>
            </w:pPr>
            <w:r>
              <w:rPr>
                <w:rFonts w:hint="eastAsia"/>
                <w:color w:val="auto"/>
                <w:lang w:val="en-US" w:eastAsia="zh-CN"/>
              </w:rPr>
              <w:t>每季度对太阳能集热系统的运行和安全性进行定期检查</w:t>
            </w:r>
          </w:p>
          <w:p>
            <w:pPr>
              <w:spacing w:line="360" w:lineRule="exact"/>
              <w:ind w:firstLine="420" w:firstLineChars="200"/>
              <w:jc w:val="left"/>
              <w:rPr>
                <w:rFonts w:hint="eastAsia"/>
                <w:color w:val="auto"/>
                <w:lang w:val="en-US" w:eastAsia="zh-CN"/>
              </w:rPr>
            </w:pPr>
            <w:r>
              <w:rPr>
                <w:rFonts w:hint="eastAsia"/>
                <w:color w:val="auto"/>
                <w:lang w:val="en-US" w:eastAsia="zh-CN"/>
              </w:rPr>
              <w:t>每季度对太阳能集热系统的运行和安全性进行定期检查</w:t>
            </w:r>
          </w:p>
          <w:p>
            <w:pPr>
              <w:spacing w:line="360" w:lineRule="exact"/>
              <w:ind w:firstLine="420" w:firstLineChars="200"/>
              <w:jc w:val="left"/>
              <w:rPr>
                <w:rFonts w:hint="eastAsia"/>
                <w:color w:val="auto"/>
                <w:lang w:val="en-US" w:eastAsia="zh-CN"/>
              </w:rPr>
            </w:pPr>
            <w:r>
              <w:rPr>
                <w:rFonts w:hint="eastAsia"/>
                <w:color w:val="auto"/>
                <w:lang w:val="en-US" w:eastAsia="zh-CN"/>
              </w:rPr>
              <w:t>每年对安装在墙面处的太阳能集热器定期进行其防护设施的维护 和检修</w:t>
            </w:r>
          </w:p>
          <w:p>
            <w:pPr>
              <w:spacing w:line="360" w:lineRule="exact"/>
              <w:ind w:firstLine="420" w:firstLineChars="200"/>
              <w:jc w:val="left"/>
              <w:rPr>
                <w:rFonts w:hint="eastAsia"/>
                <w:color w:val="auto"/>
                <w:lang w:val="en-US" w:eastAsia="zh-CN"/>
              </w:rPr>
            </w:pPr>
            <w:r>
              <w:rPr>
                <w:rFonts w:hint="eastAsia"/>
                <w:color w:val="auto"/>
                <w:lang w:val="en-US" w:eastAsia="zh-CN"/>
              </w:rPr>
              <w:t>每年定期检查太阳能集热系统的防雷设施</w:t>
            </w:r>
          </w:p>
          <w:p>
            <w:pPr>
              <w:spacing w:line="360" w:lineRule="exact"/>
              <w:ind w:firstLine="420" w:firstLineChars="200"/>
              <w:jc w:val="left"/>
              <w:rPr>
                <w:rFonts w:hint="eastAsia"/>
                <w:color w:val="auto"/>
                <w:lang w:val="en-US" w:eastAsia="zh-CN"/>
              </w:rPr>
            </w:pPr>
            <w:r>
              <w:rPr>
                <w:rFonts w:hint="eastAsia"/>
                <w:color w:val="auto"/>
                <w:lang w:val="en-US" w:eastAsia="zh-CN"/>
              </w:rPr>
              <w:t>每季度定期检查辅助能源装置以及相应管路系统的安全性</w:t>
            </w:r>
          </w:p>
          <w:p>
            <w:pPr>
              <w:spacing w:line="360" w:lineRule="exact"/>
              <w:ind w:firstLine="420" w:firstLineChars="200"/>
              <w:jc w:val="left"/>
              <w:rPr>
                <w:rFonts w:hint="eastAsia"/>
                <w:color w:val="auto"/>
                <w:lang w:val="en-US" w:eastAsia="zh-CN"/>
              </w:rPr>
            </w:pPr>
            <w:r>
              <w:rPr>
                <w:rFonts w:hint="eastAsia"/>
                <w:color w:val="auto"/>
                <w:lang w:val="en-US" w:eastAsia="zh-CN"/>
              </w:rPr>
              <w:t>每年对系统中的传感器进行年检，发现问题应及时更换</w:t>
            </w:r>
          </w:p>
          <w:p>
            <w:pPr>
              <w:spacing w:line="360" w:lineRule="exact"/>
              <w:ind w:firstLine="420" w:firstLineChars="200"/>
              <w:jc w:val="left"/>
              <w:rPr>
                <w:rFonts w:hint="eastAsia"/>
                <w:color w:val="auto"/>
                <w:lang w:val="en-US" w:eastAsia="zh-CN"/>
              </w:rPr>
            </w:pPr>
            <w:r>
              <w:rPr>
                <w:rFonts w:hint="eastAsia"/>
                <w:color w:val="auto"/>
                <w:lang w:val="en-US" w:eastAsia="zh-CN"/>
              </w:rPr>
              <w:t>每月定期检查水泵、管路以及阀门等附件</w:t>
            </w:r>
          </w:p>
          <w:p>
            <w:pPr>
              <w:spacing w:line="360" w:lineRule="exact"/>
              <w:ind w:firstLine="420" w:firstLineChars="200"/>
              <w:jc w:val="left"/>
              <w:rPr>
                <w:rFonts w:hint="eastAsia"/>
                <w:color w:val="auto"/>
                <w:lang w:val="en-US" w:eastAsia="zh-CN"/>
              </w:rPr>
            </w:pPr>
            <w:r>
              <w:rPr>
                <w:rFonts w:hint="eastAsia"/>
                <w:color w:val="auto"/>
              </w:rPr>
              <w:t>②维修服务：</w:t>
            </w:r>
          </w:p>
          <w:p>
            <w:pPr>
              <w:spacing w:line="360" w:lineRule="exact"/>
              <w:ind w:firstLine="420" w:firstLineChars="200"/>
              <w:jc w:val="left"/>
              <w:rPr>
                <w:rFonts w:hint="eastAsia"/>
                <w:color w:val="auto"/>
                <w:lang w:val="en-US" w:eastAsia="zh-CN"/>
              </w:rPr>
            </w:pPr>
            <w:r>
              <w:rPr>
                <w:rFonts w:hint="eastAsia"/>
                <w:color w:val="auto"/>
              </w:rPr>
              <w:t>每月对</w:t>
            </w:r>
            <w:r>
              <w:rPr>
                <w:rFonts w:hint="eastAsia"/>
                <w:color w:val="auto"/>
                <w:lang w:val="en-US" w:eastAsia="zh-CN"/>
              </w:rPr>
              <w:t>太阳能系统中简单故障进行排查和配件维修或更换。</w:t>
            </w:r>
          </w:p>
          <w:p>
            <w:pPr>
              <w:spacing w:line="360" w:lineRule="exact"/>
              <w:ind w:firstLine="420" w:firstLineChars="200"/>
              <w:jc w:val="left"/>
              <w:rPr>
                <w:rFonts w:hint="eastAsia"/>
                <w:color w:val="auto"/>
              </w:rPr>
            </w:pPr>
          </w:p>
          <w:p>
            <w:pPr>
              <w:spacing w:line="360" w:lineRule="exact"/>
              <w:ind w:firstLine="420" w:firstLineChars="200"/>
              <w:jc w:val="left"/>
              <w:rPr>
                <w:rFonts w:hint="eastAsia"/>
                <w:color w:val="auto"/>
              </w:rPr>
            </w:pPr>
            <w:r>
              <w:rPr>
                <w:rFonts w:hint="eastAsia"/>
                <w:color w:val="auto"/>
              </w:rPr>
              <w:t>（</w:t>
            </w:r>
            <w:r>
              <w:rPr>
                <w:rFonts w:hint="eastAsia"/>
                <w:color w:val="auto"/>
                <w:lang w:val="en-US" w:eastAsia="zh-CN"/>
              </w:rPr>
              <w:t>六</w:t>
            </w:r>
            <w:r>
              <w:rPr>
                <w:rFonts w:hint="eastAsia"/>
                <w:color w:val="auto"/>
                <w:lang w:eastAsia="zh-CN"/>
              </w:rPr>
              <w:t>）</w:t>
            </w:r>
            <w:r>
              <w:rPr>
                <w:rFonts w:hint="eastAsia"/>
                <w:color w:val="auto"/>
              </w:rPr>
              <w:t>故障维修服务：</w:t>
            </w:r>
          </w:p>
          <w:p>
            <w:pPr>
              <w:spacing w:line="360" w:lineRule="exact"/>
              <w:ind w:firstLine="420" w:firstLineChars="200"/>
              <w:jc w:val="left"/>
              <w:rPr>
                <w:rFonts w:hint="eastAsia"/>
                <w:color w:val="auto"/>
              </w:rPr>
            </w:pPr>
            <w:r>
              <w:rPr>
                <w:rFonts w:hint="eastAsia"/>
                <w:color w:val="auto"/>
                <w:lang w:eastAsia="zh-CN"/>
              </w:rPr>
              <w:t>中标</w:t>
            </w:r>
            <w:r>
              <w:rPr>
                <w:rFonts w:hint="eastAsia"/>
                <w:color w:val="auto"/>
              </w:rPr>
              <w:t>方提供24小时值班服务并设立专用客服维修服务电话。接到</w:t>
            </w:r>
            <w:r>
              <w:rPr>
                <w:rFonts w:hint="eastAsia"/>
                <w:color w:val="auto"/>
                <w:lang w:eastAsia="zh-CN"/>
              </w:rPr>
              <w:t>采购人</w:t>
            </w:r>
            <w:r>
              <w:rPr>
                <w:rFonts w:hint="eastAsia"/>
                <w:color w:val="auto"/>
              </w:rPr>
              <w:t>故障报修通知后，必须在15分钟内</w:t>
            </w:r>
            <w:r>
              <w:rPr>
                <w:rFonts w:hint="eastAsia"/>
                <w:color w:val="auto"/>
                <w:lang w:eastAsia="zh-CN"/>
              </w:rPr>
              <w:t>进行响应，并</w:t>
            </w:r>
            <w:r>
              <w:rPr>
                <w:rFonts w:hint="eastAsia"/>
                <w:color w:val="auto"/>
              </w:rPr>
              <w:t>派专业技术人员到达现场负责维护、保养及处理故障。</w:t>
            </w:r>
          </w:p>
          <w:p>
            <w:pPr>
              <w:spacing w:line="360" w:lineRule="exact"/>
              <w:ind w:firstLine="420" w:firstLineChars="200"/>
              <w:jc w:val="left"/>
              <w:rPr>
                <w:rFonts w:hint="eastAsia"/>
                <w:color w:val="auto"/>
              </w:rPr>
            </w:pPr>
            <w:r>
              <w:rPr>
                <w:rFonts w:hint="eastAsia"/>
                <w:color w:val="auto"/>
              </w:rPr>
              <w:t>一般故障处理(不需拆卸或更换设备和配件）时间不超过2小时；较大故障（设备专用配件损坏）处理时间3-5个工作日；重大故障（机组重要部件损坏或更换设备）时</w:t>
            </w:r>
            <w:r>
              <w:rPr>
                <w:rFonts w:hint="eastAsia"/>
                <w:color w:val="auto"/>
                <w:lang w:eastAsia="zh-CN"/>
              </w:rPr>
              <w:t>中标人</w:t>
            </w:r>
            <w:r>
              <w:rPr>
                <w:rFonts w:hint="eastAsia"/>
                <w:color w:val="auto"/>
              </w:rPr>
              <w:t>必须以最快速度进行处理，确保设备正常运行。</w:t>
            </w:r>
          </w:p>
          <w:p>
            <w:pPr>
              <w:spacing w:line="360" w:lineRule="exact"/>
              <w:ind w:firstLine="420" w:firstLineChars="200"/>
              <w:jc w:val="left"/>
              <w:rPr>
                <w:rFonts w:hint="eastAsia"/>
                <w:color w:val="auto"/>
              </w:rPr>
            </w:pPr>
          </w:p>
          <w:p>
            <w:pPr>
              <w:spacing w:line="360" w:lineRule="exact"/>
              <w:ind w:firstLine="420" w:firstLineChars="200"/>
              <w:jc w:val="left"/>
              <w:rPr>
                <w:rFonts w:hint="eastAsia"/>
                <w:color w:val="auto"/>
              </w:rPr>
            </w:pPr>
            <w:r>
              <w:rPr>
                <w:rFonts w:hint="eastAsia"/>
                <w:color w:val="auto"/>
              </w:rPr>
              <w:t>（</w:t>
            </w:r>
            <w:r>
              <w:rPr>
                <w:rFonts w:hint="eastAsia"/>
                <w:color w:val="auto"/>
                <w:lang w:eastAsia="zh-CN"/>
              </w:rPr>
              <w:t>七）</w:t>
            </w:r>
            <w:r>
              <w:rPr>
                <w:rFonts w:hint="eastAsia"/>
                <w:color w:val="auto"/>
              </w:rPr>
              <w:t>档案管理服务：</w:t>
            </w:r>
          </w:p>
          <w:p>
            <w:pPr>
              <w:spacing w:line="360" w:lineRule="exact"/>
              <w:ind w:firstLine="420" w:firstLineChars="200"/>
              <w:jc w:val="left"/>
              <w:rPr>
                <w:rFonts w:hint="eastAsia"/>
                <w:color w:val="auto"/>
              </w:rPr>
            </w:pPr>
            <w:r>
              <w:rPr>
                <w:rFonts w:hint="eastAsia"/>
                <w:color w:val="auto"/>
              </w:rPr>
              <w:t>①所有的运行维护工作均以文字形式存档，同时附带图片视频等电子化档案。</w:t>
            </w:r>
          </w:p>
          <w:p>
            <w:pPr>
              <w:spacing w:line="360" w:lineRule="exact"/>
              <w:ind w:firstLine="420" w:firstLineChars="200"/>
              <w:jc w:val="left"/>
              <w:rPr>
                <w:rFonts w:hint="eastAsia"/>
                <w:color w:val="auto"/>
              </w:rPr>
            </w:pPr>
            <w:r>
              <w:rPr>
                <w:rFonts w:hint="eastAsia"/>
                <w:color w:val="auto"/>
              </w:rPr>
              <w:t>②各存档文件应具有以下人员签属：操作实施人、使用科室代表、</w:t>
            </w:r>
            <w:r>
              <w:rPr>
                <w:rFonts w:hint="eastAsia"/>
                <w:color w:val="auto"/>
                <w:lang w:val="en-US" w:eastAsia="zh-CN"/>
              </w:rPr>
              <w:t>采购人</w:t>
            </w:r>
            <w:r>
              <w:rPr>
                <w:rFonts w:hint="eastAsia"/>
                <w:color w:val="auto"/>
              </w:rPr>
              <w:t>主管部门代表；如有特殊情况无法签属时，由</w:t>
            </w:r>
            <w:r>
              <w:rPr>
                <w:rFonts w:hint="eastAsia"/>
                <w:color w:val="auto"/>
                <w:lang w:eastAsia="zh-CN"/>
              </w:rPr>
              <w:t>采购人</w:t>
            </w:r>
            <w:r>
              <w:rPr>
                <w:rFonts w:hint="eastAsia"/>
                <w:color w:val="auto"/>
              </w:rPr>
              <w:t>主管部门代为签属。</w:t>
            </w:r>
          </w:p>
          <w:p>
            <w:pPr>
              <w:spacing w:line="360" w:lineRule="exact"/>
              <w:ind w:firstLine="420" w:firstLineChars="200"/>
              <w:jc w:val="left"/>
              <w:rPr>
                <w:rFonts w:hint="eastAsia"/>
                <w:color w:val="auto"/>
              </w:rPr>
            </w:pPr>
            <w:r>
              <w:rPr>
                <w:rFonts w:hint="eastAsia"/>
                <w:color w:val="auto"/>
              </w:rPr>
              <w:t>③投标时提供针对各类设备的巡检表格。</w:t>
            </w:r>
          </w:p>
          <w:p>
            <w:pPr>
              <w:spacing w:line="360" w:lineRule="exact"/>
              <w:ind w:firstLine="420" w:firstLineChars="200"/>
              <w:jc w:val="left"/>
              <w:rPr>
                <w:rFonts w:hint="eastAsia"/>
                <w:color w:val="auto"/>
              </w:rPr>
            </w:pPr>
            <w:r>
              <w:rPr>
                <w:rFonts w:hint="eastAsia"/>
                <w:color w:val="auto"/>
              </w:rPr>
              <w:t>④投标时提供针对各类设备的维修表格。</w:t>
            </w:r>
          </w:p>
          <w:p>
            <w:pPr>
              <w:spacing w:line="360" w:lineRule="exact"/>
              <w:ind w:firstLine="420" w:firstLineChars="200"/>
              <w:jc w:val="left"/>
              <w:rPr>
                <w:rFonts w:hint="eastAsia"/>
                <w:color w:val="auto"/>
              </w:rPr>
            </w:pPr>
            <w:r>
              <w:rPr>
                <w:rFonts w:hint="eastAsia"/>
                <w:color w:val="auto"/>
              </w:rPr>
              <w:t>⑤投标人每季度组织一次培训，每年组织一次安全操作演练；医疗气体及中央空调均须单独组织培训及演练。做好培训及演练的完整记录，并存档。</w:t>
            </w:r>
          </w:p>
          <w:p>
            <w:pPr>
              <w:spacing w:line="360" w:lineRule="exact"/>
              <w:ind w:firstLine="420" w:firstLineChars="200"/>
              <w:jc w:val="left"/>
              <w:rPr>
                <w:rFonts w:hint="eastAsia"/>
                <w:color w:val="auto"/>
              </w:rPr>
            </w:pPr>
          </w:p>
          <w:p>
            <w:pPr>
              <w:spacing w:line="360" w:lineRule="exact"/>
              <w:ind w:firstLine="420" w:firstLineChars="200"/>
              <w:jc w:val="left"/>
              <w:rPr>
                <w:rFonts w:hint="eastAsia"/>
                <w:color w:val="auto"/>
              </w:rPr>
            </w:pPr>
            <w:r>
              <w:rPr>
                <w:rFonts w:hint="eastAsia"/>
                <w:color w:val="auto"/>
              </w:rPr>
              <w:t>（</w:t>
            </w:r>
            <w:r>
              <w:rPr>
                <w:rFonts w:hint="eastAsia"/>
                <w:color w:val="auto"/>
                <w:lang w:eastAsia="zh-CN"/>
              </w:rPr>
              <w:t>八）</w:t>
            </w:r>
            <w:r>
              <w:rPr>
                <w:rFonts w:hint="eastAsia"/>
                <w:color w:val="auto"/>
              </w:rPr>
              <w:t>质保期内的设备管理服务：</w:t>
            </w:r>
          </w:p>
          <w:p>
            <w:pPr>
              <w:spacing w:line="360" w:lineRule="exact"/>
              <w:ind w:firstLine="420" w:firstLineChars="200"/>
              <w:jc w:val="left"/>
              <w:rPr>
                <w:rFonts w:hint="eastAsia"/>
                <w:color w:val="auto"/>
              </w:rPr>
            </w:pPr>
            <w:r>
              <w:rPr>
                <w:rFonts w:hint="eastAsia"/>
                <w:color w:val="auto"/>
              </w:rPr>
              <w:t>①协调管理在第三方质保期内的设备，包括检查、联系、报修、监督及协调等管理工作。</w:t>
            </w:r>
          </w:p>
          <w:p>
            <w:pPr>
              <w:spacing w:line="360" w:lineRule="exact"/>
              <w:ind w:firstLine="420" w:firstLineChars="200"/>
              <w:jc w:val="left"/>
              <w:rPr>
                <w:rFonts w:hint="eastAsia"/>
                <w:color w:val="auto"/>
              </w:rPr>
            </w:pPr>
            <w:r>
              <w:rPr>
                <w:rFonts w:hint="eastAsia"/>
                <w:color w:val="auto"/>
              </w:rPr>
              <w:t>②各存档文件应具有以下人员签属：操作实施人、使用科室代表；如有特殊情况无法签属时，应通知业主主管部门，由业主主管部门代为签属。</w:t>
            </w:r>
          </w:p>
          <w:p>
            <w:pPr>
              <w:spacing w:line="360" w:lineRule="exact"/>
              <w:ind w:firstLine="420" w:firstLineChars="200"/>
              <w:jc w:val="left"/>
              <w:rPr>
                <w:rFonts w:hint="eastAsia"/>
                <w:color w:val="auto"/>
              </w:rPr>
            </w:pPr>
          </w:p>
          <w:p>
            <w:pPr>
              <w:spacing w:line="360" w:lineRule="exact"/>
              <w:ind w:firstLine="420" w:firstLineChars="200"/>
              <w:jc w:val="left"/>
              <w:rPr>
                <w:rFonts w:hint="eastAsia"/>
                <w:color w:val="auto"/>
              </w:rPr>
            </w:pPr>
            <w:r>
              <w:rPr>
                <w:rFonts w:hint="eastAsia"/>
                <w:color w:val="auto"/>
              </w:rPr>
              <w:t>（</w:t>
            </w:r>
            <w:r>
              <w:rPr>
                <w:rFonts w:hint="eastAsia"/>
                <w:color w:val="auto"/>
                <w:lang w:eastAsia="zh-CN"/>
              </w:rPr>
              <w:t>九）</w:t>
            </w:r>
            <w:r>
              <w:rPr>
                <w:rFonts w:hint="eastAsia"/>
                <w:color w:val="auto"/>
              </w:rPr>
              <w:t>小型零配件采购服务：</w:t>
            </w:r>
          </w:p>
          <w:p>
            <w:pPr>
              <w:spacing w:line="360" w:lineRule="exact"/>
              <w:ind w:firstLine="420" w:firstLineChars="200"/>
              <w:jc w:val="left"/>
              <w:rPr>
                <w:rFonts w:hint="eastAsia"/>
                <w:color w:val="auto"/>
              </w:rPr>
            </w:pPr>
            <w:r>
              <w:rPr>
                <w:rFonts w:hint="eastAsia"/>
                <w:color w:val="auto"/>
              </w:rPr>
              <w:t>①单次维修所需零配件低于200元时，</w:t>
            </w:r>
            <w:r>
              <w:rPr>
                <w:rFonts w:hint="eastAsia"/>
                <w:color w:val="auto"/>
                <w:lang w:eastAsia="zh-CN"/>
              </w:rPr>
              <w:t>中标人</w:t>
            </w:r>
            <w:r>
              <w:rPr>
                <w:rFonts w:hint="eastAsia"/>
                <w:color w:val="auto"/>
              </w:rPr>
              <w:t>免费更换新的零配件。</w:t>
            </w:r>
          </w:p>
          <w:p>
            <w:pPr>
              <w:spacing w:line="360" w:lineRule="exact"/>
              <w:ind w:firstLine="420" w:firstLineChars="200"/>
              <w:jc w:val="left"/>
              <w:rPr>
                <w:rFonts w:hint="eastAsia"/>
                <w:color w:val="auto"/>
              </w:rPr>
            </w:pPr>
            <w:r>
              <w:rPr>
                <w:rFonts w:hint="eastAsia"/>
                <w:color w:val="auto"/>
              </w:rPr>
              <w:t>②单次维修材料零配件费用超过200元时，由</w:t>
            </w:r>
            <w:r>
              <w:rPr>
                <w:rFonts w:hint="eastAsia"/>
                <w:color w:val="auto"/>
                <w:lang w:eastAsia="zh-CN"/>
              </w:rPr>
              <w:t>采购人</w:t>
            </w:r>
            <w:r>
              <w:rPr>
                <w:rFonts w:hint="eastAsia"/>
                <w:color w:val="auto"/>
              </w:rPr>
              <w:t>提供或</w:t>
            </w:r>
            <w:r>
              <w:rPr>
                <w:rFonts w:hint="eastAsia"/>
                <w:color w:val="auto"/>
                <w:lang w:eastAsia="zh-CN"/>
              </w:rPr>
              <w:t>中标人</w:t>
            </w:r>
            <w:r>
              <w:rPr>
                <w:rFonts w:hint="eastAsia"/>
                <w:color w:val="auto"/>
              </w:rPr>
              <w:t>代购(</w:t>
            </w:r>
            <w:r>
              <w:rPr>
                <w:rFonts w:hint="eastAsia"/>
                <w:color w:val="auto"/>
                <w:lang w:eastAsia="zh-CN"/>
              </w:rPr>
              <w:t>采购人</w:t>
            </w:r>
            <w:r>
              <w:rPr>
                <w:rFonts w:hint="eastAsia"/>
                <w:color w:val="auto"/>
              </w:rPr>
              <w:t>报销代购费用）。</w:t>
            </w:r>
          </w:p>
          <w:p>
            <w:pPr>
              <w:spacing w:line="360" w:lineRule="exact"/>
              <w:ind w:firstLine="420" w:firstLineChars="200"/>
              <w:jc w:val="left"/>
              <w:rPr>
                <w:rFonts w:hint="eastAsia"/>
                <w:color w:val="auto"/>
              </w:rPr>
            </w:pPr>
          </w:p>
          <w:p>
            <w:pPr>
              <w:spacing w:line="360" w:lineRule="exact"/>
              <w:ind w:firstLine="420" w:firstLineChars="200"/>
              <w:jc w:val="left"/>
              <w:rPr>
                <w:rFonts w:hint="eastAsia"/>
                <w:color w:val="auto"/>
              </w:rPr>
            </w:pPr>
            <w:r>
              <w:rPr>
                <w:rFonts w:hint="eastAsia"/>
                <w:color w:val="auto"/>
              </w:rPr>
              <w:t>（</w:t>
            </w:r>
            <w:r>
              <w:rPr>
                <w:rFonts w:hint="eastAsia"/>
                <w:color w:val="auto"/>
                <w:lang w:eastAsia="zh-CN"/>
              </w:rPr>
              <w:t>十）</w:t>
            </w:r>
            <w:r>
              <w:rPr>
                <w:rFonts w:hint="eastAsia"/>
                <w:color w:val="auto"/>
              </w:rPr>
              <w:t>巡检及回访服务</w:t>
            </w:r>
          </w:p>
          <w:p>
            <w:pPr>
              <w:spacing w:line="360" w:lineRule="exact"/>
              <w:ind w:firstLine="420" w:firstLineChars="200"/>
              <w:jc w:val="left"/>
              <w:rPr>
                <w:rFonts w:hint="eastAsia"/>
                <w:color w:val="auto"/>
              </w:rPr>
            </w:pPr>
            <w:r>
              <w:rPr>
                <w:rFonts w:hint="eastAsia"/>
                <w:color w:val="auto"/>
              </w:rPr>
              <w:t>①按要求及规范定期巡检空调机房、设备；定期巡检医疗气机系统机房、设备。</w:t>
            </w:r>
          </w:p>
          <w:p>
            <w:pPr>
              <w:spacing w:line="360" w:lineRule="exact"/>
              <w:ind w:firstLine="420" w:firstLineChars="200"/>
              <w:jc w:val="left"/>
              <w:rPr>
                <w:rFonts w:hint="eastAsia"/>
                <w:color w:val="auto"/>
              </w:rPr>
            </w:pPr>
            <w:r>
              <w:rPr>
                <w:rFonts w:hint="eastAsia"/>
                <w:color w:val="auto"/>
              </w:rPr>
              <w:t>②每月回访各科室并进行记录。</w:t>
            </w:r>
          </w:p>
          <w:p>
            <w:pPr>
              <w:spacing w:line="360" w:lineRule="exact"/>
              <w:ind w:firstLine="420" w:firstLineChars="200"/>
              <w:jc w:val="left"/>
              <w:rPr>
                <w:rFonts w:hint="eastAsia"/>
                <w:color w:val="auto"/>
                <w:lang w:val="en-US" w:eastAsia="zh-CN"/>
              </w:rPr>
            </w:pPr>
            <w:r>
              <w:rPr>
                <w:rFonts w:hint="eastAsia"/>
                <w:color w:val="auto"/>
              </w:rPr>
              <w:t>③</w:t>
            </w:r>
            <w:r>
              <w:rPr>
                <w:rFonts w:hint="eastAsia"/>
                <w:color w:val="auto"/>
                <w:lang w:val="en-US" w:eastAsia="zh-CN"/>
              </w:rPr>
              <w:t>每日巡检</w:t>
            </w:r>
            <w:r>
              <w:rPr>
                <w:rFonts w:hint="eastAsia"/>
                <w:color w:val="auto"/>
              </w:rPr>
              <w:t>中央年空调、分体空调、洁净系统设备设施、医疗设备带及医用气体</w:t>
            </w:r>
            <w:r>
              <w:rPr>
                <w:rFonts w:hint="eastAsia"/>
                <w:color w:val="auto"/>
                <w:lang w:eastAsia="zh-CN"/>
              </w:rPr>
              <w:t>（</w:t>
            </w:r>
            <w:r>
              <w:rPr>
                <w:rFonts w:hint="eastAsia"/>
                <w:color w:val="auto"/>
                <w:lang w:val="en-US" w:eastAsia="zh-CN"/>
              </w:rPr>
              <w:t>含氧气</w:t>
            </w:r>
            <w:r>
              <w:rPr>
                <w:rFonts w:hint="eastAsia"/>
                <w:color w:val="auto"/>
                <w:lang w:eastAsia="zh-CN"/>
              </w:rPr>
              <w:t>）</w:t>
            </w:r>
            <w:r>
              <w:rPr>
                <w:rFonts w:hint="eastAsia"/>
                <w:color w:val="auto"/>
                <w:lang w:val="en-US" w:eastAsia="zh-CN"/>
              </w:rPr>
              <w:t>太阳能系统设备</w:t>
            </w:r>
            <w:r>
              <w:rPr>
                <w:rFonts w:hint="eastAsia"/>
                <w:color w:val="auto"/>
              </w:rPr>
              <w:t>并做好台账。</w:t>
            </w:r>
            <w:r>
              <w:rPr>
                <w:rFonts w:hint="eastAsia"/>
                <w:color w:val="auto"/>
                <w:lang w:val="en-US" w:eastAsia="zh-CN"/>
              </w:rPr>
              <w:t>特殊要求的区域和设备根据实际需要增加巡检频次。</w:t>
            </w:r>
          </w:p>
          <w:p>
            <w:pPr>
              <w:spacing w:line="360" w:lineRule="exact"/>
              <w:ind w:firstLine="420" w:firstLineChars="200"/>
              <w:jc w:val="left"/>
              <w:rPr>
                <w:rFonts w:hint="eastAsia"/>
                <w:color w:val="auto"/>
              </w:rPr>
            </w:pPr>
          </w:p>
          <w:p>
            <w:pPr>
              <w:spacing w:line="360" w:lineRule="exact"/>
              <w:ind w:firstLine="420" w:firstLineChars="200"/>
              <w:jc w:val="left"/>
              <w:rPr>
                <w:rFonts w:hint="eastAsia"/>
                <w:color w:val="auto"/>
              </w:rPr>
            </w:pPr>
            <w:r>
              <w:rPr>
                <w:rFonts w:hint="eastAsia"/>
                <w:color w:val="auto"/>
              </w:rPr>
              <w:t>（十</w:t>
            </w:r>
            <w:r>
              <w:rPr>
                <w:rFonts w:hint="eastAsia"/>
                <w:color w:val="auto"/>
                <w:lang w:eastAsia="zh-CN"/>
              </w:rPr>
              <w:t>一）</w:t>
            </w:r>
            <w:r>
              <w:rPr>
                <w:rFonts w:hint="eastAsia"/>
                <w:color w:val="auto"/>
              </w:rPr>
              <w:t>人员驻场服务：</w:t>
            </w:r>
          </w:p>
          <w:p>
            <w:pPr>
              <w:spacing w:line="360" w:lineRule="exact"/>
              <w:ind w:firstLine="420" w:firstLineChars="200"/>
              <w:jc w:val="left"/>
              <w:rPr>
                <w:rFonts w:hint="eastAsia"/>
                <w:color w:val="auto"/>
              </w:rPr>
            </w:pPr>
            <w:r>
              <w:rPr>
                <w:rFonts w:hint="eastAsia"/>
                <w:color w:val="auto"/>
              </w:rPr>
              <w:t>①每日委派维修经验丰富的工作人员常驻项目所在地；人数不低于</w:t>
            </w:r>
            <w:r>
              <w:rPr>
                <w:rFonts w:hint="eastAsia"/>
                <w:color w:val="auto"/>
                <w:lang w:val="en-US" w:eastAsia="zh-CN"/>
              </w:rPr>
              <w:t>15</w:t>
            </w:r>
            <w:r>
              <w:rPr>
                <w:rFonts w:hint="eastAsia"/>
                <w:color w:val="auto"/>
              </w:rPr>
              <w:t>人。夏季业务繁忙期，应考虑自行增加驻场人员，以确保为</w:t>
            </w:r>
            <w:r>
              <w:rPr>
                <w:rFonts w:hint="eastAsia"/>
                <w:color w:val="auto"/>
                <w:lang w:eastAsia="zh-CN"/>
              </w:rPr>
              <w:t>采购人</w:t>
            </w:r>
            <w:r>
              <w:rPr>
                <w:rFonts w:hint="eastAsia"/>
                <w:color w:val="auto"/>
              </w:rPr>
              <w:t>提供优质的服务。</w:t>
            </w:r>
          </w:p>
          <w:p>
            <w:pPr>
              <w:spacing w:line="360" w:lineRule="exact"/>
              <w:ind w:firstLine="420" w:firstLineChars="200"/>
              <w:jc w:val="left"/>
              <w:rPr>
                <w:rFonts w:hint="eastAsia"/>
                <w:color w:val="auto"/>
              </w:rPr>
            </w:pPr>
            <w:r>
              <w:rPr>
                <w:rFonts w:hint="eastAsia"/>
                <w:color w:val="auto"/>
              </w:rPr>
              <w:t>③工作人员应持证上岗</w:t>
            </w:r>
            <w:r>
              <w:rPr>
                <w:rFonts w:hint="eastAsia"/>
                <w:color w:val="auto"/>
                <w:lang w:eastAsia="zh-CN"/>
              </w:rPr>
              <w:t>（</w:t>
            </w:r>
            <w:r>
              <w:rPr>
                <w:rFonts w:hint="eastAsia"/>
                <w:color w:val="auto"/>
                <w:lang w:val="en-US" w:eastAsia="zh-CN"/>
              </w:rPr>
              <w:t>电工作业证，制冷与空调作业证、压力容器操作证</w:t>
            </w:r>
            <w:r>
              <w:rPr>
                <w:rFonts w:hint="eastAsia"/>
                <w:color w:val="auto"/>
                <w:lang w:eastAsia="zh-CN"/>
              </w:rPr>
              <w:t>），至少</w:t>
            </w:r>
            <w:r>
              <w:rPr>
                <w:rFonts w:hint="eastAsia"/>
                <w:color w:val="auto"/>
                <w:lang w:val="en-US" w:eastAsia="zh-CN"/>
              </w:rPr>
              <w:t>1人持工程师证</w:t>
            </w:r>
            <w:r>
              <w:rPr>
                <w:rFonts w:hint="eastAsia"/>
                <w:color w:val="auto"/>
              </w:rPr>
              <w:t>。</w:t>
            </w:r>
          </w:p>
          <w:p>
            <w:pPr>
              <w:spacing w:line="360" w:lineRule="exact"/>
              <w:ind w:firstLine="420" w:firstLineChars="200"/>
              <w:jc w:val="left"/>
              <w:rPr>
                <w:rFonts w:hint="eastAsia"/>
                <w:color w:val="auto"/>
              </w:rPr>
            </w:pPr>
          </w:p>
          <w:p>
            <w:pPr>
              <w:spacing w:line="360" w:lineRule="exact"/>
              <w:ind w:firstLine="420" w:firstLineChars="200"/>
              <w:jc w:val="left"/>
              <w:rPr>
                <w:rFonts w:hint="eastAsia"/>
                <w:color w:val="auto"/>
              </w:rPr>
            </w:pPr>
            <w:r>
              <w:rPr>
                <w:rFonts w:hint="eastAsia"/>
                <w:color w:val="auto"/>
              </w:rPr>
              <w:t>（十</w:t>
            </w:r>
            <w:r>
              <w:rPr>
                <w:rFonts w:hint="eastAsia"/>
                <w:color w:val="auto"/>
                <w:lang w:eastAsia="zh-CN"/>
              </w:rPr>
              <w:t>二）</w:t>
            </w:r>
            <w:r>
              <w:rPr>
                <w:rFonts w:hint="eastAsia"/>
                <w:strike w:val="0"/>
                <w:dstrike w:val="0"/>
                <w:color w:val="auto"/>
                <w:lang w:val="en-US" w:eastAsia="zh-CN"/>
              </w:rPr>
              <w:t>服务供应商使用内部信息化管理系统</w:t>
            </w:r>
          </w:p>
          <w:p>
            <w:pPr>
              <w:spacing w:line="360" w:lineRule="exact"/>
              <w:ind w:firstLine="420" w:firstLineChars="200"/>
              <w:jc w:val="left"/>
              <w:rPr>
                <w:rFonts w:hint="eastAsia"/>
                <w:color w:val="auto"/>
              </w:rPr>
            </w:pPr>
            <w:r>
              <w:rPr>
                <w:rFonts w:hint="eastAsia"/>
                <w:color w:val="auto"/>
                <w:lang w:val="en-US" w:eastAsia="zh-CN"/>
              </w:rPr>
              <w:t>维修</w:t>
            </w:r>
            <w:r>
              <w:rPr>
                <w:rFonts w:hint="eastAsia"/>
                <w:color w:val="auto"/>
              </w:rPr>
              <w:t>管理信息化模块：通过信息化手段及时获取外部维修服务需求，提高维修响应能力与服务效率。</w:t>
            </w:r>
          </w:p>
          <w:p>
            <w:pPr>
              <w:spacing w:line="360" w:lineRule="exact"/>
              <w:ind w:firstLine="420" w:firstLineChars="200"/>
              <w:jc w:val="left"/>
              <w:rPr>
                <w:color w:val="auto"/>
              </w:rPr>
            </w:pPr>
            <w:r>
              <w:rPr>
                <w:rFonts w:hint="eastAsia"/>
                <w:color w:val="auto"/>
              </w:rPr>
              <w:t>维保管理信息化模块：制定维保计划，实现电子化的维保计划与移动管理。</w:t>
            </w:r>
          </w:p>
          <w:p>
            <w:pPr>
              <w:pStyle w:val="32"/>
              <w:ind w:firstLine="420" w:firstLineChars="200"/>
              <w:rPr>
                <w:rFonts w:hint="eastAsia" w:eastAsia="宋体"/>
                <w:color w:val="auto"/>
                <w:lang w:eastAsia="zh-CN"/>
              </w:rPr>
            </w:pPr>
            <w:r>
              <w:rPr>
                <w:rFonts w:hint="eastAsia"/>
                <w:color w:val="auto"/>
                <w:lang w:eastAsia="zh-CN"/>
              </w:rPr>
              <w:t>（</w:t>
            </w:r>
            <w:r>
              <w:rPr>
                <w:rFonts w:hint="eastAsia"/>
                <w:color w:val="auto"/>
                <w:lang w:val="en-US" w:eastAsia="zh-CN"/>
              </w:rPr>
              <w:t>十三</w:t>
            </w:r>
            <w:r>
              <w:rPr>
                <w:rFonts w:hint="eastAsia"/>
                <w:color w:val="auto"/>
                <w:lang w:eastAsia="zh-CN"/>
              </w:rPr>
              <w:t>）该项维保服务除按照相关法律法规及专业技术规范外，应符合《医疗和疾控机构后勤安全生产工作管理指南》（试行）的要求。</w:t>
            </w:r>
          </w:p>
          <w:p>
            <w:pPr>
              <w:spacing w:line="360" w:lineRule="exact"/>
              <w:jc w:val="left"/>
              <w:rPr>
                <w:rFonts w:hint="eastAsia"/>
                <w:b/>
                <w:bCs/>
                <w:color w:val="auto"/>
                <w:lang w:eastAsia="zh-CN"/>
              </w:rPr>
            </w:pPr>
            <w:r>
              <w:rPr>
                <w:rFonts w:hint="eastAsia" w:ascii="宋体" w:hAnsi="宋体" w:cs="宋体"/>
                <w:b/>
                <w:bCs/>
                <w:color w:val="auto"/>
                <w:szCs w:val="21"/>
                <w:lang w:eastAsia="zh-CN"/>
              </w:rPr>
              <w:t>三、</w:t>
            </w:r>
            <w:r>
              <w:rPr>
                <w:rFonts w:hint="eastAsia" w:ascii="宋体" w:hAnsi="宋体" w:cs="宋体"/>
                <w:b/>
                <w:bCs/>
                <w:i w:val="0"/>
                <w:iCs w:val="0"/>
                <w:color w:val="auto"/>
                <w:kern w:val="0"/>
                <w:sz w:val="22"/>
                <w:szCs w:val="22"/>
                <w:u w:val="none"/>
                <w:lang w:val="en-US" w:eastAsia="zh-CN" w:bidi="ar"/>
              </w:rPr>
              <w:t>病房医技综合楼中央空调、医院其他区域中央空调</w:t>
            </w:r>
            <w:r>
              <w:rPr>
                <w:rFonts w:hint="eastAsia" w:ascii="宋体" w:hAnsi="宋体" w:eastAsia="宋体" w:cs="宋体"/>
                <w:b/>
                <w:bCs/>
                <w:i w:val="0"/>
                <w:iCs w:val="0"/>
                <w:color w:val="auto"/>
                <w:kern w:val="0"/>
                <w:sz w:val="22"/>
                <w:szCs w:val="22"/>
                <w:u w:val="none"/>
                <w:lang w:val="en-US" w:eastAsia="zh-CN" w:bidi="ar"/>
              </w:rPr>
              <w:t>设备清单详见附件1。</w:t>
            </w:r>
          </w:p>
          <w:p>
            <w:pPr>
              <w:spacing w:line="360" w:lineRule="exact"/>
              <w:jc w:val="left"/>
              <w:rPr>
                <w:b/>
                <w:bCs/>
                <w:color w:val="auto"/>
              </w:rPr>
            </w:pPr>
            <w:r>
              <w:rPr>
                <w:rFonts w:hint="eastAsia"/>
                <w:b/>
                <w:bCs/>
                <w:color w:val="auto"/>
                <w:lang w:eastAsia="zh-CN"/>
              </w:rPr>
              <w:t>四、</w:t>
            </w:r>
            <w:r>
              <w:rPr>
                <w:rFonts w:hint="eastAsia"/>
                <w:b/>
                <w:bCs/>
                <w:color w:val="auto"/>
              </w:rPr>
              <w:t>服务考核监督要求</w:t>
            </w:r>
          </w:p>
          <w:p>
            <w:pPr>
              <w:spacing w:line="360" w:lineRule="exact"/>
              <w:rPr>
                <w:rFonts w:hint="eastAsia"/>
                <w:color w:val="auto"/>
              </w:rPr>
            </w:pPr>
            <w:r>
              <w:rPr>
                <w:rFonts w:hint="eastAsia"/>
                <w:color w:val="auto"/>
              </w:rPr>
              <w:t>1、每月由后勤办根据《中央空调及净化空调维保服务项目考核表》对当月运维服务情况进行考核，处罚原因要写清楚具体时间、人员和事件。</w:t>
            </w:r>
          </w:p>
          <w:p>
            <w:pPr>
              <w:spacing w:line="360" w:lineRule="exact"/>
              <w:rPr>
                <w:rFonts w:hint="eastAsia"/>
                <w:color w:val="auto"/>
              </w:rPr>
            </w:pPr>
            <w:r>
              <w:rPr>
                <w:rFonts w:hint="eastAsia"/>
                <w:color w:val="auto"/>
              </w:rPr>
              <w:t>2、不直接参与考核的科室医务人员及患者和患者家属，可通过后勤信息管理平台、微信群、QQ群、电话等方式投诉至后勤办，后勤办对每次投诉进行核实，月底汇总当月投诉次数，按每次</w:t>
            </w:r>
            <w:r>
              <w:rPr>
                <w:rFonts w:hint="eastAsia"/>
                <w:color w:val="auto"/>
                <w:lang w:val="en-US" w:eastAsia="zh-CN"/>
              </w:rPr>
              <w:t>有效</w:t>
            </w:r>
            <w:r>
              <w:rPr>
                <w:rFonts w:hint="eastAsia"/>
                <w:color w:val="auto"/>
              </w:rPr>
              <w:t>投诉罚款300元处理。</w:t>
            </w:r>
          </w:p>
          <w:p>
            <w:pPr>
              <w:spacing w:line="360" w:lineRule="exact"/>
              <w:rPr>
                <w:rFonts w:hint="eastAsia"/>
                <w:color w:val="auto"/>
              </w:rPr>
            </w:pPr>
            <w:r>
              <w:rPr>
                <w:rFonts w:hint="eastAsia"/>
                <w:color w:val="auto"/>
              </w:rPr>
              <w:t>3、后勤办每月挑选</w:t>
            </w:r>
            <w:r>
              <w:rPr>
                <w:rFonts w:hint="eastAsia"/>
                <w:color w:val="auto"/>
                <w:lang w:val="en-US" w:eastAsia="zh-CN"/>
              </w:rPr>
              <w:t>1</w:t>
            </w:r>
            <w:r>
              <w:rPr>
                <w:rFonts w:hint="eastAsia"/>
                <w:color w:val="auto"/>
              </w:rPr>
              <w:t>0%科室</w:t>
            </w:r>
            <w:r>
              <w:rPr>
                <w:rFonts w:hint="eastAsia"/>
                <w:color w:val="auto"/>
                <w:lang w:val="en-US" w:eastAsia="zh-CN"/>
              </w:rPr>
              <w:t>或者病区</w:t>
            </w:r>
            <w:r>
              <w:rPr>
                <w:rFonts w:hint="eastAsia"/>
                <w:color w:val="auto"/>
              </w:rPr>
              <w:t>，对净化空调运维服务进行满意度调查，调查内容分为运维人员仪容仪表及言谈举止、服务态度、专业能力、响应速度、服务效果、日常设备运行稳定性等六个方面。每个方面分为非常满意、满意、一般、不满意四个等级进行评价，综合满意度评价达95%以上的，不罚款；低于95%的，每下降1%罚款500元，不足1%的按1%计算。</w:t>
            </w:r>
          </w:p>
          <w:p>
            <w:pPr>
              <w:spacing w:line="360" w:lineRule="exact"/>
              <w:rPr>
                <w:rFonts w:hint="eastAsia"/>
                <w:color w:val="auto"/>
              </w:rPr>
            </w:pPr>
            <w:r>
              <w:rPr>
                <w:rFonts w:hint="eastAsia"/>
                <w:color w:val="auto"/>
              </w:rPr>
              <w:t>4、</w:t>
            </w:r>
            <w:r>
              <w:rPr>
                <w:rFonts w:hint="eastAsia"/>
                <w:color w:val="auto"/>
                <w:lang w:val="en-US" w:eastAsia="zh-CN"/>
              </w:rPr>
              <w:t>处</w:t>
            </w:r>
            <w:r>
              <w:rPr>
                <w:rFonts w:hint="eastAsia"/>
                <w:color w:val="auto"/>
              </w:rPr>
              <w:t>罚费用医院直接从当月运维服务费用中扣除，每月</w:t>
            </w:r>
            <w:r>
              <w:rPr>
                <w:rFonts w:hint="eastAsia"/>
                <w:color w:val="auto"/>
                <w:lang w:val="en-US" w:eastAsia="zh-CN"/>
              </w:rPr>
              <w:t>处</w:t>
            </w:r>
            <w:r>
              <w:rPr>
                <w:rFonts w:hint="eastAsia"/>
                <w:color w:val="auto"/>
              </w:rPr>
              <w:t>罚费用大于2000元的，视为当月考核不合格。一年内超过四次（含四次）考核不合格，采购人有权解除本合同，损失由投标人负责。</w:t>
            </w:r>
          </w:p>
          <w:p>
            <w:pPr>
              <w:spacing w:line="360" w:lineRule="exact"/>
              <w:rPr>
                <w:rFonts w:hint="eastAsia"/>
                <w:color w:val="auto"/>
              </w:rPr>
            </w:pPr>
            <w:r>
              <w:rPr>
                <w:rFonts w:hint="eastAsia"/>
                <w:color w:val="auto"/>
              </w:rPr>
              <w:t>5、后勤办每月统计汇总考核情况及其他科室医务人员、患者和患者家属反映的问题意见，针对存在的问题，责令运维服务承包方限期整改。</w:t>
            </w:r>
          </w:p>
          <w:p>
            <w:pPr>
              <w:spacing w:line="360" w:lineRule="exact"/>
              <w:rPr>
                <w:rFonts w:hint="eastAsia" w:eastAsia="黑体"/>
                <w:color w:val="auto"/>
                <w:lang w:eastAsia="zh-CN"/>
              </w:rPr>
            </w:pPr>
            <w:r>
              <w:rPr>
                <w:rFonts w:hint="eastAsia"/>
                <w:color w:val="auto"/>
              </w:rPr>
              <w:t>6、附件</w:t>
            </w:r>
            <w:r>
              <w:rPr>
                <w:rFonts w:hint="eastAsia"/>
                <w:color w:val="auto"/>
                <w:lang w:val="en-US" w:eastAsia="zh-CN"/>
              </w:rPr>
              <w:t>2</w:t>
            </w:r>
            <w:r>
              <w:rPr>
                <w:rFonts w:hint="eastAsia"/>
                <w:color w:val="auto"/>
              </w:rPr>
              <w:t>：中央空调及净化空调维保服务项目考核表</w:t>
            </w:r>
          </w:p>
        </w:tc>
        <w:tc>
          <w:tcPr>
            <w:tcW w:w="1663"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cs="宋体"/>
                <w:color w:val="auto"/>
                <w:kern w:val="0"/>
                <w:szCs w:val="21"/>
              </w:rPr>
            </w:pPr>
            <w:r>
              <w:rPr>
                <w:rFonts w:hint="eastAsia" w:ascii="宋体" w:hAnsi="宋体" w:cs="宋体"/>
                <w:color w:val="auto"/>
                <w:kern w:val="0"/>
                <w:szCs w:val="21"/>
              </w:rPr>
              <w:t>其他未列明行业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545"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cs="宋体"/>
                <w:color w:val="auto"/>
                <w:szCs w:val="21"/>
              </w:rPr>
            </w:pPr>
            <w:r>
              <w:rPr>
                <w:rFonts w:hint="eastAsia" w:ascii="宋体" w:hAnsi="宋体" w:cs="宋体"/>
                <w:color w:val="auto"/>
                <w:szCs w:val="21"/>
              </w:rPr>
              <w:t>商务条款</w:t>
            </w:r>
          </w:p>
        </w:tc>
        <w:tc>
          <w:tcPr>
            <w:tcW w:w="9783" w:type="dxa"/>
            <w:gridSpan w:val="5"/>
            <w:tcBorders>
              <w:top w:val="single" w:color="auto" w:sz="4" w:space="0"/>
              <w:left w:val="single" w:color="auto" w:sz="4" w:space="0"/>
              <w:bottom w:val="single" w:color="auto" w:sz="4" w:space="0"/>
              <w:right w:val="single" w:color="auto" w:sz="4" w:space="0"/>
            </w:tcBorders>
            <w:noWrap/>
            <w:vAlign w:val="center"/>
          </w:tcPr>
          <w:p>
            <w:pPr>
              <w:numPr>
                <w:ilvl w:val="0"/>
                <w:numId w:val="0"/>
              </w:numPr>
              <w:spacing w:line="360" w:lineRule="exact"/>
              <w:rPr>
                <w:rFonts w:hint="default" w:ascii="宋体" w:hAnsi="宋体" w:eastAsia="宋体" w:cs="宋体"/>
                <w:color w:val="auto"/>
                <w:szCs w:val="21"/>
                <w:lang w:val="en-US" w:eastAsia="zh-CN"/>
              </w:rPr>
            </w:pPr>
            <w:r>
              <w:rPr>
                <w:rFonts w:hint="default" w:ascii="宋体" w:hAnsi="宋体" w:eastAsia="宋体" w:cs="宋体"/>
                <w:color w:val="auto"/>
                <w:szCs w:val="21"/>
                <w:lang w:val="en-US" w:eastAsia="zh-CN"/>
              </w:rPr>
              <w:t>一、合同签订期</w:t>
            </w:r>
            <w:r>
              <w:rPr>
                <w:rFonts w:hint="eastAsia" w:ascii="宋体" w:hAnsi="宋体" w:cs="宋体"/>
                <w:color w:val="auto"/>
                <w:szCs w:val="21"/>
                <w:lang w:val="en-US" w:eastAsia="zh-CN"/>
              </w:rPr>
              <w:t>：</w:t>
            </w:r>
            <w:r>
              <w:rPr>
                <w:rFonts w:hint="default" w:ascii="宋体" w:hAnsi="宋体" w:eastAsia="宋体" w:cs="宋体"/>
                <w:color w:val="auto"/>
                <w:szCs w:val="21"/>
                <w:lang w:val="en-US" w:eastAsia="zh-CN"/>
              </w:rPr>
              <w:t>自中标通知书发出之日起25日内。</w:t>
            </w:r>
          </w:p>
          <w:p>
            <w:pPr>
              <w:numPr>
                <w:ilvl w:val="0"/>
                <w:numId w:val="0"/>
              </w:numPr>
              <w:spacing w:line="360" w:lineRule="exact"/>
              <w:rPr>
                <w:rFonts w:hint="default" w:ascii="宋体" w:hAnsi="宋体" w:eastAsia="宋体" w:cs="宋体"/>
                <w:color w:val="auto"/>
                <w:szCs w:val="21"/>
                <w:lang w:val="en-US" w:eastAsia="zh-CN"/>
              </w:rPr>
            </w:pPr>
            <w:r>
              <w:rPr>
                <w:rFonts w:hint="default" w:ascii="宋体" w:hAnsi="宋体" w:eastAsia="宋体" w:cs="宋体"/>
                <w:color w:val="auto"/>
                <w:szCs w:val="21"/>
                <w:lang w:val="en-US" w:eastAsia="zh-CN"/>
              </w:rPr>
              <w:t>二、服务期限</w:t>
            </w:r>
            <w:r>
              <w:rPr>
                <w:rFonts w:hint="eastAsia" w:ascii="宋体" w:hAnsi="宋体" w:cs="宋体"/>
                <w:color w:val="auto"/>
                <w:szCs w:val="21"/>
                <w:lang w:val="en-US" w:eastAsia="zh-CN"/>
              </w:rPr>
              <w:t>：</w:t>
            </w:r>
            <w:r>
              <w:rPr>
                <w:rFonts w:hint="default" w:ascii="宋体" w:hAnsi="宋体" w:eastAsia="宋体" w:cs="宋体"/>
                <w:color w:val="auto"/>
                <w:szCs w:val="21"/>
                <w:lang w:val="en-US" w:eastAsia="zh-CN"/>
              </w:rPr>
              <w:t>自合同签订之日起服务期2年。</w:t>
            </w:r>
          </w:p>
          <w:p>
            <w:pPr>
              <w:numPr>
                <w:ilvl w:val="0"/>
                <w:numId w:val="0"/>
              </w:numPr>
              <w:spacing w:line="360" w:lineRule="exact"/>
              <w:rPr>
                <w:rFonts w:hint="default" w:ascii="宋体" w:hAnsi="宋体" w:eastAsia="宋体" w:cs="宋体"/>
                <w:color w:val="auto"/>
                <w:szCs w:val="21"/>
                <w:lang w:val="en-US" w:eastAsia="zh-CN"/>
              </w:rPr>
            </w:pPr>
            <w:r>
              <w:rPr>
                <w:rFonts w:hint="default" w:ascii="宋体" w:hAnsi="宋体" w:eastAsia="宋体" w:cs="宋体"/>
                <w:color w:val="auto"/>
                <w:szCs w:val="21"/>
                <w:lang w:val="en-US" w:eastAsia="zh-CN"/>
              </w:rPr>
              <w:t>三、服务地点</w:t>
            </w:r>
            <w:r>
              <w:rPr>
                <w:rFonts w:hint="eastAsia" w:ascii="宋体" w:hAnsi="宋体" w:cs="宋体"/>
                <w:color w:val="auto"/>
                <w:szCs w:val="21"/>
                <w:lang w:val="en-US" w:eastAsia="zh-CN"/>
              </w:rPr>
              <w:t>：</w:t>
            </w:r>
            <w:r>
              <w:rPr>
                <w:rFonts w:hint="default" w:ascii="宋体" w:hAnsi="宋体" w:eastAsia="宋体" w:cs="宋体"/>
                <w:color w:val="auto"/>
                <w:szCs w:val="21"/>
                <w:lang w:val="en-US" w:eastAsia="zh-CN"/>
              </w:rPr>
              <w:t>广西南宁市采购人指定地点。</w:t>
            </w:r>
          </w:p>
          <w:p>
            <w:pPr>
              <w:numPr>
                <w:ilvl w:val="0"/>
                <w:numId w:val="0"/>
              </w:numPr>
              <w:spacing w:line="360" w:lineRule="exact"/>
              <w:rPr>
                <w:rFonts w:hint="default" w:ascii="宋体" w:hAnsi="宋体" w:eastAsia="宋体" w:cs="宋体"/>
                <w:color w:val="auto"/>
                <w:szCs w:val="21"/>
                <w:lang w:val="en-US" w:eastAsia="zh-CN"/>
              </w:rPr>
            </w:pPr>
            <w:r>
              <w:rPr>
                <w:rFonts w:hint="default" w:ascii="宋体" w:hAnsi="宋体" w:eastAsia="宋体" w:cs="宋体"/>
                <w:color w:val="auto"/>
                <w:szCs w:val="21"/>
                <w:lang w:val="en-US" w:eastAsia="zh-CN"/>
              </w:rPr>
              <w:t>四、付款方式及要求：自签订合同之日起10个工作日内，采购人支付合同款总额30%作为预付款，预付款按比例抵扣服务费，预付款从每月服务费中</w:t>
            </w:r>
            <w:r>
              <w:rPr>
                <w:rFonts w:hint="eastAsia" w:ascii="宋体" w:hAnsi="宋体" w:cs="宋体"/>
                <w:color w:val="auto"/>
                <w:szCs w:val="21"/>
                <w:lang w:val="en-US" w:eastAsia="zh-CN"/>
              </w:rPr>
              <w:t>扣回(</w:t>
            </w:r>
            <w:r>
              <w:rPr>
                <w:rFonts w:hint="default" w:ascii="宋体" w:hAnsi="宋体" w:eastAsia="宋体" w:cs="宋体"/>
                <w:color w:val="auto"/>
                <w:szCs w:val="21"/>
                <w:lang w:val="en-US" w:eastAsia="zh-CN"/>
              </w:rPr>
              <w:t>按月结算金额的30</w:t>
            </w:r>
            <w:r>
              <w:rPr>
                <w:rFonts w:hint="eastAsia" w:ascii="宋体" w:hAnsi="宋体" w:cs="宋体"/>
                <w:color w:val="auto"/>
                <w:szCs w:val="21"/>
                <w:lang w:val="en-US" w:eastAsia="zh-CN"/>
              </w:rPr>
              <w:t>%</w:t>
            </w:r>
            <w:r>
              <w:rPr>
                <w:rFonts w:hint="default" w:ascii="宋体" w:hAnsi="宋体" w:eastAsia="宋体" w:cs="宋体"/>
                <w:color w:val="auto"/>
                <w:szCs w:val="21"/>
                <w:lang w:val="en-US" w:eastAsia="zh-CN"/>
              </w:rPr>
              <w:t>进行扣回</w:t>
            </w:r>
            <w:r>
              <w:rPr>
                <w:rFonts w:hint="eastAsia" w:ascii="宋体" w:hAnsi="宋体" w:cs="宋体"/>
                <w:color w:val="auto"/>
                <w:szCs w:val="21"/>
                <w:lang w:val="en-US" w:eastAsia="zh-CN"/>
              </w:rPr>
              <w:t>),公式：月服务费支付金额=月结算金额×（1-30%），扣完即止</w:t>
            </w:r>
            <w:r>
              <w:rPr>
                <w:rFonts w:hint="default" w:ascii="宋体" w:hAnsi="宋体" w:eastAsia="宋体" w:cs="宋体"/>
                <w:color w:val="auto"/>
                <w:szCs w:val="21"/>
                <w:lang w:val="en-US" w:eastAsia="zh-CN"/>
              </w:rPr>
              <w:t>。服务费按</w:t>
            </w:r>
            <w:r>
              <w:rPr>
                <w:rFonts w:hint="eastAsia" w:ascii="宋体" w:hAnsi="宋体" w:cs="宋体"/>
                <w:color w:val="auto"/>
                <w:szCs w:val="21"/>
                <w:lang w:val="en-US" w:eastAsia="zh-CN"/>
              </w:rPr>
              <w:t>月</w:t>
            </w:r>
            <w:r>
              <w:rPr>
                <w:rFonts w:hint="default" w:ascii="宋体" w:hAnsi="宋体" w:eastAsia="宋体" w:cs="宋体"/>
                <w:color w:val="auto"/>
                <w:szCs w:val="21"/>
                <w:lang w:val="en-US" w:eastAsia="zh-CN"/>
              </w:rPr>
              <w:t>进行结算，实际结算金额以</w:t>
            </w:r>
            <w:r>
              <w:rPr>
                <w:rFonts w:hint="eastAsia" w:ascii="宋体" w:hAnsi="宋体" w:cs="宋体"/>
                <w:color w:val="auto"/>
                <w:szCs w:val="21"/>
                <w:lang w:val="en-US" w:eastAsia="zh-CN"/>
              </w:rPr>
              <w:t>中标人</w:t>
            </w:r>
            <w:r>
              <w:rPr>
                <w:rFonts w:hint="default" w:ascii="宋体" w:hAnsi="宋体" w:eastAsia="宋体" w:cs="宋体"/>
                <w:color w:val="auto"/>
                <w:szCs w:val="21"/>
                <w:lang w:val="en-US" w:eastAsia="zh-CN"/>
              </w:rPr>
              <w:t>在本结算周期内实际提供的服务量进行计算。如果合同期内采购金额达到中标金额，合同终止。</w:t>
            </w:r>
          </w:p>
          <w:p>
            <w:pPr>
              <w:numPr>
                <w:ilvl w:val="0"/>
                <w:numId w:val="0"/>
              </w:numPr>
              <w:spacing w:line="360" w:lineRule="exact"/>
              <w:rPr>
                <w:rFonts w:hint="default" w:ascii="宋体" w:hAnsi="宋体" w:eastAsia="宋体" w:cs="宋体"/>
                <w:color w:val="auto"/>
                <w:szCs w:val="21"/>
                <w:lang w:val="en-US" w:eastAsia="zh-CN"/>
              </w:rPr>
            </w:pPr>
            <w:r>
              <w:rPr>
                <w:rFonts w:hint="default" w:ascii="宋体" w:hAnsi="宋体" w:eastAsia="宋体" w:cs="宋体"/>
                <w:color w:val="auto"/>
                <w:szCs w:val="21"/>
                <w:lang w:val="en-US" w:eastAsia="zh-CN"/>
              </w:rPr>
              <w:t>五、验收要求：符合现行国家相关标准、行业标准、地方标准或者其他标准、规范。</w:t>
            </w:r>
          </w:p>
        </w:tc>
      </w:tr>
      <w:bookmarkEnd w:id="442"/>
    </w:tbl>
    <w:p>
      <w:pPr>
        <w:rPr>
          <w:rFonts w:hint="eastAsia" w:ascii="宋体" w:hAnsi="宋体" w:cs="宋体"/>
          <w:color w:val="auto"/>
          <w:szCs w:val="21"/>
        </w:rPr>
      </w:pP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ascii="宋体" w:hAnsi="宋体" w:cs="宋体"/>
          <w:b/>
          <w:bCs/>
          <w:color w:val="auto"/>
          <w:szCs w:val="21"/>
          <w:lang w:eastAsia="zh-CN"/>
        </w:rPr>
        <w:sectPr>
          <w:footerReference r:id="rId11" w:type="default"/>
          <w:pgSz w:w="11905" w:h="16838"/>
          <w:pgMar w:top="1134" w:right="1134" w:bottom="1134" w:left="1134" w:header="850" w:footer="850" w:gutter="0"/>
          <w:cols w:space="0" w:num="1"/>
          <w:titlePg/>
          <w:docGrid w:linePitch="331" w:charSpace="0"/>
        </w:sectPr>
      </w:pP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ascii="宋体" w:hAnsi="宋体" w:cs="宋体"/>
          <w:b/>
          <w:bCs/>
          <w:color w:val="auto"/>
          <w:szCs w:val="21"/>
          <w:lang w:eastAsia="zh-CN"/>
        </w:rPr>
      </w:pPr>
      <w:r>
        <w:rPr>
          <w:rFonts w:hint="eastAsia" w:ascii="宋体" w:hAnsi="宋体" w:cs="宋体"/>
          <w:b/>
          <w:bCs/>
          <w:color w:val="auto"/>
          <w:szCs w:val="21"/>
          <w:lang w:eastAsia="zh-CN"/>
        </w:rPr>
        <w:t>附件</w:t>
      </w:r>
      <w:r>
        <w:rPr>
          <w:rFonts w:hint="eastAsia" w:ascii="宋体" w:hAnsi="宋体" w:cs="宋体"/>
          <w:b/>
          <w:bCs/>
          <w:color w:val="auto"/>
          <w:szCs w:val="21"/>
          <w:lang w:val="en-US" w:eastAsia="zh-CN"/>
        </w:rPr>
        <w:t>1</w:t>
      </w:r>
      <w:r>
        <w:rPr>
          <w:rFonts w:hint="eastAsia" w:ascii="宋体" w:hAnsi="宋体" w:cs="宋体"/>
          <w:b/>
          <w:bCs/>
          <w:color w:val="auto"/>
          <w:szCs w:val="21"/>
          <w:lang w:eastAsia="zh-CN"/>
        </w:rPr>
        <w:t>：</w:t>
      </w:r>
      <w:r>
        <w:rPr>
          <w:rFonts w:hint="eastAsia" w:ascii="宋体" w:hAnsi="宋体" w:cs="宋体"/>
          <w:b/>
          <w:bCs/>
          <w:i w:val="0"/>
          <w:iCs w:val="0"/>
          <w:color w:val="auto"/>
          <w:kern w:val="0"/>
          <w:sz w:val="22"/>
          <w:szCs w:val="22"/>
          <w:u w:val="none"/>
          <w:lang w:val="en-US" w:eastAsia="zh-CN" w:bidi="ar"/>
        </w:rPr>
        <w:t>病房医技综合楼中央空调与医院其他区域中央空调</w:t>
      </w:r>
      <w:r>
        <w:rPr>
          <w:rFonts w:hint="eastAsia" w:ascii="宋体" w:hAnsi="宋体" w:eastAsia="宋体" w:cs="宋体"/>
          <w:b/>
          <w:bCs/>
          <w:i w:val="0"/>
          <w:iCs w:val="0"/>
          <w:color w:val="auto"/>
          <w:kern w:val="0"/>
          <w:sz w:val="22"/>
          <w:szCs w:val="22"/>
          <w:u w:val="none"/>
          <w:lang w:val="en-US" w:eastAsia="zh-CN" w:bidi="ar"/>
        </w:rPr>
        <w:t>设备清单</w:t>
      </w:r>
    </w:p>
    <w:tbl>
      <w:tblPr>
        <w:tblStyle w:val="24"/>
        <w:tblW w:w="1487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02"/>
        <w:gridCol w:w="1807"/>
        <w:gridCol w:w="1942"/>
        <w:gridCol w:w="665"/>
        <w:gridCol w:w="760"/>
        <w:gridCol w:w="2267"/>
        <w:gridCol w:w="1362"/>
        <w:gridCol w:w="52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40" w:hRule="atLeast"/>
        </w:trPr>
        <w:tc>
          <w:tcPr>
            <w:tcW w:w="14873"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auto"/>
                <w:sz w:val="21"/>
                <w:szCs w:val="21"/>
                <w:u w:val="none"/>
              </w:rPr>
            </w:pPr>
            <w:r>
              <w:rPr>
                <w:rFonts w:hint="eastAsia" w:ascii="宋体" w:hAnsi="宋体" w:cs="宋体"/>
                <w:b/>
                <w:bCs/>
                <w:i w:val="0"/>
                <w:iCs w:val="0"/>
                <w:color w:val="auto"/>
                <w:kern w:val="0"/>
                <w:sz w:val="21"/>
                <w:szCs w:val="21"/>
                <w:u w:val="none"/>
                <w:lang w:val="en-US" w:eastAsia="zh-CN" w:bidi="ar"/>
              </w:rPr>
              <w:t>医院其他区域</w:t>
            </w:r>
            <w:r>
              <w:rPr>
                <w:rFonts w:hint="eastAsia" w:ascii="宋体" w:hAnsi="宋体" w:eastAsia="宋体" w:cs="宋体"/>
                <w:b/>
                <w:bCs/>
                <w:i w:val="0"/>
                <w:iCs w:val="0"/>
                <w:color w:val="auto"/>
                <w:kern w:val="0"/>
                <w:sz w:val="21"/>
                <w:szCs w:val="21"/>
                <w:u w:val="none"/>
                <w:lang w:val="en-US" w:eastAsia="zh-CN" w:bidi="ar"/>
              </w:rPr>
              <w:t>中央空调设备清单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序号</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设备名称</w:t>
            </w:r>
          </w:p>
        </w:tc>
        <w:tc>
          <w:tcPr>
            <w:tcW w:w="1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型号规格</w:t>
            </w:r>
          </w:p>
        </w:tc>
        <w:tc>
          <w:tcPr>
            <w:tcW w:w="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单位</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数量</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其他参数说明</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品牌</w:t>
            </w:r>
          </w:p>
        </w:tc>
        <w:tc>
          <w:tcPr>
            <w:tcW w:w="5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sz w:val="21"/>
                <w:szCs w:val="21"/>
                <w:u w:val="none"/>
                <w:lang w:val="en-US" w:eastAsia="zh-CN"/>
              </w:rPr>
              <w:t>主要工作内容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50" w:hRule="atLeast"/>
        </w:trPr>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约克冷水机组</w:t>
            </w:r>
          </w:p>
        </w:tc>
        <w:tc>
          <w:tcPr>
            <w:tcW w:w="1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YSFZFZS55CNE/22</w:t>
            </w:r>
          </w:p>
        </w:tc>
        <w:tc>
          <w:tcPr>
            <w:tcW w:w="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额定制冷量:1920KW;额定电流：584A</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约克</w:t>
            </w:r>
          </w:p>
        </w:tc>
        <w:tc>
          <w:tcPr>
            <w:tcW w:w="5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按设备厂家设备维护规范及要求进行维护。（包含：每季度检查冷水机组，调整安全控制装置；检查控制装置的工作状态；检查制冷剂的充注量、油槽的油色、油位、油温；检查润滑系统的运行、回油系统；检查电机和启动器的运行；检查油泵的工作状态；检查及紧固各接线端；检查及检测各温控探头及压力转换器的显示精度；检查各电磁阀及电动压差调节阀的工作状态；检查系统是否有泄漏；记录运行状态参数，分析确认机组运行正常，根据采购人要求进行机组检修；），</w:t>
            </w:r>
            <w:r>
              <w:rPr>
                <w:rStyle w:val="48"/>
                <w:rFonts w:hint="eastAsia" w:ascii="宋体" w:hAnsi="宋体" w:eastAsia="宋体" w:cs="宋体"/>
                <w:color w:val="auto"/>
                <w:sz w:val="21"/>
                <w:szCs w:val="21"/>
                <w:lang w:val="en-US" w:eastAsia="zh-CN" w:bidi="ar"/>
              </w:rPr>
              <w:t>每年通炮清洗制冷主机冷凝器。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50" w:hRule="atLeast"/>
        </w:trPr>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离心式水冷机组</w:t>
            </w:r>
          </w:p>
        </w:tc>
        <w:tc>
          <w:tcPr>
            <w:tcW w:w="1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YKEWEQQ75EOG/XC22BER</w:t>
            </w:r>
          </w:p>
        </w:tc>
        <w:tc>
          <w:tcPr>
            <w:tcW w:w="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额定制冷量:2110KW;额定功率：362.2KW;额定电流：626A</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约克</w:t>
            </w:r>
          </w:p>
        </w:tc>
        <w:tc>
          <w:tcPr>
            <w:tcW w:w="5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按设备厂家设备维护规范及要求进行维护。（包含：每季度检查冷水机组，调整安全控制装置；检查控制装置的工作状态；检查制冷剂的充注量、油槽的油色、油位、油温；检查润滑系统的运行、回油系统；检查电机和启动器的运行；检查油泵的工作状态；检查及紧固各接线端；检查及检测各温控探头及压力转换器的显示精度；检查各电磁阀及电动压差调节阀的工作状态；检查系统是否有泄漏；记录运行状态参数，分析确认机组运行正常，根据采购人要求进行机组检修；），</w:t>
            </w:r>
            <w:r>
              <w:rPr>
                <w:rStyle w:val="48"/>
                <w:rFonts w:hint="eastAsia" w:ascii="宋体" w:hAnsi="宋体" w:eastAsia="宋体" w:cs="宋体"/>
                <w:color w:val="auto"/>
                <w:sz w:val="21"/>
                <w:szCs w:val="21"/>
                <w:lang w:val="en-US" w:eastAsia="zh-CN" w:bidi="ar"/>
              </w:rPr>
              <w:t>每年通炮清洗制冷主机冷凝器。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19" w:hRule="atLeast"/>
        </w:trPr>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模块式风冷冷水（热泵）机组</w:t>
            </w:r>
          </w:p>
        </w:tc>
        <w:tc>
          <w:tcPr>
            <w:tcW w:w="1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YCAE61RMC-B</w:t>
            </w:r>
          </w:p>
        </w:tc>
        <w:tc>
          <w:tcPr>
            <w:tcW w:w="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12</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制冷量：60KW；制热量：64KW;制热功率：20.7KW；制冷输入功率：18.5KW；</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约克</w:t>
            </w:r>
          </w:p>
        </w:tc>
        <w:tc>
          <w:tcPr>
            <w:tcW w:w="5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按设备厂家设备维护规范及要求进行维护。（包含：每季度检查冷水机组，调整安全控制装置；检查控制装置的工作状态；检查制冷剂的充注量、油槽的油色、油位、油温;检查润滑系统的运行、回油系统；检查电机和启动器的运行；检查油泵的工作状态；检查及紧固各接线端；检查及检测各温控探头及压力转换器的显示精度；检查各电磁阀及电动压差调节阀的工作状态；检查系统是否有泄漏；记录运行状态参数，分析确认机组运行正常，必要时进行机组检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7" w:hRule="atLeast"/>
        </w:trPr>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多联式空调主机</w:t>
            </w:r>
          </w:p>
        </w:tc>
        <w:tc>
          <w:tcPr>
            <w:tcW w:w="1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各类</w:t>
            </w:r>
          </w:p>
        </w:tc>
        <w:tc>
          <w:tcPr>
            <w:tcW w:w="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套</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9</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u w:val="none"/>
              </w:rPr>
            </w:pP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u w:val="none"/>
              </w:rPr>
            </w:pPr>
          </w:p>
        </w:tc>
        <w:tc>
          <w:tcPr>
            <w:tcW w:w="5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按设备厂家设备维护规范及要求进行维护。（包含：每季度检查冷水机组，调整安全控制装置；检查控制装置的工作状态；检查制冷剂的充注量、油槽的油色、油位、油温;检查润滑系统的运行、回油系统；检查电机和启动器的运行；检查油泵的工作状态；检查及紧固各接线端；检查及检测各温控探头及压力转换器的显示精度；检查各电磁阀及电动压差调节阀的工作状态；检查系统是否有泄漏；记录运行状态参数，分析确认机组运行正常，必要时进行机组检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0" w:hRule="atLeast"/>
        </w:trPr>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空调冷却水泵</w:t>
            </w:r>
          </w:p>
        </w:tc>
        <w:tc>
          <w:tcPr>
            <w:tcW w:w="1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KTZ200-150-315</w:t>
            </w:r>
          </w:p>
        </w:tc>
        <w:tc>
          <w:tcPr>
            <w:tcW w:w="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流量400m3/h；扬程：32m；功率：55KW</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广一</w:t>
            </w:r>
          </w:p>
        </w:tc>
        <w:tc>
          <w:tcPr>
            <w:tcW w:w="5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每月定期检查维护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0" w:hRule="atLeast"/>
        </w:trPr>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空调冷冻水泵</w:t>
            </w:r>
          </w:p>
        </w:tc>
        <w:tc>
          <w:tcPr>
            <w:tcW w:w="1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KTZ200-150-400B</w:t>
            </w:r>
          </w:p>
        </w:tc>
        <w:tc>
          <w:tcPr>
            <w:tcW w:w="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流量400m3/h；扬程：34m；功率：55KW</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广一</w:t>
            </w:r>
          </w:p>
        </w:tc>
        <w:tc>
          <w:tcPr>
            <w:tcW w:w="5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每月定期检查维护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0" w:hRule="atLeast"/>
        </w:trPr>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7</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空调冷冻水泵</w:t>
            </w:r>
          </w:p>
        </w:tc>
        <w:tc>
          <w:tcPr>
            <w:tcW w:w="1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KTZ200-150-400B</w:t>
            </w:r>
          </w:p>
        </w:tc>
        <w:tc>
          <w:tcPr>
            <w:tcW w:w="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流量340m3/h；扬程：38m；功率：55KW</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广一</w:t>
            </w:r>
          </w:p>
        </w:tc>
        <w:tc>
          <w:tcPr>
            <w:tcW w:w="5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每月定期检查维护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0" w:hRule="atLeast"/>
        </w:trPr>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8</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空调冷却水泵</w:t>
            </w:r>
          </w:p>
        </w:tc>
        <w:tc>
          <w:tcPr>
            <w:tcW w:w="1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KTZ200-150-315</w:t>
            </w:r>
          </w:p>
        </w:tc>
        <w:tc>
          <w:tcPr>
            <w:tcW w:w="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流量460m3/h；扬程：28m；功率：55KW</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广一</w:t>
            </w:r>
          </w:p>
        </w:tc>
        <w:tc>
          <w:tcPr>
            <w:tcW w:w="5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每月定期检查维护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0" w:hRule="atLeast"/>
        </w:trPr>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9</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空调冷热水泵</w:t>
            </w:r>
          </w:p>
        </w:tc>
        <w:tc>
          <w:tcPr>
            <w:tcW w:w="1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Y1-132S1-2</w:t>
            </w:r>
          </w:p>
        </w:tc>
        <w:tc>
          <w:tcPr>
            <w:tcW w:w="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流量24m3/h；扬程：32m；额定功率：5.5KW</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上海东方</w:t>
            </w:r>
          </w:p>
        </w:tc>
        <w:tc>
          <w:tcPr>
            <w:tcW w:w="5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每月定期检查维护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空调热水循环水泵</w:t>
            </w:r>
          </w:p>
        </w:tc>
        <w:tc>
          <w:tcPr>
            <w:tcW w:w="1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WO71B080-2</w:t>
            </w:r>
          </w:p>
        </w:tc>
        <w:tc>
          <w:tcPr>
            <w:tcW w:w="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流量12m3/h；扬程：18m；额定功率：0.6KW</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威乐</w:t>
            </w:r>
          </w:p>
        </w:tc>
        <w:tc>
          <w:tcPr>
            <w:tcW w:w="5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每月定期检查维护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0" w:hRule="atLeast"/>
        </w:trPr>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11</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冷却塔 </w:t>
            </w:r>
          </w:p>
        </w:tc>
        <w:tc>
          <w:tcPr>
            <w:tcW w:w="1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LRCH-500/LRC1-300</w:t>
            </w:r>
          </w:p>
        </w:tc>
        <w:tc>
          <w:tcPr>
            <w:tcW w:w="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额定功率：11KW，流量：500m3/h</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良机</w:t>
            </w:r>
          </w:p>
        </w:tc>
        <w:tc>
          <w:tcPr>
            <w:tcW w:w="5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1、定期检查（每年4次），定期检查（每年4次），并出具水质检测报告/2、定期清洗（每月一次）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0" w:hRule="atLeast"/>
        </w:trPr>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12</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电热水器炉</w:t>
            </w:r>
          </w:p>
        </w:tc>
        <w:tc>
          <w:tcPr>
            <w:tcW w:w="1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CWDR0.42-85/65</w:t>
            </w:r>
          </w:p>
        </w:tc>
        <w:tc>
          <w:tcPr>
            <w:tcW w:w="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额定热功率：0.42MW；额定功率：480KW；额定电流：727.2A；</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扬州斯大</w:t>
            </w:r>
          </w:p>
        </w:tc>
        <w:tc>
          <w:tcPr>
            <w:tcW w:w="5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1、定期检查（每年4次）维护。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83" w:hRule="atLeast"/>
        </w:trPr>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13</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新风机</w:t>
            </w:r>
          </w:p>
        </w:tc>
        <w:tc>
          <w:tcPr>
            <w:tcW w:w="1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各类</w:t>
            </w:r>
          </w:p>
        </w:tc>
        <w:tc>
          <w:tcPr>
            <w:tcW w:w="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33</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u w:val="none"/>
              </w:rPr>
            </w:pP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天加、欧科</w:t>
            </w:r>
          </w:p>
        </w:tc>
        <w:tc>
          <w:tcPr>
            <w:tcW w:w="5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年度检查新风机蜗轮、集水盘、通漏，噪音及震动情况；检查新风机比例基芬阀、集水盘；检查新风机确认电气控制装置工作状况良好；（2次/年）2、年度对新风机进行深度清洗并出具检查报告；（1次/年）。3、每季度清洗消毒新风滤网清洗。4、每季度清洗消毒新风机出风口清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65" w:hRule="atLeast"/>
        </w:trPr>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14</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中央空调末端风机盘管</w:t>
            </w:r>
          </w:p>
        </w:tc>
        <w:tc>
          <w:tcPr>
            <w:tcW w:w="1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TCR300CLH</w:t>
            </w:r>
          </w:p>
        </w:tc>
        <w:tc>
          <w:tcPr>
            <w:tcW w:w="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98</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风量；520m3/h；功率：55W</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天加</w:t>
            </w:r>
          </w:p>
        </w:tc>
        <w:tc>
          <w:tcPr>
            <w:tcW w:w="5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定期对风机盘管拆、洗、装、清洗盘管翅片并消毒，检测风速，使风机盘管风速保持不低于3.0m/s（根据电机功率定）；（每年1次/年）2、检查风机盘管电流、电容、轴承、风机盘管电动二通阀、风速、温度、确认电气控制装置工作状况良好，并出具运行情况报告。（每年两次），3、每季度清洗空调回风口及滤网，4、每月清洗公共区域的中央空调的出风口、回风口、排风口、滤网及新风机初效过滤器；5、每季度清洗空调出风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98" w:hRule="atLeast"/>
        </w:trPr>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15</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中央空调末端风机盘管</w:t>
            </w:r>
          </w:p>
        </w:tc>
        <w:tc>
          <w:tcPr>
            <w:tcW w:w="1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TCR400CLH</w:t>
            </w:r>
          </w:p>
        </w:tc>
        <w:tc>
          <w:tcPr>
            <w:tcW w:w="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113</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风量；680m3/h；功率：55W</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天加</w:t>
            </w:r>
          </w:p>
        </w:tc>
        <w:tc>
          <w:tcPr>
            <w:tcW w:w="5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定期对风机盘管拆、洗、装、清洗盘管翅片并消毒，检测风速，使风机盘管风速保持不低于3.0m/s（根据电机功率定）；（每年1次/年）2、检查风机盘管电流、电容、轴承、风机盘管电动二通阀、风速、温度、确认电气控制装置工作状况良好，并出具运行情况报告。（每年两次），3、每季度清洗空调回风口及滤网，4、每月清洗公共区域的中央空调的出风口、回风口、排风口、滤网及新风机初效过滤器；5、每季度清洗空调出风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33" w:hRule="atLeast"/>
        </w:trPr>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16</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中央空调末端风机盘管</w:t>
            </w:r>
          </w:p>
        </w:tc>
        <w:tc>
          <w:tcPr>
            <w:tcW w:w="1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TCR500CLH</w:t>
            </w:r>
          </w:p>
        </w:tc>
        <w:tc>
          <w:tcPr>
            <w:tcW w:w="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258</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风量；850m3/h；功率：75W</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天加</w:t>
            </w:r>
          </w:p>
        </w:tc>
        <w:tc>
          <w:tcPr>
            <w:tcW w:w="5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定期对风机盘管拆、洗、装、清洗盘管翅片并消毒，检测风速，使风机盘管风速保持不低于3.0m/s（根据电机功率定）；（每年1次/年）2、检查风机盘管电流、电容、轴承、风机盘管电动二通阀、风速、温度、确认电气控制装置工作状况良好，并出具运行情况报告。（每年两次），3、每季度清洗空调回风口及滤网，4、每月清洗公共区域的中央空调的出风口、回风口、排风口、滤网及新风机初效过滤器；5、每季度清洗空调出风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70" w:hRule="atLeast"/>
        </w:trPr>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17</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中央空调末端风机盘管</w:t>
            </w:r>
          </w:p>
        </w:tc>
        <w:tc>
          <w:tcPr>
            <w:tcW w:w="1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TCR600CLH</w:t>
            </w:r>
          </w:p>
        </w:tc>
        <w:tc>
          <w:tcPr>
            <w:tcW w:w="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92</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风量；1020m3/h；功率：105W</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天加</w:t>
            </w:r>
          </w:p>
        </w:tc>
        <w:tc>
          <w:tcPr>
            <w:tcW w:w="5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定期对风机盘管拆、洗、装、清洗盘管翅片并消毒，检测风速，使风机盘管风速保持不低于3.0m/s（根据电机功率定）；（每年1次/年）2、检查风机盘管电流、电容、轴承、风机盘管电动二通阀、风速、温度、确认电气控制装置工作状况良好，并出具运行情况报告。（每年两次），3、每季度清洗空调回风口及滤网，4、每月清洗公共区域的中央空调的出风口、回风口、排风口、滤网及新风机初效过滤器；5、每季度清洗空调出风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18</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中央空调末端风机盘管</w:t>
            </w:r>
          </w:p>
        </w:tc>
        <w:tc>
          <w:tcPr>
            <w:tcW w:w="1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TCR800CLH</w:t>
            </w:r>
          </w:p>
        </w:tc>
        <w:tc>
          <w:tcPr>
            <w:tcW w:w="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103</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风量；1360m3/h；功率：148W</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天加</w:t>
            </w:r>
          </w:p>
        </w:tc>
        <w:tc>
          <w:tcPr>
            <w:tcW w:w="5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定期对风机盘管拆、洗、装、清洗盘管翅片并消毒，检测风速，使风机盘管风速保持不低于3.0m/s（根据电机功率定）；（每年1次/年）2、检查风机盘管电流、电容、轴承、风机盘管电动二通阀、风速、温度、确认电气控制装置工作状况良好，并出具运行情况报告。（每年两次），3、每季度清洗空调回风口及滤网，4、每月清洗公共区域的中央空调的出风口、回风口、排风口、滤网及新风机初效过滤器；5、每季度清洗空调出风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30" w:hRule="atLeast"/>
        </w:trPr>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19</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中央空调末端风机盘管</w:t>
            </w:r>
          </w:p>
        </w:tc>
        <w:tc>
          <w:tcPr>
            <w:tcW w:w="1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TCR1000CLH</w:t>
            </w:r>
          </w:p>
        </w:tc>
        <w:tc>
          <w:tcPr>
            <w:tcW w:w="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42</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风量；1700m3/h；功率：171W</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天加</w:t>
            </w:r>
          </w:p>
        </w:tc>
        <w:tc>
          <w:tcPr>
            <w:tcW w:w="5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定期对风机盘管拆、洗、装、清洗盘管翅片并消毒，检测风速，使风机盘管风速保持不低于3.0m/s（根据电机功率定）；（每年1次/年）2、检查风机盘管电流、电容、轴承、风机盘管电动二通阀、风速、温度、确认电气控制装置工作状况良好，并出具运行情况报告。（每年两次），3、每季度清洗空调回风口及滤网，4、每月清洗公共区域的中央空调的出风口、回风口、排风口、滤网及新风机初效过滤器；5、每季度清洗空调出风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36" w:hRule="atLeast"/>
        </w:trPr>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中央空调末端风机盘管</w:t>
            </w:r>
          </w:p>
        </w:tc>
        <w:tc>
          <w:tcPr>
            <w:tcW w:w="1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TCR1200CLH</w:t>
            </w:r>
          </w:p>
        </w:tc>
        <w:tc>
          <w:tcPr>
            <w:tcW w:w="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25</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风量；2040m3/h；功率：212W</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天加</w:t>
            </w:r>
          </w:p>
        </w:tc>
        <w:tc>
          <w:tcPr>
            <w:tcW w:w="5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定期对风机盘管拆、洗、装、清洗盘管翅片并消毒，检测风速，使风机盘管风速保持不低于3.0m/s（根据电机功率定）；（每年1次/年）2、检查风机盘管电流、电容、轴承、风机盘管电动二通阀、风速、温度、确认电气控制装置工作状况良好，并出具运行情况报告。（每年两次），3、每季度清洗空调回风口及滤网，4、每月清洗公共区域的中央空调的出风口、回风口、排风口、滤网及新风机初效过滤器；5、每季度清洗空调出风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8" w:hRule="atLeast"/>
        </w:trPr>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21</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中央空调末端风机盘管</w:t>
            </w:r>
          </w:p>
        </w:tc>
        <w:tc>
          <w:tcPr>
            <w:tcW w:w="1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TCR1400CLH</w:t>
            </w:r>
          </w:p>
        </w:tc>
        <w:tc>
          <w:tcPr>
            <w:tcW w:w="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19</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风量；2380m3/h；功率：253W</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天加</w:t>
            </w:r>
          </w:p>
        </w:tc>
        <w:tc>
          <w:tcPr>
            <w:tcW w:w="5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定期对风机盘管拆、洗、装、清洗盘管翅片并消毒，检测风速，使风机盘管风速保持不低于3.0m/s（根据电机功率定）；（每年1次/年）2、检查风机盘管电流、电容、轴承、风机盘管电动二通阀、风速、温度、确认电气控制装置工作状况良好，并出具运行情况报告。（每年两次），3、每季度清洗空调回风口及滤网，4、每月清洗公共区域的中央空调的出风口、回风口、排风口、滤网及新风机初效过滤器；5、每季度清洗空调出风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8" w:hRule="atLeast"/>
        </w:trPr>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22</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分体空调</w:t>
            </w:r>
          </w:p>
        </w:tc>
        <w:tc>
          <w:tcPr>
            <w:tcW w:w="1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5匹</w:t>
            </w:r>
          </w:p>
        </w:tc>
        <w:tc>
          <w:tcPr>
            <w:tcW w:w="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112</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冷量：12KW；热量：13.5KW；风量：2000</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格力、美的、TCL</w:t>
            </w:r>
          </w:p>
        </w:tc>
        <w:tc>
          <w:tcPr>
            <w:tcW w:w="5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1、每季度检查维护分体空调。2、每年深度清洗保养分体空调。3、公共部分分体空调内机（门诊大厅、急诊大厅等）每月清洗一次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23</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分体空调</w:t>
            </w:r>
          </w:p>
        </w:tc>
        <w:tc>
          <w:tcPr>
            <w:tcW w:w="1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3匹</w:t>
            </w:r>
          </w:p>
        </w:tc>
        <w:tc>
          <w:tcPr>
            <w:tcW w:w="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82</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冷量：7.2KW；热量：8.2KW；风量：1300</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格力、美的、TCL</w:t>
            </w:r>
          </w:p>
        </w:tc>
        <w:tc>
          <w:tcPr>
            <w:tcW w:w="5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1、每季度检查维护分体空调。2、每年深度清洗保养分体空调。3、公共部分分体空调内机（门诊大厅、急诊大厅等）每月清洗一次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24</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分体空调</w:t>
            </w:r>
          </w:p>
        </w:tc>
        <w:tc>
          <w:tcPr>
            <w:tcW w:w="1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2匹</w:t>
            </w:r>
          </w:p>
        </w:tc>
        <w:tc>
          <w:tcPr>
            <w:tcW w:w="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235</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冷量：5.0KW；热量：5.7KW；风量：900</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格力、美的、TCL</w:t>
            </w:r>
          </w:p>
        </w:tc>
        <w:tc>
          <w:tcPr>
            <w:tcW w:w="5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1、每季度检查维护分体空调。2、每年深度清洗保养分体空调。3、公共部分分体空调内机（门诊大厅、急诊大厅等）每月清洗一次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25</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分体空调</w:t>
            </w:r>
          </w:p>
        </w:tc>
        <w:tc>
          <w:tcPr>
            <w:tcW w:w="1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1.5匹</w:t>
            </w:r>
          </w:p>
        </w:tc>
        <w:tc>
          <w:tcPr>
            <w:tcW w:w="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316</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冷量：3.5KW；热量：3.7KW；风量：650</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格力、美的、TCL</w:t>
            </w:r>
          </w:p>
        </w:tc>
        <w:tc>
          <w:tcPr>
            <w:tcW w:w="5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1、每季度检查维护分体空调。2、每年深度清洗保养分体空调。3、公共部分分体空调内机（门诊大厅、急诊大厅等）每月清洗一次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26</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分体空调</w:t>
            </w:r>
          </w:p>
        </w:tc>
        <w:tc>
          <w:tcPr>
            <w:tcW w:w="1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1匹</w:t>
            </w:r>
          </w:p>
        </w:tc>
        <w:tc>
          <w:tcPr>
            <w:tcW w:w="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25</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冷量：2.6KW；热量：3.0KW；风量：560</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格力、美的、TCL</w:t>
            </w:r>
          </w:p>
        </w:tc>
        <w:tc>
          <w:tcPr>
            <w:tcW w:w="5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1、每季度检查维护分体空调。2、每年深度清洗保养分体空调。3、公共部分分体空调内机（门诊大厅、急诊大厅等）每月清洗一次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0" w:hRule="atLeast"/>
        </w:trPr>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27</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净化间新风机组</w:t>
            </w:r>
          </w:p>
        </w:tc>
        <w:tc>
          <w:tcPr>
            <w:tcW w:w="1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各类</w:t>
            </w:r>
          </w:p>
        </w:tc>
        <w:tc>
          <w:tcPr>
            <w:tcW w:w="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u w:val="none"/>
              </w:rPr>
            </w:pP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天加</w:t>
            </w:r>
          </w:p>
        </w:tc>
        <w:tc>
          <w:tcPr>
            <w:tcW w:w="5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1、每季度对净化机组部件进行维护和对控制柜进行检测。2、每年净化新风柜机组表冷器及叶轮清洗保养。3、每月清洗消毒新风滤网清洗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28</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净化空气处理机组</w:t>
            </w:r>
          </w:p>
        </w:tc>
        <w:tc>
          <w:tcPr>
            <w:tcW w:w="1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各类</w:t>
            </w:r>
          </w:p>
        </w:tc>
        <w:tc>
          <w:tcPr>
            <w:tcW w:w="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17</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u w:val="none"/>
              </w:rPr>
            </w:pP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u w:val="none"/>
              </w:rPr>
            </w:pPr>
          </w:p>
        </w:tc>
        <w:tc>
          <w:tcPr>
            <w:tcW w:w="5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1、每季度对净化机组部件进行维护和对控制柜进行检测。2、每年净化新风柜机组表冷器及叶轮清洗保养。3、每月清洗消毒新风滤网清洗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29</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初效过滤器更换</w:t>
            </w:r>
          </w:p>
        </w:tc>
        <w:tc>
          <w:tcPr>
            <w:tcW w:w="1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490*390*46</w:t>
            </w:r>
          </w:p>
        </w:tc>
        <w:tc>
          <w:tcPr>
            <w:tcW w:w="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个</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54</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板式G4</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天加</w:t>
            </w:r>
          </w:p>
        </w:tc>
        <w:tc>
          <w:tcPr>
            <w:tcW w:w="5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每季度更换一次（含提供材料）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30</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初效过滤器更换</w:t>
            </w:r>
          </w:p>
        </w:tc>
        <w:tc>
          <w:tcPr>
            <w:tcW w:w="1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590*390*46</w:t>
            </w:r>
          </w:p>
        </w:tc>
        <w:tc>
          <w:tcPr>
            <w:tcW w:w="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个</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68</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板式G4</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天加</w:t>
            </w:r>
          </w:p>
        </w:tc>
        <w:tc>
          <w:tcPr>
            <w:tcW w:w="5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每季度更换一次（含提供材料）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31</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初效过滤器更换</w:t>
            </w:r>
          </w:p>
        </w:tc>
        <w:tc>
          <w:tcPr>
            <w:tcW w:w="1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490*490*46</w:t>
            </w:r>
          </w:p>
        </w:tc>
        <w:tc>
          <w:tcPr>
            <w:tcW w:w="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个</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22</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板式G4</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天加</w:t>
            </w:r>
          </w:p>
        </w:tc>
        <w:tc>
          <w:tcPr>
            <w:tcW w:w="5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每季度更换一次（含提供材料）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32</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初效过滤器更换</w:t>
            </w:r>
          </w:p>
        </w:tc>
        <w:tc>
          <w:tcPr>
            <w:tcW w:w="1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590*490*46</w:t>
            </w:r>
          </w:p>
        </w:tc>
        <w:tc>
          <w:tcPr>
            <w:tcW w:w="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个</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60</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板式G4</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天加</w:t>
            </w:r>
          </w:p>
        </w:tc>
        <w:tc>
          <w:tcPr>
            <w:tcW w:w="5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每季度更换一次（含提供材料）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33</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中效过滤器更换</w:t>
            </w:r>
          </w:p>
        </w:tc>
        <w:tc>
          <w:tcPr>
            <w:tcW w:w="1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490*287*381</w:t>
            </w:r>
          </w:p>
        </w:tc>
        <w:tc>
          <w:tcPr>
            <w:tcW w:w="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个</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23</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袋式F8</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天加</w:t>
            </w:r>
          </w:p>
        </w:tc>
        <w:tc>
          <w:tcPr>
            <w:tcW w:w="5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每半年更换一次（含提供材料）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34</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中效过滤器更换</w:t>
            </w:r>
          </w:p>
        </w:tc>
        <w:tc>
          <w:tcPr>
            <w:tcW w:w="1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490*490*381</w:t>
            </w:r>
          </w:p>
        </w:tc>
        <w:tc>
          <w:tcPr>
            <w:tcW w:w="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个</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19</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袋式F8</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天加</w:t>
            </w:r>
          </w:p>
        </w:tc>
        <w:tc>
          <w:tcPr>
            <w:tcW w:w="5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每半年更换一次（含提供材料）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35</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中效过滤器更换</w:t>
            </w:r>
          </w:p>
        </w:tc>
        <w:tc>
          <w:tcPr>
            <w:tcW w:w="1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590*490*500</w:t>
            </w:r>
          </w:p>
        </w:tc>
        <w:tc>
          <w:tcPr>
            <w:tcW w:w="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个</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44</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袋式F8</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天加</w:t>
            </w:r>
          </w:p>
        </w:tc>
        <w:tc>
          <w:tcPr>
            <w:tcW w:w="5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每半年更换一次（含提供材料）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36</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中效过滤器更换</w:t>
            </w:r>
          </w:p>
        </w:tc>
        <w:tc>
          <w:tcPr>
            <w:tcW w:w="1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790*375*400</w:t>
            </w:r>
          </w:p>
        </w:tc>
        <w:tc>
          <w:tcPr>
            <w:tcW w:w="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个</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12</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袋式F8</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天加</w:t>
            </w:r>
          </w:p>
        </w:tc>
        <w:tc>
          <w:tcPr>
            <w:tcW w:w="5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每半年更换一次（含提供材料）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37</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中效过滤器更换</w:t>
            </w:r>
          </w:p>
        </w:tc>
        <w:tc>
          <w:tcPr>
            <w:tcW w:w="1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590*287*500</w:t>
            </w:r>
          </w:p>
        </w:tc>
        <w:tc>
          <w:tcPr>
            <w:tcW w:w="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个</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28</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袋式F8</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天加</w:t>
            </w:r>
          </w:p>
        </w:tc>
        <w:tc>
          <w:tcPr>
            <w:tcW w:w="5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每半年更换一次（含提供材料）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38</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手术室排风口及滤网清洗</w:t>
            </w:r>
          </w:p>
        </w:tc>
        <w:tc>
          <w:tcPr>
            <w:tcW w:w="1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u w:val="none"/>
              </w:rPr>
            </w:pPr>
          </w:p>
        </w:tc>
        <w:tc>
          <w:tcPr>
            <w:tcW w:w="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个</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120</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u w:val="none"/>
              </w:rPr>
            </w:pP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u w:val="none"/>
              </w:rPr>
            </w:pPr>
          </w:p>
        </w:tc>
        <w:tc>
          <w:tcPr>
            <w:tcW w:w="5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每周清洗一次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39</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手术室空调出风口</w:t>
            </w:r>
          </w:p>
        </w:tc>
        <w:tc>
          <w:tcPr>
            <w:tcW w:w="1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u w:val="none"/>
              </w:rPr>
            </w:pPr>
          </w:p>
        </w:tc>
        <w:tc>
          <w:tcPr>
            <w:tcW w:w="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个</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130</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u w:val="none"/>
              </w:rPr>
            </w:pP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u w:val="none"/>
              </w:rPr>
            </w:pPr>
          </w:p>
        </w:tc>
        <w:tc>
          <w:tcPr>
            <w:tcW w:w="5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每周清洗一次，对可拆卸的风口和拆下用水清洗，不可拆卸的则采用强力吸尘器进行清扫。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40</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净化间电动门</w:t>
            </w:r>
          </w:p>
        </w:tc>
        <w:tc>
          <w:tcPr>
            <w:tcW w:w="1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各类</w:t>
            </w:r>
          </w:p>
        </w:tc>
        <w:tc>
          <w:tcPr>
            <w:tcW w:w="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樘</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u w:val="none"/>
              </w:rPr>
            </w:pP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u w:val="none"/>
              </w:rPr>
            </w:pPr>
          </w:p>
        </w:tc>
        <w:tc>
          <w:tcPr>
            <w:tcW w:w="5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1、每半年电动门检测及保养维护一次。2、日常维修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41</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净化间医用气体</w:t>
            </w:r>
          </w:p>
        </w:tc>
        <w:tc>
          <w:tcPr>
            <w:tcW w:w="1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各类</w:t>
            </w:r>
          </w:p>
        </w:tc>
        <w:tc>
          <w:tcPr>
            <w:tcW w:w="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间</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17</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u w:val="none"/>
              </w:rPr>
            </w:pP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u w:val="none"/>
              </w:rPr>
            </w:pPr>
          </w:p>
        </w:tc>
        <w:tc>
          <w:tcPr>
            <w:tcW w:w="5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每季度对医用气体系统检查维修一次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42</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净化自控系统</w:t>
            </w:r>
          </w:p>
        </w:tc>
        <w:tc>
          <w:tcPr>
            <w:tcW w:w="1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各类</w:t>
            </w:r>
          </w:p>
        </w:tc>
        <w:tc>
          <w:tcPr>
            <w:tcW w:w="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套</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17</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u w:val="none"/>
              </w:rPr>
            </w:pP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u w:val="none"/>
              </w:rPr>
            </w:pPr>
          </w:p>
        </w:tc>
        <w:tc>
          <w:tcPr>
            <w:tcW w:w="5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每季度净化自控系统检查维护一次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43</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净化数据检测与调整</w:t>
            </w:r>
          </w:p>
        </w:tc>
        <w:tc>
          <w:tcPr>
            <w:tcW w:w="1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u w:val="none"/>
              </w:rPr>
            </w:pPr>
          </w:p>
        </w:tc>
        <w:tc>
          <w:tcPr>
            <w:tcW w:w="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u w:val="none"/>
              </w:rPr>
            </w:pP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17</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u w:val="none"/>
              </w:rPr>
            </w:pP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u w:val="none"/>
              </w:rPr>
            </w:pPr>
          </w:p>
        </w:tc>
        <w:tc>
          <w:tcPr>
            <w:tcW w:w="5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每季度对净化区域进行检测，出具检测报告一次。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44</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净化向配电系统</w:t>
            </w:r>
          </w:p>
        </w:tc>
        <w:tc>
          <w:tcPr>
            <w:tcW w:w="1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各类</w:t>
            </w:r>
          </w:p>
        </w:tc>
        <w:tc>
          <w:tcPr>
            <w:tcW w:w="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间</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17</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u w:val="none"/>
              </w:rPr>
            </w:pP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u w:val="none"/>
              </w:rPr>
            </w:pPr>
          </w:p>
        </w:tc>
        <w:tc>
          <w:tcPr>
            <w:tcW w:w="5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每季度对净化区域配电系统进行检查维护一次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45</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二氧化碳气体汇流排</w:t>
            </w:r>
          </w:p>
        </w:tc>
        <w:tc>
          <w:tcPr>
            <w:tcW w:w="1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各类</w:t>
            </w:r>
          </w:p>
        </w:tc>
        <w:tc>
          <w:tcPr>
            <w:tcW w:w="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项</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u w:val="none"/>
              </w:rPr>
            </w:pP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u w:val="none"/>
              </w:rPr>
            </w:pPr>
          </w:p>
        </w:tc>
        <w:tc>
          <w:tcPr>
            <w:tcW w:w="5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每季度对二氧化碳气体汇流排系统进行检查维护一次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46</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氮气气体汇流排</w:t>
            </w:r>
          </w:p>
        </w:tc>
        <w:tc>
          <w:tcPr>
            <w:tcW w:w="1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各类</w:t>
            </w:r>
          </w:p>
        </w:tc>
        <w:tc>
          <w:tcPr>
            <w:tcW w:w="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项</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u w:val="none"/>
              </w:rPr>
            </w:pP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u w:val="none"/>
              </w:rPr>
            </w:pPr>
          </w:p>
        </w:tc>
        <w:tc>
          <w:tcPr>
            <w:tcW w:w="5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每季度对氮气气体汇流排系统进行检查维护一次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47</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医疗设备带</w:t>
            </w:r>
          </w:p>
        </w:tc>
        <w:tc>
          <w:tcPr>
            <w:tcW w:w="1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各类</w:t>
            </w:r>
          </w:p>
        </w:tc>
        <w:tc>
          <w:tcPr>
            <w:tcW w:w="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套</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1050</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u w:val="none"/>
              </w:rPr>
            </w:pP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u w:val="none"/>
              </w:rPr>
            </w:pPr>
          </w:p>
        </w:tc>
        <w:tc>
          <w:tcPr>
            <w:tcW w:w="5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每季度医疗设备带检查维护</w:t>
            </w:r>
          </w:p>
        </w:tc>
      </w:tr>
    </w:tbl>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ascii="宋体" w:hAnsi="宋体" w:cs="宋体"/>
          <w:b/>
          <w:bCs/>
          <w:color w:val="auto"/>
          <w:szCs w:val="21"/>
          <w:lang w:eastAsia="zh-CN"/>
        </w:rPr>
      </w:pPr>
    </w:p>
    <w:p>
      <w:pPr>
        <w:pStyle w:val="4"/>
        <w:rPr>
          <w:rFonts w:hint="eastAsia"/>
          <w:color w:val="auto"/>
          <w:lang w:eastAsia="zh-CN"/>
        </w:rPr>
      </w:pPr>
    </w:p>
    <w:tbl>
      <w:tblPr>
        <w:tblStyle w:val="24"/>
        <w:tblW w:w="1459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12"/>
        <w:gridCol w:w="1837"/>
        <w:gridCol w:w="1960"/>
        <w:gridCol w:w="675"/>
        <w:gridCol w:w="778"/>
        <w:gridCol w:w="2466"/>
        <w:gridCol w:w="1570"/>
        <w:gridCol w:w="47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60" w:hRule="atLeast"/>
        </w:trPr>
        <w:tc>
          <w:tcPr>
            <w:tcW w:w="14594"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病房医技综合楼中央空调设备清单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序号</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设备名称</w:t>
            </w:r>
          </w:p>
        </w:tc>
        <w:tc>
          <w:tcPr>
            <w:tcW w:w="1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型号规格</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单位</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数量</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其他参数说明</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品牌</w:t>
            </w:r>
          </w:p>
        </w:tc>
        <w:tc>
          <w:tcPr>
            <w:tcW w:w="4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sz w:val="21"/>
                <w:szCs w:val="21"/>
                <w:u w:val="none"/>
                <w:lang w:val="en-US" w:eastAsia="zh-CN"/>
              </w:rPr>
              <w:t>主要工作内容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54"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模块式风冷冷水机组</w:t>
            </w:r>
          </w:p>
        </w:tc>
        <w:tc>
          <w:tcPr>
            <w:tcW w:w="1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EKAC500BR1LH</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16</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制冷量/制热量(KW)：150/158；电机功率(KW)：43.5/43.5；系统1供整栋大楼</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欧科</w:t>
            </w:r>
          </w:p>
        </w:tc>
        <w:tc>
          <w:tcPr>
            <w:tcW w:w="4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按设备厂家设备维护规范及要求进行维护。（包含：每季度检查冷水机组，调整安全控制装置；检查控制装置的工作状态；检查制冷剂的充注量、油槽的油色、油位、油温;检查润滑系统的运行、回油系统；检查电机和启动器的运行；检查油泵的工作状态；检查及紧固各接线端；检查及检测各温控探头及压力转换器的显示精度；检查各电磁阀及电动压差调节阀的工作状态；检查系统是否有泄漏；记录运行状态参数，分析确认机组运行正常，必要时进行机组检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12"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全热回收模块式风冷冷水机组</w:t>
            </w:r>
          </w:p>
        </w:tc>
        <w:tc>
          <w:tcPr>
            <w:tcW w:w="1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EKAC230BR1SR</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12</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制冷量/制热量(KW)：68/74；电机功率(KW)：20.5/21；系统1供整栋大楼，并提供生活热水</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欧科</w:t>
            </w:r>
          </w:p>
        </w:tc>
        <w:tc>
          <w:tcPr>
            <w:tcW w:w="4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按设备厂家设备维护规范及要求进行维护。（包含：每季度检查冷水机组，调整安全控制装置；检查控制装置的工作状态；检查制冷剂的充注量、油槽的油色、油位、油温;检查润滑系统的运行、回油系统；检查电机和启动器的运行；检查油泵的工作状态；检查及紧固各接线端；检查及检测各温控探头及压力转换器的显示精度；检查各电磁阀及电动压差调节阀的工作状态；检查系统是否有泄漏；记录运行状态参数，分析确认机组运行正常，必要时进行机组检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90"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模块式水冷冷水机组</w:t>
            </w:r>
          </w:p>
        </w:tc>
        <w:tc>
          <w:tcPr>
            <w:tcW w:w="1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EKWD075CR1</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12</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制冷量(KW)：248；电机功率(KW)：47；系统1供整栋大楼，并用冷却塔散热。</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欧科</w:t>
            </w:r>
          </w:p>
        </w:tc>
        <w:tc>
          <w:tcPr>
            <w:tcW w:w="4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按设备厂家设备维护规范及要求进行维护。（包含：每季度检查冷水机组，调整安全控制装置；检查控制装置的工作状态；检查制冷剂的充注量、油槽的油色、油位、油温;检查润滑系统的运行、回油系统；检查电机和启动器的运行；检查油泵的工作状态；检查及紧固各接线端；检查及检测各温控探头及压力转换器的显示精度；检查各电磁阀及电动压差调节阀的工作状态；检查系统是否有泄漏；记录运行状态参数，分析确认机组运行正常，必要时进行机组检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89"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模块式风冷热泵机组</w:t>
            </w:r>
          </w:p>
        </w:tc>
        <w:tc>
          <w:tcPr>
            <w:tcW w:w="1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EKAC460BR1-D</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18</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制冷量/制热量(KW)：134/142；电机功率(KW)：40/41；系统2供3/4/5楼手术区</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欧科</w:t>
            </w:r>
          </w:p>
        </w:tc>
        <w:tc>
          <w:tcPr>
            <w:tcW w:w="4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按设备厂家设备维护规范及要求进行维护。（包含：每季度检查冷水机组，调整安全控制装置；检查控制装置的工作状态；检查制冷剂的充注量、油槽的油色、油位、油温;检查润滑系统的运行、回油系统；检查电机和启动器的运行；检查油泵的工作状态；检查及紧固各接线端；检查及检测各温控探头及压力转换器的显示精度；检查各电磁阀及电动压差调节阀的工作状态；检查系统是否有泄漏；记录运行状态参数，分析确认机组运行正常，必要时进行机组检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20"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模块式风冷热泵机组</w:t>
            </w:r>
          </w:p>
        </w:tc>
        <w:tc>
          <w:tcPr>
            <w:tcW w:w="1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EKAC460BR1-D</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8</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制冷量/制热量(KW)：134/142；电机功率(KW)：40/41。系统4供8-12楼ICU/PICU；系统3供3楼遗传与基因组</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欧科</w:t>
            </w:r>
          </w:p>
        </w:tc>
        <w:tc>
          <w:tcPr>
            <w:tcW w:w="4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按设备厂家设备维护规范及要求进行维护。（包含：每季度检查冷水机组，调整安全控制装置；检查控制装置的工作状态；检查制冷剂的充注量、油槽的油色、油位、油温;检查润滑系统的运行、回油系统；检查电机和启动器的运行；检查油泵的工作状态；检查及紧固各接线端；检查及检测各温控探头及压力转换器的显示精度；检查各电磁阀及电动压差调节阀的工作状态；检查系统是否有泄漏；记录运行状态参数，分析确认机组运行正常，必要时进行机组检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空调冷冻水泵，对应LS-01~12,</w:t>
            </w:r>
          </w:p>
        </w:tc>
        <w:tc>
          <w:tcPr>
            <w:tcW w:w="1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SLS200-400(I)B</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流量(m3/h)：346；电机功率(KW)：55；扬程：38m；系统1，配冷却塔</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上海连成</w:t>
            </w:r>
          </w:p>
        </w:tc>
        <w:tc>
          <w:tcPr>
            <w:tcW w:w="4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每月定期检查维护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7</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空调冷却水泵，对应LS-01~12,</w:t>
            </w:r>
          </w:p>
        </w:tc>
        <w:tc>
          <w:tcPr>
            <w:tcW w:w="1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SLS200-315(I)</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流量(m3/h)：400；电机功率(KW)：55；扬程：32m；系统1，配冷却塔</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上海连成</w:t>
            </w:r>
          </w:p>
        </w:tc>
        <w:tc>
          <w:tcPr>
            <w:tcW w:w="4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每月定期检查维护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8</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空调冷冻水泵，对应K-1~16,</w:t>
            </w:r>
          </w:p>
        </w:tc>
        <w:tc>
          <w:tcPr>
            <w:tcW w:w="1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SLS200-400GB</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流量(m3/h)：260；电机功率(KW)：45；扬程：38m；系统1</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上海连成</w:t>
            </w:r>
          </w:p>
        </w:tc>
        <w:tc>
          <w:tcPr>
            <w:tcW w:w="4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每月定期检查维护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9</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空调冷热水泵，对应K-17~28,</w:t>
            </w:r>
          </w:p>
        </w:tc>
        <w:tc>
          <w:tcPr>
            <w:tcW w:w="1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FLGR40</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流量(m3/h)：12.5；电机功率(KW)：3；扬程：32m；系统1</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上海熊猫</w:t>
            </w:r>
          </w:p>
        </w:tc>
        <w:tc>
          <w:tcPr>
            <w:tcW w:w="4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每月定期检查维护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空调冷热水泵，对应K-17~28,</w:t>
            </w:r>
          </w:p>
        </w:tc>
        <w:tc>
          <w:tcPr>
            <w:tcW w:w="1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SR15-4</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流量(m3/h)：13.5；电机功率(KW)：4；扬程：50m；系统1</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上海熊猫</w:t>
            </w:r>
          </w:p>
        </w:tc>
        <w:tc>
          <w:tcPr>
            <w:tcW w:w="4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每月定期检查维护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11</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空调冷热水泵，对应K-17~28,</w:t>
            </w:r>
          </w:p>
        </w:tc>
        <w:tc>
          <w:tcPr>
            <w:tcW w:w="1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SR15-7</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流量(m3/h)：15；电机功率(KW)：5.5；扬程：86m；系统1</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上海熊猫</w:t>
            </w:r>
          </w:p>
        </w:tc>
        <w:tc>
          <w:tcPr>
            <w:tcW w:w="4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每月定期检查维护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12</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空调冷热水泵，对应K-17~28,</w:t>
            </w:r>
          </w:p>
        </w:tc>
        <w:tc>
          <w:tcPr>
            <w:tcW w:w="1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FLGR80-250（1）A</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流量(m3/h)：93.5；电机功率(KW)：30；扬程：72m；系统1</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上海熊猫</w:t>
            </w:r>
          </w:p>
        </w:tc>
        <w:tc>
          <w:tcPr>
            <w:tcW w:w="4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每月定期检查维护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13</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空调冷冻水泵，对应K-T-1~18</w:t>
            </w:r>
          </w:p>
        </w:tc>
        <w:tc>
          <w:tcPr>
            <w:tcW w:w="1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SLS155-411B</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流量(m3/h)：170；电机功率(KW)：22；扬程：32m；系统2</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上海连成</w:t>
            </w:r>
          </w:p>
        </w:tc>
        <w:tc>
          <w:tcPr>
            <w:tcW w:w="4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每月定期检查维护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14</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空调冷冻水泵，对应K-T-19~22,</w:t>
            </w:r>
          </w:p>
        </w:tc>
        <w:tc>
          <w:tcPr>
            <w:tcW w:w="1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SLS55-160</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流量(m3/h)：55；电机功率(KW)：11；扬程：29m；系统3,4</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上海连成</w:t>
            </w:r>
          </w:p>
        </w:tc>
        <w:tc>
          <w:tcPr>
            <w:tcW w:w="4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每月定期检查维护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15</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低噪声方形冷却塔</w:t>
            </w:r>
          </w:p>
        </w:tc>
        <w:tc>
          <w:tcPr>
            <w:tcW w:w="1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YHW-3003VY</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冷却水量(m3/h)：452；电机功率(KW)：18.5；</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元亨</w:t>
            </w:r>
          </w:p>
        </w:tc>
        <w:tc>
          <w:tcPr>
            <w:tcW w:w="4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1、定期检查（每年4次），定期检查（每年4次），并出具水质检测报告/2、定期清洗（每月一次）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16</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全程水处理器</w:t>
            </w:r>
          </w:p>
        </w:tc>
        <w:tc>
          <w:tcPr>
            <w:tcW w:w="1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SCL-72-300</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w:t>
            </w:r>
          </w:p>
        </w:tc>
        <w:tc>
          <w:tcPr>
            <w:tcW w:w="2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处理流量：720m3/h，管径:DN300</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u w:val="none"/>
              </w:rPr>
            </w:pPr>
          </w:p>
        </w:tc>
        <w:tc>
          <w:tcPr>
            <w:tcW w:w="4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每月定期检查维护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17</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全程水处理器</w:t>
            </w:r>
          </w:p>
        </w:tc>
        <w:tc>
          <w:tcPr>
            <w:tcW w:w="1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SCL-51-350</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2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处理流量：510m3/h，管径:DN350</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u w:val="none"/>
              </w:rPr>
            </w:pPr>
          </w:p>
        </w:tc>
        <w:tc>
          <w:tcPr>
            <w:tcW w:w="4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每月定期检查维护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18</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全程水处理器</w:t>
            </w:r>
          </w:p>
        </w:tc>
        <w:tc>
          <w:tcPr>
            <w:tcW w:w="1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SCL-12-150</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w:t>
            </w:r>
          </w:p>
        </w:tc>
        <w:tc>
          <w:tcPr>
            <w:tcW w:w="2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处理流量：120m3/h，管径:DN150</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u w:val="none"/>
              </w:rPr>
            </w:pPr>
          </w:p>
        </w:tc>
        <w:tc>
          <w:tcPr>
            <w:tcW w:w="4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每月定期检查维护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19</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全程水处理器</w:t>
            </w:r>
          </w:p>
        </w:tc>
        <w:tc>
          <w:tcPr>
            <w:tcW w:w="1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SCL-100-350</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2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处理流量：1000m3/h，管径:DN350</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u w:val="none"/>
              </w:rPr>
            </w:pPr>
          </w:p>
        </w:tc>
        <w:tc>
          <w:tcPr>
            <w:tcW w:w="4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每月定期检查维护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60"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医用洁净空调机组</w:t>
            </w:r>
          </w:p>
        </w:tc>
        <w:tc>
          <w:tcPr>
            <w:tcW w:w="1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TBC1620CHW</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风量：21000；冷量：108.5KW；加湿量：32kg/h；电机功率：15KW </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天加</w:t>
            </w:r>
          </w:p>
        </w:tc>
        <w:tc>
          <w:tcPr>
            <w:tcW w:w="4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1、每季度对净化机组部件进行维护和对控制柜进行检测。2、每年净化新风柜机组表冷器及叶轮清洗保养。3、每月清洗消毒新风滤网清洗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0"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21</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医用洁净空调机组</w:t>
            </w:r>
          </w:p>
        </w:tc>
        <w:tc>
          <w:tcPr>
            <w:tcW w:w="1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TBC1213CHW</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风量：13000；冷量：64KW；加湿量：25kg/h；电机功率：7.5KW </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天加</w:t>
            </w:r>
          </w:p>
        </w:tc>
        <w:tc>
          <w:tcPr>
            <w:tcW w:w="4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1、每季度对净化机组部件进行维护和对控制柜进行检测。2、每年净化新风柜机组表冷器及叶轮清洗保养。4、每月清洗消毒新风滤网清洗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20"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22</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医用洁净空调机组</w:t>
            </w:r>
          </w:p>
        </w:tc>
        <w:tc>
          <w:tcPr>
            <w:tcW w:w="1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TAC0713CHW</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风量：10500；冷量：40.5KW；加湿量：15kg/h；电机功率：7.5KW </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天加</w:t>
            </w:r>
          </w:p>
        </w:tc>
        <w:tc>
          <w:tcPr>
            <w:tcW w:w="4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1、每季度对净化机组部件进行维护和对控制柜进行检测。2、每年净化新风柜机组表冷器及叶轮清洗保养。5、每月清洗消毒新风滤网清洗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60"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23</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医用洁净空调机组</w:t>
            </w:r>
          </w:p>
        </w:tc>
        <w:tc>
          <w:tcPr>
            <w:tcW w:w="1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TAC0814CHW</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25</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风量：6800；冷量：30.5KW；加湿量：15kg/h；电机功率：5.5KW </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天加</w:t>
            </w:r>
          </w:p>
        </w:tc>
        <w:tc>
          <w:tcPr>
            <w:tcW w:w="4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1、每季度对净化机组部件进行维护和对控制柜进行检测。2、每年净化新风柜机组表冷器及叶轮清洗保养。6、每月清洗消毒新风滤网清洗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0"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24</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深度除湿新风机</w:t>
            </w:r>
          </w:p>
        </w:tc>
        <w:tc>
          <w:tcPr>
            <w:tcW w:w="1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TAC1015BHS</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风量：7800；制冷量：14.5KW；制热量：18.2KW；电机功率：4KW </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天加</w:t>
            </w:r>
          </w:p>
        </w:tc>
        <w:tc>
          <w:tcPr>
            <w:tcW w:w="4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1、每季度对净化机组部件进行维护和对控制柜进行检测。2、每年净化新风柜机组表冷器及叶轮清洗保养。3、每月清洗消毒新风滤网清洗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20"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25</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深度除湿新风机</w:t>
            </w:r>
          </w:p>
        </w:tc>
        <w:tc>
          <w:tcPr>
            <w:tcW w:w="1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TAC1116BHS</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风量：10000；制冷量：18.5KW；制热量：22.7KW；电机功率：5.5KW </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天加</w:t>
            </w:r>
          </w:p>
        </w:tc>
        <w:tc>
          <w:tcPr>
            <w:tcW w:w="4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1、每季度对净化机组部件进行维护和对控制柜进行检测。2、每年净化新风柜机组表冷器及叶轮清洗保养。3、每月清洗消毒新风滤网清洗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0"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26</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组合式空调机组</w:t>
            </w:r>
          </w:p>
        </w:tc>
        <w:tc>
          <w:tcPr>
            <w:tcW w:w="1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TBC0810CHW</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风量：4800；冷量：30KW；加湿量：15kg/h；电机功率：4KW </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天加</w:t>
            </w:r>
          </w:p>
        </w:tc>
        <w:tc>
          <w:tcPr>
            <w:tcW w:w="4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1、每季度对净化机组部件进行维护和对控制柜进行检测。2、每年净化新风柜机组表冷器及叶轮清洗保养。3、每月清洗消毒新风滤网清洗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13"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27</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风机盘管</w:t>
            </w:r>
          </w:p>
        </w:tc>
        <w:tc>
          <w:tcPr>
            <w:tcW w:w="1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EKCW200YC5</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254</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冷量：2.26KW,风量：340</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欧科</w:t>
            </w:r>
          </w:p>
        </w:tc>
        <w:tc>
          <w:tcPr>
            <w:tcW w:w="4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定期对风机盘管拆、洗、装、清洗盘管翅片并消毒，检测风速，使风机盘管风速保持不低于3.0m/s（根据电机功率定）；（每年1次/年）2、检查风机盘管电流、电容、轴承、风机盘管电动二通阀、风速、温度、确认电气控制装置工作状况良好，并出具运行情况报告。（每年两次），3、每季度清洗空调回风口及滤网，4、每月清洗公共区域的中央空调的出风口、回风口、排风口、滤网及新风机初效过滤器；5、每季度清洗空调出风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2"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28</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风机盘管</w:t>
            </w:r>
          </w:p>
        </w:tc>
        <w:tc>
          <w:tcPr>
            <w:tcW w:w="1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EKCW300YC5</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209</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冷量：3.1KW,风量：510</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欧科</w:t>
            </w:r>
          </w:p>
        </w:tc>
        <w:tc>
          <w:tcPr>
            <w:tcW w:w="4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定期对风机盘管拆、洗、装、清洗盘管翅片并消毒，检测风速，使风机盘管风速保持不低于3.0m/s（根据电机功率定）；（每年1次/年）2、检查风机盘管电流、电容、轴承、风机盘管电动二通阀、风速、温度、确认电气控制装置工作状况良好，并出具运行情况报告。（每年两次），3、每季度清洗空调回风口及滤网，4、每月清洗公共区域的中央空调的出风口、回风口、排风口、滤网及新风机初效过滤器；5、每季度清洗空调出风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7"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29</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风机盘管</w:t>
            </w:r>
          </w:p>
        </w:tc>
        <w:tc>
          <w:tcPr>
            <w:tcW w:w="1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EKCW400YC5</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80</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冷量：4.1KW,风量：680</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欧科</w:t>
            </w:r>
          </w:p>
        </w:tc>
        <w:tc>
          <w:tcPr>
            <w:tcW w:w="4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定期对风机盘管拆、洗、装、清洗盘管翅片并消毒，检测风速，使风机盘管风速保持不低于3.0m/s（根据电机功率定）；（每年1次/年）2、检查风机盘管电流、电容、轴承、风机盘管电动二通阀、风速、温度、确认电气控制装置工作状况良好，并出具运行情况报告。（每年两次），3、每季度清洗空调回风口及滤网，4、每月清洗公共区域的中央空调的出风口、回风口、排风口、滤网及新风机初效过滤器；5、每季度清洗空调出风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9"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30</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风机盘管</w:t>
            </w:r>
          </w:p>
        </w:tc>
        <w:tc>
          <w:tcPr>
            <w:tcW w:w="1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EKCW500YC5</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566</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冷量：4.85KW,风量：850</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欧科</w:t>
            </w:r>
          </w:p>
        </w:tc>
        <w:tc>
          <w:tcPr>
            <w:tcW w:w="4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定期对风机盘管拆、洗、装、清洗盘管翅片并消毒，检测风速，使风机盘管风速保持不低于3.0m/s（根据电机功率定）；（每年1次/年）2、检查风机盘管电流、电容、轴承、风机盘管电动二通阀、风速、温度、确认电气控制装置工作状况良好，并出具运行情况报告。（每年两次），3、每季度清洗空调回风口及滤网，4、每月清洗公共区域的中央空调的出风口、回风口、排风口、滤网及新风机初效过滤器；5、每季度清洗空调出风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2"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31</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风机盘管</w:t>
            </w:r>
          </w:p>
        </w:tc>
        <w:tc>
          <w:tcPr>
            <w:tcW w:w="1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EKCW600YC5</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178</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冷量：5.83KW,风量：1020</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欧科</w:t>
            </w:r>
          </w:p>
        </w:tc>
        <w:tc>
          <w:tcPr>
            <w:tcW w:w="4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定期对风机盘管拆、洗、装、清洗盘管翅片并消毒，检测风速，使风机盘管风速保持不低于3.0m/s（根据电机功率定）；（每年1次/年）2、检查风机盘管电流、电容、轴承、风机盘管电动二通阀、风速、温度、确认电气控制装置工作状况良好，并出具运行情况报告。（每年两次），3、每季度清洗空调回风口及滤网，4、每月清洗公共区域的中央空调的出风口、回风口、排风口、滤网及新风机初效过滤器；5、每季度清洗空调出风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30"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32</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风机盘管</w:t>
            </w:r>
          </w:p>
        </w:tc>
        <w:tc>
          <w:tcPr>
            <w:tcW w:w="1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EKCW800YC5</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175</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冷量：7.92KW,风量：1360</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欧科</w:t>
            </w:r>
          </w:p>
        </w:tc>
        <w:tc>
          <w:tcPr>
            <w:tcW w:w="4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定期对风机盘管拆、洗、装、清洗盘管翅片并消毒，检测风速，使风机盘管风速保持不低于3.0m/s（根据电机功率定）；（每年1次/年）2、检查风机盘管电流、电容、轴承、风机盘管电动二通阀、风速、温度、确认电气控制装置工作状况良好，并出具运行情况报告。（每年两次），3、每季度清洗空调回风口及滤网，4、每月清洗公共区域的中央空调的出风口、回风口、排风口、滤网及新风机初效过滤器；5、每季度清洗空调出风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67"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33</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风机盘管</w:t>
            </w:r>
          </w:p>
        </w:tc>
        <w:tc>
          <w:tcPr>
            <w:tcW w:w="1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EKCW1000YC5</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60</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冷量：9.07KW,风量：1700</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欧科</w:t>
            </w:r>
          </w:p>
        </w:tc>
        <w:tc>
          <w:tcPr>
            <w:tcW w:w="4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定期对风机盘管拆、洗、装、清洗盘管翅片并消毒，检测风速，使风机盘管风速保持不低于3.0m/s（根据电机功率定）；（每年1次/年）2、检查风机盘管电流、电容、轴承、风机盘管电动二通阀、风速、温度、确认电气控制装置工作状况良好，并出具运行情况报告。（每年两次），3、每季度清洗空调回风口及滤网，4、每月清洗公共区域的中央空调的出风口、回风口、排风口、滤网及新风机初效过滤器；5、每季度清洗空调出风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83"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34</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风机盘管</w:t>
            </w:r>
          </w:p>
        </w:tc>
        <w:tc>
          <w:tcPr>
            <w:tcW w:w="1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EKCW1200YC5</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45</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冷量：10.95KW,风量：2040</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欧科</w:t>
            </w:r>
          </w:p>
        </w:tc>
        <w:tc>
          <w:tcPr>
            <w:tcW w:w="4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定期对风机盘管拆、洗、装、清洗盘管翅片并消毒，检测风速，使风机盘管风速保持不低于3.0m/s（根据电机功率定）；（每年1次/年）2、检查风机盘管电流、电容、轴承、风机盘管电动二通阀、风速、温度、确认电气控制装置工作状况良好，并出具运行情况报告。（每年两次），3、每季度清洗空调回风口及滤网，4、每月清洗公共区域的中央空调的出风口、回风口、排风口、滤网及新风机初效过滤器；5、每季度清洗空调出风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86"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35</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风机盘管</w:t>
            </w:r>
          </w:p>
        </w:tc>
        <w:tc>
          <w:tcPr>
            <w:tcW w:w="1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EKCW1400YC5</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24</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冷量：12.6KW,风量：2380</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欧科</w:t>
            </w:r>
          </w:p>
        </w:tc>
        <w:tc>
          <w:tcPr>
            <w:tcW w:w="4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定期对风机盘管拆、洗、装、清洗盘管翅片并消毒，检测风速，使风机盘管风速保持不低于3.0m/s（根据电机功率定）；（每年1次/年）2、检查风机盘管电流、电容、轴承、风机盘管电动二通阀、风速、温度、确认电气控制装置工作状况良好，并出具运行情况报告。（每年两次），3、每季度清洗空调回风口及滤网，4、每月清洗公共区域的中央空调的出风口、回风口、排风口、滤网及新风机初效过滤器；5、每季度清洗空调出风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37"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36</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变频多联式空调（热泵）室外机</w:t>
            </w:r>
          </w:p>
        </w:tc>
        <w:tc>
          <w:tcPr>
            <w:tcW w:w="1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W280</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冷量：28KW；热量：31.5KW；电功率：7.07KW</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欧科</w:t>
            </w:r>
          </w:p>
        </w:tc>
        <w:tc>
          <w:tcPr>
            <w:tcW w:w="4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按设备厂家设备维护规范及要求进行维护。（包含：每季度检查冷水机组，调整安全控制装置；检查控制装置的工作状态；检查制冷剂的充注量、油槽的油色、油位、油温;检查润滑系统的运行、回油系统；检查电机和启动器的运行；检查油泵的工作状态；检查及紧固各接线端；检查及检测各温控探头及压力转换器的显示精度；检查各电磁阀及电动压差调节阀的工作状态；检查系统是否有泄漏；记录运行状态参数，分析确认机组运行正常，必要时进行机组检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62"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37</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变频多联式空调（热泵）室外机</w:t>
            </w:r>
          </w:p>
        </w:tc>
        <w:tc>
          <w:tcPr>
            <w:tcW w:w="1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W340</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冷量：34KW；热量：31.5KW；电功率：7.08KW</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欧科</w:t>
            </w:r>
          </w:p>
        </w:tc>
        <w:tc>
          <w:tcPr>
            <w:tcW w:w="4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按设备厂家设备维护规范及要求进行维护。（包含：每季度检查冷水机组，调整安全控制装置；检查控制装置的工作状态；检查制冷剂的充注量、油槽的油色、油位、油温;检查润滑系统的运行、回油系统；检查电机和启动器的运行；检查油泵的工作状态；检查及紧固各接线端；检查及检测各温控探头及压力转换器的显示精度；检查各电磁阀及电动压差调节阀的工作状态；检查系统是否有泄漏；记录运行状态参数，分析确认机组运行正常，必要时进行机组检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8"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38</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变频多联式空调（热泵）室外机</w:t>
            </w:r>
          </w:p>
        </w:tc>
        <w:tc>
          <w:tcPr>
            <w:tcW w:w="1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W450</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冷量：45KW；热量：50.5KW；电功率：12.25KW</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欧科</w:t>
            </w:r>
          </w:p>
        </w:tc>
        <w:tc>
          <w:tcPr>
            <w:tcW w:w="4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按设备厂家设备维护规范及要求进行维护。（包含：每季度检查冷水机组，调整安全控制装置；检查控制装置的工作状态；检查制冷剂的充注量、油槽的油色、油位、油温;检查润滑系统的运行、回油系统；检查电机和启动器的运行；检查油泵的工作状态；检查及紧固各接线端；检查及检测各温控探头及压力转换器的显示精度；检查各电磁阀及电动压差调节阀的工作状态；检查系统是否有泄漏；记录运行状态参数，分析确认机组运行正常，必要时进行机组检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78"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39</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变频多联式空调（热泵）室外机</w:t>
            </w:r>
          </w:p>
        </w:tc>
        <w:tc>
          <w:tcPr>
            <w:tcW w:w="1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W560</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冷量：56.5KW；热量：63KW；电功率：15.12KW</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欧科</w:t>
            </w:r>
          </w:p>
        </w:tc>
        <w:tc>
          <w:tcPr>
            <w:tcW w:w="4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按设备厂家设备维护规范及要求进行维护。（包含：每季度检查冷水机组，调整安全控制装置；检查控制装置的工作状态；检查制冷剂的充注量、油槽的油色、油位、油温;检查润滑系统的运行、回油系统；检查电机和启动器的运行；检查油泵的工作状态；检查及紧固各接线端；检查及检测各温控探头及压力转换器的显示精度；检查各电磁阀及电动压差调节阀的工作状态；检查系统是否有泄漏；记录运行状态参数，分析确认机组运行正常，必要时进行机组检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90"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40</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变频多联式空调（热泵）室外机</w:t>
            </w:r>
          </w:p>
        </w:tc>
        <w:tc>
          <w:tcPr>
            <w:tcW w:w="1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W790</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冷量：79KW；热量：88KW；电功率：21.21KW</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欧科</w:t>
            </w:r>
          </w:p>
        </w:tc>
        <w:tc>
          <w:tcPr>
            <w:tcW w:w="4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按设备厂家设备维护规范及要求进行维护。（包含：每季度检查冷水机组，调整安全控制装置；检查控制装置的工作状态；检查制冷剂的充注量、油槽的油色、油位、油温;检查润滑系统的运行、回油系统；检查电机和启动器的运行；检查油泵的工作状态；检查及紧固各接线端；检查及检测各温控探头及压力转换器的显示精度；检查各电磁阀及电动压差调节阀的工作状态；检查系统是否有泄漏；记录运行状态参数，分析确认机组运行正常，必要时进行机组检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13"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41</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变频多联式空调（热泵）室外机</w:t>
            </w:r>
          </w:p>
        </w:tc>
        <w:tc>
          <w:tcPr>
            <w:tcW w:w="1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W1080</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冷量：108KW；热量：120KW；电功率：28.64KW</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欧科</w:t>
            </w:r>
          </w:p>
        </w:tc>
        <w:tc>
          <w:tcPr>
            <w:tcW w:w="4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按设备厂家设备维护规范及要求进行维护。（包含：每季度检查冷水机组，调整安全控制装置；检查控制装置的工作状态；检查制冷剂的充注量、油槽的油色、油位、油温;检查润滑系统的运行、回油系统；检查电机和启动器的运行；检查油泵的工作状态；检查及紧固各接线端；检查及检测各温控探头及压力转换器的显示精度；检查各电磁阀及电动压差调节阀的工作状态；检查系统是否有泄漏；记录运行状态参数，分析确认机组运行正常，必要时进行机组检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74"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42</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变频多联式空调（热泵）室外机</w:t>
            </w:r>
          </w:p>
        </w:tc>
        <w:tc>
          <w:tcPr>
            <w:tcW w:w="1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W1140</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冷量：114KW；热量：127KW；电功率：30.4KW</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欧科</w:t>
            </w:r>
          </w:p>
        </w:tc>
        <w:tc>
          <w:tcPr>
            <w:tcW w:w="4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按设备厂家设备维护规范及要求进行维护。（包含：每季度检查冷水机组，调整安全控制装置；检查控制装置的工作状态；检查制冷剂的充注量、油槽的油色、油位、油温;检查润滑系统的运行、回油系统；检查电机和启动器的运行；检查油泵的工作状态；检查及紧固各接线端；检查及检测各温控探头及压力转换器的显示精度；检查各电磁阀及电动压差调节阀的工作状态；检查系统是否有泄漏；记录运行状态参数，分析确认机组运行正常，必要时进行机组检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12"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43</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变频多联式空调（热泵）室外机</w:t>
            </w:r>
          </w:p>
        </w:tc>
        <w:tc>
          <w:tcPr>
            <w:tcW w:w="1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W2540</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冷量：254KW；热量：284KW；电功率：69.01KW</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欧科</w:t>
            </w:r>
          </w:p>
        </w:tc>
        <w:tc>
          <w:tcPr>
            <w:tcW w:w="4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按设备厂家设备维护规范及要求进行维护。（包含：每季度检查冷水机组，调整安全控制装置；检查控制装置的工作状态；检查制冷剂的充注量、油槽的油色、油位、油温;检查润滑系统的运行、回油系统；检查电机和启动器的运行；检查油泵的工作状态；检查及紧固各接线端；检查及检测各温控探头及压力转换器的显示精度；检查各电磁阀及电动压差调节阀的工作状态；检查系统是否有泄漏；记录运行状态参数，分析确认机组运行正常，必要时进行机组检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56"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44</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多联式空调系统室内机</w:t>
            </w:r>
          </w:p>
        </w:tc>
        <w:tc>
          <w:tcPr>
            <w:tcW w:w="1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EKCC32F1-M</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9</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冷量：3.2KW；热量：3.6KW；风量：630</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欧科</w:t>
            </w:r>
          </w:p>
        </w:tc>
        <w:tc>
          <w:tcPr>
            <w:tcW w:w="4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定期对室内机盘管拆、洗、装、清洗盘管翅片并消毒，检测风速，使风机盘管风速保持不低于3.0m/s（根据电机功率定）；（每年1次/年）2、检查风机盘管电流、电容、轴承、风机盘管电动二通阀、风速、温度、确认电气控制装置工作状况良好，并出具运行情况报告。（每年两次），3、每季度清洗空调回风口及滤网，4、每月清洗公共区域的中央空调的出风口、回风口、排风口、滤网及新风机初效过滤器；5、每季度清洗空调出风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89"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45</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多联式空调系统室内机</w:t>
            </w:r>
          </w:p>
        </w:tc>
        <w:tc>
          <w:tcPr>
            <w:tcW w:w="1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EKCC36F1-M</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冷量：3.6KW；热量：4.2KW；风量：630</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欧科</w:t>
            </w:r>
          </w:p>
        </w:tc>
        <w:tc>
          <w:tcPr>
            <w:tcW w:w="4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定期对室内机盘管拆、洗、装、清洗盘管翅片并消毒，检测风速，使风机盘管风速保持不低于3.0m/s（根据电机功率定）；（每年1次/年）2、检查风机盘管电流、电容、轴承、风机盘管电动二通阀、风速、温度、确认电气控制装置工作状况良好，并出具运行情况报告。（每年两次），3、每季度清洗空调回风口及滤网，4、每月清洗公共区域的中央空调的出风口、回风口、排风口、滤网及新风机初效过滤器；6、每季度清洗空调出风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4"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46</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多联式空调系统室内机</w:t>
            </w:r>
          </w:p>
        </w:tc>
        <w:tc>
          <w:tcPr>
            <w:tcW w:w="1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EKCC45F1-M</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25</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冷量：4.5KW；热量：5.0KW；风量：900</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欧科</w:t>
            </w:r>
          </w:p>
        </w:tc>
        <w:tc>
          <w:tcPr>
            <w:tcW w:w="4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定期对室内机盘管拆、洗、装、清洗盘管翅片并消毒，检测风速，使风机盘管风速保持不低于3.0m/s（根据电机功率定）；（每年1次/年）2、检查风机盘管电流、电容、轴承、风机盘管电动二通阀、风速、温度、确认电气控制装置工作状况良好，并出具运行情况报告。（每年两次），3、每季度清洗空调回风口及滤网，4、每月清洗公共区域的中央空调的出风口、回风口、排风口、滤网及新风机初效过滤器；7、每季度清洗空调出风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71"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47</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多联式空调系统室内机</w:t>
            </w:r>
          </w:p>
        </w:tc>
        <w:tc>
          <w:tcPr>
            <w:tcW w:w="1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EKCC56F1-M</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23</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冷量：5.6KW；热量：6.3KW；风量：800</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欧科</w:t>
            </w:r>
          </w:p>
        </w:tc>
        <w:tc>
          <w:tcPr>
            <w:tcW w:w="4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定期对室内机盘管拆、洗、装、清洗盘管翅片并消毒，检测风速，使风机盘管风速保持不低于3.0m/s（根据电机功率定）；（每年1次/年）2、检查风机盘管电流、电容、轴承、风机盘管电动二通阀、风速、温度、确认电气控制装置工作状况良好，并出具运行情况报告。（每年两次），3、每季度清洗空调回风口及滤网，4、每月清洗公共区域的中央空调的出风口、回风口、排风口、滤网及新风机初效过滤器；8、每季度清洗空调出风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5"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48</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多联式空调系统室内机</w:t>
            </w:r>
          </w:p>
        </w:tc>
        <w:tc>
          <w:tcPr>
            <w:tcW w:w="1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EKCC71F1-M</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28</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冷量：7.1KW；热量：8.0KW；风量：1200</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欧科</w:t>
            </w:r>
          </w:p>
        </w:tc>
        <w:tc>
          <w:tcPr>
            <w:tcW w:w="4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定期对室内机盘管拆、洗、装、清洗盘管翅片并消毒，检测风速，使风机盘管风速保持不低于3.0m/s（根据电机功率定）；（每年1次/年）2、检查风机盘管电流、电容、轴承、风机盘管电动二通阀、风速、温度、确认电气控制装置工作状况良好，并出具运行情况报告。（每年两次），3、每季度清洗空调回风口及滤网，4、每月清洗公共区域的中央空调的出风口、回风口、排风口、滤网及新风机初效过滤器；9、每季度清洗空调出风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0"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49</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多联式空调系统室内机</w:t>
            </w:r>
          </w:p>
        </w:tc>
        <w:tc>
          <w:tcPr>
            <w:tcW w:w="1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EKCC80F1-M</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冷量：8.0KW；热量：9.0KW；风量：1200</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欧科</w:t>
            </w:r>
          </w:p>
        </w:tc>
        <w:tc>
          <w:tcPr>
            <w:tcW w:w="4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定期对室内机盘管拆、洗、装、清洗盘管翅片并消毒，检测风速，使风机盘管风速保持不低于3.0m/s（根据电机功率定）；（每年1次/年）2、检查风机盘管电流、电容、轴承、风机盘管电动二通阀、风速、温度、确认电气控制装置工作状况良好，并出具运行情况报告。（每年两次），3、每季度清洗空调回风口及滤网，4、每月清洗公共区域的中央空调的出风口、回风口、排风口、滤网及新风机初效过滤器；10、每季度清洗空调出风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64"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50</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多联式空调系统室内机</w:t>
            </w:r>
          </w:p>
        </w:tc>
        <w:tc>
          <w:tcPr>
            <w:tcW w:w="1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EKCC90F1-M</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冷量：9.0KW；热量：10.0KW；风量：1890</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欧科</w:t>
            </w:r>
          </w:p>
        </w:tc>
        <w:tc>
          <w:tcPr>
            <w:tcW w:w="4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定期对室内机盘管拆、洗、装、清洗盘管翅片并消毒，检测风速，使风机盘管风速保持不低于3.0m/s（根据电机功率定）；（每年1次/年）2、检查风机盘管电流、电容、轴承、风机盘管电动二通阀、风速、温度、确认电气控制装置工作状况良好，并出具运行情况报告。（每年两次），3、每季度清洗空调回风口及滤网，4、每月清洗公共区域的中央空调的出风口、回风口、排风口、滤网及新风机初效过滤器；11、每季度清洗空调出风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77"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51</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多联式空调系统室内机</w:t>
            </w:r>
          </w:p>
        </w:tc>
        <w:tc>
          <w:tcPr>
            <w:tcW w:w="1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EKCC112F1-M</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19</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冷量：11.2KW；热量：12.5KW；风量：2000</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欧科</w:t>
            </w:r>
          </w:p>
        </w:tc>
        <w:tc>
          <w:tcPr>
            <w:tcW w:w="4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定期对室内机盘管拆、洗、装、清洗盘管翅片并消毒，检测风速，使风机盘管风速保持不低于3.0m/s（根据电机功率定）；（每年1次/年）2、检查风机盘管电流、电容、轴承、风机盘管电动二通阀、风速、温度、确认电气控制装置工作状况良好，并出具运行情况报告。（每年两次），3、每季度清洗空调回风口及滤网，4、每月清洗公共区域的中央空调的出风口、回风口、排风口、滤网及新风机初效过滤器；12、每季度清洗空调出风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96"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52</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多联式空调系统室内机</w:t>
            </w:r>
          </w:p>
        </w:tc>
        <w:tc>
          <w:tcPr>
            <w:tcW w:w="1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EKCC140F1-M</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11</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冷量：14KW；热量：16.3KW；风量：2000</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欧科</w:t>
            </w:r>
          </w:p>
        </w:tc>
        <w:tc>
          <w:tcPr>
            <w:tcW w:w="4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定期对室内机盘管拆、洗、装、清洗盘管翅片并消毒，检测风速，使风机盘管风速保持不低于3.0m/s（根据电机功率定）；（每年1次/年）2、检查风机盘管电流、电容、轴承、风机盘管电动二通阀、风速、温度、确认电气控制装置工作状况良好，并出具运行情况报告。（每年两次），3、每季度清洗空调回风口及滤网，4、每月清洗公共区域的中央空调的出风口、回风口、排风口、滤网及新风机初效过滤器；13、每季度清洗空调出风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0"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53</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全新风室内机</w:t>
            </w:r>
          </w:p>
        </w:tc>
        <w:tc>
          <w:tcPr>
            <w:tcW w:w="1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X28</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49</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冷量：28KW；热量：20KW；风量：3000</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u w:val="none"/>
              </w:rPr>
            </w:pPr>
          </w:p>
        </w:tc>
        <w:tc>
          <w:tcPr>
            <w:tcW w:w="4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定期对室内机盘管拆、洗、装、清洗盘管翅片并消毒，检测风速，使风机盘管风速保持不低于3.0m/s（根据电机功率定）；（每年1次/年）2、检查风机盘管电流、电容、轴承、风机盘管电动二通阀、风速、温度、确认电气控制装置工作状况良好，并出具运行情况报告。（每年两次），3、每季度清洗空调回风口及滤网，4、每月清洗公共区域的中央空调的出风口、回风口、排风口、滤网及新风机初效过滤器；13、每季度清洗空调出风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2"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54</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直膨式机组室外机</w:t>
            </w:r>
          </w:p>
        </w:tc>
        <w:tc>
          <w:tcPr>
            <w:tcW w:w="1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EKRV100ER1</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冷量：28KW；电功率：8.9KW；风量：7500</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欧科</w:t>
            </w:r>
          </w:p>
        </w:tc>
        <w:tc>
          <w:tcPr>
            <w:tcW w:w="4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按设备厂家设备维护规范及要求进行维护。（包含：每季度检查冷水机组，调整安全控制装置；检查控制装置的工作状态；检查制冷剂的充注量、油槽的油色、油位、油温;检查润滑系统的运行、回油系统；检查电机和启动器的运行；检查油泵的工作状态；检查及紧固各接线端；检查及检测各温控探头及压力转换器的显示精度；检查各电磁阀及电动压差调节阀的工作状态；检查系统是否有泄漏；记录运行状态参数，分析确认机组运行正常，必要时进行机组检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55</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直膨式机组室内机</w:t>
            </w:r>
          </w:p>
        </w:tc>
        <w:tc>
          <w:tcPr>
            <w:tcW w:w="1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EKDB280C1</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冷量：28KW；电功率：17.6KW；风量：7500</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欧科</w:t>
            </w:r>
          </w:p>
        </w:tc>
        <w:tc>
          <w:tcPr>
            <w:tcW w:w="4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1、每季度对机组部件进行维护和对控制柜进行检测。2、每年净化新风柜机组表冷器及叶轮清洗保养。3、每月清洗消毒新风滤网清洗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56</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通风/排风机</w:t>
            </w:r>
          </w:p>
        </w:tc>
        <w:tc>
          <w:tcPr>
            <w:tcW w:w="1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各类</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94</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u w:val="none"/>
              </w:rPr>
            </w:pP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u w:val="none"/>
              </w:rPr>
            </w:pPr>
          </w:p>
        </w:tc>
        <w:tc>
          <w:tcPr>
            <w:tcW w:w="4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1、每季度对机组部件进行维护和对控制柜进行检测。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57</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玻璃钢防腐离心风机</w:t>
            </w:r>
          </w:p>
        </w:tc>
        <w:tc>
          <w:tcPr>
            <w:tcW w:w="1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PF-55</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风量：5500，功率：5.5KW</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u w:val="none"/>
              </w:rPr>
            </w:pPr>
          </w:p>
        </w:tc>
        <w:tc>
          <w:tcPr>
            <w:tcW w:w="4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1、每季度对机组部件进行维护和对控制柜进行检测。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58</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玻璃钢防腐离心风机</w:t>
            </w:r>
          </w:p>
        </w:tc>
        <w:tc>
          <w:tcPr>
            <w:tcW w:w="1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PF-18</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风量：1800，功率：2.2KW</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u w:val="none"/>
              </w:rPr>
            </w:pPr>
          </w:p>
        </w:tc>
        <w:tc>
          <w:tcPr>
            <w:tcW w:w="4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1、每季度对机组部件进行维护和对控制柜进行检测。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59</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玻璃钢防腐离心风机</w:t>
            </w:r>
          </w:p>
        </w:tc>
        <w:tc>
          <w:tcPr>
            <w:tcW w:w="1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PF-160</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风量：16000，功率：11KW</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u w:val="none"/>
              </w:rPr>
            </w:pPr>
          </w:p>
        </w:tc>
        <w:tc>
          <w:tcPr>
            <w:tcW w:w="4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1、每季度对机组部件进行维护和对控制柜进行检测。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60</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玻璃钢防腐离心风机</w:t>
            </w:r>
          </w:p>
        </w:tc>
        <w:tc>
          <w:tcPr>
            <w:tcW w:w="1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PF-62</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风量：6200，功率：5.5KW</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u w:val="none"/>
              </w:rPr>
            </w:pPr>
          </w:p>
        </w:tc>
        <w:tc>
          <w:tcPr>
            <w:tcW w:w="4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1、每季度对机组部件进行维护和对控制柜进行检测。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61</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玻璃钢防腐离心风机</w:t>
            </w:r>
          </w:p>
        </w:tc>
        <w:tc>
          <w:tcPr>
            <w:tcW w:w="1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PF-86</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风量：8600，功率：7.5KW</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u w:val="none"/>
              </w:rPr>
            </w:pPr>
          </w:p>
        </w:tc>
        <w:tc>
          <w:tcPr>
            <w:tcW w:w="4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1、每季度对机组部件进行维护和对控制柜进行检测。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62</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玻璃钢防腐离心风机</w:t>
            </w:r>
          </w:p>
        </w:tc>
        <w:tc>
          <w:tcPr>
            <w:tcW w:w="1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PF-120</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风量：12000，功率：11KW</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u w:val="none"/>
              </w:rPr>
            </w:pPr>
          </w:p>
        </w:tc>
        <w:tc>
          <w:tcPr>
            <w:tcW w:w="4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1、每季度对机组部件进行维护和对控制柜进行检测。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63</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分体空调</w:t>
            </w:r>
          </w:p>
        </w:tc>
        <w:tc>
          <w:tcPr>
            <w:tcW w:w="1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5匹；KFR-120L</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32</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冷量：12KW；热量：13.5KW；风量：2000</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格力</w:t>
            </w:r>
          </w:p>
        </w:tc>
        <w:tc>
          <w:tcPr>
            <w:tcW w:w="4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1、每季度检查维护分体空调。2、每年深度清洗保养分体空调。3、公共部分分体空调内机（门诊大厅、急诊大厅等）2星期清洗一次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64</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分体空调</w:t>
            </w:r>
          </w:p>
        </w:tc>
        <w:tc>
          <w:tcPr>
            <w:tcW w:w="1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3匹；KFR-72G</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13</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冷量：7.2KW；热量：8.2KW；风量：1300</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格力</w:t>
            </w:r>
          </w:p>
        </w:tc>
        <w:tc>
          <w:tcPr>
            <w:tcW w:w="4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1、每季度检查维护分体空调。2、每年深度清洗保养分体空调。3、公共部分分体空调内机（门诊大厅、急诊大厅等）每月清洗一次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65</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分体空调</w:t>
            </w:r>
          </w:p>
        </w:tc>
        <w:tc>
          <w:tcPr>
            <w:tcW w:w="1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2匹；KFR-50G</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15</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冷量：5.0KW；热量：5.7KW；风量：900</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格力</w:t>
            </w:r>
          </w:p>
        </w:tc>
        <w:tc>
          <w:tcPr>
            <w:tcW w:w="4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1、每季度检查维护分体空调。2、每年深度清洗保养分体空调。3、公共部分分体空调内机（门诊大厅、急诊大厅等）每月清洗一次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66</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分体空调</w:t>
            </w:r>
          </w:p>
        </w:tc>
        <w:tc>
          <w:tcPr>
            <w:tcW w:w="1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1.5匹；KFR-35G</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32</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冷量：3.5KW；热量：3.7KW；风量：650</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格力</w:t>
            </w:r>
          </w:p>
        </w:tc>
        <w:tc>
          <w:tcPr>
            <w:tcW w:w="4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1、每季度检查维护分体空调。2、每年深度清洗保养分体空调。3、公共部分分体空调内机（门诊大厅、急诊大厅等）每月清洗一次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67</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分体空调</w:t>
            </w:r>
          </w:p>
        </w:tc>
        <w:tc>
          <w:tcPr>
            <w:tcW w:w="1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1匹；KFR-26G</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冷量：2.6KW；热量：3.0KW；风量：560</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格力</w:t>
            </w:r>
          </w:p>
        </w:tc>
        <w:tc>
          <w:tcPr>
            <w:tcW w:w="4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1、每季度检查维护分体空调。2、每年深度清洗保养分体空调。3、公共部分分体空调内机（门诊大厅、急诊大厅等）每月清洗一次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68</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全热交换器</w:t>
            </w:r>
          </w:p>
        </w:tc>
        <w:tc>
          <w:tcPr>
            <w:tcW w:w="1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HRB030</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风量：3000，功率：2.2KW</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u w:val="none"/>
              </w:rPr>
            </w:pPr>
          </w:p>
        </w:tc>
        <w:tc>
          <w:tcPr>
            <w:tcW w:w="4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1、每季度对机组部件进行维护和对控制柜进行检测。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69</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初效过滤器更换</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490*390*46</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个</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128</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板式G4</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欧科</w:t>
            </w:r>
          </w:p>
        </w:tc>
        <w:tc>
          <w:tcPr>
            <w:tcW w:w="4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每季度更换一次（含提供材料）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70</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初效过滤器更换</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590*390*46</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个</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143</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板式G4</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欧科</w:t>
            </w:r>
          </w:p>
        </w:tc>
        <w:tc>
          <w:tcPr>
            <w:tcW w:w="4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每季度更换一次（含提供材料）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71</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初效过滤器更换</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490*490*46</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个</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55</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板式G4</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欧科</w:t>
            </w:r>
          </w:p>
        </w:tc>
        <w:tc>
          <w:tcPr>
            <w:tcW w:w="4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每季度更换一次（含提供材料）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72</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初效过滤器更换</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590*490*46</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个</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122</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板式G4</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欧科</w:t>
            </w:r>
          </w:p>
        </w:tc>
        <w:tc>
          <w:tcPr>
            <w:tcW w:w="4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每季度更换一次（含提供材料）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73</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中效过滤器更换</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490*287*381</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个</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48</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袋式F8</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欧科</w:t>
            </w:r>
          </w:p>
        </w:tc>
        <w:tc>
          <w:tcPr>
            <w:tcW w:w="4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每半年更换一次（含提供材料）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74</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中效过滤器更换</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490*490*381</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个</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35</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袋式F8</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欧科</w:t>
            </w:r>
          </w:p>
        </w:tc>
        <w:tc>
          <w:tcPr>
            <w:tcW w:w="4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每半年更换一次（含提供材料）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75</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中效过滤器更换</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590*490*500</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个</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95</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袋式F8</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欧科</w:t>
            </w:r>
          </w:p>
        </w:tc>
        <w:tc>
          <w:tcPr>
            <w:tcW w:w="4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每半年更换一次（含提供材料）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76</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中效过滤器更换</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790*375*400</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个</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袋式F8</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欧科</w:t>
            </w:r>
          </w:p>
        </w:tc>
        <w:tc>
          <w:tcPr>
            <w:tcW w:w="4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每半年更换一次（含提供材料）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77</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中效过滤器更换</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590*287*500</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个</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66</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袋式F8</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欧科</w:t>
            </w:r>
          </w:p>
        </w:tc>
        <w:tc>
          <w:tcPr>
            <w:tcW w:w="4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每半年更换一次（含提供材料）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78</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吊顶式换气扇</w:t>
            </w:r>
          </w:p>
        </w:tc>
        <w:tc>
          <w:tcPr>
            <w:tcW w:w="1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V50</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7</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风量：500</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南洋有为</w:t>
            </w:r>
          </w:p>
        </w:tc>
        <w:tc>
          <w:tcPr>
            <w:tcW w:w="4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定期清洗（每半年一次）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79</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吊顶式换气扇</w:t>
            </w:r>
          </w:p>
        </w:tc>
        <w:tc>
          <w:tcPr>
            <w:tcW w:w="1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V5</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44</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风量：50</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南洋有为</w:t>
            </w:r>
          </w:p>
        </w:tc>
        <w:tc>
          <w:tcPr>
            <w:tcW w:w="4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定期清洗（每半年一次）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80</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吊顶式换气扇</w:t>
            </w:r>
          </w:p>
        </w:tc>
        <w:tc>
          <w:tcPr>
            <w:tcW w:w="1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V10</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371</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风量：100</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南洋有为</w:t>
            </w:r>
          </w:p>
        </w:tc>
        <w:tc>
          <w:tcPr>
            <w:tcW w:w="4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定期清洗（每半年一次）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81</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吊顶式换气扇</w:t>
            </w:r>
          </w:p>
        </w:tc>
        <w:tc>
          <w:tcPr>
            <w:tcW w:w="1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V15</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风量：150</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南洋有为</w:t>
            </w:r>
          </w:p>
        </w:tc>
        <w:tc>
          <w:tcPr>
            <w:tcW w:w="4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定期清洗（每半年一次）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82</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吊顶式换气扇</w:t>
            </w:r>
          </w:p>
        </w:tc>
        <w:tc>
          <w:tcPr>
            <w:tcW w:w="1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V20</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62</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风量：200</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南洋有为</w:t>
            </w:r>
          </w:p>
        </w:tc>
        <w:tc>
          <w:tcPr>
            <w:tcW w:w="4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定期清洗（每半年一次）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83</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吊顶式换气扇</w:t>
            </w:r>
          </w:p>
        </w:tc>
        <w:tc>
          <w:tcPr>
            <w:tcW w:w="1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V25</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23</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风量：250</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南洋有为</w:t>
            </w:r>
          </w:p>
        </w:tc>
        <w:tc>
          <w:tcPr>
            <w:tcW w:w="4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定期清洗（每半年一次）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84</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吊顶式换气扇</w:t>
            </w:r>
          </w:p>
        </w:tc>
        <w:tc>
          <w:tcPr>
            <w:tcW w:w="1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V30</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风量：300</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南洋有为</w:t>
            </w:r>
          </w:p>
        </w:tc>
        <w:tc>
          <w:tcPr>
            <w:tcW w:w="4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定期清洗（每半年一次）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85</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吊顶式换气扇</w:t>
            </w:r>
          </w:p>
        </w:tc>
        <w:tc>
          <w:tcPr>
            <w:tcW w:w="1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V40</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48</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风量：400</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南洋有为</w:t>
            </w:r>
          </w:p>
        </w:tc>
        <w:tc>
          <w:tcPr>
            <w:tcW w:w="4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定期清洗（每半年一次）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86</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手术室排风口及滤网清洗</w:t>
            </w:r>
          </w:p>
        </w:tc>
        <w:tc>
          <w:tcPr>
            <w:tcW w:w="1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各类</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个</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292</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u w:val="none"/>
              </w:rPr>
            </w:pP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u w:val="none"/>
              </w:rPr>
            </w:pPr>
          </w:p>
        </w:tc>
        <w:tc>
          <w:tcPr>
            <w:tcW w:w="4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每周清洗一次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5"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87</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手术室空调出风口</w:t>
            </w:r>
          </w:p>
        </w:tc>
        <w:tc>
          <w:tcPr>
            <w:tcW w:w="1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各类</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个</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347</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u w:val="none"/>
              </w:rPr>
            </w:pP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u w:val="none"/>
              </w:rPr>
            </w:pPr>
          </w:p>
        </w:tc>
        <w:tc>
          <w:tcPr>
            <w:tcW w:w="4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每周清洗一次，对可拆卸的风口和拆下用水清洗，不可拆卸的则采用强力吸尘器进行清扫。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88</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净化间电动门</w:t>
            </w:r>
          </w:p>
        </w:tc>
        <w:tc>
          <w:tcPr>
            <w:tcW w:w="1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各类</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樘</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30</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u w:val="none"/>
              </w:rPr>
            </w:pP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u w:val="none"/>
              </w:rPr>
            </w:pPr>
          </w:p>
        </w:tc>
        <w:tc>
          <w:tcPr>
            <w:tcW w:w="4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1、每半年电动门检测及保养维护一次。2、日常维修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89</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净化间医用气体</w:t>
            </w:r>
          </w:p>
        </w:tc>
        <w:tc>
          <w:tcPr>
            <w:tcW w:w="1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各类</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间</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36</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u w:val="none"/>
              </w:rPr>
            </w:pP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u w:val="none"/>
              </w:rPr>
            </w:pPr>
          </w:p>
        </w:tc>
        <w:tc>
          <w:tcPr>
            <w:tcW w:w="4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每季度对医用气体系统检查维修一次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90</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净化自控系统</w:t>
            </w:r>
          </w:p>
        </w:tc>
        <w:tc>
          <w:tcPr>
            <w:tcW w:w="1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各类</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套</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36</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u w:val="none"/>
              </w:rPr>
            </w:pP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u w:val="none"/>
              </w:rPr>
            </w:pPr>
          </w:p>
        </w:tc>
        <w:tc>
          <w:tcPr>
            <w:tcW w:w="4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每季度净化自控系统检查维护一次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91</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净化数据检测与调整</w:t>
            </w:r>
          </w:p>
        </w:tc>
        <w:tc>
          <w:tcPr>
            <w:tcW w:w="1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各类</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间</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36</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u w:val="none"/>
              </w:rPr>
            </w:pP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u w:val="none"/>
              </w:rPr>
            </w:pPr>
          </w:p>
        </w:tc>
        <w:tc>
          <w:tcPr>
            <w:tcW w:w="4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每季度对净化区域进行检测，出具检测报告一次。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92</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净化间配电系统</w:t>
            </w:r>
          </w:p>
        </w:tc>
        <w:tc>
          <w:tcPr>
            <w:tcW w:w="1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各类</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间</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36</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u w:val="none"/>
              </w:rPr>
            </w:pP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u w:val="none"/>
              </w:rPr>
            </w:pPr>
          </w:p>
        </w:tc>
        <w:tc>
          <w:tcPr>
            <w:tcW w:w="4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每季度对净化区域配电系统进行检查维护一次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93</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二氧化碳气体汇流排</w:t>
            </w:r>
          </w:p>
        </w:tc>
        <w:tc>
          <w:tcPr>
            <w:tcW w:w="1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各类</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项</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u w:val="none"/>
              </w:rPr>
            </w:pP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u w:val="none"/>
              </w:rPr>
            </w:pPr>
          </w:p>
        </w:tc>
        <w:tc>
          <w:tcPr>
            <w:tcW w:w="4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每季度对二氧化碳气体汇流排系统进行检查维护一次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94</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氮气气体汇流排</w:t>
            </w:r>
          </w:p>
        </w:tc>
        <w:tc>
          <w:tcPr>
            <w:tcW w:w="1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各类</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项</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u w:val="none"/>
              </w:rPr>
            </w:pP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u w:val="none"/>
              </w:rPr>
            </w:pPr>
          </w:p>
        </w:tc>
        <w:tc>
          <w:tcPr>
            <w:tcW w:w="4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每季度对氮气气体汇流排系统进行检查维护一次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95</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医疗设备带</w:t>
            </w:r>
          </w:p>
        </w:tc>
        <w:tc>
          <w:tcPr>
            <w:tcW w:w="1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各类</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套</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1650</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u w:val="none"/>
              </w:rPr>
            </w:pP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u w:val="none"/>
              </w:rPr>
            </w:pPr>
          </w:p>
        </w:tc>
        <w:tc>
          <w:tcPr>
            <w:tcW w:w="4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每季度医疗设备带检查维护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kern w:val="0"/>
                <w:sz w:val="21"/>
                <w:szCs w:val="21"/>
                <w:highlight w:val="yellow"/>
                <w:u w:val="none"/>
                <w:lang w:val="en-US" w:eastAsia="zh-CN" w:bidi="ar"/>
              </w:rPr>
            </w:pPr>
            <w:r>
              <w:rPr>
                <w:rFonts w:hint="eastAsia" w:ascii="宋体" w:hAnsi="宋体" w:eastAsia="宋体" w:cs="宋体"/>
                <w:i w:val="0"/>
                <w:iCs w:val="0"/>
                <w:color w:val="auto"/>
                <w:kern w:val="0"/>
                <w:sz w:val="21"/>
                <w:szCs w:val="21"/>
                <w:highlight w:val="yellow"/>
                <w:u w:val="none"/>
                <w:lang w:val="en-US" w:eastAsia="zh-CN" w:bidi="ar"/>
              </w:rPr>
              <w:t>96</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kern w:val="0"/>
                <w:sz w:val="21"/>
                <w:szCs w:val="21"/>
                <w:highlight w:val="yellow"/>
                <w:u w:val="none"/>
                <w:lang w:val="en-US" w:eastAsia="zh-CN" w:bidi="ar"/>
              </w:rPr>
            </w:pPr>
            <w:r>
              <w:rPr>
                <w:rFonts w:hint="eastAsia" w:ascii="宋体" w:hAnsi="宋体" w:eastAsia="宋体" w:cs="宋体"/>
                <w:i w:val="0"/>
                <w:iCs w:val="0"/>
                <w:color w:val="auto"/>
                <w:kern w:val="0"/>
                <w:sz w:val="21"/>
                <w:szCs w:val="21"/>
                <w:highlight w:val="yellow"/>
                <w:u w:val="none"/>
                <w:lang w:val="en-US" w:eastAsia="zh-CN" w:bidi="ar"/>
              </w:rPr>
              <w:t>太阳能热水系统</w:t>
            </w:r>
          </w:p>
        </w:tc>
        <w:tc>
          <w:tcPr>
            <w:tcW w:w="1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kern w:val="0"/>
                <w:sz w:val="21"/>
                <w:szCs w:val="21"/>
                <w:highlight w:val="yellow"/>
                <w:u w:val="none"/>
                <w:lang w:val="en-US" w:eastAsia="zh-CN" w:bidi="ar"/>
              </w:rPr>
            </w:pPr>
            <w:r>
              <w:rPr>
                <w:rFonts w:hint="eastAsia" w:ascii="宋体" w:hAnsi="宋体" w:eastAsia="宋体" w:cs="宋体"/>
                <w:i w:val="0"/>
                <w:iCs w:val="0"/>
                <w:color w:val="auto"/>
                <w:kern w:val="0"/>
                <w:sz w:val="21"/>
                <w:szCs w:val="21"/>
                <w:highlight w:val="yellow"/>
                <w:u w:val="none"/>
                <w:lang w:val="en-US" w:eastAsia="zh-CN" w:bidi="ar"/>
              </w:rPr>
              <w:t>各类</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kern w:val="0"/>
                <w:sz w:val="21"/>
                <w:szCs w:val="21"/>
                <w:highlight w:val="yellow"/>
                <w:u w:val="none"/>
                <w:lang w:val="en-US" w:eastAsia="zh-CN" w:bidi="ar"/>
              </w:rPr>
            </w:pPr>
            <w:r>
              <w:rPr>
                <w:rFonts w:hint="eastAsia" w:ascii="宋体" w:hAnsi="宋体" w:eastAsia="宋体" w:cs="宋体"/>
                <w:i w:val="0"/>
                <w:iCs w:val="0"/>
                <w:color w:val="auto"/>
                <w:kern w:val="0"/>
                <w:sz w:val="21"/>
                <w:szCs w:val="21"/>
                <w:highlight w:val="yellow"/>
                <w:u w:val="none"/>
                <w:lang w:val="en-US" w:eastAsia="zh-CN" w:bidi="ar"/>
              </w:rPr>
              <w:t>套</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kern w:val="0"/>
                <w:sz w:val="21"/>
                <w:szCs w:val="21"/>
                <w:highlight w:val="yellow"/>
                <w:u w:val="none"/>
                <w:lang w:val="en-US" w:eastAsia="zh-CN" w:bidi="ar"/>
              </w:rPr>
            </w:pPr>
            <w:r>
              <w:rPr>
                <w:rFonts w:hint="eastAsia" w:ascii="宋体" w:hAnsi="宋体" w:eastAsia="宋体" w:cs="宋体"/>
                <w:i w:val="0"/>
                <w:iCs w:val="0"/>
                <w:color w:val="auto"/>
                <w:kern w:val="0"/>
                <w:sz w:val="21"/>
                <w:szCs w:val="21"/>
                <w:highlight w:val="yellow"/>
                <w:u w:val="none"/>
                <w:lang w:val="en-US" w:eastAsia="zh-CN" w:bidi="ar"/>
              </w:rPr>
              <w:t>1</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highlight w:val="yellow"/>
                <w:u w:val="none"/>
              </w:rPr>
            </w:pP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highlight w:val="yellow"/>
                <w:u w:val="none"/>
              </w:rPr>
            </w:pPr>
          </w:p>
        </w:tc>
        <w:tc>
          <w:tcPr>
            <w:tcW w:w="4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sz w:val="21"/>
                <w:szCs w:val="21"/>
                <w:highlight w:val="yellow"/>
                <w:u w:val="none"/>
              </w:rPr>
            </w:pPr>
            <w:r>
              <w:rPr>
                <w:rFonts w:hint="eastAsia" w:ascii="宋体" w:hAnsi="宋体" w:eastAsia="宋体" w:cs="宋体"/>
                <w:i w:val="0"/>
                <w:iCs w:val="0"/>
                <w:color w:val="auto"/>
                <w:kern w:val="0"/>
                <w:sz w:val="21"/>
                <w:szCs w:val="21"/>
                <w:u w:val="none"/>
                <w:lang w:val="en-US" w:eastAsia="zh-CN" w:bidi="ar"/>
              </w:rPr>
              <w:t>每季度对太阳能系统进行检查维护一次</w:t>
            </w:r>
          </w:p>
        </w:tc>
      </w:tr>
    </w:tbl>
    <w:p>
      <w:pPr>
        <w:pStyle w:val="4"/>
        <w:rPr>
          <w:rFonts w:hint="eastAsia" w:ascii="宋体" w:hAnsi="宋体" w:eastAsia="宋体" w:cs="宋体"/>
          <w:b/>
          <w:bCs/>
          <w:color w:val="auto"/>
          <w:sz w:val="21"/>
          <w:szCs w:val="21"/>
          <w:lang w:eastAsia="zh-CN"/>
        </w:rPr>
      </w:pPr>
      <w:r>
        <w:rPr>
          <w:rFonts w:hint="eastAsia" w:ascii="宋体" w:hAnsi="宋体" w:eastAsia="宋体" w:cs="宋体"/>
          <w:b/>
          <w:bCs/>
          <w:color w:val="auto"/>
          <w:sz w:val="21"/>
          <w:szCs w:val="21"/>
          <w:lang w:val="en-US" w:eastAsia="zh-CN"/>
        </w:rPr>
        <w:t>注：</w:t>
      </w:r>
      <w:r>
        <w:rPr>
          <w:rFonts w:hint="eastAsia" w:ascii="宋体" w:hAnsi="宋体" w:eastAsia="宋体" w:cs="宋体"/>
          <w:b/>
          <w:bCs/>
          <w:color w:val="auto"/>
          <w:sz w:val="21"/>
          <w:szCs w:val="21"/>
          <w:lang w:eastAsia="zh-CN"/>
        </w:rPr>
        <w:t>上表数量为暂定数量，以进场时的实际核点数量为准，合同履行期内，如单项数量变化在</w:t>
      </w:r>
      <w:r>
        <w:rPr>
          <w:rFonts w:hint="eastAsia" w:ascii="宋体" w:hAnsi="宋体" w:eastAsia="宋体" w:cs="宋体"/>
          <w:b/>
          <w:bCs/>
          <w:color w:val="auto"/>
          <w:sz w:val="21"/>
          <w:szCs w:val="21"/>
          <w:lang w:val="en-US" w:eastAsia="zh-CN"/>
        </w:rPr>
        <w:t>±3</w:t>
      </w:r>
      <w:r>
        <w:rPr>
          <w:rFonts w:hint="eastAsia" w:ascii="宋体" w:hAnsi="宋体" w:eastAsia="宋体" w:cs="宋体"/>
          <w:b/>
          <w:bCs/>
          <w:color w:val="auto"/>
          <w:sz w:val="21"/>
          <w:szCs w:val="21"/>
          <w:lang w:eastAsia="zh-CN"/>
        </w:rPr>
        <w:t>%以内时（含</w:t>
      </w:r>
      <w:r>
        <w:rPr>
          <w:rFonts w:hint="eastAsia" w:ascii="宋体" w:hAnsi="宋体" w:eastAsia="宋体" w:cs="宋体"/>
          <w:b/>
          <w:bCs/>
          <w:color w:val="auto"/>
          <w:sz w:val="21"/>
          <w:szCs w:val="21"/>
          <w:lang w:val="en-US" w:eastAsia="zh-CN"/>
        </w:rPr>
        <w:t>3</w:t>
      </w:r>
      <w:r>
        <w:rPr>
          <w:rFonts w:hint="eastAsia" w:ascii="宋体" w:hAnsi="宋体" w:eastAsia="宋体" w:cs="宋体"/>
          <w:b/>
          <w:bCs/>
          <w:color w:val="auto"/>
          <w:sz w:val="21"/>
          <w:szCs w:val="21"/>
          <w:lang w:eastAsia="zh-CN"/>
        </w:rPr>
        <w:t>%），合同总价款不作变更；数量变化超过</w:t>
      </w:r>
      <w:r>
        <w:rPr>
          <w:rFonts w:hint="eastAsia" w:ascii="宋体" w:hAnsi="宋体" w:eastAsia="宋体" w:cs="宋体"/>
          <w:b/>
          <w:bCs/>
          <w:color w:val="auto"/>
          <w:sz w:val="21"/>
          <w:szCs w:val="21"/>
          <w:lang w:val="en-US" w:eastAsia="zh-CN"/>
        </w:rPr>
        <w:t>3</w:t>
      </w:r>
      <w:r>
        <w:rPr>
          <w:rFonts w:hint="eastAsia" w:ascii="宋体" w:hAnsi="宋体" w:eastAsia="宋体" w:cs="宋体"/>
          <w:b/>
          <w:bCs/>
          <w:color w:val="auto"/>
          <w:sz w:val="21"/>
          <w:szCs w:val="21"/>
          <w:lang w:eastAsia="zh-CN"/>
        </w:rPr>
        <w:t>%时，双方协商超出部分的服务费用。</w:t>
      </w:r>
    </w:p>
    <w:p>
      <w:pPr>
        <w:rPr>
          <w:rFonts w:hint="eastAsia" w:ascii="宋体" w:hAnsi="宋体" w:cs="宋体"/>
          <w:b/>
          <w:bCs/>
          <w:color w:val="auto"/>
          <w:szCs w:val="21"/>
          <w:lang w:eastAsia="zh-CN"/>
        </w:rPr>
      </w:pPr>
    </w:p>
    <w:p>
      <w:pPr>
        <w:pStyle w:val="4"/>
        <w:rPr>
          <w:rFonts w:hint="eastAsia" w:ascii="宋体" w:hAnsi="宋体" w:cs="宋体"/>
          <w:b/>
          <w:bCs/>
          <w:color w:val="auto"/>
          <w:szCs w:val="21"/>
          <w:lang w:eastAsia="zh-CN"/>
        </w:rPr>
        <w:sectPr>
          <w:pgSz w:w="16838" w:h="11905" w:orient="landscape"/>
          <w:pgMar w:top="1134" w:right="1134" w:bottom="1134" w:left="1134" w:header="850" w:footer="850" w:gutter="0"/>
          <w:cols w:space="0" w:num="1"/>
          <w:titlePg/>
          <w:rtlGutter w:val="0"/>
          <w:docGrid w:linePitch="331" w:charSpace="0"/>
        </w:sectPr>
      </w:pPr>
    </w:p>
    <w:p>
      <w:pPr>
        <w:rPr>
          <w:rFonts w:hint="eastAsia"/>
          <w:color w:val="auto"/>
          <w:lang w:eastAsia="zh-CN"/>
        </w:rPr>
      </w:pP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ascii="宋体" w:hAnsi="宋体" w:cs="宋体"/>
          <w:b/>
          <w:bCs/>
          <w:color w:val="auto"/>
          <w:szCs w:val="21"/>
        </w:rPr>
      </w:pPr>
      <w:r>
        <w:rPr>
          <w:rFonts w:hint="eastAsia" w:ascii="宋体" w:hAnsi="宋体" w:cs="宋体"/>
          <w:b/>
          <w:bCs/>
          <w:color w:val="auto"/>
          <w:szCs w:val="21"/>
          <w:lang w:eastAsia="zh-CN"/>
        </w:rPr>
        <w:t>附件</w:t>
      </w:r>
      <w:r>
        <w:rPr>
          <w:rFonts w:hint="eastAsia" w:ascii="宋体" w:hAnsi="宋体" w:cs="宋体"/>
          <w:b/>
          <w:bCs/>
          <w:color w:val="auto"/>
          <w:szCs w:val="21"/>
          <w:lang w:val="en-US" w:eastAsia="zh-CN"/>
        </w:rPr>
        <w:t>2</w:t>
      </w:r>
      <w:r>
        <w:rPr>
          <w:rFonts w:hint="eastAsia" w:ascii="宋体" w:hAnsi="宋体" w:cs="宋体"/>
          <w:b/>
          <w:bCs/>
          <w:color w:val="auto"/>
          <w:szCs w:val="21"/>
          <w:lang w:eastAsia="zh-CN"/>
        </w:rPr>
        <w:t>：</w:t>
      </w:r>
      <w:r>
        <w:rPr>
          <w:rFonts w:hint="eastAsia" w:ascii="宋体" w:hAnsi="宋体" w:cs="宋体"/>
          <w:b/>
          <w:bCs/>
          <w:color w:val="auto"/>
          <w:szCs w:val="21"/>
        </w:rPr>
        <w:t>中央空调及净化空调维保服务项目考核表</w:t>
      </w:r>
    </w:p>
    <w:tbl>
      <w:tblPr>
        <w:tblStyle w:val="24"/>
        <w:tblW w:w="103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
        <w:gridCol w:w="5026"/>
        <w:gridCol w:w="2086"/>
        <w:gridCol w:w="1202"/>
        <w:gridCol w:w="1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889"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Cs w:val="21"/>
              </w:rPr>
            </w:pPr>
            <w:r>
              <w:rPr>
                <w:rFonts w:hint="eastAsia" w:ascii="宋体" w:hAnsi="宋体" w:cs="宋体"/>
                <w:color w:val="auto"/>
                <w:szCs w:val="21"/>
              </w:rPr>
              <w:t>序号</w:t>
            </w:r>
          </w:p>
        </w:tc>
        <w:tc>
          <w:tcPr>
            <w:tcW w:w="502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Cs w:val="21"/>
              </w:rPr>
            </w:pPr>
            <w:r>
              <w:rPr>
                <w:rFonts w:hint="eastAsia" w:ascii="宋体" w:hAnsi="宋体" w:cs="宋体"/>
                <w:color w:val="auto"/>
                <w:szCs w:val="21"/>
              </w:rPr>
              <w:t>考核标准</w:t>
            </w:r>
          </w:p>
        </w:tc>
        <w:tc>
          <w:tcPr>
            <w:tcW w:w="208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Cs w:val="21"/>
              </w:rPr>
            </w:pPr>
            <w:r>
              <w:rPr>
                <w:rFonts w:hint="eastAsia" w:ascii="宋体" w:hAnsi="宋体" w:cs="宋体"/>
                <w:color w:val="auto"/>
                <w:szCs w:val="21"/>
              </w:rPr>
              <w:t>处罚标准</w:t>
            </w:r>
          </w:p>
        </w:tc>
        <w:tc>
          <w:tcPr>
            <w:tcW w:w="1202"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Cs w:val="21"/>
              </w:rPr>
            </w:pPr>
            <w:r>
              <w:rPr>
                <w:rFonts w:hint="eastAsia" w:ascii="宋体" w:hAnsi="宋体" w:cs="宋体"/>
                <w:color w:val="auto"/>
                <w:szCs w:val="21"/>
              </w:rPr>
              <w:t>处罚原因</w:t>
            </w:r>
            <w:r>
              <w:rPr>
                <w:rFonts w:hint="eastAsia" w:ascii="宋体" w:hAnsi="宋体" w:cs="宋体"/>
                <w:color w:val="auto"/>
                <w:szCs w:val="21"/>
              </w:rPr>
              <w:cr/>
            </w:r>
          </w:p>
        </w:tc>
        <w:tc>
          <w:tcPr>
            <w:tcW w:w="114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Cs w:val="21"/>
              </w:rPr>
            </w:pPr>
            <w:r>
              <w:rPr>
                <w:rFonts w:hint="eastAsia" w:ascii="宋体" w:hAnsi="宋体" w:cs="宋体"/>
                <w:color w:val="auto"/>
                <w:szCs w:val="21"/>
              </w:rPr>
              <w:t>罚款金额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9"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Cs w:val="21"/>
              </w:rPr>
            </w:pPr>
            <w:r>
              <w:rPr>
                <w:rFonts w:hint="eastAsia" w:ascii="宋体" w:hAnsi="宋体" w:cs="宋体"/>
                <w:color w:val="auto"/>
                <w:szCs w:val="21"/>
              </w:rPr>
              <w:t>1</w:t>
            </w:r>
          </w:p>
        </w:tc>
        <w:tc>
          <w:tcPr>
            <w:tcW w:w="502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right="-109" w:rightChars="-52"/>
              <w:textAlignment w:val="auto"/>
              <w:rPr>
                <w:rFonts w:hint="eastAsia" w:ascii="宋体" w:hAnsi="宋体" w:cs="宋体"/>
                <w:color w:val="auto"/>
                <w:szCs w:val="21"/>
              </w:rPr>
            </w:pPr>
            <w:r>
              <w:rPr>
                <w:rFonts w:hint="eastAsia" w:ascii="宋体" w:hAnsi="宋体" w:cs="宋体"/>
                <w:bCs/>
                <w:color w:val="auto"/>
                <w:szCs w:val="21"/>
              </w:rPr>
              <w:t>随意更换项目主管未提前通报医院并征求医院意见的</w:t>
            </w:r>
          </w:p>
        </w:tc>
        <w:tc>
          <w:tcPr>
            <w:tcW w:w="208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Cs w:val="21"/>
              </w:rPr>
            </w:pPr>
            <w:r>
              <w:rPr>
                <w:rFonts w:hint="eastAsia" w:ascii="宋体" w:hAnsi="宋体" w:cs="宋体"/>
                <w:color w:val="auto"/>
                <w:szCs w:val="21"/>
              </w:rPr>
              <w:t>500元/次</w:t>
            </w:r>
          </w:p>
        </w:tc>
        <w:tc>
          <w:tcPr>
            <w:tcW w:w="1202"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Cs w:val="21"/>
              </w:rPr>
            </w:pPr>
          </w:p>
        </w:tc>
        <w:tc>
          <w:tcPr>
            <w:tcW w:w="114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9"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Cs w:val="21"/>
              </w:rPr>
            </w:pPr>
            <w:r>
              <w:rPr>
                <w:rFonts w:hint="eastAsia" w:ascii="宋体" w:hAnsi="宋体" w:cs="宋体"/>
                <w:color w:val="auto"/>
                <w:szCs w:val="21"/>
              </w:rPr>
              <w:t>2</w:t>
            </w:r>
          </w:p>
        </w:tc>
        <w:tc>
          <w:tcPr>
            <w:tcW w:w="502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right="-109" w:rightChars="-52"/>
              <w:textAlignment w:val="auto"/>
              <w:rPr>
                <w:rFonts w:hint="eastAsia" w:ascii="宋体" w:hAnsi="宋体" w:cs="宋体"/>
                <w:color w:val="auto"/>
                <w:szCs w:val="21"/>
              </w:rPr>
            </w:pPr>
            <w:r>
              <w:rPr>
                <w:rFonts w:hint="eastAsia" w:ascii="宋体" w:hAnsi="宋体" w:cs="宋体"/>
                <w:bCs/>
                <w:color w:val="auto"/>
                <w:szCs w:val="21"/>
              </w:rPr>
              <w:t>未按招标文件要求投入足够人员造成缺岗的；</w:t>
            </w:r>
            <w:r>
              <w:rPr>
                <w:rFonts w:hint="eastAsia" w:ascii="宋体" w:hAnsi="宋体" w:cs="宋体"/>
                <w:color w:val="auto"/>
                <w:szCs w:val="21"/>
              </w:rPr>
              <w:t>驻场人员需每日考勤，若采购人抽查发现缺岗或维修人员不符合岗位要求的</w:t>
            </w:r>
          </w:p>
        </w:tc>
        <w:tc>
          <w:tcPr>
            <w:tcW w:w="208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Cs w:val="21"/>
              </w:rPr>
            </w:pPr>
            <w:r>
              <w:rPr>
                <w:rFonts w:hint="eastAsia" w:ascii="宋体" w:hAnsi="宋体" w:cs="宋体"/>
                <w:color w:val="auto"/>
                <w:szCs w:val="21"/>
              </w:rPr>
              <w:t>500元/人/次</w:t>
            </w:r>
          </w:p>
        </w:tc>
        <w:tc>
          <w:tcPr>
            <w:tcW w:w="1202"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Cs w:val="21"/>
              </w:rPr>
            </w:pPr>
          </w:p>
        </w:tc>
        <w:tc>
          <w:tcPr>
            <w:tcW w:w="114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89"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Cs w:val="21"/>
              </w:rPr>
            </w:pPr>
            <w:r>
              <w:rPr>
                <w:rFonts w:hint="eastAsia" w:ascii="宋体" w:hAnsi="宋体" w:cs="宋体"/>
                <w:color w:val="auto"/>
                <w:szCs w:val="21"/>
              </w:rPr>
              <w:t>3</w:t>
            </w:r>
          </w:p>
        </w:tc>
        <w:tc>
          <w:tcPr>
            <w:tcW w:w="502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right="-109" w:rightChars="-52"/>
              <w:textAlignment w:val="auto"/>
              <w:rPr>
                <w:rFonts w:hint="eastAsia" w:ascii="宋体" w:hAnsi="宋体" w:cs="宋体"/>
                <w:color w:val="auto"/>
                <w:szCs w:val="21"/>
              </w:rPr>
            </w:pPr>
            <w:r>
              <w:rPr>
                <w:rFonts w:hint="eastAsia" w:ascii="宋体" w:hAnsi="宋体" w:cs="宋体"/>
                <w:bCs/>
                <w:color w:val="auto"/>
                <w:szCs w:val="21"/>
              </w:rPr>
              <w:t>未按要求对人员进行体检、持证上岗人员无证、持假证的，人员不符合上岗要求的，个人资料不实，弄虚作假的；</w:t>
            </w:r>
          </w:p>
        </w:tc>
        <w:tc>
          <w:tcPr>
            <w:tcW w:w="208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Cs w:val="21"/>
              </w:rPr>
            </w:pPr>
            <w:r>
              <w:rPr>
                <w:rFonts w:hint="eastAsia" w:ascii="宋体" w:hAnsi="宋体" w:cs="宋体"/>
                <w:color w:val="auto"/>
                <w:szCs w:val="21"/>
              </w:rPr>
              <w:t>700元/人/次</w:t>
            </w:r>
          </w:p>
        </w:tc>
        <w:tc>
          <w:tcPr>
            <w:tcW w:w="1202"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Cs w:val="21"/>
              </w:rPr>
            </w:pPr>
          </w:p>
        </w:tc>
        <w:tc>
          <w:tcPr>
            <w:tcW w:w="114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9"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Cs w:val="21"/>
              </w:rPr>
            </w:pPr>
            <w:r>
              <w:rPr>
                <w:rFonts w:hint="eastAsia" w:ascii="宋体" w:hAnsi="宋体" w:cs="宋体"/>
                <w:color w:val="auto"/>
                <w:szCs w:val="21"/>
              </w:rPr>
              <w:t>4</w:t>
            </w:r>
          </w:p>
        </w:tc>
        <w:tc>
          <w:tcPr>
            <w:tcW w:w="502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right="-109" w:rightChars="-52"/>
              <w:textAlignment w:val="auto"/>
              <w:rPr>
                <w:rFonts w:hint="eastAsia" w:ascii="宋体" w:hAnsi="宋体" w:cs="宋体"/>
                <w:color w:val="auto"/>
                <w:szCs w:val="21"/>
              </w:rPr>
            </w:pPr>
            <w:r>
              <w:rPr>
                <w:rFonts w:hint="eastAsia" w:ascii="宋体" w:hAnsi="宋体" w:cs="宋体"/>
                <w:bCs/>
                <w:color w:val="auto"/>
                <w:szCs w:val="21"/>
              </w:rPr>
              <w:t>违反安全条例、安全操作规程，造成不良后果的</w:t>
            </w:r>
          </w:p>
        </w:tc>
        <w:tc>
          <w:tcPr>
            <w:tcW w:w="208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Cs w:val="21"/>
              </w:rPr>
            </w:pPr>
            <w:r>
              <w:rPr>
                <w:rFonts w:hint="eastAsia" w:ascii="宋体" w:hAnsi="宋体" w:cs="宋体"/>
                <w:color w:val="auto"/>
                <w:szCs w:val="21"/>
              </w:rPr>
              <w:t>700元/次</w:t>
            </w:r>
          </w:p>
        </w:tc>
        <w:tc>
          <w:tcPr>
            <w:tcW w:w="1202"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color w:val="auto"/>
                <w:szCs w:val="21"/>
              </w:rPr>
            </w:pPr>
          </w:p>
        </w:tc>
        <w:tc>
          <w:tcPr>
            <w:tcW w:w="114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9"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Cs w:val="21"/>
              </w:rPr>
            </w:pPr>
            <w:r>
              <w:rPr>
                <w:rFonts w:hint="eastAsia" w:ascii="宋体" w:hAnsi="宋体" w:cs="宋体"/>
                <w:color w:val="auto"/>
                <w:szCs w:val="21"/>
              </w:rPr>
              <w:t>5</w:t>
            </w:r>
          </w:p>
        </w:tc>
        <w:tc>
          <w:tcPr>
            <w:tcW w:w="502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right="-109" w:rightChars="-52"/>
              <w:textAlignment w:val="auto"/>
              <w:rPr>
                <w:rFonts w:hint="eastAsia" w:ascii="宋体" w:hAnsi="宋体" w:cs="宋体"/>
                <w:color w:val="auto"/>
                <w:szCs w:val="21"/>
              </w:rPr>
            </w:pPr>
            <w:r>
              <w:rPr>
                <w:rFonts w:hint="eastAsia" w:ascii="宋体" w:hAnsi="宋体" w:cs="宋体"/>
                <w:bCs/>
                <w:color w:val="auto"/>
                <w:szCs w:val="21"/>
              </w:rPr>
              <w:t>携带违禁物品（武器、毒品、爆炸品、易燃品、强腐蚀性物品等）进院的</w:t>
            </w:r>
          </w:p>
        </w:tc>
        <w:tc>
          <w:tcPr>
            <w:tcW w:w="208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Cs w:val="21"/>
              </w:rPr>
            </w:pPr>
            <w:r>
              <w:rPr>
                <w:rFonts w:hint="eastAsia" w:ascii="宋体" w:hAnsi="宋体" w:cs="宋体"/>
                <w:color w:val="auto"/>
                <w:szCs w:val="21"/>
              </w:rPr>
              <w:t>500元/次</w:t>
            </w:r>
          </w:p>
        </w:tc>
        <w:tc>
          <w:tcPr>
            <w:tcW w:w="1202"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color w:val="auto"/>
                <w:szCs w:val="21"/>
              </w:rPr>
            </w:pPr>
          </w:p>
        </w:tc>
        <w:tc>
          <w:tcPr>
            <w:tcW w:w="114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9"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Cs w:val="21"/>
              </w:rPr>
            </w:pPr>
            <w:r>
              <w:rPr>
                <w:rFonts w:hint="eastAsia" w:ascii="宋体" w:hAnsi="宋体" w:cs="宋体"/>
                <w:color w:val="auto"/>
                <w:szCs w:val="21"/>
              </w:rPr>
              <w:t>6</w:t>
            </w:r>
          </w:p>
        </w:tc>
        <w:tc>
          <w:tcPr>
            <w:tcW w:w="502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right="-109" w:rightChars="-52"/>
              <w:textAlignment w:val="auto"/>
              <w:rPr>
                <w:rFonts w:hint="eastAsia" w:ascii="宋体" w:hAnsi="宋体" w:cs="宋体"/>
                <w:color w:val="auto"/>
                <w:szCs w:val="21"/>
              </w:rPr>
            </w:pPr>
            <w:r>
              <w:rPr>
                <w:rFonts w:hint="eastAsia" w:ascii="宋体" w:hAnsi="宋体" w:cs="宋体"/>
                <w:bCs/>
                <w:color w:val="auto"/>
                <w:szCs w:val="21"/>
              </w:rPr>
              <w:t>在院内进行违法乱纪行为、违反治安管理条例行为的</w:t>
            </w:r>
          </w:p>
        </w:tc>
        <w:tc>
          <w:tcPr>
            <w:tcW w:w="208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Cs w:val="21"/>
              </w:rPr>
            </w:pPr>
            <w:r>
              <w:rPr>
                <w:rFonts w:hint="eastAsia" w:ascii="宋体" w:hAnsi="宋体" w:cs="宋体"/>
                <w:color w:val="auto"/>
                <w:szCs w:val="21"/>
              </w:rPr>
              <w:t>500元/次</w:t>
            </w:r>
          </w:p>
        </w:tc>
        <w:tc>
          <w:tcPr>
            <w:tcW w:w="1202"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color w:val="auto"/>
                <w:szCs w:val="21"/>
              </w:rPr>
            </w:pPr>
          </w:p>
        </w:tc>
        <w:tc>
          <w:tcPr>
            <w:tcW w:w="114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9"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Cs w:val="21"/>
              </w:rPr>
            </w:pPr>
            <w:r>
              <w:rPr>
                <w:rFonts w:hint="eastAsia" w:ascii="宋体" w:hAnsi="宋体" w:cs="宋体"/>
                <w:color w:val="auto"/>
                <w:szCs w:val="21"/>
              </w:rPr>
              <w:t>7</w:t>
            </w:r>
          </w:p>
        </w:tc>
        <w:tc>
          <w:tcPr>
            <w:tcW w:w="502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right="-109" w:rightChars="-52"/>
              <w:textAlignment w:val="auto"/>
              <w:rPr>
                <w:rFonts w:hint="eastAsia" w:ascii="宋体" w:hAnsi="宋体" w:cs="宋体"/>
                <w:color w:val="auto"/>
                <w:szCs w:val="21"/>
              </w:rPr>
            </w:pPr>
            <w:r>
              <w:rPr>
                <w:rFonts w:hint="eastAsia" w:ascii="宋体" w:hAnsi="宋体" w:cs="宋体"/>
                <w:bCs/>
                <w:color w:val="auto"/>
                <w:szCs w:val="21"/>
              </w:rPr>
              <w:t>私自配置医院钥匙，私自改装医院锁具的</w:t>
            </w:r>
          </w:p>
        </w:tc>
        <w:tc>
          <w:tcPr>
            <w:tcW w:w="208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Cs w:val="21"/>
              </w:rPr>
            </w:pPr>
            <w:r>
              <w:rPr>
                <w:rFonts w:hint="eastAsia" w:ascii="宋体" w:hAnsi="宋体" w:cs="宋体"/>
                <w:color w:val="auto"/>
                <w:szCs w:val="21"/>
              </w:rPr>
              <w:t>300元/次</w:t>
            </w:r>
          </w:p>
        </w:tc>
        <w:tc>
          <w:tcPr>
            <w:tcW w:w="1202"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color w:val="auto"/>
                <w:szCs w:val="21"/>
              </w:rPr>
            </w:pPr>
          </w:p>
        </w:tc>
        <w:tc>
          <w:tcPr>
            <w:tcW w:w="114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9"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Cs w:val="21"/>
              </w:rPr>
            </w:pPr>
            <w:r>
              <w:rPr>
                <w:rFonts w:hint="eastAsia" w:ascii="宋体" w:hAnsi="宋体" w:cs="宋体"/>
                <w:color w:val="auto"/>
                <w:szCs w:val="21"/>
              </w:rPr>
              <w:t>8</w:t>
            </w:r>
          </w:p>
        </w:tc>
        <w:tc>
          <w:tcPr>
            <w:tcW w:w="502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right="-109" w:rightChars="-52"/>
              <w:textAlignment w:val="auto"/>
              <w:rPr>
                <w:rFonts w:hint="eastAsia" w:ascii="宋体" w:hAnsi="宋体" w:cs="宋体"/>
                <w:color w:val="auto"/>
                <w:szCs w:val="21"/>
              </w:rPr>
            </w:pPr>
            <w:r>
              <w:rPr>
                <w:rFonts w:hint="eastAsia" w:ascii="宋体" w:hAnsi="宋体" w:cs="宋体"/>
                <w:bCs/>
                <w:color w:val="auto"/>
                <w:szCs w:val="21"/>
              </w:rPr>
              <w:t>私自带无关人员进入院非公共开放部位的</w:t>
            </w:r>
          </w:p>
        </w:tc>
        <w:tc>
          <w:tcPr>
            <w:tcW w:w="208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Cs w:val="21"/>
              </w:rPr>
            </w:pPr>
            <w:r>
              <w:rPr>
                <w:rFonts w:hint="eastAsia" w:ascii="宋体" w:hAnsi="宋体" w:cs="宋体"/>
                <w:color w:val="auto"/>
                <w:szCs w:val="21"/>
              </w:rPr>
              <w:t>500元/次</w:t>
            </w:r>
          </w:p>
        </w:tc>
        <w:tc>
          <w:tcPr>
            <w:tcW w:w="1202"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color w:val="auto"/>
                <w:szCs w:val="21"/>
              </w:rPr>
            </w:pPr>
          </w:p>
        </w:tc>
        <w:tc>
          <w:tcPr>
            <w:tcW w:w="114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889"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Cs w:val="21"/>
              </w:rPr>
            </w:pPr>
            <w:r>
              <w:rPr>
                <w:rFonts w:hint="eastAsia" w:ascii="宋体" w:hAnsi="宋体" w:cs="宋体"/>
                <w:color w:val="auto"/>
                <w:szCs w:val="21"/>
              </w:rPr>
              <w:t>9</w:t>
            </w:r>
          </w:p>
        </w:tc>
        <w:tc>
          <w:tcPr>
            <w:tcW w:w="502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right="-109" w:rightChars="-52"/>
              <w:textAlignment w:val="auto"/>
              <w:rPr>
                <w:rFonts w:hint="eastAsia" w:ascii="宋体" w:hAnsi="宋体" w:cs="宋体"/>
                <w:color w:val="auto"/>
                <w:szCs w:val="21"/>
              </w:rPr>
            </w:pPr>
            <w:r>
              <w:rPr>
                <w:rFonts w:hint="eastAsia" w:ascii="宋体" w:hAnsi="宋体" w:cs="宋体"/>
                <w:bCs/>
                <w:color w:val="auto"/>
                <w:szCs w:val="21"/>
              </w:rPr>
              <w:t>在考勤、值班、检查、维修记录（包括书面和口头）弄虚作假，伪造的</w:t>
            </w:r>
          </w:p>
        </w:tc>
        <w:tc>
          <w:tcPr>
            <w:tcW w:w="208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Cs w:val="21"/>
              </w:rPr>
            </w:pPr>
            <w:r>
              <w:rPr>
                <w:rFonts w:hint="eastAsia" w:ascii="宋体" w:hAnsi="宋体" w:cs="宋体"/>
                <w:color w:val="auto"/>
                <w:szCs w:val="21"/>
              </w:rPr>
              <w:t>700元/次</w:t>
            </w:r>
          </w:p>
        </w:tc>
        <w:tc>
          <w:tcPr>
            <w:tcW w:w="1202"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color w:val="auto"/>
                <w:szCs w:val="21"/>
              </w:rPr>
            </w:pPr>
          </w:p>
        </w:tc>
        <w:tc>
          <w:tcPr>
            <w:tcW w:w="114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9"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Cs w:val="21"/>
              </w:rPr>
            </w:pPr>
            <w:r>
              <w:rPr>
                <w:rFonts w:hint="eastAsia" w:ascii="宋体" w:hAnsi="宋体" w:cs="宋体"/>
                <w:color w:val="auto"/>
                <w:szCs w:val="21"/>
              </w:rPr>
              <w:t>10</w:t>
            </w:r>
          </w:p>
        </w:tc>
        <w:tc>
          <w:tcPr>
            <w:tcW w:w="502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right="-109" w:rightChars="-52"/>
              <w:textAlignment w:val="auto"/>
              <w:rPr>
                <w:rFonts w:hint="eastAsia" w:ascii="宋体" w:hAnsi="宋体" w:cs="宋体"/>
                <w:color w:val="auto"/>
                <w:szCs w:val="21"/>
              </w:rPr>
            </w:pPr>
            <w:r>
              <w:rPr>
                <w:rFonts w:hint="eastAsia" w:ascii="宋体" w:hAnsi="宋体" w:cs="宋体"/>
                <w:bCs/>
                <w:color w:val="auto"/>
                <w:szCs w:val="21"/>
              </w:rPr>
              <w:t>对医院工作通知、投诉在3个工作日内不处理不上报的</w:t>
            </w:r>
          </w:p>
        </w:tc>
        <w:tc>
          <w:tcPr>
            <w:tcW w:w="208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Cs w:val="21"/>
              </w:rPr>
            </w:pPr>
            <w:r>
              <w:rPr>
                <w:rFonts w:hint="eastAsia" w:ascii="宋体" w:hAnsi="宋体" w:cs="宋体"/>
                <w:color w:val="auto"/>
                <w:szCs w:val="21"/>
              </w:rPr>
              <w:t>500元/次</w:t>
            </w:r>
          </w:p>
        </w:tc>
        <w:tc>
          <w:tcPr>
            <w:tcW w:w="1202"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color w:val="auto"/>
                <w:szCs w:val="21"/>
              </w:rPr>
            </w:pPr>
          </w:p>
        </w:tc>
        <w:tc>
          <w:tcPr>
            <w:tcW w:w="114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9"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Cs w:val="21"/>
              </w:rPr>
            </w:pPr>
            <w:r>
              <w:rPr>
                <w:rFonts w:hint="eastAsia" w:ascii="宋体" w:hAnsi="宋体" w:cs="宋体"/>
                <w:color w:val="auto"/>
                <w:szCs w:val="21"/>
              </w:rPr>
              <w:t>11</w:t>
            </w:r>
          </w:p>
        </w:tc>
        <w:tc>
          <w:tcPr>
            <w:tcW w:w="502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right="-109" w:rightChars="-52"/>
              <w:textAlignment w:val="auto"/>
              <w:rPr>
                <w:rFonts w:hint="eastAsia" w:ascii="宋体" w:hAnsi="宋体" w:cs="宋体"/>
                <w:color w:val="auto"/>
                <w:szCs w:val="21"/>
              </w:rPr>
            </w:pPr>
            <w:r>
              <w:rPr>
                <w:rFonts w:hint="eastAsia" w:ascii="宋体" w:hAnsi="宋体" w:cs="宋体"/>
                <w:bCs/>
                <w:color w:val="auto"/>
                <w:szCs w:val="21"/>
              </w:rPr>
              <w:t>利用工作之便索要、收受他人贿赂、贪污公款、谋取私利的</w:t>
            </w:r>
          </w:p>
        </w:tc>
        <w:tc>
          <w:tcPr>
            <w:tcW w:w="208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Cs w:val="21"/>
              </w:rPr>
            </w:pPr>
            <w:r>
              <w:rPr>
                <w:rFonts w:hint="eastAsia" w:ascii="宋体" w:hAnsi="宋体" w:cs="宋体"/>
                <w:color w:val="auto"/>
                <w:szCs w:val="21"/>
              </w:rPr>
              <w:t>1000元/次</w:t>
            </w:r>
          </w:p>
        </w:tc>
        <w:tc>
          <w:tcPr>
            <w:tcW w:w="1202"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color w:val="auto"/>
                <w:szCs w:val="21"/>
              </w:rPr>
            </w:pPr>
          </w:p>
        </w:tc>
        <w:tc>
          <w:tcPr>
            <w:tcW w:w="114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9"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Cs w:val="21"/>
              </w:rPr>
            </w:pPr>
            <w:r>
              <w:rPr>
                <w:rFonts w:hint="eastAsia" w:ascii="宋体" w:hAnsi="宋体" w:cs="宋体"/>
                <w:color w:val="auto"/>
                <w:szCs w:val="21"/>
              </w:rPr>
              <w:t>12</w:t>
            </w:r>
          </w:p>
        </w:tc>
        <w:tc>
          <w:tcPr>
            <w:tcW w:w="5026"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ind w:right="-109" w:rightChars="-52"/>
              <w:textAlignment w:val="auto"/>
              <w:rPr>
                <w:rFonts w:hint="eastAsia" w:ascii="宋体" w:hAnsi="宋体" w:cs="宋体"/>
                <w:color w:val="auto"/>
                <w:szCs w:val="21"/>
              </w:rPr>
            </w:pPr>
            <w:r>
              <w:rPr>
                <w:rFonts w:hint="eastAsia" w:ascii="宋体" w:hAnsi="宋体" w:cs="宋体"/>
                <w:bCs/>
                <w:color w:val="auto"/>
                <w:szCs w:val="21"/>
              </w:rPr>
              <w:t>发现安全隐患不及时排查、报告的，造成不良后果的</w:t>
            </w:r>
          </w:p>
        </w:tc>
        <w:tc>
          <w:tcPr>
            <w:tcW w:w="208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Cs w:val="21"/>
              </w:rPr>
            </w:pPr>
            <w:r>
              <w:rPr>
                <w:rFonts w:hint="eastAsia" w:ascii="宋体" w:hAnsi="宋体" w:cs="宋体"/>
                <w:color w:val="auto"/>
                <w:szCs w:val="21"/>
              </w:rPr>
              <w:t>500元/次</w:t>
            </w:r>
          </w:p>
        </w:tc>
        <w:tc>
          <w:tcPr>
            <w:tcW w:w="1202"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color w:val="auto"/>
                <w:szCs w:val="21"/>
              </w:rPr>
            </w:pPr>
          </w:p>
        </w:tc>
        <w:tc>
          <w:tcPr>
            <w:tcW w:w="1148"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9"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Cs w:val="21"/>
              </w:rPr>
            </w:pPr>
            <w:r>
              <w:rPr>
                <w:rFonts w:hint="eastAsia" w:ascii="宋体" w:hAnsi="宋体" w:cs="宋体"/>
                <w:color w:val="auto"/>
                <w:szCs w:val="21"/>
              </w:rPr>
              <w:t>13</w:t>
            </w:r>
          </w:p>
        </w:tc>
        <w:tc>
          <w:tcPr>
            <w:tcW w:w="502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right="-109" w:rightChars="-52"/>
              <w:textAlignment w:val="auto"/>
              <w:rPr>
                <w:rFonts w:hint="eastAsia" w:ascii="宋体" w:hAnsi="宋体" w:cs="宋体"/>
                <w:bCs/>
                <w:color w:val="auto"/>
                <w:szCs w:val="21"/>
              </w:rPr>
            </w:pPr>
            <w:r>
              <w:rPr>
                <w:rFonts w:hint="eastAsia" w:ascii="宋体" w:hAnsi="宋体" w:cs="宋体"/>
                <w:bCs/>
                <w:color w:val="auto"/>
                <w:szCs w:val="21"/>
              </w:rPr>
              <w:t>科室医务人员及患者和患者家属投诉并核实的</w:t>
            </w:r>
          </w:p>
        </w:tc>
        <w:tc>
          <w:tcPr>
            <w:tcW w:w="208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Cs w:val="21"/>
              </w:rPr>
            </w:pPr>
            <w:r>
              <w:rPr>
                <w:rFonts w:hint="eastAsia" w:ascii="宋体" w:hAnsi="宋体" w:cs="宋体"/>
                <w:color w:val="auto"/>
                <w:szCs w:val="21"/>
              </w:rPr>
              <w:t>300元/次</w:t>
            </w:r>
          </w:p>
        </w:tc>
        <w:tc>
          <w:tcPr>
            <w:tcW w:w="1202"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color w:val="auto"/>
                <w:szCs w:val="21"/>
              </w:rPr>
            </w:pPr>
          </w:p>
        </w:tc>
        <w:tc>
          <w:tcPr>
            <w:tcW w:w="1148"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9"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Cs w:val="21"/>
              </w:rPr>
            </w:pPr>
            <w:r>
              <w:rPr>
                <w:rFonts w:hint="eastAsia" w:ascii="宋体" w:hAnsi="宋体" w:cs="宋体"/>
                <w:color w:val="auto"/>
                <w:szCs w:val="21"/>
              </w:rPr>
              <w:t>14</w:t>
            </w:r>
          </w:p>
        </w:tc>
        <w:tc>
          <w:tcPr>
            <w:tcW w:w="5026"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ind w:right="-109" w:rightChars="-52"/>
              <w:textAlignment w:val="auto"/>
              <w:rPr>
                <w:rFonts w:hint="eastAsia" w:ascii="宋体" w:hAnsi="宋体" w:cs="宋体"/>
                <w:color w:val="auto"/>
                <w:szCs w:val="21"/>
              </w:rPr>
            </w:pPr>
            <w:r>
              <w:rPr>
                <w:rFonts w:hint="eastAsia" w:ascii="宋体" w:hAnsi="宋体" w:cs="宋体"/>
                <w:bCs/>
                <w:color w:val="auto"/>
                <w:szCs w:val="21"/>
              </w:rPr>
              <w:t>主管以上领导手机不24小时开机，工作时间1小时内联系不上的，值班电话不24小时开机或不随身携带的；不接受不配合督查人员查岗的</w:t>
            </w:r>
          </w:p>
        </w:tc>
        <w:tc>
          <w:tcPr>
            <w:tcW w:w="208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Cs w:val="21"/>
              </w:rPr>
            </w:pPr>
            <w:r>
              <w:rPr>
                <w:rFonts w:hint="eastAsia" w:ascii="宋体" w:hAnsi="宋体" w:cs="宋体"/>
                <w:color w:val="auto"/>
                <w:szCs w:val="21"/>
              </w:rPr>
              <w:t>300元/次</w:t>
            </w:r>
          </w:p>
        </w:tc>
        <w:tc>
          <w:tcPr>
            <w:tcW w:w="1202"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color w:val="auto"/>
                <w:szCs w:val="21"/>
              </w:rPr>
            </w:pPr>
          </w:p>
        </w:tc>
        <w:tc>
          <w:tcPr>
            <w:tcW w:w="1148"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jc w:val="center"/>
        </w:trPr>
        <w:tc>
          <w:tcPr>
            <w:tcW w:w="889"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Cs w:val="21"/>
              </w:rPr>
            </w:pPr>
            <w:r>
              <w:rPr>
                <w:rFonts w:hint="eastAsia" w:ascii="宋体" w:hAnsi="宋体" w:cs="宋体"/>
                <w:color w:val="auto"/>
                <w:szCs w:val="21"/>
              </w:rPr>
              <w:t>15</w:t>
            </w:r>
          </w:p>
        </w:tc>
        <w:tc>
          <w:tcPr>
            <w:tcW w:w="5026"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ind w:right="-109" w:rightChars="-52"/>
              <w:textAlignment w:val="auto"/>
              <w:rPr>
                <w:rFonts w:hint="eastAsia" w:ascii="宋体" w:hAnsi="宋体" w:cs="宋体"/>
                <w:color w:val="auto"/>
                <w:szCs w:val="21"/>
              </w:rPr>
            </w:pPr>
            <w:r>
              <w:rPr>
                <w:rFonts w:hint="eastAsia" w:ascii="宋体" w:hAnsi="宋体" w:cs="宋体"/>
                <w:bCs/>
                <w:color w:val="auto"/>
                <w:szCs w:val="21"/>
              </w:rPr>
              <w:t>从业人员违反医院相关管理制度的</w:t>
            </w:r>
          </w:p>
        </w:tc>
        <w:tc>
          <w:tcPr>
            <w:tcW w:w="208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Cs w:val="21"/>
              </w:rPr>
            </w:pPr>
            <w:r>
              <w:rPr>
                <w:rFonts w:hint="eastAsia" w:ascii="宋体" w:hAnsi="宋体" w:cs="宋体"/>
                <w:color w:val="auto"/>
                <w:szCs w:val="21"/>
              </w:rPr>
              <w:t>300元/次</w:t>
            </w:r>
          </w:p>
        </w:tc>
        <w:tc>
          <w:tcPr>
            <w:tcW w:w="1202"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color w:val="auto"/>
                <w:szCs w:val="21"/>
              </w:rPr>
            </w:pPr>
          </w:p>
        </w:tc>
        <w:tc>
          <w:tcPr>
            <w:tcW w:w="1148"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9"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Cs w:val="21"/>
              </w:rPr>
            </w:pPr>
            <w:r>
              <w:rPr>
                <w:rFonts w:hint="eastAsia" w:ascii="宋体" w:hAnsi="宋体" w:cs="宋体"/>
                <w:color w:val="auto"/>
                <w:szCs w:val="21"/>
              </w:rPr>
              <w:t>16</w:t>
            </w:r>
          </w:p>
        </w:tc>
        <w:tc>
          <w:tcPr>
            <w:tcW w:w="502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right="-109" w:rightChars="-52"/>
              <w:textAlignment w:val="auto"/>
              <w:rPr>
                <w:rFonts w:hint="eastAsia" w:ascii="宋体" w:hAnsi="宋体" w:cs="宋体"/>
                <w:color w:val="auto"/>
                <w:szCs w:val="21"/>
              </w:rPr>
            </w:pPr>
            <w:r>
              <w:rPr>
                <w:rFonts w:hint="eastAsia" w:ascii="宋体" w:hAnsi="宋体" w:cs="宋体"/>
                <w:bCs/>
                <w:color w:val="auto"/>
                <w:szCs w:val="21"/>
              </w:rPr>
              <w:t>未按要求上报统计报表、检查维护维修计划的；不按要求上报维保计划，完成维保任务的；</w:t>
            </w:r>
          </w:p>
        </w:tc>
        <w:tc>
          <w:tcPr>
            <w:tcW w:w="208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Cs w:val="21"/>
              </w:rPr>
            </w:pPr>
            <w:r>
              <w:rPr>
                <w:rFonts w:hint="eastAsia" w:ascii="宋体" w:hAnsi="宋体" w:cs="宋体"/>
                <w:color w:val="auto"/>
                <w:szCs w:val="21"/>
              </w:rPr>
              <w:t>200元/次</w:t>
            </w:r>
          </w:p>
        </w:tc>
        <w:tc>
          <w:tcPr>
            <w:tcW w:w="1202"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color w:val="auto"/>
                <w:szCs w:val="21"/>
              </w:rPr>
            </w:pPr>
          </w:p>
        </w:tc>
        <w:tc>
          <w:tcPr>
            <w:tcW w:w="1148"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889"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Cs w:val="21"/>
              </w:rPr>
            </w:pPr>
            <w:r>
              <w:rPr>
                <w:rFonts w:hint="eastAsia" w:ascii="宋体" w:hAnsi="宋体" w:cs="宋体"/>
                <w:color w:val="auto"/>
                <w:szCs w:val="21"/>
              </w:rPr>
              <w:t>17</w:t>
            </w:r>
          </w:p>
        </w:tc>
        <w:tc>
          <w:tcPr>
            <w:tcW w:w="502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right="-109" w:rightChars="-52"/>
              <w:textAlignment w:val="auto"/>
              <w:rPr>
                <w:rFonts w:hint="eastAsia" w:ascii="宋体" w:hAnsi="宋体" w:cs="宋体"/>
                <w:color w:val="auto"/>
                <w:szCs w:val="21"/>
              </w:rPr>
            </w:pPr>
            <w:r>
              <w:rPr>
                <w:rFonts w:hint="eastAsia" w:ascii="宋体" w:hAnsi="宋体" w:cs="宋体"/>
                <w:bCs/>
                <w:color w:val="auto"/>
                <w:szCs w:val="21"/>
              </w:rPr>
              <w:t>不按时间要求交接班的，当班时无工作和交接班记录的；工作范围内文字档案未及时整理归档的</w:t>
            </w:r>
          </w:p>
        </w:tc>
        <w:tc>
          <w:tcPr>
            <w:tcW w:w="208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Cs w:val="21"/>
              </w:rPr>
            </w:pPr>
            <w:r>
              <w:rPr>
                <w:rFonts w:hint="eastAsia" w:ascii="宋体" w:hAnsi="宋体" w:cs="宋体"/>
                <w:color w:val="auto"/>
                <w:szCs w:val="21"/>
              </w:rPr>
              <w:t>100元/人/次</w:t>
            </w:r>
          </w:p>
        </w:tc>
        <w:tc>
          <w:tcPr>
            <w:tcW w:w="1202"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color w:val="auto"/>
                <w:szCs w:val="21"/>
              </w:rPr>
            </w:pPr>
          </w:p>
        </w:tc>
        <w:tc>
          <w:tcPr>
            <w:tcW w:w="1148"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9"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Cs w:val="21"/>
              </w:rPr>
            </w:pPr>
            <w:r>
              <w:rPr>
                <w:rFonts w:hint="eastAsia" w:ascii="宋体" w:hAnsi="宋体" w:cs="宋体"/>
                <w:color w:val="auto"/>
                <w:szCs w:val="21"/>
              </w:rPr>
              <w:t>18</w:t>
            </w:r>
          </w:p>
        </w:tc>
        <w:tc>
          <w:tcPr>
            <w:tcW w:w="502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right="-109" w:rightChars="-52"/>
              <w:textAlignment w:val="auto"/>
              <w:rPr>
                <w:rFonts w:hint="eastAsia" w:ascii="宋体" w:hAnsi="宋体" w:cs="宋体"/>
                <w:color w:val="auto"/>
                <w:szCs w:val="21"/>
              </w:rPr>
            </w:pPr>
            <w:r>
              <w:rPr>
                <w:rFonts w:hint="eastAsia" w:ascii="宋体" w:hAnsi="宋体" w:cs="宋体"/>
                <w:bCs/>
                <w:color w:val="auto"/>
                <w:szCs w:val="21"/>
              </w:rPr>
              <w:t>对医院报修报检项目不按时限要求及时处理，维修响应不及时，消极怠工，态度不端正，造成工作被动，拖拉，不能及时完成任务的，将维修材料私拿私用的</w:t>
            </w:r>
          </w:p>
        </w:tc>
        <w:tc>
          <w:tcPr>
            <w:tcW w:w="208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Cs w:val="21"/>
              </w:rPr>
            </w:pPr>
            <w:r>
              <w:rPr>
                <w:rFonts w:hint="eastAsia" w:ascii="宋体" w:hAnsi="宋体" w:cs="宋体"/>
                <w:color w:val="auto"/>
                <w:szCs w:val="21"/>
              </w:rPr>
              <w:t>500元/次</w:t>
            </w:r>
          </w:p>
        </w:tc>
        <w:tc>
          <w:tcPr>
            <w:tcW w:w="1202"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color w:val="auto"/>
                <w:szCs w:val="21"/>
              </w:rPr>
            </w:pPr>
          </w:p>
        </w:tc>
        <w:tc>
          <w:tcPr>
            <w:tcW w:w="1148"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9"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宋体" w:hAnsi="宋体" w:cs="宋体"/>
                <w:color w:val="auto"/>
                <w:szCs w:val="21"/>
              </w:rPr>
            </w:pPr>
            <w:r>
              <w:rPr>
                <w:rFonts w:hint="eastAsia" w:ascii="宋体" w:hAnsi="宋体" w:cs="宋体"/>
                <w:color w:val="auto"/>
                <w:szCs w:val="21"/>
              </w:rPr>
              <w:t>19</w:t>
            </w:r>
          </w:p>
        </w:tc>
        <w:tc>
          <w:tcPr>
            <w:tcW w:w="502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right="-109" w:rightChars="-52"/>
              <w:textAlignment w:val="auto"/>
              <w:rPr>
                <w:rFonts w:hint="eastAsia" w:ascii="宋体" w:hAnsi="宋体" w:cs="宋体"/>
                <w:color w:val="auto"/>
                <w:szCs w:val="21"/>
              </w:rPr>
            </w:pPr>
            <w:r>
              <w:rPr>
                <w:rFonts w:hint="eastAsia" w:ascii="宋体" w:hAnsi="宋体" w:cs="宋体"/>
                <w:bCs/>
                <w:color w:val="auto"/>
                <w:szCs w:val="21"/>
              </w:rPr>
              <w:t>迟到早退，脱岗、睡岗、酒后上岗的；工作散漫，粗心大意造成工作差错的；不穿工作服、不带工作牌；不按要求检查、记录的；在禁烟区吸烟的；拾遗不报的；上班时间干私活的；工作时间吃喝、读书看报、打牌、听音乐、下棋、会客、玩手机等做与工作无关事情的；</w:t>
            </w:r>
          </w:p>
        </w:tc>
        <w:tc>
          <w:tcPr>
            <w:tcW w:w="208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Cs w:val="21"/>
              </w:rPr>
            </w:pPr>
            <w:r>
              <w:rPr>
                <w:rFonts w:hint="eastAsia" w:ascii="宋体" w:hAnsi="宋体" w:cs="宋体"/>
                <w:color w:val="auto"/>
                <w:szCs w:val="21"/>
              </w:rPr>
              <w:t>500元/人/次</w:t>
            </w:r>
          </w:p>
        </w:tc>
        <w:tc>
          <w:tcPr>
            <w:tcW w:w="1202"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color w:val="auto"/>
                <w:szCs w:val="21"/>
              </w:rPr>
            </w:pPr>
          </w:p>
        </w:tc>
        <w:tc>
          <w:tcPr>
            <w:tcW w:w="1148"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9"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宋体" w:hAnsi="宋体" w:cs="宋体"/>
                <w:color w:val="auto"/>
                <w:szCs w:val="21"/>
              </w:rPr>
            </w:pPr>
            <w:r>
              <w:rPr>
                <w:rFonts w:hint="eastAsia" w:ascii="宋体" w:hAnsi="宋体" w:cs="宋体"/>
                <w:color w:val="auto"/>
                <w:szCs w:val="21"/>
              </w:rPr>
              <w:t>20</w:t>
            </w:r>
          </w:p>
        </w:tc>
        <w:tc>
          <w:tcPr>
            <w:tcW w:w="502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right="-109" w:rightChars="-52"/>
              <w:textAlignment w:val="auto"/>
              <w:rPr>
                <w:rFonts w:hint="eastAsia" w:ascii="宋体" w:hAnsi="宋体" w:cs="宋体"/>
                <w:color w:val="auto"/>
                <w:szCs w:val="21"/>
              </w:rPr>
            </w:pPr>
            <w:r>
              <w:rPr>
                <w:rFonts w:hint="eastAsia" w:ascii="宋体" w:hAnsi="宋体" w:cs="宋体"/>
                <w:bCs/>
                <w:color w:val="auto"/>
                <w:szCs w:val="21"/>
              </w:rPr>
              <w:t>值班室、设备间、电井房等工作管辖区域或管辖设施设备脏乱差的；对管理区域内设施设备不检查不登记心中无数的</w:t>
            </w:r>
          </w:p>
        </w:tc>
        <w:tc>
          <w:tcPr>
            <w:tcW w:w="208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Cs w:val="21"/>
              </w:rPr>
            </w:pPr>
            <w:r>
              <w:rPr>
                <w:rFonts w:hint="eastAsia" w:ascii="宋体" w:hAnsi="宋体" w:cs="宋体"/>
                <w:color w:val="auto"/>
                <w:szCs w:val="21"/>
              </w:rPr>
              <w:t>200元/次</w:t>
            </w:r>
          </w:p>
        </w:tc>
        <w:tc>
          <w:tcPr>
            <w:tcW w:w="1202"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color w:val="auto"/>
                <w:szCs w:val="21"/>
              </w:rPr>
            </w:pPr>
          </w:p>
        </w:tc>
        <w:tc>
          <w:tcPr>
            <w:tcW w:w="1148"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9"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Cs w:val="21"/>
              </w:rPr>
            </w:pPr>
            <w:r>
              <w:rPr>
                <w:rFonts w:hint="eastAsia" w:ascii="宋体" w:hAnsi="宋体" w:cs="宋体"/>
                <w:color w:val="auto"/>
                <w:szCs w:val="21"/>
              </w:rPr>
              <w:t>21</w:t>
            </w:r>
          </w:p>
        </w:tc>
        <w:tc>
          <w:tcPr>
            <w:tcW w:w="502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right="-109" w:rightChars="-52"/>
              <w:textAlignment w:val="auto"/>
              <w:rPr>
                <w:rFonts w:hint="eastAsia" w:ascii="宋体" w:hAnsi="宋体" w:cs="宋体"/>
                <w:color w:val="auto"/>
                <w:szCs w:val="21"/>
              </w:rPr>
            </w:pPr>
            <w:r>
              <w:rPr>
                <w:rFonts w:hint="eastAsia" w:ascii="宋体" w:hAnsi="宋体" w:cs="宋体"/>
                <w:bCs/>
                <w:color w:val="auto"/>
                <w:szCs w:val="21"/>
              </w:rPr>
              <w:t>顶撞院方或患者，与患者发生言语、肢体冲突，在医院打架斗殴酗酒闹事的</w:t>
            </w:r>
          </w:p>
        </w:tc>
        <w:tc>
          <w:tcPr>
            <w:tcW w:w="208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Cs w:val="21"/>
              </w:rPr>
            </w:pPr>
            <w:r>
              <w:rPr>
                <w:rFonts w:hint="eastAsia" w:ascii="宋体" w:hAnsi="宋体" w:cs="宋体"/>
                <w:color w:val="auto"/>
                <w:szCs w:val="21"/>
              </w:rPr>
              <w:t>1000元/人/次</w:t>
            </w:r>
          </w:p>
        </w:tc>
        <w:tc>
          <w:tcPr>
            <w:tcW w:w="1202"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color w:val="auto"/>
                <w:szCs w:val="21"/>
              </w:rPr>
            </w:pPr>
          </w:p>
        </w:tc>
        <w:tc>
          <w:tcPr>
            <w:tcW w:w="1148"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9"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Cs w:val="21"/>
              </w:rPr>
            </w:pPr>
            <w:r>
              <w:rPr>
                <w:rFonts w:hint="eastAsia" w:ascii="宋体" w:hAnsi="宋体" w:cs="宋体"/>
                <w:color w:val="auto"/>
                <w:szCs w:val="21"/>
              </w:rPr>
              <w:t>22</w:t>
            </w:r>
          </w:p>
        </w:tc>
        <w:tc>
          <w:tcPr>
            <w:tcW w:w="502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right="-109" w:rightChars="-52"/>
              <w:textAlignment w:val="auto"/>
              <w:rPr>
                <w:rFonts w:hint="eastAsia" w:ascii="宋体" w:hAnsi="宋体" w:cs="宋体"/>
                <w:color w:val="auto"/>
                <w:szCs w:val="21"/>
              </w:rPr>
            </w:pPr>
            <w:r>
              <w:rPr>
                <w:rFonts w:hint="eastAsia" w:ascii="宋体" w:hAnsi="宋体" w:cs="宋体"/>
                <w:bCs/>
                <w:color w:val="auto"/>
                <w:szCs w:val="21"/>
              </w:rPr>
              <w:t>乱丢垃圾、乱写乱画，故意损坏医院财物的，需按原价赔偿；</w:t>
            </w:r>
          </w:p>
        </w:tc>
        <w:tc>
          <w:tcPr>
            <w:tcW w:w="208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Cs w:val="21"/>
              </w:rPr>
            </w:pPr>
            <w:r>
              <w:rPr>
                <w:rFonts w:hint="eastAsia" w:ascii="宋体" w:hAnsi="宋体" w:cs="宋体"/>
                <w:color w:val="auto"/>
                <w:szCs w:val="21"/>
              </w:rPr>
              <w:t>500元/次</w:t>
            </w:r>
          </w:p>
        </w:tc>
        <w:tc>
          <w:tcPr>
            <w:tcW w:w="1202"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color w:val="auto"/>
                <w:szCs w:val="21"/>
              </w:rPr>
            </w:pPr>
          </w:p>
        </w:tc>
        <w:tc>
          <w:tcPr>
            <w:tcW w:w="1148"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9"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Cs w:val="21"/>
              </w:rPr>
            </w:pPr>
            <w:r>
              <w:rPr>
                <w:rFonts w:hint="eastAsia" w:ascii="宋体" w:hAnsi="宋体" w:cs="宋体"/>
                <w:color w:val="auto"/>
                <w:szCs w:val="21"/>
              </w:rPr>
              <w:t>23</w:t>
            </w:r>
          </w:p>
        </w:tc>
        <w:tc>
          <w:tcPr>
            <w:tcW w:w="502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right="-109" w:rightChars="-52"/>
              <w:textAlignment w:val="auto"/>
              <w:rPr>
                <w:rFonts w:hint="eastAsia" w:ascii="宋体" w:hAnsi="宋体" w:cs="宋体"/>
                <w:bCs/>
                <w:color w:val="auto"/>
                <w:szCs w:val="21"/>
              </w:rPr>
            </w:pPr>
            <w:r>
              <w:rPr>
                <w:rFonts w:hint="eastAsia" w:ascii="宋体" w:hAnsi="宋体" w:cs="宋体"/>
                <w:bCs/>
                <w:color w:val="auto"/>
                <w:szCs w:val="21"/>
              </w:rPr>
              <w:t>当月运维服务满意度低于95%的</w:t>
            </w:r>
          </w:p>
        </w:tc>
        <w:tc>
          <w:tcPr>
            <w:tcW w:w="208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Cs w:val="21"/>
              </w:rPr>
            </w:pPr>
            <w:r>
              <w:rPr>
                <w:rFonts w:hint="eastAsia" w:ascii="宋体" w:hAnsi="宋体" w:cs="宋体"/>
                <w:bCs/>
                <w:color w:val="auto"/>
                <w:szCs w:val="21"/>
                <w:highlight w:val="none"/>
              </w:rPr>
              <w:t>每下降1%罚款500元，不足1%的按1%计算</w:t>
            </w:r>
          </w:p>
        </w:tc>
        <w:tc>
          <w:tcPr>
            <w:tcW w:w="1202"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color w:val="auto"/>
                <w:szCs w:val="21"/>
              </w:rPr>
            </w:pPr>
          </w:p>
        </w:tc>
        <w:tc>
          <w:tcPr>
            <w:tcW w:w="1148"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1" w:hRule="atLeast"/>
          <w:jc w:val="center"/>
        </w:trPr>
        <w:tc>
          <w:tcPr>
            <w:tcW w:w="889"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宋体" w:hAnsi="宋体" w:cs="宋体"/>
                <w:color w:val="auto"/>
                <w:szCs w:val="21"/>
              </w:rPr>
            </w:pPr>
            <w:r>
              <w:rPr>
                <w:rFonts w:hint="eastAsia" w:ascii="宋体" w:hAnsi="宋体" w:cs="宋体"/>
                <w:color w:val="auto"/>
                <w:szCs w:val="21"/>
              </w:rPr>
              <w:t>24</w:t>
            </w:r>
          </w:p>
        </w:tc>
        <w:tc>
          <w:tcPr>
            <w:tcW w:w="502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right="-109" w:rightChars="-52"/>
              <w:textAlignment w:val="auto"/>
              <w:rPr>
                <w:rFonts w:hint="eastAsia" w:ascii="宋体" w:hAnsi="宋体" w:cs="宋体"/>
                <w:bCs/>
                <w:color w:val="auto"/>
                <w:szCs w:val="21"/>
              </w:rPr>
            </w:pPr>
            <w:r>
              <w:rPr>
                <w:rFonts w:hint="eastAsia" w:ascii="宋体" w:hAnsi="宋体" w:cs="宋体"/>
                <w:color w:val="auto"/>
                <w:szCs w:val="21"/>
              </w:rPr>
              <w:t>因</w:t>
            </w:r>
            <w:r>
              <w:rPr>
                <w:rFonts w:hint="eastAsia" w:ascii="宋体" w:hAnsi="宋体" w:cs="宋体"/>
                <w:color w:val="auto"/>
                <w:szCs w:val="21"/>
                <w:lang w:eastAsia="zh-CN"/>
              </w:rPr>
              <w:t>中标人</w:t>
            </w:r>
            <w:r>
              <w:rPr>
                <w:rFonts w:hint="eastAsia" w:ascii="宋体" w:hAnsi="宋体" w:cs="宋体"/>
                <w:color w:val="auto"/>
                <w:szCs w:val="21"/>
              </w:rPr>
              <w:t>原因未完成合同要求项目时，按照未完成的比例（比例由采购人验收确认）进行处罚</w:t>
            </w:r>
          </w:p>
        </w:tc>
        <w:tc>
          <w:tcPr>
            <w:tcW w:w="208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cs="宋体"/>
                <w:bCs/>
                <w:color w:val="auto"/>
                <w:szCs w:val="21"/>
              </w:rPr>
            </w:pPr>
            <w:r>
              <w:rPr>
                <w:rFonts w:hint="eastAsia" w:ascii="宋体" w:hAnsi="宋体" w:cs="宋体"/>
                <w:bCs/>
                <w:color w:val="auto"/>
                <w:szCs w:val="21"/>
              </w:rPr>
              <w:t>未完成1%罚款500元，不足1%的按1%计算</w:t>
            </w:r>
          </w:p>
        </w:tc>
        <w:tc>
          <w:tcPr>
            <w:tcW w:w="1202"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color w:val="auto"/>
                <w:szCs w:val="21"/>
                <w:highlight w:val="green"/>
              </w:rPr>
            </w:pPr>
          </w:p>
        </w:tc>
        <w:tc>
          <w:tcPr>
            <w:tcW w:w="1148"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color w:val="auto"/>
                <w:szCs w:val="21"/>
              </w:rPr>
            </w:pPr>
          </w:p>
        </w:tc>
      </w:tr>
    </w:tbl>
    <w:p>
      <w:pPr>
        <w:spacing w:line="340" w:lineRule="atLeast"/>
        <w:jc w:val="left"/>
        <w:rPr>
          <w:rFonts w:hint="eastAsia" w:ascii="宋体" w:hAnsi="宋体"/>
          <w:b/>
          <w:color w:val="auto"/>
          <w:szCs w:val="21"/>
        </w:rPr>
      </w:pPr>
    </w:p>
    <w:p>
      <w:pPr>
        <w:spacing w:line="340" w:lineRule="atLeast"/>
        <w:jc w:val="left"/>
        <w:rPr>
          <w:rFonts w:hint="eastAsia" w:ascii="宋体" w:hAnsi="宋体"/>
          <w:b/>
          <w:color w:val="auto"/>
          <w:szCs w:val="21"/>
        </w:rPr>
      </w:pPr>
    </w:p>
    <w:p>
      <w:pPr>
        <w:spacing w:line="340" w:lineRule="atLeast"/>
        <w:jc w:val="left"/>
        <w:rPr>
          <w:rFonts w:hint="eastAsia" w:ascii="宋体" w:hAnsi="宋体"/>
          <w:b/>
          <w:color w:val="auto"/>
          <w:szCs w:val="21"/>
        </w:rPr>
      </w:pPr>
    </w:p>
    <w:p>
      <w:pPr>
        <w:spacing w:line="340" w:lineRule="atLeast"/>
        <w:jc w:val="left"/>
        <w:rPr>
          <w:rFonts w:hint="eastAsia" w:ascii="宋体" w:hAnsi="宋体"/>
          <w:b/>
          <w:color w:val="auto"/>
          <w:szCs w:val="21"/>
        </w:rPr>
      </w:pPr>
    </w:p>
    <w:p>
      <w:pPr>
        <w:spacing w:line="340" w:lineRule="atLeast"/>
        <w:jc w:val="left"/>
        <w:rPr>
          <w:rFonts w:hint="eastAsia" w:ascii="宋体" w:hAnsi="宋体"/>
          <w:b/>
          <w:color w:val="auto"/>
          <w:szCs w:val="21"/>
        </w:rPr>
      </w:pPr>
    </w:p>
    <w:p>
      <w:pPr>
        <w:pStyle w:val="4"/>
        <w:spacing w:before="0" w:after="0" w:line="400" w:lineRule="exact"/>
        <w:jc w:val="center"/>
        <w:rPr>
          <w:rFonts w:ascii="宋体" w:hAnsi="宋体" w:eastAsia="宋体" w:cs="宋体"/>
          <w:color w:val="auto"/>
          <w:sz w:val="21"/>
          <w:szCs w:val="21"/>
        </w:rPr>
      </w:pPr>
    </w:p>
    <w:p>
      <w:pPr>
        <w:spacing w:line="320" w:lineRule="exact"/>
        <w:rPr>
          <w:rFonts w:ascii="宋体" w:hAnsi="宋体"/>
          <w:color w:val="auto"/>
        </w:rPr>
      </w:pPr>
    </w:p>
    <w:p>
      <w:pPr>
        <w:spacing w:line="428" w:lineRule="exact"/>
        <w:ind w:left="119"/>
        <w:rPr>
          <w:rFonts w:ascii="宋体" w:hAnsi="宋体" w:cs="宋体"/>
          <w:color w:val="auto"/>
          <w:sz w:val="32"/>
          <w:szCs w:val="32"/>
        </w:rPr>
      </w:pPr>
      <w:r>
        <w:rPr>
          <w:rFonts w:hint="eastAsia"/>
          <w:color w:val="auto"/>
        </w:rPr>
        <w:br w:type="page"/>
      </w:r>
      <w:r>
        <w:rPr>
          <w:rFonts w:hint="eastAsia" w:ascii="宋体" w:hAnsi="宋体" w:cs="宋体"/>
          <w:color w:val="auto"/>
          <w:sz w:val="32"/>
          <w:szCs w:val="32"/>
        </w:rPr>
        <w:t>附件1：</w:t>
      </w:r>
    </w:p>
    <w:p>
      <w:pPr>
        <w:spacing w:before="7"/>
        <w:rPr>
          <w:rFonts w:ascii="宋体" w:hAnsi="宋体" w:cs="宋体"/>
          <w:color w:val="auto"/>
          <w:sz w:val="17"/>
          <w:szCs w:val="17"/>
        </w:rPr>
      </w:pPr>
    </w:p>
    <w:p>
      <w:pPr>
        <w:spacing w:line="528" w:lineRule="exact"/>
        <w:ind w:left="1871"/>
        <w:rPr>
          <w:rFonts w:ascii="宋体" w:hAnsi="宋体" w:cs="宋体"/>
          <w:color w:val="auto"/>
          <w:sz w:val="40"/>
          <w:szCs w:val="40"/>
        </w:rPr>
      </w:pPr>
      <w:r>
        <w:rPr>
          <w:rFonts w:hint="eastAsia" w:ascii="宋体" w:hAnsi="宋体" w:cs="宋体"/>
          <w:color w:val="auto"/>
          <w:sz w:val="40"/>
          <w:szCs w:val="40"/>
        </w:rPr>
        <w:t>节能产品政府采购品目清单</w:t>
      </w:r>
    </w:p>
    <w:tbl>
      <w:tblPr>
        <w:tblStyle w:val="24"/>
        <w:tblW w:w="9220" w:type="dxa"/>
        <w:tblInd w:w="93" w:type="dxa"/>
        <w:tblLayout w:type="fixed"/>
        <w:tblCellMar>
          <w:top w:w="0" w:type="dxa"/>
          <w:left w:w="108" w:type="dxa"/>
          <w:bottom w:w="0" w:type="dxa"/>
          <w:right w:w="108" w:type="dxa"/>
        </w:tblCellMar>
      </w:tblPr>
      <w:tblGrid>
        <w:gridCol w:w="660"/>
        <w:gridCol w:w="1080"/>
        <w:gridCol w:w="1320"/>
        <w:gridCol w:w="1620"/>
        <w:gridCol w:w="4540"/>
      </w:tblGrid>
      <w:tr>
        <w:tblPrEx>
          <w:tblLayout w:type="fixed"/>
          <w:tblCellMar>
            <w:top w:w="0" w:type="dxa"/>
            <w:left w:w="108" w:type="dxa"/>
            <w:bottom w:w="0" w:type="dxa"/>
            <w:right w:w="108" w:type="dxa"/>
          </w:tblCellMar>
        </w:tblPrEx>
        <w:trPr>
          <w:trHeight w:val="555" w:hRule="atLeast"/>
        </w:trPr>
        <w:tc>
          <w:tcPr>
            <w:tcW w:w="660" w:type="dxa"/>
            <w:tcBorders>
              <w:top w:val="single" w:color="000000" w:sz="8" w:space="0"/>
              <w:left w:val="single" w:color="000000" w:sz="8" w:space="0"/>
              <w:bottom w:val="nil"/>
              <w:right w:val="single" w:color="000000" w:sz="8" w:space="0"/>
            </w:tcBorders>
          </w:tcPr>
          <w:p>
            <w:pPr>
              <w:widowControl/>
              <w:jc w:val="center"/>
              <w:rPr>
                <w:rFonts w:ascii="宋体" w:hAnsi="宋体" w:cs="宋体"/>
                <w:b/>
                <w:bCs/>
                <w:color w:val="auto"/>
                <w:kern w:val="0"/>
                <w:sz w:val="22"/>
                <w:szCs w:val="22"/>
              </w:rPr>
            </w:pPr>
            <w:r>
              <w:rPr>
                <w:rFonts w:hint="eastAsia" w:ascii="宋体" w:hAnsi="宋体" w:cs="宋体"/>
                <w:b/>
                <w:bCs/>
                <w:color w:val="auto"/>
                <w:kern w:val="0"/>
                <w:sz w:val="22"/>
                <w:szCs w:val="22"/>
              </w:rPr>
              <w:t>品目序号</w:t>
            </w:r>
          </w:p>
        </w:tc>
        <w:tc>
          <w:tcPr>
            <w:tcW w:w="4020" w:type="dxa"/>
            <w:gridSpan w:val="3"/>
            <w:tcBorders>
              <w:top w:val="single" w:color="000000" w:sz="8" w:space="0"/>
              <w:left w:val="nil"/>
              <w:bottom w:val="single" w:color="000000" w:sz="8" w:space="0"/>
              <w:right w:val="single" w:color="000000" w:sz="8" w:space="0"/>
            </w:tcBorders>
            <w:vAlign w:val="center"/>
          </w:tcPr>
          <w:p>
            <w:pPr>
              <w:widowControl/>
              <w:jc w:val="center"/>
              <w:rPr>
                <w:rFonts w:ascii="宋体" w:hAnsi="宋体" w:cs="宋体"/>
                <w:b/>
                <w:bCs/>
                <w:color w:val="auto"/>
                <w:kern w:val="0"/>
                <w:sz w:val="22"/>
                <w:szCs w:val="22"/>
              </w:rPr>
            </w:pPr>
            <w:r>
              <w:rPr>
                <w:rFonts w:hint="eastAsia" w:ascii="宋体" w:hAnsi="宋体" w:cs="宋体"/>
                <w:b/>
                <w:bCs/>
                <w:color w:val="auto"/>
                <w:kern w:val="0"/>
                <w:sz w:val="22"/>
                <w:szCs w:val="22"/>
              </w:rPr>
              <w:t>名称</w:t>
            </w:r>
          </w:p>
        </w:tc>
        <w:tc>
          <w:tcPr>
            <w:tcW w:w="4540" w:type="dxa"/>
            <w:tcBorders>
              <w:top w:val="single" w:color="000000" w:sz="8" w:space="0"/>
              <w:left w:val="nil"/>
              <w:bottom w:val="single" w:color="000000" w:sz="8" w:space="0"/>
              <w:right w:val="single" w:color="000000" w:sz="8" w:space="0"/>
            </w:tcBorders>
            <w:vAlign w:val="center"/>
          </w:tcPr>
          <w:p>
            <w:pPr>
              <w:widowControl/>
              <w:jc w:val="center"/>
              <w:rPr>
                <w:rFonts w:ascii="宋体" w:hAnsi="宋体" w:cs="宋体"/>
                <w:b/>
                <w:bCs/>
                <w:color w:val="auto"/>
                <w:kern w:val="0"/>
                <w:sz w:val="22"/>
                <w:szCs w:val="22"/>
              </w:rPr>
            </w:pPr>
            <w:r>
              <w:rPr>
                <w:rFonts w:hint="eastAsia" w:ascii="宋体" w:hAnsi="宋体" w:cs="宋体"/>
                <w:b/>
                <w:bCs/>
                <w:color w:val="auto"/>
                <w:kern w:val="0"/>
                <w:sz w:val="22"/>
                <w:szCs w:val="22"/>
              </w:rPr>
              <w:t>依据的标准</w:t>
            </w:r>
          </w:p>
        </w:tc>
      </w:tr>
      <w:tr>
        <w:tblPrEx>
          <w:tblLayout w:type="fixed"/>
          <w:tblCellMar>
            <w:top w:w="0" w:type="dxa"/>
            <w:left w:w="108" w:type="dxa"/>
            <w:bottom w:w="0" w:type="dxa"/>
            <w:right w:w="108" w:type="dxa"/>
          </w:tblCellMar>
        </w:tblPrEx>
        <w:trPr>
          <w:trHeight w:val="495" w:hRule="atLeast"/>
        </w:trPr>
        <w:tc>
          <w:tcPr>
            <w:tcW w:w="660" w:type="dxa"/>
            <w:vMerge w:val="restart"/>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w:t>
            </w:r>
          </w:p>
        </w:tc>
        <w:tc>
          <w:tcPr>
            <w:tcW w:w="1080" w:type="dxa"/>
            <w:vMerge w:val="restart"/>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A020101计算机设备</w:t>
            </w:r>
          </w:p>
        </w:tc>
        <w:tc>
          <w:tcPr>
            <w:tcW w:w="1320"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★A02010104台式计算机</w:t>
            </w:r>
          </w:p>
        </w:tc>
        <w:tc>
          <w:tcPr>
            <w:tcW w:w="1620"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4540" w:type="dxa"/>
            <w:tcBorders>
              <w:top w:val="nil"/>
              <w:left w:val="nil"/>
              <w:bottom w:val="single" w:color="000000" w:sz="8" w:space="0"/>
              <w:right w:val="single" w:color="000000" w:sz="8" w:space="0"/>
            </w:tcBorders>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《微型计算机能效限定值及能效等级》（GB28380）</w:t>
            </w:r>
          </w:p>
        </w:tc>
      </w:tr>
      <w:tr>
        <w:tblPrEx>
          <w:tblLayout w:type="fixed"/>
          <w:tblCellMar>
            <w:top w:w="0" w:type="dxa"/>
            <w:left w:w="108" w:type="dxa"/>
            <w:bottom w:w="0" w:type="dxa"/>
            <w:right w:w="108" w:type="dxa"/>
          </w:tblCellMar>
        </w:tblPrEx>
        <w:trPr>
          <w:trHeight w:val="495" w:hRule="atLeast"/>
        </w:trPr>
        <w:tc>
          <w:tcPr>
            <w:tcW w:w="66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0"/>
                <w:szCs w:val="20"/>
              </w:rPr>
            </w:pPr>
          </w:p>
        </w:tc>
        <w:tc>
          <w:tcPr>
            <w:tcW w:w="108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0"/>
                <w:szCs w:val="20"/>
              </w:rPr>
            </w:pPr>
          </w:p>
        </w:tc>
        <w:tc>
          <w:tcPr>
            <w:tcW w:w="1320"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★A02010105便携式计算机</w:t>
            </w:r>
          </w:p>
        </w:tc>
        <w:tc>
          <w:tcPr>
            <w:tcW w:w="1620"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4540" w:type="dxa"/>
            <w:tcBorders>
              <w:top w:val="nil"/>
              <w:left w:val="nil"/>
              <w:bottom w:val="single" w:color="000000" w:sz="8" w:space="0"/>
              <w:right w:val="single" w:color="000000" w:sz="8" w:space="0"/>
            </w:tcBorders>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《微型计算机能效限定值及能效等级》（GB28380）</w:t>
            </w:r>
          </w:p>
        </w:tc>
      </w:tr>
      <w:tr>
        <w:tblPrEx>
          <w:tblLayout w:type="fixed"/>
          <w:tblCellMar>
            <w:top w:w="0" w:type="dxa"/>
            <w:left w:w="108" w:type="dxa"/>
            <w:bottom w:w="0" w:type="dxa"/>
            <w:right w:w="108" w:type="dxa"/>
          </w:tblCellMar>
        </w:tblPrEx>
        <w:trPr>
          <w:trHeight w:val="735" w:hRule="atLeast"/>
        </w:trPr>
        <w:tc>
          <w:tcPr>
            <w:tcW w:w="66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0"/>
                <w:szCs w:val="20"/>
              </w:rPr>
            </w:pPr>
          </w:p>
        </w:tc>
        <w:tc>
          <w:tcPr>
            <w:tcW w:w="108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0"/>
                <w:szCs w:val="20"/>
              </w:rPr>
            </w:pPr>
          </w:p>
        </w:tc>
        <w:tc>
          <w:tcPr>
            <w:tcW w:w="1320"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★A02010107平板式微型计算机</w:t>
            </w:r>
          </w:p>
        </w:tc>
        <w:tc>
          <w:tcPr>
            <w:tcW w:w="1620"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4540" w:type="dxa"/>
            <w:tcBorders>
              <w:top w:val="nil"/>
              <w:left w:val="nil"/>
              <w:bottom w:val="single" w:color="000000" w:sz="8" w:space="0"/>
              <w:right w:val="single" w:color="000000" w:sz="8" w:space="0"/>
            </w:tcBorders>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《微型计算机能效限定值及能效等级》（GB28380）</w:t>
            </w:r>
          </w:p>
        </w:tc>
      </w:tr>
      <w:tr>
        <w:tblPrEx>
          <w:tblLayout w:type="fixed"/>
          <w:tblCellMar>
            <w:top w:w="0" w:type="dxa"/>
            <w:left w:w="108" w:type="dxa"/>
            <w:bottom w:w="0" w:type="dxa"/>
            <w:right w:w="108" w:type="dxa"/>
          </w:tblCellMar>
        </w:tblPrEx>
        <w:trPr>
          <w:trHeight w:val="495" w:hRule="atLeast"/>
        </w:trPr>
        <w:tc>
          <w:tcPr>
            <w:tcW w:w="660" w:type="dxa"/>
            <w:vMerge w:val="restart"/>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2</w:t>
            </w:r>
          </w:p>
        </w:tc>
        <w:tc>
          <w:tcPr>
            <w:tcW w:w="1080" w:type="dxa"/>
            <w:vMerge w:val="restart"/>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A020106输入输出设备</w:t>
            </w:r>
          </w:p>
        </w:tc>
        <w:tc>
          <w:tcPr>
            <w:tcW w:w="1320" w:type="dxa"/>
            <w:vMerge w:val="restart"/>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A02010601打印设备</w:t>
            </w:r>
          </w:p>
        </w:tc>
        <w:tc>
          <w:tcPr>
            <w:tcW w:w="1620"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A0201060101喷墨打印机</w:t>
            </w:r>
          </w:p>
        </w:tc>
        <w:tc>
          <w:tcPr>
            <w:tcW w:w="4540" w:type="dxa"/>
            <w:tcBorders>
              <w:top w:val="nil"/>
              <w:left w:val="nil"/>
              <w:bottom w:val="single" w:color="000000" w:sz="8" w:space="0"/>
              <w:right w:val="single" w:color="000000" w:sz="8" w:space="0"/>
            </w:tcBorders>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《复印机、打印机和传真机能效限定值及能效等级》（GB21521）</w:t>
            </w:r>
          </w:p>
        </w:tc>
      </w:tr>
      <w:tr>
        <w:tblPrEx>
          <w:tblLayout w:type="fixed"/>
          <w:tblCellMar>
            <w:top w:w="0" w:type="dxa"/>
            <w:left w:w="108" w:type="dxa"/>
            <w:bottom w:w="0" w:type="dxa"/>
            <w:right w:w="108" w:type="dxa"/>
          </w:tblCellMar>
        </w:tblPrEx>
        <w:trPr>
          <w:trHeight w:val="495" w:hRule="atLeast"/>
        </w:trPr>
        <w:tc>
          <w:tcPr>
            <w:tcW w:w="66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0"/>
                <w:szCs w:val="20"/>
              </w:rPr>
            </w:pPr>
          </w:p>
        </w:tc>
        <w:tc>
          <w:tcPr>
            <w:tcW w:w="108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0"/>
                <w:szCs w:val="20"/>
              </w:rPr>
            </w:pPr>
          </w:p>
        </w:tc>
        <w:tc>
          <w:tcPr>
            <w:tcW w:w="132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0"/>
                <w:szCs w:val="20"/>
              </w:rPr>
            </w:pPr>
          </w:p>
        </w:tc>
        <w:tc>
          <w:tcPr>
            <w:tcW w:w="1620"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★A0201060102激光打印机</w:t>
            </w:r>
          </w:p>
        </w:tc>
        <w:tc>
          <w:tcPr>
            <w:tcW w:w="4540" w:type="dxa"/>
            <w:tcBorders>
              <w:top w:val="nil"/>
              <w:left w:val="nil"/>
              <w:bottom w:val="single" w:color="000000" w:sz="8" w:space="0"/>
              <w:right w:val="single" w:color="000000" w:sz="8" w:space="0"/>
            </w:tcBorders>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《复印机、打印机和传真机能效限定值及能效等级》（GB21521）</w:t>
            </w:r>
          </w:p>
        </w:tc>
      </w:tr>
      <w:tr>
        <w:tblPrEx>
          <w:tblLayout w:type="fixed"/>
          <w:tblCellMar>
            <w:top w:w="0" w:type="dxa"/>
            <w:left w:w="108" w:type="dxa"/>
            <w:bottom w:w="0" w:type="dxa"/>
            <w:right w:w="108" w:type="dxa"/>
          </w:tblCellMar>
        </w:tblPrEx>
        <w:trPr>
          <w:trHeight w:val="495" w:hRule="atLeast"/>
        </w:trPr>
        <w:tc>
          <w:tcPr>
            <w:tcW w:w="66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0"/>
                <w:szCs w:val="20"/>
              </w:rPr>
            </w:pPr>
          </w:p>
        </w:tc>
        <w:tc>
          <w:tcPr>
            <w:tcW w:w="108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0"/>
                <w:szCs w:val="20"/>
              </w:rPr>
            </w:pPr>
          </w:p>
        </w:tc>
        <w:tc>
          <w:tcPr>
            <w:tcW w:w="132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0"/>
                <w:szCs w:val="20"/>
              </w:rPr>
            </w:pPr>
          </w:p>
        </w:tc>
        <w:tc>
          <w:tcPr>
            <w:tcW w:w="1620"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★A0201060104针式打印机</w:t>
            </w:r>
          </w:p>
        </w:tc>
        <w:tc>
          <w:tcPr>
            <w:tcW w:w="4540" w:type="dxa"/>
            <w:tcBorders>
              <w:top w:val="nil"/>
              <w:left w:val="nil"/>
              <w:bottom w:val="single" w:color="000000" w:sz="8" w:space="0"/>
              <w:right w:val="single" w:color="000000" w:sz="8" w:space="0"/>
            </w:tcBorders>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《复印机、打印机和传真机能效限定值及能效等级》（GB21521）</w:t>
            </w:r>
          </w:p>
        </w:tc>
      </w:tr>
      <w:tr>
        <w:tblPrEx>
          <w:tblLayout w:type="fixed"/>
          <w:tblCellMar>
            <w:top w:w="0" w:type="dxa"/>
            <w:left w:w="108" w:type="dxa"/>
            <w:bottom w:w="0" w:type="dxa"/>
            <w:right w:w="108" w:type="dxa"/>
          </w:tblCellMar>
        </w:tblPrEx>
        <w:trPr>
          <w:trHeight w:val="495" w:hRule="atLeast"/>
        </w:trPr>
        <w:tc>
          <w:tcPr>
            <w:tcW w:w="66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0"/>
                <w:szCs w:val="20"/>
              </w:rPr>
            </w:pPr>
          </w:p>
        </w:tc>
        <w:tc>
          <w:tcPr>
            <w:tcW w:w="108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0"/>
                <w:szCs w:val="20"/>
              </w:rPr>
            </w:pPr>
          </w:p>
        </w:tc>
        <w:tc>
          <w:tcPr>
            <w:tcW w:w="1320"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A02010604显示设备</w:t>
            </w:r>
          </w:p>
        </w:tc>
        <w:tc>
          <w:tcPr>
            <w:tcW w:w="1620"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★A0201060401液晶显示器</w:t>
            </w:r>
          </w:p>
        </w:tc>
        <w:tc>
          <w:tcPr>
            <w:tcW w:w="4540" w:type="dxa"/>
            <w:tcBorders>
              <w:top w:val="nil"/>
              <w:left w:val="nil"/>
              <w:bottom w:val="single" w:color="000000" w:sz="8" w:space="0"/>
              <w:right w:val="single" w:color="000000" w:sz="8" w:space="0"/>
            </w:tcBorders>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《计算机显示器能效限定值及能效等级》（GB21520）</w:t>
            </w:r>
          </w:p>
        </w:tc>
      </w:tr>
      <w:tr>
        <w:tblPrEx>
          <w:tblLayout w:type="fixed"/>
          <w:tblCellMar>
            <w:top w:w="0" w:type="dxa"/>
            <w:left w:w="108" w:type="dxa"/>
            <w:bottom w:w="0" w:type="dxa"/>
            <w:right w:w="108" w:type="dxa"/>
          </w:tblCellMar>
        </w:tblPrEx>
        <w:trPr>
          <w:trHeight w:val="975" w:hRule="atLeast"/>
        </w:trPr>
        <w:tc>
          <w:tcPr>
            <w:tcW w:w="660" w:type="dxa"/>
            <w:vMerge w:val="continue"/>
            <w:tcBorders>
              <w:top w:val="nil"/>
              <w:left w:val="single" w:color="000000" w:sz="8" w:space="0"/>
              <w:bottom w:val="single" w:color="auto" w:sz="4" w:space="0"/>
              <w:right w:val="single" w:color="000000" w:sz="8" w:space="0"/>
            </w:tcBorders>
            <w:vAlign w:val="center"/>
          </w:tcPr>
          <w:p>
            <w:pPr>
              <w:widowControl/>
              <w:jc w:val="left"/>
              <w:rPr>
                <w:rFonts w:ascii="宋体" w:hAnsi="宋体" w:cs="宋体"/>
                <w:color w:val="auto"/>
                <w:kern w:val="0"/>
                <w:sz w:val="20"/>
                <w:szCs w:val="20"/>
              </w:rPr>
            </w:pPr>
          </w:p>
        </w:tc>
        <w:tc>
          <w:tcPr>
            <w:tcW w:w="1080" w:type="dxa"/>
            <w:vMerge w:val="continue"/>
            <w:tcBorders>
              <w:top w:val="nil"/>
              <w:left w:val="single" w:color="000000" w:sz="8" w:space="0"/>
              <w:bottom w:val="single" w:color="auto" w:sz="4" w:space="0"/>
              <w:right w:val="single" w:color="000000" w:sz="8" w:space="0"/>
            </w:tcBorders>
            <w:vAlign w:val="center"/>
          </w:tcPr>
          <w:p>
            <w:pPr>
              <w:widowControl/>
              <w:jc w:val="left"/>
              <w:rPr>
                <w:rFonts w:ascii="宋体" w:hAnsi="宋体" w:cs="宋体"/>
                <w:color w:val="auto"/>
                <w:kern w:val="0"/>
                <w:sz w:val="20"/>
                <w:szCs w:val="20"/>
              </w:rPr>
            </w:pPr>
          </w:p>
        </w:tc>
        <w:tc>
          <w:tcPr>
            <w:tcW w:w="1320" w:type="dxa"/>
            <w:tcBorders>
              <w:top w:val="nil"/>
              <w:left w:val="nil"/>
              <w:bottom w:val="single" w:color="auto" w:sz="4" w:space="0"/>
              <w:right w:val="single" w:color="000000" w:sz="8"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A02010609图形图像输入设备</w:t>
            </w:r>
          </w:p>
        </w:tc>
        <w:tc>
          <w:tcPr>
            <w:tcW w:w="1620" w:type="dxa"/>
            <w:tcBorders>
              <w:top w:val="nil"/>
              <w:left w:val="nil"/>
              <w:bottom w:val="single" w:color="auto" w:sz="4" w:space="0"/>
              <w:right w:val="single" w:color="000000" w:sz="8"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A0201060901扫描仪</w:t>
            </w:r>
          </w:p>
        </w:tc>
        <w:tc>
          <w:tcPr>
            <w:tcW w:w="4540" w:type="dxa"/>
            <w:tcBorders>
              <w:top w:val="nil"/>
              <w:left w:val="nil"/>
              <w:bottom w:val="single" w:color="auto" w:sz="4" w:space="0"/>
              <w:right w:val="single" w:color="000000" w:sz="8" w:space="0"/>
            </w:tcBorders>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参照《复印机、打印机和传真机能效限定值及能效等级》</w:t>
            </w:r>
            <w:r>
              <w:rPr>
                <w:rFonts w:ascii="宋体" w:hAnsi="宋体" w:cs="宋体"/>
                <w:color w:val="auto"/>
                <w:sz w:val="20"/>
                <w:szCs w:val="20"/>
              </w:rPr>
              <w:t xml:space="preserve">(GB 21521) </w:t>
            </w:r>
            <w:r>
              <w:rPr>
                <w:rFonts w:ascii="宋体" w:hAnsi="宋体" w:cs="宋体"/>
                <w:color w:val="auto"/>
                <w:spacing w:val="7"/>
                <w:sz w:val="20"/>
                <w:szCs w:val="20"/>
              </w:rPr>
              <w:t>中</w:t>
            </w:r>
            <w:r>
              <w:rPr>
                <w:rFonts w:ascii="宋体" w:hAnsi="宋体" w:cs="宋体"/>
                <w:color w:val="auto"/>
                <w:spacing w:val="6"/>
                <w:sz w:val="20"/>
                <w:szCs w:val="20"/>
              </w:rPr>
              <w:t>打印速度为 15 页/分的针式打</w:t>
            </w:r>
            <w:r>
              <w:rPr>
                <w:rFonts w:ascii="宋体" w:hAnsi="宋体" w:cs="宋体"/>
                <w:color w:val="auto"/>
                <w:spacing w:val="4"/>
                <w:sz w:val="20"/>
                <w:szCs w:val="20"/>
              </w:rPr>
              <w:t>印</w:t>
            </w:r>
            <w:r>
              <w:rPr>
                <w:rFonts w:ascii="宋体" w:hAnsi="宋体" w:cs="宋体"/>
                <w:color w:val="auto"/>
                <w:spacing w:val="3"/>
                <w:sz w:val="20"/>
                <w:szCs w:val="20"/>
              </w:rPr>
              <w:t>机</w:t>
            </w:r>
            <w:r>
              <w:rPr>
                <w:rFonts w:ascii="宋体" w:hAnsi="宋体" w:cs="宋体"/>
                <w:color w:val="auto"/>
                <w:spacing w:val="2"/>
                <w:sz w:val="20"/>
                <w:szCs w:val="20"/>
              </w:rPr>
              <w:t>相关要求</w:t>
            </w:r>
          </w:p>
        </w:tc>
      </w:tr>
      <w:tr>
        <w:tblPrEx>
          <w:tblLayout w:type="fixed"/>
          <w:tblCellMar>
            <w:top w:w="0" w:type="dxa"/>
            <w:left w:w="108" w:type="dxa"/>
            <w:bottom w:w="0" w:type="dxa"/>
            <w:right w:w="108" w:type="dxa"/>
          </w:tblCellMar>
        </w:tblPrEx>
        <w:trPr>
          <w:trHeight w:val="495" w:hRule="atLeast"/>
        </w:trPr>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3</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A020202投影仪</w:t>
            </w:r>
          </w:p>
        </w:tc>
        <w:tc>
          <w:tcPr>
            <w:tcW w:w="13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45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《投影机能效限定值及能效等级》（GB32028）</w:t>
            </w:r>
          </w:p>
        </w:tc>
      </w:tr>
      <w:tr>
        <w:tblPrEx>
          <w:tblLayout w:type="fixed"/>
          <w:tblCellMar>
            <w:top w:w="0" w:type="dxa"/>
            <w:left w:w="108" w:type="dxa"/>
            <w:bottom w:w="0" w:type="dxa"/>
            <w:right w:w="108" w:type="dxa"/>
          </w:tblCellMar>
        </w:tblPrEx>
        <w:trPr>
          <w:trHeight w:val="495" w:hRule="atLeast"/>
        </w:trPr>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4</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A020204多功能一体机</w:t>
            </w:r>
          </w:p>
        </w:tc>
        <w:tc>
          <w:tcPr>
            <w:tcW w:w="13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45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《复印机、打印机和传真机能效限定值及能效等级》（GB21521）</w:t>
            </w:r>
          </w:p>
        </w:tc>
      </w:tr>
      <w:tr>
        <w:tblPrEx>
          <w:tblLayout w:type="fixed"/>
          <w:tblCellMar>
            <w:top w:w="0" w:type="dxa"/>
            <w:left w:w="108" w:type="dxa"/>
            <w:bottom w:w="0" w:type="dxa"/>
            <w:right w:w="108" w:type="dxa"/>
          </w:tblCellMar>
        </w:tblPrEx>
        <w:trPr>
          <w:trHeight w:val="495" w:hRule="atLeast"/>
        </w:trPr>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5</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A020519泵</w:t>
            </w:r>
          </w:p>
        </w:tc>
        <w:tc>
          <w:tcPr>
            <w:tcW w:w="13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A02051901离心泵</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45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《清水离心泵能效限定值及节能评价值》（GB19762）</w:t>
            </w:r>
          </w:p>
        </w:tc>
      </w:tr>
      <w:tr>
        <w:tblPrEx>
          <w:tblLayout w:type="fixed"/>
          <w:tblCellMar>
            <w:top w:w="0" w:type="dxa"/>
            <w:left w:w="108" w:type="dxa"/>
            <w:bottom w:w="0" w:type="dxa"/>
            <w:right w:w="108" w:type="dxa"/>
          </w:tblCellMar>
        </w:tblPrEx>
        <w:trPr>
          <w:trHeight w:val="735" w:hRule="atLeast"/>
        </w:trPr>
        <w:tc>
          <w:tcPr>
            <w:tcW w:w="66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6</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A020523制冷空调设备</w:t>
            </w:r>
          </w:p>
        </w:tc>
        <w:tc>
          <w:tcPr>
            <w:tcW w:w="132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★A02052301制冷压缩机</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冷水机组</w:t>
            </w:r>
          </w:p>
        </w:tc>
        <w:tc>
          <w:tcPr>
            <w:tcW w:w="45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《冷水机组能效限定值及能效等级》（GB19577），《低环境温度空气源热泵（冷水）机组能效限定值及能效等级》（GB37480）</w:t>
            </w:r>
          </w:p>
        </w:tc>
      </w:tr>
      <w:tr>
        <w:tblPrEx>
          <w:tblLayout w:type="fixed"/>
          <w:tblCellMar>
            <w:top w:w="0" w:type="dxa"/>
            <w:left w:w="108" w:type="dxa"/>
            <w:bottom w:w="0" w:type="dxa"/>
            <w:right w:w="108" w:type="dxa"/>
          </w:tblCellMar>
        </w:tblPrEx>
        <w:trPr>
          <w:trHeight w:val="495" w:hRule="atLeast"/>
        </w:trPr>
        <w:tc>
          <w:tcPr>
            <w:tcW w:w="6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p>
        </w:tc>
        <w:tc>
          <w:tcPr>
            <w:tcW w:w="13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水源热泵机组</w:t>
            </w:r>
          </w:p>
        </w:tc>
        <w:tc>
          <w:tcPr>
            <w:tcW w:w="45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《水（地）源热泵机组能效限定值及能效等级》（GB30721）</w:t>
            </w:r>
          </w:p>
        </w:tc>
      </w:tr>
      <w:tr>
        <w:tblPrEx>
          <w:tblLayout w:type="fixed"/>
          <w:tblCellMar>
            <w:top w:w="0" w:type="dxa"/>
            <w:left w:w="108" w:type="dxa"/>
            <w:bottom w:w="0" w:type="dxa"/>
            <w:right w:w="108" w:type="dxa"/>
          </w:tblCellMar>
        </w:tblPrEx>
        <w:trPr>
          <w:trHeight w:val="495" w:hRule="atLeast"/>
        </w:trPr>
        <w:tc>
          <w:tcPr>
            <w:tcW w:w="6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p>
        </w:tc>
        <w:tc>
          <w:tcPr>
            <w:tcW w:w="13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溴化锂吸收式冷水机组</w:t>
            </w:r>
          </w:p>
        </w:tc>
        <w:tc>
          <w:tcPr>
            <w:tcW w:w="45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《溴化锂吸收式冷水机组能效限定值及能效等级》（GB29540）</w:t>
            </w:r>
          </w:p>
        </w:tc>
      </w:tr>
      <w:tr>
        <w:tblPrEx>
          <w:tblLayout w:type="fixed"/>
          <w:tblCellMar>
            <w:top w:w="0" w:type="dxa"/>
            <w:left w:w="108" w:type="dxa"/>
            <w:bottom w:w="0" w:type="dxa"/>
            <w:right w:w="108" w:type="dxa"/>
          </w:tblCellMar>
        </w:tblPrEx>
        <w:trPr>
          <w:trHeight w:val="735" w:hRule="atLeast"/>
        </w:trPr>
        <w:tc>
          <w:tcPr>
            <w:tcW w:w="6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p>
        </w:tc>
        <w:tc>
          <w:tcPr>
            <w:tcW w:w="132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★A02052305空调机组</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多联式空调（热泵）机组(制冷量&gt;14000W)</w:t>
            </w:r>
          </w:p>
        </w:tc>
        <w:tc>
          <w:tcPr>
            <w:tcW w:w="45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《多联式空调（热泵）机组能效限定值及能源效率等级》（GB21454）</w:t>
            </w:r>
          </w:p>
        </w:tc>
      </w:tr>
      <w:tr>
        <w:tblPrEx>
          <w:tblLayout w:type="fixed"/>
          <w:tblCellMar>
            <w:top w:w="0" w:type="dxa"/>
            <w:left w:w="108" w:type="dxa"/>
            <w:bottom w:w="0" w:type="dxa"/>
            <w:right w:w="108" w:type="dxa"/>
          </w:tblCellMar>
        </w:tblPrEx>
        <w:trPr>
          <w:trHeight w:val="735" w:hRule="atLeast"/>
        </w:trPr>
        <w:tc>
          <w:tcPr>
            <w:tcW w:w="6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p>
        </w:tc>
        <w:tc>
          <w:tcPr>
            <w:tcW w:w="13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单元式空气调节机(制冷量&gt;14000W</w:t>
            </w:r>
          </w:p>
        </w:tc>
        <w:tc>
          <w:tcPr>
            <w:tcW w:w="45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《单元式空气调节机能效限定值及能效等级》（GB19576）《风管送风式空调机组能效限定值及能效等级》（GB37479）</w:t>
            </w:r>
          </w:p>
        </w:tc>
      </w:tr>
      <w:tr>
        <w:tblPrEx>
          <w:tblLayout w:type="fixed"/>
          <w:tblCellMar>
            <w:top w:w="0" w:type="dxa"/>
            <w:left w:w="108" w:type="dxa"/>
            <w:bottom w:w="0" w:type="dxa"/>
            <w:right w:w="108" w:type="dxa"/>
          </w:tblCellMar>
        </w:tblPrEx>
        <w:trPr>
          <w:trHeight w:val="735" w:hRule="atLeast"/>
        </w:trPr>
        <w:tc>
          <w:tcPr>
            <w:tcW w:w="6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p>
        </w:tc>
        <w:tc>
          <w:tcPr>
            <w:tcW w:w="13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★A02052309专用制冷、空调设备</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机房空调</w:t>
            </w:r>
          </w:p>
        </w:tc>
        <w:tc>
          <w:tcPr>
            <w:tcW w:w="45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《单元式空气调节机能效限定值及能效等级》（GB19576）</w:t>
            </w:r>
          </w:p>
        </w:tc>
      </w:tr>
      <w:tr>
        <w:tblPrEx>
          <w:tblLayout w:type="fixed"/>
          <w:tblCellMar>
            <w:top w:w="0" w:type="dxa"/>
            <w:left w:w="108" w:type="dxa"/>
            <w:bottom w:w="0" w:type="dxa"/>
            <w:right w:w="108" w:type="dxa"/>
          </w:tblCellMar>
        </w:tblPrEx>
        <w:trPr>
          <w:trHeight w:val="735" w:hRule="atLeast"/>
        </w:trPr>
        <w:tc>
          <w:tcPr>
            <w:tcW w:w="6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p>
        </w:tc>
        <w:tc>
          <w:tcPr>
            <w:tcW w:w="13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A02052399其他制冷空调设备</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冷却塔</w:t>
            </w:r>
          </w:p>
        </w:tc>
        <w:tc>
          <w:tcPr>
            <w:tcW w:w="45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《机械通风冷却塔第1部分：中小型开式冷却塔》（GB/T7190.1）；《机械通风冷却塔第2部分：大型开式冷却塔》（GB/T7190.2）</w:t>
            </w:r>
          </w:p>
        </w:tc>
      </w:tr>
      <w:tr>
        <w:tblPrEx>
          <w:tblLayout w:type="fixed"/>
          <w:tblCellMar>
            <w:top w:w="0" w:type="dxa"/>
            <w:left w:w="108" w:type="dxa"/>
            <w:bottom w:w="0" w:type="dxa"/>
            <w:right w:w="108" w:type="dxa"/>
          </w:tblCellMar>
        </w:tblPrEx>
        <w:trPr>
          <w:trHeight w:val="495" w:hRule="atLeast"/>
        </w:trPr>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7</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A020601电机</w:t>
            </w:r>
          </w:p>
        </w:tc>
        <w:tc>
          <w:tcPr>
            <w:tcW w:w="13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45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《中小型三相异步电动机能效限定值及能效等级》（GB18613）</w:t>
            </w:r>
          </w:p>
        </w:tc>
      </w:tr>
      <w:tr>
        <w:tblPrEx>
          <w:tblLayout w:type="fixed"/>
          <w:tblCellMar>
            <w:top w:w="0" w:type="dxa"/>
            <w:left w:w="108" w:type="dxa"/>
            <w:bottom w:w="0" w:type="dxa"/>
            <w:right w:w="108" w:type="dxa"/>
          </w:tblCellMar>
        </w:tblPrEx>
        <w:trPr>
          <w:trHeight w:val="495" w:hRule="atLeast"/>
        </w:trPr>
        <w:tc>
          <w:tcPr>
            <w:tcW w:w="660" w:type="dxa"/>
            <w:tcBorders>
              <w:top w:val="single" w:color="auto" w:sz="4" w:space="0"/>
              <w:left w:val="single" w:color="000000" w:sz="8" w:space="0"/>
              <w:bottom w:val="single" w:color="000000" w:sz="8" w:space="0"/>
              <w:right w:val="single" w:color="000000" w:sz="8"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8</w:t>
            </w:r>
          </w:p>
        </w:tc>
        <w:tc>
          <w:tcPr>
            <w:tcW w:w="1080" w:type="dxa"/>
            <w:tcBorders>
              <w:top w:val="single" w:color="auto" w:sz="4" w:space="0"/>
              <w:left w:val="nil"/>
              <w:bottom w:val="single" w:color="000000" w:sz="8" w:space="0"/>
              <w:right w:val="single" w:color="000000" w:sz="8"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A020602变压器</w:t>
            </w:r>
          </w:p>
        </w:tc>
        <w:tc>
          <w:tcPr>
            <w:tcW w:w="1320" w:type="dxa"/>
            <w:tcBorders>
              <w:top w:val="single" w:color="auto" w:sz="4" w:space="0"/>
              <w:left w:val="nil"/>
              <w:bottom w:val="single" w:color="000000" w:sz="8" w:space="0"/>
              <w:right w:val="single" w:color="000000" w:sz="8"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配电变压器</w:t>
            </w:r>
          </w:p>
        </w:tc>
        <w:tc>
          <w:tcPr>
            <w:tcW w:w="1620" w:type="dxa"/>
            <w:tcBorders>
              <w:top w:val="single" w:color="auto" w:sz="4" w:space="0"/>
              <w:left w:val="nil"/>
              <w:bottom w:val="single" w:color="000000" w:sz="8" w:space="0"/>
              <w:right w:val="single" w:color="000000" w:sz="8"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4540" w:type="dxa"/>
            <w:tcBorders>
              <w:top w:val="single" w:color="auto" w:sz="4" w:space="0"/>
              <w:left w:val="nil"/>
              <w:bottom w:val="single" w:color="000000" w:sz="8" w:space="0"/>
              <w:right w:val="single" w:color="000000" w:sz="8" w:space="0"/>
            </w:tcBorders>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《三相配电变压器能效限定值及能效等级》（GB20052）</w:t>
            </w:r>
          </w:p>
        </w:tc>
      </w:tr>
      <w:tr>
        <w:tblPrEx>
          <w:tblLayout w:type="fixed"/>
          <w:tblCellMar>
            <w:top w:w="0" w:type="dxa"/>
            <w:left w:w="108" w:type="dxa"/>
            <w:bottom w:w="0" w:type="dxa"/>
            <w:right w:w="108" w:type="dxa"/>
          </w:tblCellMar>
        </w:tblPrEx>
        <w:trPr>
          <w:trHeight w:val="495" w:hRule="atLeast"/>
        </w:trPr>
        <w:tc>
          <w:tcPr>
            <w:tcW w:w="660" w:type="dxa"/>
            <w:tcBorders>
              <w:top w:val="nil"/>
              <w:left w:val="single" w:color="000000" w:sz="8" w:space="0"/>
              <w:bottom w:val="single" w:color="auto" w:sz="4" w:space="0"/>
              <w:right w:val="single" w:color="000000" w:sz="8"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9</w:t>
            </w:r>
          </w:p>
        </w:tc>
        <w:tc>
          <w:tcPr>
            <w:tcW w:w="1080" w:type="dxa"/>
            <w:tcBorders>
              <w:top w:val="nil"/>
              <w:left w:val="nil"/>
              <w:bottom w:val="single" w:color="auto" w:sz="4" w:space="0"/>
              <w:right w:val="single" w:color="000000" w:sz="8"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★A020609镇流器</w:t>
            </w:r>
          </w:p>
        </w:tc>
        <w:tc>
          <w:tcPr>
            <w:tcW w:w="1320" w:type="dxa"/>
            <w:tcBorders>
              <w:top w:val="nil"/>
              <w:left w:val="nil"/>
              <w:bottom w:val="single" w:color="auto" w:sz="4" w:space="0"/>
              <w:right w:val="single" w:color="000000" w:sz="8"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管型荧光灯镇流器</w:t>
            </w:r>
          </w:p>
        </w:tc>
        <w:tc>
          <w:tcPr>
            <w:tcW w:w="1620" w:type="dxa"/>
            <w:tcBorders>
              <w:top w:val="nil"/>
              <w:left w:val="nil"/>
              <w:bottom w:val="single" w:color="auto" w:sz="4" w:space="0"/>
              <w:right w:val="single" w:color="000000" w:sz="8"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4540" w:type="dxa"/>
            <w:tcBorders>
              <w:top w:val="nil"/>
              <w:left w:val="nil"/>
              <w:bottom w:val="single" w:color="auto" w:sz="4" w:space="0"/>
              <w:right w:val="single" w:color="000000" w:sz="8" w:space="0"/>
            </w:tcBorders>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《管形荧光灯镇流器能效限定值及能效等级》（GB17896）</w:t>
            </w:r>
          </w:p>
        </w:tc>
      </w:tr>
      <w:tr>
        <w:tblPrEx>
          <w:tblLayout w:type="fixed"/>
          <w:tblCellMar>
            <w:top w:w="0" w:type="dxa"/>
            <w:left w:w="108" w:type="dxa"/>
            <w:bottom w:w="0" w:type="dxa"/>
            <w:right w:w="108" w:type="dxa"/>
          </w:tblCellMar>
        </w:tblPrEx>
        <w:trPr>
          <w:trHeight w:val="495" w:hRule="atLeast"/>
        </w:trPr>
        <w:tc>
          <w:tcPr>
            <w:tcW w:w="66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10</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A020618生活用电器</w:t>
            </w:r>
          </w:p>
        </w:tc>
        <w:tc>
          <w:tcPr>
            <w:tcW w:w="13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A0206180101电冰箱</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45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《家用电冰箱耗电量限定值及能效等级》（GB 12021.2）</w:t>
            </w:r>
          </w:p>
        </w:tc>
      </w:tr>
      <w:tr>
        <w:tblPrEx>
          <w:tblLayout w:type="fixed"/>
          <w:tblCellMar>
            <w:top w:w="0" w:type="dxa"/>
            <w:left w:w="108" w:type="dxa"/>
            <w:bottom w:w="0" w:type="dxa"/>
            <w:right w:w="108" w:type="dxa"/>
          </w:tblCellMar>
        </w:tblPrEx>
        <w:trPr>
          <w:trHeight w:val="975" w:hRule="atLeast"/>
        </w:trPr>
        <w:tc>
          <w:tcPr>
            <w:tcW w:w="6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p>
        </w:tc>
        <w:tc>
          <w:tcPr>
            <w:tcW w:w="132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★A0206180203空调机</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房间空气调节器</w:t>
            </w:r>
          </w:p>
        </w:tc>
        <w:tc>
          <w:tcPr>
            <w:tcW w:w="45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《转速可控型房间空气调节器能效限定值及能效等级》（GB21455-2013），待2019年修订发布后，按《房间空气调节器能效限定值及能效等级》（GB21455-2019实施。</w:t>
            </w:r>
          </w:p>
        </w:tc>
      </w:tr>
      <w:tr>
        <w:tblPrEx>
          <w:tblLayout w:type="fixed"/>
          <w:tblCellMar>
            <w:top w:w="0" w:type="dxa"/>
            <w:left w:w="108" w:type="dxa"/>
            <w:bottom w:w="0" w:type="dxa"/>
            <w:right w:w="108" w:type="dxa"/>
          </w:tblCellMar>
        </w:tblPrEx>
        <w:trPr>
          <w:trHeight w:val="735" w:hRule="atLeast"/>
        </w:trPr>
        <w:tc>
          <w:tcPr>
            <w:tcW w:w="6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p>
        </w:tc>
        <w:tc>
          <w:tcPr>
            <w:tcW w:w="13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多联式空调（热泵）机组（制冷量≤ 14000W）</w:t>
            </w:r>
          </w:p>
        </w:tc>
        <w:tc>
          <w:tcPr>
            <w:tcW w:w="45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《多联式空调（热泵）机组能效限定值及能源效率等级》（GB21454）</w:t>
            </w:r>
          </w:p>
        </w:tc>
      </w:tr>
      <w:tr>
        <w:tblPrEx>
          <w:tblLayout w:type="fixed"/>
          <w:tblCellMar>
            <w:top w:w="0" w:type="dxa"/>
            <w:left w:w="108" w:type="dxa"/>
            <w:bottom w:w="0" w:type="dxa"/>
            <w:right w:w="108" w:type="dxa"/>
          </w:tblCellMar>
        </w:tblPrEx>
        <w:trPr>
          <w:trHeight w:val="735" w:hRule="atLeast"/>
        </w:trPr>
        <w:tc>
          <w:tcPr>
            <w:tcW w:w="6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p>
        </w:tc>
        <w:tc>
          <w:tcPr>
            <w:tcW w:w="13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单元式空气调节机(制冷量≤14000W)</w:t>
            </w:r>
          </w:p>
        </w:tc>
        <w:tc>
          <w:tcPr>
            <w:tcW w:w="45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《单元式空气调节机能效限定值及能源效率等级》（GB19576）《风管送风式空调机组能效限定值及能效等级》（GB37479）</w:t>
            </w:r>
          </w:p>
        </w:tc>
      </w:tr>
      <w:tr>
        <w:tblPrEx>
          <w:tblLayout w:type="fixed"/>
          <w:tblCellMar>
            <w:top w:w="0" w:type="dxa"/>
            <w:left w:w="108" w:type="dxa"/>
            <w:bottom w:w="0" w:type="dxa"/>
            <w:right w:w="108" w:type="dxa"/>
          </w:tblCellMar>
        </w:tblPrEx>
        <w:trPr>
          <w:trHeight w:val="495" w:hRule="atLeast"/>
        </w:trPr>
        <w:tc>
          <w:tcPr>
            <w:tcW w:w="6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p>
        </w:tc>
        <w:tc>
          <w:tcPr>
            <w:tcW w:w="13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A0206180301洗衣机</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45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《电动洗衣机能效水效限定值及等级》（GB12021.4）</w:t>
            </w:r>
          </w:p>
        </w:tc>
      </w:tr>
      <w:tr>
        <w:tblPrEx>
          <w:tblLayout w:type="fixed"/>
          <w:tblCellMar>
            <w:top w:w="0" w:type="dxa"/>
            <w:left w:w="108" w:type="dxa"/>
            <w:bottom w:w="0" w:type="dxa"/>
            <w:right w:w="108" w:type="dxa"/>
          </w:tblCellMar>
        </w:tblPrEx>
        <w:trPr>
          <w:trHeight w:val="495" w:hRule="atLeast"/>
        </w:trPr>
        <w:tc>
          <w:tcPr>
            <w:tcW w:w="6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p>
        </w:tc>
        <w:tc>
          <w:tcPr>
            <w:tcW w:w="132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A02061808热水器</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★电热水器</w:t>
            </w:r>
          </w:p>
        </w:tc>
        <w:tc>
          <w:tcPr>
            <w:tcW w:w="45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《储水式电热水器能效限定值及能效等级》（GB21519）</w:t>
            </w:r>
          </w:p>
        </w:tc>
      </w:tr>
      <w:tr>
        <w:tblPrEx>
          <w:tblLayout w:type="fixed"/>
          <w:tblCellMar>
            <w:top w:w="0" w:type="dxa"/>
            <w:left w:w="108" w:type="dxa"/>
            <w:bottom w:w="0" w:type="dxa"/>
            <w:right w:w="108" w:type="dxa"/>
          </w:tblCellMar>
        </w:tblPrEx>
        <w:trPr>
          <w:trHeight w:val="495" w:hRule="atLeast"/>
        </w:trPr>
        <w:tc>
          <w:tcPr>
            <w:tcW w:w="6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p>
        </w:tc>
        <w:tc>
          <w:tcPr>
            <w:tcW w:w="13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燃气热水器</w:t>
            </w:r>
          </w:p>
        </w:tc>
        <w:tc>
          <w:tcPr>
            <w:tcW w:w="45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《家用燃气快速热水器和燃气采暖热水炉能效限定值及能效等级》（GB20665）</w:t>
            </w:r>
          </w:p>
        </w:tc>
      </w:tr>
      <w:tr>
        <w:tblPrEx>
          <w:tblLayout w:type="fixed"/>
          <w:tblCellMar>
            <w:top w:w="0" w:type="dxa"/>
            <w:left w:w="108" w:type="dxa"/>
            <w:bottom w:w="0" w:type="dxa"/>
            <w:right w:w="108" w:type="dxa"/>
          </w:tblCellMar>
        </w:tblPrEx>
        <w:trPr>
          <w:trHeight w:val="495" w:hRule="atLeast"/>
        </w:trPr>
        <w:tc>
          <w:tcPr>
            <w:tcW w:w="6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p>
        </w:tc>
        <w:tc>
          <w:tcPr>
            <w:tcW w:w="13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热泵热水器</w:t>
            </w:r>
          </w:p>
        </w:tc>
        <w:tc>
          <w:tcPr>
            <w:tcW w:w="45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《热泵热水机（器）能效限定值及能效等级》（GB29541）</w:t>
            </w:r>
          </w:p>
        </w:tc>
      </w:tr>
      <w:tr>
        <w:tblPrEx>
          <w:tblLayout w:type="fixed"/>
          <w:tblCellMar>
            <w:top w:w="0" w:type="dxa"/>
            <w:left w:w="108" w:type="dxa"/>
            <w:bottom w:w="0" w:type="dxa"/>
            <w:right w:w="108" w:type="dxa"/>
          </w:tblCellMar>
        </w:tblPrEx>
        <w:trPr>
          <w:trHeight w:val="495" w:hRule="atLeast"/>
        </w:trPr>
        <w:tc>
          <w:tcPr>
            <w:tcW w:w="6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p>
        </w:tc>
        <w:tc>
          <w:tcPr>
            <w:tcW w:w="13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太阳能热水系统</w:t>
            </w:r>
          </w:p>
        </w:tc>
        <w:tc>
          <w:tcPr>
            <w:tcW w:w="45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《家用太阳能热水系统能效限定值及能效等级》（GB26969）</w:t>
            </w:r>
          </w:p>
        </w:tc>
      </w:tr>
      <w:tr>
        <w:tblPrEx>
          <w:tblLayout w:type="fixed"/>
          <w:tblCellMar>
            <w:top w:w="0" w:type="dxa"/>
            <w:left w:w="108" w:type="dxa"/>
            <w:bottom w:w="0" w:type="dxa"/>
            <w:right w:w="108" w:type="dxa"/>
          </w:tblCellMar>
        </w:tblPrEx>
        <w:trPr>
          <w:trHeight w:val="495" w:hRule="atLeast"/>
        </w:trPr>
        <w:tc>
          <w:tcPr>
            <w:tcW w:w="66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11</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A020619照明设备</w:t>
            </w:r>
          </w:p>
        </w:tc>
        <w:tc>
          <w:tcPr>
            <w:tcW w:w="13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★普通照明用双端荧光灯</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45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《普通照明用双端荧光灯能效限定值及能效等级》（GB19043）</w:t>
            </w:r>
          </w:p>
        </w:tc>
      </w:tr>
      <w:tr>
        <w:tblPrEx>
          <w:tblLayout w:type="fixed"/>
          <w:tblCellMar>
            <w:top w:w="0" w:type="dxa"/>
            <w:left w:w="108" w:type="dxa"/>
            <w:bottom w:w="0" w:type="dxa"/>
            <w:right w:w="108" w:type="dxa"/>
          </w:tblCellMar>
        </w:tblPrEx>
        <w:trPr>
          <w:trHeight w:val="495" w:hRule="atLeast"/>
        </w:trPr>
        <w:tc>
          <w:tcPr>
            <w:tcW w:w="6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p>
        </w:tc>
        <w:tc>
          <w:tcPr>
            <w:tcW w:w="13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LED道路/隧道照明产品</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45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《道路和隧道照明用LED灯具能效限定值及能效等级》（GB37478）</w:t>
            </w:r>
          </w:p>
        </w:tc>
      </w:tr>
      <w:tr>
        <w:tblPrEx>
          <w:tblLayout w:type="fixed"/>
          <w:tblCellMar>
            <w:top w:w="0" w:type="dxa"/>
            <w:left w:w="108" w:type="dxa"/>
            <w:bottom w:w="0" w:type="dxa"/>
            <w:right w:w="108" w:type="dxa"/>
          </w:tblCellMar>
        </w:tblPrEx>
        <w:trPr>
          <w:trHeight w:val="495" w:hRule="atLeast"/>
        </w:trPr>
        <w:tc>
          <w:tcPr>
            <w:tcW w:w="6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p>
        </w:tc>
        <w:tc>
          <w:tcPr>
            <w:tcW w:w="13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LED筒灯</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45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《室内照明用LED产品能效限定值及能效等级》（GB30255）</w:t>
            </w:r>
          </w:p>
        </w:tc>
      </w:tr>
      <w:tr>
        <w:tblPrEx>
          <w:tblLayout w:type="fixed"/>
          <w:tblCellMar>
            <w:top w:w="0" w:type="dxa"/>
            <w:left w:w="108" w:type="dxa"/>
            <w:bottom w:w="0" w:type="dxa"/>
            <w:right w:w="108" w:type="dxa"/>
          </w:tblCellMar>
        </w:tblPrEx>
        <w:trPr>
          <w:trHeight w:val="735" w:hRule="atLeast"/>
        </w:trPr>
        <w:tc>
          <w:tcPr>
            <w:tcW w:w="6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p>
        </w:tc>
        <w:tc>
          <w:tcPr>
            <w:tcW w:w="13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普通照明用非定向自镇流LED灯</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45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《室内照明用LED产品能效限定值及能效等级》（GB30255）</w:t>
            </w:r>
          </w:p>
        </w:tc>
      </w:tr>
      <w:tr>
        <w:tblPrEx>
          <w:tblLayout w:type="fixed"/>
          <w:tblCellMar>
            <w:top w:w="0" w:type="dxa"/>
            <w:left w:w="108" w:type="dxa"/>
            <w:bottom w:w="0" w:type="dxa"/>
            <w:right w:w="108" w:type="dxa"/>
          </w:tblCellMar>
        </w:tblPrEx>
        <w:trPr>
          <w:trHeight w:val="735" w:hRule="atLeast"/>
        </w:trPr>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12</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★A020910电视设备</w:t>
            </w:r>
          </w:p>
        </w:tc>
        <w:tc>
          <w:tcPr>
            <w:tcW w:w="13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A02091001普通电视设备（电视机）</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45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《平板电视能效限定值及能效等级》（GB24850）</w:t>
            </w:r>
          </w:p>
        </w:tc>
      </w:tr>
      <w:tr>
        <w:tblPrEx>
          <w:tblLayout w:type="fixed"/>
          <w:tblCellMar>
            <w:top w:w="0" w:type="dxa"/>
            <w:left w:w="108" w:type="dxa"/>
            <w:bottom w:w="0" w:type="dxa"/>
            <w:right w:w="108" w:type="dxa"/>
          </w:tblCellMar>
        </w:tblPrEx>
        <w:trPr>
          <w:trHeight w:val="975" w:hRule="atLeast"/>
        </w:trPr>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13</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★A020911视频设备</w:t>
            </w:r>
          </w:p>
        </w:tc>
        <w:tc>
          <w:tcPr>
            <w:tcW w:w="13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A02091107视频监控设备</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监视器</w:t>
            </w:r>
          </w:p>
        </w:tc>
        <w:tc>
          <w:tcPr>
            <w:tcW w:w="45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以射频信号为主要信号输入的监视器应符合《平板电视能效限定值及能效等级》（GB24850），以数字信号为主要信号输入的监视器应符合《计算机显示器能效限定值及能效等级》（GB21520）</w:t>
            </w:r>
          </w:p>
        </w:tc>
      </w:tr>
      <w:tr>
        <w:tblPrEx>
          <w:tblLayout w:type="fixed"/>
          <w:tblCellMar>
            <w:top w:w="0" w:type="dxa"/>
            <w:left w:w="108" w:type="dxa"/>
            <w:bottom w:w="0" w:type="dxa"/>
            <w:right w:w="108" w:type="dxa"/>
          </w:tblCellMar>
        </w:tblPrEx>
        <w:trPr>
          <w:trHeight w:val="495" w:hRule="atLeast"/>
        </w:trPr>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14</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A031210饮食炊事机械</w:t>
            </w:r>
          </w:p>
        </w:tc>
        <w:tc>
          <w:tcPr>
            <w:tcW w:w="13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商用燃气灶具</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45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《商用燃气灶具能效限定值及能效等级》（GB30531）</w:t>
            </w:r>
          </w:p>
        </w:tc>
      </w:tr>
      <w:tr>
        <w:tblPrEx>
          <w:tblLayout w:type="fixed"/>
          <w:tblCellMar>
            <w:top w:w="0" w:type="dxa"/>
            <w:left w:w="108" w:type="dxa"/>
            <w:bottom w:w="0" w:type="dxa"/>
            <w:right w:w="108" w:type="dxa"/>
          </w:tblCellMar>
        </w:tblPrEx>
        <w:trPr>
          <w:trHeight w:val="285" w:hRule="atLeast"/>
        </w:trPr>
        <w:tc>
          <w:tcPr>
            <w:tcW w:w="66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15</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★A060805便器</w:t>
            </w:r>
          </w:p>
        </w:tc>
        <w:tc>
          <w:tcPr>
            <w:tcW w:w="13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坐便器</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45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《坐便器水效限定值及水效等级》（GB25502）</w:t>
            </w:r>
          </w:p>
        </w:tc>
      </w:tr>
      <w:tr>
        <w:tblPrEx>
          <w:tblLayout w:type="fixed"/>
          <w:tblCellMar>
            <w:top w:w="0" w:type="dxa"/>
            <w:left w:w="108" w:type="dxa"/>
            <w:bottom w:w="0" w:type="dxa"/>
            <w:right w:w="108" w:type="dxa"/>
          </w:tblCellMar>
        </w:tblPrEx>
        <w:trPr>
          <w:trHeight w:val="495" w:hRule="atLeast"/>
        </w:trPr>
        <w:tc>
          <w:tcPr>
            <w:tcW w:w="6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p>
        </w:tc>
        <w:tc>
          <w:tcPr>
            <w:tcW w:w="13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蹲便器</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45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《蹲便器用水效率限定值及用水效率等级》（GB30717）</w:t>
            </w:r>
          </w:p>
        </w:tc>
      </w:tr>
      <w:tr>
        <w:tblPrEx>
          <w:tblLayout w:type="fixed"/>
          <w:tblCellMar>
            <w:top w:w="0" w:type="dxa"/>
            <w:left w:w="108" w:type="dxa"/>
            <w:bottom w:w="0" w:type="dxa"/>
            <w:right w:w="108" w:type="dxa"/>
          </w:tblCellMar>
        </w:tblPrEx>
        <w:trPr>
          <w:trHeight w:val="495" w:hRule="atLeast"/>
        </w:trPr>
        <w:tc>
          <w:tcPr>
            <w:tcW w:w="6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p>
        </w:tc>
        <w:tc>
          <w:tcPr>
            <w:tcW w:w="13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小便器</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45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《小便器用水效率限定值及用水效率等级》（GB28377）</w:t>
            </w:r>
          </w:p>
        </w:tc>
      </w:tr>
      <w:tr>
        <w:tblPrEx>
          <w:tblLayout w:type="fixed"/>
          <w:tblCellMar>
            <w:top w:w="0" w:type="dxa"/>
            <w:left w:w="108" w:type="dxa"/>
            <w:bottom w:w="0" w:type="dxa"/>
            <w:right w:w="108" w:type="dxa"/>
          </w:tblCellMar>
        </w:tblPrEx>
        <w:trPr>
          <w:trHeight w:val="495" w:hRule="atLeast"/>
        </w:trPr>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16</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★A060806水嘴</w:t>
            </w:r>
          </w:p>
        </w:tc>
        <w:tc>
          <w:tcPr>
            <w:tcW w:w="13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45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《水嘴用水效率限定值及用水效率等级》（GB 25501）</w:t>
            </w:r>
          </w:p>
        </w:tc>
      </w:tr>
      <w:tr>
        <w:tblPrEx>
          <w:tblLayout w:type="fixed"/>
          <w:tblCellMar>
            <w:top w:w="0" w:type="dxa"/>
            <w:left w:w="108" w:type="dxa"/>
            <w:bottom w:w="0" w:type="dxa"/>
            <w:right w:w="108" w:type="dxa"/>
          </w:tblCellMar>
        </w:tblPrEx>
        <w:trPr>
          <w:trHeight w:val="495" w:hRule="atLeast"/>
        </w:trPr>
        <w:tc>
          <w:tcPr>
            <w:tcW w:w="660" w:type="dxa"/>
            <w:tcBorders>
              <w:top w:val="single" w:color="auto" w:sz="4" w:space="0"/>
              <w:left w:val="single" w:color="000000" w:sz="8" w:space="0"/>
              <w:bottom w:val="single" w:color="000000" w:sz="8" w:space="0"/>
              <w:right w:val="single" w:color="000000" w:sz="8"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17</w:t>
            </w:r>
          </w:p>
        </w:tc>
        <w:tc>
          <w:tcPr>
            <w:tcW w:w="1080" w:type="dxa"/>
            <w:tcBorders>
              <w:top w:val="single" w:color="auto" w:sz="4" w:space="0"/>
              <w:left w:val="nil"/>
              <w:bottom w:val="single" w:color="000000" w:sz="8" w:space="0"/>
              <w:right w:val="single" w:color="000000" w:sz="8"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A060807便器冲洗阀</w:t>
            </w:r>
          </w:p>
        </w:tc>
        <w:tc>
          <w:tcPr>
            <w:tcW w:w="1320" w:type="dxa"/>
            <w:tcBorders>
              <w:top w:val="single" w:color="auto" w:sz="4" w:space="0"/>
              <w:left w:val="nil"/>
              <w:bottom w:val="single" w:color="000000" w:sz="8" w:space="0"/>
              <w:right w:val="single" w:color="000000" w:sz="8"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1620" w:type="dxa"/>
            <w:tcBorders>
              <w:top w:val="single" w:color="auto" w:sz="4" w:space="0"/>
              <w:left w:val="nil"/>
              <w:bottom w:val="single" w:color="000000" w:sz="8" w:space="0"/>
              <w:right w:val="single" w:color="000000" w:sz="8"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4540" w:type="dxa"/>
            <w:tcBorders>
              <w:top w:val="single" w:color="auto" w:sz="4" w:space="0"/>
              <w:left w:val="nil"/>
              <w:bottom w:val="single" w:color="000000" w:sz="8" w:space="0"/>
              <w:right w:val="single" w:color="000000" w:sz="8" w:space="0"/>
            </w:tcBorders>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《便器冲洗阀用水效率限定值及用水效率等级》（GB28379）</w:t>
            </w:r>
          </w:p>
        </w:tc>
      </w:tr>
      <w:tr>
        <w:tblPrEx>
          <w:tblLayout w:type="fixed"/>
          <w:tblCellMar>
            <w:top w:w="0" w:type="dxa"/>
            <w:left w:w="108" w:type="dxa"/>
            <w:bottom w:w="0" w:type="dxa"/>
            <w:right w:w="108" w:type="dxa"/>
          </w:tblCellMar>
        </w:tblPrEx>
        <w:trPr>
          <w:trHeight w:val="495" w:hRule="atLeast"/>
        </w:trPr>
        <w:tc>
          <w:tcPr>
            <w:tcW w:w="66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18</w:t>
            </w:r>
          </w:p>
        </w:tc>
        <w:tc>
          <w:tcPr>
            <w:tcW w:w="1080"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A060810淋浴器</w:t>
            </w:r>
          </w:p>
        </w:tc>
        <w:tc>
          <w:tcPr>
            <w:tcW w:w="1320"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1620"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4540" w:type="dxa"/>
            <w:tcBorders>
              <w:top w:val="nil"/>
              <w:left w:val="nil"/>
              <w:bottom w:val="single" w:color="000000" w:sz="8" w:space="0"/>
              <w:right w:val="single" w:color="000000" w:sz="8" w:space="0"/>
            </w:tcBorders>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《淋浴器用水效率限定值及用水效率等级》（GB28378）</w:t>
            </w:r>
          </w:p>
        </w:tc>
      </w:tr>
    </w:tbl>
    <w:p>
      <w:pPr>
        <w:widowControl/>
        <w:rPr>
          <w:rFonts w:ascii="宋体" w:hAnsi="宋体" w:cs="宋体"/>
          <w:color w:val="auto"/>
          <w:sz w:val="20"/>
          <w:szCs w:val="20"/>
        </w:rPr>
      </w:pPr>
    </w:p>
    <w:p>
      <w:pPr>
        <w:pStyle w:val="11"/>
        <w:spacing w:line="360" w:lineRule="auto"/>
        <w:ind w:firstLine="408"/>
        <w:rPr>
          <w:rFonts w:ascii="宋体" w:hAnsi="宋体" w:cs="宋体"/>
          <w:color w:val="auto"/>
          <w:szCs w:val="21"/>
        </w:rPr>
      </w:pPr>
      <w:r>
        <w:rPr>
          <w:rFonts w:hint="eastAsia" w:ascii="宋体" w:hAnsi="宋体" w:cs="宋体"/>
          <w:color w:val="auto"/>
          <w:spacing w:val="-3"/>
          <w:szCs w:val="21"/>
        </w:rPr>
        <w:t>注：1.节能产品认证应依据相关国家标准的最新版本，依据国家标准中二级能效（水效）</w:t>
      </w:r>
      <w:r>
        <w:rPr>
          <w:rFonts w:hint="eastAsia" w:ascii="宋体" w:hAnsi="宋体" w:cs="宋体"/>
          <w:color w:val="auto"/>
          <w:szCs w:val="21"/>
        </w:rPr>
        <w:t>指标。</w:t>
      </w:r>
    </w:p>
    <w:p>
      <w:pPr>
        <w:pStyle w:val="11"/>
        <w:spacing w:line="360" w:lineRule="auto"/>
        <w:rPr>
          <w:rFonts w:ascii="宋体" w:hAnsi="宋体" w:cs="宋体"/>
          <w:b/>
          <w:bCs/>
          <w:color w:val="auto"/>
          <w:szCs w:val="21"/>
        </w:rPr>
      </w:pPr>
      <w:r>
        <w:rPr>
          <w:rFonts w:hint="eastAsia" w:ascii="宋体" w:hAnsi="宋体" w:cs="宋体"/>
          <w:color w:val="auto"/>
          <w:szCs w:val="21"/>
        </w:rPr>
        <w:t xml:space="preserve">        2</w:t>
      </w:r>
      <w:r>
        <w:rPr>
          <w:rFonts w:hint="eastAsia" w:ascii="宋体" w:hAnsi="宋体" w:cs="宋体"/>
          <w:b/>
          <w:bCs/>
          <w:color w:val="auto"/>
          <w:szCs w:val="21"/>
        </w:rPr>
        <w:t>.以“★”标注的为政府强制采购产品。</w:t>
      </w:r>
    </w:p>
    <w:p>
      <w:pPr>
        <w:pStyle w:val="14"/>
        <w:jc w:val="left"/>
        <w:rPr>
          <w:rFonts w:hAnsi="宋体" w:cs="宋体"/>
          <w:color w:val="auto"/>
          <w:sz w:val="32"/>
          <w:szCs w:val="32"/>
        </w:rPr>
      </w:pPr>
      <w:r>
        <w:rPr>
          <w:rFonts w:hint="eastAsia" w:hAnsi="宋体" w:cs="宋体"/>
          <w:color w:val="auto"/>
        </w:rPr>
        <w:br w:type="page"/>
      </w:r>
      <w:r>
        <w:rPr>
          <w:rFonts w:hint="eastAsia" w:hAnsi="宋体" w:cs="宋体"/>
          <w:color w:val="auto"/>
          <w:sz w:val="32"/>
          <w:szCs w:val="32"/>
        </w:rPr>
        <w:t>附件2：</w:t>
      </w:r>
    </w:p>
    <w:p>
      <w:pPr>
        <w:widowControl/>
        <w:spacing w:beforeLines="50" w:afterLines="50" w:line="280" w:lineRule="exact"/>
        <w:jc w:val="center"/>
        <w:rPr>
          <w:rFonts w:ascii="宋体" w:hAnsi="宋体" w:cs="宋体"/>
          <w:b/>
          <w:bCs/>
          <w:color w:val="auto"/>
          <w:kern w:val="0"/>
          <w:sz w:val="30"/>
          <w:szCs w:val="30"/>
        </w:rPr>
      </w:pPr>
      <w:bookmarkStart w:id="61" w:name="_Toc28361_WPSOffice_Level2"/>
      <w:r>
        <w:rPr>
          <w:rFonts w:hint="eastAsia" w:ascii="宋体" w:hAnsi="宋体" w:cs="宋体"/>
          <w:b/>
          <w:bCs/>
          <w:color w:val="auto"/>
          <w:kern w:val="0"/>
          <w:sz w:val="30"/>
          <w:szCs w:val="30"/>
        </w:rPr>
        <w:t>统计上大中小微型企业划分标准</w:t>
      </w:r>
      <w:bookmarkEnd w:id="61"/>
    </w:p>
    <w:tbl>
      <w:tblPr>
        <w:tblStyle w:val="24"/>
        <w:tblW w:w="94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3"/>
        <w:gridCol w:w="1369"/>
        <w:gridCol w:w="709"/>
        <w:gridCol w:w="1125"/>
        <w:gridCol w:w="1701"/>
        <w:gridCol w:w="1426"/>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blHeader/>
          <w:jc w:val="center"/>
        </w:trPr>
        <w:tc>
          <w:tcPr>
            <w:tcW w:w="2113" w:type="dxa"/>
            <w:shd w:val="clear" w:color="auto" w:fill="8DB3E2"/>
            <w:vAlign w:val="center"/>
          </w:tcPr>
          <w:p>
            <w:pPr>
              <w:widowControl/>
              <w:spacing w:line="280" w:lineRule="exact"/>
              <w:jc w:val="center"/>
              <w:rPr>
                <w:rFonts w:ascii="宋体" w:hAnsi="宋体" w:cs="宋体"/>
                <w:b/>
                <w:bCs/>
                <w:color w:val="auto"/>
                <w:kern w:val="0"/>
                <w:sz w:val="18"/>
                <w:szCs w:val="21"/>
              </w:rPr>
            </w:pPr>
            <w:r>
              <w:rPr>
                <w:rFonts w:hint="eastAsia" w:ascii="宋体" w:hAnsi="宋体" w:cs="宋体"/>
                <w:b/>
                <w:bCs/>
                <w:color w:val="auto"/>
                <w:kern w:val="0"/>
                <w:sz w:val="18"/>
                <w:szCs w:val="21"/>
              </w:rPr>
              <w:t>行业名称</w:t>
            </w:r>
          </w:p>
        </w:tc>
        <w:tc>
          <w:tcPr>
            <w:tcW w:w="1369" w:type="dxa"/>
            <w:shd w:val="clear" w:color="auto" w:fill="8DB3E2"/>
            <w:vAlign w:val="center"/>
          </w:tcPr>
          <w:p>
            <w:pPr>
              <w:widowControl/>
              <w:spacing w:line="280" w:lineRule="exact"/>
              <w:jc w:val="center"/>
              <w:rPr>
                <w:rFonts w:ascii="宋体" w:hAnsi="宋体" w:cs="宋体"/>
                <w:b/>
                <w:bCs/>
                <w:color w:val="auto"/>
                <w:kern w:val="0"/>
                <w:sz w:val="18"/>
                <w:szCs w:val="18"/>
              </w:rPr>
            </w:pPr>
            <w:r>
              <w:rPr>
                <w:rFonts w:hint="eastAsia" w:ascii="宋体" w:hAnsi="宋体" w:cs="宋体"/>
                <w:b/>
                <w:bCs/>
                <w:color w:val="auto"/>
                <w:kern w:val="0"/>
                <w:sz w:val="18"/>
                <w:szCs w:val="18"/>
              </w:rPr>
              <w:t>指标名称</w:t>
            </w:r>
          </w:p>
        </w:tc>
        <w:tc>
          <w:tcPr>
            <w:tcW w:w="709" w:type="dxa"/>
            <w:shd w:val="clear" w:color="auto" w:fill="8DB3E2"/>
            <w:vAlign w:val="center"/>
          </w:tcPr>
          <w:p>
            <w:pPr>
              <w:widowControl/>
              <w:spacing w:line="280" w:lineRule="exact"/>
              <w:jc w:val="center"/>
              <w:rPr>
                <w:rFonts w:ascii="宋体" w:hAnsi="宋体" w:cs="宋体"/>
                <w:b/>
                <w:bCs/>
                <w:color w:val="auto"/>
                <w:kern w:val="0"/>
                <w:sz w:val="18"/>
                <w:szCs w:val="18"/>
              </w:rPr>
            </w:pPr>
            <w:r>
              <w:rPr>
                <w:rFonts w:hint="eastAsia" w:ascii="宋体" w:hAnsi="宋体" w:cs="宋体"/>
                <w:b/>
                <w:bCs/>
                <w:color w:val="auto"/>
                <w:kern w:val="0"/>
                <w:sz w:val="18"/>
                <w:szCs w:val="18"/>
              </w:rPr>
              <w:t>计量</w:t>
            </w:r>
          </w:p>
          <w:p>
            <w:pPr>
              <w:widowControl/>
              <w:spacing w:line="280" w:lineRule="exact"/>
              <w:jc w:val="center"/>
              <w:rPr>
                <w:rFonts w:ascii="宋体" w:hAnsi="宋体" w:cs="宋体"/>
                <w:b/>
                <w:bCs/>
                <w:color w:val="auto"/>
                <w:kern w:val="0"/>
                <w:sz w:val="18"/>
                <w:szCs w:val="18"/>
              </w:rPr>
            </w:pPr>
            <w:r>
              <w:rPr>
                <w:rFonts w:hint="eastAsia" w:ascii="宋体" w:hAnsi="宋体" w:cs="宋体"/>
                <w:b/>
                <w:bCs/>
                <w:color w:val="auto"/>
                <w:kern w:val="0"/>
                <w:sz w:val="18"/>
                <w:szCs w:val="18"/>
              </w:rPr>
              <w:t>单位</w:t>
            </w:r>
          </w:p>
        </w:tc>
        <w:tc>
          <w:tcPr>
            <w:tcW w:w="1125" w:type="dxa"/>
            <w:shd w:val="clear" w:color="auto" w:fill="8DB3E2"/>
            <w:vAlign w:val="center"/>
          </w:tcPr>
          <w:p>
            <w:pPr>
              <w:widowControl/>
              <w:spacing w:line="280" w:lineRule="exact"/>
              <w:jc w:val="center"/>
              <w:rPr>
                <w:rFonts w:ascii="宋体" w:hAnsi="宋体" w:cs="宋体"/>
                <w:b/>
                <w:bCs/>
                <w:color w:val="auto"/>
                <w:kern w:val="0"/>
                <w:sz w:val="18"/>
                <w:szCs w:val="18"/>
              </w:rPr>
            </w:pPr>
            <w:r>
              <w:rPr>
                <w:rFonts w:hint="eastAsia" w:ascii="宋体" w:hAnsi="宋体" w:cs="宋体"/>
                <w:b/>
                <w:bCs/>
                <w:color w:val="auto"/>
                <w:kern w:val="0"/>
                <w:sz w:val="18"/>
                <w:szCs w:val="18"/>
              </w:rPr>
              <w:t>大型</w:t>
            </w:r>
          </w:p>
        </w:tc>
        <w:tc>
          <w:tcPr>
            <w:tcW w:w="1701" w:type="dxa"/>
            <w:shd w:val="clear" w:color="auto" w:fill="8DB3E2"/>
            <w:vAlign w:val="center"/>
          </w:tcPr>
          <w:p>
            <w:pPr>
              <w:widowControl/>
              <w:spacing w:line="280" w:lineRule="exact"/>
              <w:jc w:val="center"/>
              <w:rPr>
                <w:rFonts w:ascii="宋体" w:hAnsi="宋体" w:cs="宋体"/>
                <w:b/>
                <w:bCs/>
                <w:color w:val="auto"/>
                <w:kern w:val="0"/>
                <w:sz w:val="18"/>
                <w:szCs w:val="18"/>
              </w:rPr>
            </w:pPr>
            <w:r>
              <w:rPr>
                <w:rFonts w:hint="eastAsia" w:ascii="宋体" w:hAnsi="宋体" w:cs="宋体"/>
                <w:b/>
                <w:bCs/>
                <w:color w:val="auto"/>
                <w:kern w:val="0"/>
                <w:sz w:val="18"/>
                <w:szCs w:val="18"/>
              </w:rPr>
              <w:t>中型</w:t>
            </w:r>
          </w:p>
        </w:tc>
        <w:tc>
          <w:tcPr>
            <w:tcW w:w="1426" w:type="dxa"/>
            <w:shd w:val="clear" w:color="auto" w:fill="8DB3E2"/>
            <w:vAlign w:val="center"/>
          </w:tcPr>
          <w:p>
            <w:pPr>
              <w:widowControl/>
              <w:spacing w:line="280" w:lineRule="exact"/>
              <w:jc w:val="center"/>
              <w:rPr>
                <w:rFonts w:ascii="宋体" w:hAnsi="宋体" w:cs="宋体"/>
                <w:b/>
                <w:bCs/>
                <w:color w:val="auto"/>
                <w:kern w:val="0"/>
                <w:sz w:val="18"/>
                <w:szCs w:val="18"/>
              </w:rPr>
            </w:pPr>
            <w:r>
              <w:rPr>
                <w:rFonts w:hint="eastAsia" w:ascii="宋体" w:hAnsi="宋体" w:cs="宋体"/>
                <w:b/>
                <w:bCs/>
                <w:color w:val="auto"/>
                <w:kern w:val="0"/>
                <w:sz w:val="18"/>
                <w:szCs w:val="18"/>
              </w:rPr>
              <w:t>小型</w:t>
            </w:r>
          </w:p>
        </w:tc>
        <w:tc>
          <w:tcPr>
            <w:tcW w:w="992" w:type="dxa"/>
            <w:shd w:val="clear" w:color="auto" w:fill="8DB3E2"/>
            <w:vAlign w:val="center"/>
          </w:tcPr>
          <w:p>
            <w:pPr>
              <w:widowControl/>
              <w:spacing w:line="280" w:lineRule="exact"/>
              <w:jc w:val="center"/>
              <w:rPr>
                <w:rFonts w:ascii="宋体" w:hAnsi="宋体" w:cs="宋体"/>
                <w:b/>
                <w:bCs/>
                <w:color w:val="auto"/>
                <w:kern w:val="0"/>
                <w:sz w:val="18"/>
                <w:szCs w:val="18"/>
              </w:rPr>
            </w:pPr>
            <w:r>
              <w:rPr>
                <w:rFonts w:hint="eastAsia" w:ascii="宋体" w:hAnsi="宋体" w:cs="宋体"/>
                <w:b/>
                <w:bCs/>
                <w:color w:val="auto"/>
                <w:kern w:val="0"/>
                <w:sz w:val="18"/>
                <w:szCs w:val="18"/>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113" w:type="dxa"/>
            <w:vAlign w:val="center"/>
          </w:tcPr>
          <w:p>
            <w:pPr>
              <w:widowControl/>
              <w:spacing w:line="280" w:lineRule="exact"/>
              <w:jc w:val="left"/>
              <w:rPr>
                <w:rFonts w:ascii="宋体" w:hAnsi="宋体" w:cs="宋体"/>
                <w:color w:val="auto"/>
                <w:kern w:val="0"/>
                <w:sz w:val="18"/>
                <w:szCs w:val="18"/>
              </w:rPr>
            </w:pPr>
            <w:r>
              <w:rPr>
                <w:rFonts w:hint="eastAsia" w:ascii="宋体" w:hAnsi="宋体" w:cs="宋体"/>
                <w:color w:val="auto"/>
                <w:kern w:val="0"/>
                <w:sz w:val="18"/>
                <w:szCs w:val="18"/>
              </w:rPr>
              <w:t>农、林、牧、渔业</w:t>
            </w:r>
          </w:p>
        </w:tc>
        <w:tc>
          <w:tcPr>
            <w:tcW w:w="1369"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709"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5"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Y≥20000</w:t>
            </w:r>
          </w:p>
        </w:tc>
        <w:tc>
          <w:tcPr>
            <w:tcW w:w="1701"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500≤Y＜20000</w:t>
            </w:r>
          </w:p>
        </w:tc>
        <w:tc>
          <w:tcPr>
            <w:tcW w:w="1426"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50≤Y＜500</w:t>
            </w:r>
          </w:p>
        </w:tc>
        <w:tc>
          <w:tcPr>
            <w:tcW w:w="992"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113" w:type="dxa"/>
            <w:vMerge w:val="restart"/>
            <w:vAlign w:val="center"/>
          </w:tcPr>
          <w:p>
            <w:pPr>
              <w:widowControl/>
              <w:spacing w:line="280" w:lineRule="exact"/>
              <w:jc w:val="left"/>
              <w:rPr>
                <w:rFonts w:ascii="宋体" w:hAnsi="宋体" w:cs="宋体"/>
                <w:color w:val="auto"/>
                <w:kern w:val="0"/>
                <w:sz w:val="18"/>
                <w:szCs w:val="18"/>
              </w:rPr>
            </w:pPr>
            <w:r>
              <w:rPr>
                <w:rFonts w:hint="eastAsia" w:ascii="宋体" w:hAnsi="宋体" w:cs="宋体"/>
                <w:color w:val="auto"/>
                <w:kern w:val="0"/>
                <w:sz w:val="18"/>
                <w:szCs w:val="18"/>
              </w:rPr>
              <w:t>工业 *</w:t>
            </w:r>
          </w:p>
        </w:tc>
        <w:tc>
          <w:tcPr>
            <w:tcW w:w="1369"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709"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1125"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X≥1000</w:t>
            </w:r>
          </w:p>
        </w:tc>
        <w:tc>
          <w:tcPr>
            <w:tcW w:w="1701"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300≤X＜1000</w:t>
            </w:r>
          </w:p>
        </w:tc>
        <w:tc>
          <w:tcPr>
            <w:tcW w:w="1426"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20≤X＜300</w:t>
            </w:r>
          </w:p>
        </w:tc>
        <w:tc>
          <w:tcPr>
            <w:tcW w:w="992"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113" w:type="dxa"/>
            <w:vMerge w:val="continue"/>
            <w:vAlign w:val="center"/>
          </w:tcPr>
          <w:p>
            <w:pPr>
              <w:widowControl/>
              <w:spacing w:line="280" w:lineRule="exact"/>
              <w:jc w:val="left"/>
              <w:rPr>
                <w:rFonts w:ascii="宋体" w:hAnsi="宋体" w:cs="宋体"/>
                <w:color w:val="auto"/>
                <w:kern w:val="0"/>
                <w:sz w:val="18"/>
                <w:szCs w:val="18"/>
              </w:rPr>
            </w:pPr>
          </w:p>
        </w:tc>
        <w:tc>
          <w:tcPr>
            <w:tcW w:w="1369"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709"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5"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Y≥40000</w:t>
            </w:r>
          </w:p>
        </w:tc>
        <w:tc>
          <w:tcPr>
            <w:tcW w:w="1701"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2000≤Y＜40000</w:t>
            </w:r>
          </w:p>
        </w:tc>
        <w:tc>
          <w:tcPr>
            <w:tcW w:w="1426"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300≤Y＜2000</w:t>
            </w:r>
          </w:p>
        </w:tc>
        <w:tc>
          <w:tcPr>
            <w:tcW w:w="992"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113" w:type="dxa"/>
            <w:vMerge w:val="restart"/>
            <w:vAlign w:val="center"/>
          </w:tcPr>
          <w:p>
            <w:pPr>
              <w:widowControl/>
              <w:spacing w:line="280" w:lineRule="exact"/>
              <w:jc w:val="left"/>
              <w:rPr>
                <w:rFonts w:ascii="宋体" w:hAnsi="宋体" w:cs="宋体"/>
                <w:color w:val="auto"/>
                <w:kern w:val="0"/>
                <w:sz w:val="18"/>
                <w:szCs w:val="18"/>
              </w:rPr>
            </w:pPr>
            <w:r>
              <w:rPr>
                <w:rFonts w:hint="eastAsia" w:ascii="宋体" w:hAnsi="宋体" w:cs="宋体"/>
                <w:color w:val="auto"/>
                <w:kern w:val="0"/>
                <w:sz w:val="18"/>
                <w:szCs w:val="18"/>
              </w:rPr>
              <w:t>建筑业</w:t>
            </w:r>
          </w:p>
        </w:tc>
        <w:tc>
          <w:tcPr>
            <w:tcW w:w="1369"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709"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5"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Y≥80000</w:t>
            </w:r>
          </w:p>
        </w:tc>
        <w:tc>
          <w:tcPr>
            <w:tcW w:w="1701"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6000≤Y＜80000</w:t>
            </w:r>
          </w:p>
        </w:tc>
        <w:tc>
          <w:tcPr>
            <w:tcW w:w="1426"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300≤Y＜6000</w:t>
            </w:r>
          </w:p>
        </w:tc>
        <w:tc>
          <w:tcPr>
            <w:tcW w:w="992"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113" w:type="dxa"/>
            <w:vMerge w:val="continue"/>
            <w:vAlign w:val="center"/>
          </w:tcPr>
          <w:p>
            <w:pPr>
              <w:widowControl/>
              <w:spacing w:line="280" w:lineRule="exact"/>
              <w:jc w:val="left"/>
              <w:rPr>
                <w:rFonts w:ascii="宋体" w:hAnsi="宋体" w:cs="宋体"/>
                <w:color w:val="auto"/>
                <w:kern w:val="0"/>
                <w:sz w:val="18"/>
                <w:szCs w:val="18"/>
              </w:rPr>
            </w:pPr>
          </w:p>
        </w:tc>
        <w:tc>
          <w:tcPr>
            <w:tcW w:w="1369"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资产总额(Z)</w:t>
            </w:r>
          </w:p>
        </w:tc>
        <w:tc>
          <w:tcPr>
            <w:tcW w:w="709"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5"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Z≥80000</w:t>
            </w:r>
          </w:p>
        </w:tc>
        <w:tc>
          <w:tcPr>
            <w:tcW w:w="1701"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5000≤Z＜80000</w:t>
            </w:r>
          </w:p>
        </w:tc>
        <w:tc>
          <w:tcPr>
            <w:tcW w:w="1426"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300≤Z＜5000</w:t>
            </w:r>
          </w:p>
        </w:tc>
        <w:tc>
          <w:tcPr>
            <w:tcW w:w="992"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Z＜300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113" w:type="dxa"/>
            <w:vMerge w:val="restart"/>
            <w:vAlign w:val="center"/>
          </w:tcPr>
          <w:p>
            <w:pPr>
              <w:widowControl/>
              <w:spacing w:line="280" w:lineRule="exact"/>
              <w:jc w:val="left"/>
              <w:rPr>
                <w:rFonts w:ascii="宋体" w:hAnsi="宋体" w:cs="宋体"/>
                <w:color w:val="auto"/>
                <w:kern w:val="0"/>
                <w:sz w:val="18"/>
                <w:szCs w:val="18"/>
              </w:rPr>
            </w:pPr>
            <w:r>
              <w:rPr>
                <w:rFonts w:hint="eastAsia" w:ascii="宋体" w:hAnsi="宋体" w:cs="宋体"/>
                <w:color w:val="auto"/>
                <w:kern w:val="0"/>
                <w:sz w:val="18"/>
                <w:szCs w:val="18"/>
              </w:rPr>
              <w:t>批发业</w:t>
            </w:r>
          </w:p>
        </w:tc>
        <w:tc>
          <w:tcPr>
            <w:tcW w:w="1369"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709"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1125"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X≥200</w:t>
            </w:r>
          </w:p>
        </w:tc>
        <w:tc>
          <w:tcPr>
            <w:tcW w:w="1701"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20≤X＜200</w:t>
            </w:r>
          </w:p>
        </w:tc>
        <w:tc>
          <w:tcPr>
            <w:tcW w:w="1426"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5≤X＜20</w:t>
            </w:r>
          </w:p>
        </w:tc>
        <w:tc>
          <w:tcPr>
            <w:tcW w:w="992"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X＜5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113" w:type="dxa"/>
            <w:vMerge w:val="continue"/>
            <w:vAlign w:val="center"/>
          </w:tcPr>
          <w:p>
            <w:pPr>
              <w:widowControl/>
              <w:spacing w:line="280" w:lineRule="exact"/>
              <w:jc w:val="left"/>
              <w:rPr>
                <w:rFonts w:ascii="宋体" w:hAnsi="宋体" w:cs="宋体"/>
                <w:color w:val="auto"/>
                <w:kern w:val="0"/>
                <w:sz w:val="18"/>
                <w:szCs w:val="18"/>
              </w:rPr>
            </w:pPr>
          </w:p>
        </w:tc>
        <w:tc>
          <w:tcPr>
            <w:tcW w:w="1369"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709"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5"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Y≥40000</w:t>
            </w:r>
          </w:p>
        </w:tc>
        <w:tc>
          <w:tcPr>
            <w:tcW w:w="1701"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5000≤Y＜40000</w:t>
            </w:r>
          </w:p>
        </w:tc>
        <w:tc>
          <w:tcPr>
            <w:tcW w:w="1426" w:type="dxa"/>
            <w:vAlign w:val="center"/>
          </w:tcPr>
          <w:p>
            <w:pPr>
              <w:widowControl/>
              <w:spacing w:line="280" w:lineRule="exact"/>
              <w:ind w:left="-1" w:leftChars="-1" w:hanging="1"/>
              <w:jc w:val="center"/>
              <w:rPr>
                <w:rFonts w:ascii="宋体" w:hAnsi="宋体" w:cs="宋体"/>
                <w:color w:val="auto"/>
                <w:kern w:val="0"/>
                <w:sz w:val="18"/>
                <w:szCs w:val="18"/>
              </w:rPr>
            </w:pPr>
            <w:r>
              <w:rPr>
                <w:rFonts w:hint="eastAsia" w:ascii="宋体" w:hAnsi="宋体" w:cs="宋体"/>
                <w:color w:val="auto"/>
                <w:kern w:val="0"/>
                <w:sz w:val="18"/>
                <w:szCs w:val="18"/>
              </w:rPr>
              <w:t>1000≤Y＜5000</w:t>
            </w:r>
          </w:p>
        </w:tc>
        <w:tc>
          <w:tcPr>
            <w:tcW w:w="992"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Y＜1000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113" w:type="dxa"/>
            <w:vMerge w:val="restart"/>
            <w:vAlign w:val="center"/>
          </w:tcPr>
          <w:p>
            <w:pPr>
              <w:widowControl/>
              <w:spacing w:line="280" w:lineRule="exact"/>
              <w:jc w:val="left"/>
              <w:rPr>
                <w:rFonts w:ascii="宋体" w:hAnsi="宋体" w:cs="宋体"/>
                <w:color w:val="auto"/>
                <w:kern w:val="0"/>
                <w:sz w:val="18"/>
                <w:szCs w:val="18"/>
              </w:rPr>
            </w:pPr>
            <w:r>
              <w:rPr>
                <w:rFonts w:hint="eastAsia" w:ascii="宋体" w:hAnsi="宋体" w:cs="宋体"/>
                <w:color w:val="auto"/>
                <w:kern w:val="0"/>
                <w:sz w:val="18"/>
                <w:szCs w:val="18"/>
              </w:rPr>
              <w:t>零售业</w:t>
            </w:r>
          </w:p>
        </w:tc>
        <w:tc>
          <w:tcPr>
            <w:tcW w:w="1369"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709"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1125"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X≥300</w:t>
            </w:r>
          </w:p>
        </w:tc>
        <w:tc>
          <w:tcPr>
            <w:tcW w:w="1701"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50≤X＜300</w:t>
            </w:r>
          </w:p>
        </w:tc>
        <w:tc>
          <w:tcPr>
            <w:tcW w:w="1426" w:type="dxa"/>
            <w:vAlign w:val="center"/>
          </w:tcPr>
          <w:p>
            <w:pPr>
              <w:widowControl/>
              <w:spacing w:line="280" w:lineRule="exact"/>
              <w:ind w:left="-1" w:leftChars="-1" w:hanging="1"/>
              <w:jc w:val="center"/>
              <w:rPr>
                <w:rFonts w:ascii="宋体" w:hAnsi="宋体" w:cs="宋体"/>
                <w:color w:val="auto"/>
                <w:kern w:val="0"/>
                <w:sz w:val="18"/>
                <w:szCs w:val="18"/>
              </w:rPr>
            </w:pPr>
            <w:r>
              <w:rPr>
                <w:rFonts w:hint="eastAsia" w:ascii="宋体" w:hAnsi="宋体" w:cs="宋体"/>
                <w:color w:val="auto"/>
                <w:kern w:val="0"/>
                <w:sz w:val="18"/>
                <w:szCs w:val="18"/>
              </w:rPr>
              <w:t xml:space="preserve">10≤X＜50 </w:t>
            </w:r>
          </w:p>
        </w:tc>
        <w:tc>
          <w:tcPr>
            <w:tcW w:w="992"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113" w:type="dxa"/>
            <w:vMerge w:val="continue"/>
            <w:vAlign w:val="center"/>
          </w:tcPr>
          <w:p>
            <w:pPr>
              <w:widowControl/>
              <w:spacing w:line="280" w:lineRule="exact"/>
              <w:jc w:val="left"/>
              <w:rPr>
                <w:rFonts w:ascii="宋体" w:hAnsi="宋体" w:cs="宋体"/>
                <w:color w:val="auto"/>
                <w:kern w:val="0"/>
                <w:sz w:val="18"/>
                <w:szCs w:val="18"/>
              </w:rPr>
            </w:pPr>
          </w:p>
        </w:tc>
        <w:tc>
          <w:tcPr>
            <w:tcW w:w="1369"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709"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5"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Y≥20000</w:t>
            </w:r>
          </w:p>
        </w:tc>
        <w:tc>
          <w:tcPr>
            <w:tcW w:w="1701"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500≤Y＜20000</w:t>
            </w:r>
          </w:p>
        </w:tc>
        <w:tc>
          <w:tcPr>
            <w:tcW w:w="1426" w:type="dxa"/>
            <w:vAlign w:val="center"/>
          </w:tcPr>
          <w:p>
            <w:pPr>
              <w:widowControl/>
              <w:spacing w:line="280" w:lineRule="exact"/>
              <w:ind w:left="-1" w:leftChars="-1" w:hanging="1"/>
              <w:jc w:val="center"/>
              <w:rPr>
                <w:rFonts w:ascii="宋体" w:hAnsi="宋体" w:cs="宋体"/>
                <w:color w:val="auto"/>
                <w:kern w:val="0"/>
                <w:sz w:val="18"/>
                <w:szCs w:val="18"/>
              </w:rPr>
            </w:pPr>
            <w:r>
              <w:rPr>
                <w:rFonts w:hint="eastAsia" w:ascii="宋体" w:hAnsi="宋体" w:cs="宋体"/>
                <w:color w:val="auto"/>
                <w:kern w:val="0"/>
                <w:sz w:val="18"/>
                <w:szCs w:val="18"/>
              </w:rPr>
              <w:t>100≤Y＜500</w:t>
            </w:r>
          </w:p>
        </w:tc>
        <w:tc>
          <w:tcPr>
            <w:tcW w:w="992"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113" w:type="dxa"/>
            <w:vMerge w:val="restart"/>
            <w:vAlign w:val="center"/>
          </w:tcPr>
          <w:p>
            <w:pPr>
              <w:widowControl/>
              <w:spacing w:line="280" w:lineRule="exact"/>
              <w:jc w:val="left"/>
              <w:rPr>
                <w:rFonts w:ascii="宋体" w:hAnsi="宋体" w:cs="宋体"/>
                <w:color w:val="auto"/>
                <w:kern w:val="0"/>
                <w:sz w:val="18"/>
                <w:szCs w:val="18"/>
              </w:rPr>
            </w:pPr>
            <w:r>
              <w:rPr>
                <w:rFonts w:hint="eastAsia" w:ascii="宋体" w:hAnsi="宋体" w:cs="宋体"/>
                <w:color w:val="auto"/>
                <w:kern w:val="0"/>
                <w:sz w:val="18"/>
                <w:szCs w:val="18"/>
              </w:rPr>
              <w:t>交通运输业 *</w:t>
            </w:r>
          </w:p>
        </w:tc>
        <w:tc>
          <w:tcPr>
            <w:tcW w:w="1369"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709"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1125"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X≥1000</w:t>
            </w:r>
          </w:p>
        </w:tc>
        <w:tc>
          <w:tcPr>
            <w:tcW w:w="1701"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300≤X＜1000</w:t>
            </w:r>
          </w:p>
        </w:tc>
        <w:tc>
          <w:tcPr>
            <w:tcW w:w="1426"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20≤X＜300</w:t>
            </w:r>
          </w:p>
        </w:tc>
        <w:tc>
          <w:tcPr>
            <w:tcW w:w="992"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113" w:type="dxa"/>
            <w:vMerge w:val="continue"/>
            <w:vAlign w:val="center"/>
          </w:tcPr>
          <w:p>
            <w:pPr>
              <w:widowControl/>
              <w:spacing w:line="280" w:lineRule="exact"/>
              <w:jc w:val="left"/>
              <w:rPr>
                <w:rFonts w:ascii="宋体" w:hAnsi="宋体" w:cs="宋体"/>
                <w:color w:val="auto"/>
                <w:kern w:val="0"/>
                <w:sz w:val="18"/>
                <w:szCs w:val="18"/>
              </w:rPr>
            </w:pPr>
          </w:p>
        </w:tc>
        <w:tc>
          <w:tcPr>
            <w:tcW w:w="1369"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709"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5"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Y≥30000</w:t>
            </w:r>
          </w:p>
        </w:tc>
        <w:tc>
          <w:tcPr>
            <w:tcW w:w="1701"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3000≤Y＜30000</w:t>
            </w:r>
          </w:p>
        </w:tc>
        <w:tc>
          <w:tcPr>
            <w:tcW w:w="1426"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200≤Y＜3000</w:t>
            </w:r>
          </w:p>
        </w:tc>
        <w:tc>
          <w:tcPr>
            <w:tcW w:w="992"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Y＜200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113" w:type="dxa"/>
            <w:vMerge w:val="restart"/>
            <w:vAlign w:val="center"/>
          </w:tcPr>
          <w:p>
            <w:pPr>
              <w:widowControl/>
              <w:spacing w:line="280" w:lineRule="exact"/>
              <w:jc w:val="left"/>
              <w:rPr>
                <w:rFonts w:ascii="宋体" w:hAnsi="宋体" w:cs="宋体"/>
                <w:color w:val="auto"/>
                <w:kern w:val="0"/>
                <w:sz w:val="18"/>
                <w:szCs w:val="18"/>
              </w:rPr>
            </w:pPr>
            <w:r>
              <w:rPr>
                <w:rFonts w:hint="eastAsia" w:ascii="宋体" w:hAnsi="宋体" w:cs="宋体"/>
                <w:color w:val="auto"/>
                <w:kern w:val="0"/>
                <w:sz w:val="18"/>
                <w:szCs w:val="18"/>
              </w:rPr>
              <w:t>仓储业*</w:t>
            </w:r>
          </w:p>
        </w:tc>
        <w:tc>
          <w:tcPr>
            <w:tcW w:w="1369"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709"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1125"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X≥200</w:t>
            </w:r>
          </w:p>
        </w:tc>
        <w:tc>
          <w:tcPr>
            <w:tcW w:w="1701" w:type="dxa"/>
            <w:vAlign w:val="center"/>
          </w:tcPr>
          <w:p>
            <w:pPr>
              <w:widowControl/>
              <w:spacing w:line="280" w:lineRule="exact"/>
              <w:ind w:left="1" w:leftChars="-51" w:hanging="108" w:hangingChars="60"/>
              <w:jc w:val="center"/>
              <w:rPr>
                <w:rFonts w:ascii="宋体" w:hAnsi="宋体" w:cs="宋体"/>
                <w:color w:val="auto"/>
                <w:kern w:val="0"/>
                <w:sz w:val="18"/>
                <w:szCs w:val="18"/>
              </w:rPr>
            </w:pPr>
            <w:r>
              <w:rPr>
                <w:rFonts w:hint="eastAsia" w:ascii="宋体" w:hAnsi="宋体" w:cs="宋体"/>
                <w:color w:val="auto"/>
                <w:kern w:val="0"/>
                <w:sz w:val="18"/>
                <w:szCs w:val="18"/>
              </w:rPr>
              <w:t>100≤X＜200</w:t>
            </w:r>
          </w:p>
        </w:tc>
        <w:tc>
          <w:tcPr>
            <w:tcW w:w="1426"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20≤X＜100</w:t>
            </w:r>
          </w:p>
        </w:tc>
        <w:tc>
          <w:tcPr>
            <w:tcW w:w="992"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113" w:type="dxa"/>
            <w:vMerge w:val="continue"/>
            <w:vAlign w:val="center"/>
          </w:tcPr>
          <w:p>
            <w:pPr>
              <w:widowControl/>
              <w:spacing w:line="280" w:lineRule="exact"/>
              <w:jc w:val="left"/>
              <w:rPr>
                <w:rFonts w:ascii="宋体" w:hAnsi="宋体" w:cs="宋体"/>
                <w:color w:val="auto"/>
                <w:kern w:val="0"/>
                <w:sz w:val="18"/>
                <w:szCs w:val="18"/>
              </w:rPr>
            </w:pPr>
          </w:p>
        </w:tc>
        <w:tc>
          <w:tcPr>
            <w:tcW w:w="1369"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709"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5"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Y≥30000</w:t>
            </w:r>
          </w:p>
        </w:tc>
        <w:tc>
          <w:tcPr>
            <w:tcW w:w="1701"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1000≤Y＜30000</w:t>
            </w:r>
          </w:p>
        </w:tc>
        <w:tc>
          <w:tcPr>
            <w:tcW w:w="1426"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100≤Y＜1000</w:t>
            </w:r>
          </w:p>
        </w:tc>
        <w:tc>
          <w:tcPr>
            <w:tcW w:w="992"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113" w:type="dxa"/>
            <w:vMerge w:val="restart"/>
            <w:vAlign w:val="center"/>
          </w:tcPr>
          <w:p>
            <w:pPr>
              <w:widowControl/>
              <w:spacing w:line="280" w:lineRule="exact"/>
              <w:jc w:val="left"/>
              <w:rPr>
                <w:rFonts w:ascii="宋体" w:hAnsi="宋体" w:cs="宋体"/>
                <w:color w:val="auto"/>
                <w:kern w:val="0"/>
                <w:sz w:val="18"/>
                <w:szCs w:val="18"/>
              </w:rPr>
            </w:pPr>
            <w:r>
              <w:rPr>
                <w:rFonts w:hint="eastAsia" w:ascii="宋体" w:hAnsi="宋体" w:cs="宋体"/>
                <w:color w:val="auto"/>
                <w:kern w:val="0"/>
                <w:sz w:val="18"/>
                <w:szCs w:val="18"/>
              </w:rPr>
              <w:t>邮政业</w:t>
            </w:r>
          </w:p>
        </w:tc>
        <w:tc>
          <w:tcPr>
            <w:tcW w:w="1369"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709"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1125"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X≥1000</w:t>
            </w:r>
          </w:p>
        </w:tc>
        <w:tc>
          <w:tcPr>
            <w:tcW w:w="1701"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300≤X＜1000</w:t>
            </w:r>
          </w:p>
        </w:tc>
        <w:tc>
          <w:tcPr>
            <w:tcW w:w="1426"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20≤X＜300</w:t>
            </w:r>
          </w:p>
        </w:tc>
        <w:tc>
          <w:tcPr>
            <w:tcW w:w="992"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113" w:type="dxa"/>
            <w:vMerge w:val="continue"/>
            <w:vAlign w:val="center"/>
          </w:tcPr>
          <w:p>
            <w:pPr>
              <w:widowControl/>
              <w:spacing w:line="280" w:lineRule="exact"/>
              <w:jc w:val="left"/>
              <w:rPr>
                <w:rFonts w:ascii="宋体" w:hAnsi="宋体" w:cs="宋体"/>
                <w:color w:val="auto"/>
                <w:kern w:val="0"/>
                <w:sz w:val="18"/>
                <w:szCs w:val="18"/>
              </w:rPr>
            </w:pPr>
          </w:p>
        </w:tc>
        <w:tc>
          <w:tcPr>
            <w:tcW w:w="1369"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709"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5"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Y≥30000</w:t>
            </w:r>
          </w:p>
        </w:tc>
        <w:tc>
          <w:tcPr>
            <w:tcW w:w="1701"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2000≤Y＜30000</w:t>
            </w:r>
          </w:p>
        </w:tc>
        <w:tc>
          <w:tcPr>
            <w:tcW w:w="1426"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100≤Y＜2000</w:t>
            </w:r>
          </w:p>
        </w:tc>
        <w:tc>
          <w:tcPr>
            <w:tcW w:w="992"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113" w:type="dxa"/>
            <w:vMerge w:val="restart"/>
            <w:vAlign w:val="center"/>
          </w:tcPr>
          <w:p>
            <w:pPr>
              <w:widowControl/>
              <w:spacing w:line="280" w:lineRule="exact"/>
              <w:jc w:val="left"/>
              <w:rPr>
                <w:rFonts w:ascii="宋体" w:hAnsi="宋体" w:cs="宋体"/>
                <w:color w:val="auto"/>
                <w:kern w:val="0"/>
                <w:sz w:val="18"/>
                <w:szCs w:val="18"/>
              </w:rPr>
            </w:pPr>
            <w:r>
              <w:rPr>
                <w:rFonts w:hint="eastAsia" w:ascii="宋体" w:hAnsi="宋体" w:cs="宋体"/>
                <w:color w:val="auto"/>
                <w:kern w:val="0"/>
                <w:sz w:val="18"/>
                <w:szCs w:val="18"/>
              </w:rPr>
              <w:t>住宿业</w:t>
            </w:r>
          </w:p>
        </w:tc>
        <w:tc>
          <w:tcPr>
            <w:tcW w:w="1369"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709"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1125"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X≥300</w:t>
            </w:r>
          </w:p>
        </w:tc>
        <w:tc>
          <w:tcPr>
            <w:tcW w:w="1701" w:type="dxa"/>
            <w:vAlign w:val="center"/>
          </w:tcPr>
          <w:p>
            <w:pPr>
              <w:widowControl/>
              <w:spacing w:line="280" w:lineRule="exact"/>
              <w:ind w:left="1" w:leftChars="-51" w:hanging="108" w:hangingChars="60"/>
              <w:jc w:val="center"/>
              <w:rPr>
                <w:rFonts w:ascii="宋体" w:hAnsi="宋体" w:cs="宋体"/>
                <w:color w:val="auto"/>
                <w:kern w:val="0"/>
                <w:sz w:val="18"/>
                <w:szCs w:val="18"/>
              </w:rPr>
            </w:pPr>
            <w:r>
              <w:rPr>
                <w:rFonts w:hint="eastAsia" w:ascii="宋体" w:hAnsi="宋体" w:cs="宋体"/>
                <w:color w:val="auto"/>
                <w:kern w:val="0"/>
                <w:sz w:val="18"/>
                <w:szCs w:val="18"/>
              </w:rPr>
              <w:t>100≤X＜300</w:t>
            </w:r>
          </w:p>
        </w:tc>
        <w:tc>
          <w:tcPr>
            <w:tcW w:w="1426"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10≤X＜100</w:t>
            </w:r>
          </w:p>
        </w:tc>
        <w:tc>
          <w:tcPr>
            <w:tcW w:w="992"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113" w:type="dxa"/>
            <w:vMerge w:val="continue"/>
            <w:vAlign w:val="center"/>
          </w:tcPr>
          <w:p>
            <w:pPr>
              <w:widowControl/>
              <w:spacing w:line="280" w:lineRule="exact"/>
              <w:jc w:val="left"/>
              <w:rPr>
                <w:rFonts w:ascii="宋体" w:hAnsi="宋体" w:cs="宋体"/>
                <w:color w:val="auto"/>
                <w:kern w:val="0"/>
                <w:sz w:val="18"/>
                <w:szCs w:val="18"/>
              </w:rPr>
            </w:pPr>
          </w:p>
        </w:tc>
        <w:tc>
          <w:tcPr>
            <w:tcW w:w="1369"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709"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5"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Y≥10000</w:t>
            </w:r>
          </w:p>
        </w:tc>
        <w:tc>
          <w:tcPr>
            <w:tcW w:w="1701"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2000≤Y＜10000</w:t>
            </w:r>
          </w:p>
        </w:tc>
        <w:tc>
          <w:tcPr>
            <w:tcW w:w="1426"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100≤Y＜2000</w:t>
            </w:r>
          </w:p>
        </w:tc>
        <w:tc>
          <w:tcPr>
            <w:tcW w:w="992"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113" w:type="dxa"/>
            <w:vMerge w:val="restart"/>
            <w:vAlign w:val="center"/>
          </w:tcPr>
          <w:p>
            <w:pPr>
              <w:widowControl/>
              <w:spacing w:line="280" w:lineRule="exact"/>
              <w:jc w:val="left"/>
              <w:rPr>
                <w:rFonts w:ascii="宋体" w:hAnsi="宋体" w:cs="宋体"/>
                <w:color w:val="auto"/>
                <w:kern w:val="0"/>
                <w:sz w:val="18"/>
                <w:szCs w:val="18"/>
              </w:rPr>
            </w:pPr>
            <w:r>
              <w:rPr>
                <w:rFonts w:hint="eastAsia" w:ascii="宋体" w:hAnsi="宋体" w:cs="宋体"/>
                <w:color w:val="auto"/>
                <w:kern w:val="0"/>
                <w:sz w:val="18"/>
                <w:szCs w:val="18"/>
              </w:rPr>
              <w:t>餐饮业</w:t>
            </w:r>
          </w:p>
        </w:tc>
        <w:tc>
          <w:tcPr>
            <w:tcW w:w="1369"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709"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1125"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X≥300</w:t>
            </w:r>
          </w:p>
        </w:tc>
        <w:tc>
          <w:tcPr>
            <w:tcW w:w="1701" w:type="dxa"/>
            <w:vAlign w:val="center"/>
          </w:tcPr>
          <w:p>
            <w:pPr>
              <w:widowControl/>
              <w:spacing w:line="280" w:lineRule="exact"/>
              <w:ind w:left="1" w:leftChars="-51" w:hanging="108" w:hangingChars="60"/>
              <w:jc w:val="center"/>
              <w:rPr>
                <w:rFonts w:ascii="宋体" w:hAnsi="宋体" w:cs="宋体"/>
                <w:color w:val="auto"/>
                <w:kern w:val="0"/>
                <w:sz w:val="18"/>
                <w:szCs w:val="18"/>
              </w:rPr>
            </w:pPr>
            <w:r>
              <w:rPr>
                <w:rFonts w:hint="eastAsia" w:ascii="宋体" w:hAnsi="宋体" w:cs="宋体"/>
                <w:color w:val="auto"/>
                <w:kern w:val="0"/>
                <w:sz w:val="18"/>
                <w:szCs w:val="18"/>
              </w:rPr>
              <w:t xml:space="preserve">100≤X＜300 </w:t>
            </w:r>
          </w:p>
        </w:tc>
        <w:tc>
          <w:tcPr>
            <w:tcW w:w="1426"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10≤X＜100</w:t>
            </w:r>
          </w:p>
        </w:tc>
        <w:tc>
          <w:tcPr>
            <w:tcW w:w="992"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113" w:type="dxa"/>
            <w:vMerge w:val="continue"/>
            <w:vAlign w:val="center"/>
          </w:tcPr>
          <w:p>
            <w:pPr>
              <w:widowControl/>
              <w:spacing w:line="280" w:lineRule="exact"/>
              <w:jc w:val="left"/>
              <w:rPr>
                <w:rFonts w:ascii="宋体" w:hAnsi="宋体" w:cs="宋体"/>
                <w:color w:val="auto"/>
                <w:kern w:val="0"/>
                <w:sz w:val="18"/>
                <w:szCs w:val="18"/>
              </w:rPr>
            </w:pPr>
          </w:p>
        </w:tc>
        <w:tc>
          <w:tcPr>
            <w:tcW w:w="1369"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709"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5"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Y≥10000</w:t>
            </w:r>
          </w:p>
        </w:tc>
        <w:tc>
          <w:tcPr>
            <w:tcW w:w="1701"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2000≤Y＜10000</w:t>
            </w:r>
          </w:p>
        </w:tc>
        <w:tc>
          <w:tcPr>
            <w:tcW w:w="1426"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100≤Y＜2000</w:t>
            </w:r>
          </w:p>
        </w:tc>
        <w:tc>
          <w:tcPr>
            <w:tcW w:w="992"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113" w:type="dxa"/>
            <w:vMerge w:val="restart"/>
            <w:vAlign w:val="center"/>
          </w:tcPr>
          <w:p>
            <w:pPr>
              <w:widowControl/>
              <w:spacing w:line="280" w:lineRule="exact"/>
              <w:jc w:val="left"/>
              <w:rPr>
                <w:rFonts w:ascii="宋体" w:hAnsi="宋体" w:cs="宋体"/>
                <w:color w:val="auto"/>
                <w:kern w:val="0"/>
                <w:sz w:val="18"/>
                <w:szCs w:val="18"/>
              </w:rPr>
            </w:pPr>
            <w:r>
              <w:rPr>
                <w:rFonts w:hint="eastAsia" w:ascii="宋体" w:hAnsi="宋体" w:cs="宋体"/>
                <w:color w:val="auto"/>
                <w:kern w:val="0"/>
                <w:sz w:val="18"/>
                <w:szCs w:val="18"/>
              </w:rPr>
              <w:t>信息传输业 *</w:t>
            </w:r>
          </w:p>
        </w:tc>
        <w:tc>
          <w:tcPr>
            <w:tcW w:w="1369"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709"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1125"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X≥2000</w:t>
            </w:r>
          </w:p>
        </w:tc>
        <w:tc>
          <w:tcPr>
            <w:tcW w:w="1701"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100≤X＜2000</w:t>
            </w:r>
          </w:p>
        </w:tc>
        <w:tc>
          <w:tcPr>
            <w:tcW w:w="1426"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10≤X＜100</w:t>
            </w:r>
          </w:p>
        </w:tc>
        <w:tc>
          <w:tcPr>
            <w:tcW w:w="992"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113" w:type="dxa"/>
            <w:vMerge w:val="continue"/>
            <w:vAlign w:val="center"/>
          </w:tcPr>
          <w:p>
            <w:pPr>
              <w:widowControl/>
              <w:spacing w:line="280" w:lineRule="exact"/>
              <w:jc w:val="left"/>
              <w:rPr>
                <w:rFonts w:ascii="宋体" w:hAnsi="宋体" w:cs="宋体"/>
                <w:color w:val="auto"/>
                <w:kern w:val="0"/>
                <w:sz w:val="18"/>
                <w:szCs w:val="18"/>
              </w:rPr>
            </w:pPr>
          </w:p>
        </w:tc>
        <w:tc>
          <w:tcPr>
            <w:tcW w:w="1369"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709"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5"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Y≥100000</w:t>
            </w:r>
          </w:p>
        </w:tc>
        <w:tc>
          <w:tcPr>
            <w:tcW w:w="1701"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1000≤Y＜100000</w:t>
            </w:r>
          </w:p>
        </w:tc>
        <w:tc>
          <w:tcPr>
            <w:tcW w:w="1426"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100≤Y＜1000</w:t>
            </w:r>
          </w:p>
        </w:tc>
        <w:tc>
          <w:tcPr>
            <w:tcW w:w="992"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2113" w:type="dxa"/>
            <w:vMerge w:val="restart"/>
            <w:vAlign w:val="center"/>
          </w:tcPr>
          <w:p>
            <w:pPr>
              <w:widowControl/>
              <w:spacing w:line="280" w:lineRule="exact"/>
              <w:jc w:val="left"/>
              <w:rPr>
                <w:rFonts w:ascii="宋体" w:hAnsi="宋体" w:cs="宋体"/>
                <w:color w:val="auto"/>
                <w:spacing w:val="-12"/>
                <w:kern w:val="0"/>
                <w:sz w:val="18"/>
                <w:szCs w:val="18"/>
              </w:rPr>
            </w:pPr>
            <w:r>
              <w:rPr>
                <w:rFonts w:hint="eastAsia" w:ascii="宋体" w:hAnsi="宋体" w:cs="宋体"/>
                <w:color w:val="auto"/>
                <w:spacing w:val="-12"/>
                <w:kern w:val="0"/>
                <w:sz w:val="18"/>
                <w:szCs w:val="18"/>
              </w:rPr>
              <w:t>软件和信息技术服</w:t>
            </w:r>
            <w:r>
              <w:rPr>
                <w:rFonts w:hint="eastAsia" w:ascii="宋体" w:hAnsi="宋体" w:cs="宋体"/>
                <w:color w:val="auto"/>
                <w:kern w:val="0"/>
                <w:sz w:val="18"/>
                <w:szCs w:val="18"/>
              </w:rPr>
              <w:t>务业</w:t>
            </w:r>
          </w:p>
        </w:tc>
        <w:tc>
          <w:tcPr>
            <w:tcW w:w="1369"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709"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1125"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X≥300</w:t>
            </w:r>
          </w:p>
        </w:tc>
        <w:tc>
          <w:tcPr>
            <w:tcW w:w="1701" w:type="dxa"/>
            <w:vAlign w:val="center"/>
          </w:tcPr>
          <w:p>
            <w:pPr>
              <w:widowControl/>
              <w:spacing w:line="280" w:lineRule="exact"/>
              <w:ind w:left="1" w:leftChars="-51" w:hanging="108" w:hangingChars="60"/>
              <w:jc w:val="center"/>
              <w:rPr>
                <w:rFonts w:ascii="宋体" w:hAnsi="宋体" w:cs="宋体"/>
                <w:color w:val="auto"/>
                <w:kern w:val="0"/>
                <w:sz w:val="18"/>
                <w:szCs w:val="18"/>
              </w:rPr>
            </w:pPr>
            <w:r>
              <w:rPr>
                <w:rFonts w:hint="eastAsia" w:ascii="宋体" w:hAnsi="宋体" w:cs="宋体"/>
                <w:color w:val="auto"/>
                <w:kern w:val="0"/>
                <w:sz w:val="18"/>
                <w:szCs w:val="18"/>
              </w:rPr>
              <w:t xml:space="preserve">100≤X＜300 </w:t>
            </w:r>
          </w:p>
        </w:tc>
        <w:tc>
          <w:tcPr>
            <w:tcW w:w="1426"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10≤X＜100</w:t>
            </w:r>
          </w:p>
        </w:tc>
        <w:tc>
          <w:tcPr>
            <w:tcW w:w="992"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2113" w:type="dxa"/>
            <w:vMerge w:val="continue"/>
            <w:vAlign w:val="center"/>
          </w:tcPr>
          <w:p>
            <w:pPr>
              <w:widowControl/>
              <w:spacing w:line="280" w:lineRule="exact"/>
              <w:jc w:val="left"/>
              <w:rPr>
                <w:rFonts w:ascii="宋体" w:hAnsi="宋体" w:cs="宋体"/>
                <w:color w:val="auto"/>
                <w:spacing w:val="-12"/>
                <w:kern w:val="0"/>
                <w:sz w:val="18"/>
                <w:szCs w:val="18"/>
              </w:rPr>
            </w:pPr>
          </w:p>
        </w:tc>
        <w:tc>
          <w:tcPr>
            <w:tcW w:w="1369"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709"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5"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Y≥10000</w:t>
            </w:r>
          </w:p>
        </w:tc>
        <w:tc>
          <w:tcPr>
            <w:tcW w:w="1701"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1000≤Y＜10000</w:t>
            </w:r>
          </w:p>
        </w:tc>
        <w:tc>
          <w:tcPr>
            <w:tcW w:w="1426"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50≤Y＜1000</w:t>
            </w:r>
          </w:p>
        </w:tc>
        <w:tc>
          <w:tcPr>
            <w:tcW w:w="992"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2113" w:type="dxa"/>
            <w:vMerge w:val="restart"/>
            <w:vAlign w:val="center"/>
          </w:tcPr>
          <w:p>
            <w:pPr>
              <w:widowControl/>
              <w:spacing w:line="280" w:lineRule="exact"/>
              <w:jc w:val="left"/>
              <w:rPr>
                <w:rFonts w:ascii="宋体" w:hAnsi="宋体" w:cs="宋体"/>
                <w:color w:val="auto"/>
                <w:kern w:val="0"/>
                <w:sz w:val="18"/>
                <w:szCs w:val="18"/>
              </w:rPr>
            </w:pPr>
            <w:r>
              <w:rPr>
                <w:rFonts w:hint="eastAsia" w:ascii="宋体" w:hAnsi="宋体" w:cs="宋体"/>
                <w:color w:val="auto"/>
                <w:kern w:val="0"/>
                <w:sz w:val="18"/>
                <w:szCs w:val="18"/>
              </w:rPr>
              <w:t>房地产开发经营</w:t>
            </w:r>
          </w:p>
        </w:tc>
        <w:tc>
          <w:tcPr>
            <w:tcW w:w="1369"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709"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5"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Y≥200000</w:t>
            </w:r>
          </w:p>
        </w:tc>
        <w:tc>
          <w:tcPr>
            <w:tcW w:w="1701"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1000≤Y＜200000</w:t>
            </w:r>
          </w:p>
        </w:tc>
        <w:tc>
          <w:tcPr>
            <w:tcW w:w="1426"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100≤Y＜1000</w:t>
            </w:r>
          </w:p>
        </w:tc>
        <w:tc>
          <w:tcPr>
            <w:tcW w:w="992"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2113" w:type="dxa"/>
            <w:vMerge w:val="continue"/>
            <w:vAlign w:val="center"/>
          </w:tcPr>
          <w:p>
            <w:pPr>
              <w:widowControl/>
              <w:spacing w:line="280" w:lineRule="exact"/>
              <w:jc w:val="left"/>
              <w:rPr>
                <w:rFonts w:ascii="宋体" w:hAnsi="宋体" w:cs="宋体"/>
                <w:color w:val="auto"/>
                <w:kern w:val="0"/>
                <w:sz w:val="18"/>
                <w:szCs w:val="18"/>
              </w:rPr>
            </w:pPr>
          </w:p>
        </w:tc>
        <w:tc>
          <w:tcPr>
            <w:tcW w:w="1369"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资产总额(Z)</w:t>
            </w:r>
          </w:p>
        </w:tc>
        <w:tc>
          <w:tcPr>
            <w:tcW w:w="709"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5"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Z≥10000</w:t>
            </w:r>
          </w:p>
        </w:tc>
        <w:tc>
          <w:tcPr>
            <w:tcW w:w="1701"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5000≤Z＜10000</w:t>
            </w:r>
          </w:p>
        </w:tc>
        <w:tc>
          <w:tcPr>
            <w:tcW w:w="1426"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2000≤Z＜5000</w:t>
            </w:r>
          </w:p>
        </w:tc>
        <w:tc>
          <w:tcPr>
            <w:tcW w:w="992"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Z＜2000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2113" w:type="dxa"/>
            <w:vMerge w:val="restart"/>
            <w:vAlign w:val="center"/>
          </w:tcPr>
          <w:p>
            <w:pPr>
              <w:widowControl/>
              <w:spacing w:line="280" w:lineRule="exact"/>
              <w:jc w:val="left"/>
              <w:rPr>
                <w:rFonts w:ascii="宋体" w:hAnsi="宋体" w:cs="宋体"/>
                <w:color w:val="auto"/>
                <w:kern w:val="0"/>
                <w:sz w:val="18"/>
                <w:szCs w:val="18"/>
              </w:rPr>
            </w:pPr>
            <w:r>
              <w:rPr>
                <w:rFonts w:hint="eastAsia" w:ascii="宋体" w:hAnsi="宋体" w:cs="宋体"/>
                <w:color w:val="auto"/>
                <w:kern w:val="0"/>
                <w:sz w:val="18"/>
                <w:szCs w:val="18"/>
              </w:rPr>
              <w:t>物业管理</w:t>
            </w:r>
          </w:p>
        </w:tc>
        <w:tc>
          <w:tcPr>
            <w:tcW w:w="1369"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709"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1125"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X≥1000</w:t>
            </w:r>
          </w:p>
        </w:tc>
        <w:tc>
          <w:tcPr>
            <w:tcW w:w="1701"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300≤X＜1000</w:t>
            </w:r>
          </w:p>
        </w:tc>
        <w:tc>
          <w:tcPr>
            <w:tcW w:w="1426"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100≤X＜300</w:t>
            </w:r>
          </w:p>
        </w:tc>
        <w:tc>
          <w:tcPr>
            <w:tcW w:w="992"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X＜100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2113" w:type="dxa"/>
            <w:vMerge w:val="continue"/>
            <w:vAlign w:val="center"/>
          </w:tcPr>
          <w:p>
            <w:pPr>
              <w:widowControl/>
              <w:spacing w:line="280" w:lineRule="exact"/>
              <w:jc w:val="left"/>
              <w:rPr>
                <w:rFonts w:ascii="宋体" w:hAnsi="宋体" w:cs="宋体"/>
                <w:color w:val="auto"/>
                <w:kern w:val="0"/>
                <w:sz w:val="18"/>
                <w:szCs w:val="18"/>
              </w:rPr>
            </w:pPr>
          </w:p>
        </w:tc>
        <w:tc>
          <w:tcPr>
            <w:tcW w:w="1369"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709"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5"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Y≥5000</w:t>
            </w:r>
          </w:p>
        </w:tc>
        <w:tc>
          <w:tcPr>
            <w:tcW w:w="1701" w:type="dxa"/>
            <w:vAlign w:val="center"/>
          </w:tcPr>
          <w:p>
            <w:pPr>
              <w:widowControl/>
              <w:spacing w:line="280" w:lineRule="exact"/>
              <w:ind w:left="1" w:leftChars="-51" w:hanging="108" w:hangingChars="60"/>
              <w:jc w:val="center"/>
              <w:rPr>
                <w:rFonts w:ascii="宋体" w:hAnsi="宋体" w:cs="宋体"/>
                <w:color w:val="auto"/>
                <w:kern w:val="0"/>
                <w:sz w:val="18"/>
                <w:szCs w:val="18"/>
              </w:rPr>
            </w:pPr>
            <w:r>
              <w:rPr>
                <w:rFonts w:hint="eastAsia" w:ascii="宋体" w:hAnsi="宋体" w:cs="宋体"/>
                <w:color w:val="auto"/>
                <w:kern w:val="0"/>
                <w:sz w:val="18"/>
                <w:szCs w:val="18"/>
              </w:rPr>
              <w:t>1000≤Y＜5000</w:t>
            </w:r>
          </w:p>
        </w:tc>
        <w:tc>
          <w:tcPr>
            <w:tcW w:w="1426"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500≤Y＜1000</w:t>
            </w:r>
          </w:p>
        </w:tc>
        <w:tc>
          <w:tcPr>
            <w:tcW w:w="992"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Y＜500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2113" w:type="dxa"/>
            <w:vMerge w:val="restart"/>
            <w:vAlign w:val="center"/>
          </w:tcPr>
          <w:p>
            <w:pPr>
              <w:widowControl/>
              <w:spacing w:line="280" w:lineRule="exact"/>
              <w:jc w:val="left"/>
              <w:rPr>
                <w:rFonts w:ascii="宋体" w:hAnsi="宋体" w:cs="宋体"/>
                <w:color w:val="auto"/>
                <w:kern w:val="0"/>
                <w:sz w:val="18"/>
                <w:szCs w:val="18"/>
              </w:rPr>
            </w:pPr>
            <w:r>
              <w:rPr>
                <w:rFonts w:hint="eastAsia" w:ascii="宋体" w:hAnsi="宋体" w:cs="宋体"/>
                <w:color w:val="auto"/>
                <w:kern w:val="0"/>
                <w:sz w:val="18"/>
                <w:szCs w:val="18"/>
              </w:rPr>
              <w:t>租赁和商务服务业</w:t>
            </w:r>
          </w:p>
        </w:tc>
        <w:tc>
          <w:tcPr>
            <w:tcW w:w="1369"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709"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1125"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X≥300</w:t>
            </w:r>
          </w:p>
        </w:tc>
        <w:tc>
          <w:tcPr>
            <w:tcW w:w="1701" w:type="dxa"/>
            <w:vAlign w:val="center"/>
          </w:tcPr>
          <w:p>
            <w:pPr>
              <w:widowControl/>
              <w:spacing w:line="280" w:lineRule="exact"/>
              <w:ind w:left="1" w:leftChars="-51" w:hanging="108" w:hangingChars="60"/>
              <w:jc w:val="center"/>
              <w:rPr>
                <w:rFonts w:ascii="宋体" w:hAnsi="宋体" w:cs="宋体"/>
                <w:color w:val="auto"/>
                <w:kern w:val="0"/>
                <w:sz w:val="18"/>
                <w:szCs w:val="18"/>
              </w:rPr>
            </w:pPr>
            <w:r>
              <w:rPr>
                <w:rFonts w:hint="eastAsia" w:ascii="宋体" w:hAnsi="宋体" w:cs="宋体"/>
                <w:color w:val="auto"/>
                <w:kern w:val="0"/>
                <w:sz w:val="18"/>
                <w:szCs w:val="18"/>
              </w:rPr>
              <w:t>100≤X＜300</w:t>
            </w:r>
          </w:p>
        </w:tc>
        <w:tc>
          <w:tcPr>
            <w:tcW w:w="1426"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10≤X＜100</w:t>
            </w:r>
          </w:p>
        </w:tc>
        <w:tc>
          <w:tcPr>
            <w:tcW w:w="992"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2113" w:type="dxa"/>
            <w:vMerge w:val="continue"/>
            <w:vAlign w:val="center"/>
          </w:tcPr>
          <w:p>
            <w:pPr>
              <w:widowControl/>
              <w:spacing w:line="280" w:lineRule="exact"/>
              <w:jc w:val="left"/>
              <w:rPr>
                <w:rFonts w:ascii="宋体" w:hAnsi="宋体" w:cs="宋体"/>
                <w:color w:val="auto"/>
                <w:kern w:val="0"/>
                <w:sz w:val="18"/>
                <w:szCs w:val="18"/>
              </w:rPr>
            </w:pPr>
          </w:p>
        </w:tc>
        <w:tc>
          <w:tcPr>
            <w:tcW w:w="1369"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资产总额(Z)</w:t>
            </w:r>
          </w:p>
        </w:tc>
        <w:tc>
          <w:tcPr>
            <w:tcW w:w="709"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5"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Z≥120000</w:t>
            </w:r>
          </w:p>
        </w:tc>
        <w:tc>
          <w:tcPr>
            <w:tcW w:w="1701"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8000≤Z＜120000</w:t>
            </w:r>
          </w:p>
        </w:tc>
        <w:tc>
          <w:tcPr>
            <w:tcW w:w="1426"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100≤Z＜8000</w:t>
            </w:r>
          </w:p>
        </w:tc>
        <w:tc>
          <w:tcPr>
            <w:tcW w:w="992"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Z＜100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113" w:type="dxa"/>
            <w:vAlign w:val="center"/>
          </w:tcPr>
          <w:p>
            <w:pPr>
              <w:widowControl/>
              <w:spacing w:line="280" w:lineRule="exact"/>
              <w:jc w:val="left"/>
              <w:rPr>
                <w:rFonts w:ascii="宋体" w:hAnsi="宋体" w:cs="宋体"/>
                <w:color w:val="auto"/>
                <w:kern w:val="0"/>
                <w:sz w:val="18"/>
                <w:szCs w:val="18"/>
              </w:rPr>
            </w:pPr>
            <w:r>
              <w:rPr>
                <w:rFonts w:hint="eastAsia" w:ascii="宋体" w:hAnsi="宋体" w:cs="宋体"/>
                <w:color w:val="auto"/>
                <w:kern w:val="0"/>
                <w:sz w:val="18"/>
                <w:szCs w:val="18"/>
              </w:rPr>
              <w:t>其他未列明行业 *</w:t>
            </w:r>
          </w:p>
        </w:tc>
        <w:tc>
          <w:tcPr>
            <w:tcW w:w="1369"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709"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1125"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X≥300</w:t>
            </w:r>
          </w:p>
        </w:tc>
        <w:tc>
          <w:tcPr>
            <w:tcW w:w="1701" w:type="dxa"/>
            <w:vAlign w:val="center"/>
          </w:tcPr>
          <w:p>
            <w:pPr>
              <w:widowControl/>
              <w:spacing w:line="280" w:lineRule="exact"/>
              <w:ind w:left="1" w:leftChars="-51" w:hanging="108" w:hangingChars="60"/>
              <w:jc w:val="center"/>
              <w:rPr>
                <w:rFonts w:ascii="宋体" w:hAnsi="宋体" w:cs="宋体"/>
                <w:color w:val="auto"/>
                <w:kern w:val="0"/>
                <w:sz w:val="18"/>
                <w:szCs w:val="18"/>
              </w:rPr>
            </w:pPr>
            <w:r>
              <w:rPr>
                <w:rFonts w:hint="eastAsia" w:ascii="宋体" w:hAnsi="宋体" w:cs="宋体"/>
                <w:color w:val="auto"/>
                <w:kern w:val="0"/>
                <w:sz w:val="18"/>
                <w:szCs w:val="18"/>
              </w:rPr>
              <w:t>100≤X＜300</w:t>
            </w:r>
          </w:p>
        </w:tc>
        <w:tc>
          <w:tcPr>
            <w:tcW w:w="1426"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10≤X＜100</w:t>
            </w:r>
          </w:p>
        </w:tc>
        <w:tc>
          <w:tcPr>
            <w:tcW w:w="992" w:type="dxa"/>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X＜10</w:t>
            </w:r>
          </w:p>
        </w:tc>
      </w:tr>
    </w:tbl>
    <w:p>
      <w:pPr>
        <w:widowControl/>
        <w:spacing w:line="280" w:lineRule="exact"/>
        <w:rPr>
          <w:rFonts w:ascii="宋体" w:hAnsi="宋体" w:cs="宋体"/>
          <w:color w:val="auto"/>
          <w:spacing w:val="8"/>
          <w:kern w:val="0"/>
          <w:sz w:val="24"/>
        </w:rPr>
      </w:pPr>
    </w:p>
    <w:p>
      <w:pPr>
        <w:widowControl/>
        <w:spacing w:line="360" w:lineRule="auto"/>
        <w:rPr>
          <w:rFonts w:ascii="宋体" w:hAnsi="宋体" w:cs="宋体"/>
          <w:color w:val="auto"/>
          <w:spacing w:val="8"/>
          <w:kern w:val="0"/>
          <w:szCs w:val="21"/>
        </w:rPr>
      </w:pPr>
      <w:r>
        <w:rPr>
          <w:rFonts w:hint="eastAsia" w:ascii="宋体" w:hAnsi="宋体" w:cs="宋体"/>
          <w:color w:val="auto"/>
          <w:spacing w:val="8"/>
          <w:kern w:val="0"/>
          <w:szCs w:val="21"/>
        </w:rPr>
        <w:t>说明：</w:t>
      </w:r>
    </w:p>
    <w:p>
      <w:pPr>
        <w:pStyle w:val="14"/>
        <w:adjustRightInd w:val="0"/>
        <w:spacing w:line="360" w:lineRule="auto"/>
        <w:ind w:firstLine="452" w:firstLineChars="200"/>
        <w:contextualSpacing/>
        <w:rPr>
          <w:rFonts w:hAnsi="宋体" w:cs="宋体"/>
          <w:color w:val="auto"/>
          <w:spacing w:val="8"/>
          <w:kern w:val="0"/>
          <w:szCs w:val="21"/>
        </w:rPr>
      </w:pPr>
      <w:r>
        <w:rPr>
          <w:rFonts w:hint="eastAsia" w:hAnsi="宋体" w:cs="宋体"/>
          <w:color w:val="auto"/>
          <w:spacing w:val="8"/>
          <w:kern w:val="0"/>
          <w:szCs w:val="21"/>
        </w:rPr>
        <w:t>1.大型、中型和小型企业须同时满足所列指标的下限，否则下划一档；微型企业只须满足所列指标中的一项即可。</w:t>
      </w:r>
    </w:p>
    <w:p>
      <w:pPr>
        <w:pStyle w:val="14"/>
        <w:adjustRightInd w:val="0"/>
        <w:spacing w:line="360" w:lineRule="auto"/>
        <w:ind w:firstLine="452" w:firstLineChars="200"/>
        <w:contextualSpacing/>
        <w:rPr>
          <w:rFonts w:hAnsi="宋体" w:cs="宋体"/>
          <w:color w:val="auto"/>
          <w:spacing w:val="8"/>
          <w:kern w:val="0"/>
          <w:szCs w:val="21"/>
        </w:rPr>
      </w:pPr>
      <w:r>
        <w:rPr>
          <w:rFonts w:hint="eastAsia" w:hAnsi="宋体" w:cs="宋体"/>
          <w:color w:val="auto"/>
          <w:spacing w:val="8"/>
          <w:kern w:val="0"/>
          <w:szCs w:val="21"/>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pStyle w:val="14"/>
        <w:spacing w:line="360" w:lineRule="auto"/>
        <w:ind w:firstLine="452" w:firstLineChars="200"/>
        <w:rPr>
          <w:rFonts w:hAnsi="宋体" w:cs="宋体"/>
          <w:color w:val="auto"/>
          <w:spacing w:val="8"/>
          <w:kern w:val="0"/>
          <w:sz w:val="24"/>
          <w:szCs w:val="24"/>
        </w:rPr>
      </w:pPr>
      <w:r>
        <w:rPr>
          <w:rFonts w:hint="eastAsia" w:hAnsi="宋体" w:cs="宋体"/>
          <w:color w:val="auto"/>
          <w:spacing w:val="8"/>
          <w:kern w:val="0"/>
          <w:szCs w:val="21"/>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pPr>
        <w:jc w:val="center"/>
        <w:outlineLvl w:val="0"/>
        <w:rPr>
          <w:b/>
          <w:color w:val="auto"/>
          <w:sz w:val="36"/>
        </w:rPr>
      </w:pPr>
      <w:bookmarkStart w:id="62" w:name="_Toc9063"/>
      <w:bookmarkStart w:id="63" w:name="_Toc29172"/>
      <w:bookmarkStart w:id="64" w:name="_Toc496"/>
      <w:bookmarkStart w:id="65" w:name="_Toc6362"/>
      <w:bookmarkStart w:id="66" w:name="_Toc26039"/>
      <w:bookmarkStart w:id="67" w:name="_Toc3325"/>
      <w:bookmarkStart w:id="68" w:name="_Toc24489"/>
      <w:bookmarkStart w:id="69" w:name="_Toc8975"/>
      <w:bookmarkStart w:id="70" w:name="_Toc532545044"/>
      <w:bookmarkStart w:id="71" w:name="_Toc28587"/>
      <w:r>
        <w:rPr>
          <w:rFonts w:hint="eastAsia"/>
          <w:b/>
          <w:color w:val="auto"/>
          <w:sz w:val="36"/>
        </w:rPr>
        <w:br w:type="page"/>
      </w:r>
    </w:p>
    <w:p>
      <w:pPr>
        <w:pStyle w:val="14"/>
        <w:jc w:val="center"/>
        <w:outlineLvl w:val="0"/>
        <w:rPr>
          <w:rFonts w:hAnsi="宋体"/>
          <w:b/>
          <w:color w:val="auto"/>
          <w:sz w:val="36"/>
          <w:szCs w:val="36"/>
        </w:rPr>
      </w:pPr>
      <w:bookmarkStart w:id="72" w:name="_Toc20085"/>
      <w:bookmarkStart w:id="73" w:name="_Toc26044"/>
      <w:bookmarkStart w:id="74" w:name="_Toc15364"/>
      <w:bookmarkStart w:id="75" w:name="_Toc20953"/>
      <w:r>
        <w:rPr>
          <w:rFonts w:hint="eastAsia" w:ascii="Times New Roman" w:hAnsi="Times New Roman"/>
          <w:b/>
          <w:color w:val="auto"/>
          <w:sz w:val="36"/>
        </w:rPr>
        <w:t>第三章投标人须知</w:t>
      </w:r>
      <w:bookmarkEnd w:id="62"/>
      <w:bookmarkEnd w:id="63"/>
      <w:bookmarkEnd w:id="64"/>
      <w:bookmarkEnd w:id="65"/>
      <w:bookmarkEnd w:id="66"/>
      <w:bookmarkEnd w:id="67"/>
      <w:bookmarkEnd w:id="68"/>
      <w:bookmarkEnd w:id="69"/>
      <w:bookmarkEnd w:id="70"/>
      <w:bookmarkEnd w:id="71"/>
      <w:bookmarkEnd w:id="72"/>
      <w:bookmarkEnd w:id="73"/>
      <w:bookmarkEnd w:id="74"/>
      <w:bookmarkEnd w:id="75"/>
    </w:p>
    <w:p>
      <w:pPr>
        <w:pStyle w:val="14"/>
        <w:spacing w:line="440" w:lineRule="exact"/>
        <w:jc w:val="center"/>
        <w:outlineLvl w:val="1"/>
        <w:rPr>
          <w:rFonts w:ascii="Times New Roman" w:hAnsi="Times New Roman"/>
          <w:b/>
          <w:color w:val="auto"/>
          <w:sz w:val="30"/>
          <w:szCs w:val="30"/>
        </w:rPr>
      </w:pPr>
      <w:bookmarkStart w:id="76" w:name="_Toc32208"/>
      <w:bookmarkStart w:id="77" w:name="_Toc11515"/>
      <w:bookmarkStart w:id="78" w:name="_Toc10039"/>
      <w:bookmarkStart w:id="79" w:name="_Toc16388"/>
      <w:bookmarkStart w:id="80" w:name="_Toc29813"/>
      <w:bookmarkStart w:id="81" w:name="_Toc1597"/>
      <w:bookmarkStart w:id="82" w:name="_Toc4562"/>
      <w:bookmarkStart w:id="83" w:name="_Toc24714"/>
      <w:bookmarkStart w:id="84" w:name="_Toc29809"/>
      <w:bookmarkStart w:id="85" w:name="_Toc8769"/>
      <w:r>
        <w:rPr>
          <w:rFonts w:hint="eastAsia" w:ascii="Times New Roman" w:hAnsi="Times New Roman"/>
          <w:b/>
          <w:color w:val="auto"/>
          <w:sz w:val="30"/>
          <w:szCs w:val="30"/>
        </w:rPr>
        <w:t>第一节投标人须知前附表</w:t>
      </w:r>
      <w:bookmarkEnd w:id="76"/>
      <w:bookmarkEnd w:id="77"/>
      <w:bookmarkEnd w:id="78"/>
      <w:bookmarkEnd w:id="79"/>
      <w:bookmarkEnd w:id="80"/>
      <w:bookmarkEnd w:id="81"/>
      <w:bookmarkEnd w:id="82"/>
      <w:bookmarkEnd w:id="83"/>
      <w:bookmarkEnd w:id="84"/>
      <w:bookmarkEnd w:id="85"/>
    </w:p>
    <w:tbl>
      <w:tblPr>
        <w:tblStyle w:val="24"/>
        <w:tblW w:w="10240"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75"/>
        <w:gridCol w:w="2268"/>
        <w:gridCol w:w="729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32"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Cs w:val="21"/>
              </w:rPr>
            </w:pPr>
            <w:r>
              <w:rPr>
                <w:rFonts w:hint="eastAsia" w:ascii="宋体" w:hAnsi="宋体" w:cs="宋体"/>
                <w:color w:val="auto"/>
                <w:szCs w:val="21"/>
              </w:rPr>
              <w:t>条款号</w:t>
            </w:r>
          </w:p>
        </w:tc>
        <w:tc>
          <w:tcPr>
            <w:tcW w:w="226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Cs w:val="21"/>
              </w:rPr>
            </w:pPr>
            <w:r>
              <w:rPr>
                <w:rFonts w:hint="eastAsia" w:ascii="宋体" w:hAnsi="宋体" w:cs="宋体"/>
                <w:color w:val="auto"/>
                <w:szCs w:val="21"/>
              </w:rPr>
              <w:t>项目内容</w:t>
            </w:r>
          </w:p>
        </w:tc>
        <w:tc>
          <w:tcPr>
            <w:tcW w:w="729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Cs w:val="21"/>
              </w:rPr>
            </w:pPr>
            <w:r>
              <w:rPr>
                <w:rFonts w:hint="eastAsia" w:ascii="宋体" w:hAnsi="宋体" w:cs="宋体"/>
                <w:color w:val="auto"/>
                <w:szCs w:val="21"/>
              </w:rPr>
              <w:t>编列内容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auto"/>
                <w:szCs w:val="21"/>
              </w:rPr>
            </w:pPr>
            <w:r>
              <w:rPr>
                <w:rFonts w:hint="eastAsia" w:ascii="宋体" w:hAnsi="宋体" w:cs="宋体"/>
                <w:color w:val="auto"/>
                <w:szCs w:val="21"/>
              </w:rPr>
              <w:t>3</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auto"/>
                <w:szCs w:val="21"/>
              </w:rPr>
            </w:pPr>
            <w:r>
              <w:rPr>
                <w:rFonts w:hint="eastAsia" w:ascii="宋体" w:hAnsi="宋体" w:cs="宋体"/>
                <w:color w:val="auto"/>
                <w:szCs w:val="21"/>
              </w:rPr>
              <w:t>投标人的资格要求</w:t>
            </w:r>
          </w:p>
        </w:tc>
        <w:tc>
          <w:tcPr>
            <w:tcW w:w="7297" w:type="dxa"/>
            <w:tcBorders>
              <w:top w:val="single" w:color="auto" w:sz="4" w:space="0"/>
              <w:left w:val="single" w:color="auto" w:sz="4" w:space="0"/>
              <w:bottom w:val="single" w:color="auto" w:sz="4" w:space="0"/>
              <w:right w:val="single" w:color="auto" w:sz="4" w:space="0"/>
            </w:tcBorders>
            <w:vAlign w:val="center"/>
          </w:tcPr>
          <w:p>
            <w:pPr>
              <w:pStyle w:val="10"/>
              <w:spacing w:line="380" w:lineRule="exact"/>
              <w:rPr>
                <w:rFonts w:ascii="宋体" w:hAnsi="宋体" w:cs="宋体"/>
                <w:color w:val="auto"/>
                <w:szCs w:val="21"/>
              </w:rPr>
            </w:pPr>
            <w:r>
              <w:rPr>
                <w:rFonts w:hint="eastAsia" w:ascii="宋体" w:hAnsi="宋体" w:cs="宋体"/>
                <w:color w:val="auto"/>
                <w:szCs w:val="21"/>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auto"/>
                <w:szCs w:val="21"/>
              </w:rPr>
            </w:pPr>
            <w:r>
              <w:rPr>
                <w:rFonts w:hint="eastAsia" w:ascii="宋体" w:hAnsi="宋体" w:cs="宋体"/>
                <w:color w:val="auto"/>
                <w:szCs w:val="21"/>
              </w:rPr>
              <w:t>6.1</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auto"/>
                <w:szCs w:val="21"/>
              </w:rPr>
            </w:pPr>
            <w:bookmarkStart w:id="86" w:name="_9.2"/>
            <w:bookmarkEnd w:id="86"/>
            <w:bookmarkStart w:id="87" w:name="_8.1"/>
            <w:bookmarkEnd w:id="87"/>
            <w:bookmarkStart w:id="88" w:name="_5"/>
            <w:bookmarkEnd w:id="88"/>
            <w:r>
              <w:rPr>
                <w:rFonts w:hint="eastAsia" w:ascii="宋体" w:hAnsi="宋体" w:cs="宋体"/>
                <w:color w:val="auto"/>
                <w:szCs w:val="21"/>
              </w:rPr>
              <w:t>是否接受联合体投标</w:t>
            </w:r>
          </w:p>
        </w:tc>
        <w:tc>
          <w:tcPr>
            <w:tcW w:w="7297" w:type="dxa"/>
            <w:tcBorders>
              <w:top w:val="single" w:color="auto" w:sz="4" w:space="0"/>
              <w:left w:val="single" w:color="auto" w:sz="4" w:space="0"/>
              <w:bottom w:val="single" w:color="auto" w:sz="4" w:space="0"/>
              <w:right w:val="single" w:color="auto" w:sz="4" w:space="0"/>
            </w:tcBorders>
            <w:vAlign w:val="center"/>
          </w:tcPr>
          <w:p>
            <w:pPr>
              <w:pStyle w:val="10"/>
              <w:spacing w:line="380" w:lineRule="exact"/>
              <w:rPr>
                <w:rFonts w:ascii="宋体" w:hAnsi="宋体" w:cs="宋体"/>
                <w:color w:val="auto"/>
                <w:szCs w:val="21"/>
              </w:rPr>
            </w:pPr>
            <w:bookmarkStart w:id="89" w:name="PO_3000001866_PM007"/>
            <w:r>
              <w:rPr>
                <w:rFonts w:hint="eastAsia" w:ascii="宋体" w:hAnsi="宋体" w:cs="宋体"/>
                <w:color w:val="auto"/>
                <w:szCs w:val="21"/>
              </w:rPr>
              <w:t>详见招标公告。</w:t>
            </w:r>
            <w:bookmarkEnd w:id="89"/>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auto"/>
                <w:szCs w:val="21"/>
              </w:rPr>
            </w:pPr>
            <w:r>
              <w:rPr>
                <w:rFonts w:hint="eastAsia" w:ascii="宋体" w:hAnsi="宋体" w:cs="宋体"/>
                <w:color w:val="auto"/>
                <w:szCs w:val="21"/>
              </w:rPr>
              <w:t>6.2</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auto"/>
                <w:szCs w:val="21"/>
              </w:rPr>
            </w:pPr>
            <w:r>
              <w:rPr>
                <w:rFonts w:hint="eastAsia" w:ascii="宋体" w:hAnsi="宋体" w:cs="宋体"/>
                <w:color w:val="auto"/>
                <w:szCs w:val="21"/>
              </w:rPr>
              <w:t>联合体投标要求</w:t>
            </w:r>
          </w:p>
        </w:tc>
        <w:tc>
          <w:tcPr>
            <w:tcW w:w="7297" w:type="dxa"/>
            <w:tcBorders>
              <w:top w:val="single" w:color="auto" w:sz="4" w:space="0"/>
              <w:left w:val="single" w:color="auto" w:sz="4" w:space="0"/>
              <w:bottom w:val="single" w:color="auto" w:sz="4" w:space="0"/>
              <w:right w:val="single" w:color="auto" w:sz="4" w:space="0"/>
            </w:tcBorders>
            <w:vAlign w:val="center"/>
          </w:tcPr>
          <w:p>
            <w:pPr>
              <w:pStyle w:val="10"/>
              <w:spacing w:line="380" w:lineRule="exact"/>
              <w:rPr>
                <w:rFonts w:ascii="宋体" w:hAnsi="宋体" w:cs="宋体"/>
                <w:color w:val="auto"/>
                <w:szCs w:val="21"/>
              </w:rPr>
            </w:pPr>
            <w:r>
              <w:rPr>
                <w:rFonts w:hint="eastAsia" w:ascii="宋体" w:hAnsi="宋体" w:cs="宋体"/>
                <w:color w:val="auto"/>
                <w:szCs w:val="21"/>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auto"/>
                <w:szCs w:val="21"/>
              </w:rPr>
            </w:pPr>
            <w:r>
              <w:rPr>
                <w:rFonts w:hint="eastAsia" w:ascii="宋体" w:hAnsi="宋体" w:cs="宋体"/>
                <w:color w:val="auto"/>
                <w:szCs w:val="21"/>
              </w:rPr>
              <w:t>7.2</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auto"/>
                <w:szCs w:val="21"/>
              </w:rPr>
            </w:pPr>
            <w:r>
              <w:rPr>
                <w:rFonts w:hint="eastAsia" w:ascii="宋体" w:hAnsi="宋体" w:cs="宋体"/>
                <w:color w:val="auto"/>
                <w:szCs w:val="21"/>
              </w:rPr>
              <w:t>是否允许转包/分包</w:t>
            </w:r>
          </w:p>
        </w:tc>
        <w:tc>
          <w:tcPr>
            <w:tcW w:w="7297" w:type="dxa"/>
            <w:tcBorders>
              <w:top w:val="single" w:color="auto" w:sz="4" w:space="0"/>
              <w:left w:val="single" w:color="auto" w:sz="4" w:space="0"/>
              <w:bottom w:val="single" w:color="auto" w:sz="4" w:space="0"/>
              <w:right w:val="single" w:color="auto" w:sz="4" w:space="0"/>
            </w:tcBorders>
            <w:vAlign w:val="center"/>
          </w:tcPr>
          <w:p>
            <w:pPr>
              <w:pStyle w:val="10"/>
              <w:spacing w:line="380" w:lineRule="exact"/>
              <w:rPr>
                <w:rFonts w:ascii="宋体" w:hAnsi="宋体" w:cs="宋体"/>
                <w:color w:val="auto"/>
                <w:szCs w:val="21"/>
              </w:rPr>
            </w:pPr>
            <w:bookmarkStart w:id="90" w:name="PO_3000001866_PM044"/>
            <w:r>
              <w:rPr>
                <w:rFonts w:hint="eastAsia" w:ascii="宋体" w:hAnsi="宋体" w:cs="宋体"/>
                <w:color w:val="auto"/>
                <w:szCs w:val="21"/>
              </w:rPr>
              <w:t>□不允许分包</w:t>
            </w:r>
            <w:bookmarkEnd w:id="90"/>
          </w:p>
          <w:p>
            <w:pPr>
              <w:snapToGrid w:val="0"/>
              <w:spacing w:line="360" w:lineRule="exact"/>
              <w:rPr>
                <w:rFonts w:ascii="宋体" w:hAnsi="宋体" w:cs="宋体"/>
                <w:color w:val="auto"/>
                <w:szCs w:val="21"/>
              </w:rPr>
            </w:pPr>
            <w:r>
              <w:rPr>
                <w:rFonts w:hint="eastAsia" w:ascii="宋体" w:hAnsi="宋体"/>
                <w:color w:val="auto"/>
                <w:szCs w:val="21"/>
              </w:rPr>
              <w:t>☑</w:t>
            </w:r>
            <w:r>
              <w:rPr>
                <w:rFonts w:hint="eastAsia" w:ascii="宋体" w:hAnsi="宋体" w:cs="宋体"/>
                <w:color w:val="auto"/>
                <w:szCs w:val="21"/>
              </w:rPr>
              <w:t>非主体非关键项目允许分包，不允许转包</w:t>
            </w:r>
          </w:p>
          <w:p>
            <w:pPr>
              <w:snapToGrid w:val="0"/>
              <w:spacing w:line="360" w:lineRule="exact"/>
              <w:rPr>
                <w:rFonts w:ascii="宋体" w:hAnsi="宋体" w:cs="宋体"/>
                <w:color w:val="auto"/>
                <w:szCs w:val="21"/>
              </w:rPr>
            </w:pPr>
            <w:r>
              <w:rPr>
                <w:rFonts w:hint="eastAsia" w:ascii="宋体" w:hAnsi="宋体" w:cs="宋体"/>
                <w:color w:val="auto"/>
                <w:szCs w:val="21"/>
              </w:rPr>
              <w:t>转包/分包内容：消防等有特殊规定的设计施工项目，需要符合《中华人民共和国消防法》等法律法规的规定，投标人若不具备相关资质，可分包给具备相关资质的单位实施。</w:t>
            </w:r>
          </w:p>
          <w:p>
            <w:pPr>
              <w:pStyle w:val="10"/>
              <w:spacing w:line="380" w:lineRule="exact"/>
              <w:rPr>
                <w:rFonts w:ascii="宋体" w:hAnsi="宋体" w:cs="宋体"/>
                <w:color w:val="auto"/>
                <w:szCs w:val="21"/>
              </w:rPr>
            </w:pPr>
            <w:r>
              <w:rPr>
                <w:rFonts w:hint="eastAsia" w:ascii="宋体" w:hAnsi="宋体" w:cs="宋体"/>
                <w:color w:val="auto"/>
                <w:szCs w:val="21"/>
              </w:rPr>
              <w:t>转包/分包金额或者比例：根据实际工作需要确定。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auto"/>
                <w:szCs w:val="21"/>
              </w:rPr>
            </w:pPr>
            <w:r>
              <w:rPr>
                <w:rFonts w:hint="eastAsia" w:ascii="宋体" w:hAnsi="宋体" w:cs="宋体"/>
                <w:color w:val="auto"/>
                <w:szCs w:val="21"/>
              </w:rPr>
              <w:t>11.4</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auto"/>
                <w:szCs w:val="21"/>
              </w:rPr>
            </w:pPr>
            <w:r>
              <w:rPr>
                <w:rFonts w:hint="eastAsia" w:ascii="宋体" w:hAnsi="宋体" w:cs="宋体"/>
                <w:color w:val="auto"/>
                <w:szCs w:val="21"/>
              </w:rPr>
              <w:t>媒体发布渠道</w:t>
            </w:r>
          </w:p>
        </w:tc>
        <w:tc>
          <w:tcPr>
            <w:tcW w:w="729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rPr>
            </w:pPr>
            <w:r>
              <w:rPr>
                <w:rFonts w:hint="eastAsia" w:ascii="宋体" w:hAnsi="宋体" w:cs="宋体"/>
                <w:color w:val="auto"/>
                <w:szCs w:val="21"/>
              </w:rPr>
              <w:t>与本项目相关的政府采购业务澄清、更正及与之相关的事项将在招标公告中“六、其他补充事宜”中网上查询地址上发布</w:t>
            </w:r>
            <w:r>
              <w:rPr>
                <w:rFonts w:hint="eastAsia" w:ascii="宋体" w:hAnsi="宋体" w:cs="宋体"/>
                <w:color w:val="auto"/>
                <w:kern w:val="0"/>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auto"/>
                <w:szCs w:val="21"/>
              </w:rPr>
            </w:pPr>
            <w:r>
              <w:rPr>
                <w:rFonts w:hint="eastAsia" w:ascii="宋体" w:hAnsi="宋体" w:cs="宋体"/>
                <w:color w:val="auto"/>
                <w:szCs w:val="21"/>
              </w:rPr>
              <w:t>11.5</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auto"/>
                <w:szCs w:val="21"/>
              </w:rPr>
            </w:pPr>
            <w:r>
              <w:rPr>
                <w:rFonts w:hint="eastAsia" w:ascii="宋体" w:hAnsi="宋体"/>
                <w:color w:val="auto"/>
                <w:szCs w:val="21"/>
              </w:rPr>
              <w:t>是否组织现场考察或者召开开标前答疑会</w:t>
            </w:r>
          </w:p>
        </w:tc>
        <w:tc>
          <w:tcPr>
            <w:tcW w:w="7297"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s="宋体"/>
                <w:color w:val="auto"/>
                <w:szCs w:val="21"/>
              </w:rPr>
            </w:pPr>
            <w:r>
              <w:rPr>
                <w:rFonts w:hint="eastAsia" w:ascii="宋体" w:hAnsi="宋体"/>
                <w:color w:val="auto"/>
                <w:szCs w:val="21"/>
              </w:rPr>
              <w:t>☑</w:t>
            </w:r>
            <w:r>
              <w:rPr>
                <w:rFonts w:hint="eastAsia" w:ascii="宋体" w:hAnsi="宋体" w:cs="宋体"/>
                <w:color w:val="auto"/>
                <w:szCs w:val="21"/>
              </w:rPr>
              <w:t>不组织现场考察</w:t>
            </w:r>
          </w:p>
          <w:p>
            <w:pPr>
              <w:snapToGrid w:val="0"/>
              <w:spacing w:line="360" w:lineRule="exact"/>
              <w:rPr>
                <w:rFonts w:ascii="宋体" w:hAnsi="宋体" w:cs="宋体"/>
                <w:color w:val="auto"/>
                <w:szCs w:val="21"/>
              </w:rPr>
            </w:pPr>
            <w:r>
              <w:rPr>
                <w:rFonts w:hint="eastAsia" w:ascii="宋体" w:hAnsi="宋体"/>
                <w:color w:val="auto"/>
                <w:szCs w:val="21"/>
              </w:rPr>
              <w:t>□</w:t>
            </w:r>
            <w:r>
              <w:rPr>
                <w:rFonts w:hint="eastAsia" w:ascii="宋体" w:hAnsi="宋体" w:cs="宋体"/>
                <w:color w:val="auto"/>
                <w:szCs w:val="21"/>
              </w:rPr>
              <w:t>组织现场考察：</w:t>
            </w:r>
          </w:p>
          <w:p>
            <w:pPr>
              <w:snapToGrid w:val="0"/>
              <w:spacing w:line="360" w:lineRule="exact"/>
              <w:rPr>
                <w:rFonts w:ascii="宋体" w:hAnsi="宋体" w:cs="宋体"/>
                <w:color w:val="auto"/>
                <w:szCs w:val="21"/>
              </w:rPr>
            </w:pPr>
            <w:r>
              <w:rPr>
                <w:rFonts w:hint="eastAsia" w:ascii="宋体" w:hAnsi="宋体" w:cs="宋体"/>
                <w:color w:val="auto"/>
                <w:szCs w:val="21"/>
              </w:rPr>
              <w:t>采购人组织现场考察，投标人如需进行现场考察的，可自行前往，费用自理。</w:t>
            </w:r>
          </w:p>
          <w:p>
            <w:pPr>
              <w:snapToGrid w:val="0"/>
              <w:spacing w:line="360" w:lineRule="exact"/>
              <w:rPr>
                <w:rFonts w:ascii="宋体" w:hAnsi="宋体" w:cs="宋体"/>
                <w:color w:val="auto"/>
                <w:szCs w:val="21"/>
              </w:rPr>
            </w:pPr>
            <w:r>
              <w:rPr>
                <w:rFonts w:hint="eastAsia" w:ascii="宋体" w:hAnsi="宋体" w:cs="宋体"/>
                <w:color w:val="auto"/>
                <w:szCs w:val="21"/>
              </w:rPr>
              <w:t>集中时间：年月日时分，逾期后果自负。</w:t>
            </w:r>
          </w:p>
          <w:p>
            <w:pPr>
              <w:snapToGrid w:val="0"/>
              <w:spacing w:line="360" w:lineRule="exact"/>
              <w:rPr>
                <w:rFonts w:ascii="宋体" w:hAnsi="宋体" w:cs="宋体"/>
                <w:color w:val="auto"/>
                <w:szCs w:val="21"/>
              </w:rPr>
            </w:pPr>
            <w:r>
              <w:rPr>
                <w:rFonts w:hint="eastAsia" w:ascii="宋体" w:hAnsi="宋体" w:cs="宋体"/>
                <w:color w:val="auto"/>
                <w:szCs w:val="21"/>
              </w:rPr>
              <w:t>集中地点：</w:t>
            </w:r>
          </w:p>
          <w:p>
            <w:pPr>
              <w:snapToGrid w:val="0"/>
              <w:spacing w:line="380" w:lineRule="exact"/>
              <w:rPr>
                <w:rFonts w:ascii="宋体" w:hAnsi="宋体" w:cs="宋体"/>
                <w:color w:val="auto"/>
                <w:szCs w:val="21"/>
                <w:u w:val="single"/>
              </w:rPr>
            </w:pPr>
            <w:r>
              <w:rPr>
                <w:rFonts w:hint="eastAsia" w:ascii="宋体" w:hAnsi="宋体" w:cs="宋体"/>
                <w:color w:val="auto"/>
                <w:szCs w:val="21"/>
              </w:rPr>
              <w:t>联系人：；联系电话：</w:t>
            </w:r>
          </w:p>
          <w:p>
            <w:pPr>
              <w:snapToGrid w:val="0"/>
              <w:spacing w:line="380" w:lineRule="exact"/>
              <w:rPr>
                <w:rFonts w:ascii="宋体" w:hAnsi="宋体"/>
                <w:color w:val="auto"/>
                <w:szCs w:val="21"/>
              </w:rPr>
            </w:pPr>
            <w:r>
              <w:rPr>
                <w:rFonts w:hint="eastAsia" w:ascii="宋体" w:hAnsi="宋体" w:eastAsia="MS Gothic" w:cs="MS Gothic"/>
                <w:color w:val="auto"/>
                <w:szCs w:val="21"/>
              </w:rPr>
              <w:t>☑</w:t>
            </w:r>
            <w:r>
              <w:rPr>
                <w:rFonts w:hint="eastAsia" w:ascii="宋体" w:hAnsi="宋体" w:cs="宋体"/>
                <w:color w:val="auto"/>
                <w:szCs w:val="21"/>
              </w:rPr>
              <w:t>不组织召开开标前答疑会</w:t>
            </w:r>
          </w:p>
          <w:p>
            <w:pPr>
              <w:snapToGrid w:val="0"/>
              <w:spacing w:line="380" w:lineRule="exact"/>
              <w:rPr>
                <w:rFonts w:ascii="宋体" w:hAnsi="宋体"/>
                <w:color w:val="auto"/>
                <w:szCs w:val="21"/>
              </w:rPr>
            </w:pPr>
            <w:r>
              <w:rPr>
                <w:rFonts w:hint="eastAsia" w:ascii="宋体" w:hAnsi="宋体"/>
                <w:color w:val="auto"/>
                <w:szCs w:val="21"/>
              </w:rPr>
              <w:t>□组织召开开标前答疑会</w:t>
            </w:r>
          </w:p>
          <w:p>
            <w:pPr>
              <w:snapToGrid w:val="0"/>
              <w:spacing w:line="380" w:lineRule="exact"/>
              <w:rPr>
                <w:rFonts w:ascii="宋体" w:hAnsi="宋体" w:cs="宋体"/>
                <w:color w:val="auto"/>
                <w:szCs w:val="21"/>
                <w:u w:val="single"/>
              </w:rPr>
            </w:pPr>
            <w:r>
              <w:rPr>
                <w:rFonts w:hint="eastAsia" w:ascii="宋体" w:hAnsi="宋体"/>
                <w:color w:val="auto"/>
                <w:szCs w:val="21"/>
              </w:rPr>
              <w:t>会议开始时间：年月日 时分，逾期后果自负。会议地点：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675" w:type="dxa"/>
            <w:tcBorders>
              <w:top w:val="nil"/>
              <w:left w:val="single" w:color="auto" w:sz="4" w:space="0"/>
              <w:bottom w:val="nil"/>
              <w:right w:val="single" w:color="auto" w:sz="4" w:space="0"/>
            </w:tcBorders>
            <w:vAlign w:val="center"/>
          </w:tcPr>
          <w:p>
            <w:pPr>
              <w:spacing w:line="380" w:lineRule="exact"/>
              <w:rPr>
                <w:rFonts w:ascii="宋体" w:hAnsi="宋体" w:cs="宋体"/>
                <w:color w:val="auto"/>
                <w:szCs w:val="21"/>
              </w:rPr>
            </w:pPr>
            <w:r>
              <w:rPr>
                <w:rFonts w:hint="eastAsia" w:ascii="宋体" w:hAnsi="宋体" w:cs="宋体"/>
                <w:color w:val="auto"/>
                <w:szCs w:val="21"/>
              </w:rPr>
              <w:t>13.1</w:t>
            </w:r>
          </w:p>
        </w:tc>
        <w:tc>
          <w:tcPr>
            <w:tcW w:w="2268"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left"/>
              <w:rPr>
                <w:rFonts w:ascii="宋体" w:hAnsi="宋体" w:cs="宋体"/>
                <w:color w:val="auto"/>
                <w:szCs w:val="21"/>
              </w:rPr>
            </w:pPr>
            <w:bookmarkStart w:id="91" w:name="_13.2"/>
            <w:bookmarkEnd w:id="91"/>
            <w:r>
              <w:rPr>
                <w:rFonts w:hint="eastAsia" w:ascii="宋体" w:hAnsi="宋体" w:cs="宋体"/>
                <w:color w:val="auto"/>
                <w:szCs w:val="21"/>
              </w:rPr>
              <w:t>资格证明文件组成</w:t>
            </w:r>
          </w:p>
        </w:tc>
        <w:tc>
          <w:tcPr>
            <w:tcW w:w="7297"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left"/>
              <w:rPr>
                <w:rFonts w:ascii="宋体" w:hAnsi="宋体" w:cs="宋体"/>
                <w:color w:val="auto"/>
                <w:szCs w:val="21"/>
              </w:rPr>
            </w:pPr>
            <w:r>
              <w:rPr>
                <w:rFonts w:hint="eastAsia" w:ascii="宋体" w:hAnsi="宋体" w:cs="宋体"/>
                <w:color w:val="auto"/>
                <w:szCs w:val="21"/>
              </w:rPr>
              <w:t>1、投标人为法人或者其他组织的，提供营业执照等证明文件复印件（如营业执照或者事业单位法人证书或者</w:t>
            </w:r>
            <w:r>
              <w:rPr>
                <w:rStyle w:val="36"/>
                <w:rFonts w:hint="eastAsia"/>
                <w:color w:val="auto"/>
                <w:sz w:val="21"/>
                <w:szCs w:val="21"/>
              </w:rPr>
              <w:t>执业许可证</w:t>
            </w:r>
            <w:r>
              <w:rPr>
                <w:rFonts w:hint="eastAsia" w:ascii="宋体" w:hAnsi="宋体" w:cs="宋体"/>
                <w:color w:val="auto"/>
                <w:szCs w:val="21"/>
              </w:rPr>
              <w:t>等），投标人为自然人的，提供有效身份证正反面复印件。（</w:t>
            </w:r>
            <w:r>
              <w:rPr>
                <w:rFonts w:hint="eastAsia" w:ascii="宋体" w:hAnsi="宋体" w:cs="宋体"/>
                <w:b/>
                <w:color w:val="auto"/>
                <w:szCs w:val="21"/>
              </w:rPr>
              <w:t>必须提供，否则作无效投标处理</w:t>
            </w:r>
            <w:r>
              <w:rPr>
                <w:rFonts w:hint="eastAsia" w:ascii="宋体" w:hAnsi="宋体" w:cs="宋体"/>
                <w:color w:val="auto"/>
                <w:szCs w:val="21"/>
              </w:rPr>
              <w:t>）</w:t>
            </w:r>
          </w:p>
          <w:p>
            <w:pPr>
              <w:snapToGrid w:val="0"/>
              <w:spacing w:line="380" w:lineRule="exact"/>
              <w:jc w:val="left"/>
              <w:rPr>
                <w:rFonts w:ascii="宋体" w:hAnsi="宋体" w:cs="宋体"/>
                <w:color w:val="auto"/>
                <w:szCs w:val="21"/>
              </w:rPr>
            </w:pPr>
            <w:r>
              <w:rPr>
                <w:rFonts w:hint="eastAsia" w:ascii="宋体" w:hAnsi="宋体" w:cs="宋体"/>
                <w:color w:val="auto"/>
                <w:szCs w:val="21"/>
              </w:rPr>
              <w:t>2、投标人依法缴纳税收的相关材料（</w:t>
            </w:r>
            <w:r>
              <w:rPr>
                <w:rFonts w:hint="eastAsia" w:ascii="宋体" w:hAnsi="宋体" w:cs="宋体"/>
                <w:color w:val="auto"/>
                <w:szCs w:val="21"/>
                <w:u w:val="single"/>
              </w:rPr>
              <w:t>202</w:t>
            </w:r>
            <w:r>
              <w:rPr>
                <w:rFonts w:hint="eastAsia" w:ascii="宋体" w:hAnsi="宋体" w:cs="宋体"/>
                <w:color w:val="auto"/>
                <w:szCs w:val="21"/>
                <w:u w:val="single"/>
                <w:lang w:val="en-US" w:eastAsia="zh-CN"/>
              </w:rPr>
              <w:t>3</w:t>
            </w:r>
            <w:r>
              <w:rPr>
                <w:rFonts w:hint="eastAsia" w:ascii="宋体" w:hAnsi="宋体" w:cs="宋体"/>
                <w:color w:val="auto"/>
                <w:szCs w:val="21"/>
              </w:rPr>
              <w:t>年</w:t>
            </w:r>
            <w:r>
              <w:rPr>
                <w:rFonts w:hint="eastAsia" w:ascii="宋体" w:hAnsi="宋体" w:cs="宋体"/>
                <w:color w:val="auto"/>
                <w:szCs w:val="21"/>
                <w:u w:val="single"/>
                <w:lang w:val="en-US" w:eastAsia="zh-CN"/>
              </w:rPr>
              <w:t>1</w:t>
            </w:r>
            <w:r>
              <w:rPr>
                <w:rFonts w:hint="eastAsia" w:ascii="宋体" w:hAnsi="宋体" w:cs="宋体"/>
                <w:color w:val="auto"/>
                <w:szCs w:val="21"/>
              </w:rPr>
              <w:t>月至</w:t>
            </w:r>
            <w:r>
              <w:rPr>
                <w:rFonts w:hint="eastAsia" w:ascii="宋体" w:hAnsi="宋体" w:cs="宋体"/>
                <w:color w:val="auto"/>
                <w:szCs w:val="21"/>
                <w:u w:val="single"/>
              </w:rPr>
              <w:t>2023</w:t>
            </w:r>
            <w:r>
              <w:rPr>
                <w:rFonts w:hint="eastAsia" w:ascii="宋体" w:hAnsi="宋体" w:cs="宋体"/>
                <w:color w:val="auto"/>
                <w:szCs w:val="21"/>
              </w:rPr>
              <w:t>年</w:t>
            </w:r>
            <w:r>
              <w:rPr>
                <w:rFonts w:hint="eastAsia" w:ascii="宋体" w:hAnsi="宋体" w:cs="宋体"/>
                <w:color w:val="auto"/>
                <w:szCs w:val="21"/>
                <w:u w:val="single"/>
                <w:lang w:val="en-US" w:eastAsia="zh-CN"/>
              </w:rPr>
              <w:t>5</w:t>
            </w:r>
            <w:r>
              <w:rPr>
                <w:rFonts w:hint="eastAsia" w:ascii="宋体" w:hAnsi="宋体" w:cs="宋体"/>
                <w:color w:val="auto"/>
                <w:szCs w:val="21"/>
              </w:rPr>
              <w:t>月内</w:t>
            </w:r>
            <w:r>
              <w:rPr>
                <w:rFonts w:hint="eastAsia" w:ascii="宋体" w:hAnsi="宋体" w:cs="宋体"/>
                <w:color w:val="auto"/>
                <w:szCs w:val="21"/>
                <w:lang w:val="en-US" w:eastAsia="zh-CN"/>
              </w:rPr>
              <w:t>连续</w:t>
            </w:r>
            <w:r>
              <w:rPr>
                <w:rFonts w:hint="eastAsia" w:ascii="宋体" w:hAnsi="宋体" w:cs="宋体"/>
                <w:color w:val="auto"/>
                <w:szCs w:val="21"/>
                <w:u w:val="single"/>
              </w:rPr>
              <w:t>3</w:t>
            </w:r>
            <w:r>
              <w:rPr>
                <w:rFonts w:hint="eastAsia" w:ascii="宋体" w:hAnsi="宋体" w:cs="宋体"/>
                <w:color w:val="auto"/>
                <w:szCs w:val="21"/>
              </w:rPr>
              <w:t>个月的依法缴纳税收的凭据复印件；依法免税的投标人，必须提供相应文件证明其依法免税。从取得营业执照时间起到投标文件提交截止时间为止不足要求月数的，只需提供从取得营业执照起的依法缴纳税收相应证明文件）。（</w:t>
            </w:r>
            <w:r>
              <w:rPr>
                <w:rFonts w:hint="eastAsia" w:ascii="宋体" w:hAnsi="宋体" w:cs="宋体"/>
                <w:b/>
                <w:color w:val="auto"/>
                <w:szCs w:val="21"/>
              </w:rPr>
              <w:t>必须提供，否则作无效投标处理</w:t>
            </w:r>
            <w:r>
              <w:rPr>
                <w:rFonts w:hint="eastAsia" w:ascii="宋体" w:hAnsi="宋体" w:cs="宋体"/>
                <w:color w:val="auto"/>
                <w:szCs w:val="21"/>
              </w:rPr>
              <w:t>）</w:t>
            </w:r>
          </w:p>
          <w:p>
            <w:pPr>
              <w:snapToGrid w:val="0"/>
              <w:spacing w:line="380" w:lineRule="exact"/>
              <w:jc w:val="left"/>
              <w:rPr>
                <w:rFonts w:ascii="宋体" w:hAnsi="宋体" w:cs="宋体"/>
                <w:color w:val="auto"/>
                <w:szCs w:val="21"/>
              </w:rPr>
            </w:pPr>
            <w:r>
              <w:rPr>
                <w:rFonts w:hint="eastAsia" w:ascii="宋体" w:hAnsi="宋体" w:cs="宋体"/>
                <w:color w:val="auto"/>
                <w:szCs w:val="21"/>
              </w:rPr>
              <w:t>3、投标人依法缴纳社会保障资金的相关材料（</w:t>
            </w:r>
            <w:r>
              <w:rPr>
                <w:rFonts w:hint="eastAsia" w:ascii="宋体" w:hAnsi="宋体" w:cs="宋体"/>
                <w:color w:val="auto"/>
                <w:szCs w:val="21"/>
                <w:u w:val="single"/>
              </w:rPr>
              <w:t>202</w:t>
            </w:r>
            <w:r>
              <w:rPr>
                <w:rFonts w:hint="eastAsia" w:ascii="宋体" w:hAnsi="宋体" w:cs="宋体"/>
                <w:color w:val="auto"/>
                <w:szCs w:val="21"/>
                <w:u w:val="single"/>
                <w:lang w:val="en-US" w:eastAsia="zh-CN"/>
              </w:rPr>
              <w:t>3</w:t>
            </w:r>
            <w:r>
              <w:rPr>
                <w:rFonts w:hint="eastAsia" w:ascii="宋体" w:hAnsi="宋体" w:cs="宋体"/>
                <w:color w:val="auto"/>
                <w:szCs w:val="21"/>
              </w:rPr>
              <w:t>年</w:t>
            </w:r>
            <w:r>
              <w:rPr>
                <w:rFonts w:hint="eastAsia" w:ascii="宋体" w:hAnsi="宋体" w:cs="宋体"/>
                <w:color w:val="auto"/>
                <w:szCs w:val="21"/>
                <w:u w:val="single"/>
              </w:rPr>
              <w:t>1</w:t>
            </w:r>
            <w:r>
              <w:rPr>
                <w:rFonts w:hint="eastAsia" w:ascii="宋体" w:hAnsi="宋体" w:cs="宋体"/>
                <w:color w:val="auto"/>
                <w:szCs w:val="21"/>
              </w:rPr>
              <w:t>月至</w:t>
            </w:r>
            <w:r>
              <w:rPr>
                <w:rFonts w:hint="eastAsia" w:ascii="宋体" w:hAnsi="宋体" w:cs="宋体"/>
                <w:color w:val="auto"/>
                <w:szCs w:val="21"/>
                <w:u w:val="single"/>
              </w:rPr>
              <w:t>2023</w:t>
            </w:r>
            <w:r>
              <w:rPr>
                <w:rFonts w:hint="eastAsia" w:ascii="宋体" w:hAnsi="宋体" w:cs="宋体"/>
                <w:color w:val="auto"/>
                <w:szCs w:val="21"/>
              </w:rPr>
              <w:t>年</w:t>
            </w:r>
            <w:r>
              <w:rPr>
                <w:rFonts w:hint="eastAsia" w:ascii="宋体" w:hAnsi="宋体" w:cs="宋体"/>
                <w:color w:val="auto"/>
                <w:szCs w:val="21"/>
                <w:u w:val="single"/>
                <w:lang w:val="en-US" w:eastAsia="zh-CN"/>
              </w:rPr>
              <w:t>5</w:t>
            </w:r>
            <w:r>
              <w:rPr>
                <w:rFonts w:hint="eastAsia" w:ascii="宋体" w:hAnsi="宋体" w:cs="宋体"/>
                <w:color w:val="auto"/>
                <w:szCs w:val="21"/>
              </w:rPr>
              <w:t>月内</w:t>
            </w:r>
            <w:r>
              <w:rPr>
                <w:rFonts w:hint="eastAsia" w:ascii="宋体" w:hAnsi="宋体" w:cs="宋体"/>
                <w:color w:val="auto"/>
                <w:szCs w:val="21"/>
                <w:lang w:eastAsia="zh-CN"/>
              </w:rPr>
              <w:t>连续</w:t>
            </w:r>
            <w:r>
              <w:rPr>
                <w:rFonts w:hint="eastAsia" w:ascii="宋体" w:hAnsi="宋体" w:cs="宋体"/>
                <w:color w:val="auto"/>
                <w:szCs w:val="21"/>
                <w:u w:val="single"/>
              </w:rPr>
              <w:t>3</w:t>
            </w:r>
            <w:r>
              <w:rPr>
                <w:rFonts w:hint="eastAsia" w:ascii="宋体" w:hAnsi="宋体" w:cs="宋体"/>
                <w:color w:val="auto"/>
                <w:szCs w:val="21"/>
              </w:rPr>
              <w:t>个月的依法缴纳社会保障资金的缴费凭证复印件；依法不需要缴纳社会保障资金的投标人，必须提供相应文件证明不需要缴纳社会保障资金。从取得营业执照时间起到投标文件提交截止时间为止不足要求月数的只需提供从取得营业执照起的依法缴纳社会保障资金的相应证明文件）。（</w:t>
            </w:r>
            <w:r>
              <w:rPr>
                <w:rFonts w:hint="eastAsia" w:ascii="宋体" w:hAnsi="宋体" w:cs="宋体"/>
                <w:b/>
                <w:color w:val="auto"/>
                <w:szCs w:val="21"/>
              </w:rPr>
              <w:t>必须提供，否则作无效投标处理</w:t>
            </w:r>
            <w:r>
              <w:rPr>
                <w:rFonts w:hint="eastAsia" w:ascii="宋体" w:hAnsi="宋体" w:cs="宋体"/>
                <w:color w:val="auto"/>
                <w:szCs w:val="21"/>
              </w:rPr>
              <w:t>）</w:t>
            </w:r>
          </w:p>
          <w:p>
            <w:pPr>
              <w:snapToGrid w:val="0"/>
              <w:spacing w:line="380" w:lineRule="exact"/>
              <w:jc w:val="left"/>
              <w:rPr>
                <w:rFonts w:ascii="宋体" w:hAnsi="宋体" w:cs="宋体"/>
                <w:color w:val="auto"/>
                <w:szCs w:val="21"/>
              </w:rPr>
            </w:pPr>
            <w:r>
              <w:rPr>
                <w:rFonts w:hint="eastAsia" w:ascii="宋体" w:hAnsi="宋体" w:cs="宋体"/>
                <w:color w:val="auto"/>
                <w:szCs w:val="21"/>
              </w:rPr>
              <w:t>4、投标人财务状况报告（提供</w:t>
            </w:r>
            <w:r>
              <w:rPr>
                <w:rFonts w:hint="eastAsia" w:ascii="宋体" w:hAnsi="宋体" w:cs="宋体"/>
                <w:color w:val="auto"/>
                <w:szCs w:val="21"/>
                <w:u w:val="single"/>
              </w:rPr>
              <w:t>2022</w:t>
            </w:r>
            <w:r>
              <w:rPr>
                <w:rFonts w:hint="eastAsia" w:ascii="宋体" w:hAnsi="宋体" w:cs="宋体"/>
                <w:color w:val="auto"/>
                <w:szCs w:val="21"/>
              </w:rPr>
              <w:t>年度经审计的财务报告复印件或者截标时间前半年内至少一个月能反映财务状况的报表或者投标人自拟的截标时间前半年内至少一个月的财务情况说明）。（</w:t>
            </w:r>
            <w:r>
              <w:rPr>
                <w:rFonts w:hint="eastAsia" w:ascii="宋体" w:hAnsi="宋体" w:cs="宋体"/>
                <w:b/>
                <w:color w:val="auto"/>
                <w:szCs w:val="21"/>
              </w:rPr>
              <w:t>必须提供，否则作无效投标处理</w:t>
            </w:r>
            <w:r>
              <w:rPr>
                <w:rFonts w:hint="eastAsia" w:ascii="宋体" w:hAnsi="宋体" w:cs="宋体"/>
                <w:color w:val="auto"/>
                <w:szCs w:val="21"/>
              </w:rPr>
              <w:t>）</w:t>
            </w:r>
          </w:p>
          <w:p>
            <w:pPr>
              <w:snapToGrid w:val="0"/>
              <w:spacing w:line="380" w:lineRule="exact"/>
              <w:jc w:val="left"/>
              <w:rPr>
                <w:rFonts w:ascii="宋体" w:hAnsi="宋体"/>
                <w:color w:val="auto"/>
                <w:szCs w:val="21"/>
              </w:rPr>
            </w:pPr>
            <w:r>
              <w:rPr>
                <w:rFonts w:hint="eastAsia" w:ascii="宋体" w:hAnsi="宋体"/>
                <w:color w:val="auto"/>
                <w:szCs w:val="21"/>
              </w:rPr>
              <w:t>5、</w:t>
            </w:r>
            <w:r>
              <w:rPr>
                <w:rFonts w:hint="eastAsia" w:ascii="宋体" w:hAnsi="宋体" w:cs="宋体"/>
                <w:color w:val="auto"/>
                <w:szCs w:val="21"/>
              </w:rPr>
              <w:t>本项目的特定资格要求：</w:t>
            </w:r>
            <w:r>
              <w:rPr>
                <w:rFonts w:hint="eastAsia" w:ascii="宋体" w:hAnsi="宋体" w:cs="宋体"/>
                <w:color w:val="auto"/>
                <w:szCs w:val="21"/>
                <w:lang w:eastAsia="zh-CN"/>
              </w:rPr>
              <w:t>无</w:t>
            </w:r>
            <w:r>
              <w:rPr>
                <w:rFonts w:hint="eastAsia" w:ascii="宋体" w:hAnsi="宋体" w:cs="宋体"/>
                <w:color w:val="auto"/>
                <w:szCs w:val="21"/>
              </w:rPr>
              <w:t>。（</w:t>
            </w:r>
            <w:r>
              <w:rPr>
                <w:rFonts w:hint="eastAsia" w:ascii="宋体" w:hAnsi="宋体" w:cs="宋体"/>
                <w:b/>
                <w:bCs/>
                <w:color w:val="auto"/>
                <w:szCs w:val="21"/>
                <w:lang w:eastAsia="zh-CN"/>
              </w:rPr>
              <w:t>如有要求，则</w:t>
            </w:r>
            <w:r>
              <w:rPr>
                <w:rFonts w:hint="eastAsia" w:ascii="宋体" w:hAnsi="宋体" w:cs="宋体"/>
                <w:b/>
                <w:color w:val="auto"/>
                <w:szCs w:val="21"/>
              </w:rPr>
              <w:t>必须提供，否则作无效投标处理</w:t>
            </w:r>
            <w:r>
              <w:rPr>
                <w:rFonts w:hint="eastAsia" w:ascii="宋体" w:hAnsi="宋体" w:cs="宋体"/>
                <w:color w:val="auto"/>
                <w:szCs w:val="21"/>
              </w:rPr>
              <w:t>）</w:t>
            </w:r>
          </w:p>
          <w:p>
            <w:pPr>
              <w:snapToGrid w:val="0"/>
              <w:spacing w:line="380" w:lineRule="exact"/>
              <w:jc w:val="left"/>
              <w:rPr>
                <w:rFonts w:ascii="宋体" w:hAnsi="宋体" w:cs="宋体"/>
                <w:color w:val="auto"/>
                <w:szCs w:val="21"/>
              </w:rPr>
            </w:pPr>
            <w:r>
              <w:rPr>
                <w:rFonts w:hint="eastAsia" w:ascii="宋体" w:hAnsi="宋体" w:cs="宋体"/>
                <w:color w:val="auto"/>
                <w:szCs w:val="21"/>
              </w:rPr>
              <w:t>6、投标资格声明函（格式后附）。（</w:t>
            </w:r>
            <w:r>
              <w:rPr>
                <w:rFonts w:hint="eastAsia" w:ascii="宋体" w:hAnsi="宋体" w:cs="宋体"/>
                <w:b/>
                <w:color w:val="auto"/>
                <w:szCs w:val="21"/>
              </w:rPr>
              <w:t>必须提供，否则作无效投标处理</w:t>
            </w:r>
            <w:r>
              <w:rPr>
                <w:rFonts w:hint="eastAsia" w:ascii="宋体" w:hAnsi="宋体" w:cs="宋体"/>
                <w:color w:val="auto"/>
                <w:szCs w:val="21"/>
              </w:rPr>
              <w:t>）</w:t>
            </w:r>
          </w:p>
          <w:p>
            <w:pPr>
              <w:snapToGrid w:val="0"/>
              <w:spacing w:line="380" w:lineRule="exact"/>
              <w:jc w:val="left"/>
              <w:rPr>
                <w:rFonts w:ascii="宋体" w:hAnsi="宋体"/>
                <w:color w:val="auto"/>
                <w:szCs w:val="21"/>
              </w:rPr>
            </w:pPr>
            <w:r>
              <w:rPr>
                <w:rFonts w:hint="eastAsia" w:ascii="宋体" w:hAnsi="宋体"/>
                <w:color w:val="auto"/>
                <w:szCs w:val="21"/>
              </w:rPr>
              <w:t>7、中小企业声明函或者残疾人福利性单位声明函或者投标人属于监狱企业的证明材料（格式后附）。（</w:t>
            </w:r>
            <w:r>
              <w:rPr>
                <w:rFonts w:hint="eastAsia" w:ascii="宋体" w:hAnsi="宋体"/>
                <w:b/>
                <w:bCs/>
                <w:color w:val="auto"/>
                <w:szCs w:val="21"/>
              </w:rPr>
              <w:t>本项目为专门面对中小企业采购，投标人必须提供，否则作无效投标处理</w:t>
            </w:r>
            <w:r>
              <w:rPr>
                <w:rFonts w:hint="eastAsia" w:ascii="宋体" w:hAnsi="宋体"/>
                <w:color w:val="auto"/>
                <w:szCs w:val="21"/>
              </w:rPr>
              <w:t>）</w:t>
            </w:r>
          </w:p>
          <w:p>
            <w:pPr>
              <w:snapToGrid w:val="0"/>
              <w:spacing w:line="380" w:lineRule="exact"/>
              <w:jc w:val="left"/>
              <w:rPr>
                <w:rFonts w:ascii="宋体" w:hAnsi="宋体" w:cs="宋体"/>
                <w:color w:val="auto"/>
                <w:szCs w:val="21"/>
              </w:rPr>
            </w:pPr>
            <w:r>
              <w:rPr>
                <w:rFonts w:hint="eastAsia" w:ascii="宋体" w:hAnsi="宋体" w:cs="宋体"/>
                <w:color w:val="auto"/>
                <w:szCs w:val="21"/>
              </w:rPr>
              <w:t>8、除招标文件规定必须提供以外，投标人认为需要提供的其他证明材料（格式自拟）。</w:t>
            </w:r>
            <w:r>
              <w:rPr>
                <w:rFonts w:hint="eastAsia" w:ascii="宋体" w:hAnsi="宋体"/>
                <w:color w:val="auto"/>
                <w:szCs w:val="21"/>
              </w:rPr>
              <w:t>（如有，请提供）</w:t>
            </w:r>
          </w:p>
          <w:p>
            <w:pPr>
              <w:snapToGrid w:val="0"/>
              <w:spacing w:line="380" w:lineRule="exact"/>
              <w:ind w:firstLine="422" w:firstLineChars="200"/>
              <w:jc w:val="left"/>
              <w:rPr>
                <w:rFonts w:ascii="宋体" w:hAnsi="宋体" w:cs="宋体"/>
                <w:b/>
                <w:bCs/>
                <w:color w:val="auto"/>
                <w:szCs w:val="21"/>
              </w:rPr>
            </w:pPr>
            <w:r>
              <w:rPr>
                <w:rFonts w:hint="eastAsia" w:ascii="宋体" w:hAnsi="宋体" w:cs="宋体"/>
                <w:b/>
                <w:bCs/>
                <w:color w:val="auto"/>
                <w:szCs w:val="21"/>
              </w:rPr>
              <w:t>注：以上标明“必须提供”的材料</w:t>
            </w:r>
            <w:r>
              <w:rPr>
                <w:rFonts w:hint="eastAsia" w:ascii="宋体" w:hAnsi="宋体" w:cs="宋体"/>
                <w:b/>
                <w:color w:val="auto"/>
                <w:szCs w:val="21"/>
              </w:rPr>
              <w:t>属于复印件的扫描件的</w:t>
            </w:r>
            <w:r>
              <w:rPr>
                <w:rFonts w:hint="eastAsia" w:ascii="宋体" w:hAnsi="宋体" w:cs="宋体"/>
                <w:b/>
                <w:bCs/>
                <w:color w:val="auto"/>
                <w:szCs w:val="21"/>
              </w:rPr>
              <w:t>，必须加盖投标人公章，否则</w:t>
            </w:r>
            <w:r>
              <w:rPr>
                <w:rFonts w:hint="eastAsia" w:ascii="宋体" w:hAnsi="宋体" w:cs="宋体"/>
                <w:b/>
                <w:color w:val="auto"/>
                <w:szCs w:val="21"/>
              </w:rPr>
              <w:t>作无效投标处理。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75" w:type="dxa"/>
            <w:tcBorders>
              <w:top w:val="nil"/>
              <w:left w:val="single" w:color="auto" w:sz="4" w:space="0"/>
              <w:bottom w:val="nil"/>
              <w:right w:val="single" w:color="auto" w:sz="4" w:space="0"/>
            </w:tcBorders>
            <w:vAlign w:val="center"/>
          </w:tcPr>
          <w:p>
            <w:pPr>
              <w:spacing w:line="380" w:lineRule="exact"/>
              <w:rPr>
                <w:rFonts w:ascii="宋体" w:hAnsi="宋体" w:cs="宋体"/>
                <w:color w:val="auto"/>
                <w:szCs w:val="21"/>
              </w:rPr>
            </w:pPr>
          </w:p>
        </w:tc>
        <w:tc>
          <w:tcPr>
            <w:tcW w:w="2268"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left"/>
              <w:rPr>
                <w:rFonts w:ascii="宋体" w:hAnsi="宋体" w:cs="宋体"/>
                <w:color w:val="auto"/>
                <w:szCs w:val="21"/>
              </w:rPr>
            </w:pPr>
            <w:bookmarkStart w:id="92" w:name="_13.3"/>
            <w:bookmarkEnd w:id="92"/>
            <w:r>
              <w:rPr>
                <w:rFonts w:hint="eastAsia" w:ascii="宋体" w:hAnsi="宋体" w:cs="宋体"/>
                <w:color w:val="auto"/>
                <w:szCs w:val="21"/>
              </w:rPr>
              <w:t>商务文件组成</w:t>
            </w:r>
          </w:p>
        </w:tc>
        <w:tc>
          <w:tcPr>
            <w:tcW w:w="7297"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left"/>
              <w:rPr>
                <w:rFonts w:ascii="宋体" w:hAnsi="宋体" w:cs="宋体"/>
                <w:color w:val="auto"/>
                <w:szCs w:val="21"/>
              </w:rPr>
            </w:pPr>
            <w:r>
              <w:rPr>
                <w:rFonts w:hint="eastAsia" w:ascii="宋体" w:hAnsi="宋体" w:cs="宋体"/>
                <w:color w:val="auto"/>
                <w:szCs w:val="21"/>
              </w:rPr>
              <w:t>1、无串通投标行为的承诺函（格式后附）；（</w:t>
            </w:r>
            <w:r>
              <w:rPr>
                <w:rFonts w:hint="eastAsia" w:ascii="宋体" w:hAnsi="宋体" w:cs="宋体"/>
                <w:b/>
                <w:color w:val="auto"/>
                <w:szCs w:val="21"/>
              </w:rPr>
              <w:t>必须提供，否则作无效投标处理</w:t>
            </w:r>
            <w:r>
              <w:rPr>
                <w:rFonts w:hint="eastAsia" w:ascii="宋体" w:hAnsi="宋体" w:cs="宋体"/>
                <w:color w:val="auto"/>
                <w:szCs w:val="21"/>
              </w:rPr>
              <w:t>）</w:t>
            </w:r>
          </w:p>
          <w:p>
            <w:pPr>
              <w:snapToGrid w:val="0"/>
              <w:spacing w:line="380" w:lineRule="exact"/>
              <w:jc w:val="left"/>
              <w:rPr>
                <w:rFonts w:ascii="宋体" w:hAnsi="宋体" w:cs="宋体"/>
                <w:color w:val="auto"/>
                <w:szCs w:val="21"/>
              </w:rPr>
            </w:pPr>
            <w:r>
              <w:rPr>
                <w:rFonts w:hint="eastAsia" w:ascii="宋体" w:hAnsi="宋体" w:cs="宋体"/>
                <w:color w:val="auto"/>
                <w:szCs w:val="21"/>
              </w:rPr>
              <w:t>2、法定代表人身份证明及法定代表人有效身份证正反面复印件（格式后附）；（</w:t>
            </w:r>
            <w:r>
              <w:rPr>
                <w:rFonts w:hint="eastAsia" w:ascii="宋体" w:hAnsi="宋体" w:cs="宋体"/>
                <w:b/>
                <w:bCs/>
                <w:color w:val="auto"/>
                <w:szCs w:val="21"/>
              </w:rPr>
              <w:t>除自然人投标外</w:t>
            </w:r>
            <w:r>
              <w:rPr>
                <w:rFonts w:hint="eastAsia" w:ascii="宋体" w:hAnsi="宋体" w:cs="宋体"/>
                <w:b/>
                <w:color w:val="auto"/>
                <w:szCs w:val="21"/>
              </w:rPr>
              <w:t>必须提供，否则作无效投标处理</w:t>
            </w:r>
            <w:r>
              <w:rPr>
                <w:rFonts w:hint="eastAsia" w:ascii="宋体" w:hAnsi="宋体" w:cs="宋体"/>
                <w:color w:val="auto"/>
                <w:szCs w:val="21"/>
              </w:rPr>
              <w:t>）</w:t>
            </w:r>
          </w:p>
          <w:p>
            <w:pPr>
              <w:snapToGrid w:val="0"/>
              <w:spacing w:line="380" w:lineRule="exact"/>
              <w:jc w:val="left"/>
              <w:rPr>
                <w:rFonts w:ascii="宋体" w:hAnsi="宋体" w:cs="宋体"/>
                <w:color w:val="auto"/>
                <w:szCs w:val="21"/>
              </w:rPr>
            </w:pPr>
            <w:r>
              <w:rPr>
                <w:rFonts w:hint="eastAsia" w:ascii="宋体" w:hAnsi="宋体" w:cs="宋体"/>
                <w:color w:val="auto"/>
                <w:szCs w:val="21"/>
              </w:rPr>
              <w:t>3、法定代表人授权委托书及委托代理人有效身份证正反面复印件（格式后附）；（</w:t>
            </w:r>
            <w:r>
              <w:rPr>
                <w:rFonts w:hint="eastAsia" w:ascii="宋体" w:hAnsi="宋体" w:cs="宋体"/>
                <w:b/>
                <w:color w:val="auto"/>
                <w:szCs w:val="21"/>
              </w:rPr>
              <w:t>委托时必须提供，否则作无效投标处理</w:t>
            </w:r>
            <w:r>
              <w:rPr>
                <w:rFonts w:hint="eastAsia" w:ascii="宋体" w:hAnsi="宋体" w:cs="宋体"/>
                <w:color w:val="auto"/>
                <w:szCs w:val="21"/>
              </w:rPr>
              <w:t>）</w:t>
            </w:r>
          </w:p>
          <w:p>
            <w:pPr>
              <w:snapToGrid w:val="0"/>
              <w:spacing w:line="380" w:lineRule="exact"/>
              <w:jc w:val="left"/>
              <w:rPr>
                <w:rFonts w:ascii="宋体" w:hAnsi="宋体" w:cs="宋体"/>
                <w:b/>
                <w:bCs/>
                <w:color w:val="auto"/>
                <w:szCs w:val="21"/>
              </w:rPr>
            </w:pPr>
            <w:r>
              <w:rPr>
                <w:rFonts w:hint="eastAsia" w:ascii="宋体" w:hAnsi="宋体" w:cs="宋体"/>
                <w:color w:val="auto"/>
                <w:szCs w:val="21"/>
              </w:rPr>
              <w:t>4、投标保证金提交凭证；</w:t>
            </w:r>
            <w:r>
              <w:rPr>
                <w:rFonts w:hint="eastAsia" w:ascii="宋体" w:hAnsi="宋体" w:cs="宋体"/>
                <w:b/>
                <w:bCs/>
                <w:color w:val="auto"/>
                <w:szCs w:val="21"/>
              </w:rPr>
              <w:t>（必须提供，否则作无效投标处理）</w:t>
            </w:r>
          </w:p>
          <w:p>
            <w:pPr>
              <w:snapToGrid w:val="0"/>
              <w:spacing w:line="380" w:lineRule="exact"/>
              <w:jc w:val="left"/>
              <w:rPr>
                <w:rFonts w:ascii="宋体" w:hAnsi="宋体" w:cs="宋体"/>
                <w:color w:val="auto"/>
                <w:szCs w:val="21"/>
              </w:rPr>
            </w:pPr>
            <w:r>
              <w:rPr>
                <w:rFonts w:hint="eastAsia" w:ascii="宋体" w:hAnsi="宋体" w:cs="宋体"/>
                <w:color w:val="auto"/>
                <w:szCs w:val="21"/>
              </w:rPr>
              <w:t>5、商务条款偏离表（格式后附）；（</w:t>
            </w:r>
            <w:r>
              <w:rPr>
                <w:rFonts w:hint="eastAsia" w:ascii="宋体" w:hAnsi="宋体" w:cs="宋体"/>
                <w:b/>
                <w:color w:val="auto"/>
                <w:szCs w:val="21"/>
              </w:rPr>
              <w:t>必须提供，否则作无效投标处理</w:t>
            </w:r>
            <w:r>
              <w:rPr>
                <w:rFonts w:hint="eastAsia" w:ascii="宋体" w:hAnsi="宋体" w:cs="宋体"/>
                <w:color w:val="auto"/>
                <w:szCs w:val="21"/>
              </w:rPr>
              <w:t>）</w:t>
            </w:r>
          </w:p>
          <w:p>
            <w:pPr>
              <w:snapToGrid w:val="0"/>
              <w:spacing w:line="380" w:lineRule="exact"/>
              <w:jc w:val="left"/>
              <w:rPr>
                <w:rFonts w:ascii="宋体" w:hAnsi="宋体" w:cs="宋体"/>
                <w:color w:val="auto"/>
                <w:szCs w:val="21"/>
              </w:rPr>
            </w:pPr>
            <w:r>
              <w:rPr>
                <w:rFonts w:hint="eastAsia" w:ascii="宋体" w:hAnsi="宋体" w:cs="宋体"/>
                <w:color w:val="auto"/>
                <w:szCs w:val="21"/>
              </w:rPr>
              <w:t>6、投标人情况介绍（格式自拟）；</w:t>
            </w:r>
            <w:r>
              <w:rPr>
                <w:rFonts w:hint="eastAsia" w:ascii="宋体" w:hAnsi="宋体"/>
                <w:color w:val="auto"/>
                <w:szCs w:val="21"/>
              </w:rPr>
              <w:t>（如有，请提供）</w:t>
            </w:r>
          </w:p>
          <w:p>
            <w:pPr>
              <w:snapToGrid w:val="0"/>
              <w:spacing w:line="380" w:lineRule="exact"/>
              <w:jc w:val="left"/>
              <w:rPr>
                <w:rFonts w:ascii="宋体" w:hAnsi="宋体" w:cs="宋体"/>
                <w:color w:val="auto"/>
                <w:szCs w:val="21"/>
              </w:rPr>
            </w:pPr>
            <w:r>
              <w:rPr>
                <w:rFonts w:hint="eastAsia" w:ascii="宋体" w:hAnsi="宋体" w:cs="宋体"/>
                <w:color w:val="auto"/>
                <w:szCs w:val="21"/>
              </w:rPr>
              <w:t>7、除招标文件规定必须提供以外，投标人认为需要提供的其他证明材料（格式自拟）。（投标人根据“第二章 采购需求”及“第四章 评标方法和评标标准”提供有关证明材料）。</w:t>
            </w:r>
            <w:r>
              <w:rPr>
                <w:rFonts w:hint="eastAsia" w:ascii="宋体" w:hAnsi="宋体"/>
                <w:color w:val="auto"/>
                <w:szCs w:val="21"/>
              </w:rPr>
              <w:t>（如有，请提供）</w:t>
            </w:r>
          </w:p>
          <w:p>
            <w:pPr>
              <w:snapToGrid w:val="0"/>
              <w:spacing w:line="380" w:lineRule="exact"/>
              <w:jc w:val="left"/>
              <w:rPr>
                <w:rFonts w:ascii="宋体" w:hAnsi="宋体" w:cs="宋体"/>
                <w:b/>
                <w:bCs/>
                <w:color w:val="auto"/>
                <w:szCs w:val="21"/>
              </w:rPr>
            </w:pPr>
            <w:r>
              <w:rPr>
                <w:rFonts w:hint="eastAsia" w:ascii="宋体" w:hAnsi="宋体" w:cs="宋体"/>
                <w:b/>
                <w:bCs/>
                <w:color w:val="auto"/>
                <w:szCs w:val="21"/>
              </w:rPr>
              <w:t>注： 1.法定代表人授权委托书必须由法定代表人及委托代理人签字，并加盖投标人公章，否则作无效投标处理。</w:t>
            </w:r>
          </w:p>
          <w:p>
            <w:pPr>
              <w:snapToGrid w:val="0"/>
              <w:spacing w:line="380" w:lineRule="exact"/>
              <w:ind w:firstLine="422" w:firstLineChars="200"/>
              <w:jc w:val="left"/>
              <w:rPr>
                <w:rFonts w:ascii="宋体" w:hAnsi="宋体" w:cs="宋体"/>
                <w:b/>
                <w:color w:val="auto"/>
                <w:szCs w:val="21"/>
              </w:rPr>
            </w:pPr>
            <w:r>
              <w:rPr>
                <w:rFonts w:hint="eastAsia" w:ascii="宋体" w:hAnsi="宋体" w:cs="宋体"/>
                <w:b/>
                <w:bCs/>
                <w:color w:val="auto"/>
                <w:szCs w:val="21"/>
              </w:rPr>
              <w:t>2.以上标明“必须提供”的材料</w:t>
            </w:r>
            <w:r>
              <w:rPr>
                <w:rFonts w:hint="eastAsia" w:ascii="宋体" w:hAnsi="宋体" w:cs="宋体"/>
                <w:b/>
                <w:color w:val="auto"/>
                <w:szCs w:val="21"/>
              </w:rPr>
              <w:t>属于复印件的扫描件的</w:t>
            </w:r>
            <w:r>
              <w:rPr>
                <w:rFonts w:hint="eastAsia" w:ascii="宋体" w:hAnsi="宋体" w:cs="宋体"/>
                <w:b/>
                <w:bCs/>
                <w:color w:val="auto"/>
                <w:szCs w:val="21"/>
              </w:rPr>
              <w:t>，必须加盖投标人公章，否则</w:t>
            </w:r>
            <w:r>
              <w:rPr>
                <w:rFonts w:hint="eastAsia" w:ascii="宋体" w:hAnsi="宋体" w:cs="宋体"/>
                <w:b/>
                <w:color w:val="auto"/>
                <w:szCs w:val="21"/>
              </w:rPr>
              <w:t>作无效投标处理</w:t>
            </w:r>
            <w:r>
              <w:rPr>
                <w:rFonts w:hint="eastAsia" w:ascii="宋体" w:hAnsi="宋体" w:cs="宋体"/>
                <w:b/>
                <w:bCs/>
                <w:color w:val="auto"/>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75" w:type="dxa"/>
            <w:vMerge w:val="restart"/>
            <w:tcBorders>
              <w:top w:val="nil"/>
              <w:left w:val="single" w:color="auto" w:sz="4" w:space="0"/>
              <w:bottom w:val="single" w:color="auto" w:sz="4" w:space="0"/>
              <w:right w:val="single" w:color="auto" w:sz="4" w:space="0"/>
            </w:tcBorders>
            <w:vAlign w:val="center"/>
          </w:tcPr>
          <w:p>
            <w:pPr>
              <w:spacing w:line="380" w:lineRule="exact"/>
              <w:rPr>
                <w:rFonts w:ascii="宋体" w:hAnsi="宋体" w:cs="宋体"/>
                <w:color w:val="auto"/>
                <w:szCs w:val="21"/>
              </w:rPr>
            </w:pPr>
          </w:p>
        </w:tc>
        <w:tc>
          <w:tcPr>
            <w:tcW w:w="2268"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left"/>
              <w:rPr>
                <w:rFonts w:ascii="宋体" w:hAnsi="宋体" w:cs="宋体"/>
                <w:color w:val="auto"/>
                <w:szCs w:val="21"/>
              </w:rPr>
            </w:pPr>
            <w:bookmarkStart w:id="93" w:name="_13.4"/>
            <w:bookmarkEnd w:id="93"/>
            <w:r>
              <w:rPr>
                <w:rFonts w:hint="eastAsia" w:ascii="宋体" w:hAnsi="宋体" w:cs="宋体"/>
                <w:color w:val="auto"/>
                <w:szCs w:val="21"/>
              </w:rPr>
              <w:t>技术文件组成</w:t>
            </w:r>
          </w:p>
        </w:tc>
        <w:tc>
          <w:tcPr>
            <w:tcW w:w="7297"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left"/>
              <w:rPr>
                <w:rFonts w:ascii="宋体" w:hAnsi="宋体" w:cs="宋体"/>
                <w:color w:val="auto"/>
                <w:szCs w:val="21"/>
              </w:rPr>
            </w:pPr>
            <w:r>
              <w:rPr>
                <w:rFonts w:hint="eastAsia" w:ascii="宋体" w:hAnsi="宋体" w:cs="宋体"/>
                <w:color w:val="auto"/>
                <w:szCs w:val="21"/>
              </w:rPr>
              <w:t>1、服务要求偏离表（格式后附）；（</w:t>
            </w:r>
            <w:r>
              <w:rPr>
                <w:rFonts w:hint="eastAsia" w:ascii="宋体" w:hAnsi="宋体" w:cs="宋体"/>
                <w:b/>
                <w:color w:val="auto"/>
                <w:szCs w:val="21"/>
              </w:rPr>
              <w:t>必须提供，否则作无效投标处理</w:t>
            </w:r>
            <w:r>
              <w:rPr>
                <w:rFonts w:hint="eastAsia" w:ascii="宋体" w:hAnsi="宋体" w:cs="宋体"/>
                <w:color w:val="auto"/>
                <w:szCs w:val="21"/>
              </w:rPr>
              <w:t>）</w:t>
            </w:r>
          </w:p>
          <w:p>
            <w:pPr>
              <w:snapToGrid w:val="0"/>
              <w:spacing w:line="380" w:lineRule="exact"/>
              <w:jc w:val="left"/>
              <w:rPr>
                <w:rFonts w:ascii="宋体" w:hAnsi="宋体" w:cs="宋体"/>
                <w:color w:val="auto"/>
                <w:szCs w:val="21"/>
              </w:rPr>
            </w:pPr>
            <w:r>
              <w:rPr>
                <w:rFonts w:hint="eastAsia" w:ascii="宋体" w:hAnsi="宋体" w:cs="宋体"/>
                <w:color w:val="auto"/>
                <w:szCs w:val="21"/>
              </w:rPr>
              <w:t>2、服务方案（格式自拟）；（</w:t>
            </w:r>
            <w:r>
              <w:rPr>
                <w:rFonts w:hint="eastAsia" w:ascii="宋体" w:hAnsi="宋体" w:cs="宋体"/>
                <w:b/>
                <w:bCs/>
                <w:color w:val="auto"/>
                <w:szCs w:val="21"/>
              </w:rPr>
              <w:t>必须提供，否则按无效投标处理</w:t>
            </w:r>
            <w:r>
              <w:rPr>
                <w:rFonts w:hint="eastAsia" w:ascii="宋体" w:hAnsi="宋体" w:cs="宋体"/>
                <w:color w:val="auto"/>
                <w:szCs w:val="21"/>
              </w:rPr>
              <w:t>）</w:t>
            </w:r>
          </w:p>
          <w:p>
            <w:pPr>
              <w:snapToGrid w:val="0"/>
              <w:spacing w:line="380" w:lineRule="exact"/>
              <w:jc w:val="left"/>
              <w:rPr>
                <w:rFonts w:ascii="宋体" w:hAnsi="宋体" w:cs="宋体"/>
                <w:color w:val="auto"/>
                <w:szCs w:val="21"/>
              </w:rPr>
            </w:pPr>
            <w:r>
              <w:rPr>
                <w:rFonts w:hint="eastAsia" w:ascii="宋体" w:hAnsi="宋体" w:cs="宋体"/>
                <w:color w:val="auto"/>
                <w:szCs w:val="21"/>
              </w:rPr>
              <w:t>3、项目实施人员一览表（格式</w:t>
            </w:r>
            <w:r>
              <w:rPr>
                <w:rFonts w:hint="eastAsia"/>
                <w:color w:val="auto"/>
                <w:szCs w:val="21"/>
              </w:rPr>
              <w:t>后附</w:t>
            </w:r>
            <w:r>
              <w:rPr>
                <w:rFonts w:hint="eastAsia" w:ascii="宋体" w:hAnsi="宋体" w:cs="宋体"/>
                <w:color w:val="auto"/>
                <w:szCs w:val="21"/>
              </w:rPr>
              <w:t>）；（</w:t>
            </w:r>
            <w:r>
              <w:rPr>
                <w:rFonts w:hint="eastAsia" w:ascii="宋体" w:hAnsi="宋体" w:cs="宋体"/>
                <w:b/>
                <w:bCs/>
                <w:color w:val="auto"/>
                <w:szCs w:val="21"/>
              </w:rPr>
              <w:t>必须提供，否则按无效投标处理</w:t>
            </w:r>
            <w:r>
              <w:rPr>
                <w:rFonts w:hint="eastAsia" w:ascii="宋体" w:hAnsi="宋体" w:cs="宋体"/>
                <w:color w:val="auto"/>
                <w:szCs w:val="21"/>
              </w:rPr>
              <w:t>）</w:t>
            </w:r>
          </w:p>
          <w:p>
            <w:pPr>
              <w:snapToGrid w:val="0"/>
              <w:spacing w:line="380" w:lineRule="exact"/>
              <w:jc w:val="left"/>
              <w:rPr>
                <w:rFonts w:ascii="宋体" w:hAnsi="宋体" w:cs="宋体"/>
                <w:bCs/>
                <w:color w:val="auto"/>
                <w:szCs w:val="21"/>
              </w:rPr>
            </w:pPr>
            <w:r>
              <w:rPr>
                <w:rFonts w:hint="eastAsia" w:ascii="宋体" w:hAnsi="宋体" w:cs="宋体"/>
                <w:color w:val="auto"/>
                <w:szCs w:val="21"/>
              </w:rPr>
              <w:t>4、除招标文件规定必须提供以外，投标人需要说明的其他文件和说明（格式自拟）。</w:t>
            </w:r>
            <w:r>
              <w:rPr>
                <w:rFonts w:hint="eastAsia" w:ascii="宋体" w:hAnsi="宋体"/>
                <w:color w:val="auto"/>
                <w:szCs w:val="21"/>
              </w:rPr>
              <w:t>（如有，请提供）</w:t>
            </w:r>
          </w:p>
          <w:p>
            <w:pPr>
              <w:snapToGrid w:val="0"/>
              <w:spacing w:line="380" w:lineRule="exact"/>
              <w:jc w:val="left"/>
              <w:rPr>
                <w:rFonts w:ascii="宋体" w:hAnsi="宋体" w:cs="宋体"/>
                <w:b/>
                <w:bCs/>
                <w:color w:val="auto"/>
                <w:szCs w:val="21"/>
              </w:rPr>
            </w:pPr>
            <w:r>
              <w:rPr>
                <w:rFonts w:hint="eastAsia" w:ascii="宋体" w:hAnsi="宋体" w:cs="宋体"/>
                <w:b/>
                <w:bCs/>
                <w:color w:val="auto"/>
                <w:szCs w:val="21"/>
              </w:rPr>
              <w:t>注：以上标明“必须提供”的材料</w:t>
            </w:r>
            <w:r>
              <w:rPr>
                <w:rFonts w:hint="eastAsia" w:ascii="宋体" w:hAnsi="宋体" w:cs="宋体"/>
                <w:b/>
                <w:color w:val="auto"/>
                <w:szCs w:val="21"/>
              </w:rPr>
              <w:t>属于复印件的扫描件的</w:t>
            </w:r>
            <w:r>
              <w:rPr>
                <w:rFonts w:hint="eastAsia" w:ascii="宋体" w:hAnsi="宋体" w:cs="宋体"/>
                <w:b/>
                <w:bCs/>
                <w:color w:val="auto"/>
                <w:szCs w:val="21"/>
              </w:rPr>
              <w:t>，必须加盖投标人公章，否则</w:t>
            </w:r>
            <w:r>
              <w:rPr>
                <w:rFonts w:hint="eastAsia" w:ascii="宋体" w:hAnsi="宋体" w:cs="宋体"/>
                <w:b/>
                <w:color w:val="auto"/>
                <w:szCs w:val="21"/>
              </w:rPr>
              <w:t>作无效投标处理</w:t>
            </w:r>
            <w:r>
              <w:rPr>
                <w:rFonts w:hint="eastAsia" w:ascii="宋体" w:hAnsi="宋体" w:cs="宋体"/>
                <w:b/>
                <w:bCs/>
                <w:color w:val="auto"/>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7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szCs w:val="21"/>
              </w:rPr>
            </w:pPr>
          </w:p>
        </w:tc>
        <w:tc>
          <w:tcPr>
            <w:tcW w:w="2268"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left"/>
              <w:rPr>
                <w:rFonts w:ascii="宋体" w:hAnsi="宋体" w:cs="宋体"/>
                <w:color w:val="auto"/>
                <w:szCs w:val="21"/>
              </w:rPr>
            </w:pPr>
            <w:r>
              <w:rPr>
                <w:rFonts w:hint="eastAsia" w:ascii="宋体" w:hAnsi="宋体" w:cs="宋体"/>
                <w:color w:val="auto"/>
                <w:szCs w:val="21"/>
              </w:rPr>
              <w:t>报价文件组成</w:t>
            </w:r>
          </w:p>
        </w:tc>
        <w:tc>
          <w:tcPr>
            <w:tcW w:w="7297" w:type="dxa"/>
            <w:tcBorders>
              <w:top w:val="single" w:color="auto" w:sz="4" w:space="0"/>
              <w:left w:val="single" w:color="auto" w:sz="4" w:space="0"/>
              <w:bottom w:val="single" w:color="auto" w:sz="4" w:space="0"/>
              <w:right w:val="single" w:color="auto" w:sz="4" w:space="0"/>
            </w:tcBorders>
            <w:vAlign w:val="center"/>
          </w:tcPr>
          <w:p>
            <w:pPr>
              <w:tabs>
                <w:tab w:val="left" w:pos="459"/>
              </w:tabs>
              <w:snapToGrid w:val="0"/>
              <w:spacing w:line="380" w:lineRule="exact"/>
              <w:jc w:val="left"/>
              <w:rPr>
                <w:rFonts w:ascii="宋体" w:hAnsi="宋体" w:cs="宋体"/>
                <w:color w:val="auto"/>
                <w:szCs w:val="21"/>
              </w:rPr>
            </w:pPr>
            <w:r>
              <w:rPr>
                <w:rFonts w:hint="eastAsia" w:ascii="宋体" w:hAnsi="宋体" w:cs="宋体"/>
                <w:color w:val="auto"/>
                <w:szCs w:val="21"/>
              </w:rPr>
              <w:t>1、投标函（格式后附）；</w:t>
            </w:r>
            <w:r>
              <w:rPr>
                <w:rFonts w:hint="eastAsia" w:ascii="宋体" w:hAnsi="宋体" w:cs="宋体"/>
                <w:bCs/>
                <w:color w:val="auto"/>
                <w:szCs w:val="21"/>
              </w:rPr>
              <w:t>（</w:t>
            </w:r>
            <w:r>
              <w:rPr>
                <w:rFonts w:hint="eastAsia" w:ascii="宋体" w:hAnsi="宋体" w:cs="宋体"/>
                <w:b/>
                <w:color w:val="auto"/>
                <w:szCs w:val="21"/>
              </w:rPr>
              <w:t>必须提供，否则作无效投标处理</w:t>
            </w:r>
            <w:r>
              <w:rPr>
                <w:rFonts w:hint="eastAsia" w:ascii="宋体" w:hAnsi="宋体" w:cs="宋体"/>
                <w:bCs/>
                <w:color w:val="auto"/>
                <w:szCs w:val="21"/>
              </w:rPr>
              <w:t>）</w:t>
            </w:r>
          </w:p>
          <w:p>
            <w:pPr>
              <w:tabs>
                <w:tab w:val="left" w:pos="459"/>
              </w:tabs>
              <w:snapToGrid w:val="0"/>
              <w:spacing w:line="380" w:lineRule="exact"/>
              <w:jc w:val="left"/>
              <w:rPr>
                <w:rFonts w:hint="eastAsia" w:ascii="宋体" w:hAnsi="宋体" w:cs="宋体"/>
                <w:color w:val="auto"/>
                <w:szCs w:val="21"/>
              </w:rPr>
            </w:pPr>
            <w:r>
              <w:rPr>
                <w:rFonts w:hint="eastAsia" w:ascii="宋体" w:hAnsi="宋体" w:cs="宋体"/>
                <w:color w:val="auto"/>
                <w:szCs w:val="21"/>
              </w:rPr>
              <w:t>2、开标一览表</w:t>
            </w:r>
            <w:r>
              <w:rPr>
                <w:rFonts w:hint="eastAsia"/>
                <w:color w:val="auto"/>
                <w:szCs w:val="21"/>
              </w:rPr>
              <w:t>（格式后附）</w:t>
            </w:r>
            <w:r>
              <w:rPr>
                <w:rFonts w:hint="eastAsia" w:ascii="宋体" w:hAnsi="宋体" w:cs="宋体"/>
                <w:color w:val="auto"/>
                <w:szCs w:val="21"/>
              </w:rPr>
              <w:t>；（</w:t>
            </w:r>
            <w:r>
              <w:rPr>
                <w:rFonts w:hint="eastAsia" w:ascii="宋体" w:hAnsi="宋体" w:cs="宋体"/>
                <w:b/>
                <w:color w:val="auto"/>
                <w:szCs w:val="21"/>
              </w:rPr>
              <w:t>必须提供，否则作无效投标处理</w:t>
            </w:r>
            <w:r>
              <w:rPr>
                <w:rFonts w:hint="eastAsia" w:ascii="宋体" w:hAnsi="宋体" w:cs="宋体"/>
                <w:color w:val="auto"/>
                <w:szCs w:val="21"/>
              </w:rPr>
              <w:t>）</w:t>
            </w:r>
          </w:p>
          <w:p>
            <w:pPr>
              <w:tabs>
                <w:tab w:val="left" w:pos="459"/>
              </w:tabs>
              <w:snapToGrid w:val="0"/>
              <w:spacing w:line="380" w:lineRule="exact"/>
              <w:jc w:val="left"/>
              <w:rPr>
                <w:rFonts w:hint="eastAsia" w:ascii="宋体" w:hAnsi="宋体" w:eastAsia="宋体" w:cs="宋体"/>
                <w:color w:val="auto"/>
                <w:szCs w:val="21"/>
              </w:rPr>
            </w:pPr>
            <w:r>
              <w:rPr>
                <w:rFonts w:hint="eastAsia" w:ascii="宋体" w:hAnsi="宋体" w:eastAsia="宋体" w:cs="宋体"/>
                <w:color w:val="auto"/>
                <w:szCs w:val="21"/>
                <w:lang w:val="en-US" w:eastAsia="zh-CN"/>
              </w:rPr>
              <w:t>3、</w:t>
            </w:r>
            <w:r>
              <w:rPr>
                <w:rFonts w:hint="eastAsia" w:ascii="宋体" w:hAnsi="宋体" w:eastAsia="宋体" w:cs="宋体"/>
                <w:color w:val="auto"/>
                <w:szCs w:val="21"/>
                <w:lang w:eastAsia="zh-CN"/>
              </w:rPr>
              <w:t>分项报价</w:t>
            </w:r>
            <w:r>
              <w:rPr>
                <w:rFonts w:hint="eastAsia" w:ascii="宋体" w:hAnsi="宋体" w:eastAsia="宋体" w:cs="宋体"/>
                <w:color w:val="auto"/>
                <w:szCs w:val="21"/>
              </w:rPr>
              <w:t>表</w:t>
            </w:r>
            <w:r>
              <w:rPr>
                <w:rFonts w:hint="eastAsia"/>
                <w:color w:val="auto"/>
                <w:szCs w:val="21"/>
              </w:rPr>
              <w:t>（格式后附）</w:t>
            </w:r>
            <w:r>
              <w:rPr>
                <w:rFonts w:hint="eastAsia" w:ascii="宋体" w:hAnsi="宋体" w:cs="宋体"/>
                <w:color w:val="auto"/>
                <w:szCs w:val="21"/>
              </w:rPr>
              <w:t>；（</w:t>
            </w:r>
            <w:r>
              <w:rPr>
                <w:rFonts w:hint="eastAsia" w:ascii="宋体" w:hAnsi="宋体" w:cs="宋体"/>
                <w:b/>
                <w:color w:val="auto"/>
                <w:szCs w:val="21"/>
              </w:rPr>
              <w:t>必须提供，否则作无效投标处理</w:t>
            </w:r>
            <w:r>
              <w:rPr>
                <w:rFonts w:hint="eastAsia" w:ascii="宋体" w:hAnsi="宋体" w:cs="宋体"/>
                <w:color w:val="auto"/>
                <w:szCs w:val="21"/>
              </w:rPr>
              <w:t>）</w:t>
            </w:r>
          </w:p>
          <w:p>
            <w:pPr>
              <w:tabs>
                <w:tab w:val="left" w:pos="459"/>
              </w:tabs>
              <w:snapToGrid w:val="0"/>
              <w:spacing w:line="380" w:lineRule="exact"/>
              <w:jc w:val="left"/>
              <w:rPr>
                <w:rFonts w:ascii="宋体" w:hAnsi="宋体" w:cs="宋体"/>
                <w:color w:val="auto"/>
                <w:szCs w:val="21"/>
              </w:rPr>
            </w:pPr>
            <w:r>
              <w:rPr>
                <w:rFonts w:hint="eastAsia" w:ascii="宋体" w:hAnsi="宋体" w:cs="宋体"/>
                <w:color w:val="auto"/>
                <w:szCs w:val="21"/>
                <w:lang w:val="en-US" w:eastAsia="zh-CN"/>
              </w:rPr>
              <w:t>4</w:t>
            </w:r>
            <w:r>
              <w:rPr>
                <w:rFonts w:hint="eastAsia" w:ascii="宋体" w:hAnsi="宋体" w:cs="宋体"/>
                <w:color w:val="auto"/>
                <w:szCs w:val="21"/>
              </w:rPr>
              <w:t>、投标人针对报价需要说明的其他文件和说明（格式自拟）。（如有，请提供）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auto"/>
                <w:szCs w:val="21"/>
              </w:rPr>
            </w:pPr>
            <w:r>
              <w:rPr>
                <w:rFonts w:hint="eastAsia" w:ascii="宋体" w:hAnsi="宋体" w:cs="宋体"/>
                <w:color w:val="auto"/>
                <w:szCs w:val="21"/>
              </w:rPr>
              <w:t>16.2</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auto"/>
                <w:szCs w:val="21"/>
              </w:rPr>
            </w:pPr>
            <w:bookmarkStart w:id="94" w:name="_16.2"/>
            <w:bookmarkEnd w:id="94"/>
            <w:r>
              <w:rPr>
                <w:rFonts w:hint="eastAsia" w:ascii="宋体" w:hAnsi="宋体" w:cs="宋体"/>
                <w:color w:val="auto"/>
                <w:szCs w:val="21"/>
              </w:rPr>
              <w:t>投标报价要求</w:t>
            </w:r>
          </w:p>
        </w:tc>
        <w:tc>
          <w:tcPr>
            <w:tcW w:w="729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color w:val="auto"/>
                <w:szCs w:val="21"/>
              </w:rPr>
            </w:pPr>
            <w:r>
              <w:rPr>
                <w:rFonts w:hint="eastAsia" w:ascii="宋体" w:hAnsi="宋体"/>
                <w:color w:val="auto"/>
                <w:szCs w:val="21"/>
              </w:rPr>
              <w:t>投标报价是履行合同的最终价格，必须包含投标货物（包括备品备件、专用工具等）的价格（包括已在中国境内的进口货物完税后的仓库交货价、展室交货价或者货架交货价）及其运输（含保险</w:t>
            </w:r>
            <w:r>
              <w:rPr>
                <w:rFonts w:hint="eastAsia" w:ascii="宋体" w:hAnsi="宋体"/>
                <w:color w:val="auto"/>
                <w:szCs w:val="21"/>
                <w:lang w:eastAsia="zh-CN"/>
              </w:rPr>
              <w:t>）</w:t>
            </w:r>
            <w:r>
              <w:rPr>
                <w:rFonts w:hint="eastAsia" w:ascii="宋体" w:hAnsi="宋体"/>
                <w:color w:val="auto"/>
                <w:szCs w:val="21"/>
              </w:rPr>
              <w:t>安装（如有</w:t>
            </w:r>
            <w:r>
              <w:rPr>
                <w:rFonts w:hint="eastAsia" w:ascii="宋体" w:hAnsi="宋体"/>
                <w:color w:val="auto"/>
                <w:szCs w:val="21"/>
                <w:lang w:eastAsia="zh-CN"/>
              </w:rPr>
              <w:t>）</w:t>
            </w:r>
            <w:r>
              <w:rPr>
                <w:rFonts w:hint="eastAsia" w:ascii="宋体" w:hAnsi="宋体"/>
                <w:color w:val="auto"/>
                <w:szCs w:val="21"/>
              </w:rPr>
              <w:t>调试、检验、技术服务、培训和招标文件要求提供的所有伴随服务、工程等费用和税费。</w:t>
            </w:r>
            <w:r>
              <w:rPr>
                <w:rFonts w:hint="eastAsia" w:ascii="宋体" w:hAnsi="宋体" w:cs="宋体"/>
                <w:color w:val="auto"/>
                <w:szCs w:val="21"/>
              </w:rPr>
              <w:t>（采购需求另有约定的，从其约定</w:t>
            </w:r>
          </w:p>
          <w:p>
            <w:pPr>
              <w:snapToGrid w:val="0"/>
              <w:spacing w:line="360" w:lineRule="auto"/>
              <w:rPr>
                <w:rFonts w:ascii="宋体" w:hAnsi="宋体" w:cs="宋体"/>
                <w:b/>
                <w:color w:val="auto"/>
                <w:szCs w:val="21"/>
              </w:rPr>
            </w:pPr>
            <w:r>
              <w:rPr>
                <w:rFonts w:hint="eastAsia" w:ascii="宋体" w:hAnsi="宋体" w:cs="宋体"/>
                <w:b/>
                <w:color w:val="auto"/>
                <w:szCs w:val="21"/>
              </w:rPr>
              <w:t>☑投标报价包含验收费用</w:t>
            </w:r>
          </w:p>
          <w:p>
            <w:pPr>
              <w:pStyle w:val="2"/>
              <w:rPr>
                <w:color w:val="auto"/>
              </w:rPr>
            </w:pPr>
            <w:r>
              <w:rPr>
                <w:rFonts w:hint="eastAsia" w:ascii="宋体" w:hAnsi="宋体" w:cs="宋体"/>
                <w:b/>
                <w:color w:val="auto"/>
                <w:sz w:val="21"/>
                <w:szCs w:val="21"/>
              </w:rPr>
              <w:t>□投标报价不包含验收费用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auto"/>
                <w:szCs w:val="21"/>
              </w:rPr>
            </w:pPr>
            <w:r>
              <w:rPr>
                <w:rFonts w:hint="eastAsia" w:ascii="宋体" w:hAnsi="宋体" w:cs="宋体"/>
                <w:color w:val="auto"/>
                <w:szCs w:val="21"/>
              </w:rPr>
              <w:t>17.2</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auto"/>
                <w:szCs w:val="21"/>
              </w:rPr>
            </w:pPr>
            <w:bookmarkStart w:id="95" w:name="_17.1"/>
            <w:bookmarkEnd w:id="95"/>
            <w:r>
              <w:rPr>
                <w:rFonts w:hint="eastAsia" w:ascii="宋体" w:hAnsi="宋体" w:cs="宋体"/>
                <w:color w:val="auto"/>
                <w:szCs w:val="21"/>
              </w:rPr>
              <w:t>投标有效期</w:t>
            </w:r>
          </w:p>
        </w:tc>
        <w:tc>
          <w:tcPr>
            <w:tcW w:w="7297"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rPr>
                <w:rFonts w:ascii="宋体" w:hAnsi="宋体" w:cs="宋体"/>
                <w:color w:val="auto"/>
                <w:szCs w:val="21"/>
              </w:rPr>
            </w:pPr>
            <w:r>
              <w:rPr>
                <w:rFonts w:hint="eastAsia" w:ascii="宋体" w:hAnsi="宋体" w:cs="宋体"/>
                <w:color w:val="auto"/>
                <w:szCs w:val="21"/>
              </w:rPr>
              <w:t>自投标截止之日起</w:t>
            </w:r>
            <w:r>
              <w:rPr>
                <w:rFonts w:hint="eastAsia" w:ascii="宋体" w:hAnsi="宋体" w:cs="宋体"/>
                <w:color w:val="auto"/>
                <w:szCs w:val="21"/>
                <w:u w:val="single"/>
              </w:rPr>
              <w:t xml:space="preserve"> 90</w:t>
            </w:r>
            <w:r>
              <w:rPr>
                <w:rFonts w:hint="eastAsia" w:ascii="宋体" w:hAnsi="宋体" w:cs="宋体"/>
                <w:color w:val="auto"/>
                <w:szCs w:val="21"/>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auto"/>
                <w:szCs w:val="21"/>
              </w:rPr>
            </w:pPr>
            <w:r>
              <w:rPr>
                <w:rFonts w:hint="eastAsia" w:ascii="宋体" w:hAnsi="宋体" w:cs="宋体"/>
                <w:color w:val="auto"/>
                <w:szCs w:val="21"/>
              </w:rPr>
              <w:t>18</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auto"/>
                <w:szCs w:val="21"/>
              </w:rPr>
            </w:pPr>
            <w:bookmarkStart w:id="96" w:name="_18"/>
            <w:bookmarkEnd w:id="96"/>
            <w:r>
              <w:rPr>
                <w:rFonts w:hint="eastAsia" w:ascii="宋体" w:hAnsi="宋体" w:cs="宋体"/>
                <w:color w:val="auto"/>
                <w:szCs w:val="21"/>
              </w:rPr>
              <w:t>投标保证金金额</w:t>
            </w:r>
          </w:p>
        </w:tc>
        <w:tc>
          <w:tcPr>
            <w:tcW w:w="7297"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ascii="宋体" w:hAnsi="宋体" w:cs="宋体"/>
                <w:b/>
                <w:bCs/>
                <w:color w:val="auto"/>
                <w:szCs w:val="21"/>
              </w:rPr>
            </w:pPr>
            <w:r>
              <w:rPr>
                <w:rFonts w:hint="eastAsia" w:ascii="宋体" w:hAnsi="宋体" w:cs="宋体"/>
                <w:b/>
                <w:bCs/>
                <w:color w:val="auto"/>
                <w:szCs w:val="21"/>
              </w:rPr>
              <w:t>□本项目不需要缴纳投标保证金。</w:t>
            </w:r>
          </w:p>
          <w:p>
            <w:pPr>
              <w:snapToGrid w:val="0"/>
              <w:spacing w:line="360" w:lineRule="auto"/>
              <w:rPr>
                <w:rFonts w:ascii="宋体" w:hAnsi="宋体" w:cs="宋体"/>
                <w:b/>
                <w:bCs/>
                <w:color w:val="auto"/>
                <w:szCs w:val="21"/>
              </w:rPr>
            </w:pPr>
            <w:r>
              <w:rPr>
                <w:rFonts w:hint="eastAsia" w:ascii="宋体" w:hAnsi="宋体" w:cs="宋体"/>
                <w:b/>
                <w:bCs/>
                <w:color w:val="auto"/>
                <w:szCs w:val="21"/>
              </w:rPr>
              <w:t>☑本项目需要缴纳投标保证金，相关要求如下：</w:t>
            </w:r>
          </w:p>
          <w:p>
            <w:pPr>
              <w:snapToGrid w:val="0"/>
              <w:spacing w:line="360" w:lineRule="auto"/>
              <w:rPr>
                <w:rFonts w:ascii="宋体" w:hAnsi="宋体" w:cs="宋体"/>
                <w:color w:val="auto"/>
                <w:szCs w:val="21"/>
              </w:rPr>
            </w:pPr>
            <w:r>
              <w:rPr>
                <w:rFonts w:hint="eastAsia" w:ascii="宋体" w:hAnsi="宋体" w:cs="宋体"/>
                <w:color w:val="auto"/>
                <w:szCs w:val="21"/>
              </w:rPr>
              <w:t>1.投标保证金的缴纳方式：详见招标公告</w:t>
            </w:r>
          </w:p>
          <w:p>
            <w:pPr>
              <w:snapToGrid w:val="0"/>
              <w:spacing w:line="360" w:lineRule="auto"/>
              <w:rPr>
                <w:rFonts w:ascii="宋体" w:hAnsi="宋体" w:cs="宋体"/>
                <w:color w:val="auto"/>
                <w:szCs w:val="21"/>
              </w:rPr>
            </w:pPr>
            <w:r>
              <w:rPr>
                <w:rFonts w:hint="eastAsia" w:ascii="宋体" w:hAnsi="宋体" w:cs="宋体"/>
                <w:color w:val="auto"/>
                <w:szCs w:val="21"/>
              </w:rPr>
              <w:t>2.投标保证金的金额：详见招标公告</w:t>
            </w:r>
          </w:p>
          <w:p>
            <w:pPr>
              <w:pStyle w:val="10"/>
              <w:spacing w:line="360" w:lineRule="auto"/>
              <w:rPr>
                <w:rFonts w:ascii="宋体" w:hAnsi="宋体" w:cs="宋体"/>
                <w:color w:val="auto"/>
                <w:szCs w:val="21"/>
              </w:rPr>
            </w:pPr>
            <w:r>
              <w:rPr>
                <w:rFonts w:hint="eastAsia" w:ascii="宋体" w:hAnsi="宋体" w:cs="宋体"/>
                <w:color w:val="auto"/>
                <w:szCs w:val="21"/>
              </w:rPr>
              <w:t>3.投标保证金采用银行转账缴纳方式的，在投标截止时间前交至采购代理机构指定账户并且到账，投标人应将银行转账底单的复印件作为投标保证金提交凭证，放置于商务文件中，</w:t>
            </w:r>
            <w:r>
              <w:rPr>
                <w:rFonts w:hint="eastAsia" w:ascii="宋体" w:hAnsi="宋体" w:cs="宋体"/>
                <w:b/>
                <w:color w:val="auto"/>
                <w:szCs w:val="21"/>
              </w:rPr>
              <w:t>否则作无效投标处理</w:t>
            </w:r>
            <w:r>
              <w:rPr>
                <w:rFonts w:hint="eastAsia" w:ascii="宋体" w:hAnsi="宋体" w:cs="宋体"/>
                <w:color w:val="auto"/>
                <w:szCs w:val="21"/>
              </w:rPr>
              <w:t>。</w:t>
            </w:r>
          </w:p>
          <w:p>
            <w:pPr>
              <w:snapToGrid w:val="0"/>
              <w:spacing w:line="360" w:lineRule="auto"/>
              <w:rPr>
                <w:rFonts w:ascii="宋体" w:hAnsi="宋体" w:cs="宋体"/>
                <w:color w:val="auto"/>
                <w:szCs w:val="21"/>
              </w:rPr>
            </w:pPr>
            <w:r>
              <w:rPr>
                <w:rFonts w:hint="eastAsia" w:ascii="宋体" w:hAnsi="宋体" w:cs="宋体"/>
                <w:color w:val="auto"/>
                <w:szCs w:val="21"/>
              </w:rPr>
              <w:t>4.投标保证金采用支票、汇票、本票或者金融机构、担保机构出具的保函等缴纳方式的，投标人应将支票、汇票、本票或者金融机构、担保机构出具的保函等的复印件作为投标保证金提交凭证，放置于商务文件中，</w:t>
            </w:r>
            <w:r>
              <w:rPr>
                <w:rFonts w:hint="eastAsia" w:ascii="宋体" w:hAnsi="宋体" w:cs="宋体"/>
                <w:b/>
                <w:color w:val="auto"/>
                <w:szCs w:val="21"/>
              </w:rPr>
              <w:t>否则作无效投标处理</w:t>
            </w:r>
            <w:r>
              <w:rPr>
                <w:rFonts w:hint="eastAsia" w:ascii="宋体" w:hAnsi="宋体" w:cs="宋体"/>
                <w:color w:val="auto"/>
                <w:szCs w:val="21"/>
              </w:rPr>
              <w:t>。投标人必须</w:t>
            </w:r>
            <w:r>
              <w:rPr>
                <w:rFonts w:hint="eastAsia" w:ascii="宋体" w:hAnsi="宋体" w:cs="宋体"/>
                <w:color w:val="auto"/>
                <w:kern w:val="0"/>
                <w:szCs w:val="21"/>
              </w:rPr>
              <w:t>在投标截止时间前</w:t>
            </w:r>
            <w:r>
              <w:rPr>
                <w:rFonts w:hint="eastAsia" w:ascii="宋体" w:hAnsi="宋体" w:cs="宋体"/>
                <w:color w:val="auto"/>
                <w:szCs w:val="21"/>
              </w:rPr>
              <w:t>将支票、汇票、本票或者金融、担保机构出具的保函等原件提交给采购代理机构，由采购代理机构向投标人出具回执，并妥善保管。</w:t>
            </w:r>
          </w:p>
          <w:p>
            <w:pPr>
              <w:snapToGrid w:val="0"/>
              <w:spacing w:line="360" w:lineRule="auto"/>
              <w:rPr>
                <w:rFonts w:ascii="宋体" w:hAnsi="宋体" w:cs="宋体"/>
                <w:color w:val="auto"/>
                <w:szCs w:val="21"/>
              </w:rPr>
            </w:pPr>
            <w:r>
              <w:rPr>
                <w:rFonts w:hint="eastAsia" w:ascii="宋体" w:hAnsi="宋体" w:cs="宋体"/>
                <w:color w:val="auto"/>
                <w:szCs w:val="21"/>
              </w:rPr>
              <w:t>5.缴纳投标保证金指定账户：详见招标公告。</w:t>
            </w:r>
          </w:p>
          <w:p>
            <w:pPr>
              <w:snapToGrid w:val="0"/>
              <w:spacing w:line="360" w:lineRule="auto"/>
              <w:rPr>
                <w:rFonts w:ascii="宋体" w:hAnsi="宋体" w:cs="宋体"/>
                <w:color w:val="auto"/>
                <w:szCs w:val="21"/>
              </w:rPr>
            </w:pPr>
            <w:r>
              <w:rPr>
                <w:rFonts w:hint="eastAsia" w:ascii="宋体" w:hAnsi="宋体" w:cs="宋体"/>
                <w:color w:val="auto"/>
                <w:szCs w:val="21"/>
              </w:rPr>
              <w:t>6.投标人为联合体的，可以由联合体中的一方或者多方共同缴纳投标保证金，其缴纳的投标保证金对联合体各方均具有约束力。</w:t>
            </w:r>
          </w:p>
          <w:p>
            <w:pPr>
              <w:snapToGrid w:val="0"/>
              <w:spacing w:line="360" w:lineRule="auto"/>
              <w:rPr>
                <w:rFonts w:ascii="宋体" w:hAnsi="宋体" w:cs="宋体"/>
                <w:b/>
                <w:color w:val="auto"/>
                <w:szCs w:val="21"/>
              </w:rPr>
            </w:pPr>
            <w:r>
              <w:rPr>
                <w:rFonts w:hint="eastAsia" w:ascii="宋体" w:hAnsi="宋体" w:cs="宋体"/>
                <w:b/>
                <w:color w:val="auto"/>
                <w:szCs w:val="21"/>
              </w:rPr>
              <w:t xml:space="preserve">备注： </w:t>
            </w:r>
          </w:p>
          <w:p>
            <w:pPr>
              <w:snapToGrid w:val="0"/>
              <w:spacing w:line="360" w:lineRule="auto"/>
              <w:rPr>
                <w:rFonts w:ascii="宋体" w:hAnsi="宋体" w:cs="宋体"/>
                <w:b/>
                <w:color w:val="auto"/>
                <w:szCs w:val="21"/>
              </w:rPr>
            </w:pPr>
            <w:r>
              <w:rPr>
                <w:rFonts w:hint="eastAsia" w:ascii="宋体" w:hAnsi="宋体" w:cs="宋体"/>
                <w:b/>
                <w:color w:val="auto"/>
                <w:szCs w:val="21"/>
              </w:rPr>
              <w:t>1. 投标保证金在投标截止时间后提交的，或者不按规定缴纳方式缴纳的，或者未足额缴纳的（包含保函额度不足的），视为无效投标保证金。</w:t>
            </w:r>
          </w:p>
          <w:p>
            <w:pPr>
              <w:snapToGrid w:val="0"/>
              <w:spacing w:line="360" w:lineRule="auto"/>
              <w:rPr>
                <w:rFonts w:ascii="宋体" w:hAnsi="宋体" w:cs="宋体"/>
                <w:b/>
                <w:color w:val="auto"/>
                <w:szCs w:val="21"/>
              </w:rPr>
            </w:pPr>
            <w:r>
              <w:rPr>
                <w:rFonts w:hint="eastAsia" w:ascii="宋体" w:hAnsi="宋体" w:cs="宋体"/>
                <w:b/>
                <w:color w:val="auto"/>
                <w:szCs w:val="21"/>
              </w:rPr>
              <w:t>2.投标人采用现金方式或者从个人账户（自然人投标除外）转出的投标保证金，视为无效投标保证金。</w:t>
            </w:r>
          </w:p>
          <w:p>
            <w:pPr>
              <w:snapToGrid w:val="0"/>
              <w:spacing w:line="360" w:lineRule="auto"/>
              <w:rPr>
                <w:rFonts w:ascii="宋体" w:hAnsi="宋体" w:cs="宋体"/>
                <w:b/>
                <w:color w:val="auto"/>
                <w:szCs w:val="21"/>
              </w:rPr>
            </w:pPr>
            <w:r>
              <w:rPr>
                <w:rFonts w:hint="eastAsia" w:ascii="宋体" w:hAnsi="宋体" w:cs="宋体"/>
                <w:b/>
                <w:color w:val="auto"/>
                <w:szCs w:val="21"/>
              </w:rPr>
              <w:t>3.支票、汇票或者本票出现无效或者背书情形的，视为无效投标保证金。</w:t>
            </w:r>
          </w:p>
          <w:p>
            <w:pPr>
              <w:snapToGrid w:val="0"/>
              <w:spacing w:line="360" w:lineRule="auto"/>
              <w:rPr>
                <w:rFonts w:ascii="宋体" w:hAnsi="宋体" w:cs="宋体"/>
                <w:b/>
                <w:color w:val="auto"/>
                <w:szCs w:val="21"/>
              </w:rPr>
            </w:pPr>
            <w:r>
              <w:rPr>
                <w:rFonts w:hint="eastAsia" w:ascii="宋体" w:hAnsi="宋体" w:cs="宋体"/>
                <w:b/>
                <w:color w:val="auto"/>
                <w:szCs w:val="21"/>
              </w:rPr>
              <w:t>4.保函有效期低于投标有效期的，视为无效投标保证金。</w:t>
            </w:r>
          </w:p>
          <w:p>
            <w:pPr>
              <w:snapToGrid w:val="0"/>
              <w:spacing w:line="360" w:lineRule="auto"/>
              <w:rPr>
                <w:rFonts w:ascii="宋体" w:hAnsi="宋体" w:cs="宋体"/>
                <w:color w:val="auto"/>
                <w:szCs w:val="21"/>
              </w:rPr>
            </w:pPr>
            <w:r>
              <w:rPr>
                <w:rFonts w:hint="eastAsia" w:ascii="宋体" w:hAnsi="宋体" w:cs="宋体"/>
                <w:b/>
                <w:color w:val="auto"/>
                <w:szCs w:val="21"/>
              </w:rPr>
              <w:t>5.采用金融、担保机构出具保函的，必须为无条件保函，否则视为无效投标保证金</w:t>
            </w:r>
            <w:r>
              <w:rPr>
                <w:rFonts w:hint="eastAsia" w:ascii="宋体" w:hAnsi="宋体" w:cs="宋体"/>
                <w:b/>
                <w:bCs/>
                <w:color w:val="auto"/>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auto"/>
                <w:szCs w:val="21"/>
              </w:rPr>
            </w:pPr>
            <w:r>
              <w:rPr>
                <w:rFonts w:hint="eastAsia" w:ascii="宋体" w:hAnsi="宋体" w:cs="宋体"/>
                <w:color w:val="auto"/>
                <w:szCs w:val="21"/>
              </w:rPr>
              <w:t>19.1</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auto"/>
                <w:szCs w:val="21"/>
              </w:rPr>
            </w:pPr>
            <w:r>
              <w:rPr>
                <w:rFonts w:hint="eastAsia" w:ascii="宋体" w:hAnsi="宋体" w:cs="宋体"/>
                <w:color w:val="auto"/>
                <w:szCs w:val="21"/>
              </w:rPr>
              <w:t>投标文件编制要求</w:t>
            </w:r>
          </w:p>
        </w:tc>
        <w:tc>
          <w:tcPr>
            <w:tcW w:w="729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b/>
                <w:color w:val="auto"/>
                <w:szCs w:val="21"/>
                <w:u w:val="single"/>
              </w:rPr>
            </w:pPr>
            <w:r>
              <w:rPr>
                <w:rFonts w:hint="eastAsia" w:ascii="宋体" w:hAnsi="宋体" w:cs="宋体"/>
                <w:color w:val="auto"/>
                <w:szCs w:val="21"/>
              </w:rPr>
              <w:t>投标文件应按报价文件、资格证明文件、商务文件、技术文件分别编制，报价文件、资格证明文件分别生成电子文件，商务文件和技术文件按顺序合并生成电子文件。</w:t>
            </w:r>
            <w:r>
              <w:rPr>
                <w:rFonts w:hint="eastAsia" w:ascii="宋体" w:hAnsi="宋体" w:cs="宋体"/>
                <w:b/>
                <w:bCs/>
                <w:color w:val="auto"/>
                <w:szCs w:val="21"/>
              </w:rPr>
              <w:t>（注：按照本招标文件“第六章 投标文件格式”编写，第六章未附格式的，由投标人自行拟定。）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auto"/>
                <w:szCs w:val="21"/>
              </w:rPr>
            </w:pPr>
            <w:r>
              <w:rPr>
                <w:rFonts w:hint="eastAsia" w:ascii="宋体" w:hAnsi="宋体" w:cs="宋体"/>
                <w:color w:val="auto"/>
                <w:szCs w:val="21"/>
              </w:rPr>
              <w:t>20</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auto"/>
                <w:szCs w:val="21"/>
              </w:rPr>
            </w:pPr>
            <w:r>
              <w:rPr>
                <w:rFonts w:hint="eastAsia" w:ascii="宋体" w:hAnsi="宋体" w:cs="宋体"/>
                <w:color w:val="auto"/>
                <w:szCs w:val="21"/>
              </w:rPr>
              <w:t>备份投标文件</w:t>
            </w:r>
          </w:p>
        </w:tc>
        <w:tc>
          <w:tcPr>
            <w:tcW w:w="7297"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80" w:lineRule="exact"/>
              <w:textAlignment w:val="bottom"/>
              <w:rPr>
                <w:rFonts w:ascii="宋体" w:hAnsi="宋体" w:cs="宋体"/>
                <w:color w:val="auto"/>
                <w:szCs w:val="21"/>
              </w:rPr>
            </w:pPr>
            <w:r>
              <w:rPr>
                <w:rFonts w:hint="eastAsia" w:ascii="宋体" w:hAnsi="宋体" w:cs="宋体"/>
                <w:color w:val="auto"/>
                <w:szCs w:val="21"/>
              </w:rPr>
              <w:t>本项目不接受备份投标文件。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7" w:hRule="atLeast"/>
          <w:jc w:val="center"/>
        </w:trPr>
        <w:tc>
          <w:tcPr>
            <w:tcW w:w="675" w:type="dxa"/>
            <w:vMerge w:val="restart"/>
            <w:tcBorders>
              <w:top w:val="single" w:color="auto" w:sz="4" w:space="0"/>
              <w:left w:val="single" w:color="auto" w:sz="4" w:space="0"/>
              <w:bottom w:val="nil"/>
              <w:right w:val="single" w:color="auto" w:sz="4" w:space="0"/>
            </w:tcBorders>
            <w:vAlign w:val="center"/>
          </w:tcPr>
          <w:p>
            <w:pPr>
              <w:spacing w:line="380" w:lineRule="exact"/>
              <w:rPr>
                <w:rFonts w:ascii="宋体" w:hAnsi="宋体" w:cs="宋体"/>
                <w:color w:val="auto"/>
                <w:szCs w:val="21"/>
              </w:rPr>
            </w:pPr>
            <w:r>
              <w:rPr>
                <w:rFonts w:hint="eastAsia" w:ascii="宋体" w:hAnsi="宋体" w:cs="宋体"/>
                <w:color w:val="auto"/>
                <w:szCs w:val="21"/>
              </w:rPr>
              <w:t>21.1</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auto"/>
                <w:szCs w:val="21"/>
              </w:rPr>
            </w:pPr>
            <w:bookmarkStart w:id="97" w:name="_21.1"/>
            <w:bookmarkEnd w:id="97"/>
            <w:r>
              <w:rPr>
                <w:rFonts w:hint="eastAsia" w:ascii="宋体" w:hAnsi="宋体" w:cs="宋体"/>
                <w:color w:val="auto"/>
                <w:szCs w:val="21"/>
              </w:rPr>
              <w:t>投标截止时间</w:t>
            </w:r>
          </w:p>
        </w:tc>
        <w:tc>
          <w:tcPr>
            <w:tcW w:w="7297"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rPr>
                <w:rFonts w:ascii="宋体" w:hAnsi="宋体" w:cs="宋体"/>
                <w:color w:val="auto"/>
                <w:szCs w:val="21"/>
                <w:u w:val="single"/>
              </w:rPr>
            </w:pPr>
            <w:r>
              <w:rPr>
                <w:rFonts w:hint="eastAsia" w:ascii="宋体" w:hAnsi="宋体" w:cs="宋体"/>
                <w:color w:val="auto"/>
                <w:szCs w:val="21"/>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5" w:hRule="atLeast"/>
          <w:jc w:val="center"/>
        </w:trPr>
        <w:tc>
          <w:tcPr>
            <w:tcW w:w="675"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color w:val="auto"/>
                <w:szCs w:val="21"/>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auto"/>
                <w:szCs w:val="21"/>
              </w:rPr>
            </w:pPr>
            <w:r>
              <w:rPr>
                <w:rFonts w:hint="eastAsia" w:ascii="宋体" w:hAnsi="宋体" w:cs="宋体"/>
                <w:color w:val="auto"/>
                <w:szCs w:val="21"/>
              </w:rPr>
              <w:t>投标地点</w:t>
            </w:r>
          </w:p>
        </w:tc>
        <w:tc>
          <w:tcPr>
            <w:tcW w:w="7297"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rPr>
                <w:rFonts w:ascii="宋体" w:hAnsi="宋体" w:cs="宋体"/>
                <w:color w:val="auto"/>
                <w:szCs w:val="21"/>
              </w:rPr>
            </w:pPr>
            <w:r>
              <w:rPr>
                <w:rFonts w:hint="eastAsia" w:ascii="宋体" w:hAnsi="宋体" w:cs="宋体"/>
                <w:color w:val="auto"/>
                <w:szCs w:val="21"/>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5" w:hRule="atLeast"/>
          <w:jc w:val="center"/>
        </w:trPr>
        <w:tc>
          <w:tcPr>
            <w:tcW w:w="675"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color w:val="auto"/>
                <w:szCs w:val="21"/>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auto"/>
                <w:szCs w:val="21"/>
              </w:rPr>
            </w:pPr>
            <w:r>
              <w:rPr>
                <w:rFonts w:hint="eastAsia" w:ascii="宋体" w:hAnsi="宋体" w:cs="宋体"/>
                <w:color w:val="auto"/>
                <w:szCs w:val="21"/>
              </w:rPr>
              <w:t>投标人递交投标样品截止时间及地点</w:t>
            </w:r>
          </w:p>
        </w:tc>
        <w:tc>
          <w:tcPr>
            <w:tcW w:w="7297"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rPr>
                <w:rFonts w:ascii="宋体" w:hAnsi="宋体" w:cs="宋体"/>
                <w:color w:val="auto"/>
                <w:szCs w:val="21"/>
              </w:rPr>
            </w:pPr>
            <w:r>
              <w:rPr>
                <w:rFonts w:hint="eastAsia" w:ascii="宋体" w:hAnsi="宋体"/>
                <w:bCs/>
                <w:color w:val="auto"/>
                <w:szCs w:val="21"/>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auto"/>
                <w:szCs w:val="21"/>
              </w:rPr>
            </w:pPr>
            <w:r>
              <w:rPr>
                <w:rFonts w:hint="eastAsia" w:ascii="宋体" w:hAnsi="宋体" w:cs="宋体"/>
                <w:color w:val="auto"/>
                <w:szCs w:val="21"/>
              </w:rPr>
              <w:t>23</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auto"/>
                <w:szCs w:val="21"/>
              </w:rPr>
            </w:pPr>
            <w:bookmarkStart w:id="98" w:name="_23"/>
            <w:bookmarkEnd w:id="98"/>
            <w:r>
              <w:rPr>
                <w:rFonts w:hint="eastAsia" w:ascii="宋体" w:hAnsi="宋体" w:cs="宋体"/>
                <w:color w:val="auto"/>
                <w:szCs w:val="21"/>
              </w:rPr>
              <w:t>开标时间、地点</w:t>
            </w:r>
          </w:p>
        </w:tc>
        <w:tc>
          <w:tcPr>
            <w:tcW w:w="7297"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rPr>
                <w:rFonts w:ascii="宋体" w:hAnsi="宋体" w:cs="宋体"/>
                <w:color w:val="auto"/>
                <w:szCs w:val="21"/>
              </w:rPr>
            </w:pPr>
            <w:r>
              <w:rPr>
                <w:rFonts w:hint="eastAsia" w:ascii="宋体" w:hAnsi="宋体" w:cs="宋体"/>
                <w:color w:val="auto"/>
                <w:szCs w:val="21"/>
              </w:rPr>
              <w:t xml:space="preserve">详见招标公告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287" w:hRule="atLeast"/>
          <w:jc w:val="center"/>
        </w:trPr>
        <w:tc>
          <w:tcPr>
            <w:tcW w:w="675"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auto"/>
                <w:szCs w:val="21"/>
              </w:rPr>
            </w:pPr>
            <w:r>
              <w:rPr>
                <w:rFonts w:hint="eastAsia" w:ascii="宋体" w:hAnsi="宋体" w:cs="宋体"/>
                <w:color w:val="auto"/>
                <w:szCs w:val="21"/>
              </w:rPr>
              <w:t>25.3（2）</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auto"/>
                <w:szCs w:val="21"/>
              </w:rPr>
            </w:pPr>
            <w:bookmarkStart w:id="99" w:name="_25.3"/>
            <w:bookmarkEnd w:id="99"/>
            <w:r>
              <w:rPr>
                <w:rFonts w:hint="eastAsia" w:ascii="宋体" w:hAnsi="宋体" w:cs="宋体"/>
                <w:color w:val="auto"/>
                <w:szCs w:val="21"/>
              </w:rPr>
              <w:t>投标人信用查询渠道</w:t>
            </w:r>
          </w:p>
        </w:tc>
        <w:tc>
          <w:tcPr>
            <w:tcW w:w="7297"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rPr>
                <w:rFonts w:ascii="宋体" w:hAnsi="宋体" w:cs="宋体"/>
                <w:color w:val="auto"/>
                <w:szCs w:val="21"/>
              </w:rPr>
            </w:pPr>
            <w:r>
              <w:rPr>
                <w:rFonts w:hint="eastAsia" w:ascii="宋体" w:hAnsi="宋体" w:cs="宋体"/>
                <w:color w:val="auto"/>
                <w:szCs w:val="21"/>
              </w:rPr>
              <w:t>采购人或者采购代理机构在资格审查结束前，对投标人进行信用查询。</w:t>
            </w:r>
          </w:p>
          <w:p>
            <w:pPr>
              <w:snapToGrid w:val="0"/>
              <w:spacing w:line="380" w:lineRule="exact"/>
              <w:rPr>
                <w:rFonts w:ascii="宋体" w:hAnsi="宋体" w:cs="宋体"/>
                <w:color w:val="auto"/>
                <w:szCs w:val="21"/>
              </w:rPr>
            </w:pPr>
            <w:r>
              <w:rPr>
                <w:rFonts w:hint="eastAsia" w:ascii="宋体" w:hAnsi="宋体" w:cs="宋体"/>
                <w:color w:val="auto"/>
                <w:szCs w:val="21"/>
              </w:rPr>
              <w:t>查询渠道：“信用中国”网站(www.creditchina.gov.cn) 、中国政府采购网(www.ccgp.gov.cn)。</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7" w:hRule="atLeast"/>
          <w:jc w:val="center"/>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Cs w:val="21"/>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auto"/>
                <w:szCs w:val="21"/>
              </w:rPr>
            </w:pPr>
            <w:r>
              <w:rPr>
                <w:rFonts w:hint="eastAsia" w:ascii="宋体" w:hAnsi="宋体" w:cs="宋体"/>
                <w:color w:val="auto"/>
                <w:szCs w:val="21"/>
              </w:rPr>
              <w:t>信用查询截止时点</w:t>
            </w:r>
          </w:p>
        </w:tc>
        <w:tc>
          <w:tcPr>
            <w:tcW w:w="7297"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rPr>
                <w:rFonts w:ascii="宋体" w:hAnsi="宋体" w:cs="宋体"/>
                <w:color w:val="auto"/>
                <w:szCs w:val="21"/>
              </w:rPr>
            </w:pPr>
            <w:r>
              <w:rPr>
                <w:rFonts w:hint="eastAsia" w:ascii="宋体" w:hAnsi="宋体" w:cs="宋体"/>
                <w:color w:val="auto"/>
                <w:szCs w:val="21"/>
              </w:rPr>
              <w:t>资格审查结束前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08" w:hRule="atLeast"/>
          <w:jc w:val="center"/>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Cs w:val="21"/>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auto"/>
                <w:szCs w:val="21"/>
              </w:rPr>
            </w:pPr>
            <w:r>
              <w:rPr>
                <w:rFonts w:hint="eastAsia" w:ascii="宋体" w:hAnsi="宋体" w:cs="宋体"/>
                <w:color w:val="auto"/>
                <w:szCs w:val="21"/>
              </w:rPr>
              <w:t>查询记录和证据留存方式</w:t>
            </w:r>
          </w:p>
        </w:tc>
        <w:tc>
          <w:tcPr>
            <w:tcW w:w="7297"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rPr>
                <w:rFonts w:ascii="宋体" w:hAnsi="宋体" w:cs="宋体"/>
                <w:color w:val="auto"/>
                <w:szCs w:val="21"/>
              </w:rPr>
            </w:pPr>
            <w:r>
              <w:rPr>
                <w:rFonts w:hint="eastAsia" w:ascii="宋体" w:hAnsi="宋体" w:cs="宋体"/>
                <w:color w:val="auto"/>
                <w:szCs w:val="21"/>
              </w:rPr>
              <w:t>在查询网站中直接截图查询记录，截图作为在“政采云”平台作为附件上传保存。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jc w:val="center"/>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Cs w:val="21"/>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auto"/>
                <w:szCs w:val="21"/>
              </w:rPr>
            </w:pPr>
            <w:r>
              <w:rPr>
                <w:rFonts w:hint="eastAsia" w:ascii="宋体" w:hAnsi="宋体" w:cs="宋体"/>
                <w:color w:val="auto"/>
                <w:szCs w:val="21"/>
              </w:rPr>
              <w:t>信用信息使用规则</w:t>
            </w:r>
          </w:p>
        </w:tc>
        <w:tc>
          <w:tcPr>
            <w:tcW w:w="7297"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rPr>
                <w:rFonts w:ascii="宋体" w:hAnsi="宋体" w:cs="宋体"/>
                <w:color w:val="auto"/>
                <w:szCs w:val="21"/>
              </w:rPr>
            </w:pPr>
            <w:r>
              <w:rPr>
                <w:rFonts w:hint="eastAsia" w:ascii="宋体" w:hAnsi="宋体" w:cs="宋体"/>
                <w:color w:val="auto"/>
                <w:szCs w:val="21"/>
              </w:rPr>
              <w:t>对在“信用中国”网站(www.creditchina.gov.cn) 、中国政府采购网(www.ccgp.gov.cn)被列入失信被执行人、重大税收违法失信主体、政府采购严重违法失信行为记录名单及其他不符合《中华人民共和国政府采购法》第二十二条规定条件的供应商，采购人或者采购代理机构应当拒绝其参与政府采购活动。两个以上的自然人、法人或者其他组织组成一个联合体，以一个供应商的身份共同参加政府采购活动的，应当对所有联合体成员进行信用记录查询，联合体成员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auto"/>
                <w:szCs w:val="21"/>
              </w:rPr>
            </w:pPr>
            <w:r>
              <w:rPr>
                <w:rFonts w:hint="eastAsia" w:ascii="宋体" w:hAnsi="宋体" w:cs="宋体"/>
                <w:color w:val="auto"/>
                <w:szCs w:val="21"/>
              </w:rPr>
              <w:t>29.1</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auto"/>
                <w:szCs w:val="21"/>
              </w:rPr>
            </w:pPr>
            <w:bookmarkStart w:id="100" w:name="_28.3"/>
            <w:bookmarkEnd w:id="100"/>
            <w:bookmarkStart w:id="101" w:name="_26"/>
            <w:bookmarkEnd w:id="101"/>
            <w:r>
              <w:rPr>
                <w:rFonts w:hint="eastAsia" w:ascii="宋体" w:hAnsi="宋体" w:cs="宋体"/>
                <w:color w:val="auto"/>
                <w:szCs w:val="21"/>
              </w:rPr>
              <w:t>评标方法</w:t>
            </w:r>
          </w:p>
        </w:tc>
        <w:tc>
          <w:tcPr>
            <w:tcW w:w="7297"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80" w:lineRule="exact"/>
              <w:textAlignment w:val="bottom"/>
              <w:rPr>
                <w:rFonts w:ascii="宋体" w:hAnsi="宋体" w:cs="宋体"/>
                <w:color w:val="auto"/>
                <w:szCs w:val="21"/>
              </w:rPr>
            </w:pPr>
            <w:r>
              <w:rPr>
                <w:rFonts w:hint="eastAsia" w:ascii="宋体" w:hAnsi="宋体" w:cs="宋体"/>
                <w:color w:val="auto"/>
                <w:szCs w:val="21"/>
                <w:lang w:eastAsia="zh-CN"/>
              </w:rPr>
              <w:t>☑</w:t>
            </w:r>
            <w:r>
              <w:rPr>
                <w:rFonts w:hint="eastAsia" w:ascii="宋体" w:hAnsi="宋体" w:cs="宋体"/>
                <w:color w:val="auto"/>
                <w:szCs w:val="21"/>
              </w:rPr>
              <w:t>综合评分法</w:t>
            </w:r>
          </w:p>
          <w:p>
            <w:pPr>
              <w:autoSpaceDE w:val="0"/>
              <w:autoSpaceDN w:val="0"/>
              <w:snapToGrid w:val="0"/>
              <w:spacing w:line="380" w:lineRule="exact"/>
              <w:textAlignment w:val="bottom"/>
              <w:rPr>
                <w:rFonts w:ascii="宋体" w:hAnsi="宋体" w:cs="宋体"/>
                <w:color w:val="auto"/>
                <w:szCs w:val="21"/>
              </w:rPr>
            </w:pPr>
            <w:r>
              <w:rPr>
                <w:rFonts w:hint="eastAsia" w:ascii="宋体" w:hAnsi="宋体" w:cs="宋体"/>
                <w:color w:val="auto"/>
                <w:szCs w:val="21"/>
                <w:lang w:eastAsia="zh-CN"/>
              </w:rPr>
              <w:t>□</w:t>
            </w:r>
            <w:r>
              <w:rPr>
                <w:rFonts w:hint="eastAsia" w:ascii="宋体" w:hAnsi="宋体" w:cs="宋体"/>
                <w:color w:val="auto"/>
                <w:szCs w:val="21"/>
              </w:rPr>
              <w:t>最低评标价法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5" w:hRule="atLeast"/>
          <w:jc w:val="center"/>
        </w:trPr>
        <w:tc>
          <w:tcPr>
            <w:tcW w:w="675" w:type="dxa"/>
            <w:tcBorders>
              <w:top w:val="single" w:color="auto" w:sz="4" w:space="0"/>
              <w:left w:val="single" w:color="auto" w:sz="4" w:space="0"/>
              <w:bottom w:val="nil"/>
              <w:right w:val="single" w:color="auto" w:sz="4" w:space="0"/>
            </w:tcBorders>
            <w:vAlign w:val="center"/>
          </w:tcPr>
          <w:p>
            <w:pPr>
              <w:spacing w:line="380" w:lineRule="exact"/>
              <w:rPr>
                <w:rFonts w:ascii="宋体" w:hAnsi="宋体" w:cs="宋体"/>
                <w:color w:val="auto"/>
                <w:szCs w:val="21"/>
              </w:rPr>
            </w:pPr>
            <w:r>
              <w:rPr>
                <w:rFonts w:hint="eastAsia" w:ascii="宋体" w:hAnsi="宋体" w:cs="宋体"/>
                <w:color w:val="auto"/>
                <w:szCs w:val="21"/>
              </w:rPr>
              <w:t>29.2</w:t>
            </w:r>
          </w:p>
        </w:tc>
        <w:tc>
          <w:tcPr>
            <w:tcW w:w="2268" w:type="dxa"/>
            <w:tcBorders>
              <w:top w:val="single" w:color="auto" w:sz="4" w:space="0"/>
              <w:left w:val="single" w:color="auto" w:sz="4" w:space="0"/>
              <w:bottom w:val="nil"/>
              <w:right w:val="single" w:color="auto" w:sz="4" w:space="0"/>
            </w:tcBorders>
            <w:vAlign w:val="center"/>
          </w:tcPr>
          <w:p>
            <w:pPr>
              <w:spacing w:line="380" w:lineRule="exact"/>
              <w:rPr>
                <w:rFonts w:ascii="宋体" w:hAnsi="宋体" w:cs="宋体"/>
                <w:color w:val="auto"/>
                <w:szCs w:val="21"/>
              </w:rPr>
            </w:pPr>
            <w:bookmarkStart w:id="102" w:name="_29.2.2（2）"/>
            <w:bookmarkEnd w:id="102"/>
            <w:r>
              <w:rPr>
                <w:rFonts w:hint="eastAsia" w:ascii="宋体" w:hAnsi="宋体" w:cs="宋体"/>
                <w:color w:val="auto"/>
                <w:szCs w:val="21"/>
              </w:rPr>
              <w:t>允许负偏离项</w:t>
            </w:r>
          </w:p>
        </w:tc>
        <w:tc>
          <w:tcPr>
            <w:tcW w:w="7297" w:type="dxa"/>
            <w:tcBorders>
              <w:top w:val="single" w:color="auto" w:sz="4" w:space="0"/>
              <w:left w:val="single" w:color="auto" w:sz="4" w:space="0"/>
              <w:bottom w:val="nil"/>
              <w:right w:val="single" w:color="auto" w:sz="4" w:space="0"/>
            </w:tcBorders>
            <w:vAlign w:val="center"/>
          </w:tcPr>
          <w:p>
            <w:pPr>
              <w:snapToGrid w:val="0"/>
              <w:spacing w:line="380" w:lineRule="exact"/>
              <w:rPr>
                <w:rFonts w:ascii="宋体" w:hAnsi="宋体" w:cs="宋体"/>
                <w:color w:val="auto"/>
                <w:szCs w:val="21"/>
              </w:rPr>
            </w:pPr>
            <w:r>
              <w:rPr>
                <w:rFonts w:hint="eastAsia" w:ascii="宋体" w:hAnsi="宋体" w:cs="宋体"/>
                <w:color w:val="auto"/>
                <w:szCs w:val="21"/>
              </w:rPr>
              <w:t>商务条款评审中允许负偏离的条款数为</w:t>
            </w:r>
            <w:r>
              <w:rPr>
                <w:rFonts w:hint="eastAsia" w:ascii="宋体" w:hAnsi="宋体" w:cs="宋体"/>
                <w:color w:val="auto"/>
                <w:szCs w:val="21"/>
                <w:u w:val="single"/>
                <w:lang w:val="en-US" w:eastAsia="zh-CN"/>
              </w:rPr>
              <w:t xml:space="preserve">  0  </w:t>
            </w:r>
            <w:r>
              <w:rPr>
                <w:rFonts w:hint="eastAsia" w:ascii="宋体" w:hAnsi="宋体" w:cs="宋体"/>
                <w:color w:val="auto"/>
                <w:szCs w:val="21"/>
              </w:rPr>
              <w:t>项。</w:t>
            </w:r>
          </w:p>
          <w:p>
            <w:pPr>
              <w:snapToGrid w:val="0"/>
              <w:spacing w:line="380" w:lineRule="exact"/>
              <w:rPr>
                <w:rFonts w:ascii="宋体" w:hAnsi="宋体" w:cs="宋体"/>
                <w:color w:val="auto"/>
                <w:szCs w:val="21"/>
              </w:rPr>
            </w:pPr>
            <w:r>
              <w:rPr>
                <w:rFonts w:hint="eastAsia" w:ascii="宋体" w:hAnsi="宋体" w:cs="宋体"/>
                <w:color w:val="auto"/>
                <w:szCs w:val="21"/>
              </w:rPr>
              <w:t>技术需求评审中允许负偏离的条款数为</w:t>
            </w:r>
            <w:r>
              <w:rPr>
                <w:rFonts w:hint="eastAsia" w:ascii="宋体" w:hAnsi="宋体" w:cs="宋体"/>
                <w:color w:val="auto"/>
                <w:szCs w:val="21"/>
                <w:u w:val="single"/>
                <w:lang w:val="en-US" w:eastAsia="zh-CN"/>
              </w:rPr>
              <w:t xml:space="preserve">  0  </w:t>
            </w:r>
            <w:r>
              <w:rPr>
                <w:rFonts w:hint="eastAsia" w:ascii="宋体" w:hAnsi="宋体" w:cs="宋体"/>
                <w:color w:val="auto"/>
                <w:szCs w:val="21"/>
              </w:rPr>
              <w:t>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auto"/>
                <w:szCs w:val="21"/>
              </w:rPr>
            </w:pPr>
            <w:r>
              <w:rPr>
                <w:rFonts w:hint="eastAsia" w:ascii="宋体" w:hAnsi="宋体" w:cs="宋体"/>
                <w:color w:val="auto"/>
                <w:szCs w:val="21"/>
              </w:rPr>
              <w:t>30.1</w:t>
            </w:r>
          </w:p>
        </w:tc>
        <w:tc>
          <w:tcPr>
            <w:tcW w:w="2268"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80" w:lineRule="exact"/>
              <w:textAlignment w:val="bottom"/>
              <w:rPr>
                <w:rFonts w:ascii="宋体" w:hAnsi="宋体" w:cs="宋体"/>
                <w:color w:val="auto"/>
                <w:szCs w:val="21"/>
              </w:rPr>
            </w:pPr>
            <w:r>
              <w:rPr>
                <w:rFonts w:hint="eastAsia" w:ascii="宋体" w:hAnsi="宋体" w:cs="宋体"/>
                <w:color w:val="auto"/>
                <w:szCs w:val="21"/>
              </w:rPr>
              <w:t xml:space="preserve">确定中标人时，出现中标候选人排名并列的情形，确定中标人方式 </w:t>
            </w:r>
          </w:p>
        </w:tc>
        <w:tc>
          <w:tcPr>
            <w:tcW w:w="7297" w:type="dxa"/>
            <w:tcBorders>
              <w:top w:val="single" w:color="auto" w:sz="4" w:space="0"/>
              <w:left w:val="single" w:color="auto" w:sz="4" w:space="0"/>
              <w:bottom w:val="single" w:color="auto" w:sz="4" w:space="0"/>
              <w:right w:val="single" w:color="auto" w:sz="4" w:space="0"/>
            </w:tcBorders>
            <w:vAlign w:val="center"/>
          </w:tcPr>
          <w:p>
            <w:pPr>
              <w:pStyle w:val="10"/>
              <w:spacing w:line="360" w:lineRule="auto"/>
              <w:rPr>
                <w:rFonts w:ascii="宋体" w:hAnsi="宋体" w:cs="宋体"/>
                <w:color w:val="auto"/>
                <w:szCs w:val="21"/>
              </w:rPr>
            </w:pPr>
            <w:r>
              <w:rPr>
                <w:rFonts w:hint="eastAsia" w:ascii="宋体" w:hAnsi="宋体" w:cs="宋体"/>
                <w:color w:val="auto"/>
                <w:szCs w:val="21"/>
              </w:rPr>
              <w:t>采购人确定中标人时，出现中标候选人并列的情形，采购人按以下的方式确定中标人：</w:t>
            </w:r>
          </w:p>
          <w:p>
            <w:pPr>
              <w:pStyle w:val="10"/>
              <w:spacing w:line="360" w:lineRule="auto"/>
              <w:rPr>
                <w:rFonts w:ascii="宋体" w:hAnsi="宋体" w:cs="宋体"/>
                <w:color w:val="auto"/>
                <w:szCs w:val="21"/>
              </w:rPr>
            </w:pPr>
            <w:r>
              <w:rPr>
                <w:rFonts w:hint="eastAsia" w:ascii="宋体" w:hAnsi="宋体" w:cs="宋体"/>
                <w:color w:val="auto"/>
                <w:szCs w:val="21"/>
              </w:rPr>
              <w:t>☑政策分得分高的优先、技术评分高的优先、商务评分高的优先、项目质保期长优先、交货期短优先、故障响应时间短优先的顺序。</w:t>
            </w:r>
          </w:p>
          <w:p>
            <w:pPr>
              <w:pStyle w:val="10"/>
              <w:spacing w:line="360" w:lineRule="auto"/>
              <w:rPr>
                <w:rFonts w:ascii="宋体" w:hAnsi="宋体" w:cs="宋体"/>
                <w:b/>
                <w:color w:val="auto"/>
                <w:szCs w:val="21"/>
              </w:rPr>
            </w:pPr>
            <w:r>
              <w:rPr>
                <w:rFonts w:hint="eastAsia" w:ascii="宋体" w:hAnsi="宋体" w:cs="宋体"/>
                <w:color w:val="auto"/>
                <w:szCs w:val="21"/>
              </w:rPr>
              <w:t>□</w:t>
            </w:r>
            <w:r>
              <w:rPr>
                <w:rFonts w:ascii="宋体" w:hAnsi="宋体" w:cs="宋体"/>
                <w:color w:val="auto"/>
              </w:rPr>
              <w:t>采取随机抽取的方式确定</w:t>
            </w:r>
            <w:r>
              <w:rPr>
                <w:rFonts w:hint="eastAsia" w:ascii="宋体" w:hAnsi="宋体" w:cs="宋体"/>
                <w:color w:val="auto"/>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auto"/>
                <w:szCs w:val="21"/>
              </w:rPr>
            </w:pPr>
            <w:r>
              <w:rPr>
                <w:rFonts w:hint="eastAsia" w:ascii="宋体" w:hAnsi="宋体" w:cs="宋体"/>
                <w:color w:val="auto"/>
                <w:szCs w:val="21"/>
              </w:rPr>
              <w:t>35</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auto"/>
                <w:szCs w:val="21"/>
              </w:rPr>
            </w:pPr>
            <w:bookmarkStart w:id="103" w:name="_39.1"/>
            <w:bookmarkEnd w:id="103"/>
            <w:r>
              <w:rPr>
                <w:rFonts w:hint="eastAsia" w:ascii="宋体" w:hAnsi="宋体" w:cs="宋体"/>
                <w:color w:val="auto"/>
                <w:szCs w:val="21"/>
              </w:rPr>
              <w:t>履约保证金金额</w:t>
            </w:r>
          </w:p>
        </w:tc>
        <w:tc>
          <w:tcPr>
            <w:tcW w:w="7297" w:type="dxa"/>
            <w:tcBorders>
              <w:top w:val="single" w:color="auto" w:sz="4" w:space="0"/>
              <w:left w:val="single" w:color="auto" w:sz="4" w:space="0"/>
              <w:bottom w:val="single" w:color="auto" w:sz="4" w:space="0"/>
              <w:right w:val="single" w:color="auto" w:sz="4" w:space="0"/>
            </w:tcBorders>
            <w:vAlign w:val="bottom"/>
          </w:tcPr>
          <w:p>
            <w:pPr>
              <w:spacing w:line="360" w:lineRule="auto"/>
              <w:rPr>
                <w:rFonts w:ascii="宋体" w:hAnsi="宋体" w:cs="宋体"/>
                <w:b/>
                <w:bCs/>
                <w:color w:val="auto"/>
                <w:szCs w:val="21"/>
              </w:rPr>
            </w:pPr>
            <w:r>
              <w:rPr>
                <w:rFonts w:hint="eastAsia" w:ascii="宋体" w:hAnsi="宋体" w:cs="宋体"/>
                <w:b/>
                <w:bCs/>
                <w:color w:val="auto"/>
                <w:szCs w:val="21"/>
              </w:rPr>
              <w:t>☑ 本项目不需要缴</w:t>
            </w:r>
            <w:r>
              <w:rPr>
                <w:rFonts w:hint="eastAsia" w:ascii="宋体" w:hAnsi="宋体" w:cs="宋体"/>
                <w:b/>
                <w:bCs/>
                <w:color w:val="auto"/>
                <w:kern w:val="0"/>
                <w:szCs w:val="21"/>
              </w:rPr>
              <w:t>纳</w:t>
            </w:r>
            <w:r>
              <w:rPr>
                <w:rFonts w:hint="eastAsia" w:ascii="宋体" w:hAnsi="宋体" w:cs="宋体"/>
                <w:b/>
                <w:bCs/>
                <w:color w:val="auto"/>
                <w:szCs w:val="21"/>
              </w:rPr>
              <w:t>履约保证金。</w:t>
            </w:r>
          </w:p>
          <w:p>
            <w:pPr>
              <w:spacing w:line="360" w:lineRule="auto"/>
              <w:rPr>
                <w:rFonts w:ascii="宋体" w:hAnsi="宋体" w:cs="宋体"/>
                <w:b/>
                <w:bCs/>
                <w:color w:val="auto"/>
                <w:szCs w:val="21"/>
              </w:rPr>
            </w:pPr>
            <w:r>
              <w:rPr>
                <w:rFonts w:hint="eastAsia" w:ascii="宋体" w:hAnsi="宋体" w:cs="宋体"/>
                <w:b/>
                <w:bCs/>
                <w:color w:val="auto"/>
                <w:szCs w:val="21"/>
              </w:rPr>
              <w:t>□ 本项目需要缴</w:t>
            </w:r>
            <w:r>
              <w:rPr>
                <w:rFonts w:hint="eastAsia" w:ascii="宋体" w:hAnsi="宋体" w:cs="宋体"/>
                <w:b/>
                <w:bCs/>
                <w:color w:val="auto"/>
                <w:kern w:val="0"/>
                <w:szCs w:val="21"/>
              </w:rPr>
              <w:t>纳</w:t>
            </w:r>
            <w:r>
              <w:rPr>
                <w:rFonts w:hint="eastAsia" w:ascii="宋体" w:hAnsi="宋体" w:cs="宋体"/>
                <w:b/>
                <w:bCs/>
                <w:color w:val="auto"/>
                <w:szCs w:val="21"/>
              </w:rPr>
              <w:t>履约保证金，相关要求如下：</w:t>
            </w:r>
          </w:p>
          <w:p>
            <w:pPr>
              <w:autoSpaceDE w:val="0"/>
              <w:autoSpaceDN w:val="0"/>
              <w:snapToGrid w:val="0"/>
              <w:spacing w:line="360" w:lineRule="auto"/>
              <w:textAlignment w:val="bottom"/>
              <w:rPr>
                <w:rFonts w:ascii="宋体" w:hAnsi="宋体" w:cs="宋体"/>
                <w:color w:val="auto"/>
                <w:szCs w:val="21"/>
              </w:rPr>
            </w:pPr>
            <w:r>
              <w:rPr>
                <w:rFonts w:hint="eastAsia" w:ascii="宋体" w:hAnsi="宋体" w:cs="宋体"/>
                <w:color w:val="auto"/>
                <w:szCs w:val="21"/>
              </w:rPr>
              <w:t>1.履约保证金金额：按项目中标总金额的%。</w:t>
            </w:r>
          </w:p>
          <w:p>
            <w:pPr>
              <w:autoSpaceDE w:val="0"/>
              <w:autoSpaceDN w:val="0"/>
              <w:snapToGrid w:val="0"/>
              <w:spacing w:line="360" w:lineRule="auto"/>
              <w:textAlignment w:val="bottom"/>
              <w:rPr>
                <w:rFonts w:ascii="宋体" w:hAnsi="宋体" w:cs="宋体"/>
                <w:color w:val="auto"/>
                <w:szCs w:val="21"/>
              </w:rPr>
            </w:pPr>
            <w:r>
              <w:rPr>
                <w:rFonts w:hint="eastAsia" w:ascii="宋体" w:hAnsi="宋体" w:cs="宋体"/>
                <w:color w:val="auto"/>
                <w:szCs w:val="21"/>
              </w:rPr>
              <w:t>2.履约保证金递交方式：中标人在</w:t>
            </w:r>
            <w:r>
              <w:rPr>
                <w:rFonts w:hint="eastAsia" w:cs="宋体"/>
                <w:color w:val="auto"/>
                <w:kern w:val="0"/>
                <w:szCs w:val="21"/>
                <w:u w:val="single"/>
              </w:rPr>
              <w:t>签订合同</w:t>
            </w:r>
            <w:r>
              <w:rPr>
                <w:rFonts w:hint="eastAsia" w:ascii="宋体" w:hAnsi="宋体" w:cs="宋体"/>
                <w:color w:val="auto"/>
                <w:szCs w:val="21"/>
                <w:u w:val="single"/>
              </w:rPr>
              <w:t>前</w:t>
            </w:r>
            <w:r>
              <w:rPr>
                <w:rFonts w:hint="eastAsia" w:ascii="宋体" w:hAnsi="宋体" w:cs="宋体"/>
                <w:color w:val="auto"/>
                <w:szCs w:val="21"/>
              </w:rPr>
              <w:t>以银行转账、支票、汇票、本票或者金融机构、担保机构出具的保函等非现金方式向</w:t>
            </w:r>
            <w:r>
              <w:rPr>
                <w:rFonts w:hint="eastAsia" w:ascii="宋体" w:hAnsi="宋体" w:cs="宋体"/>
                <w:color w:val="auto"/>
                <w:szCs w:val="21"/>
                <w:u w:val="single"/>
              </w:rPr>
              <w:t>采购人</w:t>
            </w:r>
            <w:r>
              <w:rPr>
                <w:rFonts w:hint="eastAsia" w:ascii="宋体" w:hAnsi="宋体" w:cs="宋体"/>
                <w:color w:val="auto"/>
                <w:szCs w:val="21"/>
              </w:rPr>
              <w:t>提交。</w:t>
            </w:r>
          </w:p>
          <w:p>
            <w:pPr>
              <w:autoSpaceDE w:val="0"/>
              <w:autoSpaceDN w:val="0"/>
              <w:snapToGrid w:val="0"/>
              <w:spacing w:line="360" w:lineRule="auto"/>
              <w:textAlignment w:val="bottom"/>
              <w:rPr>
                <w:rFonts w:ascii="宋体" w:hAnsi="宋体" w:cs="宋体"/>
                <w:color w:val="auto"/>
                <w:szCs w:val="21"/>
                <w:u w:val="single"/>
              </w:rPr>
            </w:pPr>
            <w:r>
              <w:rPr>
                <w:rFonts w:hint="eastAsia" w:ascii="宋体" w:hAnsi="宋体" w:cs="宋体"/>
                <w:color w:val="auto"/>
                <w:szCs w:val="21"/>
              </w:rPr>
              <w:t>3.履约保证金退付方式、时间及条件：</w:t>
            </w:r>
            <w:r>
              <w:rPr>
                <w:rFonts w:hint="eastAsia" w:ascii="宋体" w:hAnsi="宋体" w:cs="宋体"/>
                <w:color w:val="auto"/>
                <w:szCs w:val="21"/>
                <w:u w:val="single"/>
              </w:rPr>
              <w:t xml:space="preserve"> 验收合格的政府采购项目，采购人应当按照合同约定的退还方式，在5个工作日内办理履约保证金退还手续。</w:t>
            </w:r>
          </w:p>
          <w:p>
            <w:pPr>
              <w:autoSpaceDE w:val="0"/>
              <w:autoSpaceDN w:val="0"/>
              <w:snapToGrid w:val="0"/>
              <w:spacing w:line="360" w:lineRule="auto"/>
              <w:textAlignment w:val="bottom"/>
              <w:rPr>
                <w:rFonts w:ascii="宋体" w:hAnsi="宋体" w:cs="宋体"/>
                <w:color w:val="auto"/>
                <w:szCs w:val="21"/>
              </w:rPr>
            </w:pPr>
            <w:r>
              <w:rPr>
                <w:rFonts w:hint="eastAsia" w:ascii="宋体" w:hAnsi="宋体" w:cs="宋体"/>
                <w:color w:val="auto"/>
                <w:szCs w:val="21"/>
              </w:rPr>
              <w:t>4.缴纳履约保证金的指定账户：</w:t>
            </w:r>
          </w:p>
          <w:p>
            <w:pPr>
              <w:spacing w:line="360" w:lineRule="exact"/>
              <w:rPr>
                <w:rFonts w:ascii="宋体" w:hAnsi="宋体" w:cs="宋体"/>
                <w:color w:val="auto"/>
                <w:szCs w:val="21"/>
                <w:u w:val="single"/>
              </w:rPr>
            </w:pPr>
            <w:r>
              <w:rPr>
                <w:rFonts w:hint="eastAsia" w:ascii="宋体" w:hAnsi="宋体" w:cs="宋体"/>
                <w:color w:val="auto"/>
                <w:szCs w:val="21"/>
              </w:rPr>
              <w:t>开户名称：</w:t>
            </w:r>
          </w:p>
          <w:p>
            <w:pPr>
              <w:spacing w:line="360" w:lineRule="exact"/>
              <w:rPr>
                <w:rFonts w:ascii="宋体" w:hAnsi="宋体" w:cs="宋体"/>
                <w:color w:val="auto"/>
                <w:szCs w:val="21"/>
                <w:u w:val="single"/>
              </w:rPr>
            </w:pPr>
            <w:r>
              <w:rPr>
                <w:rFonts w:hint="eastAsia" w:ascii="宋体" w:hAnsi="宋体" w:cs="宋体"/>
                <w:color w:val="auto"/>
                <w:szCs w:val="21"/>
              </w:rPr>
              <w:t>开户银行：</w:t>
            </w:r>
          </w:p>
          <w:p>
            <w:pPr>
              <w:spacing w:line="360" w:lineRule="exact"/>
              <w:rPr>
                <w:rFonts w:ascii="宋体" w:hAnsi="宋体" w:cs="宋体"/>
                <w:color w:val="auto"/>
                <w:szCs w:val="21"/>
                <w:u w:val="single"/>
              </w:rPr>
            </w:pPr>
            <w:r>
              <w:rPr>
                <w:rFonts w:hint="eastAsia" w:ascii="宋体" w:hAnsi="宋体" w:cs="宋体"/>
                <w:color w:val="auto"/>
                <w:szCs w:val="21"/>
              </w:rPr>
              <w:t>银行账号：</w:t>
            </w:r>
          </w:p>
          <w:p>
            <w:pPr>
              <w:spacing w:line="360" w:lineRule="exact"/>
              <w:rPr>
                <w:rFonts w:ascii="宋体" w:hAnsi="宋体" w:cs="宋体"/>
                <w:color w:val="auto"/>
                <w:szCs w:val="21"/>
              </w:rPr>
            </w:pPr>
            <w:r>
              <w:rPr>
                <w:rFonts w:hint="eastAsia" w:ascii="宋体" w:hAnsi="宋体" w:cs="宋体"/>
                <w:color w:val="auto"/>
                <w:szCs w:val="21"/>
              </w:rPr>
              <w:t>备注：</w:t>
            </w:r>
          </w:p>
          <w:p>
            <w:pPr>
              <w:spacing w:line="360" w:lineRule="exact"/>
              <w:rPr>
                <w:rFonts w:ascii="宋体" w:hAnsi="宋体" w:cs="宋体"/>
                <w:b/>
                <w:color w:val="auto"/>
                <w:szCs w:val="21"/>
              </w:rPr>
            </w:pPr>
            <w:bookmarkStart w:id="104" w:name="_Hlk54170335"/>
            <w:r>
              <w:rPr>
                <w:rFonts w:hint="eastAsia" w:ascii="宋体" w:hAnsi="宋体" w:cs="宋体"/>
                <w:b/>
                <w:color w:val="auto"/>
                <w:szCs w:val="21"/>
              </w:rPr>
              <w:t>1.根据《广西壮族自治区财政厅关于规范政府采购货物和服务项目保证金管理的通知》（桂财规〔2022〕8号）规定，鼓励采购人在与中标人签订政府采购合同时，免收履约保证金或者降低收取比例，有必要收取履约保证金的，收取的履约保证金不得超过政府采购合同金额的5%，对中小企业收取的履约保证金数额不得超过政府采购合同金额的2%。</w:t>
            </w:r>
            <w:bookmarkEnd w:id="104"/>
          </w:p>
          <w:p>
            <w:pPr>
              <w:spacing w:line="360" w:lineRule="exact"/>
              <w:rPr>
                <w:rFonts w:ascii="宋体" w:hAnsi="宋体" w:cs="宋体"/>
                <w:b/>
                <w:color w:val="auto"/>
                <w:szCs w:val="21"/>
              </w:rPr>
            </w:pPr>
            <w:r>
              <w:rPr>
                <w:rFonts w:hint="eastAsia" w:ascii="宋体" w:hAnsi="宋体" w:cs="宋体"/>
                <w:b/>
                <w:color w:val="auto"/>
                <w:szCs w:val="21"/>
              </w:rPr>
              <w:t>2.履约保证金不足额缴纳的（包含保函额度不足的），或者不按规定提交方式提交的，或者保函有效期低于合同履行期限（即合同中规定的当事人履行自己的义务，如交付标的物、价款或者报酬，履行劳务、完成工作的时间界限）的，不予签订合同。</w:t>
            </w:r>
          </w:p>
          <w:p>
            <w:pPr>
              <w:spacing w:line="360" w:lineRule="exact"/>
              <w:rPr>
                <w:rFonts w:ascii="宋体" w:hAnsi="宋体" w:cs="宋体"/>
                <w:color w:val="auto"/>
                <w:szCs w:val="21"/>
              </w:rPr>
            </w:pPr>
            <w:r>
              <w:rPr>
                <w:rFonts w:hint="eastAsia" w:ascii="宋体" w:hAnsi="宋体" w:cs="宋体"/>
                <w:b/>
                <w:color w:val="auto"/>
                <w:szCs w:val="21"/>
              </w:rPr>
              <w:t>3.采用金融、担保机构出具的保函的，必须为无条件保函，否则不予签订合同。</w:t>
            </w:r>
          </w:p>
          <w:p>
            <w:pPr>
              <w:spacing w:line="360" w:lineRule="exact"/>
              <w:rPr>
                <w:rFonts w:ascii="宋体" w:hAnsi="宋体" w:cs="宋体"/>
                <w:color w:val="auto"/>
                <w:szCs w:val="21"/>
              </w:rPr>
            </w:pPr>
            <w:r>
              <w:rPr>
                <w:rFonts w:hint="eastAsia" w:ascii="宋体" w:hAnsi="宋体" w:cs="宋体"/>
                <w:b/>
                <w:color w:val="auto"/>
                <w:szCs w:val="21"/>
              </w:rPr>
              <w:t>4.投标人为联合体的，由联合体其中一方按规定提交的履约保证金，视为有效履约保证金。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auto"/>
                <w:szCs w:val="21"/>
              </w:rPr>
            </w:pPr>
            <w:r>
              <w:rPr>
                <w:rFonts w:hint="eastAsia" w:ascii="宋体" w:hAnsi="宋体" w:cs="宋体"/>
                <w:color w:val="auto"/>
                <w:szCs w:val="21"/>
              </w:rPr>
              <w:t>36.1</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auto"/>
                <w:szCs w:val="21"/>
              </w:rPr>
            </w:pPr>
            <w:bookmarkStart w:id="105" w:name="_40.1"/>
            <w:bookmarkEnd w:id="105"/>
            <w:r>
              <w:rPr>
                <w:rFonts w:hint="eastAsia" w:ascii="宋体" w:hAnsi="宋体" w:cs="宋体"/>
                <w:color w:val="auto"/>
                <w:szCs w:val="21"/>
              </w:rPr>
              <w:t>签订合同携带的材料</w:t>
            </w:r>
          </w:p>
        </w:tc>
        <w:tc>
          <w:tcPr>
            <w:tcW w:w="7297"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80" w:lineRule="exact"/>
              <w:textAlignment w:val="bottom"/>
              <w:rPr>
                <w:rFonts w:ascii="宋体" w:hAnsi="宋体" w:cs="宋体"/>
                <w:color w:val="auto"/>
                <w:szCs w:val="21"/>
              </w:rPr>
            </w:pPr>
            <w:r>
              <w:rPr>
                <w:rFonts w:hint="eastAsia" w:ascii="宋体" w:hAnsi="宋体" w:cs="宋体"/>
                <w:color w:val="auto"/>
                <w:szCs w:val="21"/>
              </w:rPr>
              <w:t>电子采购合同需要中标人通过有效CA证书进行电子签署。</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91" w:hRule="atLeast"/>
          <w:jc w:val="center"/>
        </w:trPr>
        <w:tc>
          <w:tcPr>
            <w:tcW w:w="675"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auto"/>
                <w:szCs w:val="21"/>
              </w:rPr>
            </w:pPr>
            <w:r>
              <w:rPr>
                <w:rFonts w:hint="eastAsia" w:ascii="宋体" w:hAnsi="宋体" w:cs="宋体"/>
                <w:color w:val="auto"/>
                <w:szCs w:val="21"/>
              </w:rPr>
              <w:t>38.2.1</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auto"/>
                <w:szCs w:val="21"/>
              </w:rPr>
            </w:pPr>
            <w:r>
              <w:rPr>
                <w:rFonts w:hint="eastAsia" w:ascii="宋体" w:hAnsi="宋体" w:cs="宋体"/>
                <w:color w:val="auto"/>
                <w:szCs w:val="21"/>
              </w:rPr>
              <w:t>接收质疑函方式</w:t>
            </w:r>
          </w:p>
        </w:tc>
        <w:tc>
          <w:tcPr>
            <w:tcW w:w="7297"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rPr>
                <w:rFonts w:ascii="宋体" w:hAnsi="宋体" w:cs="宋体"/>
                <w:color w:val="auto"/>
                <w:szCs w:val="21"/>
              </w:rPr>
            </w:pPr>
            <w:r>
              <w:rPr>
                <w:rFonts w:hint="eastAsia" w:ascii="宋体" w:hAnsi="宋体" w:cs="宋体"/>
                <w:color w:val="auto"/>
                <w:szCs w:val="21"/>
              </w:rPr>
              <w:t>以书面形式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09" w:hRule="atLeast"/>
          <w:jc w:val="center"/>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Cs w:val="21"/>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auto"/>
                <w:szCs w:val="21"/>
              </w:rPr>
            </w:pPr>
            <w:r>
              <w:rPr>
                <w:rFonts w:hint="eastAsia" w:ascii="宋体" w:hAnsi="宋体" w:cs="宋体"/>
                <w:color w:val="auto"/>
                <w:szCs w:val="21"/>
              </w:rPr>
              <w:t>质疑联系部门及联系方式</w:t>
            </w:r>
          </w:p>
        </w:tc>
        <w:tc>
          <w:tcPr>
            <w:tcW w:w="7297"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rPr>
                <w:rFonts w:ascii="宋体" w:hAnsi="宋体"/>
                <w:color w:val="auto"/>
                <w:szCs w:val="21"/>
              </w:rPr>
            </w:pPr>
            <w:r>
              <w:rPr>
                <w:rFonts w:hint="eastAsia" w:ascii="宋体" w:hAnsi="宋体"/>
                <w:color w:val="auto"/>
                <w:szCs w:val="21"/>
              </w:rPr>
              <w:t>（1）</w:t>
            </w:r>
            <w:bookmarkStart w:id="106" w:name="PO_3000001867_PM031_3"/>
            <w:r>
              <w:rPr>
                <w:rFonts w:hint="eastAsia" w:ascii="宋体" w:hAnsi="宋体"/>
                <w:color w:val="auto"/>
                <w:szCs w:val="21"/>
              </w:rPr>
              <w:t>广西科联招标中心有限公司</w:t>
            </w:r>
            <w:bookmarkEnd w:id="106"/>
          </w:p>
          <w:p>
            <w:pPr>
              <w:snapToGrid w:val="0"/>
              <w:spacing w:line="380" w:lineRule="exact"/>
              <w:rPr>
                <w:rFonts w:ascii="宋体" w:hAnsi="宋体"/>
                <w:color w:val="auto"/>
                <w:szCs w:val="21"/>
              </w:rPr>
            </w:pPr>
            <w:r>
              <w:rPr>
                <w:rFonts w:ascii="宋体" w:hAnsi="宋体"/>
                <w:color w:val="auto"/>
                <w:szCs w:val="21"/>
              </w:rPr>
              <w:t>联系电话</w:t>
            </w:r>
            <w:r>
              <w:rPr>
                <w:rFonts w:hint="eastAsia" w:ascii="宋体" w:hAnsi="宋体"/>
                <w:color w:val="auto"/>
                <w:szCs w:val="21"/>
              </w:rPr>
              <w:t>：0771-3486228</w:t>
            </w:r>
          </w:p>
          <w:p>
            <w:pPr>
              <w:snapToGrid w:val="0"/>
              <w:spacing w:line="380" w:lineRule="exact"/>
              <w:rPr>
                <w:rFonts w:ascii="宋体" w:hAnsi="宋体"/>
                <w:color w:val="auto"/>
                <w:szCs w:val="21"/>
              </w:rPr>
            </w:pPr>
            <w:r>
              <w:rPr>
                <w:rFonts w:ascii="宋体" w:hAnsi="宋体"/>
                <w:color w:val="auto"/>
                <w:szCs w:val="21"/>
              </w:rPr>
              <w:t>通讯地址</w:t>
            </w:r>
            <w:r>
              <w:rPr>
                <w:rFonts w:hint="eastAsia" w:ascii="宋体" w:hAnsi="宋体" w:cs="Helvetica"/>
                <w:color w:val="auto"/>
                <w:szCs w:val="21"/>
              </w:rPr>
              <w:t>：</w:t>
            </w:r>
            <w:r>
              <w:rPr>
                <w:rFonts w:hint="eastAsia" w:ascii="宋体" w:hAnsi="宋体"/>
                <w:color w:val="auto"/>
                <w:szCs w:val="21"/>
              </w:rPr>
              <w:t>广西科联招标中心有限公司307室（广西南宁市大学东路170号广西农机研究院内）</w:t>
            </w:r>
          </w:p>
          <w:p>
            <w:pPr>
              <w:snapToGrid w:val="0"/>
              <w:spacing w:line="380" w:lineRule="exact"/>
              <w:rPr>
                <w:rFonts w:ascii="宋体" w:hAnsi="宋体"/>
                <w:color w:val="auto"/>
                <w:szCs w:val="21"/>
              </w:rPr>
            </w:pPr>
            <w:r>
              <w:rPr>
                <w:rFonts w:hint="eastAsia" w:ascii="宋体" w:hAnsi="宋体"/>
                <w:color w:val="auto"/>
                <w:szCs w:val="21"/>
              </w:rPr>
              <w:t>（2）广西医科大学第二附属医院</w:t>
            </w:r>
          </w:p>
          <w:p>
            <w:pPr>
              <w:snapToGrid w:val="0"/>
              <w:spacing w:line="380" w:lineRule="exact"/>
              <w:rPr>
                <w:rFonts w:ascii="宋体" w:hAnsi="宋体"/>
                <w:color w:val="auto"/>
                <w:szCs w:val="21"/>
              </w:rPr>
            </w:pPr>
            <w:r>
              <w:rPr>
                <w:rFonts w:ascii="宋体" w:hAnsi="宋体"/>
                <w:color w:val="auto"/>
                <w:szCs w:val="21"/>
              </w:rPr>
              <w:t>联系电话</w:t>
            </w:r>
            <w:r>
              <w:rPr>
                <w:rFonts w:hint="eastAsia" w:ascii="宋体" w:hAnsi="宋体"/>
                <w:color w:val="auto"/>
                <w:szCs w:val="21"/>
              </w:rPr>
              <w:t>：</w:t>
            </w:r>
          </w:p>
          <w:p>
            <w:pPr>
              <w:snapToGrid w:val="0"/>
              <w:spacing w:line="380" w:lineRule="exact"/>
              <w:rPr>
                <w:rFonts w:ascii="宋体" w:hAnsi="宋体" w:cs="宋体"/>
                <w:color w:val="auto"/>
                <w:szCs w:val="21"/>
              </w:rPr>
            </w:pPr>
            <w:r>
              <w:rPr>
                <w:rFonts w:ascii="宋体" w:hAnsi="宋体"/>
                <w:color w:val="auto"/>
                <w:szCs w:val="21"/>
              </w:rPr>
              <w:t>通讯地址</w:t>
            </w:r>
            <w:r>
              <w:rPr>
                <w:rFonts w:hint="eastAsia" w:ascii="宋体" w:hAnsi="宋体" w:cs="Helvetica"/>
                <w:color w:val="auto"/>
                <w:szCs w:val="21"/>
              </w:rPr>
              <w:t>：广西南宁市大学东路166号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09" w:hRule="atLeast"/>
          <w:jc w:val="center"/>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Cs w:val="21"/>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auto"/>
                <w:szCs w:val="21"/>
              </w:rPr>
            </w:pPr>
            <w:r>
              <w:rPr>
                <w:rFonts w:hint="eastAsia" w:ascii="宋体" w:hAnsi="宋体" w:cs="宋体"/>
                <w:color w:val="auto"/>
                <w:szCs w:val="21"/>
              </w:rPr>
              <w:t>现场提交质疑办理业务时间</w:t>
            </w:r>
          </w:p>
        </w:tc>
        <w:tc>
          <w:tcPr>
            <w:tcW w:w="7297"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rPr>
                <w:rFonts w:ascii="宋体" w:hAnsi="宋体" w:cs="宋体"/>
                <w:color w:val="auto"/>
                <w:szCs w:val="21"/>
              </w:rPr>
            </w:pPr>
            <w:r>
              <w:rPr>
                <w:rFonts w:hint="eastAsia" w:ascii="宋体" w:hAnsi="宋体" w:cs="宋体"/>
                <w:color w:val="auto"/>
                <w:szCs w:val="21"/>
              </w:rPr>
              <w:t>质疑期内每个工作日（北京时间）上午</w:t>
            </w:r>
            <w:r>
              <w:rPr>
                <w:rFonts w:hint="eastAsia" w:ascii="宋体" w:hAnsi="宋体" w:cs="宋体"/>
                <w:color w:val="auto"/>
                <w:szCs w:val="21"/>
                <w:u w:val="single"/>
              </w:rPr>
              <w:t>8</w:t>
            </w:r>
            <w:r>
              <w:rPr>
                <w:rFonts w:hint="eastAsia" w:ascii="宋体" w:hAnsi="宋体" w:cs="宋体"/>
                <w:color w:val="auto"/>
                <w:szCs w:val="21"/>
              </w:rPr>
              <w:t>时</w:t>
            </w:r>
            <w:r>
              <w:rPr>
                <w:rFonts w:hint="eastAsia" w:ascii="宋体" w:hAnsi="宋体" w:cs="宋体"/>
                <w:color w:val="auto"/>
                <w:szCs w:val="21"/>
                <w:u w:val="single"/>
              </w:rPr>
              <w:t>00</w:t>
            </w:r>
            <w:r>
              <w:rPr>
                <w:rFonts w:hint="eastAsia" w:ascii="宋体" w:hAnsi="宋体" w:cs="宋体"/>
                <w:color w:val="auto"/>
                <w:szCs w:val="21"/>
              </w:rPr>
              <w:t>分到</w:t>
            </w:r>
            <w:r>
              <w:rPr>
                <w:rFonts w:hint="eastAsia" w:ascii="宋体" w:hAnsi="宋体" w:cs="宋体"/>
                <w:color w:val="auto"/>
                <w:szCs w:val="21"/>
                <w:u w:val="single"/>
              </w:rPr>
              <w:t>12</w:t>
            </w:r>
            <w:r>
              <w:rPr>
                <w:rFonts w:hint="eastAsia" w:ascii="宋体" w:hAnsi="宋体" w:cs="宋体"/>
                <w:color w:val="auto"/>
                <w:szCs w:val="21"/>
              </w:rPr>
              <w:t>时</w:t>
            </w:r>
            <w:r>
              <w:rPr>
                <w:rFonts w:hint="eastAsia" w:ascii="宋体" w:hAnsi="宋体" w:cs="宋体"/>
                <w:color w:val="auto"/>
                <w:szCs w:val="21"/>
                <w:u w:val="single"/>
              </w:rPr>
              <w:t>00</w:t>
            </w:r>
            <w:r>
              <w:rPr>
                <w:rFonts w:hint="eastAsia" w:ascii="宋体" w:hAnsi="宋体" w:cs="宋体"/>
                <w:color w:val="auto"/>
                <w:szCs w:val="21"/>
              </w:rPr>
              <w:t>分，下午</w:t>
            </w:r>
            <w:r>
              <w:rPr>
                <w:rFonts w:hint="eastAsia" w:ascii="宋体" w:hAnsi="宋体" w:cs="宋体"/>
                <w:color w:val="auto"/>
                <w:szCs w:val="21"/>
                <w:u w:val="single"/>
              </w:rPr>
              <w:t>15</w:t>
            </w:r>
            <w:r>
              <w:rPr>
                <w:rFonts w:hint="eastAsia" w:ascii="宋体" w:hAnsi="宋体" w:cs="宋体"/>
                <w:color w:val="auto"/>
                <w:szCs w:val="21"/>
              </w:rPr>
              <w:t>时</w:t>
            </w:r>
            <w:r>
              <w:rPr>
                <w:rFonts w:hint="eastAsia" w:ascii="宋体" w:hAnsi="宋体" w:cs="宋体"/>
                <w:color w:val="auto"/>
                <w:szCs w:val="21"/>
                <w:u w:val="single"/>
              </w:rPr>
              <w:t>00</w:t>
            </w:r>
            <w:r>
              <w:rPr>
                <w:rFonts w:hint="eastAsia" w:ascii="宋体" w:hAnsi="宋体" w:cs="宋体"/>
                <w:color w:val="auto"/>
                <w:szCs w:val="21"/>
              </w:rPr>
              <w:t>分到</w:t>
            </w:r>
            <w:r>
              <w:rPr>
                <w:rFonts w:hint="eastAsia" w:ascii="宋体" w:hAnsi="宋体" w:cs="宋体"/>
                <w:color w:val="auto"/>
                <w:szCs w:val="21"/>
                <w:u w:val="single"/>
              </w:rPr>
              <w:t>18</w:t>
            </w:r>
            <w:r>
              <w:rPr>
                <w:rFonts w:hint="eastAsia" w:ascii="宋体" w:hAnsi="宋体" w:cs="宋体"/>
                <w:color w:val="auto"/>
                <w:szCs w:val="21"/>
              </w:rPr>
              <w:t>时</w:t>
            </w:r>
            <w:r>
              <w:rPr>
                <w:rFonts w:hint="eastAsia" w:ascii="宋体" w:hAnsi="宋体" w:cs="宋体"/>
                <w:color w:val="auto"/>
                <w:szCs w:val="21"/>
                <w:u w:val="single"/>
              </w:rPr>
              <w:t>00</w:t>
            </w:r>
            <w:r>
              <w:rPr>
                <w:rFonts w:hint="eastAsia" w:ascii="宋体" w:hAnsi="宋体" w:cs="宋体"/>
                <w:color w:val="auto"/>
                <w:szCs w:val="21"/>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09" w:hRule="atLeast"/>
          <w:jc w:val="center"/>
        </w:trPr>
        <w:tc>
          <w:tcPr>
            <w:tcW w:w="675" w:type="dxa"/>
            <w:tcBorders>
              <w:top w:val="nil"/>
              <w:left w:val="single" w:color="auto" w:sz="4" w:space="0"/>
              <w:bottom w:val="single" w:color="auto" w:sz="4" w:space="0"/>
              <w:right w:val="single" w:color="auto" w:sz="4" w:space="0"/>
            </w:tcBorders>
            <w:vAlign w:val="center"/>
          </w:tcPr>
          <w:p>
            <w:pPr>
              <w:spacing w:line="380" w:lineRule="exact"/>
              <w:rPr>
                <w:rFonts w:ascii="宋体" w:hAnsi="宋体" w:cs="宋体"/>
                <w:color w:val="auto"/>
                <w:szCs w:val="21"/>
              </w:rPr>
            </w:pPr>
            <w:r>
              <w:rPr>
                <w:rFonts w:hint="eastAsia" w:ascii="宋体" w:hAnsi="宋体" w:cs="宋体"/>
                <w:color w:val="auto"/>
                <w:szCs w:val="21"/>
              </w:rPr>
              <w:t>38.3.1</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auto"/>
                <w:szCs w:val="21"/>
              </w:rPr>
            </w:pPr>
            <w:r>
              <w:rPr>
                <w:rFonts w:hint="eastAsia" w:ascii="宋体" w:hAnsi="宋体" w:cs="宋体"/>
                <w:color w:val="auto"/>
                <w:szCs w:val="21"/>
              </w:rPr>
              <w:t>投诉受理方式</w:t>
            </w:r>
          </w:p>
        </w:tc>
        <w:tc>
          <w:tcPr>
            <w:tcW w:w="7297" w:type="dxa"/>
            <w:tcBorders>
              <w:top w:val="single" w:color="auto" w:sz="4" w:space="0"/>
              <w:left w:val="single" w:color="auto" w:sz="4" w:space="0"/>
              <w:bottom w:val="single" w:color="auto" w:sz="4" w:space="0"/>
              <w:right w:val="single" w:color="auto" w:sz="4" w:space="0"/>
            </w:tcBorders>
            <w:vAlign w:val="center"/>
          </w:tcPr>
          <w:p>
            <w:pPr>
              <w:numPr>
                <w:ilvl w:val="0"/>
                <w:numId w:val="1"/>
              </w:numPr>
              <w:snapToGrid w:val="0"/>
              <w:spacing w:line="360" w:lineRule="auto"/>
              <w:rPr>
                <w:rFonts w:ascii="宋体" w:hAnsi="宋体" w:cs="宋体"/>
                <w:color w:val="auto"/>
                <w:szCs w:val="21"/>
              </w:rPr>
            </w:pPr>
            <w:r>
              <w:rPr>
                <w:rFonts w:hint="eastAsia" w:ascii="宋体" w:hAnsi="宋体" w:cs="宋体"/>
                <w:color w:val="auto"/>
                <w:szCs w:val="21"/>
              </w:rPr>
              <w:t>受理方式：纸质方式受理，投诉书正、副本（经过质疑的事项才可投诉）。</w:t>
            </w:r>
          </w:p>
          <w:p>
            <w:pPr>
              <w:numPr>
                <w:ilvl w:val="0"/>
                <w:numId w:val="1"/>
              </w:numPr>
              <w:snapToGrid w:val="0"/>
              <w:spacing w:line="360" w:lineRule="auto"/>
              <w:rPr>
                <w:rFonts w:ascii="宋体" w:hAnsi="宋体" w:cs="宋体"/>
                <w:color w:val="auto"/>
              </w:rPr>
            </w:pPr>
            <w:r>
              <w:rPr>
                <w:rFonts w:hint="eastAsia" w:ascii="宋体" w:hAnsi="宋体" w:cs="宋体"/>
                <w:color w:val="auto"/>
                <w:szCs w:val="21"/>
              </w:rPr>
              <w:t>通讯</w:t>
            </w:r>
            <w:r>
              <w:rPr>
                <w:rFonts w:hint="eastAsia" w:ascii="宋体" w:hAnsi="宋体" w:cs="宋体"/>
                <w:color w:val="auto"/>
              </w:rPr>
              <w:t>方式</w:t>
            </w:r>
          </w:p>
          <w:p>
            <w:pPr>
              <w:snapToGrid w:val="0"/>
              <w:spacing w:line="360" w:lineRule="auto"/>
              <w:rPr>
                <w:rFonts w:ascii="宋体" w:hAnsi="宋体" w:cs="宋体"/>
                <w:color w:val="auto"/>
              </w:rPr>
            </w:pPr>
            <w:r>
              <w:rPr>
                <w:rFonts w:hint="eastAsia" w:ascii="宋体" w:hAnsi="宋体" w:cs="宋体"/>
                <w:color w:val="auto"/>
              </w:rPr>
              <w:t>名称：</w:t>
            </w:r>
            <w:bookmarkStart w:id="107" w:name="PO_3000001867_PM036"/>
            <w:r>
              <w:rPr>
                <w:rFonts w:hint="eastAsia" w:ascii="宋体" w:hAnsi="宋体" w:cs="宋体"/>
                <w:color w:val="auto"/>
              </w:rPr>
              <w:t>广西壮族自治区财政厅政府采购监督管理</w:t>
            </w:r>
            <w:bookmarkEnd w:id="107"/>
            <w:r>
              <w:rPr>
                <w:rFonts w:hint="eastAsia" w:ascii="宋体" w:hAnsi="宋体" w:cs="宋体"/>
                <w:color w:val="auto"/>
              </w:rPr>
              <w:t>处</w:t>
            </w:r>
          </w:p>
          <w:p>
            <w:pPr>
              <w:snapToGrid w:val="0"/>
              <w:spacing w:line="360" w:lineRule="auto"/>
              <w:rPr>
                <w:rFonts w:ascii="宋体" w:hAnsi="宋体" w:cs="宋体"/>
                <w:color w:val="auto"/>
              </w:rPr>
            </w:pPr>
            <w:r>
              <w:rPr>
                <w:rFonts w:hint="eastAsia" w:ascii="宋体" w:hAnsi="宋体" w:cs="宋体"/>
                <w:color w:val="auto"/>
              </w:rPr>
              <w:t>地址：南宁市桃源路69号广西财政大厦7楼</w:t>
            </w:r>
          </w:p>
          <w:p>
            <w:pPr>
              <w:snapToGrid w:val="0"/>
              <w:spacing w:line="360" w:lineRule="auto"/>
              <w:rPr>
                <w:rFonts w:ascii="宋体" w:hAnsi="宋体" w:cs="宋体"/>
                <w:color w:val="auto"/>
                <w:szCs w:val="21"/>
              </w:rPr>
            </w:pPr>
            <w:r>
              <w:rPr>
                <w:rFonts w:hint="eastAsia" w:ascii="宋体" w:hAnsi="宋体" w:cs="宋体"/>
                <w:color w:val="auto"/>
              </w:rPr>
              <w:t>联系电话：</w:t>
            </w:r>
            <w:bookmarkStart w:id="108" w:name="PO_3000001867_PM038"/>
            <w:r>
              <w:rPr>
                <w:rFonts w:hint="eastAsia" w:ascii="宋体" w:hAnsi="宋体" w:cs="宋体"/>
                <w:color w:val="auto"/>
              </w:rPr>
              <w:t>0771-</w:t>
            </w:r>
            <w:bookmarkEnd w:id="108"/>
            <w:r>
              <w:rPr>
                <w:rFonts w:hint="eastAsia" w:ascii="宋体" w:hAnsi="宋体" w:cs="宋体"/>
                <w:color w:val="auto"/>
              </w:rPr>
              <w:t>5331544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256" w:hRule="atLeast"/>
          <w:jc w:val="center"/>
        </w:trPr>
        <w:tc>
          <w:tcPr>
            <w:tcW w:w="675"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auto"/>
                <w:szCs w:val="21"/>
              </w:rPr>
            </w:pPr>
            <w:r>
              <w:rPr>
                <w:rFonts w:hint="eastAsia" w:ascii="宋体" w:hAnsi="宋体" w:cs="宋体"/>
                <w:color w:val="auto"/>
                <w:szCs w:val="21"/>
              </w:rPr>
              <w:t>40</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auto"/>
                <w:szCs w:val="21"/>
              </w:rPr>
            </w:pPr>
            <w:bookmarkStart w:id="109" w:name="_42"/>
            <w:bookmarkEnd w:id="109"/>
            <w:bookmarkStart w:id="110" w:name="_41"/>
            <w:bookmarkEnd w:id="110"/>
            <w:r>
              <w:rPr>
                <w:rFonts w:hint="eastAsia" w:ascii="宋体" w:hAnsi="宋体" w:cs="宋体"/>
                <w:color w:val="auto"/>
                <w:szCs w:val="21"/>
              </w:rPr>
              <w:t>采购代理服务费支付方式</w:t>
            </w:r>
          </w:p>
        </w:tc>
        <w:tc>
          <w:tcPr>
            <w:tcW w:w="7297" w:type="dxa"/>
            <w:tcBorders>
              <w:top w:val="single" w:color="auto" w:sz="4" w:space="0"/>
              <w:left w:val="single" w:color="auto" w:sz="4" w:space="0"/>
              <w:bottom w:val="single" w:color="auto" w:sz="4" w:space="0"/>
              <w:right w:val="single" w:color="auto" w:sz="4" w:space="0"/>
            </w:tcBorders>
            <w:vAlign w:val="center"/>
          </w:tcPr>
          <w:p>
            <w:pPr>
              <w:pStyle w:val="14"/>
              <w:snapToGrid w:val="0"/>
              <w:spacing w:line="380" w:lineRule="exact"/>
              <w:rPr>
                <w:rFonts w:hAnsi="宋体" w:cs="宋体"/>
                <w:color w:val="auto"/>
                <w:szCs w:val="21"/>
              </w:rPr>
            </w:pPr>
            <w:r>
              <w:rPr>
                <w:rFonts w:hint="eastAsia" w:hAnsi="宋体" w:cs="宋体"/>
                <w:color w:val="auto"/>
                <w:szCs w:val="21"/>
              </w:rPr>
              <w:t>☑本项目采购代理服务费由</w:t>
            </w:r>
            <w:r>
              <w:rPr>
                <w:rFonts w:hint="eastAsia" w:hAnsi="宋体" w:cs="宋体"/>
                <w:color w:val="auto"/>
                <w:szCs w:val="21"/>
                <w:u w:val="single"/>
              </w:rPr>
              <w:t>中标人</w:t>
            </w:r>
            <w:r>
              <w:rPr>
                <w:rFonts w:hint="eastAsia" w:hAnsi="宋体" w:cs="宋体"/>
                <w:color w:val="auto"/>
              </w:rPr>
              <w:t>在签订合同前，以银行转账、电汇等方式一次性向采购代理机构支付</w:t>
            </w:r>
            <w:r>
              <w:rPr>
                <w:rFonts w:hint="eastAsia" w:hAnsi="宋体" w:cs="宋体"/>
                <w:color w:val="auto"/>
                <w:szCs w:val="21"/>
              </w:rPr>
              <w:t>。</w:t>
            </w:r>
          </w:p>
          <w:p>
            <w:pPr>
              <w:pStyle w:val="14"/>
              <w:snapToGrid w:val="0"/>
              <w:spacing w:line="380" w:lineRule="exact"/>
              <w:rPr>
                <w:rFonts w:hAnsi="宋体" w:cs="宋体"/>
                <w:color w:val="auto"/>
                <w:szCs w:val="21"/>
              </w:rPr>
            </w:pPr>
            <w:r>
              <w:rPr>
                <w:rFonts w:hint="eastAsia" w:hAnsi="宋体" w:cs="宋体"/>
                <w:color w:val="auto"/>
                <w:szCs w:val="21"/>
              </w:rPr>
              <w:t>□采购人支付</w:t>
            </w:r>
            <w:r>
              <w:rPr>
                <w:rFonts w:hint="eastAsia" w:hAnsi="宋体" w:cs="宋体"/>
                <w:color w:val="auto"/>
              </w:rPr>
              <w:t>：</w:t>
            </w:r>
          </w:p>
          <w:p>
            <w:pPr>
              <w:pStyle w:val="14"/>
              <w:snapToGrid w:val="0"/>
              <w:spacing w:line="380" w:lineRule="exact"/>
              <w:rPr>
                <w:rFonts w:hAnsi="宋体" w:cs="宋体"/>
                <w:color w:val="auto"/>
                <w:szCs w:val="21"/>
              </w:rPr>
            </w:pPr>
            <w:r>
              <w:rPr>
                <w:rFonts w:hint="eastAsia" w:hAnsi="宋体" w:cs="宋体"/>
                <w:color w:val="auto"/>
                <w:szCs w:val="21"/>
              </w:rPr>
              <w:t>□本项目不收取采购代理服务费。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784" w:hRule="atLeast"/>
          <w:jc w:val="center"/>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Cs w:val="21"/>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auto"/>
                <w:szCs w:val="21"/>
              </w:rPr>
            </w:pPr>
            <w:r>
              <w:rPr>
                <w:rFonts w:hint="eastAsia" w:ascii="宋体" w:hAnsi="宋体" w:cs="宋体"/>
                <w:color w:val="auto"/>
                <w:szCs w:val="21"/>
              </w:rPr>
              <w:t>采购代理费收取标准</w:t>
            </w:r>
          </w:p>
        </w:tc>
        <w:tc>
          <w:tcPr>
            <w:tcW w:w="7297"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rPr>
                <w:rFonts w:ascii="宋体" w:hAnsi="宋体" w:cs="宋体"/>
                <w:color w:val="auto"/>
                <w:szCs w:val="20"/>
              </w:rPr>
            </w:pPr>
            <w:r>
              <w:rPr>
                <w:rFonts w:hint="eastAsia" w:ascii="宋体" w:hAnsi="宋体" w:cs="宋体"/>
                <w:color w:val="auto"/>
                <w:szCs w:val="20"/>
              </w:rPr>
              <w:t>☑以分标（□中标金额/☑采购预算/□暂定中标金额/□其他）为计费额，按本须知正文第40.2条规定的收费计算标准（服务类）采用差额定率累进法计算出收费基准价格，采购代理收费以（☑收费基准价格/□收费基准价格下浮</w:t>
            </w:r>
            <w:r>
              <w:rPr>
                <w:rFonts w:hint="eastAsia" w:ascii="宋体" w:hAnsi="宋体" w:cs="宋体"/>
                <w:color w:val="auto"/>
                <w:szCs w:val="20"/>
                <w:u w:val="single"/>
              </w:rPr>
              <w:t>%</w:t>
            </w:r>
            <w:r>
              <w:rPr>
                <w:rFonts w:ascii="宋体" w:hAnsi="宋体" w:cs="宋体"/>
                <w:color w:val="auto"/>
                <w:szCs w:val="20"/>
              </w:rPr>
              <w:t>/</w:t>
            </w:r>
            <w:r>
              <w:rPr>
                <w:rFonts w:hint="eastAsia" w:ascii="宋体" w:hAnsi="宋体" w:cs="宋体"/>
                <w:color w:val="auto"/>
                <w:szCs w:val="20"/>
              </w:rPr>
              <w:t>□收费基准价格上浮</w:t>
            </w:r>
            <w:r>
              <w:rPr>
                <w:rFonts w:hint="eastAsia" w:ascii="宋体" w:hAnsi="宋体" w:cs="宋体"/>
                <w:color w:val="auto"/>
                <w:szCs w:val="20"/>
                <w:u w:val="single"/>
              </w:rPr>
              <w:t>%</w:t>
            </w:r>
            <w:r>
              <w:rPr>
                <w:rFonts w:hint="eastAsia" w:ascii="宋体" w:hAnsi="宋体" w:cs="宋体"/>
                <w:color w:val="auto"/>
                <w:szCs w:val="20"/>
              </w:rPr>
              <w:t>）收取。</w:t>
            </w:r>
          </w:p>
          <w:p>
            <w:pPr>
              <w:pStyle w:val="14"/>
              <w:snapToGrid w:val="0"/>
              <w:spacing w:line="380" w:lineRule="exact"/>
              <w:rPr>
                <w:rFonts w:hAnsi="宋体" w:cs="宋体"/>
                <w:color w:val="auto"/>
                <w:szCs w:val="21"/>
                <w:u w:val="single"/>
              </w:rPr>
            </w:pPr>
            <w:r>
              <w:rPr>
                <w:rFonts w:hint="eastAsia" w:hAnsi="宋体" w:cs="宋体"/>
                <w:color w:val="auto"/>
              </w:rPr>
              <w:t>□固定采购代理收费：</w:t>
            </w:r>
            <w:r>
              <w:rPr>
                <w:rFonts w:hint="eastAsia" w:hAnsi="宋体" w:cs="宋体"/>
                <w:color w:val="auto"/>
                <w:u w:val="singl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49" w:hRule="atLeast"/>
          <w:jc w:val="center"/>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Cs w:val="21"/>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auto"/>
                <w:szCs w:val="21"/>
              </w:rPr>
            </w:pPr>
            <w:r>
              <w:rPr>
                <w:rFonts w:hint="eastAsia" w:ascii="宋体" w:hAnsi="宋体" w:cs="宋体"/>
                <w:color w:val="auto"/>
                <w:szCs w:val="21"/>
              </w:rPr>
              <w:t>采购代理服务费收款账户信息</w:t>
            </w:r>
          </w:p>
        </w:tc>
        <w:tc>
          <w:tcPr>
            <w:tcW w:w="7297"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rPr>
                <w:rFonts w:ascii="宋体" w:hAnsi="宋体" w:cs="宋体"/>
                <w:color w:val="auto"/>
                <w:szCs w:val="20"/>
              </w:rPr>
            </w:pPr>
            <w:r>
              <w:rPr>
                <w:rFonts w:hint="eastAsia" w:ascii="宋体" w:hAnsi="宋体" w:cs="宋体"/>
                <w:color w:val="auto"/>
                <w:szCs w:val="20"/>
              </w:rPr>
              <w:t>开户名称：广西科联招标中心有限公司</w:t>
            </w:r>
          </w:p>
          <w:p>
            <w:pPr>
              <w:snapToGrid w:val="0"/>
              <w:spacing w:line="380" w:lineRule="exact"/>
              <w:rPr>
                <w:rFonts w:ascii="宋体" w:hAnsi="宋体" w:cs="宋体"/>
                <w:color w:val="auto"/>
                <w:szCs w:val="20"/>
              </w:rPr>
            </w:pPr>
            <w:r>
              <w:rPr>
                <w:rFonts w:hint="eastAsia" w:ascii="宋体" w:hAnsi="宋体" w:cs="宋体"/>
                <w:color w:val="auto"/>
                <w:szCs w:val="20"/>
              </w:rPr>
              <w:t>开户银行：中国工商银行南宁市高新科技支行</w:t>
            </w:r>
          </w:p>
          <w:p>
            <w:pPr>
              <w:snapToGrid w:val="0"/>
              <w:spacing w:line="380" w:lineRule="exact"/>
              <w:rPr>
                <w:rFonts w:ascii="宋体" w:hAnsi="宋体" w:cs="宋体"/>
                <w:color w:val="auto"/>
                <w:szCs w:val="20"/>
              </w:rPr>
            </w:pPr>
            <w:r>
              <w:rPr>
                <w:rFonts w:hint="eastAsia" w:ascii="宋体" w:hAnsi="宋体" w:cs="宋体"/>
                <w:color w:val="auto"/>
                <w:szCs w:val="20"/>
              </w:rPr>
              <w:t>银行账号：2102111229300032105</w:t>
            </w:r>
          </w:p>
          <w:p>
            <w:pPr>
              <w:pStyle w:val="14"/>
              <w:snapToGrid w:val="0"/>
              <w:spacing w:line="380" w:lineRule="exact"/>
              <w:rPr>
                <w:rFonts w:hAnsi="宋体" w:cs="宋体"/>
                <w:color w:val="auto"/>
                <w:szCs w:val="21"/>
              </w:rPr>
            </w:pPr>
            <w:r>
              <w:rPr>
                <w:rFonts w:hint="eastAsia" w:hAnsi="宋体" w:cs="宋体"/>
                <w:color w:val="auto"/>
              </w:rPr>
              <w:t>开户行行号：102611011101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ascii="宋体" w:hAnsi="宋体" w:cs="宋体"/>
                <w:color w:val="auto"/>
                <w:szCs w:val="21"/>
              </w:rPr>
            </w:pPr>
            <w:r>
              <w:rPr>
                <w:rFonts w:hint="eastAsia" w:ascii="宋体" w:hAnsi="宋体" w:cs="宋体"/>
                <w:color w:val="auto"/>
                <w:szCs w:val="21"/>
              </w:rPr>
              <w:t>41.1</w:t>
            </w:r>
          </w:p>
        </w:tc>
        <w:tc>
          <w:tcPr>
            <w:tcW w:w="2268"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rPr>
                <w:rFonts w:ascii="宋体" w:hAnsi="宋体" w:cs="宋体"/>
                <w:color w:val="auto"/>
                <w:szCs w:val="21"/>
              </w:rPr>
            </w:pPr>
            <w:r>
              <w:rPr>
                <w:rFonts w:hint="eastAsia" w:ascii="宋体" w:hAnsi="宋体" w:cs="宋体"/>
                <w:color w:val="auto"/>
                <w:szCs w:val="21"/>
              </w:rPr>
              <w:t>解释</w:t>
            </w:r>
          </w:p>
        </w:tc>
        <w:tc>
          <w:tcPr>
            <w:tcW w:w="7297"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rPr>
                <w:rFonts w:ascii="宋体" w:hAnsi="宋体" w:cs="宋体"/>
                <w:b/>
                <w:color w:val="auto"/>
                <w:szCs w:val="21"/>
              </w:rPr>
            </w:pPr>
            <w:r>
              <w:rPr>
                <w:rFonts w:hint="eastAsia" w:ascii="宋体" w:hAnsi="宋体" w:cs="宋体"/>
                <w:b/>
                <w:color w:val="auto"/>
                <w:szCs w:val="21"/>
              </w:rPr>
              <w:t>解释：</w:t>
            </w:r>
            <w:r>
              <w:rPr>
                <w:rFonts w:hint="eastAsia" w:ascii="宋体" w:hAnsi="宋体" w:cs="宋体"/>
                <w:color w:val="auto"/>
                <w:szCs w:val="21"/>
              </w:rPr>
              <w:t>构成本招标文件的各个组成文件应互为解释，互为说明；除招标文件中有特别规定外，仅适用于招标投标阶段的规定，按更正公告（澄清公告</w:t>
            </w:r>
            <w:r>
              <w:rPr>
                <w:rFonts w:hint="eastAsia" w:ascii="宋体" w:hAnsi="宋体" w:cs="宋体"/>
                <w:color w:val="auto"/>
                <w:szCs w:val="21"/>
                <w:lang w:eastAsia="zh-CN"/>
              </w:rPr>
              <w:t>）</w:t>
            </w:r>
            <w:r>
              <w:rPr>
                <w:rFonts w:hint="eastAsia" w:ascii="宋体" w:hAnsi="宋体" w:cs="宋体"/>
                <w:color w:val="auto"/>
                <w:szCs w:val="21"/>
              </w:rPr>
              <w:t>招标公告、采购需求、投标人须知、评标方法和评标标准、拟签订的合同文本、投标文件格式的先后顺序解释；同一组成文件中就同一事项的规定或者约定不一致的，以编排顺序在后者为准；同一组成文件不同版本之间有不一致的，以形成时间在后者为准；更正公告（澄清公告）与同步更新的招标文件不一致时以更正公告（澄清公告）为准。按本款前述规定仍不能形成结论的</w:t>
            </w:r>
            <w:r>
              <w:rPr>
                <w:rFonts w:hint="eastAsia" w:ascii="宋体" w:hAnsi="宋体" w:cs="宋体"/>
                <w:b/>
                <w:color w:val="auto"/>
                <w:szCs w:val="21"/>
              </w:rPr>
              <w:t>，由采购人或者采购代理机构负责解释。</w:t>
            </w:r>
          </w:p>
          <w:p>
            <w:pPr>
              <w:snapToGrid w:val="0"/>
              <w:spacing w:line="380" w:lineRule="exact"/>
              <w:rPr>
                <w:rFonts w:ascii="宋体" w:hAnsi="宋体" w:cs="宋体"/>
                <w:b/>
                <w:color w:val="auto"/>
                <w:szCs w:val="21"/>
              </w:rPr>
            </w:pPr>
            <w:r>
              <w:rPr>
                <w:rFonts w:hint="eastAsia" w:ascii="宋体" w:hAnsi="宋体" w:cs="宋体"/>
                <w:b/>
                <w:color w:val="auto"/>
                <w:szCs w:val="21"/>
              </w:rPr>
              <w:t>法律责任：</w:t>
            </w:r>
          </w:p>
          <w:p>
            <w:pPr>
              <w:spacing w:line="380" w:lineRule="exact"/>
              <w:rPr>
                <w:rFonts w:ascii="宋体" w:hAnsi="宋体" w:cs="宋体"/>
                <w:color w:val="auto"/>
                <w:szCs w:val="21"/>
              </w:rPr>
            </w:pPr>
            <w:r>
              <w:rPr>
                <w:rFonts w:hint="eastAsia" w:ascii="宋体" w:hAnsi="宋体" w:cs="宋体"/>
                <w:color w:val="auto"/>
                <w:szCs w:val="21"/>
              </w:rPr>
              <w:t>本采购文件根据《中华人民共和国政府采购法》、《中华人民共和国民法典》；《中华人民共和国政府采购法实施条例》、《政府采购货物和服务招标投标管理办法》等有关法律、法规编制，参与本项目的各政府采购当事人依法享有上述法律法规所赋予的权利与义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ascii="宋体" w:hAnsi="宋体" w:cs="宋体"/>
                <w:color w:val="auto"/>
                <w:szCs w:val="21"/>
              </w:rPr>
            </w:pPr>
            <w:r>
              <w:rPr>
                <w:rFonts w:hint="eastAsia" w:ascii="宋体" w:hAnsi="宋体" w:cs="宋体"/>
                <w:color w:val="auto"/>
                <w:szCs w:val="21"/>
              </w:rPr>
              <w:t>41.2</w:t>
            </w:r>
          </w:p>
        </w:tc>
        <w:tc>
          <w:tcPr>
            <w:tcW w:w="2268"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rPr>
                <w:rFonts w:ascii="宋体" w:hAnsi="宋体" w:cs="宋体"/>
                <w:color w:val="auto"/>
                <w:szCs w:val="21"/>
              </w:rPr>
            </w:pPr>
            <w:r>
              <w:rPr>
                <w:rFonts w:hint="eastAsia" w:ascii="宋体" w:hAnsi="宋体" w:cs="宋体"/>
                <w:color w:val="auto"/>
                <w:szCs w:val="21"/>
              </w:rPr>
              <w:t>其他释义</w:t>
            </w:r>
          </w:p>
        </w:tc>
        <w:tc>
          <w:tcPr>
            <w:tcW w:w="7297"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ind w:firstLine="420" w:firstLineChars="200"/>
              <w:rPr>
                <w:rFonts w:ascii="宋体" w:hAnsi="宋体" w:cs="宋体"/>
                <w:color w:val="auto"/>
                <w:szCs w:val="20"/>
              </w:rPr>
            </w:pPr>
            <w:r>
              <w:rPr>
                <w:rFonts w:hint="eastAsia" w:ascii="宋体" w:hAnsi="宋体" w:cs="宋体"/>
                <w:color w:val="auto"/>
                <w:szCs w:val="20"/>
              </w:rPr>
              <w:t>1.本招标文件中描述投标人的“公章”是指根据我国对公章的管理规定，用投标人法定主体行为名称制作的实物印章或投标人通过指定电子化政府采购平台办理数字证书（CA认证）获得的以法定主体行为名称制作的电子印章。除本招标文件有特殊规定外，投标人的财务章、部门章、分公司章、工会章、合同章、投标专用章、业务专用章及银行的转账章、现金收讫章、现金付讫章等其他形式印章均不能代替公章。</w:t>
            </w:r>
          </w:p>
          <w:p>
            <w:pPr>
              <w:snapToGrid w:val="0"/>
              <w:spacing w:line="380" w:lineRule="exact"/>
              <w:ind w:firstLine="420" w:firstLineChars="200"/>
              <w:rPr>
                <w:rFonts w:ascii="宋体" w:hAnsi="宋体" w:cs="宋体"/>
                <w:color w:val="auto"/>
                <w:szCs w:val="20"/>
              </w:rPr>
            </w:pPr>
            <w:r>
              <w:rPr>
                <w:rFonts w:hint="eastAsia" w:ascii="宋体" w:hAnsi="宋体" w:cs="宋体"/>
                <w:color w:val="auto"/>
                <w:szCs w:val="20"/>
              </w:rPr>
              <w:t>2.本招标文件中描述投标人的“签字”是指投标人通过指定电子化政府采购平台办理数字证书（CA认证）获得的以投标人法定代表人或者委托代理人姓名制作的电子印章或手写签字。</w:t>
            </w:r>
          </w:p>
          <w:p>
            <w:pPr>
              <w:snapToGrid w:val="0"/>
              <w:spacing w:line="380" w:lineRule="exact"/>
              <w:ind w:firstLine="420" w:firstLineChars="200"/>
              <w:rPr>
                <w:rFonts w:ascii="宋体" w:hAnsi="宋体" w:cs="宋体"/>
                <w:color w:val="auto"/>
                <w:szCs w:val="20"/>
              </w:rPr>
            </w:pPr>
            <w:r>
              <w:rPr>
                <w:rFonts w:hint="eastAsia" w:ascii="宋体" w:hAnsi="宋体" w:cs="宋体"/>
                <w:color w:val="auto"/>
                <w:szCs w:val="20"/>
              </w:rPr>
              <w:t>3.本招标文件所称的“电子签章”“电子签名”，是指经“政采云”平台认可的CA认证的电子签名数据为表现形式的印章，可用于签署电子投标文件，电子印章与实物印章具有同等法律效力，不因其采用电子化表现形式而否定其法律效力。</w:t>
            </w:r>
          </w:p>
          <w:p>
            <w:pPr>
              <w:snapToGrid w:val="0"/>
              <w:spacing w:line="380" w:lineRule="exact"/>
              <w:ind w:firstLine="420" w:firstLineChars="200"/>
              <w:rPr>
                <w:rFonts w:ascii="宋体" w:hAnsi="宋体" w:cs="宋体"/>
                <w:color w:val="auto"/>
                <w:szCs w:val="20"/>
              </w:rPr>
            </w:pPr>
            <w:r>
              <w:rPr>
                <w:rFonts w:hint="eastAsia" w:ascii="宋体" w:hAnsi="宋体" w:cs="宋体"/>
                <w:color w:val="auto"/>
                <w:szCs w:val="20"/>
              </w:rPr>
              <w:t>4.投标人为其他组织或者自然人时，本招标文件规定的法定代表人指负责人或者自然人。本招标文件所称负责人是指参加投标的其他组织营业执照上的负责人，本招标文件所称自然人指参与投标的自然人本人。</w:t>
            </w:r>
          </w:p>
          <w:p>
            <w:pPr>
              <w:snapToGrid w:val="0"/>
              <w:spacing w:line="380" w:lineRule="exact"/>
              <w:ind w:firstLine="420" w:firstLineChars="200"/>
              <w:rPr>
                <w:rFonts w:ascii="宋体" w:hAnsi="宋体" w:cs="宋体"/>
                <w:color w:val="auto"/>
                <w:szCs w:val="20"/>
              </w:rPr>
            </w:pPr>
            <w:r>
              <w:rPr>
                <w:rFonts w:hint="eastAsia" w:ascii="宋体" w:hAnsi="宋体" w:cs="宋体"/>
                <w:color w:val="auto"/>
                <w:szCs w:val="20"/>
              </w:rPr>
              <w:t>5.自然人投标的，招标文件规定盖公章处由自然人摁手指指印。</w:t>
            </w:r>
          </w:p>
          <w:p>
            <w:pPr>
              <w:snapToGrid w:val="0"/>
              <w:spacing w:line="380" w:lineRule="exact"/>
              <w:rPr>
                <w:rFonts w:ascii="宋体" w:hAnsi="宋体" w:cs="宋体"/>
                <w:color w:val="auto"/>
                <w:szCs w:val="21"/>
              </w:rPr>
            </w:pPr>
            <w:r>
              <w:rPr>
                <w:rFonts w:hint="eastAsia" w:ascii="宋体" w:hAnsi="宋体" w:cs="宋体"/>
                <w:color w:val="auto"/>
                <w:szCs w:val="20"/>
              </w:rPr>
              <w:t xml:space="preserve">    6.本招标文件所称的“以上”“以下”“以内”“届满”，包括本数；所称的“不满”“超过”“以外”，不包括本数。</w:t>
            </w:r>
          </w:p>
        </w:tc>
      </w:tr>
    </w:tbl>
    <w:p>
      <w:pPr>
        <w:widowControl/>
        <w:spacing w:line="412" w:lineRule="auto"/>
        <w:jc w:val="left"/>
        <w:rPr>
          <w:rFonts w:ascii="Arial" w:hAnsi="Arial" w:eastAsia="黑体"/>
          <w:b/>
          <w:bCs/>
          <w:color w:val="auto"/>
          <w:sz w:val="32"/>
          <w:szCs w:val="32"/>
        </w:rPr>
        <w:sectPr>
          <w:pgSz w:w="11905" w:h="16838"/>
          <w:pgMar w:top="1134" w:right="1134" w:bottom="1134" w:left="1134" w:header="850" w:footer="850" w:gutter="0"/>
          <w:cols w:space="0" w:num="1"/>
          <w:titlePg/>
          <w:rtlGutter w:val="0"/>
          <w:docGrid w:linePitch="331" w:charSpace="0"/>
        </w:sectPr>
      </w:pPr>
    </w:p>
    <w:p>
      <w:pPr>
        <w:rPr>
          <w:color w:val="auto"/>
        </w:rPr>
      </w:pPr>
    </w:p>
    <w:p>
      <w:pPr>
        <w:pStyle w:val="4"/>
        <w:jc w:val="center"/>
        <w:rPr>
          <w:color w:val="auto"/>
        </w:rPr>
      </w:pPr>
      <w:bookmarkStart w:id="111" w:name="_Toc25117"/>
      <w:bookmarkStart w:id="112" w:name="_Toc24313"/>
      <w:bookmarkStart w:id="113" w:name="_Toc29311"/>
      <w:bookmarkStart w:id="114" w:name="_Toc11336"/>
      <w:bookmarkStart w:id="115" w:name="_Toc1030"/>
      <w:bookmarkStart w:id="116" w:name="_Toc13813"/>
      <w:bookmarkStart w:id="117" w:name="_Toc30841"/>
      <w:bookmarkStart w:id="118" w:name="_Toc7784"/>
      <w:bookmarkStart w:id="119" w:name="_Toc8807"/>
      <w:bookmarkStart w:id="120" w:name="_Toc453"/>
      <w:r>
        <w:rPr>
          <w:rFonts w:hint="eastAsia"/>
          <w:color w:val="auto"/>
        </w:rPr>
        <w:t>第二节投标人须知正文</w:t>
      </w:r>
      <w:bookmarkEnd w:id="111"/>
      <w:bookmarkEnd w:id="112"/>
      <w:bookmarkEnd w:id="113"/>
      <w:bookmarkEnd w:id="114"/>
      <w:bookmarkEnd w:id="115"/>
      <w:bookmarkEnd w:id="116"/>
      <w:bookmarkEnd w:id="117"/>
      <w:bookmarkEnd w:id="118"/>
      <w:bookmarkEnd w:id="119"/>
      <w:bookmarkEnd w:id="120"/>
    </w:p>
    <w:p>
      <w:pPr>
        <w:pStyle w:val="5"/>
        <w:keepNext w:val="0"/>
        <w:keepLines w:val="0"/>
        <w:spacing w:line="400" w:lineRule="exact"/>
        <w:jc w:val="center"/>
        <w:rPr>
          <w:color w:val="auto"/>
        </w:rPr>
      </w:pPr>
      <w:bookmarkStart w:id="121" w:name="_Toc19454"/>
      <w:bookmarkStart w:id="122" w:name="_Toc3522"/>
      <w:bookmarkStart w:id="123" w:name="_Toc21176"/>
      <w:bookmarkStart w:id="124" w:name="_Toc22266"/>
      <w:bookmarkStart w:id="125" w:name="_Toc3607"/>
      <w:bookmarkStart w:id="126" w:name="_Toc18594"/>
      <w:bookmarkStart w:id="127" w:name="_Toc30794"/>
      <w:bookmarkStart w:id="128" w:name="_Toc15523"/>
      <w:bookmarkStart w:id="129" w:name="_Toc6594"/>
      <w:bookmarkStart w:id="130" w:name="_Toc28360"/>
      <w:r>
        <w:rPr>
          <w:rFonts w:hint="eastAsia"/>
          <w:color w:val="auto"/>
        </w:rPr>
        <w:t>一、总则</w:t>
      </w:r>
      <w:bookmarkEnd w:id="121"/>
      <w:bookmarkEnd w:id="122"/>
      <w:bookmarkEnd w:id="123"/>
      <w:bookmarkEnd w:id="124"/>
      <w:bookmarkEnd w:id="125"/>
      <w:bookmarkEnd w:id="126"/>
      <w:bookmarkEnd w:id="127"/>
      <w:bookmarkEnd w:id="128"/>
      <w:bookmarkEnd w:id="129"/>
      <w:bookmarkEnd w:id="130"/>
    </w:p>
    <w:p>
      <w:pPr>
        <w:spacing w:line="360" w:lineRule="auto"/>
        <w:ind w:firstLine="480" w:firstLineChars="200"/>
        <w:rPr>
          <w:rFonts w:ascii="黑体" w:hAnsi="黑体" w:eastAsia="黑体"/>
          <w:color w:val="auto"/>
          <w:sz w:val="24"/>
        </w:rPr>
      </w:pPr>
      <w:bookmarkStart w:id="131" w:name="_Toc254970527"/>
      <w:bookmarkStart w:id="132" w:name="_Toc254970668"/>
      <w:r>
        <w:rPr>
          <w:rFonts w:hint="eastAsia" w:ascii="黑体" w:hAnsi="黑体" w:eastAsia="黑体"/>
          <w:color w:val="auto"/>
          <w:sz w:val="24"/>
        </w:rPr>
        <w:t>1.适用范围</w:t>
      </w:r>
      <w:bookmarkEnd w:id="131"/>
      <w:bookmarkEnd w:id="132"/>
    </w:p>
    <w:p>
      <w:pPr>
        <w:spacing w:line="360" w:lineRule="auto"/>
        <w:ind w:firstLine="420" w:firstLineChars="200"/>
        <w:rPr>
          <w:rFonts w:ascii="宋体" w:hAnsi="宋体"/>
          <w:color w:val="auto"/>
          <w:szCs w:val="21"/>
        </w:rPr>
      </w:pPr>
      <w:r>
        <w:rPr>
          <w:rFonts w:hint="eastAsia" w:ascii="宋体" w:hAnsi="宋体"/>
          <w:color w:val="auto"/>
          <w:szCs w:val="21"/>
        </w:rPr>
        <w:t>1.1适用法律：本项目采购人、采购代理机构、投标人、评标委员会的相关行为均受《中华人民共和国政府采购法》、《中华人民共和国政府采购法实施条例》、《政府采购货物和服务招标投标管理办法》及本项目本级和上级财政部门政府采购有关规定的约束和保护。</w:t>
      </w:r>
    </w:p>
    <w:p>
      <w:pPr>
        <w:spacing w:line="360" w:lineRule="auto"/>
        <w:ind w:firstLine="420" w:firstLineChars="200"/>
        <w:rPr>
          <w:rFonts w:ascii="宋体" w:hAnsi="宋体"/>
          <w:color w:val="auto"/>
          <w:szCs w:val="21"/>
        </w:rPr>
      </w:pPr>
      <w:r>
        <w:rPr>
          <w:rFonts w:hint="eastAsia" w:ascii="宋体" w:hAnsi="宋体"/>
          <w:color w:val="auto"/>
          <w:szCs w:val="21"/>
        </w:rPr>
        <w:t>1.2本招标文件</w:t>
      </w:r>
      <w:r>
        <w:rPr>
          <w:rFonts w:hint="eastAsia" w:ascii="宋体" w:hAnsi="宋体" w:cs="宋体"/>
          <w:color w:val="auto"/>
          <w:spacing w:val="-6"/>
          <w:szCs w:val="21"/>
        </w:rPr>
        <w:t>适用于本项目的所有采购程序和环节（法律、法规另有规定的，从其规定）。</w:t>
      </w:r>
    </w:p>
    <w:p>
      <w:pPr>
        <w:spacing w:line="360" w:lineRule="auto"/>
        <w:ind w:firstLine="480" w:firstLineChars="200"/>
        <w:rPr>
          <w:rFonts w:ascii="黑体" w:hAnsi="黑体" w:eastAsia="黑体"/>
          <w:color w:val="auto"/>
          <w:sz w:val="24"/>
        </w:rPr>
      </w:pPr>
      <w:bookmarkStart w:id="133" w:name="_Toc254970528"/>
      <w:bookmarkStart w:id="134" w:name="_Toc254970669"/>
      <w:r>
        <w:rPr>
          <w:rFonts w:hint="eastAsia" w:ascii="黑体" w:hAnsi="黑体" w:eastAsia="黑体"/>
          <w:color w:val="auto"/>
          <w:sz w:val="24"/>
        </w:rPr>
        <w:t>2.定义</w:t>
      </w:r>
      <w:bookmarkEnd w:id="133"/>
      <w:bookmarkEnd w:id="134"/>
    </w:p>
    <w:p>
      <w:pPr>
        <w:spacing w:line="360" w:lineRule="auto"/>
        <w:ind w:firstLine="422" w:firstLineChars="200"/>
        <w:rPr>
          <w:rFonts w:ascii="宋体" w:hAnsi="宋体"/>
          <w:b/>
          <w:color w:val="auto"/>
          <w:szCs w:val="21"/>
        </w:rPr>
      </w:pPr>
      <w:r>
        <w:rPr>
          <w:rFonts w:hint="eastAsia" w:ascii="宋体" w:hAnsi="宋体"/>
          <w:b/>
          <w:color w:val="auto"/>
          <w:szCs w:val="21"/>
        </w:rPr>
        <w:t>2.1“采购人”是指依法进行政府采购的国家机关、事业单位、团体组织。</w:t>
      </w:r>
    </w:p>
    <w:p>
      <w:pPr>
        <w:spacing w:line="360" w:lineRule="auto"/>
        <w:ind w:firstLine="422" w:firstLineChars="200"/>
        <w:rPr>
          <w:rFonts w:ascii="宋体" w:hAnsi="宋体"/>
          <w:b/>
          <w:color w:val="auto"/>
          <w:szCs w:val="21"/>
        </w:rPr>
      </w:pPr>
      <w:r>
        <w:rPr>
          <w:rFonts w:hint="eastAsia" w:ascii="宋体" w:hAnsi="宋体"/>
          <w:b/>
          <w:color w:val="auto"/>
          <w:szCs w:val="21"/>
        </w:rPr>
        <w:t>2.2“采购代理机构” 指政府采购集中采购机构和集中采购机构以外的采购代理机构。</w:t>
      </w:r>
    </w:p>
    <w:p>
      <w:pPr>
        <w:spacing w:line="360" w:lineRule="auto"/>
        <w:ind w:firstLine="422" w:firstLineChars="200"/>
        <w:rPr>
          <w:rFonts w:ascii="宋体" w:hAnsi="宋体"/>
          <w:b/>
          <w:color w:val="auto"/>
          <w:szCs w:val="21"/>
        </w:rPr>
      </w:pPr>
      <w:r>
        <w:rPr>
          <w:rFonts w:hint="eastAsia" w:ascii="宋体" w:hAnsi="宋体"/>
          <w:b/>
          <w:color w:val="auto"/>
          <w:szCs w:val="21"/>
        </w:rPr>
        <w:t>2.3“供应商”是指向采购人提供货物、工程或者服务的法人、其他组织或者自然人。</w:t>
      </w:r>
    </w:p>
    <w:p>
      <w:pPr>
        <w:spacing w:line="360" w:lineRule="auto"/>
        <w:ind w:firstLine="422" w:firstLineChars="200"/>
        <w:rPr>
          <w:rFonts w:ascii="宋体" w:hAnsi="宋体"/>
          <w:b/>
          <w:bCs/>
          <w:color w:val="auto"/>
          <w:szCs w:val="21"/>
        </w:rPr>
      </w:pPr>
      <w:r>
        <w:rPr>
          <w:rFonts w:hint="eastAsia" w:ascii="宋体" w:hAnsi="宋体"/>
          <w:b/>
          <w:bCs/>
          <w:color w:val="auto"/>
          <w:szCs w:val="21"/>
        </w:rPr>
        <w:t>2.4“投标人”是指响应招标、参加投标竞争的法人、非法人组织或者自然人。</w:t>
      </w:r>
    </w:p>
    <w:p>
      <w:pPr>
        <w:spacing w:line="360" w:lineRule="auto"/>
        <w:ind w:firstLine="422" w:firstLineChars="200"/>
        <w:rPr>
          <w:rFonts w:ascii="宋体" w:hAnsi="宋体"/>
          <w:b/>
          <w:color w:val="auto"/>
          <w:szCs w:val="21"/>
        </w:rPr>
      </w:pPr>
      <w:r>
        <w:rPr>
          <w:rFonts w:hint="eastAsia" w:ascii="宋体" w:hAnsi="宋体"/>
          <w:b/>
          <w:color w:val="auto"/>
          <w:szCs w:val="21"/>
        </w:rPr>
        <w:t>2.5“服务”是指除货物和工程以外的其他政府采购对象。</w:t>
      </w:r>
    </w:p>
    <w:p>
      <w:pPr>
        <w:spacing w:line="360" w:lineRule="auto"/>
        <w:ind w:firstLine="422" w:firstLineChars="200"/>
        <w:rPr>
          <w:rFonts w:ascii="宋体" w:hAnsi="宋体"/>
          <w:b/>
          <w:color w:val="auto"/>
          <w:szCs w:val="21"/>
        </w:rPr>
      </w:pPr>
      <w:r>
        <w:rPr>
          <w:rFonts w:hint="eastAsia" w:ascii="宋体" w:hAnsi="宋体"/>
          <w:b/>
          <w:color w:val="auto"/>
          <w:szCs w:val="21"/>
        </w:rPr>
        <w:t>2.6“书面形式”是指合同书、信件和数据电文（包括电报、电传、传真、短信、电子数据交换和电子邮件）等可以有形地表现所载内容的形式。</w:t>
      </w:r>
    </w:p>
    <w:p>
      <w:pPr>
        <w:spacing w:line="360" w:lineRule="auto"/>
        <w:ind w:firstLine="422" w:firstLineChars="200"/>
        <w:rPr>
          <w:rFonts w:ascii="宋体" w:hAnsi="宋体"/>
          <w:b/>
          <w:color w:val="auto"/>
          <w:szCs w:val="21"/>
        </w:rPr>
      </w:pPr>
      <w:r>
        <w:rPr>
          <w:rFonts w:hint="eastAsia" w:ascii="宋体" w:hAnsi="宋体"/>
          <w:b/>
          <w:color w:val="auto"/>
          <w:szCs w:val="21"/>
        </w:rPr>
        <w:t>2.7“实质性要求”是指招标文件中已经指明不满足则投标无效的条款，或者不能负偏离的条款，或者采购需求中带“</w:t>
      </w:r>
      <w:r>
        <w:rPr>
          <w:rFonts w:hint="eastAsia" w:ascii="宋体" w:hAnsi="宋体"/>
          <w:b/>
          <w:bCs/>
          <w:color w:val="auto"/>
          <w:szCs w:val="21"/>
        </w:rPr>
        <w:t>▲</w:t>
      </w:r>
      <w:r>
        <w:rPr>
          <w:rFonts w:hint="eastAsia" w:ascii="宋体" w:hAnsi="宋体"/>
          <w:b/>
          <w:color w:val="auto"/>
          <w:szCs w:val="21"/>
        </w:rPr>
        <w:t>”的条款。</w:t>
      </w:r>
    </w:p>
    <w:p>
      <w:pPr>
        <w:spacing w:line="360" w:lineRule="auto"/>
        <w:ind w:firstLine="420" w:firstLineChars="200"/>
        <w:rPr>
          <w:rFonts w:ascii="宋体" w:hAnsi="宋体" w:cs="宋体"/>
          <w:color w:val="auto"/>
          <w:szCs w:val="21"/>
        </w:rPr>
      </w:pPr>
      <w:r>
        <w:rPr>
          <w:rFonts w:hint="eastAsia" w:ascii="宋体" w:hAnsi="宋体"/>
          <w:color w:val="auto"/>
          <w:szCs w:val="21"/>
        </w:rPr>
        <w:t>2.8</w:t>
      </w:r>
      <w:r>
        <w:rPr>
          <w:rFonts w:hint="eastAsia" w:ascii="宋体" w:hAnsi="宋体" w:cs="宋体"/>
          <w:color w:val="auto"/>
          <w:szCs w:val="21"/>
        </w:rPr>
        <w:t>“正偏离”，是指投标文件对招标文件“采购需求”中有关条款作出的响应优于条款要求并有利于采购人的情形。</w:t>
      </w:r>
    </w:p>
    <w:p>
      <w:pPr>
        <w:spacing w:line="360" w:lineRule="auto"/>
        <w:ind w:firstLine="420" w:firstLineChars="200"/>
        <w:rPr>
          <w:rFonts w:ascii="宋体" w:hAnsi="宋体" w:cs="宋体"/>
          <w:color w:val="auto"/>
          <w:szCs w:val="21"/>
        </w:rPr>
      </w:pPr>
      <w:r>
        <w:rPr>
          <w:rFonts w:hint="eastAsia" w:ascii="宋体" w:hAnsi="宋体" w:cs="宋体"/>
          <w:color w:val="auto"/>
          <w:szCs w:val="21"/>
        </w:rPr>
        <w:t>2.9“负偏离”，是指投标文件对招标文件“采购需求”中有关条款作出的响应不满足条款要求，导致采购人要求不能得到满足的情形。</w:t>
      </w:r>
    </w:p>
    <w:p>
      <w:pPr>
        <w:spacing w:line="360" w:lineRule="auto"/>
        <w:ind w:firstLine="420" w:firstLineChars="200"/>
        <w:rPr>
          <w:rFonts w:ascii="宋体" w:hAnsi="宋体"/>
          <w:color w:val="auto"/>
          <w:szCs w:val="21"/>
        </w:rPr>
      </w:pPr>
      <w:r>
        <w:rPr>
          <w:rFonts w:hint="eastAsia" w:ascii="宋体" w:hAnsi="宋体"/>
          <w:color w:val="auto"/>
          <w:szCs w:val="21"/>
        </w:rPr>
        <w:t>2.10</w:t>
      </w:r>
      <w:r>
        <w:rPr>
          <w:rFonts w:hint="eastAsia" w:ascii="宋体" w:hAnsi="宋体" w:cs="宋体"/>
          <w:color w:val="auto"/>
          <w:szCs w:val="21"/>
        </w:rPr>
        <w:t>“允许负偏离的条款”是指采购需求中的不属于“实质性要求”的条款。</w:t>
      </w:r>
      <w:bookmarkStart w:id="135" w:name="_Toc254970670"/>
      <w:bookmarkStart w:id="136" w:name="_Toc254970529"/>
    </w:p>
    <w:p>
      <w:pPr>
        <w:spacing w:line="360" w:lineRule="auto"/>
        <w:ind w:firstLine="480" w:firstLineChars="200"/>
        <w:rPr>
          <w:rFonts w:ascii="黑体" w:hAnsi="黑体" w:eastAsia="黑体"/>
          <w:color w:val="auto"/>
          <w:sz w:val="24"/>
        </w:rPr>
      </w:pPr>
      <w:r>
        <w:rPr>
          <w:rFonts w:hint="eastAsia" w:ascii="黑体" w:hAnsi="黑体" w:eastAsia="黑体"/>
          <w:color w:val="auto"/>
          <w:sz w:val="24"/>
        </w:rPr>
        <w:t>3.</w:t>
      </w:r>
      <w:bookmarkEnd w:id="135"/>
      <w:bookmarkEnd w:id="136"/>
      <w:r>
        <w:rPr>
          <w:rFonts w:hint="eastAsia" w:ascii="黑体" w:hAnsi="黑体" w:eastAsia="黑体"/>
          <w:color w:val="auto"/>
          <w:sz w:val="24"/>
        </w:rPr>
        <w:t>投标人的资格要求</w:t>
      </w:r>
    </w:p>
    <w:p>
      <w:pPr>
        <w:spacing w:line="360" w:lineRule="auto"/>
        <w:ind w:firstLine="420" w:firstLineChars="200"/>
        <w:rPr>
          <w:rFonts w:ascii="宋体" w:hAnsi="宋体"/>
          <w:color w:val="auto"/>
          <w:szCs w:val="21"/>
        </w:rPr>
      </w:pPr>
      <w:r>
        <w:rPr>
          <w:rFonts w:hint="eastAsia" w:ascii="宋体" w:hAnsi="宋体"/>
          <w:color w:val="auto"/>
          <w:szCs w:val="21"/>
        </w:rPr>
        <w:t>投标人的资格要求详见“招标公告”。</w:t>
      </w:r>
    </w:p>
    <w:p>
      <w:pPr>
        <w:spacing w:line="360" w:lineRule="auto"/>
        <w:ind w:firstLine="480" w:firstLineChars="200"/>
        <w:rPr>
          <w:rFonts w:ascii="黑体" w:hAnsi="黑体" w:eastAsia="黑体"/>
          <w:color w:val="auto"/>
          <w:sz w:val="24"/>
        </w:rPr>
      </w:pPr>
      <w:bookmarkStart w:id="137" w:name="_Toc254970530"/>
      <w:bookmarkStart w:id="138" w:name="_Toc254970671"/>
      <w:r>
        <w:rPr>
          <w:rFonts w:hint="eastAsia" w:ascii="黑体" w:hAnsi="黑体" w:eastAsia="黑体"/>
          <w:color w:val="auto"/>
          <w:sz w:val="24"/>
        </w:rPr>
        <w:t>4.投标委托</w:t>
      </w:r>
      <w:bookmarkEnd w:id="137"/>
      <w:bookmarkEnd w:id="138"/>
    </w:p>
    <w:p>
      <w:pPr>
        <w:spacing w:line="360" w:lineRule="auto"/>
        <w:ind w:firstLine="420" w:firstLineChars="200"/>
        <w:rPr>
          <w:rFonts w:ascii="宋体" w:hAnsi="宋体"/>
          <w:color w:val="auto"/>
          <w:szCs w:val="21"/>
        </w:rPr>
      </w:pPr>
      <w:r>
        <w:rPr>
          <w:rFonts w:hint="eastAsia" w:ascii="宋体" w:hAnsi="宋体"/>
          <w:color w:val="auto"/>
          <w:szCs w:val="21"/>
        </w:rPr>
        <w:t>投标人代表参加投标活动过程中必须携带个人有效身份证件。如投标人代表不是法定代表人，须持有法定代表人授权委托书（按第六章要求格式填写）。</w:t>
      </w:r>
    </w:p>
    <w:p>
      <w:pPr>
        <w:spacing w:line="360" w:lineRule="auto"/>
        <w:ind w:firstLine="480" w:firstLineChars="200"/>
        <w:rPr>
          <w:rFonts w:ascii="黑体" w:hAnsi="黑体" w:eastAsia="黑体"/>
          <w:color w:val="auto"/>
          <w:sz w:val="24"/>
        </w:rPr>
      </w:pPr>
      <w:bookmarkStart w:id="139" w:name="_5.投标费用"/>
      <w:bookmarkEnd w:id="139"/>
      <w:bookmarkStart w:id="140" w:name="_Toc254970672"/>
      <w:bookmarkStart w:id="141" w:name="_Toc254970531"/>
      <w:r>
        <w:rPr>
          <w:rFonts w:hint="eastAsia" w:ascii="黑体" w:hAnsi="黑体" w:eastAsia="黑体"/>
          <w:color w:val="auto"/>
          <w:sz w:val="24"/>
        </w:rPr>
        <w:t>5.投标费用</w:t>
      </w:r>
      <w:bookmarkEnd w:id="140"/>
      <w:bookmarkEnd w:id="141"/>
    </w:p>
    <w:p>
      <w:pPr>
        <w:spacing w:line="360" w:lineRule="auto"/>
        <w:ind w:firstLine="420" w:firstLineChars="200"/>
        <w:rPr>
          <w:rFonts w:ascii="宋体" w:hAnsi="宋体"/>
          <w:color w:val="auto"/>
          <w:szCs w:val="21"/>
        </w:rPr>
      </w:pPr>
      <w:r>
        <w:rPr>
          <w:rFonts w:hint="eastAsia" w:ascii="宋体" w:hAnsi="宋体" w:cs="宋体"/>
          <w:color w:val="auto"/>
          <w:szCs w:val="21"/>
        </w:rPr>
        <w:t>投标费用：投标人应承担参与本次采购活动有关的所有费用，包括但不限于勘查现场、编制投标文件、参加澄清说明、签订合同等，不论投标结果如何，均应自行承担。</w:t>
      </w:r>
    </w:p>
    <w:p>
      <w:pPr>
        <w:spacing w:line="360" w:lineRule="auto"/>
        <w:ind w:firstLine="480" w:firstLineChars="200"/>
        <w:rPr>
          <w:rFonts w:ascii="黑体" w:hAnsi="黑体" w:eastAsia="黑体"/>
          <w:color w:val="auto"/>
          <w:sz w:val="24"/>
        </w:rPr>
      </w:pPr>
      <w:r>
        <w:rPr>
          <w:rFonts w:hint="eastAsia" w:ascii="黑体" w:hAnsi="黑体" w:eastAsia="黑体"/>
          <w:color w:val="auto"/>
          <w:sz w:val="24"/>
        </w:rPr>
        <w:t>6.联合体投标</w:t>
      </w:r>
    </w:p>
    <w:p>
      <w:pPr>
        <w:spacing w:line="360" w:lineRule="auto"/>
        <w:ind w:firstLine="420" w:firstLineChars="200"/>
        <w:rPr>
          <w:rFonts w:ascii="宋体" w:hAnsi="宋体"/>
          <w:color w:val="auto"/>
          <w:szCs w:val="21"/>
        </w:rPr>
      </w:pPr>
      <w:r>
        <w:rPr>
          <w:rFonts w:hint="eastAsia" w:ascii="宋体" w:hAnsi="宋体"/>
          <w:color w:val="auto"/>
          <w:szCs w:val="21"/>
        </w:rPr>
        <w:t>6.1本项目是否接受联合体投标，详见“投标人须知前附表”。</w:t>
      </w:r>
    </w:p>
    <w:p>
      <w:pPr>
        <w:spacing w:line="360" w:lineRule="auto"/>
        <w:ind w:firstLine="420" w:firstLineChars="200"/>
        <w:rPr>
          <w:rFonts w:ascii="宋体" w:hAnsi="宋体"/>
          <w:bCs/>
          <w:color w:val="auto"/>
          <w:szCs w:val="21"/>
        </w:rPr>
      </w:pPr>
      <w:r>
        <w:rPr>
          <w:rFonts w:hint="eastAsia" w:ascii="宋体" w:hAnsi="宋体"/>
          <w:bCs/>
          <w:color w:val="auto"/>
          <w:szCs w:val="21"/>
        </w:rPr>
        <w:t>6.2如接受联合体投标，联合体投标要求详见“投标人须知前附表”。</w:t>
      </w:r>
    </w:p>
    <w:p>
      <w:pPr>
        <w:spacing w:line="360" w:lineRule="auto"/>
        <w:ind w:firstLine="420" w:firstLineChars="200"/>
        <w:rPr>
          <w:rFonts w:ascii="宋体" w:hAnsi="宋体" w:cs="宋体"/>
          <w:bCs/>
          <w:color w:val="auto"/>
          <w:sz w:val="24"/>
          <w:szCs w:val="21"/>
          <w:shd w:val="clear" w:color="auto" w:fill="FFFFFF"/>
        </w:rPr>
      </w:pPr>
      <w:r>
        <w:rPr>
          <w:rFonts w:hint="eastAsia" w:ascii="宋体" w:hAnsi="宋体" w:cs="宋体"/>
          <w:bCs/>
          <w:color w:val="auto"/>
          <w:szCs w:val="21"/>
        </w:rPr>
        <w:t>6.3根据《政府采购促进中小企业发展管理办法》（财库[2020]46号）第九条、</w:t>
      </w:r>
      <w:r>
        <w:rPr>
          <w:rFonts w:hint="eastAsia" w:ascii="宋体" w:hAnsi="宋体" w:cs="宋体"/>
          <w:color w:val="auto"/>
        </w:rPr>
        <w:t>《广西壮族自治区财政厅关于贯彻落实政府采购支持中小企业发展政策的通知》（桂财采〔2022〕31号）</w:t>
      </w:r>
      <w:r>
        <w:rPr>
          <w:rFonts w:hint="eastAsia" w:ascii="宋体" w:hAnsi="宋体" w:cs="宋体"/>
          <w:bCs/>
          <w:color w:val="auto"/>
          <w:szCs w:val="21"/>
        </w:rPr>
        <w:t>规定，接受大中型企业与小微企业组成联合体的采购项目，对于联合协议约定小微企业的合同份额占到合同总金额30%以上的，采购人、采购代理机构应当对联合体的报价给予4%-6%的扣除，用扣除后的价格参加评审。组成联合体的小微企业与联合体内其他企业、分包企业之间存在直接控股、管理关系的，不享受价格扣除优惠政策。</w:t>
      </w:r>
    </w:p>
    <w:p>
      <w:pPr>
        <w:spacing w:line="360" w:lineRule="auto"/>
        <w:ind w:firstLine="480" w:firstLineChars="200"/>
        <w:rPr>
          <w:rFonts w:ascii="黑体" w:hAnsi="黑体" w:eastAsia="黑体"/>
          <w:color w:val="auto"/>
          <w:sz w:val="24"/>
        </w:rPr>
      </w:pPr>
      <w:r>
        <w:rPr>
          <w:rFonts w:hint="eastAsia" w:ascii="黑体" w:hAnsi="黑体" w:eastAsia="黑体"/>
          <w:color w:val="auto"/>
          <w:sz w:val="24"/>
        </w:rPr>
        <w:t xml:space="preserve">7.转包与分包             </w:t>
      </w:r>
    </w:p>
    <w:p>
      <w:pPr>
        <w:spacing w:line="360" w:lineRule="auto"/>
        <w:ind w:firstLine="422" w:firstLineChars="200"/>
        <w:rPr>
          <w:rFonts w:ascii="宋体" w:hAnsi="宋体"/>
          <w:b/>
          <w:color w:val="auto"/>
          <w:szCs w:val="21"/>
        </w:rPr>
      </w:pPr>
      <w:r>
        <w:rPr>
          <w:rFonts w:hint="eastAsia" w:ascii="宋体" w:hAnsi="宋体"/>
          <w:b/>
          <w:color w:val="auto"/>
          <w:szCs w:val="21"/>
        </w:rPr>
        <w:t>7.1 本项目不允许转包。</w:t>
      </w:r>
    </w:p>
    <w:p>
      <w:pPr>
        <w:spacing w:line="360" w:lineRule="auto"/>
        <w:ind w:firstLine="422" w:firstLineChars="200"/>
        <w:rPr>
          <w:rFonts w:ascii="宋体" w:hAnsi="宋体"/>
          <w:b/>
          <w:color w:val="auto"/>
          <w:szCs w:val="21"/>
        </w:rPr>
      </w:pPr>
      <w:r>
        <w:rPr>
          <w:rFonts w:hint="eastAsia" w:ascii="宋体" w:hAnsi="宋体"/>
          <w:b/>
          <w:color w:val="auto"/>
          <w:szCs w:val="21"/>
        </w:rPr>
        <w:t>7.2本项目是否允许分包详见“投标人须知前附表”，本项目不允许违法分包。投标人根据招标文件的规定和采购项目的实际情况，拟在中标后将中标项目的非主体、非关键性工作分包的，应当在投标文件中载明分包承担主体，分包承担主体应当具备相应资质条件且不得再次分包。</w:t>
      </w:r>
    </w:p>
    <w:p>
      <w:pPr>
        <w:spacing w:line="360" w:lineRule="auto"/>
        <w:ind w:firstLine="420" w:firstLineChars="200"/>
        <w:rPr>
          <w:rFonts w:ascii="宋体" w:hAnsi="宋体" w:cs="宋体"/>
          <w:bCs/>
          <w:color w:val="auto"/>
          <w:szCs w:val="21"/>
        </w:rPr>
      </w:pPr>
      <w:r>
        <w:rPr>
          <w:rFonts w:hint="eastAsia" w:ascii="宋体" w:hAnsi="宋体" w:cs="宋体"/>
          <w:bCs/>
          <w:color w:val="auto"/>
          <w:szCs w:val="21"/>
        </w:rPr>
        <w:t>7.3根据《政府采购促进中小企业发展管理办法》（财库[2020]46号）第九条及</w:t>
      </w:r>
      <w:r>
        <w:rPr>
          <w:rFonts w:hint="eastAsia" w:ascii="宋体" w:hAnsi="宋体" w:cs="宋体"/>
          <w:color w:val="auto"/>
        </w:rPr>
        <w:t>《广西壮族自治区财政厅关于贯彻落实政府采购支持中小企业发展政策的通知》（桂财采〔2022〕31号）</w:t>
      </w:r>
      <w:r>
        <w:rPr>
          <w:rFonts w:hint="eastAsia" w:ascii="宋体" w:hAnsi="宋体" w:cs="宋体"/>
          <w:bCs/>
          <w:color w:val="auto"/>
          <w:szCs w:val="21"/>
        </w:rPr>
        <w:t>规定，允许大中型企业向一家或者多家小微企业分包的采购项目，对于分包意向协议约定小微企业的合同份额占到合同总金额30%以上的，采购人、采购代理机构应当对大中型企业的报价给予4%-6%的扣除，用扣除后的价格参加评审。接受分包的小微企业与分包企业之间存在直接控股、管理关系的，不享受价格扣除优惠政策。</w:t>
      </w:r>
    </w:p>
    <w:p>
      <w:pPr>
        <w:spacing w:line="360" w:lineRule="auto"/>
        <w:ind w:firstLine="480" w:firstLineChars="200"/>
        <w:rPr>
          <w:rFonts w:ascii="黑体" w:hAnsi="黑体" w:eastAsia="黑体"/>
          <w:color w:val="auto"/>
          <w:sz w:val="24"/>
        </w:rPr>
      </w:pPr>
      <w:bookmarkStart w:id="142" w:name="_Toc254970673"/>
      <w:bookmarkStart w:id="143" w:name="_Toc254970532"/>
      <w:r>
        <w:rPr>
          <w:rFonts w:hint="eastAsia" w:ascii="黑体" w:hAnsi="黑体" w:eastAsia="黑体"/>
          <w:color w:val="auto"/>
          <w:sz w:val="24"/>
        </w:rPr>
        <w:t>8.特别说明：</w:t>
      </w:r>
      <w:bookmarkEnd w:id="142"/>
      <w:bookmarkEnd w:id="143"/>
      <w:bookmarkStart w:id="144" w:name="_8.1提供相同品牌产品且通过资格审查、符合性审查的不同投标人参加同一合"/>
      <w:bookmarkEnd w:id="144"/>
    </w:p>
    <w:p>
      <w:pPr>
        <w:spacing w:line="360" w:lineRule="auto"/>
        <w:ind w:firstLine="422" w:firstLineChars="200"/>
        <w:rPr>
          <w:rFonts w:ascii="宋体" w:hAnsi="宋体"/>
          <w:b/>
          <w:color w:val="auto"/>
          <w:szCs w:val="21"/>
        </w:rPr>
      </w:pPr>
      <w:r>
        <w:rPr>
          <w:rFonts w:hint="eastAsia" w:ascii="宋体" w:hAnsi="宋体"/>
          <w:b/>
          <w:color w:val="auto"/>
          <w:szCs w:val="21"/>
        </w:rPr>
        <w:t>8.1如果本招标文件要求投标人提供资格、信誉、荣誉、业绩与企业认证等材料的，则投标人所提供的以上材料必须为该投标人所拥有。</w:t>
      </w:r>
    </w:p>
    <w:p>
      <w:pPr>
        <w:spacing w:line="360" w:lineRule="auto"/>
        <w:ind w:firstLine="422" w:firstLineChars="200"/>
        <w:rPr>
          <w:rFonts w:ascii="宋体" w:hAnsi="宋体"/>
          <w:b/>
          <w:color w:val="auto"/>
          <w:szCs w:val="21"/>
        </w:rPr>
      </w:pPr>
      <w:r>
        <w:rPr>
          <w:rFonts w:hint="eastAsia" w:ascii="宋体" w:hAnsi="宋体"/>
          <w:b/>
          <w:color w:val="auto"/>
          <w:szCs w:val="21"/>
        </w:rPr>
        <w:t>8.2投标人应仔细阅读招标文件的所有内容，按照招标文件的要求提交投标文件，并对所提供的全部资料的真实性承担法律责任。</w:t>
      </w:r>
    </w:p>
    <w:p>
      <w:pPr>
        <w:spacing w:line="360" w:lineRule="auto"/>
        <w:ind w:firstLine="422" w:firstLineChars="200"/>
        <w:rPr>
          <w:rFonts w:ascii="宋体" w:hAnsi="宋体"/>
          <w:b/>
          <w:color w:val="auto"/>
          <w:szCs w:val="21"/>
        </w:rPr>
      </w:pPr>
      <w:r>
        <w:rPr>
          <w:rFonts w:hint="eastAsia" w:ascii="宋体" w:hAnsi="宋体"/>
          <w:b/>
          <w:color w:val="auto"/>
          <w:szCs w:val="21"/>
        </w:rPr>
        <w:t>8.3投标人在投标活动中提供任何虚假材料，将报监管部门查处；中标后发现的，中标人须依照《中华人民共和国消费者权益保护法》规定赔偿采购人，且民事赔偿并不免除违法投标人的行政与刑事责任。</w:t>
      </w:r>
    </w:p>
    <w:p>
      <w:pPr>
        <w:spacing w:line="360" w:lineRule="auto"/>
        <w:ind w:firstLine="480" w:firstLineChars="200"/>
        <w:rPr>
          <w:rFonts w:ascii="黑体" w:hAnsi="黑体" w:eastAsia="黑体"/>
          <w:color w:val="auto"/>
          <w:sz w:val="24"/>
        </w:rPr>
      </w:pPr>
      <w:r>
        <w:rPr>
          <w:rFonts w:hint="eastAsia" w:ascii="黑体" w:hAnsi="黑体" w:eastAsia="黑体"/>
          <w:color w:val="auto"/>
          <w:sz w:val="24"/>
        </w:rPr>
        <w:t>9.回避与串通投标</w:t>
      </w:r>
    </w:p>
    <w:p>
      <w:pPr>
        <w:spacing w:line="360" w:lineRule="auto"/>
        <w:ind w:firstLine="422" w:firstLineChars="200"/>
        <w:rPr>
          <w:rFonts w:ascii="宋体" w:hAnsi="宋体"/>
          <w:b/>
          <w:color w:val="auto"/>
          <w:szCs w:val="21"/>
        </w:rPr>
      </w:pPr>
      <w:r>
        <w:rPr>
          <w:rFonts w:hint="eastAsia" w:ascii="宋体" w:hAnsi="宋体"/>
          <w:b/>
          <w:color w:val="auto"/>
          <w:szCs w:val="21"/>
        </w:rPr>
        <w:t>9.1在政府采购活动中，采购人员及相关人员与供应商有下列利害关系之一的，应当回避：</w:t>
      </w:r>
    </w:p>
    <w:p>
      <w:pPr>
        <w:spacing w:line="360" w:lineRule="auto"/>
        <w:ind w:firstLine="420" w:firstLineChars="200"/>
        <w:rPr>
          <w:rFonts w:ascii="宋体" w:hAnsi="宋体" w:cs="宋体"/>
          <w:color w:val="auto"/>
        </w:rPr>
      </w:pPr>
      <w:r>
        <w:rPr>
          <w:rFonts w:hint="eastAsia" w:ascii="宋体" w:hAnsi="宋体" w:cs="宋体"/>
          <w:color w:val="auto"/>
        </w:rPr>
        <w:t>（1）参加采购活动前3年内与供应商存在劳动关系；</w:t>
      </w:r>
    </w:p>
    <w:p>
      <w:pPr>
        <w:spacing w:line="360" w:lineRule="auto"/>
        <w:ind w:firstLine="420" w:firstLineChars="200"/>
        <w:rPr>
          <w:rFonts w:ascii="宋体" w:hAnsi="宋体" w:cs="宋体"/>
          <w:color w:val="auto"/>
        </w:rPr>
      </w:pPr>
      <w:r>
        <w:rPr>
          <w:rFonts w:hint="eastAsia" w:ascii="宋体" w:hAnsi="宋体" w:cs="宋体"/>
          <w:color w:val="auto"/>
        </w:rPr>
        <w:t>（2）参加采购活动前3年内担任供应商的董事、监事；</w:t>
      </w:r>
    </w:p>
    <w:p>
      <w:pPr>
        <w:spacing w:line="360" w:lineRule="auto"/>
        <w:ind w:firstLine="420" w:firstLineChars="200"/>
        <w:rPr>
          <w:rFonts w:ascii="宋体" w:hAnsi="宋体" w:cs="宋体"/>
          <w:color w:val="auto"/>
        </w:rPr>
      </w:pPr>
      <w:r>
        <w:rPr>
          <w:rFonts w:hint="eastAsia" w:ascii="宋体" w:hAnsi="宋体" w:cs="宋体"/>
          <w:color w:val="auto"/>
        </w:rPr>
        <w:t>（3）参加采购活动前3年内是供应商的控股股东或者实际控制人；</w:t>
      </w:r>
    </w:p>
    <w:p>
      <w:pPr>
        <w:spacing w:line="360" w:lineRule="auto"/>
        <w:ind w:firstLine="420" w:firstLineChars="200"/>
        <w:rPr>
          <w:rFonts w:ascii="宋体" w:hAnsi="宋体" w:cs="宋体"/>
          <w:color w:val="auto"/>
        </w:rPr>
      </w:pPr>
      <w:r>
        <w:rPr>
          <w:rFonts w:hint="eastAsia" w:ascii="宋体" w:hAnsi="宋体" w:cs="宋体"/>
          <w:color w:val="auto"/>
        </w:rPr>
        <w:t>（4）与供应商的法定代表人或者负责人有夫妻、直系血亲、三代以内旁系血亲或者近姻亲关系；</w:t>
      </w:r>
    </w:p>
    <w:p>
      <w:pPr>
        <w:spacing w:line="360" w:lineRule="auto"/>
        <w:ind w:firstLine="420" w:firstLineChars="200"/>
        <w:rPr>
          <w:rFonts w:ascii="宋体" w:hAnsi="宋体" w:cs="宋体"/>
          <w:color w:val="auto"/>
        </w:rPr>
      </w:pPr>
      <w:r>
        <w:rPr>
          <w:rFonts w:hint="eastAsia" w:ascii="宋体" w:hAnsi="宋体" w:cs="宋体"/>
          <w:color w:val="auto"/>
        </w:rPr>
        <w:t>（5）与供应商有其他可能影响政府采购活动公平、公正进行的关系。</w:t>
      </w:r>
    </w:p>
    <w:p>
      <w:pPr>
        <w:spacing w:line="360" w:lineRule="auto"/>
        <w:ind w:firstLine="420" w:firstLineChars="200"/>
        <w:rPr>
          <w:rFonts w:hAnsi="宋体"/>
          <w:color w:val="auto"/>
        </w:rPr>
      </w:pPr>
      <w:r>
        <w:rPr>
          <w:rFonts w:hint="eastAsia" w:hAnsi="宋体"/>
          <w:color w:val="auto"/>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spacing w:line="360" w:lineRule="auto"/>
        <w:ind w:firstLine="420" w:firstLineChars="200"/>
        <w:rPr>
          <w:rFonts w:ascii="宋体" w:hAnsi="宋体"/>
          <w:color w:val="auto"/>
          <w:szCs w:val="21"/>
        </w:rPr>
      </w:pPr>
      <w:r>
        <w:rPr>
          <w:rFonts w:hint="eastAsia" w:ascii="宋体" w:hAnsi="宋体"/>
          <w:color w:val="auto"/>
          <w:szCs w:val="21"/>
        </w:rPr>
        <w:t>9.2有下列情形之一的视为投标人相互串通投标，投标文件将被视为无效：</w:t>
      </w:r>
    </w:p>
    <w:p>
      <w:pPr>
        <w:spacing w:line="360" w:lineRule="auto"/>
        <w:ind w:firstLine="422" w:firstLineChars="200"/>
        <w:rPr>
          <w:rFonts w:ascii="宋体" w:hAnsi="宋体" w:cs="宋体"/>
          <w:b/>
          <w:color w:val="auto"/>
        </w:rPr>
      </w:pPr>
      <w:r>
        <w:rPr>
          <w:rFonts w:hint="eastAsia" w:ascii="宋体" w:hAnsi="宋体" w:cs="宋体"/>
          <w:b/>
          <w:color w:val="auto"/>
        </w:rPr>
        <w:t>（1）不同投标人的投标文件由同一单位或者个人编制；或者不同投标人报名的IP地址一致的；</w:t>
      </w:r>
    </w:p>
    <w:p>
      <w:pPr>
        <w:spacing w:line="360" w:lineRule="auto"/>
        <w:ind w:firstLine="422" w:firstLineChars="200"/>
        <w:rPr>
          <w:rFonts w:ascii="宋体" w:hAnsi="宋体" w:cs="宋体"/>
          <w:b/>
          <w:color w:val="auto"/>
        </w:rPr>
      </w:pPr>
      <w:r>
        <w:rPr>
          <w:rFonts w:hint="eastAsia" w:ascii="宋体" w:hAnsi="宋体" w:cs="宋体"/>
          <w:b/>
          <w:color w:val="auto"/>
        </w:rPr>
        <w:t>（2）不同投标人委托同一单位或者个人办理投标事宜；</w:t>
      </w:r>
    </w:p>
    <w:p>
      <w:pPr>
        <w:spacing w:line="360" w:lineRule="auto"/>
        <w:ind w:firstLine="422" w:firstLineChars="200"/>
        <w:rPr>
          <w:rFonts w:ascii="宋体" w:hAnsi="宋体" w:cs="宋体"/>
          <w:b/>
          <w:color w:val="auto"/>
        </w:rPr>
      </w:pPr>
      <w:r>
        <w:rPr>
          <w:rFonts w:hint="eastAsia" w:ascii="宋体" w:hAnsi="宋体" w:cs="宋体"/>
          <w:b/>
          <w:color w:val="auto"/>
        </w:rPr>
        <w:t>（3）不同的投标人的投标文件载明的项目管理员为同一个人；</w:t>
      </w:r>
    </w:p>
    <w:p>
      <w:pPr>
        <w:spacing w:line="360" w:lineRule="auto"/>
        <w:ind w:firstLine="422" w:firstLineChars="200"/>
        <w:rPr>
          <w:rFonts w:ascii="宋体" w:hAnsi="宋体" w:cs="宋体"/>
          <w:b/>
          <w:color w:val="auto"/>
        </w:rPr>
      </w:pPr>
      <w:r>
        <w:rPr>
          <w:rFonts w:hint="eastAsia" w:ascii="宋体" w:hAnsi="宋体" w:cs="宋体"/>
          <w:b/>
          <w:color w:val="auto"/>
        </w:rPr>
        <w:t>（4）不同投标人的电子投标文件异常一致或者投标报价呈规律性差异；</w:t>
      </w:r>
    </w:p>
    <w:p>
      <w:pPr>
        <w:spacing w:line="360" w:lineRule="auto"/>
        <w:ind w:firstLine="422" w:firstLineChars="200"/>
        <w:rPr>
          <w:rFonts w:ascii="宋体" w:hAnsi="宋体" w:cs="宋体"/>
          <w:b/>
          <w:color w:val="auto"/>
        </w:rPr>
      </w:pPr>
      <w:r>
        <w:rPr>
          <w:rFonts w:hint="eastAsia" w:ascii="宋体" w:hAnsi="宋体" w:cs="宋体"/>
          <w:b/>
          <w:color w:val="auto"/>
        </w:rPr>
        <w:t>（5）不同投标人的投标文件相互混装；</w:t>
      </w:r>
    </w:p>
    <w:p>
      <w:pPr>
        <w:spacing w:line="360" w:lineRule="auto"/>
        <w:ind w:firstLine="422" w:firstLineChars="200"/>
        <w:rPr>
          <w:rFonts w:ascii="宋体" w:hAnsi="宋体" w:cs="宋体"/>
          <w:b/>
          <w:color w:val="auto"/>
        </w:rPr>
      </w:pPr>
      <w:r>
        <w:rPr>
          <w:rFonts w:hint="eastAsia" w:ascii="宋体" w:hAnsi="宋体" w:cs="宋体"/>
          <w:b/>
          <w:color w:val="auto"/>
        </w:rPr>
        <w:t>（6）不同投标人的投标保证金从同一单位或者个人账户转出。</w:t>
      </w:r>
    </w:p>
    <w:p>
      <w:pPr>
        <w:spacing w:line="360" w:lineRule="auto"/>
        <w:ind w:firstLine="420" w:firstLineChars="200"/>
        <w:rPr>
          <w:rFonts w:ascii="宋体" w:hAnsi="宋体"/>
          <w:color w:val="auto"/>
          <w:szCs w:val="21"/>
        </w:rPr>
      </w:pPr>
      <w:r>
        <w:rPr>
          <w:rFonts w:hint="eastAsia" w:ascii="宋体" w:hAnsi="宋体"/>
          <w:color w:val="auto"/>
          <w:szCs w:val="21"/>
        </w:rPr>
        <w:t>9.3供应商有下列情形之一的，属于恶意串通行为，将报同级监督管理部门：</w:t>
      </w:r>
    </w:p>
    <w:p>
      <w:pPr>
        <w:spacing w:line="360" w:lineRule="auto"/>
        <w:ind w:firstLine="420" w:firstLineChars="200"/>
        <w:rPr>
          <w:rFonts w:ascii="宋体" w:hAnsi="宋体" w:cs="宋体"/>
          <w:color w:val="auto"/>
        </w:rPr>
      </w:pPr>
      <w:r>
        <w:rPr>
          <w:rFonts w:hint="eastAsia" w:ascii="宋体" w:hAnsi="宋体" w:cs="宋体"/>
          <w:color w:val="auto"/>
        </w:rPr>
        <w:t>（1）供应商直接或者间接从采购人或者采购代理机构处获得其他供应商的相关信息并修改其投标文件；</w:t>
      </w:r>
    </w:p>
    <w:p>
      <w:pPr>
        <w:spacing w:line="360" w:lineRule="auto"/>
        <w:ind w:firstLine="420" w:firstLineChars="200"/>
        <w:rPr>
          <w:rFonts w:ascii="宋体" w:hAnsi="宋体" w:cs="宋体"/>
          <w:color w:val="auto"/>
        </w:rPr>
      </w:pPr>
      <w:r>
        <w:rPr>
          <w:rFonts w:hint="eastAsia" w:ascii="宋体" w:hAnsi="宋体" w:cs="宋体"/>
          <w:color w:val="auto"/>
        </w:rPr>
        <w:t>（2）供应商按照采购人或者采购代理机构的授意撤换、修改投标文件；</w:t>
      </w:r>
    </w:p>
    <w:p>
      <w:pPr>
        <w:spacing w:line="360" w:lineRule="auto"/>
        <w:ind w:firstLine="420" w:firstLineChars="200"/>
        <w:rPr>
          <w:rFonts w:ascii="宋体" w:hAnsi="宋体" w:cs="宋体"/>
          <w:color w:val="auto"/>
        </w:rPr>
      </w:pPr>
      <w:r>
        <w:rPr>
          <w:rFonts w:hint="eastAsia" w:ascii="宋体" w:hAnsi="宋体" w:cs="宋体"/>
          <w:color w:val="auto"/>
        </w:rPr>
        <w:t>（3）供应商之间协商报价、技术方案等投标文件的实质性内容；</w:t>
      </w:r>
    </w:p>
    <w:p>
      <w:pPr>
        <w:spacing w:line="360" w:lineRule="auto"/>
        <w:ind w:firstLine="420" w:firstLineChars="200"/>
        <w:rPr>
          <w:rFonts w:ascii="宋体" w:hAnsi="宋体" w:cs="宋体"/>
          <w:color w:val="auto"/>
        </w:rPr>
      </w:pPr>
      <w:r>
        <w:rPr>
          <w:rFonts w:hint="eastAsia" w:ascii="宋体" w:hAnsi="宋体" w:cs="宋体"/>
          <w:color w:val="auto"/>
        </w:rPr>
        <w:t>（4）属于同一集团、协会、商会等组织成员的供应商按照该组织要求协同参加政府采购活动；</w:t>
      </w:r>
    </w:p>
    <w:p>
      <w:pPr>
        <w:spacing w:line="360" w:lineRule="auto"/>
        <w:ind w:firstLine="420" w:firstLineChars="200"/>
        <w:rPr>
          <w:rFonts w:ascii="宋体" w:hAnsi="宋体" w:cs="宋体"/>
          <w:color w:val="auto"/>
        </w:rPr>
      </w:pPr>
      <w:r>
        <w:rPr>
          <w:rFonts w:hint="eastAsia" w:ascii="宋体" w:hAnsi="宋体" w:cs="宋体"/>
          <w:color w:val="auto"/>
        </w:rPr>
        <w:t>（5）供应商之间事先约定一致抬高或者压低投标报价，或者在招标项目中事先约定轮流以高价位或者低价位中标，或者事先约定由某一特定供应商中标，然后再参加投标；</w:t>
      </w:r>
    </w:p>
    <w:p>
      <w:pPr>
        <w:spacing w:line="360" w:lineRule="auto"/>
        <w:ind w:firstLine="420" w:firstLineChars="200"/>
        <w:rPr>
          <w:rFonts w:ascii="宋体" w:hAnsi="宋体" w:cs="宋体"/>
          <w:color w:val="auto"/>
        </w:rPr>
      </w:pPr>
      <w:r>
        <w:rPr>
          <w:rFonts w:hint="eastAsia" w:ascii="宋体" w:hAnsi="宋体" w:cs="宋体"/>
          <w:color w:val="auto"/>
        </w:rPr>
        <w:t>（6）供应商之间商定部分供应商放弃参加政府采购活动或者放弃中标；</w:t>
      </w:r>
    </w:p>
    <w:p>
      <w:pPr>
        <w:spacing w:line="360" w:lineRule="auto"/>
        <w:ind w:firstLine="420" w:firstLineChars="200"/>
        <w:rPr>
          <w:rFonts w:ascii="宋体" w:hAnsi="宋体" w:cs="宋体"/>
          <w:color w:val="auto"/>
        </w:rPr>
      </w:pPr>
      <w:r>
        <w:rPr>
          <w:rFonts w:hint="eastAsia" w:ascii="宋体" w:hAnsi="宋体" w:cs="宋体"/>
          <w:color w:val="auto"/>
        </w:rPr>
        <w:t>（7）供应商与采购人或者采购代理机构之间、供应商相互之间，为谋求特定供应商中标或者排斥其他供应商的其他串通行为。</w:t>
      </w:r>
    </w:p>
    <w:p>
      <w:pPr>
        <w:pStyle w:val="14"/>
        <w:snapToGrid w:val="0"/>
        <w:spacing w:line="360" w:lineRule="auto"/>
        <w:ind w:left="2" w:leftChars="1" w:firstLine="422" w:firstLineChars="200"/>
        <w:rPr>
          <w:rFonts w:hAnsi="宋体"/>
          <w:b/>
          <w:color w:val="auto"/>
        </w:rPr>
      </w:pPr>
    </w:p>
    <w:p>
      <w:pPr>
        <w:pStyle w:val="5"/>
        <w:keepNext w:val="0"/>
        <w:keepLines w:val="0"/>
        <w:spacing w:line="400" w:lineRule="exact"/>
        <w:jc w:val="center"/>
        <w:rPr>
          <w:color w:val="auto"/>
        </w:rPr>
      </w:pPr>
      <w:bookmarkStart w:id="145" w:name="_Toc22911"/>
      <w:bookmarkStart w:id="146" w:name="_Toc18580"/>
      <w:bookmarkStart w:id="147" w:name="_Toc19016"/>
      <w:bookmarkStart w:id="148" w:name="_Toc6920"/>
      <w:bookmarkStart w:id="149" w:name="_Toc11054"/>
      <w:bookmarkStart w:id="150" w:name="_Toc128"/>
      <w:bookmarkStart w:id="151" w:name="_Toc254970675"/>
      <w:bookmarkStart w:id="152" w:name="_Toc9988"/>
      <w:bookmarkStart w:id="153" w:name="_Toc254970534"/>
      <w:bookmarkStart w:id="154" w:name="_Toc10320"/>
      <w:bookmarkStart w:id="155" w:name="_Toc25104"/>
      <w:bookmarkStart w:id="156" w:name="_Toc17855"/>
      <w:r>
        <w:rPr>
          <w:rFonts w:hint="eastAsia"/>
          <w:color w:val="auto"/>
        </w:rPr>
        <w:t>二、招标文件</w:t>
      </w:r>
      <w:bookmarkEnd w:id="145"/>
      <w:bookmarkEnd w:id="146"/>
      <w:bookmarkEnd w:id="147"/>
      <w:bookmarkEnd w:id="148"/>
      <w:bookmarkEnd w:id="149"/>
      <w:bookmarkEnd w:id="150"/>
      <w:bookmarkEnd w:id="151"/>
      <w:bookmarkEnd w:id="152"/>
      <w:bookmarkEnd w:id="153"/>
      <w:bookmarkEnd w:id="154"/>
      <w:bookmarkEnd w:id="155"/>
      <w:bookmarkEnd w:id="156"/>
    </w:p>
    <w:p>
      <w:pPr>
        <w:spacing w:line="360" w:lineRule="auto"/>
        <w:ind w:firstLine="480" w:firstLineChars="200"/>
        <w:rPr>
          <w:rFonts w:ascii="黑体" w:hAnsi="黑体" w:eastAsia="黑体"/>
          <w:color w:val="auto"/>
          <w:sz w:val="24"/>
        </w:rPr>
      </w:pPr>
      <w:r>
        <w:rPr>
          <w:rFonts w:hint="eastAsia" w:ascii="黑体" w:hAnsi="黑体" w:eastAsia="黑体"/>
          <w:color w:val="auto"/>
          <w:sz w:val="24"/>
        </w:rPr>
        <w:t>10.招标文件的组成</w:t>
      </w:r>
    </w:p>
    <w:p>
      <w:pPr>
        <w:spacing w:line="360" w:lineRule="auto"/>
        <w:ind w:firstLine="420" w:firstLineChars="200"/>
        <w:rPr>
          <w:rFonts w:ascii="宋体" w:hAnsi="宋体"/>
          <w:color w:val="auto"/>
          <w:szCs w:val="21"/>
        </w:rPr>
      </w:pPr>
      <w:r>
        <w:rPr>
          <w:rFonts w:hint="eastAsia" w:ascii="宋体" w:hAnsi="宋体"/>
          <w:color w:val="auto"/>
          <w:szCs w:val="21"/>
        </w:rPr>
        <w:t>第一章 招标公告；</w:t>
      </w:r>
    </w:p>
    <w:p>
      <w:pPr>
        <w:spacing w:line="360" w:lineRule="auto"/>
        <w:ind w:firstLine="420" w:firstLineChars="200"/>
        <w:rPr>
          <w:rFonts w:ascii="宋体" w:hAnsi="宋体"/>
          <w:color w:val="auto"/>
          <w:szCs w:val="21"/>
        </w:rPr>
      </w:pPr>
      <w:r>
        <w:rPr>
          <w:rFonts w:hint="eastAsia" w:ascii="宋体" w:hAnsi="宋体"/>
          <w:color w:val="auto"/>
          <w:szCs w:val="21"/>
        </w:rPr>
        <w:t xml:space="preserve">第二章 采购需求； </w:t>
      </w:r>
    </w:p>
    <w:p>
      <w:pPr>
        <w:spacing w:line="360" w:lineRule="auto"/>
        <w:ind w:firstLine="420" w:firstLineChars="200"/>
        <w:rPr>
          <w:rFonts w:ascii="宋体" w:hAnsi="宋体"/>
          <w:color w:val="auto"/>
          <w:szCs w:val="21"/>
        </w:rPr>
      </w:pPr>
      <w:r>
        <w:rPr>
          <w:rFonts w:hint="eastAsia" w:ascii="宋体" w:hAnsi="宋体"/>
          <w:color w:val="auto"/>
          <w:szCs w:val="21"/>
        </w:rPr>
        <w:t>第三章 投标人须知；</w:t>
      </w:r>
    </w:p>
    <w:p>
      <w:pPr>
        <w:spacing w:line="360" w:lineRule="auto"/>
        <w:ind w:firstLine="420" w:firstLineChars="200"/>
        <w:rPr>
          <w:rFonts w:ascii="宋体" w:hAnsi="宋体"/>
          <w:color w:val="auto"/>
          <w:szCs w:val="21"/>
        </w:rPr>
      </w:pPr>
      <w:r>
        <w:rPr>
          <w:rFonts w:hint="eastAsia" w:ascii="宋体" w:hAnsi="宋体"/>
          <w:color w:val="auto"/>
          <w:szCs w:val="21"/>
        </w:rPr>
        <w:t>第四章 评标方法和评标标准；</w:t>
      </w:r>
    </w:p>
    <w:p>
      <w:pPr>
        <w:spacing w:line="360" w:lineRule="auto"/>
        <w:ind w:firstLine="420" w:firstLineChars="200"/>
        <w:rPr>
          <w:rFonts w:ascii="宋体" w:hAnsi="宋体"/>
          <w:color w:val="auto"/>
          <w:szCs w:val="21"/>
        </w:rPr>
      </w:pPr>
      <w:r>
        <w:rPr>
          <w:rFonts w:hint="eastAsia" w:ascii="宋体" w:hAnsi="宋体"/>
          <w:color w:val="auto"/>
          <w:szCs w:val="21"/>
        </w:rPr>
        <w:t>第五章 拟签订的合同文本；</w:t>
      </w:r>
    </w:p>
    <w:p>
      <w:pPr>
        <w:spacing w:line="360" w:lineRule="auto"/>
        <w:ind w:firstLine="420" w:firstLineChars="200"/>
        <w:rPr>
          <w:rFonts w:ascii="宋体" w:hAnsi="宋体"/>
          <w:color w:val="auto"/>
          <w:szCs w:val="21"/>
        </w:rPr>
      </w:pPr>
      <w:r>
        <w:rPr>
          <w:rFonts w:hint="eastAsia" w:ascii="宋体" w:hAnsi="宋体"/>
          <w:color w:val="auto"/>
          <w:szCs w:val="21"/>
        </w:rPr>
        <w:t>第六章 投标文件格式；</w:t>
      </w:r>
    </w:p>
    <w:p>
      <w:pPr>
        <w:spacing w:line="360" w:lineRule="auto"/>
        <w:ind w:firstLine="420" w:firstLineChars="200"/>
        <w:rPr>
          <w:rFonts w:ascii="宋体" w:hAnsi="宋体"/>
          <w:color w:val="auto"/>
          <w:szCs w:val="21"/>
        </w:rPr>
      </w:pPr>
      <w:r>
        <w:rPr>
          <w:rFonts w:hint="eastAsia" w:ascii="宋体" w:hAnsi="宋体"/>
          <w:color w:val="auto"/>
          <w:szCs w:val="21"/>
        </w:rPr>
        <w:t>第七章 质疑、投诉材料格式</w:t>
      </w:r>
    </w:p>
    <w:p>
      <w:pPr>
        <w:spacing w:line="360" w:lineRule="auto"/>
        <w:ind w:firstLine="420" w:firstLineChars="200"/>
        <w:rPr>
          <w:rFonts w:hAnsi="宋体"/>
          <w:color w:val="auto"/>
        </w:rPr>
      </w:pPr>
      <w:r>
        <w:rPr>
          <w:rFonts w:hint="eastAsia" w:hAnsi="宋体"/>
          <w:color w:val="auto"/>
        </w:rPr>
        <w:t>根据本章</w:t>
      </w:r>
      <w:r>
        <w:rPr>
          <w:rFonts w:hint="eastAsia" w:ascii="宋体" w:hAnsi="宋体" w:cs="宋体"/>
          <w:color w:val="auto"/>
        </w:rPr>
        <w:t>第11.1</w:t>
      </w:r>
      <w:r>
        <w:rPr>
          <w:rFonts w:hint="eastAsia" w:hAnsi="宋体"/>
          <w:color w:val="auto"/>
        </w:rPr>
        <w:t>项的规定对招标文件所做的澄清、修改，构成招标文件的组成部分。当招标文件与招标文件的澄清和修改就同一内容的表述不一致时，</w:t>
      </w:r>
      <w:r>
        <w:rPr>
          <w:rFonts w:hint="eastAsia"/>
          <w:color w:val="auto"/>
        </w:rPr>
        <w:t>以最后澄清或修改公告为准。</w:t>
      </w:r>
    </w:p>
    <w:p>
      <w:pPr>
        <w:spacing w:line="360" w:lineRule="auto"/>
        <w:ind w:firstLine="480" w:firstLineChars="200"/>
        <w:rPr>
          <w:rFonts w:ascii="黑体" w:hAnsi="黑体" w:eastAsia="黑体"/>
          <w:color w:val="auto"/>
          <w:sz w:val="24"/>
        </w:rPr>
      </w:pPr>
      <w:r>
        <w:rPr>
          <w:rFonts w:hint="eastAsia" w:ascii="黑体" w:hAnsi="黑体" w:eastAsia="黑体"/>
          <w:color w:val="auto"/>
          <w:sz w:val="24"/>
        </w:rPr>
        <w:t>11.招标文件的澄清、修改 、现场考察和答疑会</w:t>
      </w:r>
    </w:p>
    <w:p>
      <w:pPr>
        <w:spacing w:line="360" w:lineRule="auto"/>
        <w:ind w:firstLine="422" w:firstLineChars="200"/>
        <w:rPr>
          <w:rFonts w:ascii="宋体" w:hAnsi="宋体"/>
          <w:b/>
          <w:color w:val="auto"/>
          <w:szCs w:val="21"/>
        </w:rPr>
      </w:pPr>
      <w:r>
        <w:rPr>
          <w:rFonts w:hint="eastAsia" w:ascii="宋体" w:hAnsi="宋体"/>
          <w:b/>
          <w:color w:val="auto"/>
          <w:szCs w:val="21"/>
        </w:rPr>
        <w:t xml:space="preserve"> 11.1采购人或者采购代理机构可以对已发出的招标文件进行必要的澄清或者修改，但不得改变采购标的和资格条件。澄清或者修改应当在原招标公告发布媒体上发布澄清公告。澄清或者修改的内容为招标文件的组成部分。</w:t>
      </w:r>
    </w:p>
    <w:p>
      <w:pPr>
        <w:spacing w:line="360" w:lineRule="auto"/>
        <w:ind w:firstLine="420" w:firstLineChars="200"/>
        <w:rPr>
          <w:rFonts w:ascii="宋体" w:hAnsi="宋体" w:cs="宋体"/>
          <w:color w:val="auto"/>
        </w:rPr>
      </w:pPr>
      <w:r>
        <w:rPr>
          <w:rFonts w:hint="eastAsia" w:ascii="宋体" w:hAnsi="宋体" w:cs="宋体"/>
          <w:color w:val="auto"/>
        </w:rPr>
        <w:t>11.2 投标人应认真审阅本招标文件，如有疑问，或发现其中有误或有要求不合理的，应在投标人须知前附表规定的</w:t>
      </w:r>
      <w:r>
        <w:rPr>
          <w:rFonts w:hint="eastAsia" w:ascii="宋体" w:hAnsi="宋体" w:cs="宋体"/>
          <w:color w:val="auto"/>
          <w:kern w:val="0"/>
          <w:szCs w:val="21"/>
        </w:rPr>
        <w:t>投标截止时间</w:t>
      </w:r>
      <w:r>
        <w:rPr>
          <w:rFonts w:hint="eastAsia" w:ascii="宋体" w:hAnsi="宋体" w:cs="宋体"/>
          <w:color w:val="auto"/>
        </w:rPr>
        <w:t>前以书面形式要求采购人或采购代理机构对招标文件予以澄清；否则，由此产生的后果由投标人自行负责。</w:t>
      </w:r>
    </w:p>
    <w:p>
      <w:pPr>
        <w:spacing w:line="360" w:lineRule="auto"/>
        <w:ind w:firstLine="420" w:firstLineChars="200"/>
        <w:rPr>
          <w:rFonts w:ascii="宋体" w:hAnsi="宋体" w:cs="宋体"/>
          <w:color w:val="auto"/>
        </w:rPr>
      </w:pPr>
      <w:r>
        <w:rPr>
          <w:rFonts w:hint="eastAsia" w:ascii="宋体" w:hAnsi="宋体" w:cs="宋体"/>
          <w:color w:val="auto"/>
        </w:rPr>
        <w:t>11.3 采购人或者采购代理机构可以对已发出的招标文件进行必要的澄清或者修改。澄清或者修改的内容可能影响投标文件编制的，采购人或者采购代理机构应当在投标截止时间至少15日前，以书面形式通知(在“</w:t>
      </w:r>
      <w:r>
        <w:rPr>
          <w:rFonts w:hint="eastAsia" w:ascii="宋体" w:hAnsi="宋体" w:cs="宋体"/>
          <w:color w:val="auto"/>
          <w:szCs w:val="21"/>
        </w:rPr>
        <w:t>投标人须知前附表”</w:t>
      </w:r>
      <w:r>
        <w:rPr>
          <w:rFonts w:hint="eastAsia" w:ascii="宋体" w:hAnsi="宋体" w:cs="宋体"/>
          <w:color w:val="auto"/>
        </w:rPr>
        <w:t>规定的政府采购信息发布媒体上发布更正公告及平台短信通知)所有获取招标文件的潜在投标人；不足15日的，采购人或者采购代理机构应当顺延提交投标文件的截止时间。发出的澄清或者修改不影响投标文件编制的也应在截标前3日发出。澄清或者更正公告在招标公告发布媒体上发布，一经发布，视作已以书面形式通知所有获取招标文件的潜在投标人，不再另行通知，所有潜在投标人应密切关注招标公告发布媒体，因未能及时获知，由此产生的后果均应自行承担。</w:t>
      </w:r>
    </w:p>
    <w:p>
      <w:pPr>
        <w:spacing w:line="360" w:lineRule="auto"/>
        <w:ind w:firstLine="420" w:firstLineChars="200"/>
        <w:rPr>
          <w:rFonts w:ascii="宋体" w:hAnsi="宋体" w:cs="宋体"/>
          <w:color w:val="auto"/>
        </w:rPr>
      </w:pPr>
      <w:r>
        <w:rPr>
          <w:rFonts w:hint="eastAsia" w:ascii="宋体" w:hAnsi="宋体" w:cs="宋体"/>
          <w:color w:val="auto"/>
        </w:rPr>
        <w:t>11.4 采购人和采购代理机构可以视采购具体情况，变更投标截止时间和开标时间，将变更时间将在“</w:t>
      </w:r>
      <w:r>
        <w:rPr>
          <w:rFonts w:hint="eastAsia" w:ascii="宋体" w:hAnsi="宋体" w:cs="宋体"/>
          <w:color w:val="auto"/>
          <w:szCs w:val="21"/>
        </w:rPr>
        <w:t>投标人须知前附表”</w:t>
      </w:r>
      <w:r>
        <w:rPr>
          <w:rFonts w:hint="eastAsia" w:ascii="宋体" w:hAnsi="宋体" w:cs="宋体"/>
          <w:color w:val="auto"/>
          <w:kern w:val="0"/>
          <w:szCs w:val="21"/>
        </w:rPr>
        <w:t>规定的政府采购信息发布媒体上</w:t>
      </w:r>
      <w:r>
        <w:rPr>
          <w:rFonts w:hint="eastAsia" w:ascii="宋体" w:hAnsi="宋体" w:cs="宋体"/>
          <w:color w:val="auto"/>
        </w:rPr>
        <w:t>发布更正公告。</w:t>
      </w:r>
    </w:p>
    <w:p>
      <w:pPr>
        <w:spacing w:line="360" w:lineRule="auto"/>
        <w:ind w:firstLine="420" w:firstLineChars="200"/>
        <w:rPr>
          <w:rFonts w:ascii="宋体" w:hAnsi="宋体" w:cs="宋体"/>
          <w:color w:val="auto"/>
        </w:rPr>
      </w:pPr>
      <w:r>
        <w:rPr>
          <w:rFonts w:hint="eastAsia" w:ascii="宋体" w:hAnsi="宋体" w:cs="宋体"/>
          <w:color w:val="auto"/>
        </w:rPr>
        <w:t>11.</w:t>
      </w:r>
      <w:bookmarkStart w:id="157" w:name="_Hlk53134511"/>
      <w:r>
        <w:rPr>
          <w:rFonts w:hint="eastAsia" w:ascii="宋体" w:hAnsi="宋体" w:cs="宋体"/>
          <w:color w:val="auto"/>
        </w:rPr>
        <w:t>5采购人或者采购代理机构可以在招标文件提供期限截止后，组织已获取招标文件的潜在投标人现场考察或者召开开标前答疑会，具体详见“投标人须知前附表”。</w:t>
      </w:r>
    </w:p>
    <w:bookmarkEnd w:id="157"/>
    <w:p>
      <w:pPr>
        <w:pStyle w:val="5"/>
        <w:keepNext w:val="0"/>
        <w:keepLines w:val="0"/>
        <w:spacing w:line="400" w:lineRule="exact"/>
        <w:jc w:val="center"/>
        <w:rPr>
          <w:color w:val="auto"/>
        </w:rPr>
      </w:pPr>
      <w:bookmarkStart w:id="158" w:name="_Toc24872"/>
      <w:bookmarkStart w:id="159" w:name="_Toc27367"/>
      <w:bookmarkStart w:id="160" w:name="_Toc254970535"/>
      <w:bookmarkStart w:id="161" w:name="_Toc28419"/>
      <w:bookmarkStart w:id="162" w:name="_Toc7841"/>
      <w:bookmarkStart w:id="163" w:name="_Toc20"/>
      <w:bookmarkStart w:id="164" w:name="_Toc32154"/>
      <w:bookmarkStart w:id="165" w:name="_Toc254970676"/>
      <w:bookmarkStart w:id="166" w:name="_Toc16623"/>
      <w:bookmarkStart w:id="167" w:name="_Toc2635"/>
      <w:bookmarkStart w:id="168" w:name="_Toc32499"/>
      <w:bookmarkStart w:id="169" w:name="_Toc12080"/>
      <w:r>
        <w:rPr>
          <w:rFonts w:hint="eastAsia"/>
          <w:color w:val="auto"/>
        </w:rPr>
        <w:t>三、投标文件的编制</w:t>
      </w:r>
      <w:bookmarkEnd w:id="158"/>
      <w:bookmarkEnd w:id="159"/>
      <w:bookmarkEnd w:id="160"/>
      <w:bookmarkEnd w:id="161"/>
      <w:bookmarkEnd w:id="162"/>
      <w:bookmarkEnd w:id="163"/>
      <w:bookmarkEnd w:id="164"/>
      <w:bookmarkEnd w:id="165"/>
      <w:bookmarkEnd w:id="166"/>
      <w:bookmarkEnd w:id="167"/>
      <w:bookmarkEnd w:id="168"/>
      <w:bookmarkEnd w:id="169"/>
    </w:p>
    <w:p>
      <w:pPr>
        <w:spacing w:line="360" w:lineRule="auto"/>
        <w:ind w:firstLine="480" w:firstLineChars="200"/>
        <w:rPr>
          <w:rFonts w:ascii="黑体" w:hAnsi="黑体" w:eastAsia="黑体"/>
          <w:color w:val="auto"/>
          <w:sz w:val="24"/>
        </w:rPr>
      </w:pPr>
      <w:bookmarkStart w:id="170" w:name="_Toc254970677"/>
      <w:bookmarkStart w:id="171" w:name="_Toc254970536"/>
      <w:r>
        <w:rPr>
          <w:rFonts w:hint="eastAsia" w:ascii="黑体" w:hAnsi="黑体" w:eastAsia="黑体"/>
          <w:color w:val="auto"/>
          <w:sz w:val="24"/>
        </w:rPr>
        <w:t>12.投标文件的编制原则</w:t>
      </w:r>
    </w:p>
    <w:p>
      <w:pPr>
        <w:spacing w:line="360" w:lineRule="auto"/>
        <w:ind w:firstLine="420" w:firstLineChars="200"/>
        <w:rPr>
          <w:rFonts w:ascii="宋体" w:hAnsi="宋体"/>
          <w:color w:val="auto"/>
          <w:szCs w:val="21"/>
        </w:rPr>
      </w:pPr>
      <w:r>
        <w:rPr>
          <w:rFonts w:hint="eastAsia" w:ascii="宋体" w:hAnsi="宋体"/>
          <w:color w:val="auto"/>
          <w:szCs w:val="21"/>
        </w:rPr>
        <w:t>投标人必须按照招标文件的要求编制投标文件。投标文件必须对招标文件提出的要求和条件作出明确响应。</w:t>
      </w:r>
    </w:p>
    <w:p>
      <w:pPr>
        <w:spacing w:line="360" w:lineRule="auto"/>
        <w:ind w:firstLine="480" w:firstLineChars="200"/>
        <w:rPr>
          <w:rFonts w:ascii="黑体" w:hAnsi="黑体" w:eastAsia="黑体"/>
          <w:color w:val="auto"/>
          <w:sz w:val="24"/>
        </w:rPr>
      </w:pPr>
      <w:r>
        <w:rPr>
          <w:rFonts w:hint="eastAsia" w:ascii="黑体" w:hAnsi="黑体" w:eastAsia="黑体"/>
          <w:color w:val="auto"/>
          <w:sz w:val="24"/>
        </w:rPr>
        <w:t>13.投标文件的组成</w:t>
      </w:r>
      <w:bookmarkEnd w:id="170"/>
      <w:bookmarkEnd w:id="171"/>
    </w:p>
    <w:p>
      <w:pPr>
        <w:spacing w:line="360" w:lineRule="auto"/>
        <w:ind w:firstLine="420" w:firstLineChars="200"/>
        <w:rPr>
          <w:rFonts w:ascii="宋体" w:hAnsi="宋体"/>
          <w:color w:val="auto"/>
          <w:szCs w:val="21"/>
        </w:rPr>
      </w:pPr>
      <w:r>
        <w:rPr>
          <w:rFonts w:hint="eastAsia" w:ascii="宋体" w:hAnsi="宋体"/>
          <w:color w:val="auto"/>
          <w:szCs w:val="21"/>
        </w:rPr>
        <w:t>13.1投标文件由报价文件、资格证明文件、商务文件、技术文件四部分组成。</w:t>
      </w:r>
    </w:p>
    <w:p>
      <w:pPr>
        <w:spacing w:line="360" w:lineRule="auto"/>
        <w:ind w:firstLine="420" w:firstLineChars="200"/>
        <w:rPr>
          <w:rFonts w:ascii="宋体" w:hAnsi="宋体"/>
          <w:bCs/>
          <w:color w:val="auto"/>
          <w:szCs w:val="21"/>
        </w:rPr>
      </w:pPr>
      <w:bookmarkStart w:id="172" w:name="_13.1报价文件:_具体材料见“投标人须知前附表”。"/>
      <w:bookmarkEnd w:id="172"/>
      <w:bookmarkStart w:id="173" w:name="_13.2资格证明文件：具体材料见“投标人须知前附表”。"/>
      <w:bookmarkEnd w:id="173"/>
      <w:r>
        <w:rPr>
          <w:rFonts w:hint="eastAsia" w:ascii="宋体" w:hAnsi="宋体"/>
          <w:bCs/>
          <w:color w:val="auto"/>
          <w:szCs w:val="21"/>
        </w:rPr>
        <w:t>（1）资格证明文件：具体材料见“投标人须知前附表”。</w:t>
      </w:r>
    </w:p>
    <w:p>
      <w:pPr>
        <w:spacing w:line="360" w:lineRule="auto"/>
        <w:ind w:firstLine="420" w:firstLineChars="200"/>
        <w:rPr>
          <w:rFonts w:ascii="宋体" w:hAnsi="宋体"/>
          <w:bCs/>
          <w:color w:val="auto"/>
          <w:szCs w:val="21"/>
        </w:rPr>
      </w:pPr>
      <w:bookmarkStart w:id="174" w:name="_13.3商务文件:_具体材料见“投标人须知前附表”。"/>
      <w:bookmarkEnd w:id="174"/>
      <w:r>
        <w:rPr>
          <w:rFonts w:hint="eastAsia" w:ascii="宋体" w:hAnsi="宋体"/>
          <w:bCs/>
          <w:color w:val="auto"/>
          <w:szCs w:val="21"/>
        </w:rPr>
        <w:t>（2）商务文件：具体材料见“投标人须知前附表”。</w:t>
      </w:r>
    </w:p>
    <w:p>
      <w:pPr>
        <w:spacing w:line="360" w:lineRule="auto"/>
        <w:ind w:firstLine="420" w:firstLineChars="200"/>
        <w:rPr>
          <w:rFonts w:ascii="宋体" w:hAnsi="宋体"/>
          <w:bCs/>
          <w:color w:val="auto"/>
          <w:szCs w:val="21"/>
        </w:rPr>
      </w:pPr>
      <w:bookmarkStart w:id="175" w:name="_13.4技术文件：具体材料见“投标人须知前附表”。"/>
      <w:bookmarkEnd w:id="175"/>
      <w:r>
        <w:rPr>
          <w:rFonts w:hint="eastAsia" w:ascii="宋体" w:hAnsi="宋体"/>
          <w:bCs/>
          <w:color w:val="auto"/>
          <w:szCs w:val="21"/>
        </w:rPr>
        <w:t xml:space="preserve">（3）技术文件：具体材料见“投标人须知前附表”。 </w:t>
      </w:r>
    </w:p>
    <w:p>
      <w:pPr>
        <w:spacing w:line="360" w:lineRule="auto"/>
        <w:ind w:firstLine="420" w:firstLineChars="200"/>
        <w:rPr>
          <w:rFonts w:ascii="宋体" w:hAnsi="宋体"/>
          <w:bCs/>
          <w:color w:val="auto"/>
          <w:szCs w:val="21"/>
        </w:rPr>
      </w:pPr>
      <w:r>
        <w:rPr>
          <w:rFonts w:hint="eastAsia" w:ascii="宋体" w:hAnsi="宋体"/>
          <w:bCs/>
          <w:color w:val="auto"/>
          <w:szCs w:val="21"/>
        </w:rPr>
        <w:t>（4）报价文件： 具体材料见“投标人须知前附表”。</w:t>
      </w:r>
    </w:p>
    <w:p>
      <w:pPr>
        <w:spacing w:line="360" w:lineRule="auto"/>
        <w:ind w:firstLine="420" w:firstLineChars="200"/>
        <w:rPr>
          <w:rFonts w:ascii="宋体" w:hAnsi="宋体"/>
          <w:bCs/>
          <w:color w:val="auto"/>
          <w:szCs w:val="21"/>
        </w:rPr>
      </w:pPr>
      <w:bookmarkStart w:id="176" w:name="_13.5投标文件电子版：具体材料见“投标人须知前附表”。"/>
      <w:bookmarkEnd w:id="176"/>
      <w:r>
        <w:rPr>
          <w:rFonts w:hint="eastAsia" w:ascii="宋体" w:hAnsi="宋体"/>
          <w:bCs/>
          <w:color w:val="auto"/>
          <w:szCs w:val="21"/>
        </w:rPr>
        <w:t>13.2投标文件电子版：具体要求见本节19.投标文件编制。</w:t>
      </w:r>
    </w:p>
    <w:p>
      <w:pPr>
        <w:spacing w:line="360" w:lineRule="auto"/>
        <w:ind w:firstLine="480" w:firstLineChars="200"/>
        <w:rPr>
          <w:rFonts w:ascii="黑体" w:hAnsi="黑体" w:eastAsia="黑体"/>
          <w:color w:val="auto"/>
          <w:sz w:val="24"/>
        </w:rPr>
      </w:pPr>
      <w:bookmarkStart w:id="177" w:name="_Toc254970537"/>
      <w:bookmarkStart w:id="178" w:name="_Toc254970678"/>
      <w:r>
        <w:rPr>
          <w:rFonts w:hint="eastAsia" w:ascii="黑体" w:hAnsi="黑体" w:eastAsia="黑体"/>
          <w:color w:val="auto"/>
          <w:sz w:val="24"/>
        </w:rPr>
        <w:t>14.投标文件的语言及计量</w:t>
      </w:r>
      <w:bookmarkEnd w:id="177"/>
      <w:bookmarkEnd w:id="178"/>
    </w:p>
    <w:p>
      <w:pPr>
        <w:spacing w:line="360" w:lineRule="auto"/>
        <w:ind w:firstLine="420" w:firstLineChars="200"/>
        <w:rPr>
          <w:rFonts w:ascii="宋体" w:hAnsi="宋体"/>
          <w:bCs/>
          <w:color w:val="auto"/>
          <w:szCs w:val="21"/>
        </w:rPr>
      </w:pPr>
      <w:r>
        <w:rPr>
          <w:rFonts w:hint="eastAsia" w:ascii="宋体" w:hAnsi="宋体"/>
          <w:bCs/>
          <w:color w:val="auto"/>
          <w:szCs w:val="21"/>
        </w:rPr>
        <w:t>14.1语言文字</w:t>
      </w:r>
    </w:p>
    <w:p>
      <w:pPr>
        <w:spacing w:line="360" w:lineRule="auto"/>
        <w:ind w:firstLine="420" w:firstLineChars="200"/>
        <w:rPr>
          <w:rFonts w:ascii="宋体" w:hAnsi="宋体"/>
          <w:bCs/>
          <w:color w:val="auto"/>
          <w:szCs w:val="21"/>
        </w:rPr>
      </w:pPr>
      <w:r>
        <w:rPr>
          <w:rFonts w:hint="eastAsia" w:ascii="宋体" w:hAnsi="宋体"/>
          <w:bCs/>
          <w:color w:val="auto"/>
          <w:szCs w:val="21"/>
        </w:rPr>
        <w:t>投标文件以及投标人与采购人就有关投标事宜的所有来往函电，均应以中文书写（除专用术语外，与招标投标有关的语言均使用中文。必要时专用术语应附有中文注释）。投标人提交的支持文件和印刷的文献可以使用别的语言，但其相应内容应同时附中文翻译文本，在解释投标文件时以中文翻译文本为主。对不同文字文本投标文件的解释发生异议的，以中文文本为准。</w:t>
      </w:r>
    </w:p>
    <w:p>
      <w:pPr>
        <w:spacing w:line="360" w:lineRule="auto"/>
        <w:ind w:firstLine="420" w:firstLineChars="200"/>
        <w:rPr>
          <w:rFonts w:ascii="宋体" w:hAnsi="宋体"/>
          <w:bCs/>
          <w:color w:val="auto"/>
          <w:szCs w:val="21"/>
        </w:rPr>
      </w:pPr>
      <w:r>
        <w:rPr>
          <w:rFonts w:hint="eastAsia" w:ascii="宋体" w:hAnsi="宋体"/>
          <w:bCs/>
          <w:color w:val="auto"/>
          <w:szCs w:val="21"/>
        </w:rPr>
        <w:t>14.2投标计量单位</w:t>
      </w:r>
    </w:p>
    <w:p>
      <w:pPr>
        <w:spacing w:line="360" w:lineRule="auto"/>
        <w:ind w:firstLine="420" w:firstLineChars="200"/>
        <w:rPr>
          <w:rFonts w:ascii="宋体" w:hAnsi="宋体"/>
          <w:bCs/>
          <w:color w:val="auto"/>
          <w:szCs w:val="21"/>
        </w:rPr>
      </w:pPr>
      <w:r>
        <w:rPr>
          <w:rFonts w:hint="eastAsia" w:ascii="宋体" w:hAnsi="宋体"/>
          <w:bCs/>
          <w:color w:val="auto"/>
          <w:szCs w:val="21"/>
        </w:rPr>
        <w:t>招标文件已有明确规定的，使用招标文件规定的计量单位；招标文件没有规定的，应采用中华人民共和国法定计量单位，货币种类为人民币，否则视同未响应。</w:t>
      </w:r>
    </w:p>
    <w:p>
      <w:pPr>
        <w:spacing w:line="360" w:lineRule="auto"/>
        <w:ind w:firstLine="480" w:firstLineChars="200"/>
        <w:rPr>
          <w:rFonts w:ascii="黑体" w:hAnsi="黑体" w:eastAsia="黑体"/>
          <w:color w:val="auto"/>
          <w:sz w:val="24"/>
        </w:rPr>
      </w:pPr>
      <w:r>
        <w:rPr>
          <w:rFonts w:hint="eastAsia" w:ascii="黑体" w:hAnsi="黑体" w:eastAsia="黑体"/>
          <w:color w:val="auto"/>
          <w:sz w:val="24"/>
        </w:rPr>
        <w:t>15.投标的风险</w:t>
      </w:r>
    </w:p>
    <w:p>
      <w:pPr>
        <w:spacing w:line="360" w:lineRule="auto"/>
        <w:ind w:firstLine="420" w:firstLineChars="200"/>
        <w:rPr>
          <w:rFonts w:hAnsi="宋体"/>
          <w:b/>
          <w:bCs/>
          <w:color w:val="auto"/>
        </w:rPr>
      </w:pPr>
      <w:r>
        <w:rPr>
          <w:rFonts w:hint="eastAsia" w:hAnsi="宋体"/>
          <w:color w:val="auto"/>
        </w:rPr>
        <w:t>投标文件分为资格文件、商务文件、技术文件、报价文件四部分（其中：商务文件与技术文件合并编辑成一个电子文档）。各投标人在编制投标文件时请按照招标文件规定的格式进行，混乱的编排导致投标文件被误读或评标委员会查找不到有效文件是投标人的风险。投标人没有按照招标文件要求提供全部资料，或者投标人没有对招标文件作出实质性响应是投标人的风险，可能导致其投标被拒绝。</w:t>
      </w:r>
    </w:p>
    <w:p>
      <w:pPr>
        <w:spacing w:line="360" w:lineRule="auto"/>
        <w:ind w:firstLine="480" w:firstLineChars="200"/>
        <w:rPr>
          <w:rFonts w:ascii="黑体" w:hAnsi="黑体" w:eastAsia="黑体"/>
          <w:color w:val="auto"/>
          <w:sz w:val="24"/>
        </w:rPr>
      </w:pPr>
      <w:bookmarkStart w:id="179" w:name="_Toc254970538"/>
      <w:bookmarkStart w:id="180" w:name="_Toc254970679"/>
      <w:r>
        <w:rPr>
          <w:rFonts w:hint="eastAsia" w:ascii="黑体" w:hAnsi="黑体" w:eastAsia="黑体"/>
          <w:color w:val="auto"/>
          <w:sz w:val="24"/>
        </w:rPr>
        <w:t>16.投标报价</w:t>
      </w:r>
      <w:bookmarkEnd w:id="179"/>
      <w:bookmarkEnd w:id="180"/>
    </w:p>
    <w:p>
      <w:pPr>
        <w:spacing w:line="360" w:lineRule="auto"/>
        <w:ind w:firstLine="420" w:firstLineChars="200"/>
        <w:rPr>
          <w:rFonts w:ascii="宋体" w:hAnsi="宋体"/>
          <w:bCs/>
          <w:color w:val="auto"/>
          <w:szCs w:val="21"/>
        </w:rPr>
      </w:pPr>
      <w:r>
        <w:rPr>
          <w:rFonts w:hint="eastAsia" w:ascii="宋体" w:hAnsi="宋体"/>
          <w:bCs/>
          <w:color w:val="auto"/>
          <w:szCs w:val="21"/>
        </w:rPr>
        <w:t>16.1投标报价应</w:t>
      </w:r>
      <w:r>
        <w:rPr>
          <w:rFonts w:hint="eastAsia" w:ascii="宋体" w:hAnsi="宋体"/>
          <w:bCs/>
          <w:color w:val="auto"/>
          <w:szCs w:val="20"/>
        </w:rPr>
        <w:t>按“第六章　投标文件格式”中“开标一览表”格式填写。</w:t>
      </w:r>
    </w:p>
    <w:p>
      <w:pPr>
        <w:spacing w:line="360" w:lineRule="auto"/>
        <w:ind w:firstLine="420" w:firstLineChars="200"/>
        <w:rPr>
          <w:rFonts w:ascii="宋体" w:hAnsi="宋体"/>
          <w:bCs/>
          <w:color w:val="auto"/>
          <w:szCs w:val="21"/>
        </w:rPr>
      </w:pPr>
      <w:bookmarkStart w:id="181" w:name="_16.2投标报价具体定义见投标人须知前附表。"/>
      <w:bookmarkEnd w:id="181"/>
      <w:r>
        <w:rPr>
          <w:rFonts w:hint="eastAsia" w:ascii="宋体" w:hAnsi="宋体"/>
          <w:bCs/>
          <w:color w:val="auto"/>
          <w:szCs w:val="21"/>
        </w:rPr>
        <w:t>16.2投标报价具体包括内容详见“投标人须知前附表”。</w:t>
      </w:r>
    </w:p>
    <w:p>
      <w:pPr>
        <w:spacing w:line="360" w:lineRule="auto"/>
        <w:ind w:firstLine="420" w:firstLineChars="200"/>
        <w:rPr>
          <w:rFonts w:ascii="宋体" w:hAnsi="宋体"/>
          <w:bCs/>
          <w:color w:val="auto"/>
          <w:szCs w:val="21"/>
        </w:rPr>
      </w:pPr>
      <w:r>
        <w:rPr>
          <w:rFonts w:hint="eastAsia" w:ascii="宋体" w:hAnsi="宋体"/>
          <w:bCs/>
          <w:color w:val="auto"/>
          <w:szCs w:val="21"/>
        </w:rPr>
        <w:t>16.3投标人必须就所投项目的全部内容分别作完整唯一总价报价，不得存在漏项报价；投标人必须就所投项目的单项内容作唯一报价。</w:t>
      </w:r>
    </w:p>
    <w:p>
      <w:pPr>
        <w:spacing w:line="360" w:lineRule="auto"/>
        <w:ind w:firstLine="480" w:firstLineChars="200"/>
        <w:rPr>
          <w:rFonts w:ascii="黑体" w:hAnsi="黑体" w:eastAsia="黑体"/>
          <w:color w:val="auto"/>
          <w:sz w:val="24"/>
        </w:rPr>
      </w:pPr>
      <w:r>
        <w:rPr>
          <w:rFonts w:hint="eastAsia" w:ascii="黑体" w:hAnsi="黑体" w:eastAsia="黑体"/>
          <w:color w:val="auto"/>
          <w:sz w:val="24"/>
        </w:rPr>
        <w:t>17.投标有效期</w:t>
      </w:r>
    </w:p>
    <w:p>
      <w:pPr>
        <w:spacing w:line="360" w:lineRule="auto"/>
        <w:ind w:firstLine="420" w:firstLineChars="200"/>
        <w:rPr>
          <w:rFonts w:ascii="宋体" w:hAnsi="宋体"/>
          <w:bCs/>
          <w:color w:val="auto"/>
          <w:szCs w:val="21"/>
        </w:rPr>
      </w:pPr>
      <w:bookmarkStart w:id="182" w:name="_17.1投标有效期应按“投标人须知中的前附表”规定的期限。"/>
      <w:bookmarkEnd w:id="182"/>
      <w:r>
        <w:rPr>
          <w:rFonts w:hint="eastAsia" w:ascii="宋体" w:hAnsi="宋体"/>
          <w:bCs/>
          <w:color w:val="auto"/>
          <w:szCs w:val="21"/>
        </w:rPr>
        <w:t>17.1投标有效期是指为保证采购人有足够的时间在开标后完成评标、定标、合同签订等工作而要求投标人提交的投标文件在一定时间内保持有效的期限。</w:t>
      </w:r>
    </w:p>
    <w:p>
      <w:pPr>
        <w:spacing w:line="360" w:lineRule="auto"/>
        <w:ind w:firstLine="420" w:firstLineChars="200"/>
        <w:rPr>
          <w:rFonts w:ascii="宋体" w:hAnsi="宋体"/>
          <w:bCs/>
          <w:color w:val="auto"/>
          <w:szCs w:val="21"/>
        </w:rPr>
      </w:pPr>
      <w:r>
        <w:rPr>
          <w:rFonts w:hint="eastAsia" w:ascii="宋体" w:hAnsi="宋体"/>
          <w:bCs/>
          <w:color w:val="auto"/>
          <w:szCs w:val="21"/>
        </w:rPr>
        <w:t>17.2</w:t>
      </w:r>
      <w:bookmarkStart w:id="183" w:name="_Toc254970540"/>
      <w:bookmarkStart w:id="184" w:name="_Toc254970681"/>
      <w:r>
        <w:rPr>
          <w:rFonts w:hint="eastAsia" w:ascii="宋体" w:hAnsi="宋体"/>
          <w:bCs/>
          <w:color w:val="auto"/>
          <w:szCs w:val="21"/>
        </w:rPr>
        <w:t xml:space="preserve"> 投标有效期应按规定的期限作出承诺，具体详见“投标人须知前附表”。</w:t>
      </w:r>
    </w:p>
    <w:p>
      <w:pPr>
        <w:spacing w:line="360" w:lineRule="auto"/>
        <w:ind w:firstLine="420" w:firstLineChars="200"/>
        <w:rPr>
          <w:rFonts w:ascii="宋体" w:hAnsi="宋体"/>
          <w:bCs/>
          <w:color w:val="auto"/>
          <w:szCs w:val="21"/>
        </w:rPr>
      </w:pPr>
      <w:r>
        <w:rPr>
          <w:rFonts w:hint="eastAsia" w:ascii="宋体" w:hAnsi="宋体"/>
          <w:bCs/>
          <w:color w:val="auto"/>
          <w:szCs w:val="21"/>
        </w:rPr>
        <w:t>17.3投标人的投标文件在投标有效期内均保持有效。</w:t>
      </w:r>
      <w:bookmarkEnd w:id="183"/>
      <w:bookmarkEnd w:id="184"/>
    </w:p>
    <w:p>
      <w:pPr>
        <w:spacing w:line="360" w:lineRule="auto"/>
        <w:ind w:firstLine="480" w:firstLineChars="200"/>
        <w:rPr>
          <w:rFonts w:ascii="黑体" w:hAnsi="黑体" w:eastAsia="黑体"/>
          <w:color w:val="auto"/>
          <w:sz w:val="24"/>
        </w:rPr>
      </w:pPr>
      <w:bookmarkStart w:id="185" w:name="_18.投标保证金"/>
      <w:bookmarkEnd w:id="185"/>
      <w:bookmarkStart w:id="186" w:name="_Toc254970682"/>
      <w:bookmarkStart w:id="187" w:name="_Toc254970541"/>
      <w:r>
        <w:rPr>
          <w:rFonts w:hint="eastAsia" w:ascii="黑体" w:hAnsi="黑体" w:eastAsia="黑体"/>
          <w:color w:val="auto"/>
          <w:sz w:val="24"/>
        </w:rPr>
        <w:t>18.投标保证金</w:t>
      </w:r>
      <w:bookmarkEnd w:id="186"/>
      <w:bookmarkEnd w:id="187"/>
    </w:p>
    <w:p>
      <w:pPr>
        <w:pStyle w:val="7"/>
        <w:keepNext w:val="0"/>
        <w:keepLines w:val="0"/>
        <w:spacing w:before="0" w:after="0" w:line="360" w:lineRule="auto"/>
        <w:ind w:left="420" w:leftChars="200"/>
        <w:rPr>
          <w:rFonts w:ascii="宋体" w:hAnsi="宋体" w:cs="宋体"/>
          <w:b w:val="0"/>
          <w:color w:val="auto"/>
          <w:sz w:val="21"/>
          <w:szCs w:val="21"/>
        </w:rPr>
      </w:pPr>
      <w:bookmarkStart w:id="188" w:name="_Toc254970683"/>
      <w:bookmarkStart w:id="189" w:name="_Toc254970542"/>
      <w:r>
        <w:rPr>
          <w:rFonts w:hint="eastAsia" w:ascii="宋体" w:hAnsi="宋体" w:cs="宋体"/>
          <w:b w:val="0"/>
          <w:color w:val="auto"/>
          <w:sz w:val="21"/>
          <w:szCs w:val="21"/>
        </w:rPr>
        <w:t>18.1投标人须按“投标人须知前附表” 的规定提交投标保证金。</w:t>
      </w:r>
    </w:p>
    <w:p>
      <w:pPr>
        <w:pStyle w:val="7"/>
        <w:keepNext w:val="0"/>
        <w:keepLines w:val="0"/>
        <w:spacing w:before="0" w:after="0" w:line="360" w:lineRule="auto"/>
        <w:ind w:left="420" w:leftChars="200"/>
        <w:rPr>
          <w:rFonts w:ascii="宋体" w:hAnsi="宋体" w:cs="宋体"/>
          <w:b w:val="0"/>
          <w:color w:val="auto"/>
          <w:sz w:val="21"/>
          <w:szCs w:val="21"/>
        </w:rPr>
      </w:pPr>
      <w:r>
        <w:rPr>
          <w:rFonts w:hint="eastAsia" w:ascii="宋体" w:hAnsi="宋体" w:cs="宋体"/>
          <w:b w:val="0"/>
          <w:color w:val="auto"/>
          <w:sz w:val="21"/>
          <w:szCs w:val="21"/>
        </w:rPr>
        <w:t>18.2投标保证金的退还</w:t>
      </w:r>
    </w:p>
    <w:p>
      <w:pPr>
        <w:pStyle w:val="7"/>
        <w:keepNext w:val="0"/>
        <w:keepLines w:val="0"/>
        <w:spacing w:before="0" w:after="0" w:line="360" w:lineRule="auto"/>
        <w:ind w:left="420" w:leftChars="200"/>
        <w:rPr>
          <w:rFonts w:ascii="宋体" w:hAnsi="宋体" w:cs="宋体"/>
          <w:b w:val="0"/>
          <w:color w:val="auto"/>
          <w:sz w:val="21"/>
          <w:szCs w:val="21"/>
        </w:rPr>
      </w:pPr>
      <w:r>
        <w:rPr>
          <w:rFonts w:hint="eastAsia" w:ascii="宋体" w:hAnsi="宋体" w:cs="宋体"/>
          <w:b w:val="0"/>
          <w:color w:val="auto"/>
          <w:sz w:val="21"/>
          <w:szCs w:val="21"/>
        </w:rPr>
        <w:t>18.2.1未中标人的投标保证金自中标通知书发出之日起4个工作日内退还，退还方式如下：</w:t>
      </w:r>
    </w:p>
    <w:p>
      <w:pPr>
        <w:pStyle w:val="7"/>
        <w:keepNext w:val="0"/>
        <w:keepLines w:val="0"/>
        <w:spacing w:before="0" w:after="0" w:line="360" w:lineRule="auto"/>
        <w:ind w:firstLine="315" w:firstLineChars="150"/>
        <w:rPr>
          <w:rFonts w:ascii="宋体" w:hAnsi="宋体" w:cs="宋体"/>
          <w:b w:val="0"/>
          <w:color w:val="auto"/>
          <w:sz w:val="21"/>
          <w:szCs w:val="21"/>
        </w:rPr>
      </w:pPr>
      <w:r>
        <w:rPr>
          <w:rFonts w:hint="eastAsia" w:ascii="宋体" w:hAnsi="宋体" w:cs="宋体"/>
          <w:b w:val="0"/>
          <w:color w:val="auto"/>
          <w:sz w:val="21"/>
          <w:szCs w:val="21"/>
        </w:rPr>
        <w:t>（1）采用银行转账方式的，以转账方式退回到投标人银行账户。</w:t>
      </w:r>
    </w:p>
    <w:p>
      <w:pPr>
        <w:pStyle w:val="8"/>
        <w:spacing w:line="360" w:lineRule="auto"/>
        <w:ind w:firstLine="315" w:firstLineChars="150"/>
        <w:rPr>
          <w:rFonts w:ascii="宋体" w:hAnsi="宋体" w:cs="宋体"/>
          <w:color w:val="auto"/>
          <w:szCs w:val="21"/>
        </w:rPr>
      </w:pPr>
      <w:r>
        <w:rPr>
          <w:rFonts w:hint="eastAsia" w:ascii="宋体" w:hAnsi="宋体" w:cs="宋体"/>
          <w:color w:val="auto"/>
          <w:szCs w:val="21"/>
        </w:rPr>
        <w:t xml:space="preserve">（2）采用支票、汇票、本票或者金融机构、担保机构出具的保函等方式的，由投标人代表持相关授权证明材料至采购代理机构办理支票、汇票、本票或者金融机构、担保机构出具的保函等原件退还手续。 </w:t>
      </w:r>
    </w:p>
    <w:p>
      <w:pPr>
        <w:pStyle w:val="7"/>
        <w:keepNext w:val="0"/>
        <w:keepLines w:val="0"/>
        <w:spacing w:before="0" w:after="0" w:line="360" w:lineRule="auto"/>
        <w:ind w:firstLine="420" w:firstLineChars="200"/>
        <w:rPr>
          <w:rFonts w:ascii="宋体" w:hAnsi="宋体" w:cs="宋体"/>
          <w:b w:val="0"/>
          <w:color w:val="auto"/>
          <w:sz w:val="21"/>
          <w:szCs w:val="21"/>
        </w:rPr>
      </w:pPr>
      <w:r>
        <w:rPr>
          <w:rFonts w:hint="eastAsia" w:ascii="宋体" w:hAnsi="宋体" w:cs="宋体"/>
          <w:b w:val="0"/>
          <w:color w:val="auto"/>
          <w:sz w:val="21"/>
          <w:szCs w:val="21"/>
        </w:rPr>
        <w:t xml:space="preserve">18.2.2中标人的投标保证金自采购合同签订之日起4个工作日内退还，退还方式同本须知正文第18.2.1。 </w:t>
      </w:r>
    </w:p>
    <w:p>
      <w:pPr>
        <w:pStyle w:val="7"/>
        <w:keepNext w:val="0"/>
        <w:keepLines w:val="0"/>
        <w:spacing w:before="0" w:after="0" w:line="360" w:lineRule="auto"/>
        <w:ind w:left="420" w:leftChars="200"/>
        <w:rPr>
          <w:rFonts w:ascii="宋体" w:hAnsi="宋体" w:cs="宋体"/>
          <w:b w:val="0"/>
          <w:color w:val="auto"/>
          <w:sz w:val="21"/>
          <w:szCs w:val="21"/>
        </w:rPr>
      </w:pPr>
      <w:r>
        <w:rPr>
          <w:rFonts w:hint="eastAsia" w:ascii="宋体" w:hAnsi="宋体" w:cs="宋体"/>
          <w:b w:val="0"/>
          <w:color w:val="auto"/>
          <w:sz w:val="21"/>
          <w:szCs w:val="21"/>
        </w:rPr>
        <w:t>18.3除逾期退还投标保证金和终止招标的情形以外，投标保证金不计息。</w:t>
      </w:r>
    </w:p>
    <w:p>
      <w:pPr>
        <w:pStyle w:val="7"/>
        <w:keepNext w:val="0"/>
        <w:keepLines w:val="0"/>
        <w:spacing w:before="0" w:after="0" w:line="360" w:lineRule="auto"/>
        <w:ind w:left="420" w:leftChars="200"/>
        <w:rPr>
          <w:rFonts w:ascii="宋体" w:hAnsi="宋体" w:cs="宋体"/>
          <w:b w:val="0"/>
          <w:color w:val="auto"/>
          <w:sz w:val="21"/>
          <w:szCs w:val="21"/>
        </w:rPr>
      </w:pPr>
      <w:r>
        <w:rPr>
          <w:rFonts w:hint="eastAsia" w:ascii="宋体" w:hAnsi="宋体" w:cs="宋体"/>
          <w:b w:val="0"/>
          <w:color w:val="auto"/>
          <w:sz w:val="21"/>
          <w:szCs w:val="21"/>
        </w:rPr>
        <w:t xml:space="preserve">18.4投标人有下列情形之一的，投标保证金将不予退还： </w:t>
      </w:r>
    </w:p>
    <w:p>
      <w:pPr>
        <w:snapToGrid w:val="0"/>
        <w:spacing w:line="360" w:lineRule="auto"/>
        <w:ind w:firstLine="411" w:firstLineChars="196"/>
        <w:jc w:val="left"/>
        <w:rPr>
          <w:rFonts w:ascii="宋体" w:hAnsi="宋体" w:cs="宋体"/>
          <w:color w:val="auto"/>
          <w:szCs w:val="21"/>
        </w:rPr>
      </w:pPr>
      <w:r>
        <w:rPr>
          <w:rFonts w:hint="eastAsia" w:ascii="宋体" w:hAnsi="宋体" w:cs="宋体"/>
          <w:color w:val="auto"/>
          <w:szCs w:val="21"/>
        </w:rPr>
        <w:t>（1）投标人在投标有效期内撤销投标文件的；</w:t>
      </w:r>
    </w:p>
    <w:p>
      <w:pPr>
        <w:snapToGrid w:val="0"/>
        <w:spacing w:line="360" w:lineRule="auto"/>
        <w:ind w:firstLine="411" w:firstLineChars="196"/>
        <w:jc w:val="left"/>
        <w:rPr>
          <w:rFonts w:ascii="宋体" w:hAnsi="宋体" w:cs="宋体"/>
          <w:color w:val="auto"/>
          <w:szCs w:val="21"/>
        </w:rPr>
      </w:pPr>
      <w:r>
        <w:rPr>
          <w:rFonts w:hint="eastAsia" w:ascii="宋体" w:hAnsi="宋体" w:cs="宋体"/>
          <w:color w:val="auto"/>
          <w:szCs w:val="21"/>
        </w:rPr>
        <w:t>（2）未按规定提交履约保证金的；</w:t>
      </w:r>
    </w:p>
    <w:p>
      <w:pPr>
        <w:snapToGrid w:val="0"/>
        <w:spacing w:line="360" w:lineRule="auto"/>
        <w:ind w:firstLine="411" w:firstLineChars="196"/>
        <w:jc w:val="left"/>
        <w:rPr>
          <w:rFonts w:ascii="宋体" w:hAnsi="宋体" w:cs="宋体"/>
          <w:color w:val="auto"/>
          <w:szCs w:val="21"/>
        </w:rPr>
      </w:pPr>
      <w:r>
        <w:rPr>
          <w:rFonts w:hint="eastAsia" w:ascii="宋体" w:hAnsi="宋体" w:cs="宋体"/>
          <w:color w:val="auto"/>
          <w:szCs w:val="21"/>
        </w:rPr>
        <w:t>（3）投标人在投标过程中弄虚作假，提供虚假材料的；</w:t>
      </w:r>
    </w:p>
    <w:p>
      <w:pPr>
        <w:snapToGrid w:val="0"/>
        <w:spacing w:line="360" w:lineRule="auto"/>
        <w:ind w:firstLine="411" w:firstLineChars="196"/>
        <w:rPr>
          <w:rFonts w:ascii="宋体" w:hAnsi="宋体" w:cs="宋体"/>
          <w:color w:val="auto"/>
          <w:szCs w:val="21"/>
        </w:rPr>
      </w:pPr>
      <w:r>
        <w:rPr>
          <w:rFonts w:hint="eastAsia" w:ascii="宋体" w:hAnsi="宋体" w:cs="宋体"/>
          <w:color w:val="auto"/>
          <w:szCs w:val="21"/>
        </w:rPr>
        <w:t>（4）中标人无正当理由不与采购人签订合同的；</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（5）投标人出现本章第9.2、9.3情形的；</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（6）其他严重扰乱招投标程序的。</w:t>
      </w:r>
    </w:p>
    <w:p>
      <w:pPr>
        <w:spacing w:line="360" w:lineRule="auto"/>
        <w:ind w:firstLine="480" w:firstLineChars="200"/>
        <w:rPr>
          <w:rFonts w:ascii="黑体" w:hAnsi="黑体" w:eastAsia="黑体"/>
          <w:color w:val="auto"/>
          <w:sz w:val="24"/>
        </w:rPr>
      </w:pPr>
      <w:r>
        <w:rPr>
          <w:rFonts w:hint="eastAsia" w:ascii="黑体" w:hAnsi="黑体" w:eastAsia="黑体"/>
          <w:color w:val="auto"/>
          <w:sz w:val="24"/>
        </w:rPr>
        <w:t>19.投标文件的</w:t>
      </w:r>
      <w:bookmarkEnd w:id="188"/>
      <w:bookmarkEnd w:id="189"/>
      <w:r>
        <w:rPr>
          <w:rFonts w:hint="eastAsia" w:ascii="黑体" w:hAnsi="黑体" w:eastAsia="黑体"/>
          <w:color w:val="auto"/>
          <w:sz w:val="24"/>
        </w:rPr>
        <w:t>编制</w:t>
      </w:r>
    </w:p>
    <w:p>
      <w:pPr>
        <w:spacing w:line="360" w:lineRule="auto"/>
        <w:ind w:firstLine="420" w:firstLineChars="200"/>
        <w:rPr>
          <w:rFonts w:ascii="宋体" w:hAnsi="宋体" w:cs="宋体"/>
          <w:color w:val="auto"/>
          <w:szCs w:val="21"/>
        </w:rPr>
      </w:pPr>
      <w:r>
        <w:rPr>
          <w:rFonts w:hint="eastAsia" w:ascii="宋体" w:hAnsi="宋体" w:cs="宋体"/>
          <w:color w:val="auto"/>
          <w:szCs w:val="21"/>
        </w:rPr>
        <w:t>19.1投标文件编制要求详见“投标人须知前附表”。投标人应按本招标文件规定的格式和顺序编制投标文件并标注页码，投标文件内容不完整、编排混乱导致投标文件被误读、漏读或者查找不到相关内容的，由此引发的后果由投标人承担。</w:t>
      </w:r>
      <w:bookmarkStart w:id="190" w:name="_19.2投标文件应按报价文件、资格证明文件、商务文件、技术文件分别编制"/>
      <w:bookmarkEnd w:id="190"/>
    </w:p>
    <w:p>
      <w:pPr>
        <w:pStyle w:val="37"/>
        <w:snapToGrid w:val="0"/>
        <w:spacing w:before="0"/>
        <w:ind w:firstLine="420"/>
        <w:rPr>
          <w:rFonts w:ascii="宋体" w:hAnsi="宋体" w:cs="宋体"/>
          <w:color w:val="auto"/>
          <w:sz w:val="21"/>
          <w:szCs w:val="21"/>
        </w:rPr>
      </w:pPr>
      <w:r>
        <w:rPr>
          <w:rFonts w:hint="eastAsia" w:ascii="宋体" w:hAnsi="宋体" w:cs="宋体"/>
          <w:color w:val="auto"/>
          <w:sz w:val="21"/>
          <w:szCs w:val="21"/>
        </w:rPr>
        <w:t>19.2投标文件按照招标文件第六章格式要求进行签署、盖章。投标人的投标文件未按照招标文件要求签署、盖章的，</w:t>
      </w:r>
      <w:r>
        <w:rPr>
          <w:rFonts w:hint="eastAsia" w:ascii="宋体" w:hAnsi="宋体" w:cs="宋体"/>
          <w:b/>
          <w:color w:val="auto"/>
          <w:sz w:val="21"/>
          <w:szCs w:val="21"/>
        </w:rPr>
        <w:t>其投标无效。</w:t>
      </w:r>
    </w:p>
    <w:p>
      <w:pPr>
        <w:pStyle w:val="37"/>
        <w:snapToGrid w:val="0"/>
        <w:spacing w:before="0"/>
        <w:ind w:firstLine="420"/>
        <w:rPr>
          <w:rFonts w:ascii="宋体" w:hAnsi="宋体" w:cs="宋体"/>
          <w:color w:val="auto"/>
          <w:sz w:val="21"/>
          <w:szCs w:val="21"/>
        </w:rPr>
      </w:pPr>
    </w:p>
    <w:p>
      <w:pPr>
        <w:pStyle w:val="37"/>
        <w:snapToGrid w:val="0"/>
        <w:spacing w:before="0"/>
        <w:ind w:firstLine="420"/>
        <w:rPr>
          <w:rFonts w:ascii="宋体" w:hAnsi="宋体" w:cs="宋体"/>
          <w:color w:val="auto"/>
          <w:sz w:val="21"/>
          <w:szCs w:val="21"/>
        </w:rPr>
      </w:pPr>
      <w:r>
        <w:rPr>
          <w:rFonts w:hint="eastAsia" w:ascii="宋体" w:hAnsi="宋体" w:cs="宋体"/>
          <w:color w:val="auto"/>
          <w:sz w:val="21"/>
          <w:szCs w:val="21"/>
        </w:rPr>
        <w:t>19.3为确保网上操作合法、有效和安全，投标人应当在投标截止时间前完成在“政采云”平台的身份认证，确保在电子投标过程中能够对相关数据电文进行加密和使用电子签名。</w:t>
      </w:r>
    </w:p>
    <w:p>
      <w:pPr>
        <w:spacing w:line="360" w:lineRule="auto"/>
        <w:ind w:firstLine="422" w:firstLineChars="200"/>
        <w:rPr>
          <w:rFonts w:ascii="宋体" w:hAnsi="宋体" w:cs="宋体"/>
          <w:b/>
          <w:color w:val="auto"/>
          <w:szCs w:val="21"/>
        </w:rPr>
      </w:pPr>
      <w:r>
        <w:rPr>
          <w:rFonts w:hint="eastAsia" w:ascii="宋体" w:hAnsi="宋体" w:cs="宋体"/>
          <w:b/>
          <w:color w:val="auto"/>
          <w:szCs w:val="21"/>
        </w:rPr>
        <w:t>19.4投标文件中标注的投标人名称应与主体资格证明（如营业执照、事业单位法人证书、执业许可证、自然人身份证等）及公章一致，</w:t>
      </w:r>
      <w:r>
        <w:rPr>
          <w:rFonts w:hint="eastAsia" w:ascii="宋体" w:hAnsi="宋体" w:cs="宋体"/>
          <w:color w:val="auto"/>
          <w:szCs w:val="21"/>
        </w:rPr>
        <w:t>否则作无效投标处理</w:t>
      </w:r>
      <w:r>
        <w:rPr>
          <w:rFonts w:hint="eastAsia" w:ascii="宋体" w:hAnsi="宋体" w:cs="宋体"/>
          <w:b/>
          <w:color w:val="auto"/>
          <w:szCs w:val="21"/>
        </w:rPr>
        <w:t>。</w:t>
      </w:r>
    </w:p>
    <w:p>
      <w:pPr>
        <w:spacing w:line="360" w:lineRule="auto"/>
        <w:ind w:firstLine="420" w:firstLineChars="200"/>
        <w:rPr>
          <w:rFonts w:ascii="宋体" w:hAnsi="宋体" w:cs="宋体"/>
          <w:color w:val="auto"/>
          <w:szCs w:val="21"/>
        </w:rPr>
      </w:pPr>
      <w:r>
        <w:rPr>
          <w:rFonts w:hint="eastAsia" w:ascii="宋体" w:hAnsi="宋体" w:cs="宋体"/>
          <w:color w:val="auto"/>
          <w:szCs w:val="21"/>
        </w:rPr>
        <w:t xml:space="preserve"> 19.5投标文件应避免涂改、行间插字或者删除。</w:t>
      </w:r>
    </w:p>
    <w:p>
      <w:pPr>
        <w:spacing w:line="360" w:lineRule="auto"/>
        <w:ind w:firstLine="525" w:firstLineChars="250"/>
        <w:rPr>
          <w:rFonts w:ascii="宋体" w:hAnsi="宋体" w:cs="宋体"/>
          <w:color w:val="auto"/>
        </w:rPr>
      </w:pPr>
      <w:r>
        <w:rPr>
          <w:rFonts w:hint="eastAsia" w:ascii="宋体" w:hAnsi="宋体" w:cs="宋体"/>
          <w:color w:val="auto"/>
        </w:rPr>
        <w:t>19.6 对招标文件的实质性要求和条件作出响应是指投标人必须对招标文件中标注为实质性要求和条件的</w:t>
      </w:r>
      <w:r>
        <w:rPr>
          <w:rFonts w:hint="eastAsia" w:ascii="宋体" w:hAnsi="宋体" w:cs="宋体"/>
          <w:color w:val="auto"/>
          <w:szCs w:val="21"/>
        </w:rPr>
        <w:t>服务内容及要求</w:t>
      </w:r>
      <w:r>
        <w:rPr>
          <w:rFonts w:hint="eastAsia" w:ascii="宋体" w:hAnsi="宋体" w:cs="宋体"/>
          <w:color w:val="auto"/>
        </w:rPr>
        <w:t>、商务条款及其它内容</w:t>
      </w:r>
      <w:r>
        <w:rPr>
          <w:rFonts w:hint="eastAsia" w:ascii="宋体" w:hAnsi="宋体" w:cs="宋体"/>
          <w:b/>
          <w:color w:val="auto"/>
        </w:rPr>
        <w:t>作出满足或者优于原要求和条件的承诺</w:t>
      </w:r>
      <w:r>
        <w:rPr>
          <w:rFonts w:hint="eastAsia" w:ascii="宋体" w:hAnsi="宋体" w:cs="宋体"/>
          <w:color w:val="auto"/>
        </w:rPr>
        <w:t>。</w:t>
      </w:r>
    </w:p>
    <w:p>
      <w:pPr>
        <w:spacing w:line="360" w:lineRule="auto"/>
        <w:ind w:firstLine="422" w:firstLineChars="200"/>
        <w:rPr>
          <w:rFonts w:ascii="宋体" w:hAnsi="宋体" w:cs="宋体"/>
          <w:b/>
          <w:color w:val="auto"/>
          <w:szCs w:val="21"/>
          <w:u w:val="single"/>
        </w:rPr>
      </w:pPr>
      <w:r>
        <w:rPr>
          <w:rFonts w:hint="eastAsia" w:ascii="宋体" w:hAnsi="宋体" w:cs="宋体"/>
          <w:b/>
          <w:color w:val="auto"/>
          <w:szCs w:val="21"/>
          <w:u w:val="single"/>
        </w:rPr>
        <w:t>19.7本项目为全流程电子化项目，异常情况见“第二节 投标人须知正文”中“四、24.2开标程序。</w:t>
      </w:r>
    </w:p>
    <w:p>
      <w:pPr>
        <w:spacing w:line="360" w:lineRule="auto"/>
        <w:ind w:firstLine="480" w:firstLineChars="200"/>
        <w:rPr>
          <w:rFonts w:ascii="黑体" w:hAnsi="黑体" w:eastAsia="黑体"/>
          <w:color w:val="auto"/>
          <w:sz w:val="24"/>
        </w:rPr>
      </w:pPr>
      <w:r>
        <w:rPr>
          <w:rFonts w:hint="eastAsia" w:ascii="黑体" w:hAnsi="黑体" w:eastAsia="黑体"/>
          <w:color w:val="auto"/>
          <w:sz w:val="24"/>
        </w:rPr>
        <w:t>20.备份投标文件</w:t>
      </w:r>
    </w:p>
    <w:p>
      <w:pPr>
        <w:spacing w:line="360" w:lineRule="auto"/>
        <w:ind w:firstLine="420" w:firstLineChars="200"/>
        <w:rPr>
          <w:rFonts w:ascii="黑体" w:hAnsi="黑体" w:eastAsia="黑体"/>
          <w:color w:val="auto"/>
          <w:sz w:val="24"/>
        </w:rPr>
      </w:pPr>
      <w:r>
        <w:rPr>
          <w:rFonts w:hint="eastAsia" w:hAnsi="宋体"/>
          <w:bCs/>
          <w:color w:val="auto"/>
          <w:szCs w:val="21"/>
        </w:rPr>
        <w:t>详见在“投标人须知前附表”。</w:t>
      </w:r>
    </w:p>
    <w:p>
      <w:pPr>
        <w:spacing w:line="360" w:lineRule="auto"/>
        <w:ind w:firstLine="480" w:firstLineChars="200"/>
        <w:rPr>
          <w:rFonts w:ascii="黑体" w:hAnsi="黑体" w:eastAsia="黑体"/>
          <w:color w:val="auto"/>
          <w:sz w:val="24"/>
        </w:rPr>
      </w:pPr>
      <w:r>
        <w:rPr>
          <w:rFonts w:hint="eastAsia" w:ascii="黑体" w:hAnsi="黑体" w:eastAsia="黑体"/>
          <w:color w:val="auto"/>
          <w:sz w:val="24"/>
        </w:rPr>
        <w:t>21.投标文件的提交</w:t>
      </w:r>
    </w:p>
    <w:p>
      <w:pPr>
        <w:spacing w:line="360" w:lineRule="auto"/>
        <w:ind w:firstLine="420" w:firstLineChars="200"/>
        <w:rPr>
          <w:rFonts w:hAnsi="宋体"/>
          <w:b/>
          <w:color w:val="auto"/>
        </w:rPr>
      </w:pPr>
      <w:bookmarkStart w:id="191" w:name="_21.1投标人必须在“投标人须知中的前附表”规定的投标文件接收时间和投"/>
      <w:bookmarkEnd w:id="191"/>
      <w:r>
        <w:rPr>
          <w:rFonts w:hint="eastAsia" w:ascii="宋体" w:hAnsi="宋体" w:cs="宋体"/>
          <w:bCs/>
          <w:color w:val="auto"/>
          <w:szCs w:val="21"/>
        </w:rPr>
        <w:t>21.1</w:t>
      </w:r>
      <w:r>
        <w:rPr>
          <w:rFonts w:hint="eastAsia" w:hAnsi="宋体"/>
          <w:bCs/>
          <w:color w:val="auto"/>
          <w:szCs w:val="21"/>
        </w:rPr>
        <w:t>投标人必须在“投标人须知前附表”规定的投标文件接收时间和投标地点提交电子版投标文件。电子投标文件应在制作完成后，在投标截止时间前通过有效数字证书（</w:t>
      </w:r>
      <w:r>
        <w:rPr>
          <w:rFonts w:hAnsi="宋体"/>
          <w:bCs/>
          <w:color w:val="auto"/>
          <w:szCs w:val="21"/>
        </w:rPr>
        <w:t>CA</w:t>
      </w:r>
      <w:r>
        <w:rPr>
          <w:rFonts w:hint="eastAsia" w:hAnsi="宋体"/>
          <w:bCs/>
          <w:color w:val="auto"/>
          <w:szCs w:val="21"/>
        </w:rPr>
        <w:t>认证锁）进行电子签章、加密，然后通过网络将加密的电子投标文件递交至“政采云”平台。</w:t>
      </w:r>
    </w:p>
    <w:p>
      <w:pPr>
        <w:spacing w:line="360" w:lineRule="auto"/>
        <w:ind w:firstLine="422" w:firstLineChars="200"/>
        <w:rPr>
          <w:rFonts w:ascii="宋体" w:hAnsi="宋体"/>
          <w:b/>
          <w:color w:val="auto"/>
          <w:szCs w:val="20"/>
        </w:rPr>
      </w:pPr>
      <w:r>
        <w:rPr>
          <w:rFonts w:hint="eastAsia" w:ascii="宋体" w:hAnsi="宋体"/>
          <w:b/>
          <w:color w:val="auto"/>
          <w:szCs w:val="21"/>
        </w:rPr>
        <w:t>21.2未在规定时间内提交或者未按照招标文件要求密封或者标记的电子投标文件，“政采云”平台将拒收。</w:t>
      </w:r>
    </w:p>
    <w:p>
      <w:pPr>
        <w:spacing w:line="360" w:lineRule="auto"/>
        <w:ind w:firstLine="420" w:firstLineChars="200"/>
        <w:rPr>
          <w:rFonts w:ascii="宋体" w:hAnsi="宋体"/>
          <w:color w:val="auto"/>
          <w:szCs w:val="21"/>
        </w:rPr>
      </w:pPr>
      <w:r>
        <w:rPr>
          <w:rFonts w:hint="eastAsia" w:ascii="宋体" w:hAnsi="宋体"/>
          <w:color w:val="auto"/>
          <w:szCs w:val="21"/>
        </w:rPr>
        <w:t>21.3电子版投标文件提交方式见“招标公告”。</w:t>
      </w:r>
    </w:p>
    <w:p>
      <w:pPr>
        <w:spacing w:line="360" w:lineRule="auto"/>
        <w:ind w:firstLine="480" w:firstLineChars="200"/>
        <w:rPr>
          <w:rFonts w:ascii="黑体" w:hAnsi="黑体" w:eastAsia="黑体"/>
          <w:color w:val="auto"/>
          <w:sz w:val="24"/>
        </w:rPr>
      </w:pPr>
      <w:r>
        <w:rPr>
          <w:rFonts w:hint="eastAsia" w:ascii="黑体" w:hAnsi="黑体" w:eastAsia="黑体"/>
          <w:color w:val="auto"/>
          <w:sz w:val="24"/>
        </w:rPr>
        <w:t>22. 投标文件的补充、修改、撤回与退回</w:t>
      </w:r>
      <w:bookmarkStart w:id="192" w:name="_Toc254970684"/>
      <w:bookmarkStart w:id="193" w:name="_Toc254970543"/>
    </w:p>
    <w:p>
      <w:pPr>
        <w:spacing w:line="360" w:lineRule="auto"/>
        <w:ind w:firstLine="420" w:firstLineChars="200"/>
        <w:rPr>
          <w:rFonts w:ascii="黑体" w:hAnsi="黑体" w:eastAsia="黑体"/>
          <w:color w:val="auto"/>
          <w:sz w:val="24"/>
        </w:rPr>
      </w:pPr>
      <w:r>
        <w:rPr>
          <w:rFonts w:hint="eastAsia" w:ascii="宋体" w:hAnsi="宋体" w:cs="宋体"/>
          <w:color w:val="auto"/>
          <w:szCs w:val="21"/>
        </w:rPr>
        <w:t>22.1 投标人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提交的投标文件，“政采云”平台将拒收。</w:t>
      </w:r>
    </w:p>
    <w:p>
      <w:pPr>
        <w:pStyle w:val="37"/>
        <w:spacing w:before="0"/>
        <w:ind w:firstLine="420"/>
        <w:rPr>
          <w:rFonts w:ascii="宋体" w:hAnsi="宋体" w:cs="宋体"/>
          <w:color w:val="auto"/>
          <w:sz w:val="21"/>
          <w:szCs w:val="21"/>
        </w:rPr>
      </w:pPr>
      <w:r>
        <w:rPr>
          <w:rFonts w:hint="eastAsia" w:ascii="宋体" w:hAnsi="宋体" w:cs="宋体"/>
          <w:color w:val="auto"/>
          <w:sz w:val="21"/>
          <w:szCs w:val="21"/>
        </w:rPr>
        <w:t>22.2“政采云”平台收到投标文件，将妥善保存并即时向投标人发出确认回执通知。在投标截止时间前，除投标人补充、修改或者撤回投标文件外，任何单位和个人不得解密或提取投标文件。</w:t>
      </w:r>
    </w:p>
    <w:bookmarkEnd w:id="192"/>
    <w:bookmarkEnd w:id="193"/>
    <w:p>
      <w:pPr>
        <w:spacing w:line="360" w:lineRule="auto"/>
        <w:ind w:firstLine="420" w:firstLineChars="200"/>
        <w:rPr>
          <w:rFonts w:ascii="宋体" w:hAnsi="宋体" w:cs="宋体"/>
          <w:color w:val="auto"/>
          <w:szCs w:val="21"/>
        </w:rPr>
      </w:pPr>
      <w:r>
        <w:rPr>
          <w:rFonts w:hint="eastAsia" w:ascii="宋体" w:hAnsi="宋体" w:cs="宋体"/>
          <w:color w:val="auto"/>
          <w:szCs w:val="21"/>
        </w:rPr>
        <w:t>22.3在投标截止时间止提交电子版投标文件的投标人不足3家时，电子版投标文件由采购代理机构在“政采云”平台操作退回，除此之外采购人和采购代理机构对已提交的投标文件概不退回。</w:t>
      </w:r>
    </w:p>
    <w:p>
      <w:pPr>
        <w:pStyle w:val="12"/>
        <w:snapToGrid w:val="0"/>
        <w:spacing w:line="400" w:lineRule="exact"/>
        <w:ind w:firstLine="739"/>
        <w:rPr>
          <w:rFonts w:hAnsi="宋体"/>
          <w:snapToGrid w:val="0"/>
          <w:color w:val="auto"/>
          <w:sz w:val="21"/>
          <w:szCs w:val="21"/>
        </w:rPr>
      </w:pPr>
    </w:p>
    <w:p>
      <w:pPr>
        <w:pStyle w:val="5"/>
        <w:keepNext w:val="0"/>
        <w:keepLines w:val="0"/>
        <w:spacing w:line="400" w:lineRule="exact"/>
        <w:jc w:val="center"/>
        <w:rPr>
          <w:color w:val="auto"/>
        </w:rPr>
      </w:pPr>
      <w:bookmarkStart w:id="194" w:name="_Toc254970544"/>
      <w:bookmarkStart w:id="195" w:name="_Toc2573"/>
      <w:bookmarkStart w:id="196" w:name="_Toc1356"/>
      <w:bookmarkStart w:id="197" w:name="_Toc1586"/>
      <w:bookmarkStart w:id="198" w:name="_Toc32494"/>
      <w:bookmarkStart w:id="199" w:name="_Toc27037"/>
      <w:bookmarkStart w:id="200" w:name="_Toc22661"/>
      <w:bookmarkStart w:id="201" w:name="_Toc810"/>
      <w:bookmarkStart w:id="202" w:name="_Toc14091"/>
      <w:bookmarkStart w:id="203" w:name="_Toc13250"/>
      <w:bookmarkStart w:id="204" w:name="_Toc12790"/>
      <w:bookmarkStart w:id="205" w:name="_Toc254970685"/>
      <w:r>
        <w:rPr>
          <w:rFonts w:hint="eastAsia"/>
          <w:color w:val="auto"/>
        </w:rPr>
        <w:t>四、开标</w:t>
      </w:r>
      <w:bookmarkEnd w:id="194"/>
      <w:bookmarkEnd w:id="195"/>
      <w:bookmarkEnd w:id="196"/>
      <w:bookmarkEnd w:id="197"/>
      <w:bookmarkEnd w:id="198"/>
      <w:bookmarkEnd w:id="199"/>
      <w:bookmarkEnd w:id="200"/>
      <w:bookmarkEnd w:id="201"/>
      <w:bookmarkEnd w:id="202"/>
      <w:bookmarkEnd w:id="203"/>
      <w:bookmarkEnd w:id="204"/>
      <w:bookmarkEnd w:id="205"/>
    </w:p>
    <w:p>
      <w:pPr>
        <w:spacing w:line="360" w:lineRule="auto"/>
        <w:ind w:firstLine="480" w:firstLineChars="200"/>
        <w:rPr>
          <w:rFonts w:ascii="黑体" w:hAnsi="黑体" w:eastAsia="黑体"/>
          <w:color w:val="auto"/>
          <w:sz w:val="24"/>
        </w:rPr>
      </w:pPr>
      <w:bookmarkStart w:id="206" w:name="_23.开标时间和地点"/>
      <w:bookmarkEnd w:id="206"/>
      <w:r>
        <w:rPr>
          <w:rFonts w:hint="eastAsia" w:ascii="黑体" w:hAnsi="黑体" w:eastAsia="黑体"/>
          <w:color w:val="auto"/>
          <w:sz w:val="24"/>
        </w:rPr>
        <w:t>23.开标时间和地点</w:t>
      </w:r>
    </w:p>
    <w:p>
      <w:pPr>
        <w:spacing w:line="360" w:lineRule="auto"/>
        <w:ind w:firstLine="420" w:firstLineChars="200"/>
        <w:rPr>
          <w:rFonts w:ascii="宋体" w:hAnsi="宋体" w:cs="宋体"/>
          <w:bCs/>
          <w:color w:val="auto"/>
        </w:rPr>
      </w:pPr>
      <w:r>
        <w:rPr>
          <w:rFonts w:hint="eastAsia" w:ascii="宋体" w:hAnsi="宋体" w:cs="宋体"/>
          <w:bCs/>
          <w:color w:val="auto"/>
        </w:rPr>
        <w:t>23.1开标时间及地点详见“投标人须知前附表”</w:t>
      </w:r>
    </w:p>
    <w:p>
      <w:pPr>
        <w:spacing w:line="360" w:lineRule="auto"/>
        <w:ind w:firstLine="420" w:firstLineChars="200"/>
        <w:rPr>
          <w:rFonts w:ascii="宋体" w:hAnsi="宋体" w:cs="宋体"/>
          <w:color w:val="auto"/>
        </w:rPr>
      </w:pPr>
      <w:r>
        <w:rPr>
          <w:rFonts w:hint="eastAsia" w:ascii="宋体" w:hAnsi="宋体" w:cs="宋体"/>
          <w:color w:val="auto"/>
        </w:rPr>
        <w:t>23.2如</w:t>
      </w:r>
      <w:r>
        <w:rPr>
          <w:rFonts w:hint="eastAsia" w:ascii="宋体" w:hAnsi="宋体" w:cs="宋体"/>
          <w:bCs/>
          <w:color w:val="auto"/>
        </w:rPr>
        <w:t>投标人成功解密投标文件，但未在“政采云”电子开标大厅参加开标的，视同认可开标过程和结果，</w:t>
      </w:r>
      <w:r>
        <w:rPr>
          <w:rFonts w:hint="eastAsia" w:ascii="宋体" w:hAnsi="宋体" w:cs="宋体"/>
          <w:color w:val="auto"/>
        </w:rPr>
        <w:t>由此产生的后果由投标人自行负责。 投标人不足3家的，不得开标。</w:t>
      </w:r>
    </w:p>
    <w:p>
      <w:pPr>
        <w:spacing w:line="360" w:lineRule="auto"/>
        <w:ind w:firstLine="480" w:firstLineChars="200"/>
        <w:rPr>
          <w:rFonts w:ascii="黑体" w:hAnsi="黑体" w:eastAsia="黑体"/>
          <w:color w:val="auto"/>
          <w:sz w:val="24"/>
        </w:rPr>
      </w:pPr>
      <w:r>
        <w:rPr>
          <w:rFonts w:hint="eastAsia" w:ascii="黑体" w:hAnsi="黑体" w:eastAsia="黑体"/>
          <w:color w:val="auto"/>
          <w:sz w:val="24"/>
        </w:rPr>
        <w:t>24.开标程序</w:t>
      </w:r>
    </w:p>
    <w:p>
      <w:pPr>
        <w:autoSpaceDE w:val="0"/>
        <w:autoSpaceDN w:val="0"/>
        <w:adjustRightInd w:val="0"/>
        <w:spacing w:line="440" w:lineRule="exact"/>
        <w:ind w:firstLine="420" w:firstLineChars="200"/>
        <w:rPr>
          <w:rFonts w:ascii="宋体" w:hAnsi="宋体"/>
          <w:color w:val="auto"/>
          <w:kern w:val="0"/>
          <w:szCs w:val="21"/>
        </w:rPr>
      </w:pPr>
      <w:r>
        <w:rPr>
          <w:rFonts w:hint="eastAsia" w:ascii="宋体" w:hAnsi="宋体"/>
          <w:bCs/>
          <w:color w:val="auto"/>
          <w:szCs w:val="21"/>
        </w:rPr>
        <w:t>24.1</w:t>
      </w:r>
      <w:r>
        <w:rPr>
          <w:rFonts w:hint="eastAsia" w:ascii="宋体" w:hAnsi="宋体"/>
          <w:color w:val="auto"/>
          <w:kern w:val="0"/>
          <w:szCs w:val="21"/>
        </w:rPr>
        <w:t>开标形式：</w:t>
      </w:r>
    </w:p>
    <w:p>
      <w:pPr>
        <w:autoSpaceDE w:val="0"/>
        <w:autoSpaceDN w:val="0"/>
        <w:adjustRightInd w:val="0"/>
        <w:spacing w:line="440" w:lineRule="exact"/>
        <w:ind w:firstLine="420" w:firstLineChars="200"/>
        <w:rPr>
          <w:rFonts w:ascii="宋体" w:hAnsi="宋体"/>
          <w:bCs/>
          <w:color w:val="auto"/>
          <w:szCs w:val="21"/>
        </w:rPr>
      </w:pPr>
      <w:r>
        <w:rPr>
          <w:rFonts w:hint="eastAsia" w:ascii="宋体" w:hAnsi="宋体"/>
          <w:color w:val="auto"/>
          <w:szCs w:val="21"/>
        </w:rPr>
        <w:t>（1）</w:t>
      </w:r>
      <w:r>
        <w:rPr>
          <w:rFonts w:hint="eastAsia" w:ascii="宋体" w:hAnsi="宋体"/>
          <w:bCs/>
          <w:color w:val="auto"/>
          <w:szCs w:val="21"/>
        </w:rPr>
        <w:t>开标的准备工作由采购代理机构负责落实，采购代理机构必须基于“政采云”平台依法抽取评审专家，如采购代理机构未按规定抽取专家的，视为本次开评标无效，应当重新采购；</w:t>
      </w:r>
    </w:p>
    <w:p>
      <w:pPr>
        <w:autoSpaceDE w:val="0"/>
        <w:autoSpaceDN w:val="0"/>
        <w:adjustRightInd w:val="0"/>
        <w:spacing w:line="440" w:lineRule="exact"/>
        <w:ind w:firstLine="420" w:firstLineChars="200"/>
        <w:rPr>
          <w:rFonts w:ascii="宋体" w:hAnsi="宋体"/>
          <w:bCs/>
          <w:color w:val="auto"/>
          <w:szCs w:val="21"/>
        </w:rPr>
      </w:pPr>
      <w:r>
        <w:rPr>
          <w:rFonts w:hint="eastAsia" w:ascii="宋体" w:hAnsi="宋体"/>
          <w:bCs/>
          <w:color w:val="auto"/>
          <w:szCs w:val="21"/>
        </w:rPr>
        <w:t>（2）采购代理机构将按照招标文件规定的时间通过“政采云”平台组织线上开标活动、开启投标文件，所有投标人均应当准时在线参加。投标人如不参加开标大会的，视同认可开标结果，事后不得对采购相关人员、开标过程和开标结果提出异议，同时投标人因未在线参加开标而导致投标文件无法按时解密等一切后果由投标人自己承担。</w:t>
      </w:r>
    </w:p>
    <w:p>
      <w:pPr>
        <w:autoSpaceDE w:val="0"/>
        <w:autoSpaceDN w:val="0"/>
        <w:adjustRightInd w:val="0"/>
        <w:spacing w:line="440" w:lineRule="exact"/>
        <w:ind w:firstLine="420" w:firstLineChars="200"/>
        <w:rPr>
          <w:rFonts w:ascii="宋体" w:hAnsi="宋体"/>
          <w:bCs/>
          <w:color w:val="auto"/>
          <w:szCs w:val="21"/>
        </w:rPr>
      </w:pPr>
      <w:r>
        <w:rPr>
          <w:rFonts w:hint="eastAsia" w:ascii="宋体" w:hAnsi="宋体"/>
          <w:bCs/>
          <w:color w:val="auto"/>
          <w:szCs w:val="21"/>
        </w:rPr>
        <w:t>24.2开标程序：</w:t>
      </w:r>
    </w:p>
    <w:p>
      <w:pPr>
        <w:pStyle w:val="14"/>
        <w:snapToGrid w:val="0"/>
        <w:spacing w:line="440" w:lineRule="exact"/>
        <w:ind w:firstLine="422" w:firstLineChars="200"/>
        <w:rPr>
          <w:rFonts w:hAnsi="宋体"/>
          <w:color w:val="auto"/>
          <w:szCs w:val="21"/>
        </w:rPr>
      </w:pPr>
      <w:r>
        <w:rPr>
          <w:rFonts w:hint="eastAsia" w:hAnsi="宋体"/>
          <w:b/>
          <w:color w:val="auto"/>
          <w:szCs w:val="21"/>
        </w:rPr>
        <w:t>（1）解密电子投标文件。</w:t>
      </w:r>
      <w:r>
        <w:rPr>
          <w:rFonts w:hint="eastAsia" w:hAnsi="宋体" w:cs="仿宋_GB2312"/>
          <w:b/>
          <w:color w:val="auto"/>
          <w:szCs w:val="21"/>
        </w:rPr>
        <w:t>“</w:t>
      </w:r>
      <w:r>
        <w:rPr>
          <w:rFonts w:hint="eastAsia" w:hAnsi="宋体" w:cs="仿宋_GB2312"/>
          <w:color w:val="auto"/>
          <w:szCs w:val="21"/>
        </w:rPr>
        <w:t>政采云”平台按开标时间自动提取所有投标文件。采购代理机构依托“政采云”平台</w:t>
      </w:r>
      <w:r>
        <w:rPr>
          <w:rFonts w:hint="eastAsia" w:hAnsi="宋体"/>
          <w:color w:val="auto"/>
          <w:szCs w:val="21"/>
        </w:rPr>
        <w:t>向各投标人发出电子加密投标文件【开始解密】通知，由投标人在规定的时间内自行将投标文件在线解密。投标人的法定代表人或其委托代理人</w:t>
      </w:r>
      <w:r>
        <w:rPr>
          <w:rFonts w:hint="eastAsia" w:hAnsi="宋体"/>
          <w:b/>
          <w:color w:val="auto"/>
          <w:szCs w:val="21"/>
        </w:rPr>
        <w:t>须携带加密时所用的CA锁准时登录到“政采云”平台电子开标大厅签到并对电子投标文件在线解密</w:t>
      </w:r>
      <w:r>
        <w:rPr>
          <w:rFonts w:hint="eastAsia" w:hAnsi="宋体"/>
          <w:color w:val="auto"/>
          <w:szCs w:val="21"/>
        </w:rPr>
        <w:t>。</w:t>
      </w:r>
      <w:r>
        <w:rPr>
          <w:rFonts w:hint="eastAsia" w:hAnsi="宋体"/>
          <w:b/>
          <w:bCs/>
          <w:color w:val="auto"/>
          <w:szCs w:val="21"/>
        </w:rPr>
        <w:t>投标文件未按时解密的，</w:t>
      </w:r>
      <w:r>
        <w:rPr>
          <w:rFonts w:hint="eastAsia" w:hAnsi="宋体"/>
          <w:b/>
          <w:color w:val="auto"/>
          <w:szCs w:val="21"/>
        </w:rPr>
        <w:t>均视为无效投标。</w:t>
      </w:r>
    </w:p>
    <w:p>
      <w:pPr>
        <w:pStyle w:val="14"/>
        <w:snapToGrid w:val="0"/>
        <w:spacing w:line="440" w:lineRule="exact"/>
        <w:ind w:firstLine="420" w:firstLineChars="200"/>
        <w:rPr>
          <w:rFonts w:hAnsi="宋体"/>
          <w:color w:val="auto"/>
          <w:szCs w:val="21"/>
        </w:rPr>
      </w:pPr>
      <w:r>
        <w:rPr>
          <w:rFonts w:hint="eastAsia" w:hAnsi="宋体"/>
          <w:color w:val="auto"/>
          <w:szCs w:val="21"/>
        </w:rPr>
        <w:t>（解密</w:t>
      </w:r>
      <w:r>
        <w:rPr>
          <w:rFonts w:hint="eastAsia" w:hAnsi="宋体"/>
          <w:bCs/>
          <w:color w:val="auto"/>
          <w:szCs w:val="21"/>
        </w:rPr>
        <w:t>异常情况处理：详见本章</w:t>
      </w:r>
      <w:r>
        <w:rPr>
          <w:rFonts w:hint="eastAsia" w:hAnsi="宋体"/>
          <w:color w:val="auto"/>
        </w:rPr>
        <w:t>29.3 电子交易活动的中止。</w:t>
      </w:r>
      <w:r>
        <w:rPr>
          <w:rFonts w:hint="eastAsia" w:hAnsi="宋体"/>
          <w:color w:val="auto"/>
          <w:szCs w:val="21"/>
        </w:rPr>
        <w:t>）</w:t>
      </w:r>
    </w:p>
    <w:p>
      <w:pPr>
        <w:spacing w:line="360" w:lineRule="auto"/>
        <w:ind w:firstLine="420" w:firstLineChars="200"/>
        <w:rPr>
          <w:rFonts w:ascii="宋体" w:hAnsi="宋体"/>
          <w:color w:val="auto"/>
          <w:szCs w:val="21"/>
        </w:rPr>
      </w:pPr>
      <w:r>
        <w:rPr>
          <w:rFonts w:hint="eastAsia" w:ascii="宋体" w:hAnsi="宋体"/>
          <w:color w:val="auto"/>
          <w:szCs w:val="21"/>
        </w:rPr>
        <w:t>（2）</w:t>
      </w:r>
      <w:r>
        <w:rPr>
          <w:rFonts w:hint="eastAsia" w:ascii="宋体" w:hAnsi="宋体"/>
          <w:b/>
          <w:color w:val="auto"/>
          <w:szCs w:val="21"/>
        </w:rPr>
        <w:t>电子唱标。</w:t>
      </w:r>
      <w:r>
        <w:rPr>
          <w:rFonts w:hint="eastAsia" w:ascii="宋体" w:hAnsi="宋体"/>
          <w:color w:val="auto"/>
          <w:szCs w:val="21"/>
        </w:rPr>
        <w:t>投标文件解密结束，各投标人报价均在“政采云”平台远程不见面开标大厅展示；</w:t>
      </w:r>
    </w:p>
    <w:p>
      <w:pPr>
        <w:spacing w:line="360" w:lineRule="auto"/>
        <w:ind w:firstLine="420" w:firstLineChars="200"/>
        <w:rPr>
          <w:rFonts w:ascii="宋体" w:hAnsi="宋体"/>
          <w:bCs/>
          <w:color w:val="auto"/>
          <w:szCs w:val="21"/>
        </w:rPr>
      </w:pPr>
      <w:r>
        <w:rPr>
          <w:rFonts w:hint="eastAsia" w:ascii="宋体" w:hAnsi="宋体"/>
          <w:color w:val="auto"/>
          <w:szCs w:val="21"/>
        </w:rPr>
        <w:t>（3）</w:t>
      </w:r>
      <w:r>
        <w:rPr>
          <w:rFonts w:hint="eastAsia" w:ascii="宋体" w:hAnsi="宋体"/>
          <w:bCs/>
          <w:color w:val="auto"/>
          <w:szCs w:val="21"/>
        </w:rPr>
        <w:t>开标过程由采购代理机构如实记录，并电子留痕，由参加电子开标的各投标人代表对电子开标记录在开标记录公布后15分钟内进行当场校核及勘误，并线上确认，未确认的视同认可开标结果。</w:t>
      </w:r>
    </w:p>
    <w:p>
      <w:pPr>
        <w:spacing w:line="360" w:lineRule="auto"/>
        <w:ind w:firstLine="420" w:firstLineChars="200"/>
        <w:rPr>
          <w:rFonts w:ascii="宋体" w:hAnsi="宋体"/>
          <w:bCs/>
          <w:color w:val="auto"/>
          <w:szCs w:val="21"/>
        </w:rPr>
      </w:pPr>
      <w:r>
        <w:rPr>
          <w:rFonts w:hint="eastAsia" w:ascii="宋体" w:hAnsi="宋体"/>
          <w:bCs/>
          <w:color w:val="auto"/>
          <w:szCs w:val="21"/>
        </w:rPr>
        <w:t>（4）投标人代表对开标过程和开标记录有疑义，以及认为采购人、采购代理机构相关工作人员有需要回避的情形的，应当场提出在线询问或者回避申请。采购人、采购代理机构对投标人代表提出的询问或者回避申请应当及时处理。</w:t>
      </w:r>
    </w:p>
    <w:p>
      <w:pPr>
        <w:spacing w:line="360" w:lineRule="auto"/>
        <w:ind w:firstLine="420" w:firstLineChars="200"/>
        <w:rPr>
          <w:rFonts w:ascii="宋体" w:hAnsi="宋体"/>
          <w:bCs/>
          <w:color w:val="auto"/>
          <w:szCs w:val="21"/>
        </w:rPr>
      </w:pPr>
      <w:r>
        <w:rPr>
          <w:rFonts w:hint="eastAsia" w:ascii="宋体" w:hAnsi="宋体"/>
          <w:bCs/>
          <w:color w:val="auto"/>
          <w:szCs w:val="21"/>
        </w:rPr>
        <w:t>（5）开标结束。</w:t>
      </w:r>
    </w:p>
    <w:p>
      <w:pPr>
        <w:pStyle w:val="14"/>
        <w:snapToGrid w:val="0"/>
        <w:spacing w:line="440" w:lineRule="exact"/>
        <w:ind w:firstLine="422" w:firstLineChars="200"/>
        <w:rPr>
          <w:rFonts w:hAnsi="宋体"/>
          <w:color w:val="auto"/>
          <w:szCs w:val="21"/>
        </w:rPr>
      </w:pPr>
      <w:r>
        <w:rPr>
          <w:rFonts w:hint="eastAsia" w:hAnsi="宋体"/>
          <w:b/>
          <w:bCs/>
          <w:color w:val="auto"/>
          <w:szCs w:val="21"/>
        </w:rPr>
        <w:t>特别说明：</w:t>
      </w:r>
      <w:r>
        <w:rPr>
          <w:rFonts w:hint="eastAsia" w:hAnsi="宋体"/>
          <w:color w:val="auto"/>
          <w:szCs w:val="21"/>
        </w:rPr>
        <w:t>如遇“政采云”平台电子化开标或评审程序调整的，按调整后执行。</w:t>
      </w:r>
    </w:p>
    <w:p>
      <w:pPr>
        <w:pStyle w:val="14"/>
        <w:snapToGrid w:val="0"/>
        <w:spacing w:line="400" w:lineRule="exact"/>
        <w:ind w:left="689" w:leftChars="228" w:hanging="210" w:hangingChars="100"/>
        <w:rPr>
          <w:rFonts w:hAnsi="宋体"/>
          <w:color w:val="auto"/>
        </w:rPr>
      </w:pPr>
    </w:p>
    <w:p>
      <w:pPr>
        <w:pStyle w:val="5"/>
        <w:keepNext w:val="0"/>
        <w:keepLines w:val="0"/>
        <w:spacing w:line="400" w:lineRule="exact"/>
        <w:jc w:val="center"/>
        <w:rPr>
          <w:color w:val="auto"/>
        </w:rPr>
      </w:pPr>
      <w:bookmarkStart w:id="207" w:name="_Toc23512"/>
      <w:bookmarkStart w:id="208" w:name="_Toc31994"/>
      <w:bookmarkStart w:id="209" w:name="_Toc29189"/>
      <w:bookmarkStart w:id="210" w:name="_Toc19053"/>
      <w:bookmarkStart w:id="211" w:name="_Toc6866"/>
      <w:bookmarkStart w:id="212" w:name="_Toc8919"/>
      <w:bookmarkStart w:id="213" w:name="_Toc22509"/>
      <w:bookmarkStart w:id="214" w:name="_Toc1489"/>
      <w:bookmarkStart w:id="215" w:name="_Toc25053"/>
      <w:bookmarkStart w:id="216" w:name="_Toc2575"/>
      <w:r>
        <w:rPr>
          <w:rFonts w:hint="eastAsia"/>
          <w:color w:val="auto"/>
        </w:rPr>
        <w:t>五、资格审查</w:t>
      </w:r>
      <w:bookmarkEnd w:id="207"/>
      <w:bookmarkEnd w:id="208"/>
      <w:bookmarkEnd w:id="209"/>
      <w:bookmarkEnd w:id="210"/>
      <w:bookmarkEnd w:id="211"/>
      <w:bookmarkEnd w:id="212"/>
      <w:bookmarkEnd w:id="213"/>
      <w:bookmarkEnd w:id="214"/>
      <w:bookmarkEnd w:id="215"/>
      <w:bookmarkEnd w:id="216"/>
    </w:p>
    <w:p>
      <w:pPr>
        <w:pStyle w:val="7"/>
        <w:keepNext w:val="0"/>
        <w:keepLines w:val="0"/>
        <w:spacing w:before="0" w:after="0" w:line="360" w:lineRule="auto"/>
        <w:ind w:firstLine="482" w:firstLineChars="200"/>
        <w:rPr>
          <w:rFonts w:ascii="黑体" w:hAnsi="黑体" w:eastAsia="黑体"/>
          <w:color w:val="auto"/>
          <w:sz w:val="24"/>
        </w:rPr>
      </w:pPr>
      <w:r>
        <w:rPr>
          <w:rFonts w:hint="eastAsia" w:ascii="黑体" w:hAnsi="黑体" w:eastAsia="黑体"/>
          <w:color w:val="auto"/>
          <w:sz w:val="24"/>
        </w:rPr>
        <w:t>25.资格审查</w:t>
      </w:r>
    </w:p>
    <w:p>
      <w:pPr>
        <w:spacing w:line="360" w:lineRule="auto"/>
        <w:ind w:firstLine="422" w:firstLineChars="200"/>
        <w:rPr>
          <w:rFonts w:ascii="宋体" w:hAnsi="宋体"/>
          <w:b/>
          <w:bCs/>
          <w:color w:val="auto"/>
          <w:szCs w:val="20"/>
        </w:rPr>
      </w:pPr>
      <w:r>
        <w:rPr>
          <w:rFonts w:hint="eastAsia" w:ascii="宋体" w:hAnsi="宋体"/>
          <w:b/>
          <w:bCs/>
          <w:color w:val="auto"/>
          <w:szCs w:val="20"/>
        </w:rPr>
        <w:t xml:space="preserve"> 25.1开标结束后，采购人或采购代理机构依法通过电子投标文件对投标人的资格进行线上审查。</w:t>
      </w:r>
    </w:p>
    <w:p>
      <w:pPr>
        <w:spacing w:line="360" w:lineRule="auto"/>
        <w:ind w:firstLine="420" w:firstLineChars="200"/>
        <w:rPr>
          <w:rFonts w:ascii="宋体" w:hAnsi="宋体"/>
          <w:color w:val="auto"/>
        </w:rPr>
      </w:pPr>
      <w:r>
        <w:rPr>
          <w:rFonts w:hint="eastAsia" w:ascii="宋体" w:hAnsi="宋体"/>
          <w:color w:val="auto"/>
        </w:rPr>
        <w:t>25.2资格审查标准为本“招标文件”中“投标人须知前附表”13.1点载明对投标人资格要求的条件。本项目资格审查采用合格制，凡符合招标文件规定的投标人资格要求的投标人均通过资格审查。</w:t>
      </w:r>
    </w:p>
    <w:p>
      <w:pPr>
        <w:spacing w:line="360" w:lineRule="auto"/>
        <w:ind w:firstLine="422" w:firstLineChars="200"/>
        <w:rPr>
          <w:rFonts w:ascii="宋体" w:hAnsi="宋体"/>
          <w:b/>
          <w:bCs/>
          <w:color w:val="auto"/>
          <w:szCs w:val="20"/>
        </w:rPr>
      </w:pPr>
      <w:bookmarkStart w:id="217" w:name="_25.3_投标人有下列情形之一的，资格审查不通过而导致其投标无效："/>
      <w:bookmarkEnd w:id="217"/>
      <w:r>
        <w:rPr>
          <w:rFonts w:hint="eastAsia" w:ascii="宋体" w:hAnsi="宋体"/>
          <w:b/>
          <w:bCs/>
          <w:color w:val="auto"/>
          <w:szCs w:val="20"/>
        </w:rPr>
        <w:t>25.3投标人有下列情形之一的，资格审查不通过，作无效投标处理：</w:t>
      </w:r>
    </w:p>
    <w:p>
      <w:pPr>
        <w:spacing w:line="360" w:lineRule="auto"/>
        <w:ind w:firstLine="420" w:firstLineChars="200"/>
        <w:rPr>
          <w:rFonts w:ascii="宋体" w:hAnsi="宋体" w:cs="宋体"/>
          <w:color w:val="auto"/>
        </w:rPr>
      </w:pPr>
      <w:r>
        <w:rPr>
          <w:rFonts w:hint="eastAsia" w:ascii="宋体" w:hAnsi="宋体" w:cs="宋体"/>
          <w:color w:val="auto"/>
        </w:rPr>
        <w:t>（1）不具备招标文件中规定的资格要求的；（注：其中信用查询规则见“投标人须知前附表”，“政采云”平台已与“信用中国”平台做接口，采购人或者采购代理机构可直接在线查询）</w:t>
      </w:r>
    </w:p>
    <w:p>
      <w:pPr>
        <w:spacing w:line="360" w:lineRule="auto"/>
        <w:ind w:firstLine="420" w:firstLineChars="200"/>
        <w:rPr>
          <w:rFonts w:ascii="宋体" w:hAnsi="宋体" w:cs="宋体"/>
          <w:color w:val="auto"/>
        </w:rPr>
      </w:pPr>
      <w:r>
        <w:rPr>
          <w:rFonts w:hint="eastAsia" w:ascii="宋体" w:hAnsi="宋体" w:cs="宋体"/>
          <w:color w:val="auto"/>
        </w:rPr>
        <w:t>（2）投标文件未提供任一项“投标人须知前附表”资格证明文件规定的“必须提供”的文件资料的；</w:t>
      </w:r>
    </w:p>
    <w:p>
      <w:pPr>
        <w:spacing w:line="360" w:lineRule="auto"/>
        <w:ind w:firstLine="420" w:firstLineChars="200"/>
        <w:rPr>
          <w:rFonts w:ascii="宋体" w:hAnsi="宋体" w:cs="宋体"/>
          <w:color w:val="auto"/>
        </w:rPr>
      </w:pPr>
      <w:r>
        <w:rPr>
          <w:rFonts w:hint="eastAsia" w:ascii="宋体" w:hAnsi="宋体" w:cs="宋体"/>
          <w:color w:val="auto"/>
        </w:rPr>
        <w:t>（3）投标文件提供的资格证明文件出现任一项不符合“投标人须知前附表”资格证明文件规定的“必须提供”的文件资料要求或者无效的。</w:t>
      </w:r>
    </w:p>
    <w:p>
      <w:pPr>
        <w:pStyle w:val="2"/>
        <w:spacing w:line="360" w:lineRule="auto"/>
        <w:rPr>
          <w:rFonts w:ascii="宋体" w:hAnsi="宋体" w:cs="宋体"/>
          <w:color w:val="auto"/>
        </w:rPr>
      </w:pPr>
      <w:r>
        <w:rPr>
          <w:rFonts w:hint="eastAsia" w:ascii="宋体" w:hAnsi="宋体" w:cs="宋体"/>
          <w:color w:val="auto"/>
        </w:rPr>
        <w:t xml:space="preserve">    （4）同一合同项下的不同供应商，单位负责人为同一人或者存在直接控股、管理关系的；为本项目提供过整体设计、规范编制或者项目管理、监理、检测等服务的。</w:t>
      </w:r>
    </w:p>
    <w:p>
      <w:pPr>
        <w:pStyle w:val="7"/>
        <w:keepNext w:val="0"/>
        <w:keepLines w:val="0"/>
        <w:spacing w:before="0" w:after="0" w:line="360" w:lineRule="auto"/>
        <w:ind w:firstLine="420" w:firstLineChars="200"/>
        <w:rPr>
          <w:rFonts w:ascii="宋体" w:hAnsi="宋体"/>
          <w:b w:val="0"/>
          <w:bCs w:val="0"/>
          <w:color w:val="auto"/>
          <w:sz w:val="21"/>
          <w:szCs w:val="20"/>
        </w:rPr>
      </w:pPr>
      <w:r>
        <w:rPr>
          <w:rFonts w:hint="eastAsia" w:ascii="宋体" w:hAnsi="宋体"/>
          <w:b w:val="0"/>
          <w:bCs w:val="0"/>
          <w:color w:val="auto"/>
          <w:sz w:val="21"/>
          <w:szCs w:val="20"/>
        </w:rPr>
        <w:t>25.4资格审查的合格投标人不足3家的，不得评标。</w:t>
      </w:r>
    </w:p>
    <w:p>
      <w:pPr>
        <w:pStyle w:val="5"/>
        <w:keepNext w:val="0"/>
        <w:keepLines w:val="0"/>
        <w:spacing w:line="360" w:lineRule="auto"/>
        <w:jc w:val="center"/>
        <w:rPr>
          <w:color w:val="auto"/>
        </w:rPr>
      </w:pPr>
      <w:bookmarkStart w:id="218" w:name="_Toc21152"/>
      <w:bookmarkStart w:id="219" w:name="_Toc1454"/>
      <w:bookmarkStart w:id="220" w:name="_Toc20446"/>
      <w:bookmarkStart w:id="221" w:name="_Toc2770"/>
      <w:bookmarkStart w:id="222" w:name="_Toc20983"/>
      <w:bookmarkStart w:id="223" w:name="_Toc3548"/>
      <w:bookmarkStart w:id="224" w:name="_Toc11169"/>
      <w:bookmarkStart w:id="225" w:name="_Toc29412"/>
      <w:bookmarkStart w:id="226" w:name="_Toc19035"/>
      <w:bookmarkStart w:id="227" w:name="_Toc15749"/>
      <w:r>
        <w:rPr>
          <w:rFonts w:hint="eastAsia"/>
          <w:color w:val="auto"/>
        </w:rPr>
        <w:t>六、评标</w:t>
      </w:r>
      <w:bookmarkEnd w:id="218"/>
      <w:bookmarkEnd w:id="219"/>
      <w:bookmarkEnd w:id="220"/>
      <w:bookmarkEnd w:id="221"/>
      <w:bookmarkEnd w:id="222"/>
      <w:bookmarkEnd w:id="223"/>
      <w:bookmarkEnd w:id="224"/>
      <w:bookmarkEnd w:id="225"/>
      <w:bookmarkEnd w:id="226"/>
      <w:bookmarkEnd w:id="227"/>
    </w:p>
    <w:p>
      <w:pPr>
        <w:spacing w:line="360" w:lineRule="auto"/>
        <w:ind w:firstLine="480" w:firstLineChars="200"/>
        <w:rPr>
          <w:rFonts w:ascii="黑体" w:hAnsi="黑体" w:eastAsia="黑体"/>
          <w:color w:val="auto"/>
          <w:sz w:val="24"/>
        </w:rPr>
      </w:pPr>
      <w:bookmarkStart w:id="228" w:name="_26.组建评标委员会"/>
      <w:bookmarkEnd w:id="228"/>
      <w:r>
        <w:rPr>
          <w:rFonts w:hint="eastAsia" w:ascii="黑体" w:hAnsi="黑体" w:eastAsia="黑体"/>
          <w:color w:val="auto"/>
          <w:sz w:val="24"/>
        </w:rPr>
        <w:t>26.组建评标委员会</w:t>
      </w:r>
    </w:p>
    <w:p>
      <w:pPr>
        <w:spacing w:line="360" w:lineRule="auto"/>
        <w:ind w:firstLine="420" w:firstLineChars="200"/>
        <w:rPr>
          <w:rFonts w:hAnsi="宋体"/>
          <w:color w:val="auto"/>
        </w:rPr>
      </w:pPr>
      <w:r>
        <w:rPr>
          <w:rFonts w:hint="eastAsia" w:hAnsi="宋体"/>
          <w:color w:val="auto"/>
        </w:rPr>
        <w:t>评标委员会由采购人代表和评审专家组成，人数为</w:t>
      </w:r>
      <w:r>
        <w:rPr>
          <w:rFonts w:hAnsi="宋体"/>
          <w:color w:val="auto"/>
        </w:rPr>
        <w:t>5</w:t>
      </w:r>
      <w:r>
        <w:rPr>
          <w:rFonts w:hint="eastAsia" w:hAnsi="宋体"/>
          <w:color w:val="auto"/>
        </w:rPr>
        <w:t>人以上单数，其中评审专家不得少于成员总数的三分之二。</w:t>
      </w:r>
    </w:p>
    <w:p>
      <w:pPr>
        <w:spacing w:line="360" w:lineRule="auto"/>
        <w:ind w:firstLine="420" w:firstLineChars="200"/>
        <w:rPr>
          <w:rFonts w:hAnsi="宋体"/>
          <w:color w:val="auto"/>
        </w:rPr>
      </w:pPr>
      <w:r>
        <w:rPr>
          <w:rFonts w:hint="eastAsia" w:hAnsi="宋体"/>
          <w:color w:val="auto"/>
        </w:rPr>
        <w:t>参加过采购项目前期咨询论证的专家，不得参加该采购项目的评审活动。</w:t>
      </w:r>
    </w:p>
    <w:p>
      <w:pPr>
        <w:spacing w:line="360" w:lineRule="auto"/>
        <w:ind w:firstLine="480" w:firstLineChars="200"/>
        <w:rPr>
          <w:rFonts w:ascii="黑体" w:hAnsi="黑体" w:eastAsia="黑体"/>
          <w:color w:val="auto"/>
          <w:sz w:val="24"/>
        </w:rPr>
      </w:pPr>
      <w:r>
        <w:rPr>
          <w:rFonts w:hint="eastAsia" w:ascii="黑体" w:hAnsi="黑体" w:eastAsia="黑体"/>
          <w:color w:val="auto"/>
          <w:sz w:val="24"/>
        </w:rPr>
        <w:t>27.评标的依据</w:t>
      </w:r>
    </w:p>
    <w:p>
      <w:pPr>
        <w:spacing w:line="360" w:lineRule="auto"/>
        <w:ind w:firstLine="420" w:firstLineChars="200"/>
        <w:rPr>
          <w:rFonts w:hAnsi="宋体"/>
          <w:color w:val="auto"/>
        </w:rPr>
      </w:pPr>
      <w:r>
        <w:rPr>
          <w:rFonts w:hint="eastAsia" w:hAnsi="宋体"/>
          <w:color w:val="auto"/>
        </w:rPr>
        <w:t>评标委员会以招标文件为依据对投标文件进行评审，</w:t>
      </w:r>
      <w:r>
        <w:rPr>
          <w:rFonts w:hint="eastAsia" w:hAnsi="宋体" w:cs="宋体"/>
          <w:color w:val="auto"/>
        </w:rPr>
        <w:t>“第四章评标方法和评标标准”</w:t>
      </w:r>
      <w:r>
        <w:rPr>
          <w:rFonts w:hint="eastAsia" w:hAnsi="宋体"/>
          <w:color w:val="auto"/>
        </w:rPr>
        <w:t>没有规定的方法、评审因素和标准，不作为评标依据。</w:t>
      </w:r>
    </w:p>
    <w:p>
      <w:pPr>
        <w:spacing w:line="360" w:lineRule="auto"/>
        <w:ind w:firstLine="480" w:firstLineChars="200"/>
        <w:rPr>
          <w:rFonts w:ascii="黑体" w:hAnsi="黑体" w:eastAsia="黑体"/>
          <w:color w:val="auto"/>
          <w:sz w:val="24"/>
        </w:rPr>
      </w:pPr>
      <w:r>
        <w:rPr>
          <w:rFonts w:hint="eastAsia" w:ascii="黑体" w:hAnsi="黑体" w:eastAsia="黑体"/>
          <w:color w:val="auto"/>
          <w:sz w:val="24"/>
        </w:rPr>
        <w:t>28.评标原则</w:t>
      </w:r>
    </w:p>
    <w:p>
      <w:pPr>
        <w:spacing w:line="360" w:lineRule="auto"/>
        <w:ind w:firstLine="420" w:firstLineChars="200"/>
        <w:rPr>
          <w:rFonts w:ascii="宋体" w:hAnsi="宋体" w:cs="宋体"/>
          <w:color w:val="auto"/>
        </w:rPr>
      </w:pPr>
      <w:r>
        <w:rPr>
          <w:rFonts w:hint="eastAsia" w:ascii="宋体" w:hAnsi="宋体" w:cs="宋体"/>
          <w:color w:val="auto"/>
        </w:rPr>
        <w:t>28.1评标原则。评标委员会评标时必须公平、公正、客观，不带任何倾向性和启发性；不得向外界透露任何与评标有关的内容；任何单位和个人不得干扰、影响评标的正常进行；评标委员会及有关工作人员不得私下与投标人接触，不得收受利害关系人的财物或者其他好处。</w:t>
      </w:r>
    </w:p>
    <w:p>
      <w:pPr>
        <w:spacing w:line="360" w:lineRule="auto"/>
        <w:ind w:firstLine="420" w:firstLineChars="200"/>
        <w:rPr>
          <w:rFonts w:ascii="宋体" w:hAnsi="宋体" w:cs="宋体"/>
          <w:color w:val="auto"/>
        </w:rPr>
      </w:pPr>
      <w:r>
        <w:rPr>
          <w:rFonts w:hint="eastAsia" w:ascii="宋体" w:hAnsi="宋体" w:cs="宋体"/>
          <w:color w:val="auto"/>
        </w:rPr>
        <w:t>28.2评委表决。在评标过程中出现法律法规和招标文件均没有明确规定的情形时，由评标委员会现场协商解决，协商不一致的，由全体评委投票表决，以得票率二分之一以上专家的意见为准并由采购代理机构作记录。</w:t>
      </w:r>
      <w:bookmarkStart w:id="229" w:name="_28.3评标方法。本项目将按须知前附表规定的评标办法进行评标，具体评标"/>
      <w:bookmarkEnd w:id="229"/>
    </w:p>
    <w:p>
      <w:pPr>
        <w:spacing w:line="360" w:lineRule="auto"/>
        <w:ind w:firstLine="420" w:firstLineChars="200"/>
        <w:rPr>
          <w:rFonts w:ascii="宋体" w:hAnsi="宋体" w:cs="宋体"/>
          <w:color w:val="auto"/>
        </w:rPr>
      </w:pPr>
      <w:r>
        <w:rPr>
          <w:rFonts w:hint="eastAsia" w:ascii="宋体" w:hAnsi="宋体" w:cs="宋体"/>
          <w:color w:val="auto"/>
        </w:rPr>
        <w:t>28.3评标的保密。采购人、采购代理机构应当采取必要措施，保证评标在严格保密（封闭式评标）的情况下进行。除采购人代表、评标现场组织人员外，采购人的其他工作人员以及与评标工作无关的人员不得进入评标现场。有关人员对评标情况以及在评标过程中获悉的国家秘密、商业秘密负有保密责任。</w:t>
      </w:r>
    </w:p>
    <w:p>
      <w:pPr>
        <w:spacing w:line="360" w:lineRule="auto"/>
        <w:ind w:firstLine="420" w:firstLineChars="200"/>
        <w:rPr>
          <w:rFonts w:ascii="宋体" w:hAnsi="宋体" w:cs="宋体"/>
          <w:color w:val="auto"/>
        </w:rPr>
      </w:pPr>
      <w:r>
        <w:rPr>
          <w:rFonts w:hint="eastAsia" w:ascii="宋体" w:hAnsi="宋体" w:cs="宋体"/>
          <w:color w:val="auto"/>
        </w:rPr>
        <w:t>28.4评标过程的监控。本项目电子评标过程实行网上留痕、全程录音、录像监控，投标人在评标过程中所进行的试图影响评标结果的不公正活动，可能导致其投标作无效处理。</w:t>
      </w:r>
    </w:p>
    <w:p>
      <w:pPr>
        <w:widowControl/>
        <w:spacing w:line="560" w:lineRule="exact"/>
        <w:ind w:firstLine="420" w:firstLineChars="200"/>
        <w:jc w:val="left"/>
        <w:textAlignment w:val="baseline"/>
        <w:rPr>
          <w:rFonts w:ascii="宋体" w:hAnsi="宋体" w:cs="宋体"/>
          <w:color w:val="auto"/>
        </w:rPr>
      </w:pPr>
      <w:r>
        <w:rPr>
          <w:rFonts w:hint="eastAsia" w:ascii="宋体" w:hAnsi="宋体" w:cs="宋体"/>
          <w:color w:val="auto"/>
        </w:rPr>
        <w:t>28.5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pPr>
        <w:spacing w:line="360" w:lineRule="auto"/>
        <w:ind w:firstLine="480" w:firstLineChars="200"/>
        <w:rPr>
          <w:rFonts w:ascii="黑体" w:hAnsi="黑体" w:eastAsia="黑体"/>
          <w:color w:val="auto"/>
          <w:sz w:val="24"/>
        </w:rPr>
      </w:pPr>
      <w:r>
        <w:rPr>
          <w:rFonts w:hint="eastAsia" w:ascii="黑体" w:hAnsi="黑体" w:eastAsia="黑体"/>
          <w:color w:val="auto"/>
          <w:sz w:val="24"/>
        </w:rPr>
        <w:t>29.评标方法和评标标准</w:t>
      </w:r>
    </w:p>
    <w:p>
      <w:pPr>
        <w:spacing w:line="360" w:lineRule="auto"/>
        <w:ind w:firstLine="420" w:firstLineChars="200"/>
        <w:rPr>
          <w:rFonts w:ascii="宋体" w:hAnsi="宋体" w:cs="宋体"/>
          <w:color w:val="auto"/>
        </w:rPr>
      </w:pPr>
      <w:r>
        <w:rPr>
          <w:rFonts w:hint="eastAsia" w:ascii="宋体" w:hAnsi="宋体" w:cs="宋体"/>
          <w:color w:val="auto"/>
        </w:rPr>
        <w:t>29.1本项目的评标方法详见“投标人须知前附表”。</w:t>
      </w:r>
    </w:p>
    <w:p>
      <w:pPr>
        <w:spacing w:line="360" w:lineRule="auto"/>
        <w:ind w:firstLine="420" w:firstLineChars="200"/>
        <w:rPr>
          <w:rFonts w:ascii="宋体" w:hAnsi="宋体" w:cs="宋体"/>
          <w:color w:val="auto"/>
        </w:rPr>
      </w:pPr>
      <w:r>
        <w:rPr>
          <w:rFonts w:hint="eastAsia" w:ascii="宋体" w:hAnsi="宋体" w:cs="宋体"/>
          <w:color w:val="auto"/>
        </w:rPr>
        <w:t>29.2 评标委员会按照</w:t>
      </w:r>
      <w:r>
        <w:rPr>
          <w:rFonts w:hint="eastAsia" w:ascii="宋体" w:hAnsi="宋体" w:cs="宋体"/>
          <w:b/>
          <w:color w:val="auto"/>
        </w:rPr>
        <w:t>“第四章 评标方法和评标标准”</w:t>
      </w:r>
      <w:r>
        <w:rPr>
          <w:rFonts w:hint="eastAsia" w:ascii="宋体" w:hAnsi="宋体" w:cs="宋体"/>
          <w:color w:val="auto"/>
        </w:rPr>
        <w:t>规定的方法、评审因素、标准和程序对投标文件进行评审。</w:t>
      </w:r>
    </w:p>
    <w:p>
      <w:pPr>
        <w:spacing w:line="360" w:lineRule="auto"/>
        <w:ind w:firstLine="420" w:firstLineChars="200"/>
        <w:rPr>
          <w:rFonts w:ascii="宋体" w:hAnsi="宋体" w:cs="宋体"/>
          <w:color w:val="auto"/>
        </w:rPr>
      </w:pPr>
      <w:r>
        <w:rPr>
          <w:rFonts w:hint="eastAsia" w:ascii="宋体" w:hAnsi="宋体" w:cs="宋体"/>
          <w:color w:val="auto"/>
        </w:rPr>
        <w:t>29.3 电子交易活动的中止。采购过程中出现以下情形，导致电子交易平台无法正常运行，或者无法保证电子交易的公平、公正和安全时，采购机构可中止电子交易活动：</w:t>
      </w:r>
    </w:p>
    <w:p>
      <w:pPr>
        <w:spacing w:line="360" w:lineRule="auto"/>
        <w:ind w:firstLine="420" w:firstLineChars="200"/>
        <w:rPr>
          <w:rFonts w:ascii="宋体" w:hAnsi="宋体" w:cs="宋体"/>
          <w:color w:val="auto"/>
        </w:rPr>
      </w:pPr>
      <w:r>
        <w:rPr>
          <w:rFonts w:hint="eastAsia" w:ascii="宋体" w:hAnsi="宋体" w:cs="宋体"/>
          <w:color w:val="auto"/>
        </w:rPr>
        <w:t xml:space="preserve">（1）电子交易平台发生故障而无法登录访问的； </w:t>
      </w:r>
    </w:p>
    <w:p>
      <w:pPr>
        <w:spacing w:line="360" w:lineRule="auto"/>
        <w:ind w:firstLine="420" w:firstLineChars="200"/>
        <w:rPr>
          <w:rFonts w:ascii="宋体" w:hAnsi="宋体" w:cs="宋体"/>
          <w:color w:val="auto"/>
        </w:rPr>
      </w:pPr>
      <w:r>
        <w:rPr>
          <w:rFonts w:hint="eastAsia" w:ascii="宋体" w:hAnsi="宋体" w:cs="宋体"/>
          <w:color w:val="auto"/>
        </w:rPr>
        <w:t>（2）电子交易平台应用或数据库出现错误，不能进行正常操作的；</w:t>
      </w:r>
    </w:p>
    <w:p>
      <w:pPr>
        <w:spacing w:line="360" w:lineRule="auto"/>
        <w:ind w:firstLine="420" w:firstLineChars="200"/>
        <w:rPr>
          <w:rFonts w:ascii="宋体" w:hAnsi="宋体" w:cs="宋体"/>
          <w:color w:val="auto"/>
        </w:rPr>
      </w:pPr>
      <w:r>
        <w:rPr>
          <w:rFonts w:hint="eastAsia" w:ascii="宋体" w:hAnsi="宋体" w:cs="宋体"/>
          <w:color w:val="auto"/>
        </w:rPr>
        <w:t>（3）电子交易平台发现严重安全漏洞，有潜在泄密危险的；</w:t>
      </w:r>
    </w:p>
    <w:p>
      <w:pPr>
        <w:spacing w:line="360" w:lineRule="auto"/>
        <w:ind w:firstLine="420" w:firstLineChars="200"/>
        <w:rPr>
          <w:rFonts w:ascii="宋体" w:hAnsi="宋体" w:cs="宋体"/>
          <w:color w:val="auto"/>
        </w:rPr>
      </w:pPr>
      <w:r>
        <w:rPr>
          <w:rFonts w:hint="eastAsia" w:ascii="宋体" w:hAnsi="宋体" w:cs="宋体"/>
          <w:color w:val="auto"/>
        </w:rPr>
        <w:t xml:space="preserve">（4）病毒发作导致不能进行正常操作的； </w:t>
      </w:r>
    </w:p>
    <w:p>
      <w:pPr>
        <w:spacing w:line="360" w:lineRule="auto"/>
        <w:ind w:firstLine="420" w:firstLineChars="200"/>
        <w:rPr>
          <w:rFonts w:ascii="宋体" w:hAnsi="宋体" w:cs="宋体"/>
          <w:color w:val="auto"/>
        </w:rPr>
      </w:pPr>
      <w:r>
        <w:rPr>
          <w:rFonts w:hint="eastAsia" w:ascii="宋体" w:hAnsi="宋体" w:cs="宋体"/>
          <w:color w:val="auto"/>
        </w:rPr>
        <w:t>（5）其他无法保证电子交易的公平、公正和安全的情况。</w:t>
      </w:r>
    </w:p>
    <w:p>
      <w:pPr>
        <w:spacing w:line="360" w:lineRule="auto"/>
        <w:ind w:firstLine="420" w:firstLineChars="200"/>
        <w:rPr>
          <w:rFonts w:ascii="宋体" w:hAnsi="宋体" w:cs="宋体"/>
          <w:color w:val="auto"/>
        </w:rPr>
      </w:pPr>
      <w:r>
        <w:rPr>
          <w:rFonts w:hint="eastAsia" w:ascii="宋体" w:hAnsi="宋体" w:cs="宋体"/>
          <w:color w:val="auto"/>
        </w:rPr>
        <w:t>29.4出现以上情形，不影响采购公平、公正性的，采购组织机构可以待上述情形消除后继续组织电子交易活动；影响或可能影响采购公平、公正性的，经采购代理机构确认后，应当重新采购。采购代理机构必须对原有的资料及信息作出妥善保密处理，并报财政部门备案。</w:t>
      </w:r>
    </w:p>
    <w:p>
      <w:pPr>
        <w:pStyle w:val="14"/>
        <w:snapToGrid w:val="0"/>
        <w:spacing w:line="400" w:lineRule="exact"/>
        <w:ind w:firstLine="420" w:firstLineChars="200"/>
        <w:rPr>
          <w:rFonts w:hAnsi="宋体"/>
          <w:color w:val="auto"/>
        </w:rPr>
      </w:pPr>
    </w:p>
    <w:p>
      <w:pPr>
        <w:pStyle w:val="5"/>
        <w:keepNext w:val="0"/>
        <w:keepLines w:val="0"/>
        <w:spacing w:line="400" w:lineRule="exact"/>
        <w:jc w:val="center"/>
        <w:rPr>
          <w:color w:val="auto"/>
        </w:rPr>
      </w:pPr>
      <w:bookmarkStart w:id="230" w:name="_Toc254970546"/>
      <w:bookmarkStart w:id="231" w:name="_Toc254970687"/>
      <w:bookmarkStart w:id="232" w:name="_Toc2302"/>
      <w:bookmarkStart w:id="233" w:name="_Toc10427"/>
      <w:bookmarkStart w:id="234" w:name="_Toc32339"/>
      <w:bookmarkStart w:id="235" w:name="_Toc24771"/>
      <w:bookmarkStart w:id="236" w:name="_Toc31698"/>
      <w:bookmarkStart w:id="237" w:name="_Toc14661"/>
      <w:bookmarkStart w:id="238" w:name="_Toc15452"/>
      <w:bookmarkStart w:id="239" w:name="_Toc4688"/>
      <w:bookmarkStart w:id="240" w:name="_Toc10518"/>
      <w:bookmarkStart w:id="241" w:name="_Toc31226"/>
      <w:r>
        <w:rPr>
          <w:rFonts w:hint="eastAsia"/>
          <w:color w:val="auto"/>
        </w:rPr>
        <w:t>七、</w:t>
      </w:r>
      <w:bookmarkEnd w:id="230"/>
      <w:bookmarkEnd w:id="231"/>
      <w:r>
        <w:rPr>
          <w:rFonts w:hint="eastAsia"/>
          <w:color w:val="auto"/>
        </w:rPr>
        <w:t>中标和合同</w:t>
      </w:r>
      <w:bookmarkEnd w:id="232"/>
      <w:bookmarkEnd w:id="233"/>
      <w:bookmarkEnd w:id="234"/>
      <w:bookmarkEnd w:id="235"/>
      <w:bookmarkEnd w:id="236"/>
      <w:bookmarkEnd w:id="237"/>
      <w:bookmarkEnd w:id="238"/>
      <w:bookmarkEnd w:id="239"/>
      <w:bookmarkEnd w:id="240"/>
      <w:bookmarkEnd w:id="241"/>
    </w:p>
    <w:p>
      <w:pPr>
        <w:spacing w:line="360" w:lineRule="auto"/>
        <w:ind w:firstLine="480" w:firstLineChars="200"/>
        <w:rPr>
          <w:rFonts w:ascii="黑体" w:hAnsi="黑体" w:eastAsia="黑体"/>
          <w:color w:val="auto"/>
          <w:sz w:val="24"/>
        </w:rPr>
      </w:pPr>
      <w:r>
        <w:rPr>
          <w:rFonts w:hint="eastAsia" w:ascii="黑体" w:hAnsi="黑体" w:eastAsia="黑体"/>
          <w:color w:val="auto"/>
          <w:sz w:val="24"/>
        </w:rPr>
        <w:t>30.确定中标人</w:t>
      </w:r>
    </w:p>
    <w:p>
      <w:pPr>
        <w:spacing w:line="360" w:lineRule="auto"/>
        <w:ind w:firstLine="420" w:firstLineChars="200"/>
        <w:rPr>
          <w:rFonts w:ascii="宋体" w:hAnsi="宋体" w:cs="Courier New"/>
          <w:b/>
          <w:bCs/>
          <w:color w:val="auto"/>
          <w:szCs w:val="21"/>
        </w:rPr>
      </w:pPr>
      <w:r>
        <w:rPr>
          <w:rFonts w:hint="eastAsia" w:ascii="宋体" w:hAnsi="宋体" w:cs="宋体"/>
          <w:color w:val="auto"/>
          <w:szCs w:val="21"/>
        </w:rPr>
        <w:t>30.1</w:t>
      </w:r>
      <w:r>
        <w:rPr>
          <w:rFonts w:hint="eastAsia" w:ascii="宋体" w:hAnsi="宋体" w:cs="宋体"/>
          <w:color w:val="auto"/>
        </w:rPr>
        <w:t>采购人在收到评标委员会出具的评标报告之日起5个工作日内在评标报告推荐的中标候选人名单中按顺序确定中标人。采购人也可以事先授权评标委员会直接确定中标人。</w:t>
      </w:r>
      <w:r>
        <w:rPr>
          <w:rFonts w:ascii="宋体" w:hAnsi="宋体" w:cs="宋体"/>
          <w:color w:val="auto"/>
        </w:rPr>
        <w:t>中标候选人并列的，由采购人或者采购人委托评标委员会按照</w:t>
      </w:r>
      <w:r>
        <w:rPr>
          <w:rFonts w:hint="eastAsia"/>
          <w:color w:val="auto"/>
        </w:rPr>
        <w:t>“投标人须知前附表”</w:t>
      </w:r>
      <w:r>
        <w:rPr>
          <w:rFonts w:ascii="宋体" w:hAnsi="宋体" w:cs="宋体"/>
          <w:color w:val="auto"/>
        </w:rPr>
        <w:t>规定的方式确定中标人；招标文件未规定的，采取随机抽取的方式确定。</w:t>
      </w:r>
    </w:p>
    <w:p>
      <w:pPr>
        <w:spacing w:line="360" w:lineRule="auto"/>
        <w:ind w:firstLine="420" w:firstLineChars="200"/>
        <w:rPr>
          <w:rFonts w:ascii="宋体" w:hAnsi="宋体" w:cs="Courier New"/>
          <w:color w:val="auto"/>
          <w:szCs w:val="21"/>
        </w:rPr>
      </w:pPr>
      <w:r>
        <w:rPr>
          <w:rFonts w:hint="eastAsia" w:ascii="宋体" w:hAnsi="宋体" w:cs="Courier New"/>
          <w:color w:val="auto"/>
          <w:szCs w:val="21"/>
        </w:rPr>
        <w:t>30.2采购人、采购代理机构认为供应商对采购过程、中标结果提出的质疑成立且影响或者可能影响中标结果的，合格供应商符合法定数量时，可以从合格的中标候选人中另行确定中标人的，应当依法另行确定中标人；否则应当重新开展采购活动。</w:t>
      </w:r>
    </w:p>
    <w:p>
      <w:pPr>
        <w:spacing w:line="360" w:lineRule="auto"/>
        <w:ind w:firstLine="420" w:firstLineChars="200"/>
        <w:rPr>
          <w:rFonts w:ascii="宋体" w:hAnsi="宋体" w:cs="Courier New"/>
          <w:color w:val="auto"/>
          <w:szCs w:val="21"/>
        </w:rPr>
      </w:pPr>
      <w:r>
        <w:rPr>
          <w:rFonts w:hint="eastAsia" w:ascii="宋体" w:hAnsi="宋体" w:cs="Courier New"/>
          <w:color w:val="auto"/>
          <w:szCs w:val="21"/>
        </w:rPr>
        <w:t>30.3中标人无正当理由拒签合同的，根据《中华人民共和国政府采购法》第七十七条第一款规定处理。</w:t>
      </w:r>
    </w:p>
    <w:p>
      <w:pPr>
        <w:spacing w:line="360" w:lineRule="auto"/>
        <w:ind w:firstLine="420" w:firstLineChars="200"/>
        <w:rPr>
          <w:rFonts w:ascii="宋体" w:hAnsi="宋体" w:cs="Courier New"/>
          <w:color w:val="auto"/>
          <w:szCs w:val="21"/>
        </w:rPr>
      </w:pPr>
      <w:r>
        <w:rPr>
          <w:rFonts w:hint="eastAsia" w:ascii="宋体" w:hAnsi="宋体" w:cs="Courier New"/>
          <w:color w:val="auto"/>
          <w:szCs w:val="21"/>
        </w:rPr>
        <w:t>30.4根据《中华人民共和国民法典》</w:t>
      </w:r>
      <w:r>
        <w:rPr>
          <w:rFonts w:hint="eastAsia"/>
          <w:color w:val="auto"/>
          <w:sz w:val="19"/>
          <w:szCs w:val="19"/>
        </w:rPr>
        <w:t>第五百六十三条</w:t>
      </w:r>
      <w:r>
        <w:rPr>
          <w:rFonts w:hint="eastAsia" w:ascii="宋体" w:hAnsi="宋体" w:cs="Courier New"/>
          <w:color w:val="auto"/>
          <w:szCs w:val="21"/>
        </w:rPr>
        <w:t>，因不可抗力致使不能实现合同目的的，当事人可以解除合同。</w:t>
      </w:r>
    </w:p>
    <w:p>
      <w:pPr>
        <w:spacing w:line="360" w:lineRule="auto"/>
        <w:ind w:firstLine="480" w:firstLineChars="200"/>
        <w:rPr>
          <w:rFonts w:ascii="黑体" w:hAnsi="黑体" w:eastAsia="黑体"/>
          <w:color w:val="auto"/>
          <w:sz w:val="24"/>
        </w:rPr>
      </w:pPr>
      <w:r>
        <w:rPr>
          <w:rFonts w:hint="eastAsia" w:ascii="黑体" w:hAnsi="黑体" w:eastAsia="黑体"/>
          <w:color w:val="auto"/>
          <w:sz w:val="24"/>
        </w:rPr>
        <w:t>31. 结果公告</w:t>
      </w:r>
    </w:p>
    <w:p>
      <w:pPr>
        <w:spacing w:line="360" w:lineRule="auto"/>
        <w:ind w:firstLine="420" w:firstLineChars="200"/>
        <w:rPr>
          <w:rFonts w:ascii="宋体" w:hAnsi="宋体" w:cs="宋体"/>
          <w:color w:val="auto"/>
        </w:rPr>
      </w:pPr>
      <w:r>
        <w:rPr>
          <w:rFonts w:hint="eastAsia" w:ascii="宋体" w:hAnsi="宋体" w:cs="宋体"/>
          <w:color w:val="auto"/>
          <w:szCs w:val="21"/>
        </w:rPr>
        <w:t>31.1</w:t>
      </w:r>
      <w:r>
        <w:rPr>
          <w:rFonts w:hint="eastAsia" w:ascii="宋体" w:hAnsi="宋体" w:cs="宋体"/>
          <w:color w:val="auto"/>
        </w:rPr>
        <w:t>在中标人确定之日起2个工作日内，由采购代理机构</w:t>
      </w:r>
      <w:r>
        <w:rPr>
          <w:rFonts w:hint="eastAsia" w:ascii="宋体" w:hAnsi="宋体" w:cs="宋体"/>
          <w:b/>
          <w:color w:val="auto"/>
          <w:szCs w:val="21"/>
        </w:rPr>
        <w:t>在招标公告发布媒体上</w:t>
      </w:r>
      <w:r>
        <w:rPr>
          <w:rFonts w:hint="eastAsia" w:ascii="宋体" w:hAnsi="宋体" w:cs="宋体"/>
          <w:color w:val="auto"/>
        </w:rPr>
        <w:t>发布中标结果公告，中标结果公告期限为1个工作日，发布中标结果公告的同时向中标人发出中标通知书。</w:t>
      </w:r>
      <w:r>
        <w:rPr>
          <w:rFonts w:hint="eastAsia" w:ascii="宋体" w:hAnsi="宋体" w:cs="宋体"/>
          <w:b/>
          <w:color w:val="auto"/>
          <w:szCs w:val="21"/>
        </w:rPr>
        <w:t>采购代理机构发出中标通知书前，应当对中标人信用进行核实，对列入失信被执行人、重大税收违法失信主体、政府采购严重违法失信行为记录名单及其他不符合《中华人民共和国政府采购法》第二十二条规定条件的投标人，取消其中标资格，并依法确定排名第二的中标候选人为中标人。</w:t>
      </w:r>
      <w:r>
        <w:rPr>
          <w:rFonts w:hint="eastAsia" w:ascii="宋体" w:hAnsi="宋体" w:cs="宋体"/>
          <w:color w:val="auto"/>
          <w:szCs w:val="21"/>
        </w:rPr>
        <w:t>排名第二的中标候选人因前款规定的同样原因被取消中标资格的，采购人可以依法确定排名第三的中标候选人为中标人，以此类推。</w:t>
      </w:r>
    </w:p>
    <w:p>
      <w:pPr>
        <w:spacing w:line="360" w:lineRule="auto"/>
        <w:ind w:firstLine="420" w:firstLineChars="200"/>
        <w:rPr>
          <w:rFonts w:ascii="宋体" w:hAnsi="宋体" w:cs="宋体"/>
          <w:color w:val="auto"/>
          <w:szCs w:val="21"/>
        </w:rPr>
      </w:pPr>
      <w:r>
        <w:rPr>
          <w:rFonts w:hint="eastAsia" w:ascii="宋体" w:hAnsi="宋体" w:cs="宋体"/>
          <w:color w:val="auto"/>
          <w:szCs w:val="21"/>
        </w:rPr>
        <w:t>以上信息查询记录及相关证据与采购文件一并保存。</w:t>
      </w:r>
    </w:p>
    <w:p>
      <w:pPr>
        <w:spacing w:line="360" w:lineRule="auto"/>
        <w:ind w:firstLine="420" w:firstLineChars="200"/>
        <w:rPr>
          <w:rFonts w:ascii="宋体" w:hAnsi="宋体" w:cs="宋体"/>
          <w:color w:val="auto"/>
          <w:szCs w:val="21"/>
        </w:rPr>
      </w:pPr>
      <w:r>
        <w:rPr>
          <w:rFonts w:hint="eastAsia" w:ascii="宋体" w:hAnsi="宋体" w:cs="宋体"/>
          <w:color w:val="auto"/>
          <w:szCs w:val="21"/>
        </w:rPr>
        <w:t>31.2中小企业在政府采购活动过程中，请根据企业的真实情况出具《中小企业声明函》。依法享受中小企业扶持政策的，采购人或者采购代理机构在公告中标结果时，同时公告其《中小企业声明函》，接受社会监督。</w:t>
      </w:r>
    </w:p>
    <w:p>
      <w:pPr>
        <w:spacing w:line="360" w:lineRule="auto"/>
        <w:ind w:firstLine="480" w:firstLineChars="200"/>
        <w:rPr>
          <w:rFonts w:ascii="黑体" w:hAnsi="黑体" w:eastAsia="黑体"/>
          <w:color w:val="auto"/>
          <w:sz w:val="24"/>
        </w:rPr>
      </w:pPr>
      <w:r>
        <w:rPr>
          <w:rFonts w:hint="eastAsia" w:ascii="黑体" w:hAnsi="黑体" w:eastAsia="黑体"/>
          <w:color w:val="auto"/>
          <w:sz w:val="24"/>
        </w:rPr>
        <w:t>32.发出中标通知书</w:t>
      </w:r>
    </w:p>
    <w:p>
      <w:pPr>
        <w:spacing w:line="360" w:lineRule="auto"/>
        <w:ind w:firstLine="422" w:firstLineChars="200"/>
        <w:rPr>
          <w:rFonts w:ascii="宋体" w:hAnsi="宋体"/>
          <w:b/>
          <w:color w:val="auto"/>
          <w:szCs w:val="21"/>
        </w:rPr>
      </w:pPr>
      <w:r>
        <w:rPr>
          <w:rFonts w:hint="eastAsia" w:ascii="宋体" w:hAnsi="宋体"/>
          <w:b/>
          <w:color w:val="auto"/>
          <w:szCs w:val="21"/>
        </w:rPr>
        <w:t>32.1在发布中标公告的同时，采购代理机构向中标人通过“政采云”平台发出电子中标通知书。</w:t>
      </w:r>
    </w:p>
    <w:p>
      <w:pPr>
        <w:spacing w:line="360" w:lineRule="auto"/>
        <w:ind w:firstLine="422" w:firstLineChars="200"/>
        <w:rPr>
          <w:rFonts w:ascii="宋体" w:hAnsi="宋体"/>
          <w:b/>
          <w:color w:val="auto"/>
          <w:szCs w:val="21"/>
        </w:rPr>
      </w:pPr>
      <w:r>
        <w:rPr>
          <w:rFonts w:hint="eastAsia" w:ascii="宋体" w:hAnsi="宋体"/>
          <w:b/>
          <w:color w:val="auto"/>
          <w:szCs w:val="21"/>
        </w:rPr>
        <w:t>32.2对未通过资格审查的投标人，采购人或采购代理机构应当告知其未通过的原因；采用综合评分办法评审的，采购人或采购机构还应当告知未中标人本人的评审得分与排序。</w:t>
      </w:r>
    </w:p>
    <w:p>
      <w:pPr>
        <w:spacing w:line="360" w:lineRule="auto"/>
        <w:ind w:firstLine="480" w:firstLineChars="200"/>
        <w:rPr>
          <w:rFonts w:ascii="黑体" w:hAnsi="黑体" w:eastAsia="黑体"/>
          <w:color w:val="auto"/>
          <w:sz w:val="24"/>
        </w:rPr>
      </w:pPr>
      <w:r>
        <w:rPr>
          <w:rFonts w:hint="eastAsia" w:ascii="黑体" w:hAnsi="黑体" w:eastAsia="黑体"/>
          <w:color w:val="auto"/>
          <w:sz w:val="24"/>
        </w:rPr>
        <w:t>33. 无义务解释未中标原因</w:t>
      </w:r>
    </w:p>
    <w:p>
      <w:pPr>
        <w:spacing w:line="360" w:lineRule="auto"/>
        <w:ind w:firstLine="422" w:firstLineChars="200"/>
        <w:rPr>
          <w:rFonts w:ascii="宋体" w:hAnsi="宋体"/>
          <w:b/>
          <w:color w:val="auto"/>
          <w:szCs w:val="21"/>
        </w:rPr>
      </w:pPr>
      <w:r>
        <w:rPr>
          <w:rFonts w:hint="eastAsia" w:ascii="宋体" w:hAnsi="宋体"/>
          <w:b/>
          <w:color w:val="auto"/>
          <w:szCs w:val="21"/>
        </w:rPr>
        <w:t>采购代理机构无义务向未中标的投标人解释未中标原因和退还投标文件。</w:t>
      </w:r>
    </w:p>
    <w:p>
      <w:pPr>
        <w:spacing w:line="360" w:lineRule="auto"/>
        <w:ind w:firstLine="480" w:firstLineChars="200"/>
        <w:rPr>
          <w:rFonts w:ascii="黑体" w:hAnsi="黑体" w:eastAsia="黑体"/>
          <w:color w:val="auto"/>
          <w:sz w:val="24"/>
        </w:rPr>
      </w:pPr>
      <w:r>
        <w:rPr>
          <w:rFonts w:hint="eastAsia" w:ascii="黑体" w:hAnsi="黑体" w:eastAsia="黑体"/>
          <w:color w:val="auto"/>
          <w:sz w:val="24"/>
        </w:rPr>
        <w:t>34.合同授予标准</w:t>
      </w:r>
    </w:p>
    <w:p>
      <w:pPr>
        <w:spacing w:line="360" w:lineRule="auto"/>
        <w:ind w:firstLine="420" w:firstLineChars="200"/>
        <w:rPr>
          <w:rFonts w:ascii="宋体" w:hAnsi="宋体"/>
          <w:color w:val="auto"/>
          <w:szCs w:val="21"/>
        </w:rPr>
      </w:pPr>
      <w:r>
        <w:rPr>
          <w:rFonts w:hint="eastAsia" w:ascii="宋体" w:hAnsi="宋体" w:cs="Courier New"/>
          <w:color w:val="auto"/>
          <w:szCs w:val="21"/>
        </w:rPr>
        <w:t>合同将授予被确定实质上响应招标文件要求，具备履行合同能力的中标人（招标文件另有约定多名中标人的除外）。</w:t>
      </w:r>
    </w:p>
    <w:p>
      <w:pPr>
        <w:spacing w:line="360" w:lineRule="auto"/>
        <w:ind w:firstLine="480" w:firstLineChars="200"/>
        <w:rPr>
          <w:rFonts w:ascii="黑体" w:hAnsi="黑体" w:eastAsia="黑体"/>
          <w:color w:val="auto"/>
          <w:sz w:val="24"/>
        </w:rPr>
      </w:pPr>
      <w:r>
        <w:rPr>
          <w:rFonts w:hint="eastAsia" w:ascii="黑体" w:hAnsi="黑体" w:eastAsia="黑体"/>
          <w:color w:val="auto"/>
          <w:sz w:val="24"/>
        </w:rPr>
        <w:t>35.履约保证金</w:t>
      </w:r>
    </w:p>
    <w:p>
      <w:pPr>
        <w:pStyle w:val="7"/>
        <w:keepNext w:val="0"/>
        <w:keepLines w:val="0"/>
        <w:spacing w:before="0" w:after="0" w:line="360" w:lineRule="auto"/>
        <w:ind w:firstLine="315" w:firstLineChars="150"/>
        <w:rPr>
          <w:rFonts w:ascii="宋体" w:hAnsi="宋体" w:cs="宋体"/>
          <w:b w:val="0"/>
          <w:color w:val="auto"/>
          <w:sz w:val="21"/>
          <w:szCs w:val="21"/>
        </w:rPr>
      </w:pPr>
      <w:bookmarkStart w:id="242" w:name="_39.1中标人须于签订合同前按本须知前附表规定的金额转账或电汇到指定账"/>
      <w:bookmarkEnd w:id="242"/>
      <w:r>
        <w:rPr>
          <w:rFonts w:hint="eastAsia" w:ascii="宋体" w:hAnsi="宋体" w:cs="宋体"/>
          <w:b w:val="0"/>
          <w:color w:val="auto"/>
          <w:sz w:val="21"/>
          <w:szCs w:val="21"/>
        </w:rPr>
        <w:t>35.1 履约保证金的金额、提交方式、退付的时间和条件详见 “投标人须知前附表”。中标人未按规定提交履约保证金的，视为拒绝与采购人签订合同，采购人可以按照评标报告推荐的中标候选人名单排序，依法确定下一候选人为中标人，也可以重新开展政府采购活动。</w:t>
      </w:r>
    </w:p>
    <w:p>
      <w:pPr>
        <w:pStyle w:val="7"/>
        <w:keepNext w:val="0"/>
        <w:keepLines w:val="0"/>
        <w:spacing w:before="0" w:after="0" w:line="360" w:lineRule="auto"/>
        <w:ind w:firstLine="315" w:firstLineChars="150"/>
        <w:rPr>
          <w:rFonts w:ascii="宋体" w:hAnsi="宋体" w:cs="宋体"/>
          <w:b w:val="0"/>
          <w:color w:val="auto"/>
          <w:sz w:val="21"/>
          <w:szCs w:val="21"/>
        </w:rPr>
      </w:pPr>
      <w:r>
        <w:rPr>
          <w:rFonts w:hint="eastAsia" w:ascii="宋体" w:hAnsi="宋体" w:cs="宋体"/>
          <w:b w:val="0"/>
          <w:color w:val="auto"/>
          <w:sz w:val="21"/>
          <w:szCs w:val="21"/>
        </w:rPr>
        <w:t xml:space="preserve"> 35.2签订合同后，如中标人不按双方签订的合同规定履约，则没收其全部履约保证金，履约保证金不足以赔偿损失的，按实际损失赔偿。</w:t>
      </w:r>
    </w:p>
    <w:p>
      <w:pPr>
        <w:pStyle w:val="7"/>
        <w:keepNext w:val="0"/>
        <w:keepLines w:val="0"/>
        <w:spacing w:before="0" w:after="0" w:line="360" w:lineRule="auto"/>
        <w:ind w:firstLine="420" w:firstLineChars="200"/>
        <w:rPr>
          <w:rFonts w:ascii="宋体" w:hAnsi="宋体" w:cs="宋体"/>
          <w:b w:val="0"/>
          <w:color w:val="auto"/>
          <w:sz w:val="21"/>
          <w:szCs w:val="21"/>
        </w:rPr>
      </w:pPr>
      <w:r>
        <w:rPr>
          <w:rFonts w:hint="eastAsia" w:ascii="宋体" w:hAnsi="宋体" w:cs="宋体"/>
          <w:b w:val="0"/>
          <w:color w:val="auto"/>
          <w:sz w:val="21"/>
          <w:szCs w:val="21"/>
        </w:rPr>
        <w:t>35.3在履约保证金退还日期前，若中标人的开户名称、开户银行、账号有变动的，请以书面形式通知履约保证金收取单位，否则由此产生的后果由中标人自行承担。</w:t>
      </w:r>
    </w:p>
    <w:p>
      <w:pPr>
        <w:spacing w:line="360" w:lineRule="auto"/>
        <w:ind w:firstLine="480" w:firstLineChars="200"/>
        <w:rPr>
          <w:rFonts w:ascii="黑体" w:hAnsi="黑体" w:eastAsia="黑体"/>
          <w:color w:val="auto"/>
          <w:sz w:val="24"/>
        </w:rPr>
      </w:pPr>
      <w:r>
        <w:rPr>
          <w:rFonts w:hint="eastAsia" w:ascii="黑体" w:hAnsi="黑体" w:eastAsia="黑体"/>
          <w:color w:val="auto"/>
          <w:sz w:val="24"/>
        </w:rPr>
        <w:t>36.签订合同</w:t>
      </w:r>
    </w:p>
    <w:p>
      <w:pPr>
        <w:spacing w:line="360" w:lineRule="auto"/>
        <w:ind w:firstLine="422" w:firstLineChars="200"/>
        <w:rPr>
          <w:b/>
          <w:bCs/>
          <w:i/>
          <w:iCs/>
          <w:color w:val="auto"/>
          <w:szCs w:val="21"/>
        </w:rPr>
      </w:pPr>
      <w:bookmarkStart w:id="243" w:name="_40.1投标人接到中标通知书后，按须知前附表规定向采购人出示相关资格证"/>
      <w:bookmarkEnd w:id="243"/>
      <w:r>
        <w:rPr>
          <w:rFonts w:hint="eastAsia" w:ascii="宋体" w:hAnsi="宋体" w:cs="宋体"/>
          <w:b/>
          <w:color w:val="auto"/>
          <w:szCs w:val="21"/>
        </w:rPr>
        <w:t>36.1中标人在</w:t>
      </w:r>
      <w:r>
        <w:rPr>
          <w:rFonts w:ascii="宋体" w:hAnsi="宋体" w:cs="宋体"/>
          <w:b/>
          <w:bCs/>
          <w:color w:val="auto"/>
          <w:kern w:val="0"/>
          <w:szCs w:val="21"/>
        </w:rPr>
        <w:t>中标通知书发出之日起</w:t>
      </w:r>
      <w:r>
        <w:rPr>
          <w:rFonts w:hint="eastAsia" w:ascii="宋体" w:hAnsi="宋体" w:cs="宋体"/>
          <w:b/>
          <w:color w:val="auto"/>
          <w:szCs w:val="21"/>
        </w:rPr>
        <w:t>，</w:t>
      </w:r>
      <w:r>
        <w:rPr>
          <w:rFonts w:hint="eastAsia" w:ascii="宋体" w:hAnsi="宋体" w:cs="宋体"/>
          <w:color w:val="auto"/>
          <w:kern w:val="0"/>
          <w:szCs w:val="21"/>
          <w:lang w:val="zh-CN"/>
        </w:rPr>
        <w:t>按规定的日期、时间、地点，由法定代表人或其授权代表与采购人代表签订电子采购合同。如中标人为联合体的，由联合体成员各方法定代表人或其授权代表与采购人代表签订合同，签订携带资料详见“投标人须知前附表”。</w:t>
      </w:r>
    </w:p>
    <w:p>
      <w:pPr>
        <w:spacing w:line="360" w:lineRule="auto"/>
        <w:ind w:firstLine="420" w:firstLineChars="200"/>
        <w:rPr>
          <w:rFonts w:ascii="宋体" w:hAnsi="宋体" w:cs="宋体"/>
          <w:b/>
          <w:bCs/>
          <w:i/>
          <w:iCs/>
          <w:color w:val="auto"/>
          <w:szCs w:val="21"/>
        </w:rPr>
      </w:pPr>
      <w:r>
        <w:rPr>
          <w:rFonts w:hint="eastAsia" w:ascii="宋体" w:hAnsi="宋体" w:cs="宋体"/>
          <w:color w:val="auto"/>
          <w:kern w:val="0"/>
          <w:szCs w:val="21"/>
          <w:lang w:val="zh-CN"/>
        </w:rPr>
        <w:t>36.2</w:t>
      </w:r>
      <w:r>
        <w:rPr>
          <w:rFonts w:hint="eastAsia" w:ascii="宋体" w:hAnsi="宋体" w:cs="宋体"/>
          <w:color w:val="auto"/>
          <w:szCs w:val="21"/>
        </w:rPr>
        <w:t>采购合同由采购人与中标人根据招标文件、投标文件等内容通过政府采购电子交易平台在线签订，自动备案。</w:t>
      </w:r>
    </w:p>
    <w:p>
      <w:pPr>
        <w:pStyle w:val="37"/>
        <w:snapToGrid w:val="0"/>
        <w:spacing w:before="0"/>
        <w:ind w:firstLine="420"/>
        <w:rPr>
          <w:rFonts w:ascii="宋体" w:hAnsi="宋体" w:cs="仿宋_GB2312"/>
          <w:color w:val="auto"/>
          <w:sz w:val="21"/>
          <w:szCs w:val="21"/>
        </w:rPr>
      </w:pPr>
      <w:r>
        <w:rPr>
          <w:rFonts w:hint="eastAsia" w:ascii="宋体" w:hAnsi="宋体"/>
          <w:color w:val="auto"/>
          <w:sz w:val="21"/>
          <w:szCs w:val="21"/>
        </w:rPr>
        <w:t>36.3签订合同时间：按中标通知书规定的时间与采购人签订合同。</w:t>
      </w:r>
    </w:p>
    <w:p>
      <w:pPr>
        <w:spacing w:line="360" w:lineRule="auto"/>
        <w:ind w:firstLine="420" w:firstLineChars="200"/>
        <w:rPr>
          <w:rFonts w:ascii="宋体" w:hAnsi="宋体"/>
          <w:color w:val="auto"/>
          <w:szCs w:val="21"/>
        </w:rPr>
      </w:pPr>
      <w:r>
        <w:rPr>
          <w:rFonts w:hint="eastAsia" w:ascii="宋体" w:hAnsi="宋体"/>
          <w:color w:val="auto"/>
          <w:szCs w:val="21"/>
        </w:rPr>
        <w:t>36.4中标人拒绝与采购人签订合同的，采购人可以按照评审报告推荐的中标候选人名单排序，依法确定下一候选人为中标人，也可以重新开展政府采购活动。如采购人无正当理由拒签合同的，给中标人造成损失的，中标人可追究采购人承担相应的法律责任。</w:t>
      </w:r>
    </w:p>
    <w:p>
      <w:pPr>
        <w:spacing w:line="360" w:lineRule="auto"/>
        <w:ind w:firstLine="420" w:firstLineChars="200"/>
        <w:rPr>
          <w:rFonts w:ascii="宋体" w:hAnsi="宋体"/>
          <w:color w:val="auto"/>
          <w:szCs w:val="21"/>
        </w:rPr>
      </w:pPr>
      <w:r>
        <w:rPr>
          <w:rFonts w:hint="eastAsia" w:ascii="宋体" w:hAnsi="宋体"/>
          <w:color w:val="auto"/>
          <w:szCs w:val="21"/>
        </w:rPr>
        <w:t>36.5政府采购合同是政府采购项目验收的依据，中标人和采购人应当按照采购合同约定的各自的权利和义务全面履行合同。任何一方当事人在履行合同过程中均不得擅自变更、中止或终止合同。政府采购合同继续履行将损害国家利益和社会公共利益的，双方当事人应当变更、中止或终止合同。有过错的一方应当承担赔偿责任，双方都有过错的，各自承担相应的责任。</w:t>
      </w:r>
    </w:p>
    <w:p>
      <w:pPr>
        <w:spacing w:line="360" w:lineRule="auto"/>
        <w:ind w:firstLine="420" w:firstLineChars="200"/>
        <w:rPr>
          <w:rFonts w:ascii="宋体" w:hAnsi="宋体"/>
          <w:color w:val="auto"/>
          <w:szCs w:val="21"/>
        </w:rPr>
      </w:pPr>
      <w:r>
        <w:rPr>
          <w:rFonts w:hint="eastAsia" w:ascii="宋体" w:hAnsi="宋体"/>
          <w:color w:val="auto"/>
          <w:szCs w:val="21"/>
        </w:rPr>
        <w:t>36.6采购人或中标人不得单方面向合同另一方提出任何招标文件没有约定的条件或不合理的要求，作为签订合同的条件；也不得协商另行订立背离招标文件和合同实质性内容的协议。</w:t>
      </w:r>
    </w:p>
    <w:p>
      <w:pPr>
        <w:spacing w:line="360" w:lineRule="auto"/>
        <w:ind w:firstLine="420" w:firstLineChars="200"/>
        <w:rPr>
          <w:rFonts w:ascii="宋体" w:hAnsi="宋体"/>
          <w:color w:val="auto"/>
          <w:szCs w:val="21"/>
        </w:rPr>
      </w:pPr>
      <w:r>
        <w:rPr>
          <w:rFonts w:hint="eastAsia" w:ascii="宋体" w:hAnsi="宋体"/>
          <w:color w:val="auto"/>
          <w:szCs w:val="21"/>
        </w:rPr>
        <w:t>36.7</w:t>
      </w:r>
      <w:r>
        <w:rPr>
          <w:rFonts w:hint="eastAsia" w:ascii="宋体" w:hAnsi="宋体" w:cs="仿宋_GB2312"/>
          <w:color w:val="auto"/>
          <w:szCs w:val="21"/>
        </w:rPr>
        <w:t>如签订合同并生效后，中标人无故拒绝或延期，除按照合同条款处理外，将承担相应的法律责任。</w:t>
      </w:r>
    </w:p>
    <w:p>
      <w:pPr>
        <w:spacing w:line="360" w:lineRule="auto"/>
        <w:ind w:firstLine="480" w:firstLineChars="200"/>
        <w:rPr>
          <w:rFonts w:ascii="黑体" w:hAnsi="黑体" w:eastAsia="黑体"/>
          <w:color w:val="auto"/>
          <w:sz w:val="24"/>
        </w:rPr>
      </w:pPr>
      <w:bookmarkStart w:id="244" w:name="_41.政府采购合同公告"/>
      <w:bookmarkEnd w:id="244"/>
      <w:r>
        <w:rPr>
          <w:rFonts w:hint="eastAsia" w:ascii="黑体" w:hAnsi="黑体" w:eastAsia="黑体"/>
          <w:color w:val="auto"/>
          <w:sz w:val="24"/>
        </w:rPr>
        <w:t>37.政府采购合同公告</w:t>
      </w:r>
    </w:p>
    <w:p>
      <w:pPr>
        <w:spacing w:line="360" w:lineRule="auto"/>
        <w:ind w:firstLine="420" w:firstLineChars="200"/>
        <w:rPr>
          <w:rFonts w:ascii="宋体" w:hAnsi="宋体"/>
          <w:color w:val="auto"/>
        </w:rPr>
      </w:pPr>
      <w:r>
        <w:rPr>
          <w:rFonts w:hint="eastAsia" w:hAnsi="宋体"/>
          <w:color w:val="auto"/>
        </w:rPr>
        <w:t>采购人应当自政府采购合同签订之日起</w:t>
      </w:r>
      <w:r>
        <w:rPr>
          <w:rFonts w:hAnsi="宋体"/>
          <w:color w:val="auto"/>
        </w:rPr>
        <w:t>2</w:t>
      </w:r>
      <w:r>
        <w:rPr>
          <w:rFonts w:hint="eastAsia" w:hAnsi="宋体"/>
          <w:color w:val="auto"/>
        </w:rPr>
        <w:t>个工作日内，将政府采购合同</w:t>
      </w:r>
      <w:r>
        <w:rPr>
          <w:rFonts w:hint="eastAsia" w:ascii="宋体" w:hAnsi="宋体"/>
          <w:bCs/>
          <w:color w:val="auto"/>
        </w:rPr>
        <w:t>在省级以上人民政府财政部门指定的媒体</w:t>
      </w:r>
      <w:r>
        <w:rPr>
          <w:rFonts w:hint="eastAsia" w:hAnsi="宋体"/>
          <w:color w:val="auto"/>
        </w:rPr>
        <w:t>上公告，但政府采购合同中涉及国家秘密、商业秘密的内容除外。</w:t>
      </w:r>
    </w:p>
    <w:p>
      <w:pPr>
        <w:spacing w:line="360" w:lineRule="auto"/>
        <w:ind w:firstLine="480" w:firstLineChars="200"/>
        <w:rPr>
          <w:rFonts w:ascii="黑体" w:hAnsi="黑体" w:eastAsia="黑体"/>
          <w:color w:val="auto"/>
          <w:sz w:val="24"/>
        </w:rPr>
      </w:pPr>
      <w:r>
        <w:rPr>
          <w:rFonts w:hint="eastAsia" w:ascii="黑体" w:hAnsi="黑体" w:eastAsia="黑体"/>
          <w:color w:val="auto"/>
          <w:sz w:val="24"/>
        </w:rPr>
        <w:t>38.询问、质疑和投诉</w:t>
      </w:r>
    </w:p>
    <w:p>
      <w:pPr>
        <w:spacing w:line="360" w:lineRule="auto"/>
        <w:ind w:firstLine="422" w:firstLineChars="200"/>
        <w:rPr>
          <w:rFonts w:hAnsi="宋体"/>
          <w:b/>
          <w:color w:val="auto"/>
          <w:szCs w:val="21"/>
        </w:rPr>
      </w:pPr>
      <w:r>
        <w:rPr>
          <w:rFonts w:hAnsi="宋体"/>
          <w:b/>
          <w:color w:val="auto"/>
          <w:szCs w:val="21"/>
        </w:rPr>
        <w:t>38.1</w:t>
      </w:r>
      <w:r>
        <w:rPr>
          <w:rFonts w:hint="eastAsia" w:hAnsi="宋体"/>
          <w:b/>
          <w:color w:val="auto"/>
          <w:szCs w:val="21"/>
        </w:rPr>
        <w:t>询问</w:t>
      </w:r>
    </w:p>
    <w:p>
      <w:pPr>
        <w:spacing w:line="360" w:lineRule="auto"/>
        <w:ind w:firstLine="420" w:firstLineChars="200"/>
        <w:rPr>
          <w:rFonts w:ascii="宋体" w:hAnsi="宋体" w:cs="宋体"/>
          <w:bCs/>
          <w:color w:val="auto"/>
          <w:szCs w:val="21"/>
        </w:rPr>
      </w:pPr>
      <w:r>
        <w:rPr>
          <w:rFonts w:hint="eastAsia" w:ascii="宋体" w:hAnsi="宋体" w:cs="宋体"/>
          <w:bCs/>
          <w:color w:val="auto"/>
          <w:szCs w:val="21"/>
        </w:rPr>
        <w:t>38.1.1供应商在开标前对政府采购活动事项有疑问的，可以向采购人或采购代理机构项目负责人提出询问。</w:t>
      </w:r>
    </w:p>
    <w:p>
      <w:pPr>
        <w:spacing w:line="360" w:lineRule="auto"/>
        <w:ind w:firstLine="420" w:firstLineChars="200"/>
        <w:rPr>
          <w:rFonts w:ascii="宋体" w:hAnsi="宋体" w:cs="宋体"/>
          <w:bCs/>
          <w:color w:val="auto"/>
          <w:szCs w:val="21"/>
        </w:rPr>
      </w:pPr>
      <w:r>
        <w:rPr>
          <w:rFonts w:hint="eastAsia" w:ascii="宋体" w:hAnsi="宋体" w:cs="宋体"/>
          <w:bCs/>
          <w:color w:val="auto"/>
          <w:szCs w:val="21"/>
        </w:rPr>
        <w:t>38.1.2采购人或采购人委托的采购代理机构自受理询问之日起3个工作日内对供应商依法提出的询问作出答复，</w:t>
      </w:r>
      <w:r>
        <w:rPr>
          <w:rFonts w:hint="eastAsia" w:ascii="宋体" w:hAnsi="宋体" w:cs="宋体"/>
          <w:color w:val="auto"/>
        </w:rPr>
        <w:t>但答复内容不得涉及商业秘密</w:t>
      </w:r>
      <w:r>
        <w:rPr>
          <w:rFonts w:hint="eastAsia" w:ascii="宋体" w:hAnsi="宋体" w:cs="宋体"/>
          <w:bCs/>
          <w:color w:val="auto"/>
          <w:szCs w:val="21"/>
        </w:rPr>
        <w:t>。</w:t>
      </w:r>
    </w:p>
    <w:p>
      <w:pPr>
        <w:spacing w:line="360" w:lineRule="auto"/>
        <w:ind w:firstLine="420" w:firstLineChars="200"/>
        <w:rPr>
          <w:rFonts w:ascii="宋体" w:hAnsi="宋体" w:cs="宋体"/>
          <w:bCs/>
          <w:color w:val="auto"/>
          <w:szCs w:val="21"/>
        </w:rPr>
      </w:pPr>
      <w:r>
        <w:rPr>
          <w:rFonts w:hint="eastAsia" w:ascii="宋体" w:hAnsi="宋体" w:cs="宋体"/>
          <w:bCs/>
          <w:color w:val="auto"/>
          <w:szCs w:val="21"/>
        </w:rPr>
        <w:t>38.1.3 询问事项可能影响中标结果的，采购人应当暂停签订合同，已经签订合同的，应当中止履行合同。</w:t>
      </w:r>
    </w:p>
    <w:p>
      <w:pPr>
        <w:spacing w:line="360" w:lineRule="auto"/>
        <w:ind w:firstLine="420" w:firstLineChars="200"/>
        <w:rPr>
          <w:rFonts w:ascii="宋体" w:hAnsi="宋体" w:cs="宋体"/>
          <w:color w:val="auto"/>
          <w:szCs w:val="21"/>
        </w:rPr>
      </w:pPr>
      <w:r>
        <w:rPr>
          <w:rFonts w:hint="eastAsia" w:ascii="宋体" w:hAnsi="宋体" w:cs="宋体"/>
          <w:color w:val="auto"/>
          <w:szCs w:val="21"/>
        </w:rPr>
        <w:t>38.2质疑</w:t>
      </w:r>
    </w:p>
    <w:p>
      <w:pPr>
        <w:spacing w:line="360" w:lineRule="auto"/>
        <w:ind w:firstLine="422" w:firstLineChars="200"/>
        <w:rPr>
          <w:rFonts w:ascii="宋体" w:hAnsi="宋体"/>
          <w:b/>
          <w:color w:val="auto"/>
          <w:szCs w:val="21"/>
        </w:rPr>
      </w:pPr>
      <w:r>
        <w:rPr>
          <w:rFonts w:hint="eastAsia" w:ascii="宋体" w:hAnsi="宋体"/>
          <w:b/>
          <w:bCs/>
          <w:color w:val="auto"/>
          <w:szCs w:val="21"/>
        </w:rPr>
        <w:t>38.2.1</w:t>
      </w:r>
      <w:r>
        <w:rPr>
          <w:rFonts w:hint="eastAsia" w:ascii="宋体" w:hAnsi="宋体"/>
          <w:b/>
          <w:color w:val="auto"/>
          <w:szCs w:val="21"/>
        </w:rPr>
        <w:t xml:space="preserve">供应商认为招标文件、采购过程或者中标结果使自己的合法权益受到损害的，必须在知道或者应知其权益受到损害之日起7个工作日内，以书面形式向采购人或采购代理机构提出质疑，质疑有效期结束后，采购人或采购代理机构不再受理该项目质疑。采购人、采购代理机构接收质疑函的方式、联系部门、联系电话和通讯地址等信息详见“投标人须知前附表”。具体质疑起算时间及处理方式如下： </w:t>
      </w:r>
    </w:p>
    <w:p>
      <w:pPr>
        <w:spacing w:line="360" w:lineRule="auto"/>
        <w:ind w:firstLine="420" w:firstLineChars="200"/>
        <w:rPr>
          <w:rFonts w:ascii="宋体" w:hAnsi="宋体" w:cs="宋体"/>
          <w:bCs/>
          <w:color w:val="auto"/>
        </w:rPr>
      </w:pPr>
      <w:r>
        <w:rPr>
          <w:rFonts w:hint="eastAsia" w:ascii="宋体" w:hAnsi="宋体" w:cs="宋体"/>
          <w:bCs/>
          <w:color w:val="auto"/>
        </w:rPr>
        <w:t>（1）潜在供应商依法获取招标文件后，认为采购文件使自己的权益受到损害的，应当在招标文件公告期限届满之日起7个工作日内提出质疑。</w:t>
      </w:r>
      <w:r>
        <w:rPr>
          <w:rFonts w:hint="eastAsia" w:ascii="宋体" w:hAnsi="宋体" w:cs="宋体"/>
          <w:color w:val="auto"/>
        </w:rPr>
        <w:t>委托代理协议无特殊约定的，</w:t>
      </w:r>
      <w:r>
        <w:rPr>
          <w:rFonts w:hint="eastAsia" w:ascii="宋体" w:hAnsi="宋体" w:cs="宋体"/>
          <w:bCs/>
          <w:color w:val="auto"/>
        </w:rPr>
        <w:t>对招标文件中采购需求（含资格要求、采购预算和评分办法）的质疑由采购人受理并负责答复；对招标文件中的采购执行程序的质疑由采购代理机构受理并负责答复。</w:t>
      </w:r>
    </w:p>
    <w:p>
      <w:pPr>
        <w:spacing w:line="360" w:lineRule="auto"/>
        <w:ind w:firstLine="420" w:firstLineChars="200"/>
        <w:rPr>
          <w:rFonts w:ascii="宋体" w:hAnsi="宋体" w:cs="宋体"/>
          <w:bCs/>
          <w:color w:val="auto"/>
        </w:rPr>
      </w:pPr>
      <w:r>
        <w:rPr>
          <w:rFonts w:hint="eastAsia" w:ascii="宋体" w:hAnsi="宋体" w:cs="宋体"/>
          <w:bCs/>
          <w:color w:val="auto"/>
        </w:rPr>
        <w:t>（2）供应商认为采购过程使自己的权益受到损害的，应当在各采购程序环节结束之日起7个工作日内提出质疑。对采购过程中资格审查、符合性审查等具体评审情况的质疑应向采购人或采购代理机构提出，由采购人或采购代理机构受理并负责答复；对采购过程中采购执行程序的质疑由采购代理机构受理并负责答复。</w:t>
      </w:r>
    </w:p>
    <w:p>
      <w:pPr>
        <w:spacing w:line="360" w:lineRule="auto"/>
        <w:ind w:firstLine="420" w:firstLineChars="200"/>
        <w:rPr>
          <w:rFonts w:ascii="宋体" w:hAnsi="宋体" w:cs="宋体"/>
          <w:bCs/>
          <w:color w:val="auto"/>
        </w:rPr>
      </w:pPr>
      <w:r>
        <w:rPr>
          <w:rFonts w:hint="eastAsia" w:ascii="宋体" w:hAnsi="宋体" w:cs="宋体"/>
          <w:bCs/>
          <w:color w:val="auto"/>
        </w:rPr>
        <w:t>（3）供应商认为中标或者成交结果使自己的权益受到损害的，应当在中标或者成交结果公告期限届满之日起7个工作日内提出质疑，由采购人受理并负责答复。</w:t>
      </w:r>
    </w:p>
    <w:p>
      <w:pPr>
        <w:spacing w:line="360" w:lineRule="auto"/>
        <w:ind w:firstLine="422" w:firstLineChars="200"/>
        <w:rPr>
          <w:rFonts w:ascii="宋体" w:hAnsi="宋体" w:cs="宋体"/>
          <w:bCs/>
          <w:color w:val="auto"/>
          <w:szCs w:val="21"/>
        </w:rPr>
      </w:pPr>
      <w:r>
        <w:rPr>
          <w:rFonts w:hint="eastAsia" w:ascii="宋体" w:hAnsi="宋体" w:cs="宋体"/>
          <w:b/>
          <w:bCs/>
          <w:color w:val="auto"/>
          <w:szCs w:val="21"/>
        </w:rPr>
        <w:t>38.2.2</w:t>
      </w:r>
      <w:r>
        <w:rPr>
          <w:rFonts w:hint="eastAsia" w:ascii="宋体" w:hAnsi="宋体" w:cs="宋体"/>
          <w:bCs/>
          <w:color w:val="auto"/>
          <w:szCs w:val="21"/>
        </w:rPr>
        <w:t>供应商质疑实行实名制，其质疑应当有具体的质疑事项及事实根据，质疑应当坚持依法依规、诚实信用原则，不得进行虚假、恶意质疑。</w:t>
      </w:r>
    </w:p>
    <w:p>
      <w:pPr>
        <w:spacing w:line="360" w:lineRule="auto"/>
        <w:ind w:firstLine="422" w:firstLineChars="200"/>
        <w:rPr>
          <w:rFonts w:ascii="宋体" w:hAnsi="宋体" w:cs="宋体"/>
          <w:bCs/>
          <w:color w:val="auto"/>
        </w:rPr>
      </w:pPr>
      <w:r>
        <w:rPr>
          <w:rFonts w:hint="eastAsia" w:ascii="宋体" w:hAnsi="宋体" w:cs="宋体"/>
          <w:b/>
          <w:bCs/>
          <w:color w:val="auto"/>
        </w:rPr>
        <w:t>38.2.3</w:t>
      </w:r>
      <w:r>
        <w:rPr>
          <w:rFonts w:hint="eastAsia" w:ascii="宋体" w:hAnsi="宋体" w:cs="宋体"/>
          <w:bCs/>
          <w:color w:val="auto"/>
        </w:rPr>
        <w:t xml:space="preserve"> 质疑供应商可以委托代理人办理质疑事务。委托代理人应熟悉相关业务情况。代理人办理质疑事务时，除提交质疑书外，还应当提交质疑供应商的授权委托书和委托代理人身份证明复印件</w:t>
      </w:r>
      <w:r>
        <w:rPr>
          <w:rFonts w:hint="eastAsia" w:ascii="宋体" w:hAnsi="宋体" w:cs="宋体"/>
          <w:color w:val="auto"/>
        </w:rPr>
        <w:t>。</w:t>
      </w:r>
    </w:p>
    <w:p>
      <w:pPr>
        <w:spacing w:line="360" w:lineRule="auto"/>
        <w:ind w:firstLine="422" w:firstLineChars="200"/>
        <w:rPr>
          <w:rFonts w:ascii="宋体" w:hAnsi="宋体" w:cs="宋体"/>
          <w:b/>
          <w:bCs/>
          <w:color w:val="auto"/>
        </w:rPr>
      </w:pPr>
      <w:r>
        <w:rPr>
          <w:rFonts w:hint="eastAsia" w:ascii="宋体" w:hAnsi="宋体" w:cs="宋体"/>
          <w:b/>
          <w:bCs/>
          <w:color w:val="auto"/>
        </w:rPr>
        <w:t>38.2.4 质疑供应商提起质疑应当符合下列条件：</w:t>
      </w:r>
    </w:p>
    <w:p>
      <w:pPr>
        <w:spacing w:line="360" w:lineRule="auto"/>
        <w:ind w:firstLine="420" w:firstLineChars="200"/>
        <w:rPr>
          <w:rFonts w:ascii="宋体" w:hAnsi="宋体" w:cs="宋体"/>
          <w:bCs/>
          <w:color w:val="auto"/>
        </w:rPr>
      </w:pPr>
      <w:r>
        <w:rPr>
          <w:rFonts w:hint="eastAsia" w:ascii="宋体" w:hAnsi="宋体" w:cs="宋体"/>
          <w:bCs/>
          <w:color w:val="auto"/>
        </w:rPr>
        <w:t>（1）质疑供应商是参与所质疑</w:t>
      </w:r>
      <w:r>
        <w:rPr>
          <w:rFonts w:hint="eastAsia" w:ascii="宋体" w:hAnsi="宋体" w:cs="宋体"/>
          <w:bCs/>
          <w:color w:val="auto"/>
          <w:szCs w:val="21"/>
        </w:rPr>
        <w:t>项目</w:t>
      </w:r>
      <w:r>
        <w:rPr>
          <w:rFonts w:hint="eastAsia" w:ascii="宋体" w:hAnsi="宋体" w:cs="宋体"/>
          <w:bCs/>
          <w:color w:val="auto"/>
        </w:rPr>
        <w:t>采购活动的供应商（潜在供应商已依法获取可质疑的采购文件的，可以对该采购文件质疑）；</w:t>
      </w:r>
    </w:p>
    <w:p>
      <w:pPr>
        <w:spacing w:line="360" w:lineRule="auto"/>
        <w:ind w:firstLine="420" w:firstLineChars="200"/>
        <w:rPr>
          <w:rFonts w:ascii="宋体" w:hAnsi="宋体" w:cs="宋体"/>
          <w:bCs/>
          <w:color w:val="auto"/>
        </w:rPr>
      </w:pPr>
      <w:r>
        <w:rPr>
          <w:rFonts w:hint="eastAsia" w:ascii="宋体" w:hAnsi="宋体" w:cs="宋体"/>
          <w:bCs/>
          <w:color w:val="auto"/>
        </w:rPr>
        <w:t>（2）质疑函内容符合本章第38.2.5项的规定；</w:t>
      </w:r>
    </w:p>
    <w:p>
      <w:pPr>
        <w:spacing w:line="360" w:lineRule="auto"/>
        <w:ind w:firstLine="420" w:firstLineChars="200"/>
        <w:rPr>
          <w:rFonts w:ascii="宋体" w:hAnsi="宋体" w:cs="宋体"/>
          <w:bCs/>
          <w:color w:val="auto"/>
        </w:rPr>
      </w:pPr>
      <w:r>
        <w:rPr>
          <w:rFonts w:hint="eastAsia" w:ascii="宋体" w:hAnsi="宋体" w:cs="宋体"/>
          <w:bCs/>
          <w:color w:val="auto"/>
        </w:rPr>
        <w:t>（3）在质疑有效期限内提起质疑；</w:t>
      </w:r>
    </w:p>
    <w:p>
      <w:pPr>
        <w:spacing w:line="360" w:lineRule="auto"/>
        <w:ind w:firstLine="420" w:firstLineChars="200"/>
        <w:rPr>
          <w:rFonts w:ascii="宋体" w:hAnsi="宋体" w:cs="宋体"/>
          <w:bCs/>
          <w:color w:val="auto"/>
        </w:rPr>
      </w:pPr>
      <w:r>
        <w:rPr>
          <w:rFonts w:hint="eastAsia" w:ascii="宋体" w:hAnsi="宋体" w:cs="宋体"/>
          <w:bCs/>
          <w:color w:val="auto"/>
        </w:rPr>
        <w:t>（4）属于所质疑的采购人或采购人委托的采购代理机构组织的采购活动；</w:t>
      </w:r>
    </w:p>
    <w:p>
      <w:pPr>
        <w:spacing w:line="360" w:lineRule="auto"/>
        <w:ind w:firstLine="420" w:firstLineChars="200"/>
        <w:rPr>
          <w:rFonts w:ascii="宋体" w:hAnsi="宋体" w:cs="宋体"/>
          <w:bCs/>
          <w:color w:val="auto"/>
        </w:rPr>
      </w:pPr>
      <w:r>
        <w:rPr>
          <w:rFonts w:hint="eastAsia" w:ascii="宋体" w:hAnsi="宋体" w:cs="宋体"/>
          <w:bCs/>
          <w:color w:val="auto"/>
        </w:rPr>
        <w:t>（5）供应商对同一采购程序环节的质疑应当在质疑有效期内一次性提出；</w:t>
      </w:r>
    </w:p>
    <w:p>
      <w:pPr>
        <w:spacing w:line="360" w:lineRule="auto"/>
        <w:ind w:firstLine="420" w:firstLineChars="200"/>
        <w:rPr>
          <w:rFonts w:ascii="宋体" w:hAnsi="宋体" w:cs="宋体"/>
          <w:bCs/>
          <w:color w:val="auto"/>
        </w:rPr>
      </w:pPr>
      <w:r>
        <w:rPr>
          <w:rFonts w:hint="eastAsia" w:ascii="宋体" w:hAnsi="宋体" w:cs="宋体"/>
          <w:bCs/>
          <w:color w:val="auto"/>
        </w:rPr>
        <w:t>（6）供应商提交质疑应当提交必要的证明材料，证明材料应以合法手段取得；</w:t>
      </w:r>
    </w:p>
    <w:p>
      <w:pPr>
        <w:spacing w:line="360" w:lineRule="auto"/>
        <w:ind w:firstLine="420" w:firstLineChars="200"/>
        <w:rPr>
          <w:rFonts w:ascii="宋体" w:hAnsi="宋体" w:cs="宋体"/>
          <w:color w:val="auto"/>
        </w:rPr>
      </w:pPr>
      <w:r>
        <w:rPr>
          <w:rFonts w:hint="eastAsia" w:ascii="宋体" w:hAnsi="宋体" w:cs="宋体"/>
          <w:bCs/>
          <w:color w:val="auto"/>
        </w:rPr>
        <w:t>（7）财政部门规定的其他条件。</w:t>
      </w:r>
    </w:p>
    <w:p>
      <w:pPr>
        <w:spacing w:line="360" w:lineRule="auto"/>
        <w:ind w:firstLine="422" w:firstLineChars="200"/>
        <w:rPr>
          <w:rFonts w:ascii="宋体" w:hAnsi="宋体"/>
          <w:b/>
          <w:bCs/>
          <w:color w:val="auto"/>
          <w:szCs w:val="21"/>
        </w:rPr>
      </w:pPr>
      <w:bookmarkStart w:id="245" w:name="_9.2质疑、投诉应当采用书面形式，质疑函、投诉书均应明确阐述招标文件、"/>
      <w:bookmarkEnd w:id="245"/>
      <w:r>
        <w:rPr>
          <w:rFonts w:hint="eastAsia" w:ascii="宋体" w:hAnsi="宋体"/>
          <w:b/>
          <w:bCs/>
          <w:color w:val="auto"/>
          <w:szCs w:val="21"/>
        </w:rPr>
        <w:t xml:space="preserve"> 38.2.5 </w:t>
      </w:r>
      <w:r>
        <w:rPr>
          <w:rFonts w:hint="eastAsia" w:hAnsi="宋体"/>
          <w:b/>
          <w:bCs/>
          <w:color w:val="auto"/>
        </w:rPr>
        <w:t>供应商提出质疑应当提交质疑函和必要的证明材料，针对同一采购程序环节的质疑必须在法定质疑期内一次性提出。质疑函应当包括下列内容（质疑函格式后附）：</w:t>
      </w:r>
    </w:p>
    <w:p>
      <w:pPr>
        <w:spacing w:line="360" w:lineRule="auto"/>
        <w:ind w:firstLine="420" w:firstLineChars="200"/>
        <w:rPr>
          <w:rFonts w:ascii="宋体" w:hAnsi="宋体" w:cs="宋体"/>
          <w:bCs/>
          <w:color w:val="auto"/>
        </w:rPr>
      </w:pPr>
      <w:r>
        <w:rPr>
          <w:rFonts w:hint="eastAsia" w:ascii="宋体" w:hAnsi="宋体" w:cs="宋体"/>
          <w:bCs/>
          <w:color w:val="auto"/>
        </w:rPr>
        <w:t>（1）供应商的姓名或者名称、地址、邮编、联系人及联系电话；</w:t>
      </w:r>
    </w:p>
    <w:p>
      <w:pPr>
        <w:spacing w:line="360" w:lineRule="auto"/>
        <w:ind w:firstLine="420" w:firstLineChars="200"/>
        <w:rPr>
          <w:rFonts w:ascii="宋体" w:hAnsi="宋体" w:cs="宋体"/>
          <w:bCs/>
          <w:color w:val="auto"/>
        </w:rPr>
      </w:pPr>
      <w:r>
        <w:rPr>
          <w:rFonts w:hint="eastAsia" w:ascii="宋体" w:hAnsi="宋体" w:cs="宋体"/>
          <w:bCs/>
          <w:color w:val="auto"/>
        </w:rPr>
        <w:t>（2）质疑项目的名称、编号；</w:t>
      </w:r>
    </w:p>
    <w:p>
      <w:pPr>
        <w:spacing w:line="360" w:lineRule="auto"/>
        <w:ind w:firstLine="420" w:firstLineChars="200"/>
        <w:rPr>
          <w:rFonts w:ascii="宋体" w:hAnsi="宋体" w:cs="宋体"/>
          <w:bCs/>
          <w:color w:val="auto"/>
        </w:rPr>
      </w:pPr>
      <w:r>
        <w:rPr>
          <w:rFonts w:hint="eastAsia" w:ascii="宋体" w:hAnsi="宋体" w:cs="宋体"/>
          <w:bCs/>
          <w:color w:val="auto"/>
        </w:rPr>
        <w:t>（3）具体、明确的质疑事项和与质疑事项相关的请求；</w:t>
      </w:r>
    </w:p>
    <w:p>
      <w:pPr>
        <w:spacing w:line="360" w:lineRule="auto"/>
        <w:ind w:firstLine="420" w:firstLineChars="200"/>
        <w:rPr>
          <w:rFonts w:ascii="宋体" w:hAnsi="宋体" w:cs="宋体"/>
          <w:bCs/>
          <w:color w:val="auto"/>
        </w:rPr>
      </w:pPr>
      <w:r>
        <w:rPr>
          <w:rFonts w:hint="eastAsia" w:ascii="宋体" w:hAnsi="宋体" w:cs="宋体"/>
          <w:bCs/>
          <w:color w:val="auto"/>
        </w:rPr>
        <w:t>（4）事实依据（列明权益受到损害的事实和理由）；</w:t>
      </w:r>
    </w:p>
    <w:p>
      <w:pPr>
        <w:spacing w:line="360" w:lineRule="auto"/>
        <w:ind w:firstLine="420" w:firstLineChars="200"/>
        <w:rPr>
          <w:rFonts w:ascii="宋体" w:hAnsi="宋体" w:cs="宋体"/>
          <w:bCs/>
          <w:color w:val="auto"/>
        </w:rPr>
      </w:pPr>
      <w:r>
        <w:rPr>
          <w:rFonts w:hint="eastAsia" w:ascii="宋体" w:hAnsi="宋体" w:cs="宋体"/>
          <w:bCs/>
          <w:color w:val="auto"/>
        </w:rPr>
        <w:t>（5）必要的法律依据；</w:t>
      </w:r>
    </w:p>
    <w:p>
      <w:pPr>
        <w:spacing w:line="360" w:lineRule="auto"/>
        <w:ind w:firstLine="420" w:firstLineChars="200"/>
        <w:rPr>
          <w:rFonts w:ascii="宋体" w:hAnsi="宋体" w:cs="宋体"/>
          <w:bCs/>
          <w:color w:val="auto"/>
        </w:rPr>
      </w:pPr>
      <w:r>
        <w:rPr>
          <w:rFonts w:hint="eastAsia" w:ascii="宋体" w:hAnsi="宋体" w:cs="宋体"/>
          <w:bCs/>
          <w:color w:val="auto"/>
        </w:rPr>
        <w:t>（6）提出质疑的日期。</w:t>
      </w:r>
    </w:p>
    <w:p>
      <w:pPr>
        <w:spacing w:line="360" w:lineRule="auto"/>
        <w:ind w:firstLine="420" w:firstLineChars="200"/>
        <w:rPr>
          <w:rFonts w:hAnsi="宋体"/>
          <w:bCs/>
          <w:color w:val="auto"/>
        </w:rPr>
      </w:pPr>
      <w:r>
        <w:rPr>
          <w:rFonts w:hint="eastAsia" w:hAnsi="宋体"/>
          <w:bCs/>
          <w:color w:val="auto"/>
        </w:rPr>
        <w:t>供应商为自然人的，应当由本人签字；供应商为法人或者其他组织的，应当由法定代表人、主要负责人，或者其委托代理人签字或者盖章，并加盖公章。</w:t>
      </w:r>
    </w:p>
    <w:p>
      <w:pPr>
        <w:spacing w:line="360" w:lineRule="auto"/>
        <w:ind w:firstLine="422" w:firstLineChars="200"/>
        <w:rPr>
          <w:rFonts w:ascii="宋体" w:hAnsi="宋体"/>
          <w:b/>
          <w:color w:val="auto"/>
          <w:szCs w:val="20"/>
        </w:rPr>
      </w:pPr>
      <w:r>
        <w:rPr>
          <w:rFonts w:hint="eastAsia" w:ascii="宋体" w:hAnsi="宋体"/>
          <w:b/>
          <w:color w:val="auto"/>
          <w:szCs w:val="20"/>
        </w:rPr>
        <w:t>38.2.6采购人或采购人委托的采购代理机构在收到质疑函后7个工作日内作出答复，并以书面形式通知质疑供应商及其他有关供应商。对不符合质疑条件的质疑，答复不予受理，并说明理由；对符合质疑条件的质疑，对质疑事项作出答复</w:t>
      </w:r>
      <w:r>
        <w:rPr>
          <w:rFonts w:hint="eastAsia" w:ascii="宋体" w:hAnsi="宋体" w:cs="宋体"/>
          <w:bCs/>
          <w:color w:val="auto"/>
        </w:rPr>
        <w:t>。</w:t>
      </w:r>
    </w:p>
    <w:p>
      <w:pPr>
        <w:spacing w:line="360" w:lineRule="auto"/>
        <w:ind w:firstLine="420" w:firstLineChars="200"/>
        <w:rPr>
          <w:rFonts w:ascii="宋体" w:hAnsi="宋体"/>
          <w:bCs/>
          <w:color w:val="auto"/>
          <w:szCs w:val="21"/>
        </w:rPr>
      </w:pPr>
      <w:r>
        <w:rPr>
          <w:rFonts w:hint="eastAsia" w:ascii="宋体" w:hAnsi="宋体"/>
          <w:color w:val="auto"/>
          <w:szCs w:val="21"/>
        </w:rPr>
        <w:t>3</w:t>
      </w:r>
      <w:r>
        <w:rPr>
          <w:rFonts w:hint="eastAsia" w:ascii="宋体" w:hAnsi="宋体"/>
          <w:bCs/>
          <w:color w:val="auto"/>
          <w:szCs w:val="21"/>
        </w:rPr>
        <w:t>8.2.7采购人、采购代理机构认为供应商质疑不成立，或者成立但未对中标结果构成影响的，继续开展采购活动；认为供应商质疑成立且影响或者可能影响中标结果的，按照下列情况处理：</w:t>
      </w:r>
    </w:p>
    <w:p>
      <w:pPr>
        <w:spacing w:line="360" w:lineRule="auto"/>
        <w:ind w:firstLine="420" w:firstLineChars="200"/>
        <w:rPr>
          <w:rFonts w:hAnsi="宋体"/>
          <w:bCs/>
          <w:color w:val="auto"/>
        </w:rPr>
      </w:pPr>
      <w:r>
        <w:rPr>
          <w:rFonts w:hint="eastAsia" w:hAnsi="宋体"/>
          <w:bCs/>
          <w:color w:val="auto"/>
        </w:rPr>
        <w:t>（一）对招标文件提出的质疑，依法通过澄清或者修改可以继续开展采购活动的，澄清或者修改招标文件后继续开展采购活动；否则应当修改招标文件后重新开展采购活动。</w:t>
      </w:r>
    </w:p>
    <w:p>
      <w:pPr>
        <w:spacing w:line="360" w:lineRule="auto"/>
        <w:ind w:firstLine="420" w:firstLineChars="200"/>
        <w:rPr>
          <w:rFonts w:hAnsi="宋体"/>
          <w:bCs/>
          <w:color w:val="auto"/>
        </w:rPr>
      </w:pPr>
      <w:r>
        <w:rPr>
          <w:rFonts w:hint="eastAsia" w:hAnsi="宋体"/>
          <w:bCs/>
          <w:color w:val="auto"/>
        </w:rPr>
        <w:t>（二）对采购过程、中标结果提出的质疑，合格供应商符合法定数量时，可以从合格的中标候选人中另行确定中标人的，应当依法另行确定中标人；否则应当重新开展采购活动。</w:t>
      </w:r>
    </w:p>
    <w:p>
      <w:pPr>
        <w:spacing w:line="360" w:lineRule="auto"/>
        <w:ind w:firstLine="420" w:firstLineChars="200"/>
        <w:rPr>
          <w:rFonts w:hAnsi="宋体"/>
          <w:bCs/>
          <w:color w:val="auto"/>
        </w:rPr>
      </w:pPr>
      <w:r>
        <w:rPr>
          <w:rFonts w:hint="eastAsia" w:hAnsi="宋体"/>
          <w:bCs/>
          <w:color w:val="auto"/>
        </w:rPr>
        <w:t>质疑答复导致中标结果改变的，采购人或者采购代理机构应当将有关情况书面报告本级财政部门。</w:t>
      </w:r>
    </w:p>
    <w:p>
      <w:pPr>
        <w:spacing w:line="360" w:lineRule="auto"/>
        <w:ind w:firstLine="422" w:firstLineChars="200"/>
        <w:rPr>
          <w:rFonts w:hAnsi="宋体"/>
          <w:b/>
          <w:color w:val="auto"/>
        </w:rPr>
      </w:pPr>
      <w:r>
        <w:rPr>
          <w:rFonts w:hAnsi="宋体"/>
          <w:b/>
          <w:color w:val="auto"/>
        </w:rPr>
        <w:t>38.3</w:t>
      </w:r>
      <w:r>
        <w:rPr>
          <w:rFonts w:hint="eastAsia" w:hAnsi="宋体"/>
          <w:b/>
          <w:color w:val="auto"/>
        </w:rPr>
        <w:t>投诉</w:t>
      </w:r>
    </w:p>
    <w:p>
      <w:pPr>
        <w:spacing w:line="360" w:lineRule="auto"/>
        <w:ind w:firstLine="422" w:firstLineChars="200"/>
        <w:rPr>
          <w:rFonts w:ascii="宋体" w:hAnsi="宋体" w:cs="宋体"/>
          <w:bCs/>
          <w:color w:val="auto"/>
        </w:rPr>
      </w:pPr>
      <w:r>
        <w:rPr>
          <w:rFonts w:hint="eastAsia" w:ascii="宋体" w:hAnsi="宋体" w:cs="宋体"/>
          <w:b/>
          <w:color w:val="auto"/>
        </w:rPr>
        <w:t>38.3</w:t>
      </w:r>
      <w:r>
        <w:rPr>
          <w:rFonts w:hint="eastAsia" w:ascii="宋体" w:hAnsi="宋体" w:cs="宋体"/>
          <w:bCs/>
          <w:color w:val="auto"/>
        </w:rPr>
        <w:t>.</w:t>
      </w:r>
      <w:r>
        <w:rPr>
          <w:rFonts w:hint="eastAsia" w:ascii="宋体" w:hAnsi="宋体" w:cs="宋体"/>
          <w:b/>
          <w:bCs/>
          <w:color w:val="auto"/>
        </w:rPr>
        <w:t xml:space="preserve">1 </w:t>
      </w:r>
      <w:r>
        <w:rPr>
          <w:rFonts w:hint="eastAsia" w:ascii="宋体" w:hAnsi="宋体" w:cs="宋体"/>
          <w:bCs/>
          <w:color w:val="auto"/>
        </w:rPr>
        <w:t xml:space="preserve"> 供应商认为采购文件、采购过程、中标和成交结果使自己的合法权益受到损害的，应当首先依法向采购人或采购人委托的</w:t>
      </w:r>
      <w:r>
        <w:rPr>
          <w:rFonts w:hint="eastAsia" w:ascii="宋体" w:hAnsi="宋体" w:cs="宋体"/>
          <w:color w:val="auto"/>
        </w:rPr>
        <w:t>采购代理机构</w:t>
      </w:r>
      <w:r>
        <w:rPr>
          <w:rFonts w:hint="eastAsia" w:ascii="宋体" w:hAnsi="宋体" w:cs="宋体"/>
          <w:bCs/>
          <w:color w:val="auto"/>
        </w:rPr>
        <w:t>提出质疑。对采购人或</w:t>
      </w:r>
      <w:r>
        <w:rPr>
          <w:rFonts w:hint="eastAsia" w:ascii="宋体" w:hAnsi="宋体" w:cs="宋体"/>
          <w:color w:val="auto"/>
        </w:rPr>
        <w:t>采购代理机构</w:t>
      </w:r>
      <w:r>
        <w:rPr>
          <w:rFonts w:hint="eastAsia" w:ascii="宋体" w:hAnsi="宋体" w:cs="宋体"/>
          <w:bCs/>
          <w:color w:val="auto"/>
        </w:rPr>
        <w:t>的答复不满意，或者采购人或</w:t>
      </w:r>
      <w:r>
        <w:rPr>
          <w:rFonts w:hint="eastAsia" w:ascii="宋体" w:hAnsi="宋体" w:cs="宋体"/>
          <w:color w:val="auto"/>
        </w:rPr>
        <w:t>采购代理机构</w:t>
      </w:r>
      <w:r>
        <w:rPr>
          <w:rFonts w:hint="eastAsia" w:ascii="宋体" w:hAnsi="宋体" w:cs="宋体"/>
          <w:bCs/>
          <w:color w:val="auto"/>
        </w:rPr>
        <w:t>未在规定期限内做出答复的，供应商可以在答复期满后15个工作日内向本级财政部门提起投诉，投诉联系方式见“投标人须知前附表”。</w:t>
      </w:r>
    </w:p>
    <w:p>
      <w:pPr>
        <w:spacing w:line="360" w:lineRule="auto"/>
        <w:ind w:firstLine="422" w:firstLineChars="200"/>
        <w:rPr>
          <w:rFonts w:ascii="宋体" w:hAnsi="宋体" w:cs="宋体"/>
          <w:bCs/>
          <w:color w:val="auto"/>
        </w:rPr>
      </w:pPr>
      <w:r>
        <w:rPr>
          <w:rFonts w:hint="eastAsia" w:ascii="宋体" w:hAnsi="宋体" w:cs="宋体"/>
          <w:b/>
          <w:color w:val="auto"/>
        </w:rPr>
        <w:t xml:space="preserve">38.3.2 </w:t>
      </w:r>
      <w:r>
        <w:rPr>
          <w:rFonts w:hint="eastAsia" w:ascii="宋体" w:hAnsi="宋体" w:cs="宋体"/>
          <w:color w:val="auto"/>
        </w:rPr>
        <w:t xml:space="preserve"> 投诉人投诉时，应当提交投诉书，并按照被投诉采购人、采购代理机构和与投诉事项有关的供应商数量提供投诉书的副本。投诉书</w:t>
      </w:r>
      <w:r>
        <w:rPr>
          <w:rFonts w:hint="eastAsia" w:ascii="宋体" w:hAnsi="宋体" w:cs="宋体"/>
          <w:color w:val="auto"/>
          <w:szCs w:val="21"/>
        </w:rPr>
        <w:t>应当包括下列主要内容</w:t>
      </w:r>
      <w:r>
        <w:rPr>
          <w:rFonts w:hint="eastAsia" w:ascii="宋体" w:hAnsi="宋体" w:cs="宋体"/>
          <w:color w:val="auto"/>
        </w:rPr>
        <w:t>（如材料中有外文资料应同时附上对应的中文译本）</w:t>
      </w:r>
      <w:r>
        <w:rPr>
          <w:rFonts w:hint="eastAsia" w:ascii="宋体" w:hAnsi="宋体" w:cs="宋体"/>
          <w:bCs/>
          <w:color w:val="auto"/>
        </w:rPr>
        <w:t>（投诉书格式后附）</w:t>
      </w:r>
      <w:r>
        <w:rPr>
          <w:rFonts w:hint="eastAsia" w:ascii="宋体" w:hAnsi="宋体" w:cs="宋体"/>
          <w:color w:val="auto"/>
          <w:szCs w:val="21"/>
        </w:rPr>
        <w:t>：</w:t>
      </w:r>
    </w:p>
    <w:p>
      <w:pPr>
        <w:spacing w:line="360" w:lineRule="auto"/>
        <w:ind w:firstLine="420" w:firstLineChars="200"/>
        <w:rPr>
          <w:rFonts w:ascii="宋体" w:hAnsi="宋体" w:cs="宋体"/>
          <w:color w:val="auto"/>
        </w:rPr>
      </w:pPr>
      <w:r>
        <w:rPr>
          <w:rFonts w:hint="eastAsia" w:ascii="宋体" w:hAnsi="宋体" w:cs="宋体"/>
          <w:color w:val="auto"/>
        </w:rPr>
        <w:t xml:space="preserve">（1）投诉人和被投诉人的名称、地址、邮编、联系人及联系电话等； </w:t>
      </w:r>
    </w:p>
    <w:p>
      <w:pPr>
        <w:spacing w:line="360" w:lineRule="auto"/>
        <w:ind w:firstLine="420" w:firstLineChars="200"/>
        <w:rPr>
          <w:rFonts w:ascii="宋体" w:hAnsi="宋体" w:cs="宋体"/>
          <w:color w:val="auto"/>
        </w:rPr>
      </w:pPr>
      <w:r>
        <w:rPr>
          <w:rFonts w:hint="eastAsia" w:ascii="宋体" w:hAnsi="宋体" w:cs="宋体"/>
          <w:color w:val="auto"/>
        </w:rPr>
        <w:t xml:space="preserve">（2）质疑和质疑答复情况及相关证明材料； </w:t>
      </w:r>
    </w:p>
    <w:p>
      <w:pPr>
        <w:spacing w:line="360" w:lineRule="auto"/>
        <w:ind w:firstLine="420" w:firstLineChars="200"/>
        <w:rPr>
          <w:rFonts w:ascii="宋体" w:hAnsi="宋体" w:cs="宋体"/>
          <w:color w:val="auto"/>
        </w:rPr>
      </w:pPr>
      <w:r>
        <w:rPr>
          <w:rFonts w:hint="eastAsia" w:ascii="宋体" w:hAnsi="宋体" w:cs="宋体"/>
          <w:color w:val="auto"/>
        </w:rPr>
        <w:t>（3）具体、明确的投诉事项和与投诉事项相关的投诉请求；</w:t>
      </w:r>
    </w:p>
    <w:p>
      <w:pPr>
        <w:spacing w:line="360" w:lineRule="auto"/>
        <w:ind w:firstLine="420" w:firstLineChars="200"/>
        <w:rPr>
          <w:rFonts w:ascii="宋体" w:hAnsi="宋体" w:cs="宋体"/>
          <w:color w:val="auto"/>
        </w:rPr>
      </w:pPr>
      <w:r>
        <w:rPr>
          <w:rFonts w:hint="eastAsia" w:ascii="宋体" w:hAnsi="宋体" w:cs="宋体"/>
          <w:color w:val="auto"/>
        </w:rPr>
        <w:t>（4）事实依据；</w:t>
      </w:r>
    </w:p>
    <w:p>
      <w:pPr>
        <w:spacing w:line="360" w:lineRule="auto"/>
        <w:ind w:firstLine="420" w:firstLineChars="200"/>
        <w:rPr>
          <w:rFonts w:ascii="宋体" w:hAnsi="宋体" w:cs="宋体"/>
          <w:color w:val="auto"/>
        </w:rPr>
      </w:pPr>
      <w:r>
        <w:rPr>
          <w:rFonts w:hint="eastAsia" w:ascii="宋体" w:hAnsi="宋体" w:cs="宋体"/>
          <w:color w:val="auto"/>
        </w:rPr>
        <w:t>（5）法律依据；</w:t>
      </w:r>
    </w:p>
    <w:p>
      <w:pPr>
        <w:spacing w:line="360" w:lineRule="auto"/>
        <w:ind w:firstLine="420" w:firstLineChars="200"/>
        <w:rPr>
          <w:rFonts w:ascii="宋体" w:hAnsi="宋体" w:cs="宋体"/>
          <w:color w:val="auto"/>
        </w:rPr>
      </w:pPr>
      <w:r>
        <w:rPr>
          <w:rFonts w:hint="eastAsia" w:ascii="宋体" w:hAnsi="宋体" w:cs="宋体"/>
          <w:color w:val="auto"/>
        </w:rPr>
        <w:t>（6）提起投诉的日期。</w:t>
      </w:r>
    </w:p>
    <w:p>
      <w:pPr>
        <w:spacing w:line="360" w:lineRule="auto"/>
        <w:ind w:firstLine="420" w:firstLineChars="200"/>
        <w:rPr>
          <w:rFonts w:ascii="宋体" w:hAnsi="宋体" w:cs="宋体"/>
          <w:bCs/>
          <w:color w:val="auto"/>
        </w:rPr>
      </w:pPr>
      <w:r>
        <w:rPr>
          <w:rFonts w:hint="eastAsia" w:ascii="宋体" w:hAnsi="宋体" w:cs="宋体"/>
          <w:bCs/>
          <w:color w:val="auto"/>
        </w:rPr>
        <w:t>投诉人为自然人的，应当由本人签字；投诉人为法人或者其他组织的，应当由法定代表人、主要负责人，或者其授权代表签字或者盖章，并加盖公章。</w:t>
      </w:r>
    </w:p>
    <w:p>
      <w:pPr>
        <w:spacing w:line="360" w:lineRule="auto"/>
        <w:ind w:firstLine="422" w:firstLineChars="200"/>
        <w:rPr>
          <w:rFonts w:ascii="宋体" w:hAnsi="宋体" w:cs="宋体"/>
          <w:bCs/>
          <w:color w:val="auto"/>
        </w:rPr>
      </w:pPr>
      <w:r>
        <w:rPr>
          <w:rFonts w:hint="eastAsia" w:ascii="宋体" w:hAnsi="宋体" w:cs="宋体"/>
          <w:b/>
          <w:color w:val="auto"/>
        </w:rPr>
        <w:t xml:space="preserve">38.3.3  </w:t>
      </w:r>
      <w:r>
        <w:rPr>
          <w:rFonts w:hint="eastAsia" w:ascii="宋体" w:hAnsi="宋体" w:cs="宋体"/>
          <w:color w:val="auto"/>
        </w:rPr>
        <w:t>投诉人可以委托代理人办理投诉事务。</w:t>
      </w:r>
      <w:r>
        <w:rPr>
          <w:rFonts w:hint="eastAsia" w:ascii="宋体" w:hAnsi="宋体" w:cs="宋体"/>
          <w:bCs/>
          <w:color w:val="auto"/>
        </w:rPr>
        <w:t>委托代理人应熟悉相关业务情况。</w:t>
      </w:r>
      <w:r>
        <w:rPr>
          <w:rFonts w:hint="eastAsia" w:ascii="宋体" w:hAnsi="宋体" w:cs="宋体"/>
          <w:color w:val="auto"/>
        </w:rPr>
        <w:t>代理人办理投诉事务时，除提交投诉书外，还应当提交投诉人的授权委托书和委托代理人身份证明复印件。</w:t>
      </w:r>
    </w:p>
    <w:p>
      <w:pPr>
        <w:spacing w:line="360" w:lineRule="auto"/>
        <w:ind w:firstLine="422" w:firstLineChars="200"/>
        <w:rPr>
          <w:rFonts w:ascii="宋体" w:hAnsi="宋体" w:cs="宋体"/>
          <w:color w:val="auto"/>
        </w:rPr>
      </w:pPr>
      <w:r>
        <w:rPr>
          <w:rFonts w:hint="eastAsia" w:ascii="宋体" w:hAnsi="宋体" w:cs="宋体"/>
          <w:b/>
          <w:color w:val="auto"/>
        </w:rPr>
        <w:t>38.3.4</w:t>
      </w:r>
      <w:r>
        <w:rPr>
          <w:rFonts w:hint="eastAsia" w:ascii="宋体" w:hAnsi="宋体" w:cs="宋体"/>
          <w:color w:val="auto"/>
        </w:rPr>
        <w:t xml:space="preserve">  投诉人提起投诉应当符合下列条件：</w:t>
      </w:r>
    </w:p>
    <w:p>
      <w:pPr>
        <w:spacing w:line="360" w:lineRule="auto"/>
        <w:ind w:firstLine="420" w:firstLineChars="200"/>
        <w:rPr>
          <w:rFonts w:ascii="宋体" w:hAnsi="宋体" w:cs="宋体"/>
          <w:color w:val="auto"/>
        </w:rPr>
      </w:pPr>
      <w:r>
        <w:rPr>
          <w:rFonts w:hint="eastAsia" w:ascii="宋体" w:hAnsi="宋体" w:cs="宋体"/>
          <w:color w:val="auto"/>
        </w:rPr>
        <w:t>（1）投诉人是参与所投诉政府采购活动的供应商；</w:t>
      </w:r>
    </w:p>
    <w:p>
      <w:pPr>
        <w:spacing w:line="360" w:lineRule="auto"/>
        <w:ind w:firstLine="420" w:firstLineChars="200"/>
        <w:rPr>
          <w:rFonts w:ascii="宋体" w:hAnsi="宋体" w:cs="宋体"/>
          <w:color w:val="auto"/>
        </w:rPr>
      </w:pPr>
      <w:r>
        <w:rPr>
          <w:rFonts w:hint="eastAsia" w:ascii="宋体" w:hAnsi="宋体" w:cs="宋体"/>
          <w:color w:val="auto"/>
        </w:rPr>
        <w:t>（2）提起投诉前已依法进行质疑；</w:t>
      </w:r>
    </w:p>
    <w:p>
      <w:pPr>
        <w:spacing w:line="360" w:lineRule="auto"/>
        <w:ind w:firstLine="420" w:firstLineChars="200"/>
        <w:rPr>
          <w:rFonts w:ascii="宋体" w:hAnsi="宋体" w:cs="宋体"/>
          <w:color w:val="auto"/>
        </w:rPr>
      </w:pPr>
      <w:r>
        <w:rPr>
          <w:rFonts w:hint="eastAsia" w:ascii="宋体" w:hAnsi="宋体" w:cs="宋体"/>
          <w:color w:val="auto"/>
        </w:rPr>
        <w:t>（3）投诉书内容符合本章第38.3.2项的规定；</w:t>
      </w:r>
    </w:p>
    <w:p>
      <w:pPr>
        <w:spacing w:line="360" w:lineRule="auto"/>
        <w:ind w:firstLine="420" w:firstLineChars="200"/>
        <w:rPr>
          <w:rFonts w:ascii="宋体" w:hAnsi="宋体" w:cs="宋体"/>
          <w:color w:val="auto"/>
        </w:rPr>
      </w:pPr>
      <w:r>
        <w:rPr>
          <w:rFonts w:hint="eastAsia" w:ascii="宋体" w:hAnsi="宋体" w:cs="宋体"/>
          <w:color w:val="auto"/>
        </w:rPr>
        <w:t>（4）在投诉有效期限内提起投诉；</w:t>
      </w:r>
    </w:p>
    <w:p>
      <w:pPr>
        <w:spacing w:line="360" w:lineRule="auto"/>
        <w:ind w:firstLine="420" w:firstLineChars="200"/>
        <w:rPr>
          <w:rFonts w:ascii="宋体" w:hAnsi="宋体" w:cs="宋体"/>
          <w:color w:val="auto"/>
        </w:rPr>
      </w:pPr>
      <w:r>
        <w:rPr>
          <w:rFonts w:hint="eastAsia" w:ascii="宋体" w:hAnsi="宋体" w:cs="宋体"/>
          <w:color w:val="auto"/>
        </w:rPr>
        <w:t>（5）同一投诉事项未经</w:t>
      </w:r>
      <w:r>
        <w:rPr>
          <w:rFonts w:hint="eastAsia" w:ascii="宋体" w:hAnsi="宋体" w:cs="宋体"/>
          <w:bCs/>
          <w:color w:val="auto"/>
        </w:rPr>
        <w:t>财政部门</w:t>
      </w:r>
      <w:r>
        <w:rPr>
          <w:rFonts w:hint="eastAsia" w:ascii="宋体" w:hAnsi="宋体" w:cs="宋体"/>
          <w:color w:val="auto"/>
        </w:rPr>
        <w:t>投诉处理；</w:t>
      </w:r>
    </w:p>
    <w:p>
      <w:pPr>
        <w:spacing w:line="360" w:lineRule="auto"/>
        <w:ind w:firstLine="420" w:firstLineChars="200"/>
        <w:rPr>
          <w:rFonts w:ascii="宋体" w:hAnsi="宋体" w:cs="宋体"/>
          <w:color w:val="auto"/>
        </w:rPr>
      </w:pPr>
      <w:r>
        <w:rPr>
          <w:rFonts w:hint="eastAsia" w:ascii="宋体" w:hAnsi="宋体" w:cs="宋体"/>
          <w:color w:val="auto"/>
        </w:rPr>
        <w:t>（6）国务院财政部门规定的其他条件。</w:t>
      </w:r>
    </w:p>
    <w:p>
      <w:pPr>
        <w:snapToGrid w:val="0"/>
        <w:spacing w:line="360" w:lineRule="auto"/>
        <w:ind w:left="120" w:leftChars="57" w:firstLine="482" w:firstLineChars="150"/>
        <w:jc w:val="center"/>
        <w:outlineLvl w:val="2"/>
        <w:rPr>
          <w:b/>
          <w:bCs/>
          <w:color w:val="auto"/>
          <w:sz w:val="32"/>
          <w:szCs w:val="32"/>
        </w:rPr>
      </w:pPr>
      <w:bookmarkStart w:id="246" w:name="_Toc7828"/>
      <w:bookmarkStart w:id="247" w:name="_Toc27653"/>
      <w:bookmarkStart w:id="248" w:name="_Toc26583"/>
      <w:bookmarkStart w:id="249" w:name="_Toc29288"/>
      <w:bookmarkStart w:id="250" w:name="_Toc8731"/>
      <w:bookmarkStart w:id="251" w:name="_Toc14937"/>
      <w:bookmarkStart w:id="252" w:name="_Toc1756"/>
      <w:bookmarkStart w:id="253" w:name="_Toc23239"/>
      <w:bookmarkStart w:id="254" w:name="_Toc13659"/>
      <w:bookmarkStart w:id="255" w:name="_Toc25946"/>
      <w:r>
        <w:rPr>
          <w:rFonts w:hint="eastAsia"/>
          <w:b/>
          <w:bCs/>
          <w:color w:val="auto"/>
          <w:sz w:val="32"/>
          <w:szCs w:val="32"/>
        </w:rPr>
        <w:t>八、验收</w:t>
      </w:r>
      <w:bookmarkEnd w:id="246"/>
      <w:bookmarkEnd w:id="247"/>
      <w:bookmarkEnd w:id="248"/>
      <w:bookmarkEnd w:id="249"/>
      <w:bookmarkEnd w:id="250"/>
      <w:bookmarkEnd w:id="251"/>
      <w:bookmarkEnd w:id="252"/>
      <w:bookmarkEnd w:id="253"/>
      <w:bookmarkEnd w:id="254"/>
      <w:bookmarkEnd w:id="255"/>
    </w:p>
    <w:p>
      <w:pPr>
        <w:spacing w:line="360" w:lineRule="auto"/>
        <w:ind w:firstLine="422" w:firstLineChars="200"/>
        <w:rPr>
          <w:rFonts w:hAnsi="宋体"/>
          <w:b/>
          <w:color w:val="auto"/>
        </w:rPr>
      </w:pPr>
      <w:r>
        <w:rPr>
          <w:rFonts w:hAnsi="宋体"/>
          <w:b/>
          <w:color w:val="auto"/>
        </w:rPr>
        <w:t>39.</w:t>
      </w:r>
      <w:r>
        <w:rPr>
          <w:rFonts w:hint="eastAsia" w:hAnsi="宋体"/>
          <w:b/>
          <w:color w:val="auto"/>
        </w:rPr>
        <w:t>验收</w:t>
      </w:r>
    </w:p>
    <w:p>
      <w:pPr>
        <w:tabs>
          <w:tab w:val="left" w:pos="0"/>
        </w:tabs>
        <w:spacing w:line="360" w:lineRule="auto"/>
        <w:ind w:firstLine="480"/>
        <w:rPr>
          <w:rFonts w:ascii="宋体" w:hAnsi="宋体" w:cs="宋体"/>
          <w:color w:val="auto"/>
        </w:rPr>
      </w:pPr>
      <w:r>
        <w:rPr>
          <w:rFonts w:hint="eastAsia" w:ascii="宋体" w:hAnsi="宋体" w:cs="宋体"/>
          <w:color w:val="auto"/>
        </w:rPr>
        <w:t>39.1采购人组织对中标人履约的验收。大型或者复杂的政府采购项目，应当邀请国家认可的质量检测机构参加验收工作。验收方成员应当在验收书上签字，并承担相应的法律责任。如果发现与合同中要求不符，中标人须承担由此发生的一切损失和费用，并接受相应的处理。</w:t>
      </w:r>
    </w:p>
    <w:p>
      <w:pPr>
        <w:tabs>
          <w:tab w:val="left" w:pos="0"/>
        </w:tabs>
        <w:spacing w:line="360" w:lineRule="auto"/>
        <w:ind w:firstLine="480"/>
        <w:rPr>
          <w:rFonts w:ascii="宋体" w:hAnsi="宋体" w:cs="宋体"/>
          <w:color w:val="auto"/>
        </w:rPr>
      </w:pPr>
      <w:r>
        <w:rPr>
          <w:rFonts w:hint="eastAsia" w:ascii="宋体" w:hAnsi="宋体" w:cs="宋体"/>
          <w:color w:val="auto"/>
        </w:rPr>
        <w:t>39.2采购人可以邀请参加本项目的其他投标人或者第三方机构参与验收。参与验收的投标人或者第三方机构的意见作为验收书的参考资料一并存档。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color w:val="auto"/>
        </w:rPr>
      </w:pPr>
      <w:r>
        <w:rPr>
          <w:rFonts w:hint="eastAsia" w:ascii="宋体" w:hAnsi="宋体" w:cs="宋体"/>
          <w:color w:val="auto"/>
        </w:rPr>
        <w:t>39.3严格按照采购合同开展履约验收。采购人成立验收小组，按照采购合同的约定对中标人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color w:val="auto"/>
        </w:rPr>
      </w:pPr>
      <w:r>
        <w:rPr>
          <w:rFonts w:hint="eastAsia" w:ascii="宋体" w:hAnsi="宋体" w:cs="宋体"/>
          <w:color w:val="auto"/>
        </w:rPr>
        <w:t>39.4验收合格的项目，采购人将根据采购合同的约定及时向中标人支付采购资金。验收不合格的项目，采购人将依法及时处理。采购合同的履行、违约责任和解决争议的方式等适用《中华人民共和国民法典》。中标人在履约过程中有政府采购法律法规规定的违法违规情形的，采购人应当及时报告本级财政部门。</w:t>
      </w:r>
    </w:p>
    <w:p>
      <w:pPr>
        <w:pStyle w:val="14"/>
        <w:snapToGrid w:val="0"/>
        <w:spacing w:line="400" w:lineRule="exact"/>
        <w:rPr>
          <w:rFonts w:hAnsi="宋体"/>
          <w:color w:val="auto"/>
        </w:rPr>
      </w:pPr>
    </w:p>
    <w:p>
      <w:pPr>
        <w:pStyle w:val="5"/>
        <w:keepNext w:val="0"/>
        <w:keepLines w:val="0"/>
        <w:spacing w:line="360" w:lineRule="auto"/>
        <w:jc w:val="center"/>
        <w:rPr>
          <w:color w:val="auto"/>
        </w:rPr>
      </w:pPr>
      <w:bookmarkStart w:id="256" w:name="_八、其他事项"/>
      <w:bookmarkEnd w:id="256"/>
      <w:bookmarkStart w:id="257" w:name="_Toc31560"/>
      <w:bookmarkStart w:id="258" w:name="_Toc5795"/>
      <w:bookmarkStart w:id="259" w:name="_Toc28972"/>
      <w:bookmarkStart w:id="260" w:name="_Toc27249"/>
      <w:bookmarkStart w:id="261" w:name="_Toc13217"/>
      <w:bookmarkStart w:id="262" w:name="_Toc32163"/>
      <w:bookmarkStart w:id="263" w:name="_Toc14814"/>
      <w:bookmarkStart w:id="264" w:name="_Toc24348"/>
      <w:bookmarkStart w:id="265" w:name="_Toc16509"/>
      <w:bookmarkStart w:id="266" w:name="_Toc13612"/>
      <w:r>
        <w:rPr>
          <w:rFonts w:hint="eastAsia"/>
          <w:color w:val="auto"/>
        </w:rPr>
        <w:t>九、其他事项</w:t>
      </w:r>
      <w:bookmarkEnd w:id="257"/>
      <w:bookmarkEnd w:id="258"/>
      <w:bookmarkEnd w:id="259"/>
      <w:bookmarkEnd w:id="260"/>
      <w:bookmarkEnd w:id="261"/>
      <w:bookmarkEnd w:id="262"/>
      <w:bookmarkEnd w:id="263"/>
      <w:bookmarkEnd w:id="264"/>
      <w:bookmarkEnd w:id="265"/>
      <w:bookmarkEnd w:id="266"/>
    </w:p>
    <w:p>
      <w:pPr>
        <w:spacing w:line="360" w:lineRule="auto"/>
        <w:ind w:firstLine="480" w:firstLineChars="200"/>
        <w:rPr>
          <w:rFonts w:ascii="黑体" w:hAnsi="黑体" w:eastAsia="黑体"/>
          <w:color w:val="auto"/>
          <w:sz w:val="24"/>
        </w:rPr>
      </w:pPr>
      <w:bookmarkStart w:id="267" w:name="_42.代理服务费"/>
      <w:bookmarkEnd w:id="267"/>
      <w:r>
        <w:rPr>
          <w:rFonts w:hint="eastAsia" w:ascii="黑体" w:hAnsi="黑体" w:eastAsia="黑体"/>
          <w:color w:val="auto"/>
          <w:sz w:val="24"/>
        </w:rPr>
        <w:t>40.采购代理服务费</w:t>
      </w:r>
    </w:p>
    <w:p>
      <w:pPr>
        <w:spacing w:line="360" w:lineRule="auto"/>
        <w:ind w:firstLine="420" w:firstLineChars="200"/>
        <w:rPr>
          <w:rFonts w:ascii="宋体" w:hAnsi="宋体"/>
          <w:b/>
          <w:color w:val="auto"/>
          <w:szCs w:val="21"/>
        </w:rPr>
      </w:pPr>
      <w:r>
        <w:rPr>
          <w:rFonts w:hint="eastAsia" w:ascii="宋体" w:hAnsi="宋体"/>
          <w:bCs/>
          <w:color w:val="auto"/>
          <w:szCs w:val="21"/>
        </w:rPr>
        <w:t>40.1采购代理服务费收费标准及缴费账户详见“投标人须知前附表”，投标人为联合体的，可以由联合体中的一方或者多方共同缴纳采购代理服务费。</w:t>
      </w:r>
    </w:p>
    <w:p>
      <w:pPr>
        <w:pStyle w:val="7"/>
        <w:keepNext w:val="0"/>
        <w:keepLines w:val="0"/>
        <w:spacing w:before="0" w:after="0" w:line="360" w:lineRule="auto"/>
        <w:ind w:left="420" w:leftChars="200"/>
        <w:rPr>
          <w:rFonts w:ascii="宋体" w:hAnsi="宋体" w:cs="宋体"/>
          <w:b w:val="0"/>
          <w:color w:val="auto"/>
          <w:sz w:val="21"/>
          <w:szCs w:val="21"/>
        </w:rPr>
      </w:pPr>
      <w:r>
        <w:rPr>
          <w:rFonts w:hint="eastAsia" w:ascii="宋体" w:hAnsi="宋体" w:cs="宋体"/>
          <w:b w:val="0"/>
          <w:color w:val="auto"/>
          <w:sz w:val="21"/>
          <w:szCs w:val="21"/>
        </w:rPr>
        <w:t>40.2采购代理服务费收费标准：</w:t>
      </w:r>
    </w:p>
    <w:tbl>
      <w:tblPr>
        <w:tblStyle w:val="24"/>
        <w:tblW w:w="8477"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72"/>
        <w:gridCol w:w="1659"/>
        <w:gridCol w:w="1687"/>
        <w:gridCol w:w="1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72" w:type="dxa"/>
            <w:tcBorders>
              <w:tl2br w:val="single" w:color="auto" w:sz="4" w:space="0"/>
            </w:tcBorders>
          </w:tcPr>
          <w:p>
            <w:pPr>
              <w:spacing w:line="360" w:lineRule="auto"/>
              <w:rPr>
                <w:rFonts w:ascii="宋体" w:hAnsi="宋体" w:cs="宋体"/>
                <w:color w:val="auto"/>
                <w:szCs w:val="21"/>
              </w:rPr>
            </w:pPr>
            <w:r>
              <w:rPr>
                <w:rFonts w:hint="eastAsia" w:ascii="宋体" w:hAnsi="宋体" w:cs="宋体"/>
                <w:color w:val="auto"/>
                <w:szCs w:val="21"/>
              </w:rPr>
              <w:t xml:space="preserve">               费率</w:t>
            </w:r>
          </w:p>
          <w:p>
            <w:pPr>
              <w:spacing w:line="360" w:lineRule="auto"/>
              <w:rPr>
                <w:rFonts w:ascii="宋体" w:hAnsi="宋体" w:cs="宋体"/>
                <w:color w:val="auto"/>
                <w:szCs w:val="21"/>
              </w:rPr>
            </w:pPr>
            <w:r>
              <w:rPr>
                <w:rFonts w:hint="eastAsia" w:ascii="宋体" w:hAnsi="宋体" w:cs="宋体"/>
                <w:color w:val="auto"/>
                <w:szCs w:val="21"/>
              </w:rPr>
              <w:t>中标金额</w:t>
            </w:r>
          </w:p>
        </w:tc>
        <w:tc>
          <w:tcPr>
            <w:tcW w:w="1659" w:type="dxa"/>
            <w:vAlign w:val="center"/>
          </w:tcPr>
          <w:p>
            <w:pPr>
              <w:spacing w:line="360" w:lineRule="auto"/>
              <w:ind w:firstLine="105" w:firstLineChars="50"/>
              <w:jc w:val="center"/>
              <w:rPr>
                <w:rFonts w:ascii="宋体" w:hAnsi="宋体" w:cs="宋体"/>
                <w:color w:val="auto"/>
                <w:szCs w:val="21"/>
              </w:rPr>
            </w:pPr>
            <w:r>
              <w:rPr>
                <w:rFonts w:hint="eastAsia" w:ascii="宋体" w:hAnsi="宋体" w:cs="宋体"/>
                <w:color w:val="auto"/>
                <w:szCs w:val="21"/>
              </w:rPr>
              <w:t>货物招标</w:t>
            </w:r>
          </w:p>
        </w:tc>
        <w:tc>
          <w:tcPr>
            <w:tcW w:w="1687" w:type="dxa"/>
            <w:vAlign w:val="center"/>
          </w:tcPr>
          <w:p>
            <w:pPr>
              <w:spacing w:line="360" w:lineRule="auto"/>
              <w:jc w:val="center"/>
              <w:rPr>
                <w:rFonts w:ascii="宋体" w:hAnsi="宋体" w:cs="宋体"/>
                <w:color w:val="auto"/>
                <w:szCs w:val="21"/>
              </w:rPr>
            </w:pPr>
            <w:r>
              <w:rPr>
                <w:rFonts w:hint="eastAsia" w:ascii="宋体" w:hAnsi="宋体" w:cs="宋体"/>
                <w:color w:val="auto"/>
                <w:szCs w:val="21"/>
              </w:rPr>
              <w:t>服务招标</w:t>
            </w:r>
          </w:p>
        </w:tc>
        <w:tc>
          <w:tcPr>
            <w:tcW w:w="1659" w:type="dxa"/>
            <w:vAlign w:val="center"/>
          </w:tcPr>
          <w:p>
            <w:pPr>
              <w:spacing w:line="360" w:lineRule="auto"/>
              <w:jc w:val="center"/>
              <w:rPr>
                <w:rFonts w:ascii="宋体" w:hAnsi="宋体" w:cs="宋体"/>
                <w:color w:val="auto"/>
                <w:szCs w:val="21"/>
              </w:rPr>
            </w:pPr>
            <w:r>
              <w:rPr>
                <w:rFonts w:hint="eastAsia" w:ascii="宋体" w:hAnsi="宋体" w:cs="宋体"/>
                <w:color w:val="auto"/>
                <w:szCs w:val="21"/>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72" w:type="dxa"/>
          </w:tcPr>
          <w:p>
            <w:pPr>
              <w:spacing w:line="360" w:lineRule="auto"/>
              <w:rPr>
                <w:rFonts w:ascii="宋体" w:hAnsi="宋体" w:cs="宋体"/>
                <w:color w:val="auto"/>
                <w:szCs w:val="21"/>
              </w:rPr>
            </w:pPr>
            <w:r>
              <w:rPr>
                <w:rFonts w:hint="eastAsia" w:ascii="宋体" w:hAnsi="宋体" w:cs="宋体"/>
                <w:color w:val="auto"/>
                <w:szCs w:val="21"/>
              </w:rPr>
              <w:t>100万元以下</w:t>
            </w:r>
          </w:p>
        </w:tc>
        <w:tc>
          <w:tcPr>
            <w:tcW w:w="1659" w:type="dxa"/>
          </w:tcPr>
          <w:p>
            <w:pPr>
              <w:spacing w:line="360" w:lineRule="auto"/>
              <w:rPr>
                <w:rFonts w:ascii="宋体" w:hAnsi="宋体" w:cs="宋体"/>
                <w:color w:val="auto"/>
                <w:szCs w:val="21"/>
              </w:rPr>
            </w:pPr>
            <w:r>
              <w:rPr>
                <w:rFonts w:hint="eastAsia" w:ascii="宋体" w:hAnsi="宋体" w:cs="宋体"/>
                <w:color w:val="auto"/>
                <w:kern w:val="0"/>
                <w:szCs w:val="21"/>
              </w:rPr>
              <w:t xml:space="preserve">  1.5%                </w:t>
            </w:r>
          </w:p>
        </w:tc>
        <w:tc>
          <w:tcPr>
            <w:tcW w:w="1687" w:type="dxa"/>
          </w:tcPr>
          <w:p>
            <w:pPr>
              <w:spacing w:line="360" w:lineRule="auto"/>
              <w:ind w:firstLine="210" w:firstLineChars="100"/>
              <w:rPr>
                <w:rFonts w:ascii="宋体" w:hAnsi="宋体" w:cs="宋体"/>
                <w:color w:val="auto"/>
                <w:szCs w:val="21"/>
              </w:rPr>
            </w:pPr>
            <w:r>
              <w:rPr>
                <w:rFonts w:hint="eastAsia" w:ascii="宋体" w:hAnsi="宋体" w:cs="宋体"/>
                <w:color w:val="auto"/>
                <w:kern w:val="0"/>
                <w:szCs w:val="21"/>
              </w:rPr>
              <w:t>1.5%</w:t>
            </w:r>
          </w:p>
        </w:tc>
        <w:tc>
          <w:tcPr>
            <w:tcW w:w="1659" w:type="dxa"/>
          </w:tcPr>
          <w:p>
            <w:pPr>
              <w:spacing w:line="360" w:lineRule="auto"/>
              <w:ind w:firstLine="210" w:firstLineChars="100"/>
              <w:rPr>
                <w:rFonts w:ascii="宋体" w:hAnsi="宋体" w:cs="宋体"/>
                <w:color w:val="auto"/>
                <w:szCs w:val="21"/>
              </w:rPr>
            </w:pPr>
            <w:r>
              <w:rPr>
                <w:rFonts w:hint="eastAsia" w:ascii="宋体" w:hAnsi="宋体" w:cs="宋体"/>
                <w:color w:val="auto"/>
                <w:kern w:val="0"/>
                <w:szCs w:val="21"/>
              </w:rP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72" w:type="dxa"/>
          </w:tcPr>
          <w:p>
            <w:pPr>
              <w:spacing w:line="360" w:lineRule="auto"/>
              <w:rPr>
                <w:rFonts w:ascii="宋体" w:hAnsi="宋体" w:cs="宋体"/>
                <w:color w:val="auto"/>
                <w:szCs w:val="21"/>
              </w:rPr>
            </w:pPr>
            <w:r>
              <w:rPr>
                <w:rFonts w:hint="eastAsia" w:ascii="宋体" w:hAnsi="宋体" w:cs="宋体"/>
                <w:color w:val="auto"/>
                <w:szCs w:val="21"/>
              </w:rPr>
              <w:t>100～500万元</w:t>
            </w:r>
          </w:p>
        </w:tc>
        <w:tc>
          <w:tcPr>
            <w:tcW w:w="1659" w:type="dxa"/>
          </w:tcPr>
          <w:p>
            <w:pPr>
              <w:spacing w:line="360" w:lineRule="auto"/>
              <w:ind w:firstLine="210" w:firstLineChars="100"/>
              <w:rPr>
                <w:rFonts w:ascii="宋体" w:hAnsi="宋体" w:cs="宋体"/>
                <w:color w:val="auto"/>
                <w:szCs w:val="21"/>
              </w:rPr>
            </w:pPr>
            <w:r>
              <w:rPr>
                <w:rFonts w:hint="eastAsia" w:ascii="宋体" w:hAnsi="宋体" w:cs="宋体"/>
                <w:color w:val="auto"/>
                <w:kern w:val="0"/>
                <w:szCs w:val="21"/>
              </w:rPr>
              <w:t xml:space="preserve">1.1%                 </w:t>
            </w:r>
          </w:p>
        </w:tc>
        <w:tc>
          <w:tcPr>
            <w:tcW w:w="1687" w:type="dxa"/>
          </w:tcPr>
          <w:p>
            <w:pPr>
              <w:spacing w:line="360" w:lineRule="auto"/>
              <w:ind w:firstLine="210" w:firstLineChars="100"/>
              <w:rPr>
                <w:rFonts w:ascii="宋体" w:hAnsi="宋体" w:cs="宋体"/>
                <w:color w:val="auto"/>
                <w:szCs w:val="21"/>
              </w:rPr>
            </w:pPr>
            <w:r>
              <w:rPr>
                <w:rFonts w:hint="eastAsia" w:ascii="宋体" w:hAnsi="宋体" w:cs="宋体"/>
                <w:color w:val="auto"/>
                <w:kern w:val="0"/>
                <w:szCs w:val="21"/>
              </w:rPr>
              <w:t>0.8%</w:t>
            </w:r>
          </w:p>
        </w:tc>
        <w:tc>
          <w:tcPr>
            <w:tcW w:w="1659" w:type="dxa"/>
          </w:tcPr>
          <w:p>
            <w:pPr>
              <w:spacing w:line="360" w:lineRule="auto"/>
              <w:ind w:firstLine="210" w:firstLineChars="100"/>
              <w:rPr>
                <w:rFonts w:ascii="宋体" w:hAnsi="宋体" w:cs="宋体"/>
                <w:color w:val="auto"/>
                <w:szCs w:val="21"/>
              </w:rPr>
            </w:pPr>
            <w:r>
              <w:rPr>
                <w:rFonts w:hint="eastAsia" w:ascii="宋体" w:hAnsi="宋体" w:cs="宋体"/>
                <w:color w:val="auto"/>
                <w:kern w:val="0"/>
                <w:szCs w:val="21"/>
              </w:rPr>
              <w:t xml:space="preserve">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72" w:type="dxa"/>
          </w:tcPr>
          <w:p>
            <w:pPr>
              <w:spacing w:line="360" w:lineRule="auto"/>
              <w:rPr>
                <w:rFonts w:ascii="宋体" w:hAnsi="宋体" w:cs="宋体"/>
                <w:color w:val="auto"/>
                <w:szCs w:val="21"/>
              </w:rPr>
            </w:pPr>
            <w:r>
              <w:rPr>
                <w:rFonts w:hint="eastAsia" w:ascii="宋体" w:hAnsi="宋体" w:cs="宋体"/>
                <w:color w:val="auto"/>
                <w:szCs w:val="21"/>
              </w:rPr>
              <w:t>500～1000万元</w:t>
            </w:r>
          </w:p>
        </w:tc>
        <w:tc>
          <w:tcPr>
            <w:tcW w:w="1659" w:type="dxa"/>
          </w:tcPr>
          <w:p>
            <w:pPr>
              <w:spacing w:line="360" w:lineRule="auto"/>
              <w:rPr>
                <w:rFonts w:ascii="宋体" w:hAnsi="宋体" w:cs="宋体"/>
                <w:color w:val="auto"/>
                <w:szCs w:val="21"/>
              </w:rPr>
            </w:pPr>
            <w:r>
              <w:rPr>
                <w:rFonts w:hint="eastAsia" w:ascii="宋体" w:hAnsi="宋体" w:cs="宋体"/>
                <w:color w:val="auto"/>
                <w:kern w:val="0"/>
                <w:szCs w:val="21"/>
              </w:rPr>
              <w:t xml:space="preserve">  0.8%                </w:t>
            </w:r>
          </w:p>
        </w:tc>
        <w:tc>
          <w:tcPr>
            <w:tcW w:w="1687" w:type="dxa"/>
          </w:tcPr>
          <w:p>
            <w:pPr>
              <w:spacing w:line="360" w:lineRule="auto"/>
              <w:ind w:firstLine="210" w:firstLineChars="100"/>
              <w:rPr>
                <w:rFonts w:ascii="宋体" w:hAnsi="宋体" w:cs="宋体"/>
                <w:color w:val="auto"/>
                <w:szCs w:val="21"/>
              </w:rPr>
            </w:pPr>
            <w:r>
              <w:rPr>
                <w:rFonts w:hint="eastAsia" w:ascii="宋体" w:hAnsi="宋体" w:cs="宋体"/>
                <w:color w:val="auto"/>
                <w:kern w:val="0"/>
                <w:szCs w:val="21"/>
              </w:rPr>
              <w:t>0.45%</w:t>
            </w:r>
          </w:p>
        </w:tc>
        <w:tc>
          <w:tcPr>
            <w:tcW w:w="1659" w:type="dxa"/>
          </w:tcPr>
          <w:p>
            <w:pPr>
              <w:spacing w:line="360" w:lineRule="auto"/>
              <w:ind w:firstLine="210" w:firstLineChars="100"/>
              <w:rPr>
                <w:rFonts w:ascii="宋体" w:hAnsi="宋体" w:cs="宋体"/>
                <w:color w:val="auto"/>
                <w:szCs w:val="21"/>
              </w:rPr>
            </w:pPr>
            <w:r>
              <w:rPr>
                <w:rFonts w:hint="eastAsia" w:ascii="宋体" w:hAnsi="宋体" w:cs="宋体"/>
                <w:color w:val="auto"/>
                <w:kern w:val="0"/>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72" w:type="dxa"/>
          </w:tcPr>
          <w:p>
            <w:pPr>
              <w:spacing w:line="360" w:lineRule="auto"/>
              <w:rPr>
                <w:rFonts w:ascii="宋体" w:hAnsi="宋体" w:cs="宋体"/>
                <w:color w:val="auto"/>
                <w:szCs w:val="21"/>
              </w:rPr>
            </w:pPr>
            <w:r>
              <w:rPr>
                <w:rFonts w:hint="eastAsia" w:ascii="宋体" w:hAnsi="宋体" w:cs="宋体"/>
                <w:color w:val="auto"/>
                <w:szCs w:val="21"/>
              </w:rPr>
              <w:t>1000～5000万元</w:t>
            </w:r>
          </w:p>
        </w:tc>
        <w:tc>
          <w:tcPr>
            <w:tcW w:w="1659" w:type="dxa"/>
          </w:tcPr>
          <w:p>
            <w:pPr>
              <w:spacing w:line="360" w:lineRule="auto"/>
              <w:ind w:firstLine="210" w:firstLineChars="100"/>
              <w:rPr>
                <w:rFonts w:ascii="宋体" w:hAnsi="宋体" w:cs="宋体"/>
                <w:color w:val="auto"/>
                <w:szCs w:val="21"/>
              </w:rPr>
            </w:pPr>
            <w:r>
              <w:rPr>
                <w:rFonts w:hint="eastAsia" w:ascii="宋体" w:hAnsi="宋体" w:cs="宋体"/>
                <w:color w:val="auto"/>
                <w:kern w:val="0"/>
                <w:szCs w:val="21"/>
              </w:rPr>
              <w:t xml:space="preserve">0.5%                </w:t>
            </w:r>
          </w:p>
        </w:tc>
        <w:tc>
          <w:tcPr>
            <w:tcW w:w="1687" w:type="dxa"/>
          </w:tcPr>
          <w:p>
            <w:pPr>
              <w:spacing w:line="360" w:lineRule="auto"/>
              <w:ind w:firstLine="210" w:firstLineChars="100"/>
              <w:rPr>
                <w:rFonts w:ascii="宋体" w:hAnsi="宋体" w:cs="宋体"/>
                <w:color w:val="auto"/>
                <w:szCs w:val="21"/>
              </w:rPr>
            </w:pPr>
            <w:r>
              <w:rPr>
                <w:rFonts w:hint="eastAsia" w:ascii="宋体" w:hAnsi="宋体" w:cs="宋体"/>
                <w:color w:val="auto"/>
                <w:kern w:val="0"/>
                <w:szCs w:val="21"/>
              </w:rPr>
              <w:t>0.25%</w:t>
            </w:r>
          </w:p>
        </w:tc>
        <w:tc>
          <w:tcPr>
            <w:tcW w:w="1659" w:type="dxa"/>
          </w:tcPr>
          <w:p>
            <w:pPr>
              <w:spacing w:line="360" w:lineRule="auto"/>
              <w:ind w:firstLine="210" w:firstLineChars="100"/>
              <w:rPr>
                <w:rFonts w:ascii="宋体" w:hAnsi="宋体" w:cs="宋体"/>
                <w:color w:val="auto"/>
                <w:szCs w:val="21"/>
              </w:rPr>
            </w:pPr>
            <w:r>
              <w:rPr>
                <w:rFonts w:hint="eastAsia" w:ascii="宋体" w:hAnsi="宋体" w:cs="宋体"/>
                <w:color w:val="auto"/>
                <w:kern w:val="0"/>
                <w:szCs w:val="21"/>
              </w:rPr>
              <w:t xml:space="preserve">0.35%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72" w:type="dxa"/>
          </w:tcPr>
          <w:p>
            <w:pPr>
              <w:spacing w:line="360" w:lineRule="auto"/>
              <w:rPr>
                <w:rFonts w:ascii="宋体" w:hAnsi="宋体" w:cs="宋体"/>
                <w:color w:val="auto"/>
                <w:szCs w:val="21"/>
              </w:rPr>
            </w:pPr>
            <w:r>
              <w:rPr>
                <w:rFonts w:hint="eastAsia" w:ascii="宋体" w:hAnsi="宋体" w:cs="宋体"/>
                <w:color w:val="auto"/>
                <w:szCs w:val="21"/>
              </w:rPr>
              <w:t>5000万元～1亿元</w:t>
            </w:r>
          </w:p>
        </w:tc>
        <w:tc>
          <w:tcPr>
            <w:tcW w:w="1659" w:type="dxa"/>
          </w:tcPr>
          <w:p>
            <w:pPr>
              <w:spacing w:line="360" w:lineRule="auto"/>
              <w:ind w:firstLine="210" w:firstLineChars="100"/>
              <w:rPr>
                <w:rFonts w:ascii="宋体" w:hAnsi="宋体" w:cs="宋体"/>
                <w:color w:val="auto"/>
                <w:szCs w:val="21"/>
              </w:rPr>
            </w:pPr>
            <w:r>
              <w:rPr>
                <w:rFonts w:hint="eastAsia" w:ascii="宋体" w:hAnsi="宋体" w:cs="宋体"/>
                <w:color w:val="auto"/>
                <w:kern w:val="0"/>
                <w:szCs w:val="21"/>
              </w:rPr>
              <w:t xml:space="preserve">0.25%                 </w:t>
            </w:r>
          </w:p>
        </w:tc>
        <w:tc>
          <w:tcPr>
            <w:tcW w:w="1687" w:type="dxa"/>
          </w:tcPr>
          <w:p>
            <w:pPr>
              <w:spacing w:line="360" w:lineRule="auto"/>
              <w:ind w:firstLine="210" w:firstLineChars="100"/>
              <w:rPr>
                <w:rFonts w:ascii="宋体" w:hAnsi="宋体" w:cs="宋体"/>
                <w:color w:val="auto"/>
                <w:szCs w:val="21"/>
              </w:rPr>
            </w:pPr>
            <w:r>
              <w:rPr>
                <w:rFonts w:hint="eastAsia" w:ascii="宋体" w:hAnsi="宋体" w:cs="宋体"/>
                <w:color w:val="auto"/>
                <w:kern w:val="0"/>
                <w:szCs w:val="21"/>
              </w:rPr>
              <w:t>0.1%</w:t>
            </w:r>
          </w:p>
        </w:tc>
        <w:tc>
          <w:tcPr>
            <w:tcW w:w="1659" w:type="dxa"/>
          </w:tcPr>
          <w:p>
            <w:pPr>
              <w:spacing w:line="360" w:lineRule="auto"/>
              <w:ind w:firstLine="210" w:firstLineChars="100"/>
              <w:rPr>
                <w:rFonts w:ascii="宋体" w:hAnsi="宋体" w:cs="宋体"/>
                <w:color w:val="auto"/>
                <w:szCs w:val="21"/>
              </w:rPr>
            </w:pPr>
            <w:r>
              <w:rPr>
                <w:rFonts w:hint="eastAsia" w:ascii="宋体" w:hAnsi="宋体" w:cs="宋体"/>
                <w:color w:val="auto"/>
                <w:kern w:val="0"/>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72" w:type="dxa"/>
          </w:tcPr>
          <w:p>
            <w:pPr>
              <w:spacing w:line="360" w:lineRule="auto"/>
              <w:rPr>
                <w:rFonts w:ascii="宋体" w:hAnsi="宋体" w:cs="宋体"/>
                <w:color w:val="auto"/>
                <w:szCs w:val="21"/>
              </w:rPr>
            </w:pPr>
            <w:r>
              <w:rPr>
                <w:rFonts w:hint="eastAsia" w:ascii="宋体" w:hAnsi="宋体" w:cs="宋体"/>
                <w:color w:val="auto"/>
                <w:szCs w:val="21"/>
              </w:rPr>
              <w:t>1～5亿元</w:t>
            </w:r>
          </w:p>
        </w:tc>
        <w:tc>
          <w:tcPr>
            <w:tcW w:w="1659" w:type="dxa"/>
          </w:tcPr>
          <w:p>
            <w:pPr>
              <w:spacing w:line="360" w:lineRule="auto"/>
              <w:ind w:firstLine="210" w:firstLineChars="100"/>
              <w:rPr>
                <w:rFonts w:ascii="宋体" w:hAnsi="宋体" w:cs="宋体"/>
                <w:color w:val="auto"/>
                <w:szCs w:val="21"/>
              </w:rPr>
            </w:pPr>
            <w:r>
              <w:rPr>
                <w:rFonts w:hint="eastAsia" w:ascii="宋体" w:hAnsi="宋体" w:cs="宋体"/>
                <w:color w:val="auto"/>
                <w:szCs w:val="21"/>
              </w:rPr>
              <w:t>0.05%</w:t>
            </w:r>
          </w:p>
        </w:tc>
        <w:tc>
          <w:tcPr>
            <w:tcW w:w="1687" w:type="dxa"/>
          </w:tcPr>
          <w:p>
            <w:pPr>
              <w:spacing w:line="360" w:lineRule="auto"/>
              <w:rPr>
                <w:rFonts w:ascii="宋体" w:hAnsi="宋体" w:cs="宋体"/>
                <w:color w:val="auto"/>
                <w:szCs w:val="21"/>
              </w:rPr>
            </w:pPr>
            <w:r>
              <w:rPr>
                <w:rFonts w:hint="eastAsia" w:ascii="宋体" w:hAnsi="宋体" w:cs="宋体"/>
                <w:color w:val="auto"/>
                <w:szCs w:val="21"/>
              </w:rPr>
              <w:t xml:space="preserve">  0.05%</w:t>
            </w:r>
          </w:p>
        </w:tc>
        <w:tc>
          <w:tcPr>
            <w:tcW w:w="1659" w:type="dxa"/>
          </w:tcPr>
          <w:p>
            <w:pPr>
              <w:spacing w:line="360" w:lineRule="auto"/>
              <w:rPr>
                <w:rFonts w:ascii="宋体" w:hAnsi="宋体" w:cs="宋体"/>
                <w:color w:val="auto"/>
                <w:szCs w:val="21"/>
              </w:rPr>
            </w:pPr>
            <w:r>
              <w:rPr>
                <w:rFonts w:hint="eastAsia" w:ascii="宋体" w:hAnsi="宋体" w:cs="宋体"/>
                <w:color w:val="auto"/>
                <w:szCs w:val="21"/>
              </w:rPr>
              <w:t xml:space="preserve">  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72" w:type="dxa"/>
          </w:tcPr>
          <w:p>
            <w:pPr>
              <w:spacing w:line="360" w:lineRule="auto"/>
              <w:rPr>
                <w:rFonts w:ascii="宋体" w:hAnsi="宋体" w:cs="宋体"/>
                <w:color w:val="auto"/>
                <w:szCs w:val="21"/>
              </w:rPr>
            </w:pPr>
            <w:r>
              <w:rPr>
                <w:rFonts w:hint="eastAsia" w:ascii="宋体" w:hAnsi="宋体" w:cs="宋体"/>
                <w:color w:val="auto"/>
                <w:szCs w:val="21"/>
              </w:rPr>
              <w:t>5～10亿元</w:t>
            </w:r>
          </w:p>
        </w:tc>
        <w:tc>
          <w:tcPr>
            <w:tcW w:w="1659" w:type="dxa"/>
          </w:tcPr>
          <w:p>
            <w:pPr>
              <w:spacing w:line="360" w:lineRule="auto"/>
              <w:ind w:firstLine="105" w:firstLineChars="50"/>
              <w:rPr>
                <w:rFonts w:ascii="宋体" w:hAnsi="宋体" w:cs="宋体"/>
                <w:color w:val="auto"/>
                <w:szCs w:val="21"/>
              </w:rPr>
            </w:pPr>
            <w:r>
              <w:rPr>
                <w:rFonts w:hint="eastAsia" w:ascii="宋体" w:hAnsi="宋体" w:cs="宋体"/>
                <w:color w:val="auto"/>
                <w:szCs w:val="21"/>
              </w:rPr>
              <w:t>0.035%</w:t>
            </w:r>
          </w:p>
        </w:tc>
        <w:tc>
          <w:tcPr>
            <w:tcW w:w="1687" w:type="dxa"/>
          </w:tcPr>
          <w:p>
            <w:pPr>
              <w:spacing w:line="360" w:lineRule="auto"/>
              <w:rPr>
                <w:rFonts w:ascii="宋体" w:hAnsi="宋体" w:cs="宋体"/>
                <w:color w:val="auto"/>
                <w:szCs w:val="21"/>
              </w:rPr>
            </w:pPr>
            <w:r>
              <w:rPr>
                <w:rFonts w:hint="eastAsia" w:ascii="宋体" w:hAnsi="宋体" w:cs="宋体"/>
                <w:color w:val="auto"/>
                <w:szCs w:val="21"/>
              </w:rPr>
              <w:t xml:space="preserve">  0.035%</w:t>
            </w:r>
          </w:p>
        </w:tc>
        <w:tc>
          <w:tcPr>
            <w:tcW w:w="1659" w:type="dxa"/>
          </w:tcPr>
          <w:p>
            <w:pPr>
              <w:spacing w:line="360" w:lineRule="auto"/>
              <w:ind w:firstLine="105" w:firstLineChars="50"/>
              <w:rPr>
                <w:rFonts w:ascii="宋体" w:hAnsi="宋体" w:cs="宋体"/>
                <w:color w:val="auto"/>
                <w:szCs w:val="21"/>
              </w:rPr>
            </w:pPr>
            <w:r>
              <w:rPr>
                <w:rFonts w:hint="eastAsia" w:ascii="宋体" w:hAnsi="宋体" w:cs="宋体"/>
                <w:color w:val="auto"/>
                <w:szCs w:val="21"/>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72" w:type="dxa"/>
          </w:tcPr>
          <w:p>
            <w:pPr>
              <w:spacing w:line="360" w:lineRule="auto"/>
              <w:rPr>
                <w:rFonts w:ascii="宋体" w:hAnsi="宋体" w:cs="宋体"/>
                <w:color w:val="auto"/>
                <w:szCs w:val="21"/>
              </w:rPr>
            </w:pPr>
            <w:r>
              <w:rPr>
                <w:rFonts w:hint="eastAsia" w:ascii="宋体" w:hAnsi="宋体" w:cs="宋体"/>
                <w:color w:val="auto"/>
                <w:szCs w:val="21"/>
              </w:rPr>
              <w:t>10～50亿元</w:t>
            </w:r>
          </w:p>
        </w:tc>
        <w:tc>
          <w:tcPr>
            <w:tcW w:w="1659" w:type="dxa"/>
          </w:tcPr>
          <w:p>
            <w:pPr>
              <w:spacing w:line="360" w:lineRule="auto"/>
              <w:ind w:firstLine="105" w:firstLineChars="50"/>
              <w:rPr>
                <w:rFonts w:ascii="宋体" w:hAnsi="宋体" w:cs="宋体"/>
                <w:color w:val="auto"/>
                <w:szCs w:val="21"/>
              </w:rPr>
            </w:pPr>
            <w:r>
              <w:rPr>
                <w:rFonts w:hint="eastAsia" w:ascii="宋体" w:hAnsi="宋体" w:cs="宋体"/>
                <w:color w:val="auto"/>
                <w:szCs w:val="21"/>
              </w:rPr>
              <w:t>0.008%</w:t>
            </w:r>
          </w:p>
        </w:tc>
        <w:tc>
          <w:tcPr>
            <w:tcW w:w="1687" w:type="dxa"/>
          </w:tcPr>
          <w:p>
            <w:pPr>
              <w:spacing w:line="360" w:lineRule="auto"/>
              <w:ind w:firstLine="210" w:firstLineChars="100"/>
              <w:rPr>
                <w:rFonts w:ascii="宋体" w:hAnsi="宋体" w:cs="宋体"/>
                <w:color w:val="auto"/>
                <w:szCs w:val="21"/>
              </w:rPr>
            </w:pPr>
            <w:r>
              <w:rPr>
                <w:rFonts w:hint="eastAsia" w:ascii="宋体" w:hAnsi="宋体" w:cs="宋体"/>
                <w:color w:val="auto"/>
                <w:szCs w:val="21"/>
              </w:rPr>
              <w:t>0.008%</w:t>
            </w:r>
          </w:p>
        </w:tc>
        <w:tc>
          <w:tcPr>
            <w:tcW w:w="1659" w:type="dxa"/>
          </w:tcPr>
          <w:p>
            <w:pPr>
              <w:spacing w:line="360" w:lineRule="auto"/>
              <w:ind w:firstLine="105" w:firstLineChars="50"/>
              <w:rPr>
                <w:rFonts w:ascii="宋体" w:hAnsi="宋体" w:cs="宋体"/>
                <w:color w:val="auto"/>
                <w:szCs w:val="21"/>
              </w:rPr>
            </w:pPr>
            <w:r>
              <w:rPr>
                <w:rFonts w:hint="eastAsia" w:ascii="宋体" w:hAnsi="宋体" w:cs="宋体"/>
                <w:color w:val="auto"/>
                <w:szCs w:val="21"/>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72" w:type="dxa"/>
          </w:tcPr>
          <w:p>
            <w:pPr>
              <w:spacing w:line="360" w:lineRule="auto"/>
              <w:rPr>
                <w:rFonts w:ascii="宋体" w:hAnsi="宋体" w:cs="宋体"/>
                <w:color w:val="auto"/>
                <w:szCs w:val="21"/>
              </w:rPr>
            </w:pPr>
            <w:r>
              <w:rPr>
                <w:rFonts w:hint="eastAsia" w:ascii="宋体" w:hAnsi="宋体" w:cs="宋体"/>
                <w:color w:val="auto"/>
                <w:szCs w:val="21"/>
              </w:rPr>
              <w:t>50～100亿元</w:t>
            </w:r>
          </w:p>
        </w:tc>
        <w:tc>
          <w:tcPr>
            <w:tcW w:w="1659" w:type="dxa"/>
          </w:tcPr>
          <w:p>
            <w:pPr>
              <w:spacing w:line="360" w:lineRule="auto"/>
              <w:rPr>
                <w:rFonts w:ascii="宋体" w:hAnsi="宋体" w:cs="宋体"/>
                <w:color w:val="auto"/>
                <w:szCs w:val="21"/>
              </w:rPr>
            </w:pPr>
            <w:r>
              <w:rPr>
                <w:rFonts w:hint="eastAsia" w:ascii="宋体" w:hAnsi="宋体" w:cs="宋体"/>
                <w:color w:val="auto"/>
                <w:szCs w:val="21"/>
              </w:rPr>
              <w:t xml:space="preserve"> 0.006%</w:t>
            </w:r>
          </w:p>
        </w:tc>
        <w:tc>
          <w:tcPr>
            <w:tcW w:w="1687" w:type="dxa"/>
          </w:tcPr>
          <w:p>
            <w:pPr>
              <w:spacing w:line="360" w:lineRule="auto"/>
              <w:ind w:firstLine="210" w:firstLineChars="100"/>
              <w:rPr>
                <w:rFonts w:ascii="宋体" w:hAnsi="宋体" w:cs="宋体"/>
                <w:color w:val="auto"/>
                <w:szCs w:val="21"/>
              </w:rPr>
            </w:pPr>
            <w:r>
              <w:rPr>
                <w:rFonts w:hint="eastAsia" w:ascii="宋体" w:hAnsi="宋体" w:cs="宋体"/>
                <w:color w:val="auto"/>
                <w:szCs w:val="21"/>
              </w:rPr>
              <w:t>0.006%</w:t>
            </w:r>
          </w:p>
        </w:tc>
        <w:tc>
          <w:tcPr>
            <w:tcW w:w="1659" w:type="dxa"/>
          </w:tcPr>
          <w:p>
            <w:pPr>
              <w:spacing w:line="360" w:lineRule="auto"/>
              <w:ind w:firstLine="105" w:firstLineChars="50"/>
              <w:rPr>
                <w:rFonts w:ascii="宋体" w:hAnsi="宋体" w:cs="宋体"/>
                <w:color w:val="auto"/>
                <w:szCs w:val="21"/>
              </w:rPr>
            </w:pPr>
            <w:r>
              <w:rPr>
                <w:rFonts w:hint="eastAsia" w:ascii="宋体" w:hAnsi="宋体" w:cs="宋体"/>
                <w:color w:val="auto"/>
                <w:szCs w:val="21"/>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72" w:type="dxa"/>
          </w:tcPr>
          <w:p>
            <w:pPr>
              <w:spacing w:line="360" w:lineRule="auto"/>
              <w:rPr>
                <w:rFonts w:ascii="宋体" w:hAnsi="宋体" w:cs="宋体"/>
                <w:color w:val="auto"/>
                <w:szCs w:val="21"/>
              </w:rPr>
            </w:pPr>
            <w:r>
              <w:rPr>
                <w:rFonts w:hint="eastAsia" w:ascii="宋体" w:hAnsi="宋体" w:cs="宋体"/>
                <w:color w:val="auto"/>
                <w:szCs w:val="21"/>
              </w:rPr>
              <w:t>100亿以上</w:t>
            </w:r>
          </w:p>
        </w:tc>
        <w:tc>
          <w:tcPr>
            <w:tcW w:w="1659" w:type="dxa"/>
          </w:tcPr>
          <w:p>
            <w:pPr>
              <w:spacing w:line="360" w:lineRule="auto"/>
              <w:rPr>
                <w:rFonts w:ascii="宋体" w:hAnsi="宋体" w:cs="宋体"/>
                <w:color w:val="auto"/>
                <w:szCs w:val="21"/>
              </w:rPr>
            </w:pPr>
            <w:r>
              <w:rPr>
                <w:rFonts w:hint="eastAsia" w:ascii="宋体" w:hAnsi="宋体" w:cs="宋体"/>
                <w:color w:val="auto"/>
                <w:szCs w:val="21"/>
              </w:rPr>
              <w:t xml:space="preserve"> 0.004%</w:t>
            </w:r>
          </w:p>
        </w:tc>
        <w:tc>
          <w:tcPr>
            <w:tcW w:w="1687" w:type="dxa"/>
          </w:tcPr>
          <w:p>
            <w:pPr>
              <w:spacing w:line="360" w:lineRule="auto"/>
              <w:ind w:firstLine="210" w:firstLineChars="100"/>
              <w:rPr>
                <w:rFonts w:ascii="宋体" w:hAnsi="宋体" w:cs="宋体"/>
                <w:color w:val="auto"/>
                <w:szCs w:val="21"/>
              </w:rPr>
            </w:pPr>
            <w:r>
              <w:rPr>
                <w:rFonts w:hint="eastAsia" w:ascii="宋体" w:hAnsi="宋体" w:cs="宋体"/>
                <w:color w:val="auto"/>
                <w:szCs w:val="21"/>
              </w:rPr>
              <w:t>0.004%</w:t>
            </w:r>
          </w:p>
        </w:tc>
        <w:tc>
          <w:tcPr>
            <w:tcW w:w="1659" w:type="dxa"/>
          </w:tcPr>
          <w:p>
            <w:pPr>
              <w:spacing w:line="360" w:lineRule="auto"/>
              <w:ind w:firstLine="105" w:firstLineChars="50"/>
              <w:rPr>
                <w:rFonts w:ascii="宋体" w:hAnsi="宋体" w:cs="宋体"/>
                <w:color w:val="auto"/>
                <w:szCs w:val="21"/>
              </w:rPr>
            </w:pPr>
            <w:r>
              <w:rPr>
                <w:rFonts w:hint="eastAsia" w:ascii="宋体" w:hAnsi="宋体" w:cs="宋体"/>
                <w:color w:val="auto"/>
                <w:szCs w:val="21"/>
              </w:rPr>
              <w:t>0.004%</w:t>
            </w:r>
          </w:p>
        </w:tc>
      </w:tr>
    </w:tbl>
    <w:p>
      <w:pPr>
        <w:spacing w:line="360" w:lineRule="auto"/>
        <w:ind w:firstLine="420" w:firstLineChars="200"/>
        <w:rPr>
          <w:rFonts w:ascii="宋体" w:hAnsi="宋体" w:cs="宋体"/>
          <w:color w:val="auto"/>
          <w:szCs w:val="21"/>
        </w:rPr>
      </w:pPr>
      <w:r>
        <w:rPr>
          <w:rFonts w:hint="eastAsia" w:ascii="宋体" w:hAnsi="宋体" w:cs="宋体"/>
          <w:color w:val="auto"/>
          <w:szCs w:val="21"/>
        </w:rPr>
        <w:t xml:space="preserve">注: </w:t>
      </w:r>
    </w:p>
    <w:p>
      <w:pPr>
        <w:spacing w:line="360" w:lineRule="auto"/>
        <w:ind w:firstLine="420" w:firstLineChars="200"/>
        <w:rPr>
          <w:rFonts w:ascii="宋体" w:hAnsi="宋体" w:cs="宋体"/>
          <w:color w:val="auto"/>
          <w:szCs w:val="21"/>
        </w:rPr>
      </w:pPr>
      <w:r>
        <w:rPr>
          <w:rFonts w:hint="eastAsia" w:ascii="宋体" w:hAnsi="宋体" w:cs="宋体"/>
          <w:color w:val="auto"/>
          <w:szCs w:val="21"/>
        </w:rPr>
        <w:t>（1）按本表费率计算的收费为采购代理的收费基准价格；</w:t>
      </w:r>
    </w:p>
    <w:p>
      <w:pPr>
        <w:spacing w:line="360" w:lineRule="auto"/>
        <w:ind w:firstLine="420" w:firstLineChars="200"/>
        <w:rPr>
          <w:rFonts w:ascii="宋体" w:hAnsi="宋体" w:cs="宋体"/>
          <w:color w:val="auto"/>
          <w:szCs w:val="21"/>
        </w:rPr>
      </w:pPr>
      <w:r>
        <w:rPr>
          <w:rFonts w:hint="eastAsia" w:ascii="宋体" w:hAnsi="宋体" w:cs="宋体"/>
          <w:color w:val="auto"/>
          <w:szCs w:val="21"/>
        </w:rPr>
        <w:t>（2）采购代理收费按差额定率累进法计算。</w:t>
      </w:r>
    </w:p>
    <w:p>
      <w:pPr>
        <w:spacing w:line="360" w:lineRule="auto"/>
        <w:ind w:firstLine="420" w:firstLineChars="200"/>
        <w:rPr>
          <w:rFonts w:ascii="宋体" w:hAnsi="宋体" w:cs="宋体"/>
          <w:color w:val="auto"/>
          <w:szCs w:val="21"/>
        </w:rPr>
      </w:pPr>
      <w:r>
        <w:rPr>
          <w:rFonts w:hint="eastAsia" w:ascii="宋体" w:hAnsi="宋体" w:cs="宋体"/>
          <w:color w:val="auto"/>
          <w:szCs w:val="21"/>
        </w:rPr>
        <w:t>例如：某服务采购代理业务中标金额或者暂定价为200万元，计算采购代理收费额如下：</w:t>
      </w:r>
    </w:p>
    <w:p>
      <w:pPr>
        <w:spacing w:line="360" w:lineRule="auto"/>
        <w:ind w:firstLine="420" w:firstLineChars="200"/>
        <w:rPr>
          <w:rFonts w:ascii="宋体" w:hAnsi="宋体" w:cs="宋体"/>
          <w:color w:val="auto"/>
          <w:szCs w:val="21"/>
        </w:rPr>
      </w:pPr>
      <w:r>
        <w:rPr>
          <w:rFonts w:hint="eastAsia" w:ascii="宋体" w:hAnsi="宋体" w:cs="宋体"/>
          <w:color w:val="auto"/>
          <w:szCs w:val="21"/>
        </w:rPr>
        <w:t>100 万元×l.5 ％＝ 1.5 万元</w:t>
      </w:r>
    </w:p>
    <w:p>
      <w:pPr>
        <w:spacing w:line="360" w:lineRule="auto"/>
        <w:ind w:firstLine="420" w:firstLineChars="200"/>
        <w:rPr>
          <w:rFonts w:ascii="宋体" w:hAnsi="宋体" w:cs="宋体"/>
          <w:color w:val="auto"/>
          <w:szCs w:val="21"/>
        </w:rPr>
      </w:pPr>
      <w:r>
        <w:rPr>
          <w:rFonts w:hint="eastAsia" w:ascii="宋体" w:hAnsi="宋体" w:cs="宋体"/>
          <w:color w:val="auto"/>
          <w:szCs w:val="21"/>
        </w:rPr>
        <w:t>（ 200 － 100 ）万元 ×0.8％＝0.8万元</w:t>
      </w:r>
    </w:p>
    <w:p>
      <w:pPr>
        <w:pStyle w:val="14"/>
        <w:snapToGrid w:val="0"/>
        <w:spacing w:before="120" w:after="120" w:line="360" w:lineRule="auto"/>
        <w:ind w:firstLine="420" w:firstLineChars="200"/>
        <w:rPr>
          <w:rFonts w:hAnsi="宋体" w:cs="宋体"/>
          <w:color w:val="auto"/>
        </w:rPr>
      </w:pPr>
      <w:r>
        <w:rPr>
          <w:rFonts w:hint="eastAsia" w:hAnsi="宋体" w:cs="宋体"/>
          <w:color w:val="auto"/>
        </w:rPr>
        <w:t>合计收费＝ 1.5+0.8＝ 2.3（万元）</w:t>
      </w:r>
    </w:p>
    <w:p>
      <w:pPr>
        <w:pStyle w:val="2"/>
        <w:rPr>
          <w:color w:val="auto"/>
        </w:rPr>
      </w:pPr>
    </w:p>
    <w:p>
      <w:pPr>
        <w:spacing w:line="360" w:lineRule="auto"/>
        <w:ind w:firstLine="480" w:firstLineChars="200"/>
        <w:rPr>
          <w:rFonts w:ascii="黑体" w:hAnsi="黑体" w:eastAsia="黑体"/>
          <w:color w:val="auto"/>
          <w:sz w:val="24"/>
        </w:rPr>
      </w:pPr>
      <w:r>
        <w:rPr>
          <w:rFonts w:hint="eastAsia" w:ascii="黑体" w:hAnsi="黑体" w:eastAsia="黑体"/>
          <w:color w:val="auto"/>
          <w:sz w:val="24"/>
        </w:rPr>
        <w:t>41. 需要补充的其他内容</w:t>
      </w:r>
    </w:p>
    <w:p>
      <w:pPr>
        <w:spacing w:line="360" w:lineRule="auto"/>
        <w:ind w:firstLine="420" w:firstLineChars="200"/>
        <w:rPr>
          <w:rFonts w:ascii="宋体" w:hAnsi="宋体" w:cs="宋体"/>
          <w:color w:val="auto"/>
        </w:rPr>
      </w:pPr>
      <w:r>
        <w:rPr>
          <w:rFonts w:hint="eastAsia" w:ascii="宋体" w:hAnsi="宋体" w:cs="宋体"/>
          <w:color w:val="auto"/>
        </w:rPr>
        <w:t>41.1本招标文件解释规则详见“投标人须知前附表”。</w:t>
      </w:r>
    </w:p>
    <w:p>
      <w:pPr>
        <w:spacing w:line="360" w:lineRule="auto"/>
        <w:ind w:firstLine="420" w:firstLineChars="200"/>
        <w:rPr>
          <w:rFonts w:ascii="宋体" w:hAnsi="宋体" w:cs="宋体"/>
          <w:color w:val="auto"/>
        </w:rPr>
      </w:pPr>
      <w:r>
        <w:rPr>
          <w:rFonts w:hint="eastAsia" w:ascii="宋体" w:hAnsi="宋体" w:cs="宋体"/>
          <w:color w:val="auto"/>
        </w:rPr>
        <w:t>41.2 其他事项详见“投标人须知前附表”。</w:t>
      </w:r>
    </w:p>
    <w:p>
      <w:pPr>
        <w:spacing w:line="360" w:lineRule="auto"/>
        <w:ind w:firstLine="420" w:firstLineChars="200"/>
        <w:rPr>
          <w:rFonts w:ascii="宋体" w:hAnsi="宋体" w:cs="宋体"/>
          <w:color w:val="auto"/>
        </w:rPr>
      </w:pPr>
      <w:r>
        <w:rPr>
          <w:rFonts w:hint="eastAsia" w:ascii="宋体" w:hAnsi="宋体" w:cs="宋体"/>
          <w:color w:val="auto"/>
        </w:rPr>
        <w:t>41.3本文件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在政府采购活动中，投标人提供的服务的人员为中小企业依照《中华人民共和国劳动合同法》订立劳动合同的从业人员，不对其中涉及的货物的制造商和工程承建商作出要求的，享受本文件规定的中小企业扶持政策。</w:t>
      </w:r>
    </w:p>
    <w:p>
      <w:pPr>
        <w:spacing w:line="360" w:lineRule="auto"/>
        <w:ind w:firstLine="420" w:firstLineChars="200"/>
        <w:rPr>
          <w:rFonts w:ascii="宋体" w:hAnsi="宋体" w:cs="宋体"/>
          <w:color w:val="auto"/>
        </w:rPr>
      </w:pPr>
      <w:r>
        <w:rPr>
          <w:rFonts w:hint="eastAsia" w:ascii="宋体" w:hAnsi="宋体" w:cs="宋体"/>
          <w:color w:val="auto"/>
        </w:rPr>
        <w:t>以联合体形式参加政府采购活动，联合体各方均为中小企业的，联合体视同中小企业。其中，联合体各方均为小微企业的，联合体视同小微企业。</w:t>
      </w:r>
    </w:p>
    <w:p>
      <w:pPr>
        <w:spacing w:line="360" w:lineRule="auto"/>
        <w:ind w:firstLine="420" w:firstLineChars="200"/>
        <w:rPr>
          <w:rFonts w:ascii="宋体" w:hAnsi="宋体" w:cs="宋体"/>
          <w:color w:val="auto"/>
        </w:rPr>
      </w:pPr>
      <w:r>
        <w:rPr>
          <w:rFonts w:hint="eastAsia" w:ascii="宋体" w:hAnsi="宋体" w:cs="宋体"/>
          <w:color w:val="auto"/>
        </w:rPr>
        <w:t>依据本文件规定享受扶持政策获得政府采购合同的，小微企业不得将合同分包给大中型企业，中型企业不得将合同分包给大型企业。</w:t>
      </w:r>
    </w:p>
    <w:p>
      <w:pPr>
        <w:spacing w:line="360" w:lineRule="auto"/>
        <w:ind w:firstLine="480" w:firstLineChars="200"/>
        <w:rPr>
          <w:rFonts w:ascii="宋体" w:hAnsi="宋体" w:cs="宋体"/>
          <w:color w:val="auto"/>
          <w:sz w:val="24"/>
        </w:rPr>
      </w:pPr>
      <w:r>
        <w:rPr>
          <w:rFonts w:hint="eastAsia" w:ascii="宋体" w:hAnsi="宋体" w:cs="宋体"/>
          <w:color w:val="auto"/>
          <w:sz w:val="24"/>
        </w:rPr>
        <w:t>42. 广西线上“政采贷”政策告知函</w:t>
      </w:r>
    </w:p>
    <w:p>
      <w:pPr>
        <w:spacing w:line="580" w:lineRule="exact"/>
        <w:jc w:val="center"/>
        <w:rPr>
          <w:rFonts w:ascii="宋体" w:hAnsi="宋体" w:cs="宋体"/>
          <w:color w:val="auto"/>
          <w:sz w:val="44"/>
          <w:szCs w:val="44"/>
        </w:rPr>
      </w:pPr>
    </w:p>
    <w:p>
      <w:pPr>
        <w:spacing w:line="580" w:lineRule="exact"/>
        <w:jc w:val="center"/>
        <w:rPr>
          <w:rFonts w:ascii="宋体" w:hAnsi="宋体" w:cs="宋体"/>
          <w:color w:val="auto"/>
          <w:sz w:val="32"/>
          <w:szCs w:val="32"/>
        </w:rPr>
      </w:pPr>
      <w:r>
        <w:rPr>
          <w:rFonts w:hint="eastAsia" w:ascii="宋体" w:hAnsi="宋体" w:cs="宋体"/>
          <w:color w:val="auto"/>
          <w:sz w:val="32"/>
          <w:szCs w:val="32"/>
        </w:rPr>
        <w:t>广西线上“政采贷”政策告知函</w:t>
      </w:r>
    </w:p>
    <w:p>
      <w:pPr>
        <w:spacing w:line="580" w:lineRule="exact"/>
        <w:ind w:firstLine="420" w:firstLineChars="200"/>
        <w:rPr>
          <w:rFonts w:ascii="宋体" w:hAnsi="宋体" w:cs="宋体"/>
          <w:color w:val="auto"/>
          <w:szCs w:val="32"/>
        </w:rPr>
      </w:pPr>
    </w:p>
    <w:p>
      <w:pPr>
        <w:spacing w:line="580" w:lineRule="exact"/>
        <w:rPr>
          <w:rFonts w:ascii="宋体" w:hAnsi="宋体" w:cs="宋体"/>
          <w:color w:val="auto"/>
          <w:szCs w:val="21"/>
        </w:rPr>
      </w:pPr>
      <w:r>
        <w:rPr>
          <w:rFonts w:hint="eastAsia" w:ascii="宋体" w:hAnsi="宋体" w:cs="宋体"/>
          <w:color w:val="auto"/>
          <w:szCs w:val="21"/>
        </w:rPr>
        <w:t>各供应商：</w:t>
      </w:r>
    </w:p>
    <w:p>
      <w:pPr>
        <w:spacing w:line="580" w:lineRule="exact"/>
        <w:ind w:firstLine="420" w:firstLineChars="200"/>
        <w:rPr>
          <w:rFonts w:ascii="宋体" w:hAnsi="宋体" w:cs="宋体"/>
          <w:color w:val="auto"/>
          <w:szCs w:val="21"/>
        </w:rPr>
      </w:pPr>
      <w:r>
        <w:rPr>
          <w:rFonts w:hint="eastAsia" w:ascii="宋体" w:hAnsi="宋体" w:cs="宋体"/>
          <w:color w:val="auto"/>
          <w:szCs w:val="21"/>
        </w:rPr>
        <w:t>欢迎贵公司参与广西政府采购活动！</w:t>
      </w:r>
    </w:p>
    <w:p>
      <w:pPr>
        <w:spacing w:line="580" w:lineRule="exact"/>
        <w:ind w:firstLine="420" w:firstLineChars="200"/>
        <w:rPr>
          <w:rFonts w:ascii="宋体" w:hAnsi="宋体" w:cs="宋体"/>
          <w:color w:val="auto"/>
          <w:szCs w:val="21"/>
        </w:rPr>
      </w:pPr>
      <w:r>
        <w:rPr>
          <w:rFonts w:hint="eastAsia" w:ascii="宋体" w:hAnsi="宋体" w:cs="宋体"/>
          <w:color w:val="auto"/>
          <w:szCs w:val="21"/>
        </w:rPr>
        <w:t>线上“政采贷”是人民银行南宁中心支行和自治区财政厅共同支持企业发展，针对参与政府采购活动的企业融资难、融资贵、融资慢、融资繁问题推出的一项融资政策。贵公司若成为本次政府采购项目的中标（成交）供应商，可持政府采购合同在线向银行业金融机构申请贷款，融资机构将根据《中国人民银行南宁中心支行 广西壮族自治区财政厅关于推广线上“政采贷”融资模式的通知》（南宁银发〔2021〕258号），按照双方自愿的原则提供便捷、优惠的贷款服务。</w:t>
      </w:r>
    </w:p>
    <w:p>
      <w:pPr>
        <w:spacing w:line="580" w:lineRule="exact"/>
        <w:ind w:firstLine="420" w:firstLineChars="200"/>
        <w:rPr>
          <w:rFonts w:ascii="宋体" w:hAnsi="宋体" w:cs="宋体"/>
          <w:color w:val="auto"/>
          <w:szCs w:val="21"/>
        </w:rPr>
      </w:pPr>
      <w:r>
        <w:rPr>
          <w:rFonts w:hint="eastAsia" w:ascii="宋体" w:hAnsi="宋体" w:cs="宋体"/>
          <w:color w:val="auto"/>
          <w:szCs w:val="21"/>
        </w:rPr>
        <w:t>相关金融产品和银行业金融机构联系方式，可在中征应收账款融资服务平台查询（网址：</w:t>
      </w:r>
      <w:r>
        <w:rPr>
          <w:color w:val="auto"/>
        </w:rPr>
        <w:fldChar w:fldCharType="begin"/>
      </w:r>
      <w:r>
        <w:rPr>
          <w:color w:val="auto"/>
        </w:rPr>
        <w:instrText xml:space="preserve"> HYPERLINK "https://www.crcrfsp.com/" </w:instrText>
      </w:r>
      <w:r>
        <w:rPr>
          <w:color w:val="auto"/>
        </w:rPr>
        <w:fldChar w:fldCharType="separate"/>
      </w:r>
      <w:r>
        <w:rPr>
          <w:rStyle w:val="28"/>
          <w:rFonts w:hint="default" w:ascii="宋体" w:hAnsi="宋体" w:eastAsia="宋体" w:cs="宋体"/>
          <w:color w:val="auto"/>
          <w:szCs w:val="21"/>
        </w:rPr>
        <w:t>https://www.crcrfsp.com/</w:t>
      </w:r>
      <w:r>
        <w:rPr>
          <w:rStyle w:val="28"/>
          <w:rFonts w:hint="default" w:ascii="宋体" w:hAnsi="宋体" w:eastAsia="宋体" w:cs="宋体"/>
          <w:color w:val="auto"/>
          <w:szCs w:val="21"/>
        </w:rPr>
        <w:fldChar w:fldCharType="end"/>
      </w:r>
      <w:r>
        <w:rPr>
          <w:rFonts w:hint="eastAsia" w:ascii="宋体" w:hAnsi="宋体" w:cs="宋体"/>
          <w:color w:val="auto"/>
          <w:szCs w:val="21"/>
        </w:rPr>
        <w:t>，客服电话：400-009-0001）。</w:t>
      </w:r>
    </w:p>
    <w:p>
      <w:pPr>
        <w:numPr>
          <w:ilvl w:val="0"/>
          <w:numId w:val="2"/>
        </w:numPr>
        <w:spacing w:line="360" w:lineRule="auto"/>
        <w:ind w:firstLine="420" w:firstLineChars="200"/>
        <w:jc w:val="left"/>
        <w:rPr>
          <w:rFonts w:hAnsi="宋体"/>
          <w:color w:val="auto"/>
        </w:rPr>
      </w:pPr>
      <w:r>
        <w:rPr>
          <w:rFonts w:hAnsi="宋体"/>
          <w:color w:val="auto"/>
        </w:rPr>
        <w:br w:type="page"/>
      </w:r>
      <w:bookmarkStart w:id="268" w:name="_Toc532545043"/>
    </w:p>
    <w:p>
      <w:pPr>
        <w:pStyle w:val="14"/>
        <w:jc w:val="center"/>
        <w:outlineLvl w:val="0"/>
        <w:rPr>
          <w:rFonts w:ascii="Times New Roman" w:hAnsi="Times New Roman"/>
          <w:b/>
          <w:color w:val="auto"/>
          <w:sz w:val="36"/>
        </w:rPr>
      </w:pPr>
      <w:bookmarkStart w:id="269" w:name="_Toc14666"/>
      <w:bookmarkStart w:id="270" w:name="_Toc2789"/>
      <w:bookmarkStart w:id="271" w:name="_Toc11694"/>
      <w:bookmarkStart w:id="272" w:name="_Toc31952"/>
      <w:bookmarkStart w:id="273" w:name="_Toc26567"/>
      <w:bookmarkStart w:id="274" w:name="_Toc18631"/>
      <w:bookmarkStart w:id="275" w:name="_Toc12751"/>
      <w:bookmarkStart w:id="276" w:name="_Toc24569"/>
      <w:bookmarkStart w:id="277" w:name="_Toc19117"/>
      <w:bookmarkStart w:id="278" w:name="_Toc3584"/>
      <w:bookmarkStart w:id="279" w:name="_Toc28468"/>
      <w:bookmarkStart w:id="280" w:name="_Toc10118"/>
      <w:bookmarkStart w:id="281" w:name="_Toc10034"/>
      <w:r>
        <w:rPr>
          <w:rFonts w:hint="eastAsia" w:ascii="Times New Roman" w:hAnsi="Times New Roman"/>
          <w:b/>
          <w:color w:val="auto"/>
          <w:sz w:val="36"/>
        </w:rPr>
        <w:t>第四章</w:t>
      </w:r>
      <w:bookmarkEnd w:id="268"/>
      <w:bookmarkEnd w:id="269"/>
      <w:bookmarkEnd w:id="270"/>
      <w:bookmarkEnd w:id="271"/>
      <w:bookmarkEnd w:id="272"/>
      <w:bookmarkEnd w:id="273"/>
      <w:bookmarkEnd w:id="274"/>
      <w:bookmarkEnd w:id="275"/>
      <w:bookmarkEnd w:id="276"/>
      <w:r>
        <w:rPr>
          <w:rFonts w:hint="eastAsia" w:ascii="Times New Roman" w:hAnsi="Times New Roman"/>
          <w:b/>
          <w:color w:val="auto"/>
          <w:sz w:val="36"/>
        </w:rPr>
        <w:t>评标方法和评标标准</w:t>
      </w:r>
      <w:bookmarkEnd w:id="277"/>
      <w:bookmarkEnd w:id="278"/>
      <w:bookmarkEnd w:id="279"/>
      <w:bookmarkEnd w:id="280"/>
      <w:bookmarkEnd w:id="281"/>
    </w:p>
    <w:p>
      <w:pPr>
        <w:pStyle w:val="14"/>
        <w:tabs>
          <w:tab w:val="left" w:pos="2472"/>
        </w:tabs>
        <w:spacing w:line="440" w:lineRule="exact"/>
        <w:jc w:val="center"/>
        <w:outlineLvl w:val="1"/>
        <w:rPr>
          <w:rFonts w:ascii="Times New Roman" w:hAnsi="Times New Roman"/>
          <w:b/>
          <w:bCs/>
          <w:color w:val="auto"/>
          <w:sz w:val="32"/>
          <w:szCs w:val="32"/>
        </w:rPr>
      </w:pPr>
      <w:bookmarkStart w:id="282" w:name="_Toc12345"/>
      <w:bookmarkStart w:id="283" w:name="_Toc3574"/>
      <w:bookmarkStart w:id="284" w:name="_Toc5889"/>
      <w:bookmarkStart w:id="285" w:name="_Toc29945"/>
      <w:bookmarkStart w:id="286" w:name="_Toc28945"/>
      <w:bookmarkStart w:id="287" w:name="_Toc14342"/>
      <w:bookmarkStart w:id="288" w:name="_Toc20519"/>
      <w:bookmarkStart w:id="289" w:name="_Toc28074"/>
      <w:bookmarkStart w:id="290" w:name="_Toc6104"/>
      <w:bookmarkStart w:id="291" w:name="_Toc9604"/>
      <w:r>
        <w:rPr>
          <w:rFonts w:hint="eastAsia" w:ascii="Times New Roman" w:hAnsi="Times New Roman"/>
          <w:b/>
          <w:bCs/>
          <w:color w:val="auto"/>
          <w:sz w:val="32"/>
          <w:szCs w:val="32"/>
        </w:rPr>
        <w:t>第一节 评标方法</w:t>
      </w:r>
      <w:bookmarkEnd w:id="282"/>
      <w:bookmarkEnd w:id="283"/>
      <w:bookmarkEnd w:id="284"/>
      <w:bookmarkEnd w:id="285"/>
      <w:bookmarkEnd w:id="286"/>
      <w:bookmarkEnd w:id="287"/>
      <w:bookmarkEnd w:id="288"/>
      <w:bookmarkEnd w:id="289"/>
      <w:bookmarkEnd w:id="290"/>
      <w:bookmarkEnd w:id="291"/>
    </w:p>
    <w:p>
      <w:pPr>
        <w:pStyle w:val="14"/>
        <w:tabs>
          <w:tab w:val="left" w:pos="2472"/>
        </w:tabs>
        <w:spacing w:line="440" w:lineRule="exact"/>
        <w:ind w:firstLine="420" w:firstLineChars="200"/>
        <w:rPr>
          <w:rFonts w:hAnsi="宋体" w:cs="宋体"/>
          <w:color w:val="auto"/>
          <w:szCs w:val="21"/>
        </w:rPr>
      </w:pPr>
      <w:r>
        <w:rPr>
          <w:rFonts w:hint="eastAsia" w:hAnsi="宋体" w:cs="宋体"/>
          <w:color w:val="auto"/>
          <w:szCs w:val="21"/>
        </w:rPr>
        <w:t>本项目采用</w:t>
      </w:r>
      <w:r>
        <w:rPr>
          <w:rFonts w:hint="eastAsia" w:hAnsi="宋体" w:cs="宋体"/>
          <w:color w:val="auto"/>
          <w:szCs w:val="21"/>
          <w:u w:val="single"/>
        </w:rPr>
        <w:t xml:space="preserve"> 以下勾选的方式</w:t>
      </w:r>
      <w:r>
        <w:rPr>
          <w:rFonts w:hint="eastAsia" w:hAnsi="宋体" w:cs="宋体"/>
          <w:color w:val="auto"/>
          <w:szCs w:val="21"/>
        </w:rPr>
        <w:t>进行评审。</w:t>
      </w:r>
    </w:p>
    <w:p>
      <w:pPr>
        <w:pStyle w:val="14"/>
        <w:tabs>
          <w:tab w:val="left" w:pos="2472"/>
        </w:tabs>
        <w:spacing w:line="440" w:lineRule="exact"/>
        <w:ind w:firstLine="420" w:firstLineChars="200"/>
        <w:rPr>
          <w:rFonts w:hAnsi="宋体"/>
          <w:color w:val="auto"/>
        </w:rPr>
      </w:pPr>
      <w:r>
        <w:rPr>
          <w:rFonts w:hint="eastAsia" w:hAnsi="宋体"/>
          <w:color w:val="auto"/>
          <w:szCs w:val="21"/>
        </w:rPr>
        <w:t>□最低评标价法，是指投标文件满足招标文件</w:t>
      </w:r>
      <w:r>
        <w:rPr>
          <w:rFonts w:hint="eastAsia" w:hAnsi="宋体"/>
          <w:color w:val="auto"/>
        </w:rPr>
        <w:t>全部实质性要求，且投标报价最低的投标人为中标候选人的评标方法。</w:t>
      </w:r>
    </w:p>
    <w:p>
      <w:pPr>
        <w:autoSpaceDE w:val="0"/>
        <w:autoSpaceDN w:val="0"/>
        <w:adjustRightInd w:val="0"/>
        <w:spacing w:line="440" w:lineRule="exact"/>
        <w:ind w:firstLine="420" w:firstLineChars="200"/>
        <w:rPr>
          <w:rFonts w:ascii="宋体" w:hAnsi="宋体"/>
          <w:color w:val="auto"/>
          <w:sz w:val="24"/>
        </w:rPr>
      </w:pPr>
      <w:r>
        <w:rPr>
          <w:rFonts w:hint="eastAsia" w:hAnsi="宋体"/>
          <w:color w:val="auto"/>
        </w:rPr>
        <w:t>☑综合评分法，</w:t>
      </w:r>
      <w:r>
        <w:rPr>
          <w:rFonts w:hint="eastAsia" w:ascii="宋体" w:hAnsi="宋体"/>
          <w:color w:val="auto"/>
          <w:szCs w:val="20"/>
        </w:rPr>
        <w:t xml:space="preserve">是指投标文件满足招标文件全部实质性要求，且按照评审因素的量化指标评审得分最高的投标人为中标候选人的评标方法。评标委员会将对各投标人的投标文件进行综合评审，对实质上响应招标文件的投标人，由各评委独立记名打分。经统计，得出各投标人的综合得分,按综合得分由高到低顺序排列。若综合得分相同的，按投标报价由低到高顺序排列。若综合得分且投标报价相同的，服务类采购项目以“投标人须知前附表”规定的方式排列。 </w:t>
      </w:r>
    </w:p>
    <w:p>
      <w:pPr>
        <w:pStyle w:val="14"/>
        <w:spacing w:line="440" w:lineRule="exact"/>
        <w:ind w:firstLine="420"/>
        <w:rPr>
          <w:rFonts w:hAnsi="宋体"/>
          <w:color w:val="auto"/>
        </w:rPr>
      </w:pPr>
    </w:p>
    <w:p>
      <w:pPr>
        <w:pStyle w:val="14"/>
        <w:tabs>
          <w:tab w:val="left" w:pos="2472"/>
        </w:tabs>
        <w:spacing w:line="440" w:lineRule="exact"/>
        <w:jc w:val="center"/>
        <w:outlineLvl w:val="1"/>
        <w:rPr>
          <w:rFonts w:ascii="Times New Roman" w:hAnsi="Times New Roman"/>
          <w:b/>
          <w:bCs/>
          <w:color w:val="auto"/>
          <w:sz w:val="32"/>
          <w:szCs w:val="32"/>
        </w:rPr>
      </w:pPr>
      <w:bookmarkStart w:id="292" w:name="_Toc18477"/>
      <w:bookmarkStart w:id="293" w:name="_Toc10545"/>
      <w:bookmarkStart w:id="294" w:name="_Toc24507"/>
      <w:bookmarkStart w:id="295" w:name="_Toc23151"/>
      <w:bookmarkStart w:id="296" w:name="_Toc588"/>
      <w:bookmarkStart w:id="297" w:name="_Toc30114"/>
      <w:bookmarkStart w:id="298" w:name="_Toc4190"/>
      <w:bookmarkStart w:id="299" w:name="_Toc1643"/>
      <w:bookmarkStart w:id="300" w:name="_Toc9259"/>
      <w:bookmarkStart w:id="301" w:name="_Toc9023"/>
      <w:r>
        <w:rPr>
          <w:rFonts w:hint="eastAsia" w:ascii="Times New Roman" w:hAnsi="Times New Roman"/>
          <w:b/>
          <w:bCs/>
          <w:color w:val="auto"/>
          <w:sz w:val="32"/>
          <w:szCs w:val="32"/>
        </w:rPr>
        <w:t>第二节评标程序</w:t>
      </w:r>
      <w:bookmarkEnd w:id="292"/>
      <w:bookmarkEnd w:id="293"/>
      <w:bookmarkEnd w:id="294"/>
      <w:bookmarkEnd w:id="295"/>
      <w:bookmarkEnd w:id="296"/>
      <w:bookmarkEnd w:id="297"/>
      <w:bookmarkEnd w:id="298"/>
      <w:bookmarkEnd w:id="299"/>
      <w:bookmarkEnd w:id="300"/>
      <w:bookmarkEnd w:id="301"/>
    </w:p>
    <w:p>
      <w:pPr>
        <w:spacing w:line="440" w:lineRule="exact"/>
        <w:ind w:firstLine="422" w:firstLineChars="200"/>
        <w:rPr>
          <w:rFonts w:ascii="宋体" w:hAnsi="宋体"/>
          <w:b/>
          <w:color w:val="auto"/>
          <w:szCs w:val="21"/>
        </w:rPr>
      </w:pPr>
      <w:r>
        <w:rPr>
          <w:rFonts w:hint="eastAsia" w:ascii="宋体" w:hAnsi="宋体"/>
          <w:b/>
          <w:color w:val="auto"/>
          <w:szCs w:val="21"/>
        </w:rPr>
        <w:t>1.符合性审查</w:t>
      </w:r>
    </w:p>
    <w:p>
      <w:pPr>
        <w:spacing w:line="440" w:lineRule="exact"/>
        <w:ind w:firstLine="420" w:firstLineChars="200"/>
        <w:rPr>
          <w:rFonts w:hAnsi="宋体"/>
          <w:color w:val="auto"/>
        </w:rPr>
      </w:pPr>
      <w:r>
        <w:rPr>
          <w:rFonts w:hint="eastAsia" w:hAnsi="宋体"/>
          <w:color w:val="auto"/>
        </w:rPr>
        <w:t>评标委员会应当对符合资格的投标人的投标文件进行投标报价、商务、技术等实质性内容符合性审查，以确定其是否满足招标文件的实质性要求。</w:t>
      </w:r>
    </w:p>
    <w:p>
      <w:pPr>
        <w:spacing w:line="440" w:lineRule="exact"/>
        <w:ind w:firstLine="422" w:firstLineChars="200"/>
        <w:rPr>
          <w:rFonts w:ascii="宋体" w:hAnsi="宋体"/>
          <w:b/>
          <w:color w:val="auto"/>
          <w:szCs w:val="21"/>
        </w:rPr>
      </w:pPr>
      <w:r>
        <w:rPr>
          <w:rFonts w:hint="eastAsia" w:ascii="宋体" w:hAnsi="宋体"/>
          <w:b/>
          <w:color w:val="auto"/>
          <w:szCs w:val="21"/>
        </w:rPr>
        <w:t>2.符合性审查不通过而导致投标无效的情形</w:t>
      </w:r>
    </w:p>
    <w:p>
      <w:pPr>
        <w:spacing w:line="440" w:lineRule="exact"/>
        <w:ind w:firstLine="420" w:firstLineChars="200"/>
        <w:rPr>
          <w:rFonts w:ascii="宋体" w:hAnsi="宋体"/>
          <w:color w:val="auto"/>
          <w:szCs w:val="21"/>
        </w:rPr>
      </w:pPr>
      <w:r>
        <w:rPr>
          <w:rFonts w:hint="eastAsia" w:ascii="宋体" w:hAnsi="宋体"/>
          <w:color w:val="auto"/>
          <w:szCs w:val="21"/>
        </w:rPr>
        <w:t>投标人的投标文件中存在对招标文件的任何实质性要求和条件的负偏离，将被视为投标无效。</w:t>
      </w:r>
    </w:p>
    <w:p>
      <w:pPr>
        <w:spacing w:line="440" w:lineRule="exact"/>
        <w:ind w:firstLine="420" w:firstLineChars="200"/>
        <w:rPr>
          <w:rFonts w:ascii="宋体" w:hAnsi="宋体"/>
          <w:color w:val="auto"/>
          <w:szCs w:val="21"/>
        </w:rPr>
      </w:pPr>
      <w:r>
        <w:rPr>
          <w:rFonts w:hint="eastAsia" w:ascii="宋体" w:hAnsi="宋体"/>
          <w:color w:val="auto"/>
          <w:szCs w:val="21"/>
        </w:rPr>
        <w:t>2.1在报价评审时，如发现下列情形之一的，将被视为投标无效：</w:t>
      </w:r>
    </w:p>
    <w:p>
      <w:pPr>
        <w:spacing w:line="440" w:lineRule="exact"/>
        <w:ind w:firstLine="420" w:firstLineChars="200"/>
        <w:rPr>
          <w:rFonts w:ascii="宋体" w:hAnsi="宋体"/>
          <w:color w:val="auto"/>
          <w:szCs w:val="21"/>
        </w:rPr>
      </w:pPr>
      <w:r>
        <w:rPr>
          <w:rFonts w:hint="eastAsia" w:ascii="宋体" w:hAnsi="宋体"/>
          <w:color w:val="auto"/>
          <w:szCs w:val="21"/>
        </w:rPr>
        <w:t>（1）投标文件未提供“投标人须知前附表”第13.1条规定中“必须提供”的文件资料的;</w:t>
      </w:r>
    </w:p>
    <w:p>
      <w:pPr>
        <w:spacing w:line="440" w:lineRule="exact"/>
        <w:ind w:firstLine="420" w:firstLineChars="200"/>
        <w:rPr>
          <w:rFonts w:ascii="宋体" w:hAnsi="宋体"/>
          <w:color w:val="auto"/>
          <w:szCs w:val="21"/>
        </w:rPr>
      </w:pPr>
      <w:r>
        <w:rPr>
          <w:rFonts w:hint="eastAsia" w:ascii="宋体" w:hAnsi="宋体"/>
          <w:color w:val="auto"/>
          <w:szCs w:val="21"/>
        </w:rPr>
        <w:t>（2）未采用人民币报价或者未按照招标文件标明的币种报价的；</w:t>
      </w:r>
    </w:p>
    <w:p>
      <w:pPr>
        <w:spacing w:line="440" w:lineRule="exact"/>
        <w:ind w:firstLine="420" w:firstLineChars="200"/>
        <w:rPr>
          <w:rFonts w:ascii="宋体" w:hAnsi="宋体"/>
          <w:color w:val="auto"/>
          <w:szCs w:val="21"/>
        </w:rPr>
      </w:pPr>
      <w:r>
        <w:rPr>
          <w:rFonts w:hint="eastAsia" w:ascii="宋体" w:hAnsi="宋体"/>
          <w:color w:val="auto"/>
          <w:szCs w:val="21"/>
        </w:rPr>
        <w:t>（3）报价超出招标文件规定最高限价，或者超出采购预算金额的；</w:t>
      </w:r>
    </w:p>
    <w:p>
      <w:pPr>
        <w:spacing w:line="440" w:lineRule="exact"/>
        <w:ind w:firstLine="420" w:firstLineChars="200"/>
        <w:rPr>
          <w:rFonts w:ascii="宋体" w:hAnsi="宋体"/>
          <w:color w:val="auto"/>
          <w:szCs w:val="21"/>
        </w:rPr>
      </w:pPr>
      <w:r>
        <w:rPr>
          <w:rFonts w:hint="eastAsia" w:ascii="宋体" w:hAnsi="宋体"/>
          <w:color w:val="auto"/>
          <w:szCs w:val="21"/>
        </w:rPr>
        <w:t>（4）投标人未就所投</w:t>
      </w:r>
      <w:r>
        <w:rPr>
          <w:rFonts w:hint="eastAsia" w:ascii="宋体" w:hAnsi="宋体" w:cs="宋体"/>
          <w:color w:val="auto"/>
          <w:szCs w:val="21"/>
        </w:rPr>
        <w:t>项目</w:t>
      </w:r>
      <w:r>
        <w:rPr>
          <w:rFonts w:hint="eastAsia" w:ascii="宋体" w:hAnsi="宋体"/>
          <w:color w:val="auto"/>
          <w:szCs w:val="21"/>
        </w:rPr>
        <w:t>进行报价或者存在漏项报价；投标人未就所投</w:t>
      </w:r>
      <w:r>
        <w:rPr>
          <w:rFonts w:hint="eastAsia" w:ascii="宋体" w:hAnsi="宋体" w:cs="宋体"/>
          <w:color w:val="auto"/>
          <w:szCs w:val="21"/>
        </w:rPr>
        <w:t>项目</w:t>
      </w:r>
      <w:r>
        <w:rPr>
          <w:rFonts w:hint="eastAsia" w:ascii="宋体" w:hAnsi="宋体"/>
          <w:color w:val="auto"/>
          <w:szCs w:val="21"/>
        </w:rPr>
        <w:t>的单项内容作唯一报价；投标人未就所投</w:t>
      </w:r>
      <w:r>
        <w:rPr>
          <w:rFonts w:hint="eastAsia" w:ascii="宋体" w:hAnsi="宋体" w:cs="宋体"/>
          <w:color w:val="auto"/>
          <w:szCs w:val="21"/>
        </w:rPr>
        <w:t>项目</w:t>
      </w:r>
      <w:r>
        <w:rPr>
          <w:rFonts w:hint="eastAsia" w:ascii="宋体" w:hAnsi="宋体"/>
          <w:color w:val="auto"/>
          <w:szCs w:val="21"/>
        </w:rPr>
        <w:t>的全部内容作唯一总价报价；存在有选择、有条件报价的（招标文件允许有备选方案或者其他约定的除外）；</w:t>
      </w:r>
    </w:p>
    <w:p>
      <w:pPr>
        <w:spacing w:line="440" w:lineRule="exact"/>
        <w:ind w:firstLine="420" w:firstLineChars="200"/>
        <w:rPr>
          <w:rFonts w:ascii="宋体" w:hAnsi="宋体"/>
          <w:color w:val="auto"/>
          <w:szCs w:val="21"/>
        </w:rPr>
      </w:pPr>
      <w:r>
        <w:rPr>
          <w:rFonts w:hint="eastAsia" w:ascii="宋体" w:hAnsi="宋体"/>
          <w:color w:val="auto"/>
          <w:szCs w:val="21"/>
        </w:rPr>
        <w:t>（5）修正后的报价，投标人不确认的；</w:t>
      </w:r>
    </w:p>
    <w:p>
      <w:pPr>
        <w:spacing w:line="440" w:lineRule="exact"/>
        <w:ind w:firstLine="420" w:firstLineChars="200"/>
        <w:rPr>
          <w:rFonts w:ascii="宋体" w:hAnsi="宋体"/>
          <w:color w:val="auto"/>
          <w:szCs w:val="21"/>
        </w:rPr>
      </w:pPr>
      <w:r>
        <w:rPr>
          <w:rFonts w:hint="eastAsia" w:ascii="宋体" w:hAnsi="宋体"/>
          <w:color w:val="auto"/>
          <w:szCs w:val="21"/>
        </w:rPr>
        <w:t>（6）投标人属于本章第5条第（2）项情形的。</w:t>
      </w:r>
    </w:p>
    <w:p>
      <w:pPr>
        <w:spacing w:line="440" w:lineRule="exact"/>
        <w:ind w:firstLine="420" w:firstLineChars="200"/>
        <w:rPr>
          <w:rFonts w:ascii="宋体" w:hAnsi="宋体"/>
          <w:color w:val="auto"/>
          <w:szCs w:val="21"/>
        </w:rPr>
      </w:pPr>
      <w:r>
        <w:rPr>
          <w:rFonts w:hint="eastAsia" w:ascii="宋体" w:hAnsi="宋体"/>
          <w:color w:val="auto"/>
          <w:szCs w:val="21"/>
        </w:rPr>
        <w:t>2.2在商务评审时，如发现下列情形之一的，将被视为投标无效：</w:t>
      </w:r>
    </w:p>
    <w:p>
      <w:pPr>
        <w:spacing w:line="440" w:lineRule="exact"/>
        <w:ind w:firstLine="420" w:firstLineChars="200"/>
        <w:rPr>
          <w:rFonts w:ascii="宋体" w:hAnsi="宋体"/>
          <w:color w:val="auto"/>
          <w:szCs w:val="21"/>
        </w:rPr>
      </w:pPr>
      <w:r>
        <w:rPr>
          <w:rFonts w:hint="eastAsia" w:ascii="宋体" w:hAnsi="宋体"/>
          <w:color w:val="auto"/>
          <w:szCs w:val="21"/>
        </w:rPr>
        <w:t>（1）投标文件未按招标文件要求签署、盖章的；</w:t>
      </w:r>
    </w:p>
    <w:p>
      <w:pPr>
        <w:spacing w:line="440" w:lineRule="exact"/>
        <w:ind w:firstLine="420" w:firstLineChars="200"/>
        <w:rPr>
          <w:rFonts w:ascii="宋体" w:hAnsi="宋体"/>
          <w:color w:val="auto"/>
          <w:szCs w:val="21"/>
        </w:rPr>
      </w:pPr>
      <w:r>
        <w:rPr>
          <w:rFonts w:hint="eastAsia" w:ascii="宋体" w:hAnsi="宋体"/>
          <w:color w:val="auto"/>
          <w:szCs w:val="21"/>
        </w:rPr>
        <w:t>（2）委托代理人未能出具有效身份证明或者出具的身份证明与授权委托书中的信息不符的；</w:t>
      </w:r>
    </w:p>
    <w:p>
      <w:pPr>
        <w:spacing w:line="440" w:lineRule="exact"/>
        <w:ind w:firstLine="420" w:firstLineChars="200"/>
        <w:rPr>
          <w:rFonts w:ascii="宋体" w:hAnsi="宋体"/>
          <w:color w:val="auto"/>
          <w:szCs w:val="21"/>
        </w:rPr>
      </w:pPr>
      <w:r>
        <w:rPr>
          <w:rFonts w:hint="eastAsia" w:ascii="宋体" w:hAnsi="宋体"/>
          <w:color w:val="auto"/>
          <w:szCs w:val="21"/>
        </w:rPr>
        <w:t xml:space="preserve">（3）为无效投标保证金的或者未按照招标文件的规定提交投标保证金的； </w:t>
      </w:r>
    </w:p>
    <w:p>
      <w:pPr>
        <w:spacing w:line="440" w:lineRule="exact"/>
        <w:ind w:firstLine="420" w:firstLineChars="200"/>
        <w:rPr>
          <w:rFonts w:ascii="宋体" w:hAnsi="宋体"/>
          <w:color w:val="auto"/>
          <w:szCs w:val="21"/>
        </w:rPr>
      </w:pPr>
      <w:r>
        <w:rPr>
          <w:rFonts w:hint="eastAsia" w:ascii="宋体" w:hAnsi="宋体"/>
          <w:color w:val="auto"/>
          <w:szCs w:val="21"/>
        </w:rPr>
        <w:t>（4）投标文件未提供“投标人须知前附表”第13.1条规定中“必须提供”或者“委托时必须提供”的文件资料的;</w:t>
      </w:r>
    </w:p>
    <w:p>
      <w:pPr>
        <w:spacing w:line="440" w:lineRule="exact"/>
        <w:ind w:firstLine="420" w:firstLineChars="200"/>
        <w:rPr>
          <w:rFonts w:ascii="宋体" w:hAnsi="宋体"/>
          <w:color w:val="auto"/>
          <w:szCs w:val="21"/>
        </w:rPr>
      </w:pPr>
      <w:r>
        <w:rPr>
          <w:rFonts w:hint="eastAsia" w:ascii="宋体" w:hAnsi="宋体"/>
          <w:color w:val="auto"/>
          <w:szCs w:val="21"/>
        </w:rPr>
        <w:t>（5）投标有效期、项目完成时间（交货时间、服务完成时间或者服务期等</w:t>
      </w:r>
      <w:r>
        <w:rPr>
          <w:rFonts w:hint="eastAsia" w:ascii="宋体" w:hAnsi="宋体"/>
          <w:color w:val="auto"/>
          <w:szCs w:val="21"/>
          <w:lang w:eastAsia="zh-CN"/>
        </w:rPr>
        <w:t>）</w:t>
      </w:r>
      <w:r>
        <w:rPr>
          <w:rFonts w:hint="eastAsia" w:ascii="宋体" w:hAnsi="宋体"/>
          <w:color w:val="auto"/>
          <w:szCs w:val="21"/>
        </w:rPr>
        <w:t>质保期及招标文件中标“▲”的商务条款发生负偏离的；</w:t>
      </w:r>
    </w:p>
    <w:p>
      <w:pPr>
        <w:spacing w:line="440" w:lineRule="exact"/>
        <w:ind w:firstLine="420" w:firstLineChars="200"/>
        <w:rPr>
          <w:rFonts w:ascii="宋体" w:hAnsi="宋体"/>
          <w:color w:val="auto"/>
          <w:szCs w:val="21"/>
        </w:rPr>
      </w:pPr>
      <w:r>
        <w:rPr>
          <w:rFonts w:hint="eastAsia" w:ascii="宋体" w:hAnsi="宋体"/>
          <w:color w:val="auto"/>
          <w:szCs w:val="21"/>
        </w:rPr>
        <w:t>（6）商务条款评审允许负偏离的条款数超过“投标人须知前附表”规定项数的。</w:t>
      </w:r>
    </w:p>
    <w:p>
      <w:pPr>
        <w:spacing w:line="440" w:lineRule="exact"/>
        <w:ind w:firstLine="420" w:firstLineChars="200"/>
        <w:rPr>
          <w:rFonts w:ascii="宋体" w:hAnsi="宋体"/>
          <w:color w:val="auto"/>
          <w:szCs w:val="21"/>
        </w:rPr>
      </w:pPr>
      <w:r>
        <w:rPr>
          <w:rFonts w:hint="eastAsia" w:ascii="宋体" w:hAnsi="宋体"/>
          <w:color w:val="auto"/>
          <w:szCs w:val="21"/>
        </w:rPr>
        <w:t>（7）投标文件的实质性内容未使用中文表述、使用计量单位不符合招标文件要求的；</w:t>
      </w:r>
    </w:p>
    <w:p>
      <w:pPr>
        <w:spacing w:line="440" w:lineRule="exact"/>
        <w:ind w:firstLine="420" w:firstLineChars="200"/>
        <w:rPr>
          <w:rFonts w:ascii="宋体" w:hAnsi="宋体"/>
          <w:color w:val="auto"/>
          <w:szCs w:val="21"/>
        </w:rPr>
      </w:pPr>
      <w:r>
        <w:rPr>
          <w:rFonts w:hint="eastAsia" w:ascii="宋体" w:hAnsi="宋体"/>
          <w:color w:val="auto"/>
          <w:szCs w:val="21"/>
        </w:rPr>
        <w:t>（8）投标文件中的文件资料因填写不齐全或者内容虚假或者出现其他情形而导致被评标委员会认定无效的；</w:t>
      </w:r>
    </w:p>
    <w:p>
      <w:pPr>
        <w:spacing w:line="440" w:lineRule="exact"/>
        <w:ind w:firstLine="420" w:firstLineChars="200"/>
        <w:rPr>
          <w:rFonts w:ascii="宋体" w:hAnsi="宋体"/>
          <w:color w:val="auto"/>
          <w:szCs w:val="21"/>
        </w:rPr>
      </w:pPr>
      <w:r>
        <w:rPr>
          <w:rFonts w:hint="eastAsia" w:ascii="宋体" w:hAnsi="宋体"/>
          <w:color w:val="auto"/>
          <w:szCs w:val="21"/>
        </w:rPr>
        <w:t>（9）投标文件含有采购人不能接受的附加条件的；</w:t>
      </w:r>
    </w:p>
    <w:p>
      <w:pPr>
        <w:spacing w:line="440" w:lineRule="exact"/>
        <w:ind w:firstLine="420" w:firstLineChars="200"/>
        <w:rPr>
          <w:rFonts w:ascii="宋体" w:hAnsi="宋体"/>
          <w:color w:val="auto"/>
          <w:szCs w:val="21"/>
        </w:rPr>
      </w:pPr>
      <w:r>
        <w:rPr>
          <w:rFonts w:hint="eastAsia" w:ascii="宋体" w:hAnsi="宋体"/>
          <w:color w:val="auto"/>
          <w:szCs w:val="21"/>
        </w:rPr>
        <w:t>（10）未响应招标文件实质性要求的；</w:t>
      </w:r>
    </w:p>
    <w:p>
      <w:pPr>
        <w:spacing w:line="440" w:lineRule="exact"/>
        <w:ind w:firstLine="420" w:firstLineChars="200"/>
        <w:rPr>
          <w:rFonts w:ascii="宋体" w:hAnsi="宋体"/>
          <w:color w:val="auto"/>
          <w:szCs w:val="21"/>
        </w:rPr>
      </w:pPr>
      <w:r>
        <w:rPr>
          <w:rFonts w:hint="eastAsia" w:ascii="宋体" w:hAnsi="宋体"/>
          <w:color w:val="auto"/>
          <w:szCs w:val="21"/>
        </w:rPr>
        <w:t>（11）属于投标人须知正文第9.2条情形的；</w:t>
      </w:r>
    </w:p>
    <w:p>
      <w:pPr>
        <w:spacing w:line="440" w:lineRule="exact"/>
        <w:ind w:firstLine="420" w:firstLineChars="200"/>
        <w:rPr>
          <w:rFonts w:ascii="宋体" w:hAnsi="宋体"/>
          <w:color w:val="auto"/>
          <w:szCs w:val="21"/>
        </w:rPr>
      </w:pPr>
      <w:r>
        <w:rPr>
          <w:rFonts w:hint="eastAsia" w:ascii="宋体" w:hAnsi="宋体"/>
          <w:color w:val="auto"/>
          <w:szCs w:val="21"/>
        </w:rPr>
        <w:t>（12）法律、法规和招标文件规定的其他无效情形。</w:t>
      </w:r>
    </w:p>
    <w:p>
      <w:pPr>
        <w:spacing w:line="440" w:lineRule="exact"/>
        <w:ind w:firstLine="420" w:firstLineChars="200"/>
        <w:rPr>
          <w:rFonts w:ascii="宋体" w:hAnsi="宋体"/>
          <w:color w:val="auto"/>
          <w:szCs w:val="21"/>
        </w:rPr>
      </w:pPr>
      <w:r>
        <w:rPr>
          <w:rFonts w:hint="eastAsia" w:ascii="宋体" w:hAnsi="宋体"/>
          <w:color w:val="auto"/>
          <w:szCs w:val="21"/>
        </w:rPr>
        <w:t>2.3在技术评审时，如发现下列情形之一的，将被视为投标无效：</w:t>
      </w:r>
    </w:p>
    <w:p>
      <w:pPr>
        <w:spacing w:line="440" w:lineRule="exact"/>
        <w:ind w:firstLine="420" w:firstLineChars="200"/>
        <w:rPr>
          <w:rFonts w:ascii="宋体" w:hAnsi="宋体" w:cs="宋体"/>
          <w:color w:val="auto"/>
          <w:szCs w:val="21"/>
        </w:rPr>
      </w:pPr>
      <w:r>
        <w:rPr>
          <w:rFonts w:hint="eastAsia" w:ascii="宋体" w:hAnsi="宋体" w:cs="宋体"/>
          <w:color w:val="auto"/>
          <w:szCs w:val="21"/>
        </w:rPr>
        <w:t>（1）不满足招标文件要求的服务内容、技术要求、安全、质量标准，或者与招标文件中标“▲”的技术需求发生负偏离的；</w:t>
      </w:r>
    </w:p>
    <w:p>
      <w:pPr>
        <w:spacing w:line="440" w:lineRule="exact"/>
        <w:ind w:firstLine="420" w:firstLineChars="200"/>
        <w:rPr>
          <w:rFonts w:ascii="宋体" w:hAnsi="宋体" w:cs="宋体"/>
          <w:color w:val="auto"/>
          <w:szCs w:val="21"/>
        </w:rPr>
      </w:pPr>
      <w:r>
        <w:rPr>
          <w:rFonts w:hint="eastAsia" w:ascii="宋体" w:hAnsi="宋体" w:cs="宋体"/>
          <w:color w:val="auto"/>
          <w:szCs w:val="21"/>
        </w:rPr>
        <w:t>（2）技术需求评审允许负偏离的条款数超过“投标人须知前附表”规定项数的；</w:t>
      </w:r>
    </w:p>
    <w:p>
      <w:pPr>
        <w:spacing w:line="440" w:lineRule="exact"/>
        <w:ind w:firstLine="420" w:firstLineChars="200"/>
        <w:rPr>
          <w:rFonts w:ascii="宋体" w:hAnsi="宋体" w:cs="宋体"/>
          <w:color w:val="auto"/>
          <w:szCs w:val="21"/>
        </w:rPr>
      </w:pPr>
      <w:r>
        <w:rPr>
          <w:rFonts w:hint="eastAsia" w:ascii="宋体" w:hAnsi="宋体" w:cs="宋体"/>
          <w:color w:val="auto"/>
          <w:szCs w:val="21"/>
        </w:rPr>
        <w:t>（3）投标文件未提供“投标人须知前附表”第13.1条规定中“必须提供”的文件资料的;</w:t>
      </w:r>
    </w:p>
    <w:p>
      <w:pPr>
        <w:spacing w:line="440" w:lineRule="exact"/>
        <w:ind w:firstLine="420" w:firstLineChars="200"/>
        <w:rPr>
          <w:rFonts w:ascii="宋体" w:hAnsi="宋体" w:cs="宋体"/>
          <w:color w:val="auto"/>
          <w:szCs w:val="21"/>
        </w:rPr>
      </w:pPr>
      <w:r>
        <w:rPr>
          <w:rFonts w:hint="eastAsia" w:ascii="宋体" w:hAnsi="宋体" w:cs="宋体"/>
          <w:color w:val="auto"/>
          <w:szCs w:val="21"/>
        </w:rPr>
        <w:t>（4）虚假投标，或者出现其他情形而导致被评标委员会认定无效的；</w:t>
      </w:r>
    </w:p>
    <w:p>
      <w:pPr>
        <w:spacing w:line="440" w:lineRule="exact"/>
        <w:ind w:firstLine="420" w:firstLineChars="200"/>
        <w:rPr>
          <w:rFonts w:ascii="宋体" w:hAnsi="宋体" w:cs="宋体"/>
          <w:color w:val="auto"/>
          <w:szCs w:val="21"/>
        </w:rPr>
      </w:pPr>
      <w:r>
        <w:rPr>
          <w:rFonts w:hint="eastAsia" w:ascii="宋体" w:hAnsi="宋体" w:cs="宋体"/>
          <w:color w:val="auto"/>
          <w:szCs w:val="21"/>
        </w:rPr>
        <w:t>（5）招标文件要求提供技术方案的，投标技术方案不明确，招标文件未允许但存在一个或者一个以上备选（替代）投标方案的。</w:t>
      </w:r>
    </w:p>
    <w:p>
      <w:pPr>
        <w:spacing w:line="440" w:lineRule="exact"/>
        <w:ind w:firstLine="422" w:firstLineChars="200"/>
        <w:rPr>
          <w:rFonts w:ascii="宋体" w:hAnsi="宋体"/>
          <w:b/>
          <w:color w:val="auto"/>
          <w:szCs w:val="21"/>
        </w:rPr>
      </w:pPr>
      <w:r>
        <w:rPr>
          <w:rFonts w:hint="eastAsia" w:ascii="宋体" w:hAnsi="宋体"/>
          <w:b/>
          <w:color w:val="auto"/>
          <w:szCs w:val="21"/>
        </w:rPr>
        <w:t>3.澄清补正、说明或者补正</w:t>
      </w:r>
    </w:p>
    <w:p>
      <w:pPr>
        <w:spacing w:line="440" w:lineRule="exact"/>
        <w:ind w:firstLine="420" w:firstLineChars="200"/>
        <w:rPr>
          <w:rFonts w:ascii="宋体" w:hAnsi="宋体" w:cs="Courier New"/>
          <w:color w:val="auto"/>
          <w:szCs w:val="21"/>
        </w:rPr>
      </w:pPr>
      <w:r>
        <w:rPr>
          <w:rFonts w:hint="eastAsia" w:ascii="宋体" w:hAnsi="宋体" w:cs="Courier New"/>
          <w:color w:val="auto"/>
          <w:szCs w:val="21"/>
        </w:rPr>
        <w:t>对投标文件中含义不明确、同类问题表述不一致或者有明显文字和计算错误的内容，评标委员会应在“政采云”平台发布电子澄清函，要求投标人在规定时间内作出必要的澄清、说明或者补正。投标人在“政采云”平台接收到电子澄清函后根据澄清函内容上传PDF格式回函，电子澄清答复函使用CA证书加盖投标人公章后在线上传至评标委员会。投标人的澄清、说明或者补正不得超出投标文件的范围或者改变投标文件的实质性内容。投标人未在规定时间内进行澄清、说明或者补正的，有可能对评审产生影响。</w:t>
      </w:r>
    </w:p>
    <w:p>
      <w:pPr>
        <w:spacing w:line="440" w:lineRule="exact"/>
        <w:ind w:firstLine="420" w:firstLineChars="200"/>
        <w:rPr>
          <w:rFonts w:ascii="宋体" w:hAnsi="宋体" w:cs="Courier New"/>
          <w:color w:val="auto"/>
          <w:szCs w:val="21"/>
        </w:rPr>
      </w:pPr>
      <w:r>
        <w:rPr>
          <w:rFonts w:hint="eastAsia" w:ascii="宋体" w:hAnsi="宋体" w:cs="Courier New"/>
          <w:color w:val="auto"/>
          <w:szCs w:val="21"/>
        </w:rPr>
        <w:t>异常情况处理：如遇无法正常使用线上发送澄清函的情况，将启动书面形式办理。启动书面形式办理的情况下，评标委员会以书面形式要求投标人在规定时间内作出必要的澄清、说明或者补正。投标人的澄清、说明或者补正必须采用书面形式，并加盖公章，或者由法定代表人或者其授权的代表签字。</w:t>
      </w:r>
    </w:p>
    <w:p>
      <w:pPr>
        <w:spacing w:line="440" w:lineRule="exact"/>
        <w:ind w:firstLine="422" w:firstLineChars="200"/>
        <w:rPr>
          <w:rFonts w:ascii="宋体" w:hAnsi="宋体"/>
          <w:b/>
          <w:color w:val="auto"/>
          <w:szCs w:val="21"/>
        </w:rPr>
      </w:pPr>
      <w:r>
        <w:rPr>
          <w:rFonts w:hint="eastAsia" w:ascii="宋体" w:hAnsi="宋体"/>
          <w:b/>
          <w:color w:val="auto"/>
          <w:szCs w:val="21"/>
        </w:rPr>
        <w:t>4.投标文件修正</w:t>
      </w:r>
    </w:p>
    <w:p>
      <w:pPr>
        <w:spacing w:line="440" w:lineRule="exact"/>
        <w:ind w:firstLine="420" w:firstLineChars="200"/>
        <w:rPr>
          <w:rFonts w:ascii="宋体" w:hAnsi="宋体"/>
          <w:color w:val="auto"/>
          <w:szCs w:val="21"/>
        </w:rPr>
      </w:pPr>
      <w:r>
        <w:rPr>
          <w:rFonts w:hint="eastAsia" w:ascii="宋体" w:hAnsi="宋体"/>
          <w:color w:val="auto"/>
          <w:szCs w:val="21"/>
        </w:rPr>
        <w:t xml:space="preserve">4.1投标文件报价出现前后不一致的，按照下列规定修正： </w:t>
      </w:r>
    </w:p>
    <w:p>
      <w:pPr>
        <w:spacing w:line="440" w:lineRule="exact"/>
        <w:ind w:firstLine="420" w:firstLineChars="200"/>
        <w:rPr>
          <w:rFonts w:ascii="宋体" w:hAnsi="宋体" w:cs="宋体"/>
          <w:color w:val="auto"/>
        </w:rPr>
      </w:pPr>
      <w:r>
        <w:rPr>
          <w:rFonts w:hint="eastAsia" w:ascii="宋体" w:hAnsi="宋体" w:cs="宋体"/>
          <w:color w:val="auto"/>
        </w:rPr>
        <w:t>（1）报价文件中“开标一览表”内容与投标文件中相应内容不一致的，以“开标一览表”为准；</w:t>
      </w:r>
    </w:p>
    <w:p>
      <w:pPr>
        <w:spacing w:line="440" w:lineRule="exact"/>
        <w:ind w:firstLine="420" w:firstLineChars="200"/>
        <w:rPr>
          <w:rFonts w:ascii="宋体" w:hAnsi="宋体" w:cs="宋体"/>
          <w:color w:val="auto"/>
        </w:rPr>
      </w:pPr>
      <w:r>
        <w:rPr>
          <w:rFonts w:hint="eastAsia" w:ascii="宋体" w:hAnsi="宋体" w:cs="宋体"/>
          <w:color w:val="auto"/>
        </w:rPr>
        <w:t>（2）大写金额和小写金额不一致的，以大写金额为准；</w:t>
      </w:r>
    </w:p>
    <w:p>
      <w:pPr>
        <w:spacing w:line="440" w:lineRule="exact"/>
        <w:ind w:firstLine="420" w:firstLineChars="200"/>
        <w:rPr>
          <w:rFonts w:ascii="宋体" w:hAnsi="宋体" w:cs="宋体"/>
          <w:color w:val="auto"/>
        </w:rPr>
      </w:pPr>
      <w:r>
        <w:rPr>
          <w:rFonts w:hint="eastAsia" w:ascii="宋体" w:hAnsi="宋体" w:cs="宋体"/>
          <w:color w:val="auto"/>
        </w:rPr>
        <w:t>（3）单价金额小数点或者百分比有明显错位的，以开标一览表的总价为准，并修改单价；</w:t>
      </w:r>
    </w:p>
    <w:p>
      <w:pPr>
        <w:spacing w:line="440" w:lineRule="exact"/>
        <w:ind w:firstLine="420" w:firstLineChars="200"/>
        <w:rPr>
          <w:rFonts w:ascii="宋体" w:hAnsi="宋体" w:cs="宋体"/>
          <w:color w:val="auto"/>
        </w:rPr>
      </w:pPr>
      <w:r>
        <w:rPr>
          <w:rFonts w:hint="eastAsia" w:ascii="宋体" w:hAnsi="宋体" w:cs="宋体"/>
          <w:color w:val="auto"/>
        </w:rPr>
        <w:t>（4）总价金额与按单价汇总金额不一致的，以单价金额计算结果为准。</w:t>
      </w:r>
    </w:p>
    <w:p>
      <w:pPr>
        <w:spacing w:line="440" w:lineRule="exact"/>
        <w:ind w:firstLine="420" w:firstLineChars="200"/>
        <w:rPr>
          <w:rFonts w:hAnsi="宋体"/>
          <w:color w:val="auto"/>
        </w:rPr>
      </w:pPr>
      <w:r>
        <w:rPr>
          <w:rFonts w:hint="eastAsia" w:hAnsi="宋体"/>
          <w:color w:val="auto"/>
        </w:rPr>
        <w:t>同时出现两种以上不一致的，按照以上（</w:t>
      </w:r>
      <w:r>
        <w:rPr>
          <w:rFonts w:hAnsi="宋体"/>
          <w:color w:val="auto"/>
        </w:rPr>
        <w:t>1</w:t>
      </w:r>
      <w:r>
        <w:rPr>
          <w:rFonts w:hint="eastAsia" w:hAnsi="宋体"/>
          <w:color w:val="auto"/>
        </w:rPr>
        <w:t>）</w:t>
      </w:r>
      <w:r>
        <w:rPr>
          <w:rFonts w:hAnsi="宋体"/>
          <w:color w:val="auto"/>
        </w:rPr>
        <w:t>-</w:t>
      </w:r>
      <w:r>
        <w:rPr>
          <w:rFonts w:hint="eastAsia" w:hAnsi="宋体"/>
          <w:color w:val="auto"/>
        </w:rPr>
        <w:t>（</w:t>
      </w:r>
      <w:r>
        <w:rPr>
          <w:rFonts w:hAnsi="宋体"/>
          <w:color w:val="auto"/>
        </w:rPr>
        <w:t>4</w:t>
      </w:r>
      <w:r>
        <w:rPr>
          <w:rFonts w:hint="eastAsia" w:hAnsi="宋体"/>
          <w:color w:val="auto"/>
        </w:rPr>
        <w:t>）规定的顺序修正。修正后的报价经投标人确认后产生约束力，投标人不确认的，其投标无效。</w:t>
      </w:r>
    </w:p>
    <w:p>
      <w:pPr>
        <w:spacing w:line="440" w:lineRule="exact"/>
        <w:ind w:firstLine="420" w:firstLineChars="200"/>
        <w:rPr>
          <w:rFonts w:ascii="宋体" w:hAnsi="宋体"/>
          <w:color w:val="auto"/>
          <w:szCs w:val="21"/>
        </w:rPr>
      </w:pPr>
      <w:r>
        <w:rPr>
          <w:rFonts w:hint="eastAsia" w:ascii="宋体" w:hAnsi="宋体"/>
          <w:color w:val="auto"/>
          <w:szCs w:val="21"/>
        </w:rPr>
        <w:t>4.2经投标人确认修正后的报价若超过采购预算金额或者最高限价，投标人的投标文件作无效投标处理。</w:t>
      </w:r>
    </w:p>
    <w:p>
      <w:pPr>
        <w:spacing w:line="440" w:lineRule="exact"/>
        <w:ind w:firstLine="420" w:firstLineChars="200"/>
        <w:rPr>
          <w:rFonts w:ascii="宋体" w:hAnsi="宋体"/>
          <w:color w:val="auto"/>
          <w:szCs w:val="21"/>
        </w:rPr>
      </w:pPr>
      <w:r>
        <w:rPr>
          <w:rFonts w:hint="eastAsia" w:ascii="宋体" w:hAnsi="宋体"/>
          <w:color w:val="auto"/>
          <w:szCs w:val="21"/>
        </w:rPr>
        <w:t>4.3经投标人确认修正后的报价作为签订合同的依据，并以此报价计算价格分。</w:t>
      </w:r>
    </w:p>
    <w:p>
      <w:pPr>
        <w:spacing w:line="440" w:lineRule="exact"/>
        <w:ind w:firstLine="420" w:firstLineChars="200"/>
        <w:rPr>
          <w:rFonts w:ascii="宋体" w:hAnsi="宋体"/>
          <w:color w:val="auto"/>
          <w:szCs w:val="21"/>
        </w:rPr>
      </w:pPr>
      <w:r>
        <w:rPr>
          <w:rFonts w:hint="eastAsia" w:ascii="宋体" w:hAnsi="宋体"/>
          <w:color w:val="auto"/>
          <w:szCs w:val="21"/>
        </w:rPr>
        <w:t>5.比较与评价</w:t>
      </w:r>
    </w:p>
    <w:p>
      <w:pPr>
        <w:spacing w:line="440" w:lineRule="exact"/>
        <w:ind w:firstLine="420" w:firstLineChars="200"/>
        <w:rPr>
          <w:rFonts w:ascii="宋体" w:hAnsi="宋体" w:cs="宋体"/>
          <w:color w:val="auto"/>
        </w:rPr>
      </w:pPr>
      <w:r>
        <w:rPr>
          <w:rFonts w:hint="eastAsia" w:ascii="宋体" w:hAnsi="宋体" w:cs="宋体"/>
          <w:color w:val="auto"/>
        </w:rPr>
        <w:t>5.1评标委员会按照招标文件中规定的评标方法和评标标准，对符合性审查合格的投标文件进行商务和技术评估，综合比较与评价。</w:t>
      </w:r>
    </w:p>
    <w:p>
      <w:pPr>
        <w:spacing w:line="440" w:lineRule="exact"/>
        <w:ind w:firstLine="420" w:firstLineChars="200"/>
        <w:rPr>
          <w:rFonts w:ascii="宋体" w:hAnsi="宋体" w:cs="宋体"/>
          <w:color w:val="auto"/>
        </w:rPr>
      </w:pPr>
      <w:r>
        <w:rPr>
          <w:rFonts w:hint="eastAsia" w:ascii="宋体" w:hAnsi="宋体" w:cs="宋体"/>
          <w:color w:val="auto"/>
        </w:rPr>
        <w:t>5.2评标委员会各成员独立对每个投标人的投标文件进行评价，并汇总每个投标人的得分。</w:t>
      </w:r>
    </w:p>
    <w:p>
      <w:pPr>
        <w:spacing w:line="440" w:lineRule="exact"/>
        <w:ind w:firstLine="420" w:firstLineChars="200"/>
        <w:rPr>
          <w:rFonts w:ascii="宋体" w:hAnsi="宋体"/>
          <w:color w:val="auto"/>
          <w:szCs w:val="21"/>
        </w:rPr>
      </w:pPr>
      <w:r>
        <w:rPr>
          <w:rFonts w:hint="eastAsia" w:ascii="宋体" w:hAnsi="宋体"/>
          <w:color w:val="auto"/>
          <w:szCs w:val="21"/>
        </w:rPr>
        <w:t>（1）评审委员会成员要根据政府采购法律法规和招标文件所载明的评标方法、标准进行评审。对投标人的价格分等客观评分项的评分应当一致，对其他需要借助专业知识评判的主观评分项，应当严格按照评分细则公正评分。</w:t>
      </w:r>
    </w:p>
    <w:p>
      <w:pPr>
        <w:spacing w:line="440" w:lineRule="exact"/>
        <w:ind w:firstLine="420" w:firstLineChars="200"/>
        <w:rPr>
          <w:rFonts w:ascii="宋体" w:hAnsi="宋体"/>
          <w:color w:val="auto"/>
          <w:szCs w:val="21"/>
        </w:rPr>
      </w:pPr>
      <w:r>
        <w:rPr>
          <w:rFonts w:hint="eastAsia" w:ascii="宋体" w:hAnsi="宋体"/>
          <w:color w:val="auto"/>
          <w:szCs w:val="21"/>
        </w:rPr>
        <w:t>（2）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将其作为无效投标处理。</w:t>
      </w:r>
    </w:p>
    <w:p>
      <w:pPr>
        <w:spacing w:line="440" w:lineRule="exact"/>
        <w:ind w:firstLine="420" w:firstLineChars="200"/>
        <w:rPr>
          <w:rFonts w:ascii="宋体" w:hAnsi="宋体" w:cs="宋体"/>
          <w:color w:val="auto"/>
        </w:rPr>
      </w:pPr>
      <w:r>
        <w:rPr>
          <w:rFonts w:hint="eastAsia" w:ascii="宋体" w:hAnsi="宋体" w:cs="宋体"/>
          <w:color w:val="auto"/>
        </w:rPr>
        <w:t>5.3评标委员会按照招标文件中规定的评标方法和标准计算各投标人的报价得分。在评标过程中，不得去掉报价中的最高报价和最低报价。</w:t>
      </w:r>
    </w:p>
    <w:p>
      <w:pPr>
        <w:spacing w:line="440" w:lineRule="exact"/>
        <w:ind w:firstLine="420" w:firstLineChars="200"/>
        <w:rPr>
          <w:rFonts w:ascii="宋体" w:hAnsi="宋体" w:cs="宋体"/>
          <w:color w:val="auto"/>
        </w:rPr>
      </w:pPr>
      <w:r>
        <w:rPr>
          <w:rFonts w:hint="eastAsia" w:ascii="宋体" w:hAnsi="宋体" w:cs="宋体"/>
          <w:color w:val="auto"/>
        </w:rPr>
        <w:t>5.4各投标人的得分为评标委员会各成员的有效评分的算术平均数。</w:t>
      </w:r>
    </w:p>
    <w:p>
      <w:pPr>
        <w:spacing w:line="440" w:lineRule="exact"/>
        <w:ind w:firstLine="420" w:firstLineChars="200"/>
        <w:rPr>
          <w:rFonts w:ascii="宋体" w:hAnsi="宋体" w:cs="宋体"/>
          <w:color w:val="auto"/>
        </w:rPr>
      </w:pPr>
      <w:r>
        <w:rPr>
          <w:rFonts w:hint="eastAsia" w:ascii="宋体" w:hAnsi="宋体" w:cs="宋体"/>
          <w:color w:val="auto"/>
        </w:rPr>
        <w:t>5.5评标委员会按照招标文件中的规定推荐中标候选人。</w:t>
      </w:r>
    </w:p>
    <w:p>
      <w:pPr>
        <w:spacing w:line="440" w:lineRule="exact"/>
        <w:ind w:firstLine="420" w:firstLineChars="200"/>
        <w:rPr>
          <w:rFonts w:ascii="宋体" w:hAnsi="宋体" w:cs="宋体"/>
          <w:color w:val="auto"/>
        </w:rPr>
      </w:pPr>
      <w:r>
        <w:rPr>
          <w:rFonts w:hint="eastAsia" w:ascii="宋体" w:hAnsi="宋体" w:cs="宋体"/>
          <w:color w:val="auto"/>
        </w:rPr>
        <w:t>5.6起草并签署评标报告。评标委员会根据评标委员会各成员签字的原始评标记录和评标结果编写评标报告。评标委员会成员均应当在评标报告上签字，对自己的评标意见承担法律责任。对评标过程中需要共同认定的事项存在争议的，应当按照少数服从多数的原则做出结论。持不同意见的评标委员会应当在评标报告上签署不同意见及理由，否则视为同意评标报告。</w:t>
      </w:r>
    </w:p>
    <w:p>
      <w:pPr>
        <w:spacing w:line="440" w:lineRule="exact"/>
        <w:ind w:firstLine="422" w:firstLineChars="200"/>
        <w:rPr>
          <w:rFonts w:ascii="宋体" w:hAnsi="宋体"/>
          <w:b/>
          <w:color w:val="auto"/>
          <w:szCs w:val="21"/>
        </w:rPr>
      </w:pPr>
      <w:r>
        <w:rPr>
          <w:rFonts w:hint="eastAsia" w:ascii="宋体" w:hAnsi="宋体"/>
          <w:b/>
          <w:color w:val="auto"/>
          <w:szCs w:val="21"/>
        </w:rPr>
        <w:t>6.评审复核</w:t>
      </w:r>
    </w:p>
    <w:p>
      <w:pPr>
        <w:spacing w:line="440" w:lineRule="exact"/>
        <w:ind w:firstLine="420" w:firstLineChars="200"/>
        <w:rPr>
          <w:rFonts w:ascii="宋体" w:hAnsi="宋体"/>
          <w:color w:val="auto"/>
          <w:szCs w:val="21"/>
        </w:rPr>
      </w:pPr>
      <w:r>
        <w:rPr>
          <w:rFonts w:hint="eastAsia" w:ascii="宋体" w:hAnsi="宋体"/>
          <w:color w:val="auto"/>
          <w:szCs w:val="21"/>
        </w:rPr>
        <w:t>6.1评标报告签署前，评标委员会要对评审结果进行复核，复核意见要体现在评标报告中。</w:t>
      </w:r>
    </w:p>
    <w:p>
      <w:pPr>
        <w:spacing w:line="440" w:lineRule="exact"/>
        <w:ind w:firstLine="420" w:firstLineChars="200"/>
        <w:rPr>
          <w:rFonts w:hAnsi="宋体"/>
          <w:color w:val="auto"/>
        </w:rPr>
      </w:pPr>
      <w:r>
        <w:rPr>
          <w:rFonts w:hint="eastAsia" w:ascii="宋体" w:hAnsi="宋体" w:cs="宋体"/>
          <w:color w:val="auto"/>
        </w:rPr>
        <w:t>6.2</w:t>
      </w:r>
      <w:r>
        <w:rPr>
          <w:rFonts w:hint="eastAsia" w:hAnsi="宋体"/>
          <w:color w:val="auto"/>
        </w:rPr>
        <w:t>评标结果汇总完成后，除下列情形外，任何人不得修改评标结果：</w:t>
      </w:r>
    </w:p>
    <w:p>
      <w:pPr>
        <w:numPr>
          <w:ilvl w:val="0"/>
          <w:numId w:val="3"/>
        </w:numPr>
        <w:spacing w:line="440" w:lineRule="exact"/>
        <w:ind w:firstLine="420" w:firstLineChars="200"/>
        <w:rPr>
          <w:rFonts w:hAnsi="宋体"/>
          <w:color w:val="auto"/>
        </w:rPr>
      </w:pPr>
      <w:r>
        <w:rPr>
          <w:rFonts w:hint="eastAsia" w:hAnsi="宋体"/>
          <w:color w:val="auto"/>
        </w:rPr>
        <w:t>分值汇总计算错误的；</w:t>
      </w:r>
    </w:p>
    <w:p>
      <w:pPr>
        <w:numPr>
          <w:ilvl w:val="0"/>
          <w:numId w:val="3"/>
        </w:numPr>
        <w:spacing w:line="440" w:lineRule="exact"/>
        <w:ind w:firstLine="420" w:firstLineChars="200"/>
        <w:rPr>
          <w:rFonts w:hAnsi="宋体"/>
          <w:color w:val="auto"/>
        </w:rPr>
      </w:pPr>
      <w:r>
        <w:rPr>
          <w:rFonts w:hint="eastAsia" w:hAnsi="宋体"/>
          <w:color w:val="auto"/>
        </w:rPr>
        <w:t>分项评分超出评分标准范围的；</w:t>
      </w:r>
    </w:p>
    <w:p>
      <w:pPr>
        <w:numPr>
          <w:ilvl w:val="0"/>
          <w:numId w:val="3"/>
        </w:numPr>
        <w:spacing w:line="440" w:lineRule="exact"/>
        <w:ind w:firstLine="420" w:firstLineChars="200"/>
        <w:rPr>
          <w:rFonts w:hAnsi="宋体"/>
          <w:color w:val="auto"/>
        </w:rPr>
      </w:pPr>
      <w:r>
        <w:rPr>
          <w:rFonts w:hint="eastAsia" w:hAnsi="宋体"/>
          <w:color w:val="auto"/>
        </w:rPr>
        <w:t>评标委员会成员对客观评审因素评分不一致的；</w:t>
      </w:r>
    </w:p>
    <w:p>
      <w:pPr>
        <w:numPr>
          <w:ilvl w:val="0"/>
          <w:numId w:val="3"/>
        </w:numPr>
        <w:spacing w:line="440" w:lineRule="exact"/>
        <w:ind w:firstLine="420" w:firstLineChars="200"/>
        <w:rPr>
          <w:rFonts w:hAnsi="宋体"/>
          <w:color w:val="auto"/>
        </w:rPr>
      </w:pPr>
      <w:r>
        <w:rPr>
          <w:rFonts w:hint="eastAsia" w:hAnsi="宋体"/>
          <w:color w:val="auto"/>
        </w:rPr>
        <w:t>经评标委员会认定评分畸高、畸低的。</w:t>
      </w:r>
    </w:p>
    <w:p>
      <w:pPr>
        <w:spacing w:line="440" w:lineRule="exact"/>
        <w:ind w:firstLine="420" w:firstLineChars="200"/>
        <w:rPr>
          <w:rFonts w:hAnsi="宋体"/>
          <w:color w:val="auto"/>
        </w:rPr>
      </w:pPr>
      <w:r>
        <w:rPr>
          <w:rFonts w:hint="eastAsia" w:hAnsi="宋体"/>
          <w:color w:val="auto"/>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pStyle w:val="4"/>
        <w:jc w:val="center"/>
        <w:rPr>
          <w:b w:val="0"/>
          <w:color w:val="auto"/>
          <w:sz w:val="30"/>
          <w:szCs w:val="30"/>
        </w:rPr>
      </w:pPr>
      <w:bookmarkStart w:id="302" w:name="_Toc4866"/>
      <w:bookmarkStart w:id="303" w:name="_Toc19942"/>
      <w:bookmarkStart w:id="304" w:name="_Toc17834"/>
      <w:bookmarkStart w:id="305" w:name="_Toc22963"/>
      <w:bookmarkStart w:id="306" w:name="_Toc25728"/>
      <w:bookmarkStart w:id="307" w:name="_Toc28193"/>
      <w:bookmarkStart w:id="308" w:name="_Toc27331"/>
      <w:bookmarkStart w:id="309" w:name="_Toc28829"/>
      <w:bookmarkStart w:id="310" w:name="_Toc5755"/>
      <w:bookmarkStart w:id="311" w:name="_Toc13548"/>
      <w:r>
        <w:rPr>
          <w:rFonts w:hint="eastAsia"/>
          <w:b w:val="0"/>
          <w:color w:val="auto"/>
          <w:sz w:val="30"/>
          <w:szCs w:val="30"/>
        </w:rPr>
        <w:t>第三节评分标准</w:t>
      </w:r>
      <w:bookmarkEnd w:id="302"/>
      <w:bookmarkEnd w:id="303"/>
      <w:bookmarkEnd w:id="304"/>
      <w:bookmarkEnd w:id="305"/>
      <w:bookmarkEnd w:id="306"/>
      <w:bookmarkEnd w:id="307"/>
      <w:bookmarkEnd w:id="308"/>
      <w:bookmarkEnd w:id="309"/>
      <w:bookmarkEnd w:id="310"/>
      <w:bookmarkEnd w:id="311"/>
    </w:p>
    <w:p>
      <w:pPr>
        <w:pStyle w:val="14"/>
        <w:ind w:firstLine="602" w:firstLineChars="200"/>
        <w:jc w:val="center"/>
        <w:rPr>
          <w:rFonts w:ascii="Times New Roman" w:hAnsi="Times New Roman"/>
          <w:b/>
          <w:color w:val="auto"/>
          <w:sz w:val="30"/>
          <w:szCs w:val="30"/>
        </w:rPr>
      </w:pPr>
      <w:r>
        <w:rPr>
          <w:rFonts w:hint="eastAsia" w:ascii="Times New Roman" w:hAnsi="Times New Roman"/>
          <w:b/>
          <w:color w:val="auto"/>
          <w:sz w:val="30"/>
          <w:szCs w:val="30"/>
        </w:rPr>
        <w:t>综合评分法</w:t>
      </w:r>
    </w:p>
    <w:p>
      <w:pPr>
        <w:spacing w:line="360" w:lineRule="auto"/>
        <w:ind w:firstLine="420"/>
        <w:rPr>
          <w:rFonts w:ascii="宋体" w:hAnsi="宋体"/>
          <w:bCs/>
          <w:color w:val="auto"/>
          <w:szCs w:val="20"/>
        </w:rPr>
      </w:pPr>
    </w:p>
    <w:p>
      <w:pPr>
        <w:spacing w:line="360" w:lineRule="auto"/>
        <w:ind w:firstLine="420"/>
        <w:rPr>
          <w:rFonts w:hint="eastAsia" w:ascii="宋体" w:hAnsi="宋体"/>
          <w:bCs/>
          <w:color w:val="auto"/>
          <w:szCs w:val="20"/>
        </w:rPr>
      </w:pPr>
      <w:r>
        <w:rPr>
          <w:rFonts w:hint="eastAsia" w:ascii="宋体" w:hAnsi="宋体"/>
          <w:bCs/>
          <w:color w:val="auto"/>
          <w:szCs w:val="20"/>
        </w:rPr>
        <w:t>注：计分方法按四舍五入取至百分位。</w:t>
      </w:r>
    </w:p>
    <w:tbl>
      <w:tblPr>
        <w:tblStyle w:val="24"/>
        <w:tblW w:w="99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1744"/>
        <w:gridCol w:w="6587"/>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jc w:val="center"/>
        </w:trPr>
        <w:tc>
          <w:tcPr>
            <w:tcW w:w="756" w:type="dxa"/>
            <w:noWrap w:val="0"/>
            <w:vAlign w:val="center"/>
          </w:tcPr>
          <w:p>
            <w:pPr>
              <w:keepNext w:val="0"/>
              <w:keepLines w:val="0"/>
              <w:pageBreakBefore w:val="0"/>
              <w:widowControl/>
              <w:kinsoku/>
              <w:wordWrap/>
              <w:overflowPunct/>
              <w:topLinePunct w:val="0"/>
              <w:autoSpaceDE/>
              <w:autoSpaceDN/>
              <w:bidi w:val="0"/>
              <w:snapToGrid/>
              <w:spacing w:line="400" w:lineRule="exact"/>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序号</w:t>
            </w:r>
          </w:p>
        </w:tc>
        <w:tc>
          <w:tcPr>
            <w:tcW w:w="1744" w:type="dxa"/>
            <w:noWrap w:val="0"/>
            <w:vAlign w:val="center"/>
          </w:tcPr>
          <w:p>
            <w:pPr>
              <w:keepNext w:val="0"/>
              <w:keepLines w:val="0"/>
              <w:pageBreakBefore w:val="0"/>
              <w:widowControl/>
              <w:kinsoku/>
              <w:wordWrap/>
              <w:overflowPunct/>
              <w:topLinePunct w:val="0"/>
              <w:autoSpaceDE/>
              <w:autoSpaceDN/>
              <w:bidi w:val="0"/>
              <w:snapToGrid/>
              <w:spacing w:line="400" w:lineRule="exact"/>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评审因素</w:t>
            </w:r>
          </w:p>
        </w:tc>
        <w:tc>
          <w:tcPr>
            <w:tcW w:w="6587" w:type="dxa"/>
            <w:noWrap w:val="0"/>
            <w:vAlign w:val="center"/>
          </w:tcPr>
          <w:p>
            <w:pPr>
              <w:keepNext w:val="0"/>
              <w:keepLines w:val="0"/>
              <w:pageBreakBefore w:val="0"/>
              <w:widowControl/>
              <w:kinsoku/>
              <w:wordWrap/>
              <w:overflowPunct/>
              <w:topLinePunct w:val="0"/>
              <w:autoSpaceDE/>
              <w:autoSpaceDN/>
              <w:bidi w:val="0"/>
              <w:snapToGrid/>
              <w:spacing w:line="400" w:lineRule="exact"/>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评审因素具体内容</w:t>
            </w:r>
          </w:p>
        </w:tc>
        <w:tc>
          <w:tcPr>
            <w:tcW w:w="851" w:type="dxa"/>
            <w:noWrap w:val="0"/>
            <w:vAlign w:val="center"/>
          </w:tcPr>
          <w:p>
            <w:pPr>
              <w:keepNext w:val="0"/>
              <w:keepLines w:val="0"/>
              <w:pageBreakBefore w:val="0"/>
              <w:widowControl/>
              <w:kinsoku/>
              <w:wordWrap/>
              <w:overflowPunct/>
              <w:topLinePunct w:val="0"/>
              <w:autoSpaceDE/>
              <w:autoSpaceDN/>
              <w:bidi w:val="0"/>
              <w:snapToGrid/>
              <w:spacing w:line="400" w:lineRule="exact"/>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756" w:type="dxa"/>
            <w:noWrap w:val="0"/>
            <w:vAlign w:val="center"/>
          </w:tcPr>
          <w:p>
            <w:pPr>
              <w:keepNext w:val="0"/>
              <w:keepLines w:val="0"/>
              <w:pageBreakBefore w:val="0"/>
              <w:widowControl/>
              <w:kinsoku/>
              <w:wordWrap/>
              <w:overflowPunct/>
              <w:topLinePunct w:val="0"/>
              <w:autoSpaceDE/>
              <w:autoSpaceDN/>
              <w:bidi w:val="0"/>
              <w:snapToGrid/>
              <w:spacing w:line="400" w:lineRule="exact"/>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1744" w:type="dxa"/>
            <w:noWrap w:val="0"/>
            <w:vAlign w:val="center"/>
          </w:tcPr>
          <w:p>
            <w:pPr>
              <w:keepNext w:val="0"/>
              <w:keepLines w:val="0"/>
              <w:pageBreakBefore w:val="0"/>
              <w:widowControl/>
              <w:kinsoku/>
              <w:wordWrap/>
              <w:overflowPunct/>
              <w:topLinePunct w:val="0"/>
              <w:autoSpaceDE/>
              <w:autoSpaceDN/>
              <w:bidi w:val="0"/>
              <w:snapToGrid/>
              <w:spacing w:line="400" w:lineRule="exact"/>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价格分</w:t>
            </w:r>
          </w:p>
        </w:tc>
        <w:tc>
          <w:tcPr>
            <w:tcW w:w="6587" w:type="dxa"/>
            <w:noWrap w:val="0"/>
            <w:vAlign w:val="top"/>
          </w:tcPr>
          <w:p>
            <w:pPr>
              <w:keepNext w:val="0"/>
              <w:keepLines w:val="0"/>
              <w:pageBreakBefore w:val="0"/>
              <w:widowControl w:val="0"/>
              <w:kinsoku/>
              <w:wordWrap/>
              <w:overflowPunct/>
              <w:topLinePunct w:val="0"/>
              <w:autoSpaceDE/>
              <w:autoSpaceDN/>
              <w:bidi w:val="0"/>
              <w:snapToGrid/>
              <w:spacing w:line="400" w:lineRule="exact"/>
              <w:ind w:firstLine="233" w:firstLineChars="111"/>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（1）本项目为专门面向中小企业采购的项目，按照《政府采购促进中小企业发展管理办法》（财库〔2020〕46号）的规定，对投标人的投标报价不再执行价格评审优惠的扶持政策。</w:t>
            </w:r>
          </w:p>
          <w:p>
            <w:pPr>
              <w:keepNext w:val="0"/>
              <w:keepLines w:val="0"/>
              <w:pageBreakBefore w:val="0"/>
              <w:widowControl w:val="0"/>
              <w:kinsoku/>
              <w:wordWrap/>
              <w:overflowPunct/>
              <w:topLinePunct w:val="0"/>
              <w:autoSpaceDE/>
              <w:autoSpaceDN/>
              <w:bidi w:val="0"/>
              <w:snapToGrid/>
              <w:spacing w:line="400" w:lineRule="exact"/>
              <w:ind w:firstLine="233" w:firstLineChars="111"/>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（2）评标报价为投标人的投标报价，评标报价只是作为评审时使用。最终中标人的中标金额等于投标报价。</w:t>
            </w:r>
          </w:p>
          <w:p>
            <w:pPr>
              <w:keepNext w:val="0"/>
              <w:keepLines w:val="0"/>
              <w:pageBreakBefore w:val="0"/>
              <w:widowControl w:val="0"/>
              <w:kinsoku/>
              <w:wordWrap/>
              <w:overflowPunct/>
              <w:topLinePunct w:val="0"/>
              <w:autoSpaceDE/>
              <w:autoSpaceDN/>
              <w:bidi w:val="0"/>
              <w:snapToGrid/>
              <w:spacing w:line="400" w:lineRule="exact"/>
              <w:ind w:firstLine="233" w:firstLineChars="111"/>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（3）满足招标文件要求且评标报价最低的评标报价为评标基准价，基准价得分为</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lang w:val="en-US" w:eastAsia="zh-CN"/>
              </w:rPr>
              <w:t>0</w:t>
            </w:r>
            <w:r>
              <w:rPr>
                <w:rFonts w:hint="eastAsia" w:ascii="宋体" w:hAnsi="宋体" w:eastAsia="宋体" w:cs="宋体"/>
                <w:color w:val="auto"/>
                <w:sz w:val="21"/>
                <w:szCs w:val="21"/>
                <w:highlight w:val="none"/>
              </w:rPr>
              <w:t>分。</w:t>
            </w:r>
          </w:p>
          <w:p>
            <w:pPr>
              <w:keepNext w:val="0"/>
              <w:keepLines w:val="0"/>
              <w:pageBreakBefore w:val="0"/>
              <w:widowControl w:val="0"/>
              <w:kinsoku/>
              <w:wordWrap/>
              <w:overflowPunct/>
              <w:topLinePunct w:val="0"/>
              <w:autoSpaceDE/>
              <w:autoSpaceDN/>
              <w:bidi w:val="0"/>
              <w:snapToGrid/>
              <w:spacing w:line="400" w:lineRule="exact"/>
              <w:ind w:firstLine="233" w:firstLineChars="111"/>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（4）价格分计算公式：        </w:t>
            </w:r>
          </w:p>
          <w:p>
            <w:pPr>
              <w:keepNext w:val="0"/>
              <w:keepLines w:val="0"/>
              <w:pageBreakBefore w:val="0"/>
              <w:kinsoku/>
              <w:wordWrap/>
              <w:overflowPunct/>
              <w:topLinePunct w:val="0"/>
              <w:autoSpaceDE/>
              <w:autoSpaceDN/>
              <w:bidi w:val="0"/>
              <w:snapToGrid/>
              <w:spacing w:line="400" w:lineRule="exact"/>
              <w:ind w:firstLine="420" w:firstLineChars="200"/>
              <w:rPr>
                <w:rFonts w:hint="eastAsia" w:ascii="宋体" w:hAnsi="宋体" w:eastAsia="宋体" w:cs="宋体"/>
                <w:bCs/>
                <w:color w:val="auto"/>
                <w:kern w:val="2"/>
                <w:sz w:val="21"/>
                <w:szCs w:val="21"/>
                <w:highlight w:val="none"/>
                <w:lang w:val="en-US" w:eastAsia="zh-CN"/>
              </w:rPr>
            </w:pPr>
            <w:r>
              <w:rPr>
                <w:rFonts w:hint="eastAsia" w:ascii="宋体" w:hAnsi="宋体" w:eastAsia="宋体" w:cs="宋体"/>
                <w:color w:val="auto"/>
                <w:sz w:val="21"/>
                <w:szCs w:val="21"/>
                <w:highlight w:val="none"/>
              </w:rPr>
              <w:t>价格分=(评标基准价／评标报价)×</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lang w:val="en-US" w:eastAsia="zh-CN"/>
              </w:rPr>
              <w:t>0</w:t>
            </w:r>
            <w:r>
              <w:rPr>
                <w:rFonts w:hint="eastAsia" w:ascii="宋体" w:hAnsi="宋体" w:eastAsia="宋体" w:cs="宋体"/>
                <w:color w:val="auto"/>
                <w:sz w:val="21"/>
                <w:szCs w:val="21"/>
                <w:highlight w:val="none"/>
              </w:rPr>
              <w:t>分</w:t>
            </w:r>
          </w:p>
        </w:tc>
        <w:tc>
          <w:tcPr>
            <w:tcW w:w="851" w:type="dxa"/>
            <w:noWrap w:val="0"/>
            <w:vAlign w:val="center"/>
          </w:tcPr>
          <w:p>
            <w:pPr>
              <w:keepNext w:val="0"/>
              <w:keepLines w:val="0"/>
              <w:pageBreakBefore w:val="0"/>
              <w:widowControl/>
              <w:kinsoku/>
              <w:wordWrap/>
              <w:overflowPunct/>
              <w:topLinePunct w:val="0"/>
              <w:autoSpaceDE/>
              <w:autoSpaceDN/>
              <w:bidi w:val="0"/>
              <w:snapToGrid/>
              <w:spacing w:line="400" w:lineRule="exact"/>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 </w:t>
            </w:r>
            <w:r>
              <w:rPr>
                <w:rFonts w:hint="eastAsia" w:ascii="宋体" w:hAnsi="宋体" w:cs="宋体"/>
                <w:color w:val="auto"/>
                <w:kern w:val="0"/>
                <w:sz w:val="21"/>
                <w:szCs w:val="21"/>
                <w:highlight w:val="none"/>
                <w:lang w:val="en-US" w:eastAsia="zh-CN"/>
              </w:rPr>
              <w:t>1</w:t>
            </w:r>
            <w:r>
              <w:rPr>
                <w:rFonts w:hint="eastAsia" w:ascii="宋体" w:hAnsi="宋体" w:eastAsia="宋体" w:cs="宋体"/>
                <w:color w:val="auto"/>
                <w:kern w:val="0"/>
                <w:sz w:val="21"/>
                <w:szCs w:val="21"/>
                <w:highlight w:val="none"/>
                <w:lang w:val="en-US" w:eastAsia="zh-CN"/>
              </w:rPr>
              <w:t>0</w:t>
            </w:r>
            <w:r>
              <w:rPr>
                <w:rFonts w:hint="eastAsia" w:ascii="宋体" w:hAnsi="宋体" w:eastAsia="宋体" w:cs="宋体"/>
                <w:color w:val="auto"/>
                <w:kern w:val="0"/>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756" w:type="dxa"/>
            <w:noWrap w:val="0"/>
            <w:vAlign w:val="center"/>
          </w:tcPr>
          <w:p>
            <w:pPr>
              <w:keepNext w:val="0"/>
              <w:keepLines w:val="0"/>
              <w:pageBreakBefore w:val="0"/>
              <w:widowControl/>
              <w:kinsoku/>
              <w:wordWrap/>
              <w:overflowPunct/>
              <w:topLinePunct w:val="0"/>
              <w:autoSpaceDE/>
              <w:autoSpaceDN/>
              <w:bidi w:val="0"/>
              <w:snapToGrid/>
              <w:spacing w:line="400" w:lineRule="exact"/>
              <w:jc w:val="center"/>
              <w:rPr>
                <w:rFonts w:hint="eastAsia" w:ascii="宋体" w:hAnsi="宋体" w:eastAsia="宋体" w:cs="宋体"/>
                <w:color w:val="auto"/>
                <w:kern w:val="0"/>
                <w:sz w:val="21"/>
                <w:szCs w:val="21"/>
                <w:highlight w:val="none"/>
              </w:rPr>
            </w:pPr>
            <w:r>
              <w:rPr>
                <w:rFonts w:hint="eastAsia" w:ascii="宋体" w:hAnsi="宋体" w:eastAsia="宋体" w:cs="宋体"/>
                <w:bCs/>
                <w:color w:val="auto"/>
                <w:kern w:val="0"/>
                <w:sz w:val="21"/>
                <w:szCs w:val="21"/>
                <w:highlight w:val="none"/>
              </w:rPr>
              <w:t>2</w:t>
            </w:r>
          </w:p>
        </w:tc>
        <w:tc>
          <w:tcPr>
            <w:tcW w:w="1744" w:type="dxa"/>
            <w:noWrap w:val="0"/>
            <w:vAlign w:val="center"/>
          </w:tcPr>
          <w:p>
            <w:pPr>
              <w:keepNext w:val="0"/>
              <w:keepLines w:val="0"/>
              <w:pageBreakBefore w:val="0"/>
              <w:widowControl/>
              <w:kinsoku/>
              <w:wordWrap/>
              <w:overflowPunct/>
              <w:topLinePunct w:val="0"/>
              <w:autoSpaceDE/>
              <w:autoSpaceDN/>
              <w:bidi w:val="0"/>
              <w:snapToGrid/>
              <w:spacing w:line="400" w:lineRule="exact"/>
              <w:jc w:val="center"/>
              <w:rPr>
                <w:rFonts w:hint="eastAsia" w:ascii="宋体" w:hAnsi="宋体" w:eastAsia="宋体" w:cs="宋体"/>
                <w:color w:val="auto"/>
                <w:kern w:val="0"/>
                <w:sz w:val="21"/>
                <w:szCs w:val="21"/>
                <w:highlight w:val="none"/>
              </w:rPr>
            </w:pPr>
            <w:r>
              <w:rPr>
                <w:rFonts w:hint="eastAsia" w:ascii="宋体" w:hAnsi="宋体" w:eastAsia="宋体" w:cs="宋体"/>
                <w:bCs/>
                <w:color w:val="auto"/>
                <w:kern w:val="0"/>
                <w:sz w:val="21"/>
                <w:szCs w:val="21"/>
                <w:highlight w:val="none"/>
              </w:rPr>
              <w:t>技术分</w:t>
            </w:r>
          </w:p>
        </w:tc>
        <w:tc>
          <w:tcPr>
            <w:tcW w:w="7438" w:type="dxa"/>
            <w:gridSpan w:val="2"/>
            <w:noWrap w:val="0"/>
            <w:vAlign w:val="top"/>
          </w:tcPr>
          <w:p>
            <w:pPr>
              <w:keepNext w:val="0"/>
              <w:keepLines w:val="0"/>
              <w:pageBreakBefore w:val="0"/>
              <w:widowControl/>
              <w:kinsoku/>
              <w:wordWrap/>
              <w:overflowPunct/>
              <w:topLinePunct w:val="0"/>
              <w:autoSpaceDE/>
              <w:autoSpaceDN/>
              <w:bidi w:val="0"/>
              <w:snapToGrid/>
              <w:spacing w:line="400" w:lineRule="exact"/>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jc w:val="center"/>
        </w:trPr>
        <w:tc>
          <w:tcPr>
            <w:tcW w:w="756" w:type="dxa"/>
            <w:noWrap w:val="0"/>
            <w:vAlign w:val="center"/>
          </w:tcPr>
          <w:p>
            <w:pPr>
              <w:keepNext w:val="0"/>
              <w:keepLines w:val="0"/>
              <w:pageBreakBefore w:val="0"/>
              <w:kinsoku/>
              <w:wordWrap/>
              <w:overflowPunct/>
              <w:topLinePunct w:val="0"/>
              <w:autoSpaceDE/>
              <w:autoSpaceDN/>
              <w:bidi w:val="0"/>
              <w:adjustRightInd w:val="0"/>
              <w:snapToGrid/>
              <w:spacing w:line="400" w:lineRule="exact"/>
              <w:ind w:left="-105" w:leftChars="-50" w:right="-105" w:rightChars="-50"/>
              <w:jc w:val="center"/>
              <w:textAlignment w:val="baseline"/>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2.1</w:t>
            </w:r>
          </w:p>
        </w:tc>
        <w:tc>
          <w:tcPr>
            <w:tcW w:w="1744" w:type="dxa"/>
            <w:noWrap w:val="0"/>
            <w:vAlign w:val="center"/>
          </w:tcPr>
          <w:p>
            <w:pPr>
              <w:keepNext w:val="0"/>
              <w:keepLines w:val="0"/>
              <w:pageBreakBefore w:val="0"/>
              <w:kinsoku/>
              <w:wordWrap/>
              <w:overflowPunct/>
              <w:topLinePunct w:val="0"/>
              <w:autoSpaceDE/>
              <w:autoSpaceDN/>
              <w:bidi w:val="0"/>
              <w:adjustRightInd w:val="0"/>
              <w:snapToGrid/>
              <w:spacing w:line="400" w:lineRule="exact"/>
              <w:jc w:val="center"/>
              <w:textAlignment w:val="baseline"/>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维护保养服务方案分</w:t>
            </w:r>
          </w:p>
        </w:tc>
        <w:tc>
          <w:tcPr>
            <w:tcW w:w="6587" w:type="dxa"/>
            <w:noWrap w:val="0"/>
            <w:vAlign w:val="center"/>
          </w:tcPr>
          <w:p>
            <w:pPr>
              <w:pStyle w:val="14"/>
              <w:keepNext w:val="0"/>
              <w:keepLines w:val="0"/>
              <w:pageBreakBefore w:val="0"/>
              <w:kinsoku/>
              <w:wordWrap/>
              <w:overflowPunct/>
              <w:topLinePunct w:val="0"/>
              <w:autoSpaceDE/>
              <w:autoSpaceDN/>
              <w:bidi w:val="0"/>
              <w:snapToGrid/>
              <w:spacing w:line="400" w:lineRule="exact"/>
              <w:rPr>
                <w:rFonts w:hint="eastAsia" w:ascii="宋体" w:hAnsi="宋体" w:eastAsia="宋体" w:cs="宋体"/>
                <w:bCs/>
                <w:color w:val="auto"/>
                <w:kern w:val="2"/>
                <w:sz w:val="21"/>
                <w:szCs w:val="21"/>
                <w:highlight w:val="none"/>
                <w:lang w:val="en-US" w:eastAsia="zh-CN"/>
              </w:rPr>
            </w:pPr>
            <w:r>
              <w:rPr>
                <w:rFonts w:hint="eastAsia" w:ascii="宋体" w:hAnsi="宋体" w:eastAsia="宋体" w:cs="宋体"/>
                <w:bCs/>
                <w:color w:val="auto"/>
                <w:kern w:val="2"/>
                <w:sz w:val="21"/>
                <w:szCs w:val="21"/>
                <w:highlight w:val="none"/>
                <w:lang w:val="en-US" w:eastAsia="zh-CN"/>
              </w:rPr>
              <w:t>未提供维护保养服务方案的得0分。</w:t>
            </w:r>
          </w:p>
          <w:p>
            <w:pPr>
              <w:pStyle w:val="14"/>
              <w:keepNext w:val="0"/>
              <w:keepLines w:val="0"/>
              <w:pageBreakBefore w:val="0"/>
              <w:kinsoku/>
              <w:wordWrap/>
              <w:overflowPunct/>
              <w:topLinePunct w:val="0"/>
              <w:autoSpaceDE/>
              <w:autoSpaceDN/>
              <w:bidi w:val="0"/>
              <w:snapToGrid/>
              <w:spacing w:line="400" w:lineRule="exact"/>
              <w:rPr>
                <w:rFonts w:hint="eastAsia" w:ascii="宋体" w:hAnsi="宋体" w:eastAsia="宋体" w:cs="宋体"/>
                <w:bCs/>
                <w:color w:val="auto"/>
                <w:kern w:val="2"/>
                <w:sz w:val="21"/>
                <w:szCs w:val="21"/>
                <w:highlight w:val="none"/>
                <w:lang w:val="en-US" w:eastAsia="zh-CN"/>
              </w:rPr>
            </w:pPr>
            <w:r>
              <w:rPr>
                <w:rFonts w:hint="eastAsia" w:ascii="宋体" w:hAnsi="宋体" w:eastAsia="宋体" w:cs="宋体"/>
                <w:bCs/>
                <w:color w:val="auto"/>
                <w:kern w:val="2"/>
                <w:sz w:val="21"/>
                <w:szCs w:val="21"/>
                <w:highlight w:val="none"/>
                <w:lang w:val="en-US" w:eastAsia="zh-CN"/>
              </w:rPr>
              <w:t>（1）提供的维护保养服务方案包含①维保计划，②服务能力，③质量保证措施，④培训，⑤</w:t>
            </w:r>
            <w:r>
              <w:rPr>
                <w:rFonts w:hint="eastAsia" w:ascii="宋体" w:hAnsi="宋体" w:eastAsia="宋体" w:cs="宋体"/>
                <w:color w:val="auto"/>
                <w:sz w:val="21"/>
                <w:szCs w:val="21"/>
              </w:rPr>
              <w:t>操作流程、标准、规范、计划、措施、方法</w:t>
            </w:r>
            <w:r>
              <w:rPr>
                <w:rFonts w:hint="eastAsia" w:ascii="宋体" w:hAnsi="宋体" w:eastAsia="宋体" w:cs="宋体"/>
                <w:color w:val="auto"/>
                <w:sz w:val="21"/>
                <w:szCs w:val="21"/>
                <w:lang w:eastAsia="zh-CN"/>
              </w:rPr>
              <w:t>等内容</w:t>
            </w:r>
            <w:r>
              <w:rPr>
                <w:rFonts w:hint="eastAsia" w:ascii="宋体" w:hAnsi="宋体" w:eastAsia="宋体" w:cs="宋体"/>
                <w:bCs/>
                <w:color w:val="auto"/>
                <w:kern w:val="2"/>
                <w:sz w:val="21"/>
                <w:szCs w:val="21"/>
                <w:highlight w:val="none"/>
                <w:lang w:val="en-US" w:eastAsia="zh-CN"/>
              </w:rPr>
              <w:t>，以上内容每少一项扣2分，扣完为止。（满分10分）</w:t>
            </w:r>
          </w:p>
          <w:p>
            <w:pPr>
              <w:pStyle w:val="14"/>
              <w:keepNext w:val="0"/>
              <w:keepLines w:val="0"/>
              <w:pageBreakBefore w:val="0"/>
              <w:kinsoku/>
              <w:wordWrap/>
              <w:overflowPunct/>
              <w:topLinePunct w:val="0"/>
              <w:autoSpaceDE/>
              <w:autoSpaceDN/>
              <w:bidi w:val="0"/>
              <w:snapToGrid/>
              <w:spacing w:line="400" w:lineRule="exact"/>
              <w:rPr>
                <w:rFonts w:hint="eastAsia" w:ascii="宋体" w:hAnsi="宋体" w:eastAsia="宋体" w:cs="宋体"/>
                <w:bCs/>
                <w:color w:val="auto"/>
                <w:kern w:val="2"/>
                <w:sz w:val="21"/>
                <w:szCs w:val="21"/>
                <w:highlight w:val="none"/>
                <w:lang w:val="en-US" w:eastAsia="zh-CN"/>
              </w:rPr>
            </w:pPr>
            <w:r>
              <w:rPr>
                <w:rFonts w:hint="eastAsia" w:ascii="宋体" w:hAnsi="宋体" w:eastAsia="宋体" w:cs="宋体"/>
                <w:b w:val="0"/>
                <w:bCs w:val="0"/>
                <w:color w:val="auto"/>
                <w:sz w:val="21"/>
                <w:szCs w:val="21"/>
                <w:lang w:val="en-US" w:eastAsia="zh-CN"/>
              </w:rPr>
              <w:t>（2）</w:t>
            </w:r>
            <w:r>
              <w:rPr>
                <w:rFonts w:hint="eastAsia" w:ascii="宋体" w:hAnsi="宋体" w:eastAsia="宋体" w:cs="宋体"/>
                <w:b w:val="0"/>
                <w:bCs w:val="0"/>
                <w:color w:val="auto"/>
                <w:sz w:val="21"/>
                <w:szCs w:val="21"/>
              </w:rPr>
              <w:t>按照维护保养服务方案结合项目需求、针对性内容评分（满分</w:t>
            </w:r>
            <w:r>
              <w:rPr>
                <w:rFonts w:hint="eastAsia" w:ascii="宋体" w:hAnsi="宋体" w:eastAsia="宋体" w:cs="宋体"/>
                <w:b w:val="0"/>
                <w:bCs w:val="0"/>
                <w:color w:val="auto"/>
                <w:sz w:val="21"/>
                <w:szCs w:val="21"/>
                <w:lang w:val="en-US" w:eastAsia="zh-CN"/>
              </w:rPr>
              <w:t>14</w:t>
            </w:r>
            <w:r>
              <w:rPr>
                <w:rFonts w:hint="eastAsia" w:ascii="宋体" w:hAnsi="宋体" w:eastAsia="宋体" w:cs="宋体"/>
                <w:b w:val="0"/>
                <w:bCs w:val="0"/>
                <w:color w:val="auto"/>
                <w:sz w:val="21"/>
                <w:szCs w:val="21"/>
              </w:rPr>
              <w:t>分）：</w:t>
            </w:r>
          </w:p>
          <w:p>
            <w:pPr>
              <w:pStyle w:val="14"/>
              <w:keepNext w:val="0"/>
              <w:keepLines w:val="0"/>
              <w:pageBreakBefore w:val="0"/>
              <w:kinsoku/>
              <w:wordWrap/>
              <w:overflowPunct/>
              <w:topLinePunct w:val="0"/>
              <w:autoSpaceDE/>
              <w:autoSpaceDN/>
              <w:bidi w:val="0"/>
              <w:snapToGrid/>
              <w:spacing w:line="400" w:lineRule="exact"/>
              <w:rPr>
                <w:rFonts w:hint="eastAsia" w:ascii="宋体" w:hAnsi="宋体" w:eastAsia="宋体" w:cs="宋体"/>
                <w:bCs/>
                <w:color w:val="auto"/>
                <w:kern w:val="2"/>
                <w:sz w:val="21"/>
                <w:szCs w:val="21"/>
                <w:highlight w:val="none"/>
                <w:lang w:val="en-US" w:eastAsia="zh-CN"/>
              </w:rPr>
            </w:pPr>
            <w:r>
              <w:rPr>
                <w:rFonts w:hint="eastAsia" w:ascii="宋体" w:hAnsi="宋体" w:eastAsia="宋体" w:cs="宋体"/>
                <w:bCs/>
                <w:color w:val="auto"/>
                <w:kern w:val="2"/>
                <w:sz w:val="21"/>
                <w:szCs w:val="21"/>
                <w:highlight w:val="none"/>
                <w:lang w:val="en-US" w:eastAsia="zh-CN"/>
              </w:rPr>
              <w:t>一档（4分）：对采购人的现状及需求的理解不深，维护计划时间安排不合理，缺乏管理制度，质量保障措施不具体。</w:t>
            </w:r>
          </w:p>
          <w:p>
            <w:pPr>
              <w:pStyle w:val="14"/>
              <w:keepNext w:val="0"/>
              <w:keepLines w:val="0"/>
              <w:pageBreakBefore w:val="0"/>
              <w:kinsoku/>
              <w:wordWrap/>
              <w:overflowPunct/>
              <w:topLinePunct w:val="0"/>
              <w:autoSpaceDE/>
              <w:autoSpaceDN/>
              <w:bidi w:val="0"/>
              <w:snapToGrid/>
              <w:spacing w:line="400" w:lineRule="exact"/>
              <w:rPr>
                <w:rFonts w:hint="eastAsia" w:ascii="宋体" w:hAnsi="宋体" w:eastAsia="宋体" w:cs="宋体"/>
                <w:bCs/>
                <w:color w:val="auto"/>
                <w:kern w:val="2"/>
                <w:sz w:val="21"/>
                <w:szCs w:val="21"/>
                <w:highlight w:val="none"/>
                <w:lang w:val="en-US" w:eastAsia="zh-CN"/>
              </w:rPr>
            </w:pPr>
            <w:r>
              <w:rPr>
                <w:rFonts w:hint="eastAsia" w:ascii="宋体" w:hAnsi="宋体" w:eastAsia="宋体" w:cs="宋体"/>
                <w:bCs/>
                <w:color w:val="auto"/>
                <w:kern w:val="2"/>
                <w:sz w:val="21"/>
                <w:szCs w:val="21"/>
                <w:highlight w:val="none"/>
                <w:lang w:val="en-US" w:eastAsia="zh-CN"/>
              </w:rPr>
              <w:t>二档（9分）：对采购人的现状及需求的理解到位，维护计划时间安排满足采购人需求，有管理制度，能提供有效对接方案；能提供安全施工保证措施。</w:t>
            </w:r>
          </w:p>
          <w:p>
            <w:pPr>
              <w:pStyle w:val="14"/>
              <w:keepNext w:val="0"/>
              <w:keepLines w:val="0"/>
              <w:pageBreakBefore w:val="0"/>
              <w:kinsoku/>
              <w:wordWrap/>
              <w:overflowPunct/>
              <w:topLinePunct w:val="0"/>
              <w:autoSpaceDE/>
              <w:autoSpaceDN/>
              <w:bidi w:val="0"/>
              <w:snapToGrid/>
              <w:spacing w:line="400" w:lineRule="exact"/>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kern w:val="2"/>
                <w:sz w:val="21"/>
                <w:szCs w:val="21"/>
                <w:highlight w:val="none"/>
                <w:lang w:val="en-US" w:eastAsia="zh-CN"/>
              </w:rPr>
              <w:t>三档（14分）：满足第二档的基础上，</w:t>
            </w:r>
            <w:r>
              <w:rPr>
                <w:rFonts w:hint="eastAsia" w:ascii="宋体" w:hAnsi="宋体" w:eastAsia="宋体" w:cs="宋体"/>
                <w:color w:val="auto"/>
                <w:sz w:val="21"/>
                <w:szCs w:val="21"/>
              </w:rPr>
              <w:t>操作流程、标准、规范详细，计划、措施、方法等详细、有力、可行性高、针对性强，符合本项目要求，对维保清洗需求理解到位，描述清晰、</w:t>
            </w:r>
            <w:r>
              <w:rPr>
                <w:rFonts w:hint="eastAsia" w:ascii="宋体" w:hAnsi="宋体" w:eastAsia="宋体" w:cs="宋体"/>
                <w:color w:val="auto"/>
                <w:sz w:val="21"/>
                <w:szCs w:val="21"/>
                <w:lang w:eastAsia="zh-CN"/>
              </w:rPr>
              <w:t>具体</w:t>
            </w:r>
            <w:r>
              <w:rPr>
                <w:rFonts w:hint="eastAsia" w:ascii="宋体" w:hAnsi="宋体" w:eastAsia="宋体" w:cs="宋体"/>
                <w:color w:val="auto"/>
                <w:sz w:val="21"/>
                <w:szCs w:val="21"/>
              </w:rPr>
              <w:t>，与院方实际情况相匹配且满足院方需求，并且结合本项目特点有可行的质量保证措施、应急保障措施，同时应对关键部位、复杂环节重点提出相应的技术措施</w:t>
            </w:r>
            <w:r>
              <w:rPr>
                <w:rFonts w:hint="eastAsia" w:ascii="宋体" w:hAnsi="宋体" w:eastAsia="宋体" w:cs="宋体"/>
                <w:bCs/>
                <w:color w:val="auto"/>
                <w:kern w:val="2"/>
                <w:sz w:val="21"/>
                <w:szCs w:val="21"/>
                <w:highlight w:val="none"/>
                <w:lang w:val="en-US" w:eastAsia="zh-CN"/>
              </w:rPr>
              <w:t>（包括环保节能方面措施，有利于节约能源）。</w:t>
            </w:r>
            <w:r>
              <w:rPr>
                <w:rFonts w:hint="eastAsia" w:ascii="宋体" w:hAnsi="宋体" w:eastAsia="宋体" w:cs="宋体"/>
                <w:strike w:val="0"/>
                <w:dstrike w:val="0"/>
                <w:color w:val="auto"/>
                <w:sz w:val="21"/>
                <w:szCs w:val="21"/>
                <w:lang w:val="en-US" w:eastAsia="zh-CN"/>
              </w:rPr>
              <w:t>服务供应商能提供内部信息化管理系统的使用方案，保障服务工作能高效完成</w:t>
            </w:r>
            <w:r>
              <w:rPr>
                <w:rFonts w:hint="eastAsia" w:ascii="宋体" w:hAnsi="宋体" w:eastAsia="宋体" w:cs="宋体"/>
                <w:bCs/>
                <w:color w:val="auto"/>
                <w:kern w:val="2"/>
                <w:sz w:val="21"/>
                <w:szCs w:val="21"/>
                <w:highlight w:val="none"/>
                <w:lang w:val="en-US" w:eastAsia="zh-CN"/>
              </w:rPr>
              <w:t>。保证维护保养服务实施的技术力量和人力资源安排满足项目实施要求，技术服务、技术培训的服务内容和措施较完善，注重维保施工安全。</w:t>
            </w:r>
          </w:p>
        </w:tc>
        <w:tc>
          <w:tcPr>
            <w:tcW w:w="851" w:type="dxa"/>
            <w:noWrap w:val="0"/>
            <w:vAlign w:val="center"/>
          </w:tcPr>
          <w:p>
            <w:pPr>
              <w:keepNext w:val="0"/>
              <w:keepLines w:val="0"/>
              <w:pageBreakBefore w:val="0"/>
              <w:kinsoku/>
              <w:wordWrap/>
              <w:overflowPunct/>
              <w:topLinePunct w:val="0"/>
              <w:autoSpaceDE/>
              <w:autoSpaceDN/>
              <w:bidi w:val="0"/>
              <w:snapToGrid/>
              <w:spacing w:line="400" w:lineRule="exact"/>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 </w:t>
            </w:r>
            <w:r>
              <w:rPr>
                <w:rFonts w:hint="eastAsia" w:ascii="宋体" w:hAnsi="宋体" w:eastAsia="宋体" w:cs="宋体"/>
                <w:color w:val="auto"/>
                <w:kern w:val="0"/>
                <w:sz w:val="21"/>
                <w:szCs w:val="21"/>
                <w:highlight w:val="none"/>
                <w:lang w:val="en-US" w:eastAsia="zh-CN"/>
              </w:rPr>
              <w:t>24</w:t>
            </w:r>
            <w:r>
              <w:rPr>
                <w:rFonts w:hint="eastAsia" w:ascii="宋体" w:hAnsi="宋体" w:eastAsia="宋体" w:cs="宋体"/>
                <w:color w:val="auto"/>
                <w:kern w:val="0"/>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756" w:type="dxa"/>
            <w:noWrap w:val="0"/>
            <w:vAlign w:val="center"/>
          </w:tcPr>
          <w:p>
            <w:pPr>
              <w:keepNext w:val="0"/>
              <w:keepLines w:val="0"/>
              <w:pageBreakBefore w:val="0"/>
              <w:kinsoku/>
              <w:wordWrap/>
              <w:overflowPunct/>
              <w:topLinePunct w:val="0"/>
              <w:autoSpaceDE/>
              <w:autoSpaceDN/>
              <w:bidi w:val="0"/>
              <w:adjustRightInd w:val="0"/>
              <w:snapToGrid/>
              <w:spacing w:line="400" w:lineRule="exact"/>
              <w:ind w:left="-105" w:leftChars="-50" w:right="-105" w:rightChars="-50"/>
              <w:jc w:val="center"/>
              <w:textAlignment w:val="baseline"/>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2.2</w:t>
            </w:r>
          </w:p>
        </w:tc>
        <w:tc>
          <w:tcPr>
            <w:tcW w:w="1744" w:type="dxa"/>
            <w:noWrap w:val="0"/>
            <w:vAlign w:val="center"/>
          </w:tcPr>
          <w:p>
            <w:pPr>
              <w:keepNext w:val="0"/>
              <w:keepLines w:val="0"/>
              <w:pageBreakBefore w:val="0"/>
              <w:kinsoku/>
              <w:wordWrap/>
              <w:overflowPunct/>
              <w:topLinePunct w:val="0"/>
              <w:autoSpaceDE/>
              <w:autoSpaceDN/>
              <w:bidi w:val="0"/>
              <w:adjustRightInd w:val="0"/>
              <w:snapToGrid/>
              <w:spacing w:line="400" w:lineRule="exact"/>
              <w:jc w:val="center"/>
              <w:textAlignment w:val="baseline"/>
              <w:rPr>
                <w:rFonts w:hint="eastAsia" w:ascii="宋体" w:hAnsi="宋体" w:eastAsia="宋体" w:cs="宋体"/>
                <w:bCs/>
                <w:color w:val="auto"/>
                <w:kern w:val="2"/>
                <w:sz w:val="21"/>
                <w:szCs w:val="21"/>
                <w:highlight w:val="none"/>
                <w:lang w:val="en-US" w:eastAsia="zh-CN"/>
              </w:rPr>
            </w:pPr>
            <w:r>
              <w:rPr>
                <w:rFonts w:hint="eastAsia" w:ascii="宋体" w:hAnsi="宋体" w:eastAsia="宋体" w:cs="宋体"/>
                <w:bCs/>
                <w:color w:val="auto"/>
                <w:kern w:val="0"/>
                <w:sz w:val="21"/>
                <w:szCs w:val="21"/>
                <w:highlight w:val="none"/>
                <w:lang w:eastAsia="zh-CN"/>
              </w:rPr>
              <w:t>拟投入</w:t>
            </w:r>
            <w:r>
              <w:rPr>
                <w:rFonts w:hint="eastAsia" w:ascii="宋体" w:hAnsi="宋体" w:eastAsia="宋体" w:cs="宋体"/>
                <w:bCs/>
                <w:color w:val="auto"/>
                <w:kern w:val="0"/>
                <w:sz w:val="21"/>
                <w:szCs w:val="21"/>
                <w:highlight w:val="none"/>
              </w:rPr>
              <w:t>技术人员分</w:t>
            </w:r>
          </w:p>
        </w:tc>
        <w:tc>
          <w:tcPr>
            <w:tcW w:w="6587" w:type="dxa"/>
            <w:noWrap w:val="0"/>
            <w:vAlign w:val="center"/>
          </w:tcPr>
          <w:p>
            <w:pPr>
              <w:pStyle w:val="14"/>
              <w:keepNext w:val="0"/>
              <w:keepLines w:val="0"/>
              <w:pageBreakBefore w:val="0"/>
              <w:numPr>
                <w:numId w:val="0"/>
              </w:numPr>
              <w:kinsoku/>
              <w:wordWrap/>
              <w:overflowPunct/>
              <w:topLinePunct w:val="0"/>
              <w:autoSpaceDE/>
              <w:autoSpaceDN/>
              <w:bidi w:val="0"/>
              <w:snapToGrid/>
              <w:spacing w:line="400" w:lineRule="exact"/>
              <w:rPr>
                <w:rFonts w:hint="eastAsia" w:ascii="宋体" w:hAnsi="宋体" w:eastAsia="宋体" w:cs="宋体"/>
                <w:bCs/>
                <w:color w:val="auto"/>
                <w:kern w:val="2"/>
                <w:sz w:val="21"/>
                <w:szCs w:val="21"/>
                <w:highlight w:val="none"/>
                <w:lang w:val="en-US" w:eastAsia="zh-CN"/>
              </w:rPr>
            </w:pPr>
            <w:r>
              <w:rPr>
                <w:rFonts w:hint="eastAsia" w:hAnsi="宋体" w:cs="宋体"/>
                <w:bCs/>
                <w:color w:val="auto"/>
                <w:kern w:val="2"/>
                <w:sz w:val="21"/>
                <w:szCs w:val="21"/>
                <w:highlight w:val="none"/>
                <w:lang w:val="en-US" w:eastAsia="zh-CN"/>
              </w:rPr>
              <w:t>（1）</w:t>
            </w:r>
            <w:r>
              <w:rPr>
                <w:rFonts w:hint="eastAsia" w:ascii="宋体" w:hAnsi="宋体" w:eastAsia="宋体" w:cs="宋体"/>
                <w:bCs/>
                <w:color w:val="auto"/>
                <w:kern w:val="2"/>
                <w:sz w:val="21"/>
                <w:szCs w:val="21"/>
                <w:highlight w:val="none"/>
                <w:lang w:val="en-US" w:eastAsia="zh-CN"/>
              </w:rPr>
              <w:t>投标人拟投入维护保养工作人员配备相关技术上岗证书：有焊工作业证、电工作业证、高空作业证，制冷与空调作业证、压力容器操作证</w:t>
            </w:r>
            <w:r>
              <w:rPr>
                <w:rFonts w:hint="eastAsia" w:ascii="宋体" w:hAnsi="宋体" w:eastAsia="宋体" w:cs="宋体"/>
                <w:color w:val="auto"/>
                <w:sz w:val="21"/>
                <w:szCs w:val="21"/>
                <w:lang w:eastAsia="zh-CN"/>
              </w:rPr>
              <w:t>，</w:t>
            </w:r>
            <w:r>
              <w:rPr>
                <w:rFonts w:hint="eastAsia" w:ascii="宋体" w:hAnsi="宋体" w:eastAsia="宋体" w:cs="宋体"/>
                <w:bCs/>
                <w:color w:val="auto"/>
                <w:kern w:val="2"/>
                <w:sz w:val="21"/>
                <w:szCs w:val="21"/>
                <w:highlight w:val="none"/>
                <w:lang w:val="en-US" w:eastAsia="zh-CN"/>
              </w:rPr>
              <w:t>每种类型证书得1分，满分5分。</w:t>
            </w:r>
          </w:p>
          <w:p>
            <w:pPr>
              <w:pStyle w:val="14"/>
              <w:keepNext w:val="0"/>
              <w:keepLines w:val="0"/>
              <w:pageBreakBefore w:val="0"/>
              <w:numPr>
                <w:numId w:val="0"/>
              </w:numPr>
              <w:kinsoku/>
              <w:wordWrap/>
              <w:overflowPunct/>
              <w:topLinePunct w:val="0"/>
              <w:autoSpaceDE/>
              <w:autoSpaceDN/>
              <w:bidi w:val="0"/>
              <w:snapToGrid/>
              <w:spacing w:line="400" w:lineRule="exact"/>
              <w:rPr>
                <w:rFonts w:hint="eastAsia" w:ascii="宋体" w:hAnsi="宋体" w:eastAsia="宋体" w:cs="宋体"/>
                <w:color w:val="auto"/>
                <w:sz w:val="21"/>
                <w:szCs w:val="21"/>
              </w:rPr>
            </w:pPr>
            <w:r>
              <w:rPr>
                <w:rFonts w:hint="eastAsia" w:hAnsi="宋体" w:cs="宋体"/>
                <w:bCs/>
                <w:color w:val="auto"/>
                <w:kern w:val="2"/>
                <w:sz w:val="21"/>
                <w:szCs w:val="21"/>
                <w:highlight w:val="none"/>
                <w:lang w:val="en-US" w:eastAsia="zh-CN"/>
              </w:rPr>
              <w:t>（2）</w:t>
            </w:r>
            <w:r>
              <w:rPr>
                <w:rFonts w:hint="eastAsia" w:ascii="宋体" w:hAnsi="宋体" w:eastAsia="宋体" w:cs="宋体"/>
                <w:bCs/>
                <w:color w:val="auto"/>
                <w:kern w:val="2"/>
                <w:sz w:val="21"/>
                <w:szCs w:val="21"/>
                <w:highlight w:val="none"/>
                <w:lang w:val="en-US" w:eastAsia="zh-CN"/>
              </w:rPr>
              <w:t>投标人拟投入维护保养工作人员配备相关技术的职称证书：工程师证，每有1个得1</w:t>
            </w:r>
            <w:r>
              <w:rPr>
                <w:rFonts w:hint="eastAsia" w:hAnsi="宋体" w:cs="宋体"/>
                <w:bCs/>
                <w:color w:val="auto"/>
                <w:kern w:val="2"/>
                <w:sz w:val="21"/>
                <w:szCs w:val="21"/>
                <w:highlight w:val="none"/>
                <w:lang w:val="en-US" w:eastAsia="zh-CN"/>
              </w:rPr>
              <w:t>.5</w:t>
            </w:r>
            <w:r>
              <w:rPr>
                <w:rFonts w:hint="eastAsia" w:ascii="宋体" w:hAnsi="宋体" w:eastAsia="宋体" w:cs="宋体"/>
                <w:bCs/>
                <w:color w:val="auto"/>
                <w:kern w:val="2"/>
                <w:sz w:val="21"/>
                <w:szCs w:val="21"/>
                <w:highlight w:val="none"/>
                <w:lang w:val="en-US" w:eastAsia="zh-CN"/>
              </w:rPr>
              <w:t>分，满分3分。</w:t>
            </w:r>
          </w:p>
          <w:p>
            <w:pPr>
              <w:pStyle w:val="14"/>
              <w:keepNext w:val="0"/>
              <w:keepLines w:val="0"/>
              <w:pageBreakBefore w:val="0"/>
              <w:numPr>
                <w:ilvl w:val="-1"/>
                <w:numId w:val="0"/>
              </w:numPr>
              <w:kinsoku/>
              <w:wordWrap/>
              <w:overflowPunct/>
              <w:topLinePunct w:val="0"/>
              <w:autoSpaceDE/>
              <w:autoSpaceDN/>
              <w:bidi w:val="0"/>
              <w:snapToGrid/>
              <w:spacing w:line="400" w:lineRule="exact"/>
              <w:rPr>
                <w:rFonts w:hint="eastAsia" w:ascii="宋体" w:hAnsi="宋体" w:eastAsia="宋体" w:cs="宋体"/>
                <w:bCs/>
                <w:color w:val="auto"/>
                <w:kern w:val="2"/>
                <w:sz w:val="21"/>
                <w:szCs w:val="21"/>
                <w:highlight w:val="none"/>
                <w:lang w:val="en-US" w:eastAsia="zh-CN"/>
              </w:rPr>
            </w:pPr>
            <w:r>
              <w:rPr>
                <w:rFonts w:hint="eastAsia" w:ascii="宋体" w:hAnsi="宋体" w:eastAsia="宋体" w:cs="宋体"/>
                <w:bCs/>
                <w:color w:val="auto"/>
                <w:kern w:val="2"/>
                <w:sz w:val="21"/>
                <w:szCs w:val="21"/>
                <w:highlight w:val="none"/>
                <w:lang w:val="en-US" w:eastAsia="zh-CN"/>
              </w:rPr>
              <w:t>注：上述技术人员需提供相关证书复印件及劳动合同复印件，原件备查。</w:t>
            </w:r>
          </w:p>
        </w:tc>
        <w:tc>
          <w:tcPr>
            <w:tcW w:w="851" w:type="dxa"/>
            <w:noWrap w:val="0"/>
            <w:vAlign w:val="center"/>
          </w:tcPr>
          <w:p>
            <w:pPr>
              <w:keepNext w:val="0"/>
              <w:keepLines w:val="0"/>
              <w:pageBreakBefore w:val="0"/>
              <w:kinsoku/>
              <w:wordWrap/>
              <w:overflowPunct/>
              <w:topLinePunct w:val="0"/>
              <w:autoSpaceDE/>
              <w:autoSpaceDN/>
              <w:bidi w:val="0"/>
              <w:snapToGrid/>
              <w:spacing w:line="400" w:lineRule="exact"/>
              <w:jc w:val="center"/>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756" w:type="dxa"/>
            <w:noWrap w:val="0"/>
            <w:vAlign w:val="center"/>
          </w:tcPr>
          <w:p>
            <w:pPr>
              <w:keepNext w:val="0"/>
              <w:keepLines w:val="0"/>
              <w:pageBreakBefore w:val="0"/>
              <w:kinsoku/>
              <w:wordWrap/>
              <w:overflowPunct/>
              <w:topLinePunct w:val="0"/>
              <w:autoSpaceDE/>
              <w:autoSpaceDN/>
              <w:bidi w:val="0"/>
              <w:adjustRightInd w:val="0"/>
              <w:snapToGrid/>
              <w:spacing w:line="400" w:lineRule="exact"/>
              <w:ind w:left="-105" w:leftChars="-50" w:right="-105" w:rightChars="-50"/>
              <w:jc w:val="center"/>
              <w:textAlignment w:val="baseline"/>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2.3</w:t>
            </w:r>
          </w:p>
        </w:tc>
        <w:tc>
          <w:tcPr>
            <w:tcW w:w="1744" w:type="dxa"/>
            <w:noWrap w:val="0"/>
            <w:vAlign w:val="center"/>
          </w:tcPr>
          <w:p>
            <w:pPr>
              <w:keepNext w:val="0"/>
              <w:keepLines w:val="0"/>
              <w:pageBreakBefore w:val="0"/>
              <w:widowControl/>
              <w:kinsoku/>
              <w:wordWrap/>
              <w:overflowPunct/>
              <w:topLinePunct w:val="0"/>
              <w:autoSpaceDE/>
              <w:autoSpaceDN/>
              <w:bidi w:val="0"/>
              <w:snapToGrid w:val="0"/>
              <w:spacing w:line="400" w:lineRule="exact"/>
              <w:jc w:val="center"/>
              <w:rPr>
                <w:rFonts w:hint="eastAsia" w:ascii="宋体" w:hAnsi="宋体" w:eastAsia="宋体" w:cs="宋体"/>
                <w:bCs/>
                <w:color w:val="auto"/>
                <w:kern w:val="0"/>
                <w:sz w:val="21"/>
                <w:szCs w:val="21"/>
                <w:highlight w:val="none"/>
              </w:rPr>
            </w:pPr>
            <w:r>
              <w:rPr>
                <w:rFonts w:hint="eastAsia" w:ascii="宋体" w:hAnsi="宋体" w:eastAsia="宋体" w:cs="宋体"/>
                <w:b w:val="0"/>
                <w:bCs/>
                <w:color w:val="auto"/>
                <w:sz w:val="21"/>
                <w:szCs w:val="21"/>
                <w:highlight w:val="none"/>
                <w:lang w:eastAsia="zh-CN"/>
              </w:rPr>
              <w:t>拟投入维修维护</w:t>
            </w:r>
            <w:r>
              <w:rPr>
                <w:rFonts w:hint="eastAsia" w:ascii="宋体" w:hAnsi="宋体" w:eastAsia="宋体" w:cs="宋体"/>
                <w:b w:val="0"/>
                <w:bCs/>
                <w:color w:val="auto"/>
                <w:sz w:val="21"/>
                <w:szCs w:val="21"/>
                <w:highlight w:val="none"/>
              </w:rPr>
              <w:t>设备配置</w:t>
            </w:r>
            <w:r>
              <w:rPr>
                <w:rFonts w:hint="eastAsia" w:ascii="宋体" w:hAnsi="宋体" w:eastAsia="宋体" w:cs="宋体"/>
                <w:b w:val="0"/>
                <w:bCs/>
                <w:color w:val="auto"/>
                <w:sz w:val="21"/>
                <w:szCs w:val="21"/>
                <w:highlight w:val="none"/>
                <w:lang w:val="en-US" w:eastAsia="zh-CN"/>
              </w:rPr>
              <w:t>分</w:t>
            </w:r>
          </w:p>
        </w:tc>
        <w:tc>
          <w:tcPr>
            <w:tcW w:w="6587" w:type="dxa"/>
            <w:noWrap w:val="0"/>
            <w:vAlign w:val="center"/>
          </w:tcPr>
          <w:p>
            <w:pPr>
              <w:keepNext w:val="0"/>
              <w:keepLines w:val="0"/>
              <w:pageBreakBefore w:val="0"/>
              <w:widowControl/>
              <w:kinsoku/>
              <w:wordWrap/>
              <w:overflowPunct/>
              <w:topLinePunct w:val="0"/>
              <w:autoSpaceDE/>
              <w:autoSpaceDN/>
              <w:bidi w:val="0"/>
              <w:snapToGrid w:val="0"/>
              <w:spacing w:line="400" w:lineRule="exact"/>
              <w:rPr>
                <w:rFonts w:hint="eastAsia" w:ascii="宋体" w:hAnsi="宋体" w:eastAsia="宋体" w:cs="宋体"/>
                <w:bCs/>
                <w:color w:val="auto"/>
                <w:kern w:val="2"/>
                <w:sz w:val="21"/>
                <w:szCs w:val="21"/>
                <w:highlight w:val="none"/>
                <w:lang w:val="en-US" w:eastAsia="zh-CN"/>
              </w:rPr>
            </w:pPr>
            <w:r>
              <w:rPr>
                <w:rFonts w:hint="eastAsia" w:ascii="宋体" w:hAnsi="宋体" w:eastAsia="宋体" w:cs="宋体"/>
                <w:color w:val="auto"/>
                <w:kern w:val="0"/>
                <w:sz w:val="21"/>
                <w:szCs w:val="21"/>
                <w:highlight w:val="none"/>
                <w:lang w:bidi="ar"/>
              </w:rPr>
              <w:t>为满足本项目服务要求</w:t>
            </w:r>
            <w:r>
              <w:rPr>
                <w:rFonts w:hint="eastAsia" w:ascii="宋体" w:hAnsi="宋体" w:eastAsia="宋体" w:cs="宋体"/>
                <w:color w:val="auto"/>
                <w:kern w:val="0"/>
                <w:sz w:val="21"/>
                <w:szCs w:val="21"/>
                <w:highlight w:val="none"/>
                <w:lang w:eastAsia="zh-CN" w:bidi="ar"/>
              </w:rPr>
              <w:t>，</w:t>
            </w:r>
            <w:r>
              <w:rPr>
                <w:rFonts w:hint="eastAsia" w:ascii="宋体" w:hAnsi="宋体" w:eastAsia="宋体" w:cs="宋体"/>
                <w:color w:val="auto"/>
                <w:sz w:val="21"/>
                <w:szCs w:val="21"/>
                <w:highlight w:val="none"/>
                <w:lang w:eastAsia="zh-CN"/>
              </w:rPr>
              <w:t>投标</w:t>
            </w:r>
            <w:r>
              <w:rPr>
                <w:rFonts w:hint="eastAsia" w:ascii="宋体" w:hAnsi="宋体" w:eastAsia="宋体" w:cs="宋体"/>
                <w:color w:val="auto"/>
                <w:sz w:val="21"/>
                <w:szCs w:val="21"/>
                <w:highlight w:val="none"/>
              </w:rPr>
              <w:t>供应商需</w:t>
            </w:r>
            <w:r>
              <w:rPr>
                <w:rFonts w:hint="eastAsia" w:ascii="宋体" w:hAnsi="宋体" w:eastAsia="宋体" w:cs="宋体"/>
                <w:color w:val="auto"/>
                <w:kern w:val="0"/>
                <w:sz w:val="21"/>
                <w:szCs w:val="21"/>
                <w:highlight w:val="none"/>
                <w:lang w:bidi="ar"/>
              </w:rPr>
              <w:t>提供专业仪器</w:t>
            </w:r>
            <w:r>
              <w:rPr>
                <w:rFonts w:hint="eastAsia" w:ascii="宋体" w:hAnsi="宋体" w:eastAsia="宋体" w:cs="宋体"/>
                <w:color w:val="auto"/>
                <w:kern w:val="0"/>
                <w:sz w:val="21"/>
                <w:szCs w:val="21"/>
                <w:highlight w:val="none"/>
                <w:lang w:eastAsia="zh-CN" w:bidi="ar"/>
              </w:rPr>
              <w:t>设备</w:t>
            </w:r>
            <w:r>
              <w:rPr>
                <w:rFonts w:hint="eastAsia" w:ascii="宋体" w:hAnsi="宋体" w:eastAsia="宋体" w:cs="宋体"/>
                <w:color w:val="auto"/>
                <w:kern w:val="0"/>
                <w:sz w:val="21"/>
                <w:szCs w:val="21"/>
                <w:highlight w:val="none"/>
                <w:lang w:bidi="ar"/>
              </w:rPr>
              <w:t>进行维修维护，专业仪器</w:t>
            </w:r>
            <w:r>
              <w:rPr>
                <w:rFonts w:hint="eastAsia" w:ascii="宋体" w:hAnsi="宋体" w:eastAsia="宋体" w:cs="宋体"/>
                <w:color w:val="auto"/>
                <w:kern w:val="0"/>
                <w:sz w:val="21"/>
                <w:szCs w:val="21"/>
                <w:highlight w:val="none"/>
                <w:lang w:eastAsia="zh-CN" w:bidi="ar"/>
              </w:rPr>
              <w:t>设备</w:t>
            </w:r>
            <w:r>
              <w:rPr>
                <w:rFonts w:hint="eastAsia" w:ascii="宋体" w:hAnsi="宋体" w:eastAsia="宋体" w:cs="宋体"/>
                <w:color w:val="auto"/>
                <w:kern w:val="0"/>
                <w:sz w:val="21"/>
                <w:szCs w:val="21"/>
                <w:highlight w:val="none"/>
                <w:lang w:bidi="ar"/>
              </w:rPr>
              <w:t>包含：风速议、钳形电流表、电子天平、PH计</w:t>
            </w:r>
            <w:r>
              <w:rPr>
                <w:rFonts w:hint="eastAsia" w:ascii="宋体" w:hAnsi="宋体" w:eastAsia="宋体" w:cs="宋体"/>
                <w:color w:val="auto"/>
                <w:kern w:val="0"/>
                <w:sz w:val="21"/>
                <w:szCs w:val="21"/>
                <w:highlight w:val="none"/>
                <w:lang w:eastAsia="zh-CN" w:bidi="ar"/>
              </w:rPr>
              <w:t>、</w:t>
            </w:r>
            <w:r>
              <w:rPr>
                <w:rFonts w:hint="eastAsia" w:ascii="宋体" w:hAnsi="宋体" w:eastAsia="宋体" w:cs="宋体"/>
                <w:color w:val="auto"/>
                <w:kern w:val="0"/>
                <w:sz w:val="21"/>
                <w:szCs w:val="21"/>
                <w:highlight w:val="none"/>
                <w:lang w:bidi="ar"/>
              </w:rPr>
              <w:t>红外测温仪</w:t>
            </w:r>
            <w:r>
              <w:rPr>
                <w:rFonts w:hint="eastAsia" w:ascii="宋体" w:hAnsi="宋体" w:cs="宋体"/>
                <w:color w:val="auto"/>
                <w:kern w:val="0"/>
                <w:sz w:val="21"/>
                <w:szCs w:val="21"/>
                <w:highlight w:val="none"/>
                <w:lang w:eastAsia="zh-CN" w:bidi="ar"/>
              </w:rPr>
              <w:t>、通炮机、真空泵、高压水枪、分贝仪、万用表</w:t>
            </w:r>
            <w:r>
              <w:rPr>
                <w:rFonts w:hint="eastAsia" w:ascii="宋体" w:hAnsi="宋体" w:eastAsia="宋体" w:cs="宋体"/>
                <w:color w:val="auto"/>
                <w:kern w:val="0"/>
                <w:sz w:val="21"/>
                <w:szCs w:val="21"/>
                <w:highlight w:val="none"/>
                <w:lang w:eastAsia="zh-CN" w:bidi="ar"/>
              </w:rPr>
              <w:t>等</w:t>
            </w:r>
            <w:r>
              <w:rPr>
                <w:rFonts w:hint="eastAsia" w:ascii="宋体" w:hAnsi="宋体" w:eastAsia="宋体" w:cs="宋体"/>
                <w:color w:val="auto"/>
                <w:kern w:val="0"/>
                <w:sz w:val="21"/>
                <w:szCs w:val="21"/>
                <w:highlight w:val="none"/>
                <w:lang w:bidi="ar"/>
              </w:rPr>
              <w:t>相关</w:t>
            </w:r>
            <w:r>
              <w:rPr>
                <w:rFonts w:hint="eastAsia" w:ascii="宋体" w:hAnsi="宋体" w:eastAsia="宋体" w:cs="宋体"/>
                <w:color w:val="auto"/>
                <w:kern w:val="0"/>
                <w:sz w:val="21"/>
                <w:szCs w:val="21"/>
                <w:highlight w:val="none"/>
                <w:lang w:eastAsia="zh-CN" w:bidi="ar"/>
              </w:rPr>
              <w:t>专用检测、维修维护设备</w:t>
            </w:r>
            <w:r>
              <w:rPr>
                <w:rFonts w:hint="eastAsia" w:ascii="宋体" w:hAnsi="宋体" w:eastAsia="宋体" w:cs="宋体"/>
                <w:color w:val="auto"/>
                <w:kern w:val="0"/>
                <w:sz w:val="21"/>
                <w:szCs w:val="21"/>
                <w:highlight w:val="none"/>
                <w:lang w:bidi="ar"/>
              </w:rPr>
              <w:t>，每项得</w:t>
            </w:r>
            <w:r>
              <w:rPr>
                <w:rFonts w:hint="eastAsia" w:ascii="宋体" w:hAnsi="宋体" w:eastAsia="宋体" w:cs="宋体"/>
                <w:color w:val="auto"/>
                <w:kern w:val="0"/>
                <w:sz w:val="21"/>
                <w:szCs w:val="21"/>
                <w:highlight w:val="none"/>
                <w:lang w:val="en-US" w:eastAsia="zh-CN" w:bidi="ar"/>
              </w:rPr>
              <w:t>1</w:t>
            </w:r>
            <w:r>
              <w:rPr>
                <w:rFonts w:hint="eastAsia" w:ascii="宋体" w:hAnsi="宋体" w:cs="宋体"/>
                <w:color w:val="auto"/>
                <w:kern w:val="0"/>
                <w:sz w:val="21"/>
                <w:szCs w:val="21"/>
                <w:highlight w:val="none"/>
                <w:lang w:val="en-US" w:eastAsia="zh-CN" w:bidi="ar"/>
              </w:rPr>
              <w:t>.5</w:t>
            </w:r>
            <w:r>
              <w:rPr>
                <w:rFonts w:hint="eastAsia" w:ascii="宋体" w:hAnsi="宋体" w:eastAsia="宋体" w:cs="宋体"/>
                <w:color w:val="auto"/>
                <w:kern w:val="0"/>
                <w:sz w:val="21"/>
                <w:szCs w:val="21"/>
                <w:highlight w:val="none"/>
                <w:lang w:bidi="ar"/>
              </w:rPr>
              <w:t>分，满分</w:t>
            </w:r>
            <w:r>
              <w:rPr>
                <w:rFonts w:hint="eastAsia" w:ascii="宋体" w:hAnsi="宋体" w:cs="宋体"/>
                <w:color w:val="auto"/>
                <w:kern w:val="0"/>
                <w:sz w:val="21"/>
                <w:szCs w:val="21"/>
                <w:highlight w:val="none"/>
                <w:lang w:val="en-US" w:eastAsia="zh-CN" w:bidi="ar"/>
              </w:rPr>
              <w:t>15</w:t>
            </w:r>
            <w:r>
              <w:rPr>
                <w:rFonts w:hint="eastAsia" w:ascii="宋体" w:hAnsi="宋体" w:eastAsia="宋体" w:cs="宋体"/>
                <w:color w:val="auto"/>
                <w:kern w:val="0"/>
                <w:sz w:val="21"/>
                <w:szCs w:val="21"/>
                <w:highlight w:val="none"/>
                <w:lang w:bidi="ar"/>
              </w:rPr>
              <w:t>分。</w:t>
            </w:r>
          </w:p>
        </w:tc>
        <w:tc>
          <w:tcPr>
            <w:tcW w:w="851" w:type="dxa"/>
            <w:noWrap w:val="0"/>
            <w:vAlign w:val="center"/>
          </w:tcPr>
          <w:p>
            <w:pPr>
              <w:keepNext w:val="0"/>
              <w:keepLines w:val="0"/>
              <w:pageBreakBefore w:val="0"/>
              <w:kinsoku/>
              <w:wordWrap/>
              <w:overflowPunct/>
              <w:topLinePunct w:val="0"/>
              <w:autoSpaceDE/>
              <w:autoSpaceDN/>
              <w:bidi w:val="0"/>
              <w:snapToGrid/>
              <w:spacing w:line="400" w:lineRule="exact"/>
              <w:jc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15</w:t>
            </w:r>
            <w:r>
              <w:rPr>
                <w:rFonts w:hint="eastAsia" w:ascii="宋体" w:hAnsi="宋体" w:eastAsia="宋体" w:cs="宋体"/>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756" w:type="dxa"/>
            <w:noWrap w:val="0"/>
            <w:vAlign w:val="center"/>
          </w:tcPr>
          <w:p>
            <w:pPr>
              <w:keepNext w:val="0"/>
              <w:keepLines w:val="0"/>
              <w:pageBreakBefore w:val="0"/>
              <w:kinsoku/>
              <w:wordWrap/>
              <w:overflowPunct/>
              <w:topLinePunct w:val="0"/>
              <w:autoSpaceDE/>
              <w:autoSpaceDN/>
              <w:bidi w:val="0"/>
              <w:adjustRightInd w:val="0"/>
              <w:snapToGrid/>
              <w:spacing w:line="400" w:lineRule="exact"/>
              <w:ind w:left="-105" w:leftChars="-50" w:right="-105" w:rightChars="-50"/>
              <w:jc w:val="center"/>
              <w:textAlignment w:val="baseline"/>
              <w:rPr>
                <w:rFonts w:hint="eastAsia" w:ascii="宋体" w:hAnsi="宋体" w:eastAsia="宋体" w:cs="宋体"/>
                <w:bCs/>
                <w:color w:val="auto"/>
                <w:kern w:val="0"/>
                <w:sz w:val="21"/>
                <w:szCs w:val="21"/>
                <w:highlight w:val="none"/>
                <w:lang w:val="en-US" w:eastAsia="zh-CN"/>
              </w:rPr>
            </w:pPr>
            <w:r>
              <w:rPr>
                <w:rFonts w:hint="eastAsia" w:ascii="宋体" w:hAnsi="宋体" w:eastAsia="宋体" w:cs="宋体"/>
                <w:bCs/>
                <w:color w:val="auto"/>
                <w:kern w:val="0"/>
                <w:sz w:val="21"/>
                <w:szCs w:val="21"/>
                <w:highlight w:val="none"/>
                <w:lang w:val="en-US" w:eastAsia="zh-CN"/>
              </w:rPr>
              <w:t>2.4</w:t>
            </w:r>
          </w:p>
        </w:tc>
        <w:tc>
          <w:tcPr>
            <w:tcW w:w="1744" w:type="dxa"/>
            <w:noWrap w:val="0"/>
            <w:vAlign w:val="center"/>
          </w:tcPr>
          <w:p>
            <w:pPr>
              <w:keepNext w:val="0"/>
              <w:keepLines w:val="0"/>
              <w:pageBreakBefore w:val="0"/>
              <w:kinsoku/>
              <w:wordWrap/>
              <w:overflowPunct/>
              <w:topLinePunct w:val="0"/>
              <w:autoSpaceDE/>
              <w:autoSpaceDN/>
              <w:bidi w:val="0"/>
              <w:adjustRightInd w:val="0"/>
              <w:snapToGrid/>
              <w:spacing w:line="400" w:lineRule="exact"/>
              <w:jc w:val="center"/>
              <w:textAlignment w:val="baseline"/>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运营服务安全保证措施</w:t>
            </w:r>
            <w:r>
              <w:rPr>
                <w:rFonts w:hint="eastAsia" w:ascii="宋体" w:hAnsi="宋体" w:eastAsia="宋体" w:cs="宋体"/>
                <w:bCs/>
                <w:color w:val="auto"/>
                <w:kern w:val="0"/>
                <w:sz w:val="21"/>
                <w:szCs w:val="21"/>
                <w:highlight w:val="none"/>
                <w:lang w:eastAsia="zh-CN"/>
              </w:rPr>
              <w:t>分</w:t>
            </w:r>
          </w:p>
        </w:tc>
        <w:tc>
          <w:tcPr>
            <w:tcW w:w="6587" w:type="dxa"/>
            <w:noWrap w:val="0"/>
            <w:vAlign w:val="center"/>
          </w:tcPr>
          <w:p>
            <w:pPr>
              <w:pStyle w:val="14"/>
              <w:keepNext w:val="0"/>
              <w:keepLines w:val="0"/>
              <w:pageBreakBefore w:val="0"/>
              <w:kinsoku/>
              <w:wordWrap/>
              <w:overflowPunct/>
              <w:topLinePunct w:val="0"/>
              <w:autoSpaceDE/>
              <w:autoSpaceDN/>
              <w:bidi w:val="0"/>
              <w:snapToGrid/>
              <w:spacing w:line="400" w:lineRule="exact"/>
              <w:rPr>
                <w:rFonts w:hint="eastAsia" w:ascii="宋体" w:hAnsi="宋体" w:eastAsia="宋体" w:cs="宋体"/>
                <w:bCs/>
                <w:color w:val="auto"/>
                <w:kern w:val="2"/>
                <w:sz w:val="21"/>
                <w:szCs w:val="21"/>
                <w:highlight w:val="none"/>
                <w:lang w:val="en-US" w:eastAsia="zh-CN"/>
              </w:rPr>
            </w:pPr>
            <w:r>
              <w:rPr>
                <w:rFonts w:hint="eastAsia" w:ascii="宋体" w:hAnsi="宋体" w:eastAsia="宋体" w:cs="宋体"/>
                <w:bCs/>
                <w:color w:val="auto"/>
                <w:kern w:val="2"/>
                <w:sz w:val="21"/>
                <w:szCs w:val="21"/>
                <w:highlight w:val="none"/>
                <w:lang w:val="en-US" w:eastAsia="zh-CN"/>
              </w:rPr>
              <w:t>未提供运营服务安全保证措施的得0分。</w:t>
            </w:r>
          </w:p>
          <w:p>
            <w:pPr>
              <w:pStyle w:val="14"/>
              <w:keepNext w:val="0"/>
              <w:keepLines w:val="0"/>
              <w:pageBreakBefore w:val="0"/>
              <w:kinsoku/>
              <w:wordWrap/>
              <w:overflowPunct/>
              <w:topLinePunct w:val="0"/>
              <w:autoSpaceDE/>
              <w:autoSpaceDN/>
              <w:bidi w:val="0"/>
              <w:snapToGrid/>
              <w:spacing w:line="400" w:lineRule="exac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一档（5分）：投标人有安全保障承诺，有安全保证措施，有安全管理人员和制度，但措施设置简单，缺乏针对性。</w:t>
            </w:r>
          </w:p>
          <w:p>
            <w:pPr>
              <w:pStyle w:val="14"/>
              <w:keepNext w:val="0"/>
              <w:keepLines w:val="0"/>
              <w:pageBreakBefore w:val="0"/>
              <w:kinsoku/>
              <w:wordWrap/>
              <w:overflowPunct/>
              <w:topLinePunct w:val="0"/>
              <w:autoSpaceDE/>
              <w:autoSpaceDN/>
              <w:bidi w:val="0"/>
              <w:snapToGrid/>
              <w:spacing w:line="400" w:lineRule="exac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二档（10分）：投标人有安全保障承诺，有安全保证措施，安全保证措施有专门的安全管理人员和制度，且列明相关技术人员，符合实际且满足有关安全技术标准要求。</w:t>
            </w:r>
          </w:p>
          <w:p>
            <w:pPr>
              <w:pStyle w:val="14"/>
              <w:keepNext w:val="0"/>
              <w:keepLines w:val="0"/>
              <w:pageBreakBefore w:val="0"/>
              <w:kinsoku/>
              <w:wordWrap/>
              <w:overflowPunct/>
              <w:topLinePunct w:val="0"/>
              <w:autoSpaceDE/>
              <w:autoSpaceDN/>
              <w:bidi w:val="0"/>
              <w:snapToGrid/>
              <w:spacing w:line="400" w:lineRule="exact"/>
              <w:rPr>
                <w:rFonts w:hint="eastAsia" w:ascii="宋体" w:hAnsi="宋体" w:eastAsia="宋体" w:cs="宋体"/>
                <w:bCs/>
                <w:color w:val="auto"/>
                <w:kern w:val="2"/>
                <w:sz w:val="21"/>
                <w:szCs w:val="21"/>
                <w:highlight w:val="none"/>
                <w:lang w:val="en-US" w:eastAsia="zh-CN"/>
              </w:rPr>
            </w:pPr>
            <w:r>
              <w:rPr>
                <w:rFonts w:hint="eastAsia" w:ascii="宋体" w:hAnsi="宋体" w:eastAsia="宋体" w:cs="宋体"/>
                <w:color w:val="auto"/>
                <w:sz w:val="21"/>
                <w:szCs w:val="21"/>
                <w:highlight w:val="none"/>
                <w:lang w:val="en-US" w:eastAsia="zh-CN"/>
              </w:rPr>
              <w:t>三档（15分）：投标人有安全保障承诺，有安全保证措施，安全保证措施有专门的安全管理人员和制度，且列明相关技术人员，保证措施完整、详细，安全技术措施针对性强，现场防火、应急救援等安全措施得力，符合实际且满足有关安全技术标准要求。</w:t>
            </w:r>
          </w:p>
        </w:tc>
        <w:tc>
          <w:tcPr>
            <w:tcW w:w="851" w:type="dxa"/>
            <w:noWrap w:val="0"/>
            <w:vAlign w:val="center"/>
          </w:tcPr>
          <w:p>
            <w:pPr>
              <w:keepNext w:val="0"/>
              <w:keepLines w:val="0"/>
              <w:pageBreakBefore w:val="0"/>
              <w:kinsoku/>
              <w:wordWrap/>
              <w:overflowPunct/>
              <w:topLinePunct w:val="0"/>
              <w:autoSpaceDE/>
              <w:autoSpaceDN/>
              <w:bidi w:val="0"/>
              <w:snapToGrid/>
              <w:spacing w:line="400" w:lineRule="exac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756" w:type="dxa"/>
            <w:noWrap w:val="0"/>
            <w:vAlign w:val="center"/>
          </w:tcPr>
          <w:p>
            <w:pPr>
              <w:keepNext w:val="0"/>
              <w:keepLines w:val="0"/>
              <w:pageBreakBefore w:val="0"/>
              <w:kinsoku/>
              <w:wordWrap/>
              <w:overflowPunct/>
              <w:topLinePunct w:val="0"/>
              <w:autoSpaceDE/>
              <w:autoSpaceDN/>
              <w:bidi w:val="0"/>
              <w:adjustRightInd w:val="0"/>
              <w:snapToGrid/>
              <w:spacing w:line="400" w:lineRule="exact"/>
              <w:ind w:left="-105" w:leftChars="-50" w:right="-105" w:rightChars="-50"/>
              <w:jc w:val="center"/>
              <w:textAlignment w:val="baseline"/>
              <w:rPr>
                <w:rFonts w:hint="eastAsia" w:ascii="宋体" w:hAnsi="宋体" w:eastAsia="宋体" w:cs="宋体"/>
                <w:bCs/>
                <w:color w:val="auto"/>
                <w:kern w:val="0"/>
                <w:sz w:val="21"/>
                <w:szCs w:val="21"/>
                <w:highlight w:val="none"/>
                <w:lang w:val="en-US" w:eastAsia="zh-CN"/>
              </w:rPr>
            </w:pPr>
            <w:r>
              <w:rPr>
                <w:rFonts w:hint="eastAsia" w:ascii="宋体" w:hAnsi="宋体" w:eastAsia="宋体" w:cs="宋体"/>
                <w:bCs/>
                <w:color w:val="auto"/>
                <w:kern w:val="0"/>
                <w:sz w:val="21"/>
                <w:szCs w:val="21"/>
                <w:highlight w:val="none"/>
                <w:lang w:val="en-US" w:eastAsia="zh-CN"/>
              </w:rPr>
              <w:t>2.5</w:t>
            </w:r>
          </w:p>
        </w:tc>
        <w:tc>
          <w:tcPr>
            <w:tcW w:w="1744" w:type="dxa"/>
            <w:noWrap w:val="0"/>
            <w:vAlign w:val="center"/>
          </w:tcPr>
          <w:p>
            <w:pPr>
              <w:keepNext w:val="0"/>
              <w:keepLines w:val="0"/>
              <w:pageBreakBefore w:val="0"/>
              <w:kinsoku/>
              <w:wordWrap/>
              <w:overflowPunct/>
              <w:topLinePunct w:val="0"/>
              <w:autoSpaceDE/>
              <w:autoSpaceDN/>
              <w:bidi w:val="0"/>
              <w:adjustRightInd w:val="0"/>
              <w:snapToGrid/>
              <w:spacing w:line="400" w:lineRule="exact"/>
              <w:jc w:val="center"/>
              <w:textAlignment w:val="baseline"/>
              <w:rPr>
                <w:rFonts w:hint="eastAsia" w:ascii="宋体" w:hAnsi="宋体" w:eastAsia="宋体" w:cs="宋体"/>
                <w:bCs/>
                <w:color w:val="auto"/>
                <w:kern w:val="0"/>
                <w:sz w:val="21"/>
                <w:szCs w:val="21"/>
                <w:highlight w:val="none"/>
              </w:rPr>
            </w:pPr>
            <w:r>
              <w:rPr>
                <w:rFonts w:hint="eastAsia" w:ascii="宋体" w:hAnsi="宋体" w:eastAsia="宋体" w:cs="宋体"/>
                <w:color w:val="auto"/>
                <w:sz w:val="21"/>
                <w:szCs w:val="21"/>
                <w:highlight w:val="none"/>
                <w:lang w:val="en-US" w:eastAsia="zh-CN"/>
              </w:rPr>
              <w:t>紧急情况预案及处理措施</w:t>
            </w:r>
            <w:r>
              <w:rPr>
                <w:rFonts w:hint="eastAsia" w:ascii="宋体" w:hAnsi="宋体" w:cs="宋体"/>
                <w:color w:val="auto"/>
                <w:sz w:val="21"/>
                <w:szCs w:val="21"/>
                <w:highlight w:val="none"/>
                <w:lang w:val="en-US" w:eastAsia="zh-CN"/>
              </w:rPr>
              <w:t>分</w:t>
            </w:r>
          </w:p>
        </w:tc>
        <w:tc>
          <w:tcPr>
            <w:tcW w:w="6587" w:type="dxa"/>
            <w:noWrap w:val="0"/>
            <w:vAlign w:val="center"/>
          </w:tcPr>
          <w:p>
            <w:pPr>
              <w:pStyle w:val="14"/>
              <w:keepNext w:val="0"/>
              <w:keepLines w:val="0"/>
              <w:pageBreakBefore w:val="0"/>
              <w:kinsoku/>
              <w:wordWrap/>
              <w:overflowPunct/>
              <w:topLinePunct w:val="0"/>
              <w:autoSpaceDE/>
              <w:autoSpaceDN/>
              <w:bidi w:val="0"/>
              <w:snapToGrid/>
              <w:spacing w:line="400" w:lineRule="exac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未提供紧急情况预案及处理措施的得0分.</w:t>
            </w:r>
          </w:p>
          <w:p>
            <w:pPr>
              <w:pStyle w:val="14"/>
              <w:keepNext w:val="0"/>
              <w:keepLines w:val="0"/>
              <w:pageBreakBefore w:val="0"/>
              <w:kinsoku/>
              <w:wordWrap/>
              <w:overflowPunct/>
              <w:topLinePunct w:val="0"/>
              <w:autoSpaceDE/>
              <w:autoSpaceDN/>
              <w:bidi w:val="0"/>
              <w:snapToGrid/>
              <w:spacing w:line="400" w:lineRule="exac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一档（5分）：有应急预案，但预案设置简单，缺乏针对性；</w:t>
            </w:r>
          </w:p>
          <w:p>
            <w:pPr>
              <w:pStyle w:val="14"/>
              <w:keepNext w:val="0"/>
              <w:keepLines w:val="0"/>
              <w:pageBreakBefore w:val="0"/>
              <w:kinsoku/>
              <w:wordWrap/>
              <w:overflowPunct/>
              <w:topLinePunct w:val="0"/>
              <w:autoSpaceDE/>
              <w:autoSpaceDN/>
              <w:bidi w:val="0"/>
              <w:snapToGrid/>
              <w:spacing w:line="400" w:lineRule="exac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二档（10分）：有应急预案，但较笼统、针对性不强；</w:t>
            </w:r>
          </w:p>
          <w:p>
            <w:pPr>
              <w:pStyle w:val="14"/>
              <w:keepNext w:val="0"/>
              <w:keepLines w:val="0"/>
              <w:pageBreakBefore w:val="0"/>
              <w:kinsoku/>
              <w:wordWrap/>
              <w:overflowPunct/>
              <w:topLinePunct w:val="0"/>
              <w:autoSpaceDE/>
              <w:autoSpaceDN/>
              <w:bidi w:val="0"/>
              <w:snapToGrid/>
              <w:spacing w:line="400" w:lineRule="exac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三档（15分）：配有针对性强、可执行度高的设备故障处理应急预案且具体可行，对不可预见因素有合理的应对方案，处理措施得当，经评委审定有效。</w:t>
            </w:r>
          </w:p>
        </w:tc>
        <w:tc>
          <w:tcPr>
            <w:tcW w:w="851" w:type="dxa"/>
            <w:noWrap w:val="0"/>
            <w:vAlign w:val="center"/>
          </w:tcPr>
          <w:p>
            <w:pPr>
              <w:keepNext w:val="0"/>
              <w:keepLines w:val="0"/>
              <w:pageBreakBefore w:val="0"/>
              <w:kinsoku/>
              <w:wordWrap/>
              <w:overflowPunct/>
              <w:topLinePunct w:val="0"/>
              <w:autoSpaceDE/>
              <w:autoSpaceDN/>
              <w:bidi w:val="0"/>
              <w:snapToGrid/>
              <w:spacing w:line="400" w:lineRule="exac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756" w:type="dxa"/>
            <w:noWrap w:val="0"/>
            <w:vAlign w:val="center"/>
          </w:tcPr>
          <w:p>
            <w:pPr>
              <w:keepNext w:val="0"/>
              <w:keepLines w:val="0"/>
              <w:pageBreakBefore w:val="0"/>
              <w:widowControl/>
              <w:kinsoku/>
              <w:wordWrap/>
              <w:overflowPunct/>
              <w:topLinePunct w:val="0"/>
              <w:autoSpaceDE/>
              <w:autoSpaceDN/>
              <w:bidi w:val="0"/>
              <w:snapToGrid/>
              <w:spacing w:line="400" w:lineRule="exact"/>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w:t>
            </w:r>
          </w:p>
        </w:tc>
        <w:tc>
          <w:tcPr>
            <w:tcW w:w="1744" w:type="dxa"/>
            <w:noWrap w:val="0"/>
            <w:vAlign w:val="center"/>
          </w:tcPr>
          <w:p>
            <w:pPr>
              <w:keepNext w:val="0"/>
              <w:keepLines w:val="0"/>
              <w:pageBreakBefore w:val="0"/>
              <w:widowControl/>
              <w:kinsoku/>
              <w:wordWrap/>
              <w:overflowPunct/>
              <w:topLinePunct w:val="0"/>
              <w:autoSpaceDE/>
              <w:autoSpaceDN/>
              <w:bidi w:val="0"/>
              <w:snapToGrid/>
              <w:spacing w:line="400" w:lineRule="exact"/>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商务分</w:t>
            </w:r>
          </w:p>
        </w:tc>
        <w:tc>
          <w:tcPr>
            <w:tcW w:w="7438" w:type="dxa"/>
            <w:gridSpan w:val="2"/>
            <w:noWrap w:val="0"/>
            <w:vAlign w:val="center"/>
          </w:tcPr>
          <w:p>
            <w:pPr>
              <w:keepNext w:val="0"/>
              <w:keepLines w:val="0"/>
              <w:pageBreakBefore w:val="0"/>
              <w:widowControl/>
              <w:kinsoku/>
              <w:wordWrap/>
              <w:overflowPunct/>
              <w:topLinePunct w:val="0"/>
              <w:autoSpaceDE/>
              <w:autoSpaceDN/>
              <w:bidi w:val="0"/>
              <w:snapToGrid/>
              <w:spacing w:line="400" w:lineRule="exact"/>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6" w:type="dxa"/>
            <w:noWrap w:val="0"/>
            <w:vAlign w:val="center"/>
          </w:tcPr>
          <w:p>
            <w:pPr>
              <w:keepNext w:val="0"/>
              <w:keepLines w:val="0"/>
              <w:pageBreakBefore w:val="0"/>
              <w:widowControl/>
              <w:kinsoku/>
              <w:wordWrap/>
              <w:overflowPunct/>
              <w:topLinePunct w:val="0"/>
              <w:autoSpaceDE/>
              <w:autoSpaceDN/>
              <w:bidi w:val="0"/>
              <w:snapToGrid/>
              <w:spacing w:line="400" w:lineRule="exact"/>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3.</w:t>
            </w:r>
            <w:r>
              <w:rPr>
                <w:rFonts w:hint="eastAsia" w:ascii="宋体" w:hAnsi="宋体" w:eastAsia="宋体" w:cs="宋体"/>
                <w:color w:val="auto"/>
                <w:kern w:val="0"/>
                <w:sz w:val="21"/>
                <w:szCs w:val="21"/>
                <w:highlight w:val="none"/>
                <w:lang w:val="en-US" w:eastAsia="zh-CN"/>
              </w:rPr>
              <w:t>1</w:t>
            </w:r>
          </w:p>
        </w:tc>
        <w:tc>
          <w:tcPr>
            <w:tcW w:w="1744" w:type="dxa"/>
            <w:noWrap w:val="0"/>
            <w:vAlign w:val="center"/>
          </w:tcPr>
          <w:p>
            <w:pPr>
              <w:keepNext w:val="0"/>
              <w:keepLines w:val="0"/>
              <w:pageBreakBefore w:val="0"/>
              <w:widowControl/>
              <w:kinsoku/>
              <w:wordWrap/>
              <w:overflowPunct/>
              <w:topLinePunct w:val="0"/>
              <w:autoSpaceDE/>
              <w:autoSpaceDN/>
              <w:bidi w:val="0"/>
              <w:snapToGrid/>
              <w:spacing w:line="400" w:lineRule="exact"/>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企业资质及信誉分</w:t>
            </w:r>
          </w:p>
        </w:tc>
        <w:tc>
          <w:tcPr>
            <w:tcW w:w="6587" w:type="dxa"/>
            <w:noWrap w:val="0"/>
            <w:vAlign w:val="top"/>
          </w:tcPr>
          <w:p>
            <w:pPr>
              <w:pStyle w:val="14"/>
              <w:keepNext w:val="0"/>
              <w:keepLines w:val="0"/>
              <w:pageBreakBefore w:val="0"/>
              <w:kinsoku/>
              <w:wordWrap/>
              <w:overflowPunct/>
              <w:topLinePunct w:val="0"/>
              <w:autoSpaceDE/>
              <w:autoSpaceDN/>
              <w:bidi w:val="0"/>
              <w:snapToGrid/>
              <w:spacing w:line="400" w:lineRule="exact"/>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highlight w:val="none"/>
                <w:lang w:val="en-US" w:eastAsia="zh-CN"/>
              </w:rPr>
              <w:t>投标人具备有效的管理体系认证证书:具ISO9001 质量管理体系认证、ISO14001 环境管理体系认证 、OHSAS18001 或 ISO45001 职业健康安全管理体系认证的</w:t>
            </w:r>
            <w:r>
              <w:rPr>
                <w:rFonts w:hint="eastAsia" w:hAnsi="宋体" w:cs="宋体"/>
                <w:color w:val="auto"/>
                <w:sz w:val="21"/>
                <w:szCs w:val="21"/>
                <w:highlight w:val="none"/>
                <w:lang w:val="en-US" w:eastAsia="zh-CN"/>
              </w:rPr>
              <w:t>，</w:t>
            </w:r>
            <w:r>
              <w:rPr>
                <w:rFonts w:hint="eastAsia" w:ascii="宋体" w:hAnsi="宋体" w:eastAsia="宋体" w:cs="宋体"/>
                <w:color w:val="auto"/>
                <w:sz w:val="21"/>
                <w:szCs w:val="21"/>
                <w:highlight w:val="none"/>
                <w:lang w:val="en-US" w:eastAsia="zh-CN"/>
              </w:rPr>
              <w:t>每一项得1分</w:t>
            </w:r>
            <w:r>
              <w:rPr>
                <w:rFonts w:hint="eastAsia" w:hAnsi="宋体" w:cs="宋体"/>
                <w:color w:val="auto"/>
                <w:sz w:val="21"/>
                <w:szCs w:val="21"/>
                <w:highlight w:val="none"/>
                <w:lang w:val="en-US" w:eastAsia="zh-CN"/>
              </w:rPr>
              <w:t>，</w:t>
            </w:r>
            <w:r>
              <w:rPr>
                <w:rFonts w:hint="eastAsia" w:ascii="宋体" w:hAnsi="宋体" w:eastAsia="宋体" w:cs="宋体"/>
                <w:color w:val="auto"/>
                <w:sz w:val="21"/>
                <w:szCs w:val="21"/>
                <w:highlight w:val="none"/>
                <w:lang w:val="en-US" w:eastAsia="zh-CN"/>
              </w:rPr>
              <w:t>满分3分。（提供有效证明文件的复印件，原件备查）。（满分3分）</w:t>
            </w:r>
          </w:p>
        </w:tc>
        <w:tc>
          <w:tcPr>
            <w:tcW w:w="851" w:type="dxa"/>
            <w:noWrap w:val="0"/>
            <w:vAlign w:val="center"/>
          </w:tcPr>
          <w:p>
            <w:pPr>
              <w:keepNext w:val="0"/>
              <w:keepLines w:val="0"/>
              <w:pageBreakBefore w:val="0"/>
              <w:widowControl/>
              <w:kinsoku/>
              <w:wordWrap/>
              <w:overflowPunct/>
              <w:topLinePunct w:val="0"/>
              <w:autoSpaceDE/>
              <w:autoSpaceDN/>
              <w:bidi w:val="0"/>
              <w:snapToGrid/>
              <w:spacing w:line="400" w:lineRule="exact"/>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3</w:t>
            </w:r>
            <w:r>
              <w:rPr>
                <w:rFonts w:hint="eastAsia" w:ascii="宋体" w:hAnsi="宋体" w:eastAsia="宋体" w:cs="宋体"/>
                <w:color w:val="auto"/>
                <w:kern w:val="0"/>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6" w:type="dxa"/>
            <w:noWrap w:val="0"/>
            <w:vAlign w:val="center"/>
          </w:tcPr>
          <w:p>
            <w:pPr>
              <w:keepNext w:val="0"/>
              <w:keepLines w:val="0"/>
              <w:pageBreakBefore w:val="0"/>
              <w:widowControl/>
              <w:kinsoku/>
              <w:wordWrap/>
              <w:overflowPunct/>
              <w:topLinePunct w:val="0"/>
              <w:autoSpaceDE/>
              <w:autoSpaceDN/>
              <w:bidi w:val="0"/>
              <w:snapToGrid/>
              <w:spacing w:line="400" w:lineRule="exact"/>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3.</w:t>
            </w:r>
            <w:r>
              <w:rPr>
                <w:rFonts w:hint="eastAsia" w:ascii="宋体" w:hAnsi="宋体" w:eastAsia="宋体" w:cs="宋体"/>
                <w:color w:val="auto"/>
                <w:kern w:val="0"/>
                <w:sz w:val="21"/>
                <w:szCs w:val="21"/>
                <w:highlight w:val="none"/>
                <w:lang w:val="en-US" w:eastAsia="zh-CN"/>
              </w:rPr>
              <w:t>2</w:t>
            </w:r>
          </w:p>
        </w:tc>
        <w:tc>
          <w:tcPr>
            <w:tcW w:w="1744" w:type="dxa"/>
            <w:noWrap w:val="0"/>
            <w:vAlign w:val="center"/>
          </w:tcPr>
          <w:p>
            <w:pPr>
              <w:keepNext w:val="0"/>
              <w:keepLines w:val="0"/>
              <w:pageBreakBefore w:val="0"/>
              <w:widowControl/>
              <w:kinsoku/>
              <w:wordWrap/>
              <w:overflowPunct/>
              <w:topLinePunct w:val="0"/>
              <w:autoSpaceDE/>
              <w:autoSpaceDN/>
              <w:bidi w:val="0"/>
              <w:snapToGrid/>
              <w:spacing w:line="400" w:lineRule="exact"/>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业绩分</w:t>
            </w:r>
          </w:p>
        </w:tc>
        <w:tc>
          <w:tcPr>
            <w:tcW w:w="6587" w:type="dxa"/>
            <w:noWrap w:val="0"/>
            <w:vAlign w:val="top"/>
          </w:tcPr>
          <w:p>
            <w:pPr>
              <w:keepNext w:val="0"/>
              <w:keepLines w:val="0"/>
              <w:pageBreakBefore w:val="0"/>
              <w:kinsoku/>
              <w:wordWrap/>
              <w:overflowPunct/>
              <w:topLinePunct w:val="0"/>
              <w:autoSpaceDE/>
              <w:autoSpaceDN/>
              <w:bidi w:val="0"/>
              <w:snapToGrid/>
              <w:spacing w:line="400" w:lineRule="exact"/>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投标人</w:t>
            </w:r>
            <w:r>
              <w:rPr>
                <w:rFonts w:hint="eastAsia" w:ascii="宋体" w:hAnsi="宋体" w:eastAsia="宋体" w:cs="宋体"/>
                <w:bCs/>
                <w:color w:val="auto"/>
                <w:sz w:val="21"/>
                <w:szCs w:val="21"/>
                <w:highlight w:val="none"/>
              </w:rPr>
              <w:t>具有</w:t>
            </w:r>
            <w:r>
              <w:rPr>
                <w:rFonts w:hint="eastAsia" w:ascii="宋体" w:hAnsi="宋体" w:eastAsia="宋体" w:cs="宋体"/>
                <w:bCs/>
                <w:color w:val="auto"/>
                <w:sz w:val="21"/>
                <w:szCs w:val="21"/>
                <w:highlight w:val="none"/>
                <w:lang w:eastAsia="zh-CN"/>
              </w:rPr>
              <w:t>与本项目类似</w:t>
            </w:r>
            <w:r>
              <w:rPr>
                <w:rFonts w:hint="eastAsia" w:ascii="宋体" w:hAnsi="宋体" w:eastAsia="宋体" w:cs="宋体"/>
                <w:bCs/>
                <w:color w:val="auto"/>
                <w:sz w:val="21"/>
                <w:szCs w:val="21"/>
                <w:highlight w:val="none"/>
              </w:rPr>
              <w:t>空调</w:t>
            </w:r>
            <w:r>
              <w:rPr>
                <w:rFonts w:hint="eastAsia" w:ascii="宋体" w:hAnsi="宋体" w:eastAsia="宋体" w:cs="宋体"/>
                <w:bCs/>
                <w:color w:val="auto"/>
                <w:sz w:val="21"/>
                <w:szCs w:val="21"/>
                <w:highlight w:val="none"/>
                <w:lang w:eastAsia="zh-CN"/>
              </w:rPr>
              <w:t>或医疗辅助设施</w:t>
            </w:r>
            <w:r>
              <w:rPr>
                <w:rFonts w:hint="eastAsia" w:ascii="宋体" w:hAnsi="宋体" w:eastAsia="宋体" w:cs="宋体"/>
                <w:bCs/>
                <w:color w:val="auto"/>
                <w:sz w:val="21"/>
                <w:szCs w:val="21"/>
                <w:highlight w:val="none"/>
              </w:rPr>
              <w:t>维护服务项目业绩的，每一项得</w:t>
            </w:r>
            <w:r>
              <w:rPr>
                <w:rFonts w:hint="eastAsia" w:ascii="宋体" w:hAnsi="宋体" w:eastAsia="宋体" w:cs="宋体"/>
                <w:bCs/>
                <w:color w:val="auto"/>
                <w:sz w:val="21"/>
                <w:szCs w:val="21"/>
                <w:highlight w:val="none"/>
                <w:lang w:val="en-US" w:eastAsia="zh-CN"/>
              </w:rPr>
              <w:t>1</w:t>
            </w:r>
            <w:r>
              <w:rPr>
                <w:rFonts w:hint="eastAsia" w:ascii="宋体" w:hAnsi="宋体" w:eastAsia="宋体" w:cs="宋体"/>
                <w:bCs/>
                <w:color w:val="auto"/>
                <w:sz w:val="21"/>
                <w:szCs w:val="21"/>
                <w:highlight w:val="none"/>
              </w:rPr>
              <w:t>分</w:t>
            </w:r>
            <w:r>
              <w:rPr>
                <w:rFonts w:hint="eastAsia" w:ascii="宋体" w:hAnsi="宋体" w:eastAsia="宋体" w:cs="宋体"/>
                <w:bCs/>
                <w:color w:val="auto"/>
                <w:sz w:val="21"/>
                <w:szCs w:val="21"/>
                <w:highlight w:val="none"/>
                <w:lang w:eastAsia="zh-CN"/>
              </w:rPr>
              <w:t>，满分</w:t>
            </w:r>
            <w:r>
              <w:rPr>
                <w:rFonts w:hint="eastAsia" w:ascii="宋体" w:hAnsi="宋体" w:eastAsia="宋体" w:cs="宋体"/>
                <w:bCs/>
                <w:color w:val="auto"/>
                <w:sz w:val="21"/>
                <w:szCs w:val="21"/>
                <w:highlight w:val="none"/>
                <w:lang w:val="en-US" w:eastAsia="zh-CN"/>
              </w:rPr>
              <w:t>10</w:t>
            </w:r>
            <w:r>
              <w:rPr>
                <w:rFonts w:hint="eastAsia" w:ascii="宋体" w:hAnsi="宋体" w:eastAsia="宋体" w:cs="宋体"/>
                <w:bCs/>
                <w:color w:val="auto"/>
                <w:sz w:val="21"/>
                <w:szCs w:val="21"/>
                <w:highlight w:val="none"/>
                <w:lang w:eastAsia="zh-CN"/>
              </w:rPr>
              <w:t>分；</w:t>
            </w:r>
            <w:r>
              <w:rPr>
                <w:rFonts w:hint="eastAsia" w:ascii="宋体" w:hAnsi="宋体" w:eastAsia="宋体" w:cs="宋体"/>
                <w:bCs/>
                <w:color w:val="auto"/>
                <w:sz w:val="21"/>
                <w:szCs w:val="21"/>
                <w:highlight w:val="none"/>
              </w:rPr>
              <w:t>（提供中标通知书或合同复印件，原件备查）</w:t>
            </w:r>
            <w:r>
              <w:rPr>
                <w:rFonts w:hint="eastAsia" w:ascii="宋体" w:hAnsi="宋体" w:eastAsia="宋体" w:cs="宋体"/>
                <w:color w:val="auto"/>
                <w:sz w:val="21"/>
                <w:szCs w:val="21"/>
                <w:highlight w:val="none"/>
                <w:lang w:val="en-US" w:eastAsia="zh-CN"/>
              </w:rPr>
              <w:t>。</w:t>
            </w:r>
          </w:p>
        </w:tc>
        <w:tc>
          <w:tcPr>
            <w:tcW w:w="851" w:type="dxa"/>
            <w:noWrap w:val="0"/>
            <w:vAlign w:val="center"/>
          </w:tcPr>
          <w:p>
            <w:pPr>
              <w:keepNext w:val="0"/>
              <w:keepLines w:val="0"/>
              <w:pageBreakBefore w:val="0"/>
              <w:widowControl/>
              <w:kinsoku/>
              <w:wordWrap/>
              <w:overflowPunct/>
              <w:topLinePunct w:val="0"/>
              <w:autoSpaceDE/>
              <w:autoSpaceDN/>
              <w:bidi w:val="0"/>
              <w:snapToGrid/>
              <w:spacing w:line="400" w:lineRule="exact"/>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10</w:t>
            </w:r>
            <w:r>
              <w:rPr>
                <w:rFonts w:hint="eastAsia" w:ascii="宋体" w:hAnsi="宋体" w:eastAsia="宋体" w:cs="宋体"/>
                <w:color w:val="auto"/>
                <w:kern w:val="0"/>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9087" w:type="dxa"/>
            <w:gridSpan w:val="3"/>
            <w:noWrap w:val="0"/>
            <w:vAlign w:val="top"/>
          </w:tcPr>
          <w:p>
            <w:pPr>
              <w:pStyle w:val="14"/>
              <w:keepNext w:val="0"/>
              <w:keepLines w:val="0"/>
              <w:pageBreakBefore w:val="0"/>
              <w:kinsoku/>
              <w:wordWrap/>
              <w:overflowPunct/>
              <w:topLinePunct w:val="0"/>
              <w:autoSpaceDE/>
              <w:autoSpaceDN/>
              <w:bidi w:val="0"/>
              <w:snapToGrid/>
              <w:spacing w:line="400" w:lineRule="exact"/>
              <w:ind w:firstLine="420" w:firstLineChars="200"/>
              <w:rPr>
                <w:rFonts w:hint="eastAsia" w:ascii="宋体" w:hAnsi="宋体" w:eastAsia="宋体" w:cs="宋体"/>
                <w:bCs/>
                <w:color w:val="auto"/>
                <w:kern w:val="2"/>
                <w:sz w:val="21"/>
                <w:szCs w:val="21"/>
                <w:highlight w:val="none"/>
                <w:lang w:val="en-US" w:eastAsia="zh-CN"/>
              </w:rPr>
            </w:pPr>
            <w:r>
              <w:rPr>
                <w:rFonts w:hint="eastAsia" w:ascii="宋体" w:hAnsi="宋体" w:eastAsia="宋体" w:cs="宋体"/>
                <w:bCs/>
                <w:color w:val="auto"/>
                <w:kern w:val="2"/>
                <w:sz w:val="21"/>
                <w:szCs w:val="21"/>
                <w:highlight w:val="none"/>
                <w:lang w:val="en-US" w:eastAsia="zh-CN"/>
              </w:rPr>
              <w:t>总得分＝1＋2＋3</w:t>
            </w:r>
          </w:p>
        </w:tc>
        <w:tc>
          <w:tcPr>
            <w:tcW w:w="851" w:type="dxa"/>
            <w:noWrap w:val="0"/>
            <w:vAlign w:val="center"/>
          </w:tcPr>
          <w:p>
            <w:pPr>
              <w:keepNext w:val="0"/>
              <w:keepLines w:val="0"/>
              <w:pageBreakBefore w:val="0"/>
              <w:widowControl/>
              <w:kinsoku/>
              <w:wordWrap/>
              <w:overflowPunct/>
              <w:topLinePunct w:val="0"/>
              <w:autoSpaceDE/>
              <w:autoSpaceDN/>
              <w:bidi w:val="0"/>
              <w:snapToGrid/>
              <w:spacing w:line="400" w:lineRule="exact"/>
              <w:jc w:val="center"/>
              <w:rPr>
                <w:rFonts w:hint="eastAsia" w:ascii="宋体" w:hAnsi="宋体" w:eastAsia="宋体" w:cs="宋体"/>
                <w:color w:val="auto"/>
                <w:kern w:val="0"/>
                <w:sz w:val="21"/>
                <w:szCs w:val="21"/>
                <w:highlight w:val="none"/>
              </w:rPr>
            </w:pPr>
          </w:p>
        </w:tc>
      </w:tr>
    </w:tbl>
    <w:p>
      <w:pPr>
        <w:pStyle w:val="4"/>
        <w:keepNext/>
        <w:keepLines/>
        <w:pageBreakBefore w:val="0"/>
        <w:widowControl w:val="0"/>
        <w:kinsoku/>
        <w:wordWrap/>
        <w:overflowPunct/>
        <w:topLinePunct w:val="0"/>
        <w:autoSpaceDE/>
        <w:autoSpaceDN/>
        <w:bidi w:val="0"/>
        <w:adjustRightInd/>
        <w:snapToGrid/>
        <w:spacing w:line="360" w:lineRule="auto"/>
        <w:jc w:val="center"/>
        <w:textAlignment w:val="auto"/>
        <w:rPr>
          <w:b w:val="0"/>
          <w:color w:val="auto"/>
          <w:sz w:val="30"/>
          <w:szCs w:val="30"/>
        </w:rPr>
      </w:pPr>
      <w:bookmarkStart w:id="312" w:name="_Toc9480"/>
      <w:bookmarkStart w:id="313" w:name="_Toc12855"/>
      <w:bookmarkStart w:id="314" w:name="_Toc20313"/>
      <w:bookmarkStart w:id="315" w:name="_Toc23906"/>
      <w:bookmarkStart w:id="316" w:name="_Toc15061"/>
      <w:bookmarkStart w:id="317" w:name="_Toc18582"/>
      <w:bookmarkStart w:id="318" w:name="_Toc2202"/>
      <w:bookmarkStart w:id="319" w:name="_Toc11083"/>
      <w:bookmarkStart w:id="320" w:name="_Toc16466"/>
      <w:bookmarkStart w:id="321" w:name="_Toc10751"/>
      <w:r>
        <w:rPr>
          <w:rFonts w:hint="eastAsia"/>
          <w:b w:val="0"/>
          <w:color w:val="auto"/>
          <w:sz w:val="30"/>
          <w:szCs w:val="30"/>
        </w:rPr>
        <w:t>第四节中标候选人推荐原则</w:t>
      </w:r>
      <w:bookmarkEnd w:id="312"/>
      <w:bookmarkEnd w:id="313"/>
      <w:bookmarkEnd w:id="314"/>
      <w:bookmarkEnd w:id="315"/>
      <w:bookmarkEnd w:id="316"/>
      <w:bookmarkEnd w:id="317"/>
      <w:bookmarkEnd w:id="318"/>
      <w:bookmarkEnd w:id="319"/>
      <w:bookmarkEnd w:id="320"/>
      <w:bookmarkEnd w:id="321"/>
    </w:p>
    <w:p>
      <w:pPr>
        <w:pStyle w:val="14"/>
        <w:spacing w:line="360" w:lineRule="auto"/>
        <w:ind w:left="472"/>
        <w:contextualSpacing/>
        <w:rPr>
          <w:rFonts w:hAnsi="宋体"/>
          <w:b/>
          <w:bCs/>
          <w:color w:val="auto"/>
          <w:sz w:val="24"/>
          <w:szCs w:val="24"/>
        </w:rPr>
      </w:pPr>
      <w:r>
        <w:rPr>
          <w:rFonts w:hint="eastAsia" w:hAnsi="宋体"/>
          <w:b/>
          <w:bCs/>
          <w:color w:val="auto"/>
          <w:sz w:val="24"/>
          <w:szCs w:val="24"/>
        </w:rPr>
        <w:t>（一）综合评分法</w:t>
      </w:r>
    </w:p>
    <w:p>
      <w:pPr>
        <w:pStyle w:val="14"/>
        <w:spacing w:line="360" w:lineRule="auto"/>
        <w:ind w:firstLine="420" w:firstLineChars="200"/>
        <w:rPr>
          <w:rFonts w:hAnsi="宋体"/>
          <w:color w:val="auto"/>
        </w:rPr>
      </w:pPr>
      <w:r>
        <w:rPr>
          <w:rFonts w:hint="eastAsia" w:hAnsi="宋体"/>
          <w:color w:val="auto"/>
        </w:rPr>
        <w:t>评标委员会将根据评审后总得分由高到低排列次序并推荐中标候选人。总得分相同的，以投标报价由低到高顺序排列。得分相同且投标报价相同的并列，投标文件满足招标文件全部实质性要求，且按照评审因素的量化指标评审得分最高的投标人为排名第一的中标候选人。</w:t>
      </w:r>
    </w:p>
    <w:p>
      <w:pPr>
        <w:pStyle w:val="14"/>
        <w:spacing w:line="360" w:lineRule="auto"/>
        <w:ind w:firstLine="482" w:firstLineChars="200"/>
        <w:rPr>
          <w:rFonts w:hAnsi="宋体"/>
          <w:color w:val="auto"/>
        </w:rPr>
      </w:pPr>
      <w:r>
        <w:rPr>
          <w:rFonts w:hint="eastAsia" w:hAnsi="宋体"/>
          <w:b/>
          <w:bCs/>
          <w:color w:val="auto"/>
          <w:sz w:val="24"/>
          <w:szCs w:val="24"/>
        </w:rPr>
        <w:t>（二）最低评标报价法</w:t>
      </w:r>
    </w:p>
    <w:p>
      <w:pPr>
        <w:pStyle w:val="14"/>
        <w:tabs>
          <w:tab w:val="left" w:pos="2472"/>
        </w:tabs>
        <w:spacing w:line="480" w:lineRule="exact"/>
        <w:ind w:firstLine="420" w:firstLineChars="200"/>
        <w:rPr>
          <w:color w:val="auto"/>
        </w:rPr>
      </w:pPr>
      <w:r>
        <w:rPr>
          <w:rFonts w:hint="eastAsia" w:hAnsi="宋体"/>
          <w:color w:val="auto"/>
        </w:rPr>
        <w:t>评标委员会将按照有效评标报价从低到高顺序排列，评标报价相同的并列。投标文件满足招标文件全部实质性要求且评标报价最低的投标人为排名第一的中标候选人。</w:t>
      </w:r>
    </w:p>
    <w:p>
      <w:pPr>
        <w:pStyle w:val="4"/>
        <w:spacing w:before="0" w:after="0" w:line="360" w:lineRule="auto"/>
        <w:ind w:firstLine="600" w:firstLineChars="200"/>
        <w:jc w:val="center"/>
        <w:rPr>
          <w:b w:val="0"/>
          <w:color w:val="auto"/>
          <w:sz w:val="30"/>
          <w:szCs w:val="30"/>
        </w:rPr>
      </w:pPr>
      <w:bookmarkStart w:id="322" w:name="_Toc11695"/>
      <w:bookmarkStart w:id="323" w:name="_Toc7971"/>
      <w:bookmarkStart w:id="324" w:name="_Toc11545"/>
      <w:bookmarkStart w:id="325" w:name="_Toc9602"/>
      <w:bookmarkStart w:id="326" w:name="_Toc22384"/>
      <w:bookmarkStart w:id="327" w:name="_Toc11073"/>
      <w:bookmarkStart w:id="328" w:name="_Toc13625"/>
      <w:bookmarkStart w:id="329" w:name="_Toc13808"/>
      <w:bookmarkStart w:id="330" w:name="_Toc27419"/>
      <w:bookmarkStart w:id="331" w:name="_Toc29218"/>
    </w:p>
    <w:p>
      <w:pPr>
        <w:pStyle w:val="4"/>
        <w:spacing w:before="0" w:after="0" w:line="360" w:lineRule="auto"/>
        <w:ind w:firstLine="600" w:firstLineChars="200"/>
        <w:jc w:val="center"/>
        <w:rPr>
          <w:b w:val="0"/>
          <w:color w:val="auto"/>
          <w:sz w:val="30"/>
          <w:szCs w:val="30"/>
        </w:rPr>
      </w:pPr>
      <w:r>
        <w:rPr>
          <w:rFonts w:hint="eastAsia"/>
          <w:b w:val="0"/>
          <w:color w:val="auto"/>
          <w:sz w:val="30"/>
          <w:szCs w:val="30"/>
        </w:rPr>
        <w:t>第五节评标报告</w:t>
      </w:r>
      <w:bookmarkEnd w:id="322"/>
      <w:bookmarkEnd w:id="323"/>
      <w:bookmarkEnd w:id="324"/>
      <w:bookmarkEnd w:id="325"/>
      <w:bookmarkEnd w:id="326"/>
      <w:bookmarkEnd w:id="327"/>
      <w:bookmarkEnd w:id="328"/>
      <w:bookmarkEnd w:id="329"/>
      <w:bookmarkEnd w:id="330"/>
      <w:bookmarkEnd w:id="331"/>
    </w:p>
    <w:p>
      <w:pPr>
        <w:pStyle w:val="37"/>
        <w:spacing w:before="0"/>
        <w:ind w:firstLine="482"/>
        <w:rPr>
          <w:rFonts w:ascii="宋体" w:hAnsi="宋体"/>
          <w:b/>
          <w:bCs/>
          <w:color w:val="auto"/>
          <w:szCs w:val="24"/>
        </w:rPr>
      </w:pPr>
      <w:r>
        <w:rPr>
          <w:rFonts w:hint="eastAsia" w:ascii="宋体" w:hAnsi="宋体"/>
          <w:b/>
          <w:bCs/>
          <w:color w:val="auto"/>
          <w:szCs w:val="24"/>
        </w:rPr>
        <w:t>（一）评标报告与推荐中标候选人</w:t>
      </w:r>
    </w:p>
    <w:p>
      <w:pPr>
        <w:pStyle w:val="14"/>
        <w:tabs>
          <w:tab w:val="left" w:pos="2472"/>
        </w:tabs>
        <w:spacing w:line="360" w:lineRule="auto"/>
        <w:ind w:firstLine="420" w:firstLineChars="200"/>
        <w:rPr>
          <w:rFonts w:hAnsi="宋体"/>
          <w:color w:val="auto"/>
        </w:rPr>
      </w:pPr>
      <w:r>
        <w:rPr>
          <w:rFonts w:hint="eastAsia" w:hAnsi="宋体"/>
          <w:color w:val="auto"/>
        </w:rPr>
        <w:t>评标委员会根据原始评标记录和评标结果编写评标报告，并通过电子交易平台向采购人、采购代理机构提交。</w:t>
      </w:r>
    </w:p>
    <w:p>
      <w:pPr>
        <w:widowControl/>
        <w:spacing w:line="360" w:lineRule="auto"/>
        <w:ind w:firstLine="482" w:firstLineChars="200"/>
        <w:jc w:val="left"/>
        <w:rPr>
          <w:rFonts w:ascii="宋体" w:hAnsi="宋体"/>
          <w:b/>
          <w:bCs/>
          <w:color w:val="auto"/>
          <w:sz w:val="24"/>
        </w:rPr>
      </w:pPr>
      <w:r>
        <w:rPr>
          <w:rFonts w:hint="eastAsia" w:ascii="宋体" w:hAnsi="宋体"/>
          <w:b/>
          <w:bCs/>
          <w:color w:val="auto"/>
          <w:sz w:val="24"/>
        </w:rPr>
        <w:t>（二）评标争议事项处理</w:t>
      </w:r>
    </w:p>
    <w:p>
      <w:pPr>
        <w:pStyle w:val="14"/>
        <w:tabs>
          <w:tab w:val="left" w:pos="2472"/>
        </w:tabs>
        <w:spacing w:line="360" w:lineRule="auto"/>
        <w:ind w:firstLine="420" w:firstLineChars="200"/>
        <w:rPr>
          <w:rFonts w:hAnsi="宋体"/>
          <w:color w:val="auto"/>
        </w:rPr>
      </w:pPr>
      <w:r>
        <w:rPr>
          <w:rFonts w:hint="eastAsia" w:hAnsi="宋体"/>
          <w:color w:val="auto"/>
        </w:rPr>
        <w:t>评标委员会成员对需要共同认定的事项存在争议的，应当按照少数服从多数的原则作出结论。持不同意见的评标委员会成员应当在评标报告上签署不同意见及理由，否则视为同意评标报告。</w:t>
      </w:r>
    </w:p>
    <w:p>
      <w:pPr>
        <w:widowControl/>
        <w:jc w:val="left"/>
        <w:rPr>
          <w:b/>
          <w:color w:val="auto"/>
          <w:sz w:val="36"/>
          <w:szCs w:val="20"/>
        </w:rPr>
        <w:sectPr>
          <w:pgSz w:w="11905" w:h="16838"/>
          <w:pgMar w:top="1134" w:right="1134" w:bottom="1134" w:left="1134" w:header="850" w:footer="850" w:gutter="0"/>
          <w:cols w:space="0" w:num="1"/>
          <w:titlePg/>
          <w:rtlGutter w:val="0"/>
          <w:docGrid w:linePitch="331" w:charSpace="0"/>
        </w:sectPr>
      </w:pPr>
    </w:p>
    <w:p>
      <w:pPr>
        <w:pStyle w:val="14"/>
        <w:tabs>
          <w:tab w:val="left" w:pos="2472"/>
        </w:tabs>
        <w:spacing w:line="460" w:lineRule="exact"/>
        <w:jc w:val="center"/>
        <w:rPr>
          <w:rFonts w:ascii="Times New Roman" w:hAnsi="Times New Roman"/>
          <w:b/>
          <w:color w:val="auto"/>
          <w:sz w:val="36"/>
        </w:rPr>
      </w:pPr>
    </w:p>
    <w:p>
      <w:pPr>
        <w:pStyle w:val="14"/>
        <w:tabs>
          <w:tab w:val="left" w:pos="2472"/>
        </w:tabs>
        <w:spacing w:line="460" w:lineRule="exact"/>
        <w:jc w:val="center"/>
        <w:rPr>
          <w:rFonts w:ascii="Times New Roman" w:hAnsi="Times New Roman"/>
          <w:b/>
          <w:color w:val="auto"/>
          <w:sz w:val="36"/>
        </w:rPr>
      </w:pPr>
    </w:p>
    <w:p>
      <w:pPr>
        <w:pStyle w:val="14"/>
        <w:tabs>
          <w:tab w:val="left" w:pos="2472"/>
        </w:tabs>
        <w:spacing w:line="460" w:lineRule="exact"/>
        <w:jc w:val="center"/>
        <w:rPr>
          <w:rFonts w:ascii="Times New Roman" w:hAnsi="Times New Roman"/>
          <w:b/>
          <w:color w:val="auto"/>
          <w:sz w:val="36"/>
        </w:rPr>
      </w:pPr>
    </w:p>
    <w:p>
      <w:pPr>
        <w:pStyle w:val="14"/>
        <w:tabs>
          <w:tab w:val="left" w:pos="2472"/>
        </w:tabs>
        <w:spacing w:line="460" w:lineRule="exact"/>
        <w:jc w:val="center"/>
        <w:rPr>
          <w:rFonts w:ascii="Times New Roman" w:hAnsi="Times New Roman"/>
          <w:b/>
          <w:color w:val="auto"/>
          <w:sz w:val="36"/>
        </w:rPr>
      </w:pPr>
    </w:p>
    <w:p>
      <w:pPr>
        <w:pStyle w:val="14"/>
        <w:tabs>
          <w:tab w:val="left" w:pos="2472"/>
        </w:tabs>
        <w:spacing w:line="460" w:lineRule="exact"/>
        <w:jc w:val="center"/>
        <w:rPr>
          <w:rFonts w:ascii="Times New Roman" w:hAnsi="Times New Roman"/>
          <w:b/>
          <w:color w:val="auto"/>
          <w:sz w:val="36"/>
        </w:rPr>
      </w:pPr>
    </w:p>
    <w:p>
      <w:pPr>
        <w:pStyle w:val="14"/>
        <w:tabs>
          <w:tab w:val="left" w:pos="2472"/>
        </w:tabs>
        <w:spacing w:line="460" w:lineRule="exact"/>
        <w:jc w:val="center"/>
        <w:rPr>
          <w:rFonts w:ascii="Times New Roman" w:hAnsi="Times New Roman"/>
          <w:b/>
          <w:color w:val="auto"/>
          <w:sz w:val="36"/>
        </w:rPr>
      </w:pPr>
    </w:p>
    <w:p>
      <w:pPr>
        <w:pStyle w:val="14"/>
        <w:tabs>
          <w:tab w:val="left" w:pos="2472"/>
        </w:tabs>
        <w:spacing w:line="460" w:lineRule="exact"/>
        <w:jc w:val="center"/>
        <w:rPr>
          <w:rFonts w:ascii="Times New Roman" w:hAnsi="Times New Roman"/>
          <w:b/>
          <w:color w:val="auto"/>
          <w:sz w:val="36"/>
        </w:rPr>
      </w:pPr>
    </w:p>
    <w:p>
      <w:pPr>
        <w:pStyle w:val="14"/>
        <w:tabs>
          <w:tab w:val="left" w:pos="2472"/>
        </w:tabs>
        <w:spacing w:line="460" w:lineRule="exact"/>
        <w:jc w:val="center"/>
        <w:rPr>
          <w:rFonts w:ascii="Times New Roman" w:hAnsi="Times New Roman"/>
          <w:b/>
          <w:color w:val="auto"/>
          <w:sz w:val="36"/>
        </w:rPr>
      </w:pPr>
    </w:p>
    <w:p>
      <w:pPr>
        <w:pStyle w:val="14"/>
        <w:tabs>
          <w:tab w:val="left" w:pos="2472"/>
        </w:tabs>
        <w:spacing w:line="460" w:lineRule="exact"/>
        <w:jc w:val="center"/>
        <w:rPr>
          <w:rFonts w:ascii="Times New Roman" w:hAnsi="Times New Roman"/>
          <w:b/>
          <w:color w:val="auto"/>
          <w:sz w:val="36"/>
        </w:rPr>
      </w:pPr>
    </w:p>
    <w:p>
      <w:pPr>
        <w:pStyle w:val="14"/>
        <w:tabs>
          <w:tab w:val="left" w:pos="2472"/>
        </w:tabs>
        <w:spacing w:line="460" w:lineRule="exact"/>
        <w:jc w:val="center"/>
        <w:rPr>
          <w:rFonts w:ascii="Times New Roman" w:hAnsi="Times New Roman"/>
          <w:b/>
          <w:color w:val="auto"/>
          <w:sz w:val="36"/>
        </w:rPr>
      </w:pPr>
    </w:p>
    <w:p>
      <w:pPr>
        <w:pStyle w:val="14"/>
        <w:tabs>
          <w:tab w:val="left" w:pos="2472"/>
        </w:tabs>
        <w:spacing w:line="460" w:lineRule="exact"/>
        <w:jc w:val="center"/>
        <w:rPr>
          <w:rFonts w:ascii="Times New Roman" w:hAnsi="Times New Roman"/>
          <w:b/>
          <w:color w:val="auto"/>
          <w:sz w:val="36"/>
        </w:rPr>
      </w:pPr>
    </w:p>
    <w:p>
      <w:pPr>
        <w:pStyle w:val="14"/>
        <w:tabs>
          <w:tab w:val="left" w:pos="2472"/>
        </w:tabs>
        <w:spacing w:line="460" w:lineRule="exact"/>
        <w:jc w:val="center"/>
        <w:rPr>
          <w:rFonts w:ascii="Times New Roman" w:hAnsi="Times New Roman"/>
          <w:b/>
          <w:color w:val="auto"/>
          <w:sz w:val="36"/>
        </w:rPr>
      </w:pPr>
    </w:p>
    <w:p>
      <w:pPr>
        <w:pStyle w:val="14"/>
        <w:tabs>
          <w:tab w:val="left" w:pos="2472"/>
        </w:tabs>
        <w:spacing w:line="460" w:lineRule="exact"/>
        <w:jc w:val="center"/>
        <w:rPr>
          <w:rFonts w:ascii="Times New Roman" w:hAnsi="Times New Roman"/>
          <w:b/>
          <w:color w:val="auto"/>
          <w:sz w:val="36"/>
        </w:rPr>
      </w:pPr>
    </w:p>
    <w:p>
      <w:pPr>
        <w:pStyle w:val="14"/>
        <w:tabs>
          <w:tab w:val="left" w:pos="2472"/>
        </w:tabs>
        <w:spacing w:line="460" w:lineRule="exact"/>
        <w:jc w:val="center"/>
        <w:outlineLvl w:val="0"/>
        <w:rPr>
          <w:rFonts w:ascii="Times New Roman" w:hAnsi="Times New Roman"/>
          <w:b/>
          <w:color w:val="auto"/>
          <w:sz w:val="36"/>
        </w:rPr>
      </w:pPr>
      <w:bookmarkStart w:id="332" w:name="_Toc26262"/>
      <w:bookmarkStart w:id="333" w:name="_Toc9012"/>
      <w:bookmarkStart w:id="334" w:name="_Toc20993"/>
      <w:bookmarkStart w:id="335" w:name="_Toc31791"/>
      <w:bookmarkStart w:id="336" w:name="_Toc3838"/>
      <w:bookmarkStart w:id="337" w:name="_Toc25572"/>
      <w:bookmarkStart w:id="338" w:name="_Toc7167"/>
      <w:bookmarkStart w:id="339" w:name="_Toc9058"/>
      <w:bookmarkStart w:id="340" w:name="_Toc17049"/>
      <w:bookmarkStart w:id="341" w:name="_Toc3422"/>
      <w:bookmarkStart w:id="342" w:name="_Toc27014"/>
      <w:bookmarkStart w:id="343" w:name="_Toc29347"/>
      <w:bookmarkStart w:id="344" w:name="_Toc32021"/>
      <w:r>
        <w:rPr>
          <w:rFonts w:hint="eastAsia" w:ascii="Times New Roman" w:hAnsi="Times New Roman"/>
          <w:b/>
          <w:color w:val="auto"/>
          <w:sz w:val="36"/>
        </w:rPr>
        <w:t>第五章拟签订的合同文本</w:t>
      </w:r>
      <w:bookmarkEnd w:id="332"/>
      <w:bookmarkEnd w:id="333"/>
      <w:bookmarkEnd w:id="334"/>
      <w:bookmarkEnd w:id="335"/>
      <w:bookmarkEnd w:id="336"/>
      <w:bookmarkEnd w:id="337"/>
      <w:bookmarkEnd w:id="338"/>
      <w:bookmarkEnd w:id="339"/>
      <w:bookmarkEnd w:id="340"/>
      <w:bookmarkEnd w:id="341"/>
      <w:bookmarkEnd w:id="342"/>
      <w:bookmarkEnd w:id="343"/>
      <w:bookmarkEnd w:id="344"/>
    </w:p>
    <w:p>
      <w:pPr>
        <w:widowControl/>
        <w:jc w:val="left"/>
        <w:rPr>
          <w:rFonts w:ascii="宋体" w:hAnsi="Courier New"/>
          <w:bCs/>
          <w:color w:val="auto"/>
          <w:szCs w:val="20"/>
        </w:rPr>
        <w:sectPr>
          <w:pgSz w:w="11905" w:h="16838"/>
          <w:pgMar w:top="1134" w:right="1134" w:bottom="1134" w:left="1134" w:header="850" w:footer="850" w:gutter="0"/>
          <w:cols w:space="0" w:num="1"/>
          <w:titlePg/>
          <w:rtlGutter w:val="0"/>
          <w:docGrid w:linePitch="331" w:charSpace="0"/>
        </w:sectPr>
      </w:pPr>
    </w:p>
    <w:p>
      <w:pPr>
        <w:snapToGrid w:val="0"/>
        <w:spacing w:line="400" w:lineRule="exact"/>
        <w:jc w:val="center"/>
        <w:rPr>
          <w:rFonts w:hint="default" w:ascii="宋体" w:hAnsi="宋体" w:eastAsia="宋体" w:cs="宋体"/>
          <w:color w:val="auto"/>
          <w:lang w:val="en-US" w:eastAsia="zh-CN"/>
        </w:rPr>
      </w:pPr>
      <w:r>
        <w:rPr>
          <w:rFonts w:hint="eastAsia" w:ascii="宋体" w:hAnsi="宋体" w:cs="宋体"/>
          <w:b/>
          <w:bCs/>
          <w:color w:val="auto"/>
          <w:sz w:val="32"/>
          <w:szCs w:val="32"/>
        </w:rPr>
        <w:t>《广西壮族自治区政府采购合同》</w:t>
      </w:r>
      <w:r>
        <w:rPr>
          <w:rFonts w:hint="eastAsia" w:ascii="宋体" w:hAnsi="宋体" w:cs="宋体"/>
          <w:b/>
          <w:color w:val="auto"/>
          <w:sz w:val="32"/>
          <w:szCs w:val="32"/>
        </w:rPr>
        <w:t>文本</w:t>
      </w:r>
      <w:r>
        <w:rPr>
          <w:rFonts w:hint="eastAsia" w:ascii="宋体" w:hAnsi="宋体" w:cs="宋体"/>
          <w:b/>
          <w:color w:val="auto"/>
          <w:sz w:val="32"/>
          <w:szCs w:val="32"/>
          <w:lang w:val="en-US" w:eastAsia="zh-CN"/>
        </w:rPr>
        <w:t xml:space="preserve">  </w:t>
      </w:r>
    </w:p>
    <w:p>
      <w:pPr>
        <w:spacing w:line="520" w:lineRule="exact"/>
        <w:rPr>
          <w:rFonts w:ascii="宋体" w:hAnsi="宋体" w:cs="宋体"/>
          <w:b/>
          <w:color w:val="auto"/>
          <w:sz w:val="32"/>
          <w:szCs w:val="32"/>
        </w:rPr>
      </w:pPr>
    </w:p>
    <w:p>
      <w:pPr>
        <w:spacing w:line="360" w:lineRule="auto"/>
        <w:ind w:right="800" w:firstLine="6090" w:firstLineChars="2900"/>
        <w:rPr>
          <w:rFonts w:ascii="宋体" w:hAnsi="宋体" w:cs="宋体"/>
          <w:color w:val="auto"/>
          <w:szCs w:val="21"/>
          <w:u w:val="single"/>
        </w:rPr>
      </w:pPr>
      <w:r>
        <w:rPr>
          <w:rFonts w:hint="eastAsia" w:ascii="宋体" w:hAnsi="宋体" w:cs="宋体"/>
          <w:bCs/>
          <w:color w:val="auto"/>
          <w:szCs w:val="21"/>
        </w:rPr>
        <w:t>合同编号：</w:t>
      </w:r>
    </w:p>
    <w:p>
      <w:pPr>
        <w:spacing w:line="360" w:lineRule="auto"/>
        <w:ind w:right="800" w:firstLine="6090" w:firstLineChars="2900"/>
        <w:rPr>
          <w:rFonts w:ascii="宋体" w:hAnsi="宋体" w:cs="宋体"/>
          <w:color w:val="auto"/>
          <w:szCs w:val="21"/>
        </w:rPr>
      </w:pPr>
      <w:r>
        <w:rPr>
          <w:rFonts w:hint="eastAsia" w:ascii="宋体" w:hAnsi="宋体" w:cs="宋体"/>
          <w:color w:val="auto"/>
          <w:szCs w:val="21"/>
        </w:rPr>
        <w:t>采购计划号：</w:t>
      </w:r>
    </w:p>
    <w:p>
      <w:pPr>
        <w:spacing w:line="360" w:lineRule="auto"/>
        <w:rPr>
          <w:rFonts w:ascii="宋体" w:hAnsi="宋体" w:cs="宋体"/>
          <w:color w:val="auto"/>
          <w:szCs w:val="21"/>
        </w:rPr>
      </w:pPr>
      <w:r>
        <w:rPr>
          <w:rFonts w:hint="eastAsia" w:ascii="宋体" w:hAnsi="宋体" w:cs="宋体"/>
          <w:color w:val="auto"/>
          <w:szCs w:val="21"/>
        </w:rPr>
        <w:t>采购人（甲方）：</w:t>
      </w:r>
    </w:p>
    <w:p>
      <w:pPr>
        <w:spacing w:line="360" w:lineRule="auto"/>
        <w:rPr>
          <w:rFonts w:ascii="宋体" w:hAnsi="宋体" w:cs="宋体"/>
          <w:color w:val="auto"/>
          <w:szCs w:val="21"/>
          <w:u w:val="single"/>
        </w:rPr>
      </w:pPr>
      <w:r>
        <w:rPr>
          <w:rFonts w:hint="eastAsia" w:ascii="宋体" w:hAnsi="宋体" w:cs="宋体"/>
          <w:color w:val="auto"/>
          <w:szCs w:val="21"/>
        </w:rPr>
        <w:t>中标人（乙方）：</w:t>
      </w:r>
    </w:p>
    <w:p>
      <w:pPr>
        <w:spacing w:line="360" w:lineRule="auto"/>
        <w:rPr>
          <w:rFonts w:ascii="宋体" w:hAnsi="宋体" w:cs="宋体"/>
          <w:color w:val="auto"/>
          <w:szCs w:val="21"/>
        </w:rPr>
      </w:pPr>
      <w:r>
        <w:rPr>
          <w:rFonts w:hint="eastAsia" w:ascii="宋体" w:hAnsi="宋体" w:cs="宋体"/>
          <w:color w:val="auto"/>
          <w:szCs w:val="21"/>
        </w:rPr>
        <w:t>项目名称：</w:t>
      </w:r>
    </w:p>
    <w:p>
      <w:pPr>
        <w:spacing w:line="360" w:lineRule="auto"/>
        <w:rPr>
          <w:rFonts w:ascii="宋体" w:hAnsi="宋体" w:cs="宋体"/>
          <w:color w:val="auto"/>
          <w:szCs w:val="21"/>
          <w:u w:val="single"/>
        </w:rPr>
      </w:pPr>
      <w:r>
        <w:rPr>
          <w:rFonts w:hint="eastAsia" w:ascii="宋体" w:hAnsi="宋体" w:cs="宋体"/>
          <w:color w:val="auto"/>
          <w:szCs w:val="21"/>
        </w:rPr>
        <w:t>项目编号：</w:t>
      </w:r>
    </w:p>
    <w:p>
      <w:pPr>
        <w:spacing w:line="360" w:lineRule="auto"/>
        <w:rPr>
          <w:rFonts w:ascii="宋体" w:hAnsi="宋体" w:cs="宋体"/>
          <w:color w:val="auto"/>
          <w:szCs w:val="21"/>
          <w:u w:val="single"/>
        </w:rPr>
      </w:pPr>
      <w:r>
        <w:rPr>
          <w:rFonts w:hint="eastAsia" w:ascii="宋体" w:hAnsi="宋体" w:cs="宋体"/>
          <w:color w:val="auto"/>
          <w:szCs w:val="21"/>
        </w:rPr>
        <w:t>签订地点：</w:t>
      </w:r>
      <w:r>
        <w:rPr>
          <w:rFonts w:hint="eastAsia" w:ascii="宋体" w:hAnsi="宋体" w:cs="宋体"/>
          <w:color w:val="auto"/>
          <w:szCs w:val="21"/>
          <w:lang w:val="en-US" w:eastAsia="zh-CN"/>
        </w:rPr>
        <w:t xml:space="preserve">                                                 </w:t>
      </w:r>
      <w:r>
        <w:rPr>
          <w:rFonts w:hint="eastAsia" w:ascii="宋体" w:hAnsi="宋体" w:cs="宋体"/>
          <w:color w:val="auto"/>
          <w:szCs w:val="21"/>
        </w:rPr>
        <w:t>签订时间：</w:t>
      </w:r>
    </w:p>
    <w:p>
      <w:pPr>
        <w:snapToGrid w:val="0"/>
        <w:spacing w:line="400" w:lineRule="atLeast"/>
        <w:ind w:firstLine="420" w:firstLineChars="200"/>
        <w:rPr>
          <w:rFonts w:ascii="宋体" w:hAnsi="宋体"/>
          <w:color w:val="auto"/>
          <w:szCs w:val="21"/>
        </w:rPr>
      </w:pPr>
    </w:p>
    <w:p>
      <w:pPr>
        <w:spacing w:line="360" w:lineRule="auto"/>
        <w:ind w:firstLine="420" w:firstLineChars="200"/>
        <w:rPr>
          <w:rFonts w:hint="eastAsia" w:ascii="宋体" w:hAnsi="宋体"/>
          <w:color w:val="auto"/>
        </w:rPr>
      </w:pPr>
      <w:r>
        <w:rPr>
          <w:rFonts w:hint="eastAsia" w:ascii="宋体" w:hAnsi="宋体"/>
          <w:color w:val="auto"/>
        </w:rPr>
        <w:t>根据《中华人民共和国政府采购法》、《中华人民共和国民法典》等法律、法规规定，按照招标文件规定条款和乙方投标文件及其承诺，甲乙双方签订本合同。</w:t>
      </w:r>
    </w:p>
    <w:p>
      <w:pPr>
        <w:spacing w:line="360" w:lineRule="auto"/>
        <w:ind w:firstLine="422" w:firstLineChars="200"/>
        <w:rPr>
          <w:rFonts w:hint="eastAsia" w:ascii="宋体" w:hAnsi="宋体"/>
          <w:b/>
          <w:color w:val="auto"/>
        </w:rPr>
      </w:pPr>
      <w:r>
        <w:rPr>
          <w:rFonts w:hint="eastAsia" w:ascii="宋体" w:hAnsi="宋体"/>
          <w:b/>
          <w:color w:val="auto"/>
        </w:rPr>
        <w:t>第一条 合同标的</w:t>
      </w:r>
    </w:p>
    <w:p>
      <w:pPr>
        <w:spacing w:line="360" w:lineRule="auto"/>
        <w:ind w:firstLine="420" w:firstLineChars="200"/>
        <w:rPr>
          <w:rFonts w:hint="eastAsia" w:ascii="宋体" w:hAnsi="宋体"/>
          <w:color w:val="auto"/>
        </w:rPr>
      </w:pPr>
      <w:r>
        <w:rPr>
          <w:rFonts w:hint="eastAsia" w:ascii="宋体" w:hAnsi="宋体"/>
          <w:color w:val="auto"/>
        </w:rPr>
        <w:t>1.项目一览表</w:t>
      </w:r>
    </w:p>
    <w:tbl>
      <w:tblPr>
        <w:tblStyle w:val="24"/>
        <w:tblW w:w="936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13"/>
        <w:gridCol w:w="2400"/>
        <w:gridCol w:w="1320"/>
        <w:gridCol w:w="1200"/>
        <w:gridCol w:w="1300"/>
        <w:gridCol w:w="1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autoSpaceDE w:val="0"/>
              <w:jc w:val="center"/>
              <w:rPr>
                <w:rFonts w:hint="eastAsia" w:ascii="宋体" w:hAnsi="宋体"/>
                <w:color w:val="auto"/>
              </w:rPr>
            </w:pPr>
            <w:r>
              <w:rPr>
                <w:rFonts w:hint="eastAsia" w:ascii="宋体" w:hAnsi="宋体"/>
                <w:color w:val="auto"/>
              </w:rPr>
              <w:t>序号</w:t>
            </w:r>
          </w:p>
        </w:tc>
        <w:tc>
          <w:tcPr>
            <w:tcW w:w="1213" w:type="dxa"/>
            <w:tcBorders>
              <w:top w:val="single" w:color="auto" w:sz="4" w:space="0"/>
              <w:left w:val="nil"/>
              <w:bottom w:val="single" w:color="auto" w:sz="4" w:space="0"/>
              <w:right w:val="single" w:color="auto" w:sz="4" w:space="0"/>
            </w:tcBorders>
            <w:noWrap w:val="0"/>
            <w:vAlign w:val="center"/>
          </w:tcPr>
          <w:p>
            <w:pPr>
              <w:autoSpaceDE w:val="0"/>
              <w:jc w:val="center"/>
              <w:rPr>
                <w:rFonts w:hint="eastAsia" w:ascii="宋体" w:hAnsi="宋体"/>
                <w:color w:val="auto"/>
              </w:rPr>
            </w:pPr>
            <w:r>
              <w:rPr>
                <w:rFonts w:hint="eastAsia" w:ascii="宋体" w:hAnsi="宋体"/>
                <w:color w:val="auto"/>
              </w:rPr>
              <w:t>名称</w:t>
            </w:r>
          </w:p>
        </w:tc>
        <w:tc>
          <w:tcPr>
            <w:tcW w:w="2400" w:type="dxa"/>
            <w:tcBorders>
              <w:top w:val="single" w:color="auto" w:sz="4" w:space="0"/>
              <w:left w:val="nil"/>
              <w:bottom w:val="single" w:color="auto" w:sz="4" w:space="0"/>
              <w:right w:val="single" w:color="auto" w:sz="4" w:space="0"/>
            </w:tcBorders>
            <w:noWrap w:val="0"/>
            <w:vAlign w:val="center"/>
          </w:tcPr>
          <w:p>
            <w:pPr>
              <w:autoSpaceDE w:val="0"/>
              <w:jc w:val="center"/>
              <w:rPr>
                <w:rFonts w:hint="eastAsia" w:ascii="宋体" w:hAnsi="宋体"/>
                <w:color w:val="auto"/>
              </w:rPr>
            </w:pPr>
            <w:r>
              <w:rPr>
                <w:rFonts w:hint="eastAsia" w:ascii="宋体" w:hAnsi="宋体"/>
                <w:color w:val="auto"/>
              </w:rPr>
              <w:t>服务内容</w:t>
            </w:r>
          </w:p>
        </w:tc>
        <w:tc>
          <w:tcPr>
            <w:tcW w:w="1320" w:type="dxa"/>
            <w:tcBorders>
              <w:top w:val="single" w:color="auto" w:sz="4" w:space="0"/>
              <w:left w:val="nil"/>
              <w:bottom w:val="single" w:color="auto" w:sz="4" w:space="0"/>
              <w:right w:val="single" w:color="auto" w:sz="4" w:space="0"/>
            </w:tcBorders>
            <w:noWrap w:val="0"/>
            <w:vAlign w:val="center"/>
          </w:tcPr>
          <w:p>
            <w:pPr>
              <w:autoSpaceDE w:val="0"/>
              <w:jc w:val="center"/>
              <w:rPr>
                <w:rFonts w:hint="eastAsia" w:ascii="宋体" w:hAnsi="宋体"/>
                <w:color w:val="auto"/>
              </w:rPr>
            </w:pPr>
            <w:r>
              <w:rPr>
                <w:rFonts w:hint="eastAsia" w:ascii="宋体" w:hAnsi="宋体"/>
                <w:color w:val="auto"/>
              </w:rPr>
              <w:t>数  量</w:t>
            </w:r>
          </w:p>
        </w:tc>
        <w:tc>
          <w:tcPr>
            <w:tcW w:w="1200" w:type="dxa"/>
            <w:tcBorders>
              <w:top w:val="single" w:color="auto" w:sz="4" w:space="0"/>
              <w:left w:val="nil"/>
              <w:bottom w:val="single" w:color="auto" w:sz="4" w:space="0"/>
              <w:right w:val="single" w:color="auto" w:sz="4" w:space="0"/>
            </w:tcBorders>
            <w:noWrap w:val="0"/>
            <w:vAlign w:val="center"/>
          </w:tcPr>
          <w:p>
            <w:pPr>
              <w:autoSpaceDE w:val="0"/>
              <w:jc w:val="center"/>
              <w:rPr>
                <w:rFonts w:hint="eastAsia" w:ascii="宋体" w:hAnsi="宋体"/>
                <w:color w:val="auto"/>
              </w:rPr>
            </w:pPr>
            <w:r>
              <w:rPr>
                <w:rFonts w:hint="eastAsia" w:ascii="宋体" w:hAnsi="宋体"/>
                <w:color w:val="auto"/>
              </w:rPr>
              <w:t>单位</w:t>
            </w:r>
          </w:p>
        </w:tc>
        <w:tc>
          <w:tcPr>
            <w:tcW w:w="1300" w:type="dxa"/>
            <w:tcBorders>
              <w:top w:val="single" w:color="auto" w:sz="4" w:space="0"/>
              <w:left w:val="nil"/>
              <w:bottom w:val="single" w:color="auto" w:sz="4" w:space="0"/>
              <w:right w:val="single" w:color="auto" w:sz="4" w:space="0"/>
            </w:tcBorders>
            <w:noWrap w:val="0"/>
            <w:vAlign w:val="center"/>
          </w:tcPr>
          <w:p>
            <w:pPr>
              <w:autoSpaceDE w:val="0"/>
              <w:jc w:val="center"/>
              <w:rPr>
                <w:rFonts w:hint="eastAsia" w:ascii="宋体" w:hAnsi="宋体"/>
                <w:color w:val="auto"/>
              </w:rPr>
            </w:pPr>
            <w:r>
              <w:rPr>
                <w:rFonts w:hint="eastAsia" w:ascii="宋体" w:hAnsi="宋体"/>
                <w:color w:val="auto"/>
              </w:rPr>
              <w:t>单  价</w:t>
            </w:r>
          </w:p>
          <w:p>
            <w:pPr>
              <w:autoSpaceDE w:val="0"/>
              <w:jc w:val="center"/>
              <w:rPr>
                <w:rFonts w:hint="eastAsia" w:ascii="宋体" w:hAnsi="宋体"/>
                <w:color w:val="auto"/>
              </w:rPr>
            </w:pPr>
            <w:r>
              <w:rPr>
                <w:rFonts w:hint="eastAsia" w:ascii="宋体" w:hAnsi="宋体"/>
                <w:color w:val="auto"/>
              </w:rPr>
              <w:t>（元）</w:t>
            </w:r>
          </w:p>
        </w:tc>
        <w:tc>
          <w:tcPr>
            <w:tcW w:w="1207" w:type="dxa"/>
            <w:tcBorders>
              <w:top w:val="single" w:color="auto" w:sz="4" w:space="0"/>
              <w:left w:val="nil"/>
              <w:bottom w:val="single" w:color="auto" w:sz="4" w:space="0"/>
              <w:right w:val="single" w:color="auto" w:sz="4" w:space="0"/>
            </w:tcBorders>
            <w:noWrap w:val="0"/>
            <w:vAlign w:val="center"/>
          </w:tcPr>
          <w:p>
            <w:pPr>
              <w:autoSpaceDE w:val="0"/>
              <w:jc w:val="center"/>
              <w:rPr>
                <w:rFonts w:hint="eastAsia" w:ascii="宋体" w:hAnsi="宋体"/>
                <w:color w:val="auto"/>
              </w:rPr>
            </w:pPr>
            <w:r>
              <w:rPr>
                <w:rFonts w:hint="eastAsia" w:ascii="宋体" w:hAnsi="宋体"/>
                <w:color w:val="auto"/>
              </w:rPr>
              <w:t>总  价</w:t>
            </w:r>
          </w:p>
          <w:p>
            <w:pPr>
              <w:autoSpaceDE w:val="0"/>
              <w:jc w:val="center"/>
              <w:rPr>
                <w:rFonts w:hint="eastAsia" w:ascii="宋体" w:hAnsi="宋体"/>
                <w:color w:val="auto"/>
              </w:rPr>
            </w:pPr>
            <w:r>
              <w:rPr>
                <w:rFonts w:hint="eastAsia" w:ascii="宋体" w:hAnsi="宋体"/>
                <w:color w:val="auto"/>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trPr>
        <w:tc>
          <w:tcPr>
            <w:tcW w:w="9360" w:type="dxa"/>
            <w:gridSpan w:val="7"/>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trPr>
        <w:tc>
          <w:tcPr>
            <w:tcW w:w="9360" w:type="dxa"/>
            <w:gridSpan w:val="7"/>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olor w:val="auto"/>
              </w:rPr>
            </w:pPr>
            <w:r>
              <w:rPr>
                <w:rFonts w:hint="eastAsia" w:ascii="宋体" w:hAnsi="宋体"/>
                <w:color w:val="auto"/>
              </w:rPr>
              <w:t>人民币合计金额（大写）：</w:t>
            </w:r>
            <w:r>
              <w:rPr>
                <w:rFonts w:hint="eastAsia" w:ascii="宋体" w:hAnsi="宋体"/>
                <w:color w:val="auto"/>
                <w:u w:val="single"/>
              </w:rPr>
              <w:t xml:space="preserve">                              </w:t>
            </w:r>
            <w:r>
              <w:rPr>
                <w:rFonts w:hint="eastAsia" w:ascii="宋体" w:hAnsi="宋体"/>
                <w:color w:val="auto"/>
              </w:rPr>
              <w:t>元整（¥</w:t>
            </w:r>
            <w:r>
              <w:rPr>
                <w:rFonts w:hint="eastAsia" w:ascii="宋体" w:hAnsi="宋体"/>
                <w:color w:val="auto"/>
                <w:u w:val="single"/>
              </w:rPr>
              <w:t xml:space="preserve">           </w:t>
            </w:r>
            <w:r>
              <w:rPr>
                <w:rFonts w:hint="eastAsia" w:ascii="宋体" w:hAnsi="宋体"/>
                <w:color w:val="auto"/>
              </w:rPr>
              <w:t xml:space="preserve">）              </w:t>
            </w:r>
          </w:p>
        </w:tc>
      </w:tr>
    </w:tbl>
    <w:p>
      <w:pPr>
        <w:spacing w:line="360" w:lineRule="auto"/>
        <w:ind w:firstLine="420" w:firstLineChars="200"/>
        <w:rPr>
          <w:rFonts w:ascii="宋体" w:hAnsi="宋体"/>
          <w:color w:val="auto"/>
        </w:rPr>
      </w:pPr>
      <w:r>
        <w:rPr>
          <w:rFonts w:hint="eastAsia" w:ascii="宋体" w:hAnsi="宋体"/>
          <w:color w:val="auto"/>
        </w:rPr>
        <w:t>2.合同合计金额包含本次采购范围内的服务价款、人工、管理、安装及检测工具、保险、税金、调试、检验等完成本项目所需的全部费用。</w:t>
      </w:r>
    </w:p>
    <w:p>
      <w:pPr>
        <w:spacing w:line="360" w:lineRule="auto"/>
        <w:ind w:firstLine="422" w:firstLineChars="200"/>
        <w:rPr>
          <w:rFonts w:hint="eastAsia" w:ascii="宋体" w:hAnsi="宋体"/>
          <w:b/>
          <w:color w:val="auto"/>
        </w:rPr>
      </w:pPr>
      <w:r>
        <w:rPr>
          <w:rFonts w:hint="eastAsia" w:ascii="宋体" w:hAnsi="宋体"/>
          <w:b/>
          <w:color w:val="auto"/>
        </w:rPr>
        <w:t>第二条 质量保证</w:t>
      </w:r>
    </w:p>
    <w:p>
      <w:pPr>
        <w:snapToGrid w:val="0"/>
        <w:spacing w:line="360" w:lineRule="auto"/>
        <w:ind w:firstLine="420" w:firstLineChars="200"/>
        <w:rPr>
          <w:rFonts w:hint="eastAsia" w:ascii="宋体" w:hAnsi="宋体"/>
          <w:color w:val="auto"/>
        </w:rPr>
      </w:pPr>
      <w:r>
        <w:rPr>
          <w:rFonts w:hint="eastAsia" w:ascii="宋体" w:hAnsi="宋体"/>
          <w:color w:val="auto"/>
        </w:rPr>
        <w:t>乙方所提供的服务及服务内容必须与投标文件承诺相一致，有国家强制性标准的，还必须符合国家强制性标准的规定，没有国家强制性标准但有其他强制性标准的，必须符合其他强制性标准的规定。</w:t>
      </w:r>
    </w:p>
    <w:p>
      <w:pPr>
        <w:spacing w:line="360" w:lineRule="auto"/>
        <w:ind w:firstLine="422" w:firstLineChars="200"/>
        <w:rPr>
          <w:rFonts w:hint="eastAsia" w:ascii="宋体" w:hAnsi="宋体"/>
          <w:color w:val="auto"/>
        </w:rPr>
      </w:pPr>
      <w:r>
        <w:rPr>
          <w:rFonts w:hint="eastAsia" w:ascii="宋体" w:hAnsi="宋体"/>
          <w:b/>
          <w:color w:val="auto"/>
        </w:rPr>
        <w:t>第三条 权利保证</w:t>
      </w:r>
    </w:p>
    <w:p>
      <w:pPr>
        <w:snapToGrid w:val="0"/>
        <w:spacing w:line="360" w:lineRule="auto"/>
        <w:ind w:firstLine="420" w:firstLineChars="200"/>
        <w:rPr>
          <w:rFonts w:hint="eastAsia" w:ascii="宋体" w:hAnsi="宋体"/>
          <w:color w:val="auto"/>
        </w:rPr>
      </w:pPr>
      <w:r>
        <w:rPr>
          <w:rFonts w:hint="eastAsia" w:ascii="宋体" w:hAnsi="宋体"/>
          <w:color w:val="auto"/>
        </w:rPr>
        <w:t>1.乙方应保证所提供服务在使用时不会侵犯任何第三方的专利权、商标权、工业设计权等知识产权及其他合法权利，且所有权、处分权等没有受到任何限制。</w:t>
      </w:r>
    </w:p>
    <w:p>
      <w:pPr>
        <w:snapToGrid w:val="0"/>
        <w:spacing w:line="360" w:lineRule="auto"/>
        <w:ind w:firstLine="420" w:firstLineChars="200"/>
        <w:rPr>
          <w:rFonts w:hint="eastAsia" w:ascii="宋体" w:hAnsi="宋体"/>
          <w:color w:val="auto"/>
        </w:rPr>
      </w:pPr>
      <w:r>
        <w:rPr>
          <w:rFonts w:hint="eastAsia" w:ascii="宋体" w:hAnsi="宋体"/>
          <w:color w:val="auto"/>
        </w:rPr>
        <w:t>2.没有甲方事先书面同意，乙方不得将由甲方提供的有关合同或者任何合同条文、规格、计划、图纸、样品或者资料提供给与履行本合同无关的任何其他人。即使向履行本合同有关的人员提供，也应注意保密并限于履行合同的必需范围。乙方的保密义务持续有效，不因为本合同履行终止、解除或者无效而解除。</w:t>
      </w:r>
    </w:p>
    <w:p>
      <w:pPr>
        <w:spacing w:line="360" w:lineRule="auto"/>
        <w:ind w:firstLine="422" w:firstLineChars="200"/>
        <w:rPr>
          <w:rFonts w:hint="eastAsia" w:ascii="宋体" w:hAnsi="宋体"/>
          <w:color w:val="auto"/>
        </w:rPr>
      </w:pPr>
      <w:r>
        <w:rPr>
          <w:rFonts w:hint="eastAsia" w:ascii="宋体" w:hAnsi="宋体"/>
          <w:b/>
          <w:color w:val="auto"/>
        </w:rPr>
        <w:t>第四条 交付和验收</w:t>
      </w:r>
    </w:p>
    <w:p>
      <w:pPr>
        <w:snapToGrid w:val="0"/>
        <w:spacing w:line="360" w:lineRule="auto"/>
        <w:ind w:firstLine="420" w:firstLineChars="200"/>
        <w:rPr>
          <w:rFonts w:hint="eastAsia" w:ascii="宋体" w:hAnsi="宋体"/>
          <w:color w:val="auto"/>
        </w:rPr>
      </w:pPr>
      <w:r>
        <w:rPr>
          <w:rFonts w:hint="eastAsia" w:ascii="宋体" w:hAnsi="宋体"/>
          <w:color w:val="auto"/>
        </w:rPr>
        <w:t>1.服务期限：服务期限</w:t>
      </w:r>
      <w:r>
        <w:rPr>
          <w:rFonts w:hint="eastAsia" w:ascii="宋体" w:hAnsi="宋体"/>
          <w:color w:val="auto"/>
          <w:u w:val="single"/>
          <w:lang w:val="en-US" w:eastAsia="zh-CN"/>
        </w:rPr>
        <w:t xml:space="preserve">                </w:t>
      </w:r>
      <w:r>
        <w:rPr>
          <w:rFonts w:hint="eastAsia" w:ascii="宋体" w:hAnsi="宋体"/>
          <w:color w:val="auto"/>
        </w:rPr>
        <w:t>年。</w:t>
      </w:r>
    </w:p>
    <w:p>
      <w:pPr>
        <w:snapToGrid w:val="0"/>
        <w:spacing w:line="360" w:lineRule="auto"/>
        <w:ind w:firstLine="630" w:firstLineChars="300"/>
        <w:rPr>
          <w:rFonts w:ascii="宋体" w:hAnsi="宋体"/>
          <w:color w:val="auto"/>
        </w:rPr>
      </w:pPr>
      <w:r>
        <w:rPr>
          <w:rFonts w:hint="eastAsia" w:ascii="宋体" w:hAnsi="宋体"/>
          <w:color w:val="auto"/>
        </w:rPr>
        <w:t>服务地点： 南宁市采购人指定地点。</w:t>
      </w:r>
    </w:p>
    <w:p>
      <w:pPr>
        <w:snapToGrid w:val="0"/>
        <w:spacing w:line="360" w:lineRule="auto"/>
        <w:ind w:firstLine="420" w:firstLineChars="200"/>
        <w:rPr>
          <w:rFonts w:hint="eastAsia" w:ascii="宋体" w:hAnsi="宋体"/>
          <w:color w:val="auto"/>
        </w:rPr>
      </w:pPr>
      <w:r>
        <w:rPr>
          <w:rFonts w:hint="eastAsia" w:ascii="宋体" w:hAnsi="宋体"/>
          <w:color w:val="auto"/>
        </w:rPr>
        <w:t>2.乙方应按投标文件的承诺向甲方提供相应的服务，并提供所服务内容的相关技术资料。</w:t>
      </w:r>
    </w:p>
    <w:p>
      <w:pPr>
        <w:spacing w:line="360" w:lineRule="auto"/>
        <w:ind w:firstLine="420" w:firstLineChars="200"/>
        <w:rPr>
          <w:rFonts w:hint="eastAsia" w:ascii="宋体" w:hAnsi="宋体"/>
          <w:color w:val="auto"/>
        </w:rPr>
      </w:pPr>
      <w:r>
        <w:rPr>
          <w:rFonts w:hint="eastAsia" w:ascii="宋体" w:hAnsi="宋体"/>
          <w:color w:val="auto"/>
        </w:rPr>
        <w:t>3.乙方提供不符合投标文件和本合同规定的服务成果，甲方有权拒绝接受。</w:t>
      </w:r>
    </w:p>
    <w:p>
      <w:pPr>
        <w:spacing w:line="360" w:lineRule="auto"/>
        <w:ind w:firstLine="420" w:firstLineChars="200"/>
        <w:rPr>
          <w:rFonts w:hint="eastAsia" w:ascii="宋体" w:hAnsi="宋体"/>
          <w:color w:val="auto"/>
        </w:rPr>
      </w:pPr>
      <w:r>
        <w:rPr>
          <w:rFonts w:hint="eastAsia" w:ascii="宋体" w:hAnsi="宋体"/>
          <w:color w:val="auto"/>
        </w:rPr>
        <w:t>4.乙方完成服务后应及时书面通知甲方进行验收，甲方应在收到通知后七个工作日内进行验收，逾期不开始验收的，乙方可视同验收合格。验收合格后由甲乙双方签署验收单并加盖采购人公章，甲乙双方各执一份。</w:t>
      </w:r>
    </w:p>
    <w:p>
      <w:pPr>
        <w:spacing w:line="360" w:lineRule="auto"/>
        <w:ind w:firstLine="420" w:firstLineChars="200"/>
        <w:rPr>
          <w:rFonts w:hint="eastAsia" w:ascii="宋体" w:hAnsi="宋体"/>
          <w:color w:val="auto"/>
          <w:spacing w:val="-6"/>
        </w:rPr>
      </w:pPr>
      <w:r>
        <w:rPr>
          <w:rFonts w:hint="eastAsia" w:ascii="宋体" w:hAnsi="宋体"/>
          <w:color w:val="auto"/>
        </w:rPr>
        <w:t>5</w:t>
      </w:r>
      <w:r>
        <w:rPr>
          <w:rFonts w:hint="eastAsia" w:ascii="宋体" w:hAnsi="宋体"/>
          <w:color w:val="auto"/>
          <w:spacing w:val="-6"/>
        </w:rPr>
        <w:t>.甲乙双方应按照《广西壮族自治区政府采购项目履约验收管理办法》、双方合同、投标文件验收。</w:t>
      </w:r>
    </w:p>
    <w:p>
      <w:pPr>
        <w:spacing w:line="360" w:lineRule="auto"/>
        <w:ind w:firstLine="420" w:firstLineChars="200"/>
        <w:rPr>
          <w:rFonts w:hint="eastAsia" w:ascii="宋体" w:hAnsi="宋体"/>
          <w:color w:val="auto"/>
        </w:rPr>
      </w:pPr>
      <w:r>
        <w:rPr>
          <w:rFonts w:hint="eastAsia" w:ascii="宋体" w:hAnsi="宋体"/>
          <w:color w:val="auto"/>
        </w:rPr>
        <w:t>6.甲方在验收后如发现乙方提供的服务成果不满足投标文件及本合同规定的，按服务内容的市场价格进行相应扣款。</w:t>
      </w:r>
    </w:p>
    <w:p>
      <w:pPr>
        <w:spacing w:line="360" w:lineRule="auto"/>
        <w:ind w:firstLine="420" w:firstLineChars="200"/>
        <w:rPr>
          <w:rFonts w:hint="eastAsia" w:ascii="宋体" w:hAnsi="宋体"/>
          <w:color w:val="auto"/>
        </w:rPr>
      </w:pPr>
      <w:r>
        <w:rPr>
          <w:rFonts w:hint="eastAsia" w:ascii="宋体" w:hAnsi="宋体"/>
          <w:color w:val="auto"/>
        </w:rPr>
        <w:t>7.甲方验收时以书面形式提出异议的，乙方应自收到甲方书面异议后五个工作日内及时予以解决，否则甲方有权不出具服务验收合格单。</w:t>
      </w:r>
    </w:p>
    <w:p>
      <w:pPr>
        <w:snapToGrid w:val="0"/>
        <w:spacing w:line="360" w:lineRule="auto"/>
        <w:ind w:firstLine="422" w:firstLineChars="200"/>
        <w:rPr>
          <w:rFonts w:hint="eastAsia" w:ascii="宋体" w:hAnsi="宋体"/>
          <w:b/>
          <w:color w:val="auto"/>
        </w:rPr>
      </w:pPr>
      <w:r>
        <w:rPr>
          <w:rFonts w:hint="eastAsia" w:ascii="宋体" w:hAnsi="宋体"/>
          <w:b/>
          <w:color w:val="auto"/>
        </w:rPr>
        <w:t>第五条  售后服务及培训</w:t>
      </w:r>
    </w:p>
    <w:p>
      <w:pPr>
        <w:spacing w:line="360" w:lineRule="auto"/>
        <w:ind w:firstLine="396" w:firstLineChars="200"/>
        <w:rPr>
          <w:rFonts w:hint="eastAsia" w:ascii="宋体" w:hAnsi="宋体"/>
          <w:color w:val="auto"/>
          <w:spacing w:val="-6"/>
        </w:rPr>
      </w:pPr>
      <w:r>
        <w:rPr>
          <w:rFonts w:hint="eastAsia" w:ascii="宋体" w:hAnsi="宋体"/>
          <w:color w:val="auto"/>
          <w:spacing w:val="-6"/>
        </w:rPr>
        <w:t>1.乙方应按照国家有关法律法规和本合同所附的《售后服务承诺》要求为甲方提供相应的售后服务。</w:t>
      </w:r>
    </w:p>
    <w:p>
      <w:pPr>
        <w:spacing w:line="360" w:lineRule="auto"/>
        <w:ind w:firstLine="420" w:firstLineChars="200"/>
        <w:rPr>
          <w:rFonts w:hint="eastAsia" w:ascii="宋体" w:hAnsi="宋体"/>
          <w:color w:val="auto"/>
        </w:rPr>
      </w:pPr>
      <w:r>
        <w:rPr>
          <w:rFonts w:hint="eastAsia" w:ascii="宋体" w:hAnsi="宋体"/>
          <w:color w:val="auto"/>
        </w:rPr>
        <w:t>2.甲方应提供必要测试条件（如场地、电源、水源等）。</w:t>
      </w:r>
    </w:p>
    <w:p>
      <w:pPr>
        <w:spacing w:line="360" w:lineRule="auto"/>
        <w:ind w:firstLine="420" w:firstLineChars="200"/>
        <w:rPr>
          <w:rFonts w:hint="eastAsia" w:ascii="宋体" w:hAnsi="宋体"/>
          <w:color w:val="auto"/>
        </w:rPr>
      </w:pPr>
      <w:r>
        <w:rPr>
          <w:rFonts w:hint="eastAsia" w:ascii="宋体" w:hAnsi="宋体"/>
          <w:color w:val="auto"/>
        </w:rPr>
        <w:t>3.乙方负责甲方有关人员的培训。培训时间、地点：</w:t>
      </w:r>
      <w:r>
        <w:rPr>
          <w:rFonts w:hint="eastAsia" w:ascii="宋体" w:hAnsi="宋体"/>
          <w:color w:val="auto"/>
          <w:u w:val="single"/>
        </w:rPr>
        <w:t xml:space="preserve"> 按照甲方需求和通知，乙方无条件服从</w:t>
      </w:r>
      <w:r>
        <w:rPr>
          <w:rFonts w:hint="eastAsia" w:ascii="宋体" w:hAnsi="宋体"/>
          <w:color w:val="auto"/>
        </w:rPr>
        <w:t>。</w:t>
      </w:r>
    </w:p>
    <w:p>
      <w:pPr>
        <w:snapToGrid w:val="0"/>
        <w:spacing w:line="360" w:lineRule="auto"/>
        <w:ind w:firstLine="422" w:firstLineChars="200"/>
        <w:rPr>
          <w:rFonts w:hint="eastAsia" w:ascii="宋体" w:hAnsi="宋体"/>
          <w:color w:val="auto"/>
          <w:u w:val="single"/>
        </w:rPr>
      </w:pPr>
      <w:r>
        <w:rPr>
          <w:rFonts w:hint="eastAsia" w:ascii="宋体" w:hAnsi="宋体"/>
          <w:b/>
          <w:color w:val="auto"/>
        </w:rPr>
        <w:t>第六条 付款方式</w:t>
      </w:r>
    </w:p>
    <w:p>
      <w:pPr>
        <w:snapToGrid w:val="0"/>
        <w:spacing w:line="360" w:lineRule="auto"/>
        <w:ind w:firstLine="420" w:firstLineChars="200"/>
        <w:rPr>
          <w:rFonts w:hint="eastAsia" w:ascii="宋体" w:hAnsi="宋体"/>
          <w:color w:val="auto"/>
        </w:rPr>
      </w:pPr>
      <w:r>
        <w:rPr>
          <w:rFonts w:hint="eastAsia" w:ascii="宋体" w:hAnsi="宋体"/>
          <w:color w:val="auto"/>
        </w:rPr>
        <w:t>1.本项目预付款为30%。</w:t>
      </w:r>
    </w:p>
    <w:p>
      <w:pPr>
        <w:numPr>
          <w:ilvl w:val="0"/>
          <w:numId w:val="0"/>
        </w:numPr>
        <w:spacing w:line="360" w:lineRule="exact"/>
        <w:ind w:firstLine="420" w:firstLineChars="200"/>
        <w:rPr>
          <w:rFonts w:hint="eastAsia" w:ascii="宋体" w:hAnsi="宋体"/>
          <w:color w:val="auto"/>
        </w:rPr>
      </w:pPr>
      <w:r>
        <w:rPr>
          <w:rFonts w:hint="eastAsia" w:ascii="宋体" w:hAnsi="宋体"/>
          <w:color w:val="auto"/>
        </w:rPr>
        <w:t>2.结算方式：</w:t>
      </w:r>
      <w:r>
        <w:rPr>
          <w:rFonts w:hint="default" w:ascii="宋体" w:hAnsi="宋体" w:eastAsia="宋体" w:cs="宋体"/>
          <w:color w:val="auto"/>
          <w:szCs w:val="21"/>
          <w:lang w:val="en-US" w:eastAsia="zh-CN"/>
        </w:rPr>
        <w:t>自签订合同之日起10个工作日内，采购人支付合同款总额30%作为预付款，预付款按比例抵扣服务费，预付款从每月服务费中</w:t>
      </w:r>
      <w:r>
        <w:rPr>
          <w:rFonts w:hint="eastAsia" w:ascii="宋体" w:hAnsi="宋体" w:cs="宋体"/>
          <w:color w:val="auto"/>
          <w:szCs w:val="21"/>
          <w:lang w:val="en-US" w:eastAsia="zh-CN"/>
        </w:rPr>
        <w:t>按比例扣回(</w:t>
      </w:r>
      <w:r>
        <w:rPr>
          <w:rFonts w:hint="default" w:ascii="宋体" w:hAnsi="宋体" w:eastAsia="宋体" w:cs="宋体"/>
          <w:color w:val="auto"/>
          <w:szCs w:val="21"/>
          <w:lang w:val="en-US" w:eastAsia="zh-CN"/>
        </w:rPr>
        <w:t>按月结算金额的30</w:t>
      </w:r>
      <w:r>
        <w:rPr>
          <w:rFonts w:hint="eastAsia" w:ascii="宋体" w:hAnsi="宋体" w:cs="宋体"/>
          <w:color w:val="auto"/>
          <w:szCs w:val="21"/>
          <w:lang w:val="en-US" w:eastAsia="zh-CN"/>
        </w:rPr>
        <w:t>%</w:t>
      </w:r>
      <w:r>
        <w:rPr>
          <w:rFonts w:hint="default" w:ascii="宋体" w:hAnsi="宋体" w:eastAsia="宋体" w:cs="宋体"/>
          <w:color w:val="auto"/>
          <w:szCs w:val="21"/>
          <w:lang w:val="en-US" w:eastAsia="zh-CN"/>
        </w:rPr>
        <w:t>进行扣回</w:t>
      </w:r>
      <w:r>
        <w:rPr>
          <w:rFonts w:hint="eastAsia" w:ascii="宋体" w:hAnsi="宋体" w:cs="宋体"/>
          <w:color w:val="auto"/>
          <w:szCs w:val="21"/>
          <w:lang w:val="en-US" w:eastAsia="zh-CN"/>
        </w:rPr>
        <w:t>),公式：月服务费支付金额=月结算金额×（1-30%），扣完即止</w:t>
      </w:r>
      <w:r>
        <w:rPr>
          <w:rFonts w:hint="default" w:ascii="宋体" w:hAnsi="宋体" w:eastAsia="宋体" w:cs="宋体"/>
          <w:color w:val="auto"/>
          <w:szCs w:val="21"/>
          <w:lang w:val="en-US" w:eastAsia="zh-CN"/>
        </w:rPr>
        <w:t>。服务费按</w:t>
      </w:r>
      <w:r>
        <w:rPr>
          <w:rFonts w:hint="eastAsia" w:ascii="宋体" w:hAnsi="宋体" w:cs="宋体"/>
          <w:color w:val="auto"/>
          <w:szCs w:val="21"/>
          <w:lang w:val="en-US" w:eastAsia="zh-CN"/>
        </w:rPr>
        <w:t>月</w:t>
      </w:r>
      <w:r>
        <w:rPr>
          <w:rFonts w:hint="default" w:ascii="宋体" w:hAnsi="宋体" w:eastAsia="宋体" w:cs="宋体"/>
          <w:color w:val="auto"/>
          <w:szCs w:val="21"/>
          <w:lang w:val="en-US" w:eastAsia="zh-CN"/>
        </w:rPr>
        <w:t>进行结算，实际结算金额以乙方在本结算周期内实际提供的服务量进行计算。如果合同期内采购金额达到中标金额，合同终止。</w:t>
      </w:r>
    </w:p>
    <w:p>
      <w:pPr>
        <w:snapToGrid w:val="0"/>
        <w:spacing w:line="360" w:lineRule="auto"/>
        <w:ind w:firstLine="420" w:firstLineChars="200"/>
        <w:rPr>
          <w:rFonts w:hint="eastAsia" w:ascii="宋体" w:hAnsi="宋体"/>
          <w:color w:val="auto"/>
        </w:rPr>
      </w:pPr>
      <w:r>
        <w:rPr>
          <w:rFonts w:hint="eastAsia" w:ascii="宋体" w:hAnsi="宋体"/>
          <w:color w:val="auto"/>
        </w:rPr>
        <w:t xml:space="preserve">3.服务款项以银行转账方式支付。支付时，乙方须提交合同复印件、开具正式有效的等额发票、加盖单位公章。 </w:t>
      </w:r>
    </w:p>
    <w:p>
      <w:pPr>
        <w:snapToGrid w:val="0"/>
        <w:spacing w:line="360" w:lineRule="auto"/>
        <w:ind w:firstLine="422" w:firstLineChars="200"/>
        <w:rPr>
          <w:rFonts w:hint="eastAsia" w:ascii="宋体" w:hAnsi="宋体"/>
          <w:b/>
          <w:color w:val="auto"/>
        </w:rPr>
      </w:pPr>
      <w:r>
        <w:rPr>
          <w:rFonts w:hint="eastAsia" w:ascii="宋体" w:hAnsi="宋体"/>
          <w:b/>
          <w:color w:val="auto"/>
        </w:rPr>
        <w:t>第七条 履约保证金</w:t>
      </w:r>
    </w:p>
    <w:p>
      <w:pPr>
        <w:spacing w:line="360" w:lineRule="auto"/>
        <w:ind w:firstLine="420" w:firstLineChars="200"/>
        <w:rPr>
          <w:rFonts w:hint="eastAsia" w:ascii="宋体" w:hAnsi="宋体" w:eastAsia="宋体"/>
          <w:color w:val="auto"/>
          <w:lang w:val="en-US" w:eastAsia="zh-CN"/>
        </w:rPr>
      </w:pPr>
      <w:r>
        <w:rPr>
          <w:rFonts w:hint="eastAsia" w:ascii="宋体" w:hAnsi="宋体"/>
          <w:color w:val="auto"/>
        </w:rPr>
        <w:t>履约保证金金额：</w:t>
      </w:r>
      <w:r>
        <w:rPr>
          <w:rFonts w:hint="eastAsia" w:ascii="宋体" w:hAnsi="宋体"/>
          <w:color w:val="auto"/>
          <w:lang w:val="en-US" w:eastAsia="zh-CN"/>
        </w:rPr>
        <w:t>本项目无履约保证金。</w:t>
      </w:r>
    </w:p>
    <w:p>
      <w:pPr>
        <w:spacing w:line="360" w:lineRule="auto"/>
        <w:ind w:firstLine="422" w:firstLineChars="200"/>
        <w:rPr>
          <w:rFonts w:hint="eastAsia" w:ascii="宋体" w:hAnsi="宋体"/>
          <w:b/>
          <w:color w:val="auto"/>
        </w:rPr>
      </w:pPr>
      <w:r>
        <w:rPr>
          <w:rFonts w:hint="eastAsia" w:ascii="宋体" w:hAnsi="宋体"/>
          <w:b/>
          <w:color w:val="auto"/>
        </w:rPr>
        <w:t>第八条  税费</w:t>
      </w:r>
    </w:p>
    <w:p>
      <w:pPr>
        <w:spacing w:line="360" w:lineRule="auto"/>
        <w:ind w:firstLine="420" w:firstLineChars="200"/>
        <w:rPr>
          <w:rFonts w:hint="eastAsia" w:ascii="宋体" w:hAnsi="宋体"/>
          <w:color w:val="auto"/>
        </w:rPr>
      </w:pPr>
      <w:r>
        <w:rPr>
          <w:rFonts w:hint="eastAsia" w:ascii="宋体" w:hAnsi="宋体"/>
          <w:color w:val="auto"/>
        </w:rPr>
        <w:t>本合同执行中相关的一切税费均由乙方负担，合同另有约定的除外。</w:t>
      </w:r>
    </w:p>
    <w:p>
      <w:pPr>
        <w:spacing w:line="360" w:lineRule="auto"/>
        <w:ind w:firstLine="422" w:firstLineChars="200"/>
        <w:rPr>
          <w:rFonts w:hint="eastAsia" w:ascii="宋体" w:hAnsi="宋体"/>
          <w:b/>
          <w:color w:val="auto"/>
        </w:rPr>
      </w:pPr>
      <w:r>
        <w:rPr>
          <w:rFonts w:hint="eastAsia" w:ascii="宋体" w:hAnsi="宋体"/>
          <w:b/>
          <w:color w:val="auto"/>
        </w:rPr>
        <w:t>第九条 违约责任</w:t>
      </w:r>
    </w:p>
    <w:p>
      <w:pPr>
        <w:pStyle w:val="14"/>
        <w:snapToGrid w:val="0"/>
        <w:spacing w:line="360" w:lineRule="auto"/>
        <w:ind w:firstLine="411" w:firstLineChars="196"/>
        <w:rPr>
          <w:rFonts w:hAnsi="宋体"/>
          <w:color w:val="auto"/>
          <w:sz w:val="21"/>
        </w:rPr>
      </w:pPr>
      <w:r>
        <w:rPr>
          <w:rFonts w:hint="eastAsia" w:hAnsi="宋体"/>
          <w:color w:val="auto"/>
          <w:sz w:val="21"/>
        </w:rPr>
        <w:t>1.合同一方不履行合同义务、履行合同义务不符合约定或者违反合同项下所作保证的， 应向对方承担继续履行、采取修理、更换、退货等补救措施或者赔偿损失等违约责任。</w:t>
      </w:r>
    </w:p>
    <w:p>
      <w:pPr>
        <w:pStyle w:val="14"/>
        <w:snapToGrid w:val="0"/>
        <w:spacing w:line="360" w:lineRule="auto"/>
        <w:ind w:firstLine="411" w:firstLineChars="196"/>
        <w:rPr>
          <w:rFonts w:hint="eastAsia" w:hAnsi="宋体"/>
          <w:color w:val="auto"/>
          <w:sz w:val="21"/>
        </w:rPr>
      </w:pPr>
      <w:r>
        <w:rPr>
          <w:rFonts w:hint="eastAsia" w:hAnsi="宋体"/>
          <w:color w:val="auto"/>
          <w:sz w:val="21"/>
        </w:rPr>
        <w:t>2.乙方未能按时交付服务的，应向甲方支付迟延交付违约金。迟延交付违约金的计算方法如下：</w:t>
      </w:r>
    </w:p>
    <w:p>
      <w:pPr>
        <w:pStyle w:val="14"/>
        <w:snapToGrid w:val="0"/>
        <w:spacing w:line="360" w:lineRule="auto"/>
        <w:ind w:firstLine="411" w:firstLineChars="196"/>
        <w:rPr>
          <w:rFonts w:hint="eastAsia" w:hAnsi="宋体"/>
          <w:color w:val="auto"/>
          <w:sz w:val="21"/>
        </w:rPr>
      </w:pPr>
      <w:r>
        <w:rPr>
          <w:rFonts w:hint="eastAsia" w:hAnsi="宋体"/>
          <w:color w:val="auto"/>
          <w:sz w:val="21"/>
        </w:rPr>
        <w:t>（1）从迟交的第一日到第三十日，每日迟延交付违约金为合同总价的 1.5‰；</w:t>
      </w:r>
    </w:p>
    <w:p>
      <w:pPr>
        <w:pStyle w:val="14"/>
        <w:snapToGrid w:val="0"/>
        <w:spacing w:line="360" w:lineRule="auto"/>
        <w:ind w:firstLine="411" w:firstLineChars="196"/>
        <w:rPr>
          <w:rFonts w:hint="eastAsia" w:hAnsi="宋体"/>
          <w:color w:val="auto"/>
          <w:sz w:val="21"/>
        </w:rPr>
      </w:pPr>
      <w:r>
        <w:rPr>
          <w:rFonts w:hint="eastAsia" w:hAnsi="宋体"/>
          <w:color w:val="auto"/>
          <w:sz w:val="21"/>
        </w:rPr>
        <w:t>（2）从迟交的第三十一日到第六十日，每日迟延交付违约金为合同总价的 3‰；</w:t>
      </w:r>
    </w:p>
    <w:p>
      <w:pPr>
        <w:pStyle w:val="14"/>
        <w:snapToGrid w:val="0"/>
        <w:spacing w:line="360" w:lineRule="auto"/>
        <w:ind w:firstLine="411" w:firstLineChars="196"/>
        <w:rPr>
          <w:rFonts w:hint="eastAsia" w:hAnsi="宋体"/>
          <w:color w:val="auto"/>
          <w:sz w:val="21"/>
        </w:rPr>
      </w:pPr>
      <w:r>
        <w:rPr>
          <w:rFonts w:hint="eastAsia" w:hAnsi="宋体"/>
          <w:color w:val="auto"/>
          <w:sz w:val="21"/>
        </w:rPr>
        <w:t>（3）从迟交的第六十一日起，每日迟延交付违约金为合同总价的 5‰。</w:t>
      </w:r>
    </w:p>
    <w:p>
      <w:pPr>
        <w:pStyle w:val="14"/>
        <w:snapToGrid w:val="0"/>
        <w:spacing w:line="360" w:lineRule="auto"/>
        <w:ind w:firstLine="411" w:firstLineChars="196"/>
        <w:rPr>
          <w:rFonts w:hint="eastAsia" w:hAnsi="宋体"/>
          <w:color w:val="auto"/>
          <w:sz w:val="21"/>
        </w:rPr>
      </w:pPr>
      <w:r>
        <w:rPr>
          <w:rFonts w:hint="eastAsia" w:hAnsi="宋体"/>
          <w:color w:val="auto"/>
          <w:sz w:val="21"/>
        </w:rPr>
        <w:t>迟延交付违约金的总额不得超过合同总价的30% 。迟延交付违约金的支付不能免除乙方继续交付相关合同货物的义务，但如迟延交付必然导致合同货物安装、调试、验收等工作推迟的，相关工作应相应顺延。</w:t>
      </w:r>
    </w:p>
    <w:p>
      <w:pPr>
        <w:pStyle w:val="14"/>
        <w:snapToGrid w:val="0"/>
        <w:spacing w:line="360" w:lineRule="auto"/>
        <w:ind w:firstLine="411" w:firstLineChars="196"/>
        <w:rPr>
          <w:rFonts w:hint="eastAsia" w:hAnsi="宋体"/>
          <w:color w:val="auto"/>
          <w:sz w:val="21"/>
        </w:rPr>
      </w:pPr>
      <w:r>
        <w:rPr>
          <w:rFonts w:hint="eastAsia" w:hAnsi="宋体"/>
          <w:color w:val="auto"/>
          <w:sz w:val="21"/>
        </w:rPr>
        <w:t>3.甲方未能按合同约定支付合同价款的，应向乙方支付延迟付款违约金。迟延付款违约金的计算方法如下：</w:t>
      </w:r>
    </w:p>
    <w:p>
      <w:pPr>
        <w:pStyle w:val="14"/>
        <w:snapToGrid w:val="0"/>
        <w:spacing w:line="360" w:lineRule="auto"/>
        <w:ind w:firstLine="411" w:firstLineChars="196"/>
        <w:rPr>
          <w:rFonts w:hint="eastAsia" w:hAnsi="宋体"/>
          <w:color w:val="auto"/>
          <w:sz w:val="21"/>
        </w:rPr>
      </w:pPr>
      <w:r>
        <w:rPr>
          <w:rFonts w:hint="eastAsia" w:hAnsi="宋体"/>
          <w:color w:val="auto"/>
          <w:sz w:val="21"/>
        </w:rPr>
        <w:t>（1）从迟交的第一日到第三十日，每日迟延付款违约金为迟延付款金额的1.5‰；</w:t>
      </w:r>
    </w:p>
    <w:p>
      <w:pPr>
        <w:pStyle w:val="14"/>
        <w:snapToGrid w:val="0"/>
        <w:spacing w:line="360" w:lineRule="auto"/>
        <w:ind w:firstLine="411" w:firstLineChars="196"/>
        <w:rPr>
          <w:rFonts w:hint="eastAsia" w:hAnsi="宋体"/>
          <w:color w:val="auto"/>
          <w:sz w:val="21"/>
        </w:rPr>
      </w:pPr>
      <w:r>
        <w:rPr>
          <w:rFonts w:hint="eastAsia" w:hAnsi="宋体"/>
          <w:color w:val="auto"/>
          <w:sz w:val="21"/>
        </w:rPr>
        <w:t>（2）从迟交的第三十一日到第六十日，每日迟延付款违约金为迟延付款金额的3‰；</w:t>
      </w:r>
    </w:p>
    <w:p>
      <w:pPr>
        <w:pStyle w:val="14"/>
        <w:snapToGrid w:val="0"/>
        <w:spacing w:line="360" w:lineRule="auto"/>
        <w:ind w:firstLine="411" w:firstLineChars="196"/>
        <w:rPr>
          <w:rFonts w:hint="eastAsia" w:hAnsi="宋体"/>
          <w:color w:val="auto"/>
          <w:sz w:val="21"/>
        </w:rPr>
      </w:pPr>
      <w:r>
        <w:rPr>
          <w:rFonts w:hint="eastAsia" w:hAnsi="宋体"/>
          <w:color w:val="auto"/>
          <w:sz w:val="21"/>
        </w:rPr>
        <w:t>（3）从迟交的第六十一日起，每日迟延付款违约金为迟延付款金额的 5‰。迟延付款违约金的总额不得超过迟延付款金额的30% 。</w:t>
      </w:r>
    </w:p>
    <w:p>
      <w:pPr>
        <w:pStyle w:val="14"/>
        <w:snapToGrid w:val="0"/>
        <w:spacing w:line="360" w:lineRule="auto"/>
        <w:ind w:firstLine="411" w:firstLineChars="196"/>
        <w:rPr>
          <w:rFonts w:hint="eastAsia" w:hAnsi="宋体"/>
          <w:color w:val="auto"/>
          <w:sz w:val="21"/>
        </w:rPr>
      </w:pPr>
      <w:r>
        <w:rPr>
          <w:rFonts w:hint="eastAsia" w:hAnsi="宋体"/>
          <w:color w:val="auto"/>
          <w:sz w:val="21"/>
        </w:rPr>
        <w:t>4.乙方未按本合同和投标文件承诺提供售后服务的，乙方应按本合同总的</w:t>
      </w:r>
      <w:r>
        <w:rPr>
          <w:rFonts w:hAnsi="宋体"/>
          <w:color w:val="auto"/>
          <w:sz w:val="21"/>
        </w:rPr>
        <w:t>30</w:t>
      </w:r>
      <w:r>
        <w:rPr>
          <w:rFonts w:hint="eastAsia" w:hAnsi="宋体"/>
          <w:color w:val="auto"/>
          <w:sz w:val="21"/>
        </w:rPr>
        <w:t>%向甲方支付违约金。</w:t>
      </w:r>
    </w:p>
    <w:p>
      <w:pPr>
        <w:pStyle w:val="14"/>
        <w:snapToGrid w:val="0"/>
        <w:spacing w:line="360" w:lineRule="auto"/>
        <w:ind w:firstLine="411" w:firstLineChars="196"/>
        <w:rPr>
          <w:rFonts w:hint="eastAsia" w:hAnsi="宋体"/>
          <w:color w:val="auto"/>
          <w:sz w:val="21"/>
        </w:rPr>
      </w:pPr>
      <w:r>
        <w:rPr>
          <w:rFonts w:hint="eastAsia" w:hAnsi="宋体"/>
          <w:color w:val="auto"/>
          <w:sz w:val="21"/>
        </w:rPr>
        <w:t>5.因某一方原因导致变更、中止或者终止政府采购合同的，该方应当对另一方受到的损失予以赔偿或者补偿。</w:t>
      </w:r>
    </w:p>
    <w:p>
      <w:pPr>
        <w:pStyle w:val="14"/>
        <w:snapToGrid w:val="0"/>
        <w:spacing w:line="360" w:lineRule="auto"/>
        <w:ind w:firstLine="411" w:firstLineChars="196"/>
        <w:rPr>
          <w:rFonts w:hint="eastAsia" w:hAnsi="宋体"/>
          <w:color w:val="auto"/>
          <w:sz w:val="21"/>
        </w:rPr>
      </w:pPr>
      <w:r>
        <w:rPr>
          <w:rFonts w:hint="eastAsia" w:hAnsi="宋体"/>
          <w:color w:val="auto"/>
          <w:sz w:val="21"/>
        </w:rPr>
        <w:t>6.其它违约责任按《中华人民共和国民法典》处理。</w:t>
      </w:r>
    </w:p>
    <w:p>
      <w:pPr>
        <w:spacing w:line="360" w:lineRule="auto"/>
        <w:ind w:firstLine="422" w:firstLineChars="200"/>
        <w:rPr>
          <w:rFonts w:hint="eastAsia" w:ascii="宋体" w:hAnsi="宋体"/>
          <w:b/>
          <w:color w:val="auto"/>
        </w:rPr>
      </w:pPr>
      <w:r>
        <w:rPr>
          <w:rFonts w:hint="eastAsia" w:ascii="宋体" w:hAnsi="宋体"/>
          <w:b/>
          <w:color w:val="auto"/>
        </w:rPr>
        <w:t>第十条  不可抗力事件处理</w:t>
      </w:r>
    </w:p>
    <w:p>
      <w:pPr>
        <w:spacing w:line="360" w:lineRule="auto"/>
        <w:ind w:firstLine="420" w:firstLineChars="200"/>
        <w:rPr>
          <w:rFonts w:hint="eastAsia" w:ascii="宋体" w:hAnsi="宋体"/>
          <w:color w:val="auto"/>
        </w:rPr>
      </w:pPr>
      <w:r>
        <w:rPr>
          <w:rFonts w:hint="eastAsia" w:ascii="宋体" w:hAnsi="宋体"/>
          <w:color w:val="auto"/>
        </w:rPr>
        <w:t>1.在合同有效期内，任何一方因不可抗力事件导致不能履行合同，则合同履行期可延长，其延长期与不可抗力影响期相同。</w:t>
      </w:r>
    </w:p>
    <w:p>
      <w:pPr>
        <w:spacing w:line="360" w:lineRule="auto"/>
        <w:ind w:firstLine="420" w:firstLineChars="200"/>
        <w:rPr>
          <w:rFonts w:hint="eastAsia" w:ascii="宋体" w:hAnsi="宋体"/>
          <w:color w:val="auto"/>
        </w:rPr>
      </w:pPr>
      <w:r>
        <w:rPr>
          <w:rFonts w:hint="eastAsia" w:ascii="宋体" w:hAnsi="宋体"/>
          <w:color w:val="auto"/>
        </w:rPr>
        <w:t>2.不可抗力事件发生后，应立即通知对方，并寄送有关权威机构出具的证明。</w:t>
      </w:r>
    </w:p>
    <w:p>
      <w:pPr>
        <w:spacing w:line="360" w:lineRule="auto"/>
        <w:ind w:firstLine="420" w:firstLineChars="200"/>
        <w:rPr>
          <w:rFonts w:hint="eastAsia" w:ascii="宋体" w:hAnsi="宋体"/>
          <w:color w:val="auto"/>
        </w:rPr>
      </w:pPr>
      <w:r>
        <w:rPr>
          <w:rFonts w:hint="eastAsia" w:ascii="宋体" w:hAnsi="宋体"/>
          <w:color w:val="auto"/>
        </w:rPr>
        <w:t>3.不可抗力事件延续一百二十天以上，双方应通过友好协商，确定是否继续履行合同。</w:t>
      </w:r>
    </w:p>
    <w:p>
      <w:pPr>
        <w:spacing w:line="360" w:lineRule="auto"/>
        <w:ind w:firstLine="422" w:firstLineChars="200"/>
        <w:rPr>
          <w:rFonts w:hint="eastAsia" w:ascii="宋体" w:hAnsi="宋体"/>
          <w:color w:val="auto"/>
        </w:rPr>
      </w:pPr>
      <w:r>
        <w:rPr>
          <w:rFonts w:hint="eastAsia" w:ascii="宋体" w:hAnsi="宋体"/>
          <w:b/>
          <w:color w:val="auto"/>
        </w:rPr>
        <w:t>第十一条  合同争议解决</w:t>
      </w:r>
    </w:p>
    <w:p>
      <w:pPr>
        <w:snapToGrid w:val="0"/>
        <w:spacing w:line="360" w:lineRule="auto"/>
        <w:ind w:firstLine="420" w:firstLineChars="200"/>
        <w:rPr>
          <w:rFonts w:hint="eastAsia" w:ascii="宋体" w:hAnsi="宋体"/>
          <w:color w:val="auto"/>
        </w:rPr>
      </w:pPr>
      <w:r>
        <w:rPr>
          <w:rFonts w:hint="eastAsia" w:ascii="宋体" w:hAnsi="宋体"/>
          <w:color w:val="auto"/>
        </w:rPr>
        <w:t>1.因服务质量问题发生争议的，应邀请国家认可的质量检测机构进行鉴定。服务符合标准的，鉴定费由甲方承担；服务不符合标准的，鉴定费由乙方承担。</w:t>
      </w:r>
    </w:p>
    <w:p>
      <w:pPr>
        <w:snapToGrid w:val="0"/>
        <w:spacing w:line="360" w:lineRule="auto"/>
        <w:ind w:firstLine="420" w:firstLineChars="200"/>
        <w:rPr>
          <w:rFonts w:hint="eastAsia" w:ascii="宋体" w:hAnsi="宋体"/>
          <w:color w:val="auto"/>
        </w:rPr>
      </w:pPr>
      <w:r>
        <w:rPr>
          <w:rFonts w:hint="eastAsia" w:ascii="宋体" w:hAnsi="宋体"/>
          <w:color w:val="auto"/>
        </w:rPr>
        <w:t>2.因履行本合同引起的或者与本合同有关的争议，甲乙双方应首先通过友好协商解决，如果协商不能解决，可向甲方所在地有管辖权人民法院提起诉讼。</w:t>
      </w:r>
    </w:p>
    <w:p>
      <w:pPr>
        <w:snapToGrid w:val="0"/>
        <w:spacing w:line="360" w:lineRule="auto"/>
        <w:ind w:firstLine="420" w:firstLineChars="200"/>
        <w:rPr>
          <w:rFonts w:hint="eastAsia" w:ascii="宋体" w:hAnsi="宋体"/>
          <w:color w:val="auto"/>
        </w:rPr>
      </w:pPr>
      <w:r>
        <w:rPr>
          <w:rFonts w:hint="eastAsia" w:ascii="宋体" w:hAnsi="宋体"/>
          <w:color w:val="auto"/>
        </w:rPr>
        <w:t>3.诉讼期间，本合同继续履行。</w:t>
      </w:r>
    </w:p>
    <w:p>
      <w:pPr>
        <w:spacing w:line="360" w:lineRule="auto"/>
        <w:ind w:firstLine="422" w:firstLineChars="200"/>
        <w:rPr>
          <w:rFonts w:hint="eastAsia" w:ascii="宋体" w:hAnsi="宋体"/>
          <w:b/>
          <w:color w:val="auto"/>
        </w:rPr>
      </w:pPr>
      <w:r>
        <w:rPr>
          <w:rFonts w:hint="eastAsia" w:ascii="宋体" w:hAnsi="宋体"/>
          <w:b/>
          <w:color w:val="auto"/>
        </w:rPr>
        <w:t>第十二条  合同生效及其它</w:t>
      </w:r>
    </w:p>
    <w:p>
      <w:pPr>
        <w:spacing w:line="360" w:lineRule="auto"/>
        <w:ind w:firstLine="420" w:firstLineChars="200"/>
        <w:rPr>
          <w:rFonts w:hint="eastAsia" w:ascii="宋体" w:hAnsi="宋体"/>
          <w:color w:val="auto"/>
        </w:rPr>
      </w:pPr>
      <w:r>
        <w:rPr>
          <w:rFonts w:hint="eastAsia" w:ascii="宋体" w:hAnsi="宋体"/>
          <w:color w:val="auto"/>
        </w:rPr>
        <w:t>1.合同经双方法定代表人或者授权代表签字并加盖单位公章后生效（委托代理人签字的需后附授权委托书，格式自拟）。</w:t>
      </w:r>
    </w:p>
    <w:p>
      <w:pPr>
        <w:spacing w:line="360" w:lineRule="auto"/>
        <w:ind w:firstLine="420" w:firstLineChars="200"/>
        <w:rPr>
          <w:rFonts w:hint="eastAsia" w:ascii="宋体" w:hAnsi="宋体"/>
          <w:color w:val="auto"/>
        </w:rPr>
      </w:pPr>
      <w:r>
        <w:rPr>
          <w:rFonts w:hint="eastAsia" w:ascii="宋体" w:hAnsi="宋体"/>
          <w:color w:val="auto"/>
        </w:rPr>
        <w:t>2.合同执行中涉及采购资金和采购内容修改或者补充的，须经财政部门审批，并签书面补充协议报财政部门备案，方可作为主合同不可分割的一部分。</w:t>
      </w:r>
    </w:p>
    <w:p>
      <w:pPr>
        <w:spacing w:line="360" w:lineRule="auto"/>
        <w:ind w:firstLine="420" w:firstLineChars="200"/>
        <w:rPr>
          <w:rFonts w:hint="eastAsia" w:ascii="宋体" w:hAnsi="宋体"/>
          <w:color w:val="auto"/>
        </w:rPr>
      </w:pPr>
      <w:r>
        <w:rPr>
          <w:rFonts w:hint="eastAsia" w:ascii="宋体" w:hAnsi="宋体"/>
          <w:color w:val="auto"/>
        </w:rPr>
        <w:t>3.本合同未尽事宜，遵照《中华人民共和国民法典》有关条文执行。</w:t>
      </w:r>
    </w:p>
    <w:p>
      <w:pPr>
        <w:spacing w:line="360" w:lineRule="auto"/>
        <w:ind w:firstLine="422" w:firstLineChars="200"/>
        <w:rPr>
          <w:rFonts w:hint="eastAsia" w:ascii="宋体" w:hAnsi="宋体"/>
          <w:b/>
          <w:color w:val="auto"/>
        </w:rPr>
      </w:pPr>
      <w:r>
        <w:rPr>
          <w:rFonts w:hint="eastAsia" w:ascii="宋体" w:hAnsi="宋体"/>
          <w:b/>
          <w:color w:val="auto"/>
        </w:rPr>
        <w:t>第十三条 合同的变更、终止与转让</w:t>
      </w:r>
    </w:p>
    <w:p>
      <w:pPr>
        <w:spacing w:line="360" w:lineRule="auto"/>
        <w:ind w:firstLine="420" w:firstLineChars="200"/>
        <w:rPr>
          <w:rFonts w:hint="eastAsia" w:ascii="宋体" w:hAnsi="宋体"/>
          <w:color w:val="auto"/>
        </w:rPr>
      </w:pPr>
      <w:r>
        <w:rPr>
          <w:rFonts w:hint="eastAsia" w:ascii="宋体" w:hAnsi="宋体"/>
          <w:color w:val="auto"/>
        </w:rPr>
        <w:t>1.除《中华人民共和国政府采购法》第五十条规定的情形外，本合同一经签订，甲乙双方不得擅自变更、中止或者终止。</w:t>
      </w:r>
    </w:p>
    <w:p>
      <w:pPr>
        <w:spacing w:line="360" w:lineRule="auto"/>
        <w:ind w:firstLine="420" w:firstLineChars="200"/>
        <w:rPr>
          <w:rFonts w:hint="eastAsia" w:ascii="宋体" w:hAnsi="宋体"/>
          <w:color w:val="auto"/>
        </w:rPr>
      </w:pPr>
      <w:r>
        <w:rPr>
          <w:rFonts w:hint="eastAsia" w:ascii="宋体" w:hAnsi="宋体"/>
          <w:color w:val="auto"/>
        </w:rPr>
        <w:t>2.乙方不得擅自转让其应履行的合同义务。</w:t>
      </w:r>
    </w:p>
    <w:p>
      <w:pPr>
        <w:spacing w:line="360" w:lineRule="auto"/>
        <w:ind w:firstLine="422" w:firstLineChars="200"/>
        <w:rPr>
          <w:rFonts w:hint="eastAsia" w:ascii="宋体" w:hAnsi="宋体"/>
          <w:b/>
          <w:color w:val="auto"/>
        </w:rPr>
      </w:pPr>
      <w:r>
        <w:rPr>
          <w:rFonts w:hint="eastAsia" w:ascii="宋体" w:hAnsi="宋体"/>
          <w:b/>
          <w:color w:val="auto"/>
        </w:rPr>
        <w:t>第十四条 签订本合同依据</w:t>
      </w:r>
    </w:p>
    <w:p>
      <w:pPr>
        <w:spacing w:line="360" w:lineRule="auto"/>
        <w:ind w:firstLine="420" w:firstLineChars="200"/>
        <w:rPr>
          <w:rFonts w:hint="eastAsia" w:ascii="宋体" w:hAnsi="宋体"/>
          <w:color w:val="auto"/>
        </w:rPr>
      </w:pPr>
      <w:r>
        <w:rPr>
          <w:rFonts w:hint="eastAsia" w:ascii="宋体" w:hAnsi="宋体"/>
          <w:color w:val="auto"/>
        </w:rPr>
        <w:t>1.中标通知书；</w:t>
      </w:r>
    </w:p>
    <w:p>
      <w:pPr>
        <w:spacing w:line="360" w:lineRule="auto"/>
        <w:ind w:firstLine="420" w:firstLineChars="200"/>
        <w:rPr>
          <w:rFonts w:hint="eastAsia" w:ascii="宋体" w:hAnsi="宋体"/>
          <w:color w:val="auto"/>
        </w:rPr>
      </w:pPr>
      <w:r>
        <w:rPr>
          <w:rFonts w:hint="eastAsia" w:ascii="宋体" w:hAnsi="宋体"/>
          <w:color w:val="auto"/>
        </w:rPr>
        <w:t>2.开标一览表；</w:t>
      </w:r>
    </w:p>
    <w:p>
      <w:pPr>
        <w:spacing w:line="360" w:lineRule="auto"/>
        <w:ind w:firstLine="420" w:firstLineChars="200"/>
        <w:rPr>
          <w:rFonts w:hint="eastAsia" w:ascii="宋体" w:hAnsi="宋体"/>
          <w:color w:val="auto"/>
        </w:rPr>
      </w:pPr>
      <w:r>
        <w:rPr>
          <w:rFonts w:hint="eastAsia" w:ascii="宋体" w:hAnsi="宋体"/>
          <w:color w:val="auto"/>
        </w:rPr>
        <w:t>3.商务条款偏离表和服务需求偏离表；</w:t>
      </w:r>
    </w:p>
    <w:p>
      <w:pPr>
        <w:spacing w:line="360" w:lineRule="auto"/>
        <w:ind w:firstLine="420" w:firstLineChars="200"/>
        <w:rPr>
          <w:rFonts w:hint="eastAsia" w:ascii="宋体" w:hAnsi="宋体"/>
          <w:color w:val="auto"/>
        </w:rPr>
      </w:pPr>
      <w:r>
        <w:rPr>
          <w:rFonts w:hint="eastAsia" w:ascii="宋体" w:hAnsi="宋体"/>
          <w:color w:val="auto"/>
        </w:rPr>
        <w:t>4.服务方案；</w:t>
      </w:r>
    </w:p>
    <w:p>
      <w:pPr>
        <w:spacing w:line="360" w:lineRule="auto"/>
        <w:ind w:firstLine="420" w:firstLineChars="200"/>
        <w:rPr>
          <w:rFonts w:hint="eastAsia" w:ascii="宋体" w:hAnsi="宋体"/>
          <w:color w:val="auto"/>
        </w:rPr>
      </w:pPr>
      <w:r>
        <w:rPr>
          <w:rFonts w:hint="eastAsia" w:ascii="宋体" w:hAnsi="宋体"/>
          <w:color w:val="auto"/>
        </w:rPr>
        <w:t>5.投标文件中的其他相关文件。</w:t>
      </w:r>
    </w:p>
    <w:p>
      <w:pPr>
        <w:spacing w:line="360" w:lineRule="auto"/>
        <w:ind w:firstLine="420" w:firstLineChars="200"/>
        <w:rPr>
          <w:rFonts w:hint="eastAsia" w:ascii="宋体" w:hAnsi="宋体"/>
          <w:color w:val="auto"/>
        </w:rPr>
      </w:pPr>
      <w:r>
        <w:rPr>
          <w:rFonts w:hint="eastAsia" w:ascii="宋体" w:hAnsi="宋体"/>
          <w:color w:val="auto"/>
        </w:rPr>
        <w:t>6.上述合同文件互相补充和解释。如果合同文件之间存在矛盾或者不一致之处，以上述文件的排列顺序在先者为准。</w:t>
      </w:r>
    </w:p>
    <w:p>
      <w:pPr>
        <w:spacing w:line="360" w:lineRule="auto"/>
        <w:ind w:firstLine="422" w:firstLineChars="200"/>
        <w:rPr>
          <w:rFonts w:hint="eastAsia" w:ascii="宋体" w:hAnsi="宋体"/>
          <w:color w:val="auto"/>
        </w:rPr>
      </w:pPr>
      <w:r>
        <w:rPr>
          <w:rFonts w:hint="eastAsia" w:ascii="宋体" w:hAnsi="宋体"/>
          <w:b/>
          <w:color w:val="auto"/>
        </w:rPr>
        <w:t xml:space="preserve">第十五条 </w:t>
      </w:r>
      <w:r>
        <w:rPr>
          <w:rFonts w:hint="eastAsia" w:ascii="宋体" w:hAnsi="宋体"/>
          <w:color w:val="auto"/>
        </w:rPr>
        <w:t>本合同一式</w:t>
      </w:r>
      <w:r>
        <w:rPr>
          <w:rFonts w:hint="eastAsia" w:ascii="宋体" w:hAnsi="宋体"/>
          <w:color w:val="auto"/>
          <w:lang w:eastAsia="zh-CN"/>
        </w:rPr>
        <w:t>陆</w:t>
      </w:r>
      <w:r>
        <w:rPr>
          <w:rFonts w:hint="eastAsia" w:ascii="宋体" w:hAnsi="宋体"/>
          <w:color w:val="auto"/>
        </w:rPr>
        <w:t>份，具有同等法律效力，采购代理机构</w:t>
      </w:r>
      <w:r>
        <w:rPr>
          <w:rFonts w:hint="eastAsia" w:ascii="宋体" w:hAnsi="宋体"/>
          <w:color w:val="auto"/>
          <w:lang w:eastAsia="zh-CN"/>
        </w:rPr>
        <w:t>壹</w:t>
      </w:r>
      <w:r>
        <w:rPr>
          <w:rFonts w:hint="eastAsia" w:ascii="宋体" w:hAnsi="宋体"/>
          <w:color w:val="auto"/>
        </w:rPr>
        <w:t>份，甲方</w:t>
      </w:r>
      <w:r>
        <w:rPr>
          <w:rFonts w:hint="eastAsia" w:ascii="宋体" w:hAnsi="宋体"/>
          <w:color w:val="auto"/>
          <w:lang w:eastAsia="zh-CN"/>
        </w:rPr>
        <w:t>叁</w:t>
      </w:r>
      <w:r>
        <w:rPr>
          <w:rFonts w:hint="eastAsia" w:ascii="宋体" w:hAnsi="宋体"/>
          <w:color w:val="auto"/>
        </w:rPr>
        <w:t>份，乙方</w:t>
      </w:r>
      <w:r>
        <w:rPr>
          <w:rFonts w:hint="eastAsia" w:ascii="宋体" w:hAnsi="宋体"/>
          <w:color w:val="auto"/>
          <w:lang w:eastAsia="zh-CN"/>
        </w:rPr>
        <w:t>贰</w:t>
      </w:r>
      <w:r>
        <w:rPr>
          <w:rFonts w:hint="eastAsia" w:ascii="宋体" w:hAnsi="宋体"/>
          <w:color w:val="auto"/>
        </w:rPr>
        <w:t>份。</w:t>
      </w:r>
    </w:p>
    <w:p>
      <w:pPr>
        <w:spacing w:line="360" w:lineRule="auto"/>
        <w:ind w:firstLine="420" w:firstLineChars="200"/>
        <w:rPr>
          <w:rFonts w:hint="eastAsia" w:ascii="宋体" w:hAnsi="宋体"/>
          <w:color w:val="auto"/>
        </w:rPr>
      </w:pPr>
      <w:r>
        <w:rPr>
          <w:rFonts w:hint="eastAsia" w:ascii="宋体" w:hAnsi="宋体"/>
          <w:color w:val="auto"/>
        </w:rPr>
        <w:t>本合同甲乙双方签字盖章后生效。</w:t>
      </w:r>
    </w:p>
    <w:p>
      <w:pPr>
        <w:spacing w:line="360" w:lineRule="auto"/>
        <w:ind w:firstLine="396" w:firstLineChars="200"/>
        <w:rPr>
          <w:rFonts w:hint="eastAsia" w:ascii="宋体" w:hAnsi="宋体"/>
          <w:color w:val="auto"/>
        </w:rPr>
      </w:pPr>
      <w:r>
        <w:rPr>
          <w:rFonts w:hint="eastAsia" w:ascii="宋体" w:hAnsi="宋体"/>
          <w:color w:val="auto"/>
          <w:spacing w:val="-6"/>
        </w:rPr>
        <w:t>本合同自签订之日起2个工作日内，甲方应当将采购合同在广西壮族自治区财政厅指定的媒体上公告。</w:t>
      </w:r>
    </w:p>
    <w:tbl>
      <w:tblPr>
        <w:tblStyle w:val="24"/>
        <w:tblW w:w="939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8"/>
        <w:gridCol w:w="4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90" w:hRule="atLeast"/>
        </w:trPr>
        <w:tc>
          <w:tcPr>
            <w:tcW w:w="4578"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color w:val="auto"/>
              </w:rPr>
            </w:pPr>
            <w:r>
              <w:rPr>
                <w:rFonts w:hint="eastAsia" w:ascii="宋体" w:hAnsi="宋体"/>
                <w:color w:val="auto"/>
              </w:rPr>
              <w:t>甲方：（章）</w:t>
            </w:r>
          </w:p>
          <w:p>
            <w:pPr>
              <w:snapToGrid w:val="0"/>
              <w:spacing w:line="360" w:lineRule="auto"/>
              <w:rPr>
                <w:rFonts w:hint="eastAsia" w:ascii="宋体" w:hAnsi="宋体"/>
                <w:color w:val="auto"/>
              </w:rPr>
            </w:pPr>
          </w:p>
          <w:p>
            <w:pPr>
              <w:snapToGrid w:val="0"/>
              <w:spacing w:line="360" w:lineRule="auto"/>
              <w:rPr>
                <w:rFonts w:hint="eastAsia" w:ascii="宋体" w:hAnsi="宋体"/>
                <w:color w:val="auto"/>
              </w:rPr>
            </w:pPr>
          </w:p>
          <w:p>
            <w:pPr>
              <w:snapToGrid w:val="0"/>
              <w:spacing w:line="360" w:lineRule="auto"/>
              <w:ind w:firstLine="945" w:firstLineChars="450"/>
              <w:jc w:val="right"/>
              <w:rPr>
                <w:rFonts w:hint="eastAsia" w:ascii="宋体" w:hAnsi="宋体"/>
                <w:color w:val="auto"/>
              </w:rPr>
            </w:pPr>
          </w:p>
          <w:p>
            <w:pPr>
              <w:snapToGrid w:val="0"/>
              <w:spacing w:line="360" w:lineRule="auto"/>
              <w:ind w:firstLine="945" w:firstLineChars="450"/>
              <w:jc w:val="right"/>
              <w:rPr>
                <w:rFonts w:hint="eastAsia" w:ascii="宋体" w:hAnsi="宋体"/>
                <w:color w:val="auto"/>
              </w:rPr>
            </w:pPr>
            <w:r>
              <w:rPr>
                <w:rFonts w:hint="eastAsia" w:ascii="宋体" w:hAnsi="宋体"/>
                <w:color w:val="auto"/>
              </w:rPr>
              <w:t>年   月   日</w:t>
            </w:r>
          </w:p>
        </w:tc>
        <w:tc>
          <w:tcPr>
            <w:tcW w:w="4813" w:type="dxa"/>
            <w:tcBorders>
              <w:top w:val="single" w:color="auto" w:sz="4" w:space="0"/>
              <w:left w:val="nil"/>
              <w:bottom w:val="single" w:color="auto" w:sz="4" w:space="0"/>
              <w:right w:val="single" w:color="auto" w:sz="4" w:space="0"/>
            </w:tcBorders>
            <w:noWrap w:val="0"/>
            <w:vAlign w:val="center"/>
          </w:tcPr>
          <w:p>
            <w:pPr>
              <w:snapToGrid w:val="0"/>
              <w:spacing w:line="360" w:lineRule="auto"/>
              <w:rPr>
                <w:rFonts w:hint="eastAsia" w:ascii="宋体" w:hAnsi="宋体"/>
                <w:color w:val="auto"/>
              </w:rPr>
            </w:pPr>
            <w:r>
              <w:rPr>
                <w:rFonts w:hint="eastAsia" w:ascii="宋体" w:hAnsi="宋体"/>
                <w:color w:val="auto"/>
              </w:rPr>
              <w:t xml:space="preserve">乙方：（章）       </w:t>
            </w:r>
          </w:p>
          <w:p>
            <w:pPr>
              <w:snapToGrid w:val="0"/>
              <w:spacing w:line="360" w:lineRule="auto"/>
              <w:rPr>
                <w:rFonts w:hint="eastAsia" w:ascii="宋体" w:hAnsi="宋体"/>
                <w:color w:val="auto"/>
              </w:rPr>
            </w:pPr>
          </w:p>
          <w:p>
            <w:pPr>
              <w:snapToGrid w:val="0"/>
              <w:spacing w:line="360" w:lineRule="auto"/>
              <w:rPr>
                <w:rFonts w:hint="eastAsia" w:ascii="宋体" w:hAnsi="宋体"/>
                <w:color w:val="auto"/>
              </w:rPr>
            </w:pPr>
            <w:r>
              <w:rPr>
                <w:rFonts w:hint="eastAsia" w:ascii="宋体" w:hAnsi="宋体"/>
                <w:color w:val="auto"/>
              </w:rPr>
              <w:t xml:space="preserve">       </w:t>
            </w:r>
          </w:p>
          <w:p>
            <w:pPr>
              <w:snapToGrid w:val="0"/>
              <w:spacing w:line="360" w:lineRule="auto"/>
              <w:jc w:val="right"/>
              <w:rPr>
                <w:rFonts w:hint="eastAsia" w:ascii="宋体" w:hAnsi="宋体"/>
                <w:color w:val="auto"/>
              </w:rPr>
            </w:pPr>
          </w:p>
          <w:p>
            <w:pPr>
              <w:snapToGrid w:val="0"/>
              <w:spacing w:line="360" w:lineRule="auto"/>
              <w:jc w:val="right"/>
              <w:rPr>
                <w:rFonts w:hint="eastAsia" w:ascii="宋体" w:hAnsi="宋体"/>
                <w:color w:val="auto"/>
              </w:rPr>
            </w:pPr>
            <w:r>
              <w:rPr>
                <w:rFonts w:hint="eastAsia" w:ascii="宋体" w:hAnsi="宋体"/>
                <w:color w:val="auto"/>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4" w:hRule="atLeast"/>
        </w:trPr>
        <w:tc>
          <w:tcPr>
            <w:tcW w:w="4578"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color w:val="auto"/>
              </w:rPr>
            </w:pPr>
            <w:r>
              <w:rPr>
                <w:rFonts w:hint="eastAsia" w:ascii="宋体" w:hAnsi="宋体"/>
                <w:color w:val="auto"/>
              </w:rPr>
              <w:t xml:space="preserve">单位地址： </w:t>
            </w:r>
          </w:p>
        </w:tc>
        <w:tc>
          <w:tcPr>
            <w:tcW w:w="4813" w:type="dxa"/>
            <w:tcBorders>
              <w:top w:val="single" w:color="auto" w:sz="4" w:space="0"/>
              <w:left w:val="nil"/>
              <w:bottom w:val="single" w:color="auto" w:sz="4" w:space="0"/>
              <w:right w:val="single" w:color="auto" w:sz="4" w:space="0"/>
            </w:tcBorders>
            <w:noWrap w:val="0"/>
            <w:vAlign w:val="center"/>
          </w:tcPr>
          <w:p>
            <w:pPr>
              <w:snapToGrid w:val="0"/>
              <w:spacing w:line="360" w:lineRule="auto"/>
              <w:rPr>
                <w:rFonts w:hint="eastAsia" w:ascii="宋体" w:hAnsi="宋体"/>
                <w:color w:val="auto"/>
              </w:rPr>
            </w:pPr>
            <w:r>
              <w:rPr>
                <w:rFonts w:hint="eastAsia" w:ascii="宋体" w:hAnsi="宋体"/>
                <w:color w:val="auto"/>
              </w:rPr>
              <w:t xml:space="preserve">单位地址：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4" w:hRule="atLeast"/>
        </w:trPr>
        <w:tc>
          <w:tcPr>
            <w:tcW w:w="4578"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color w:val="auto"/>
              </w:rPr>
            </w:pPr>
            <w:r>
              <w:rPr>
                <w:rFonts w:hint="eastAsia" w:ascii="宋体" w:hAnsi="宋体"/>
                <w:color w:val="auto"/>
              </w:rPr>
              <w:t>法定代表人：</w:t>
            </w:r>
          </w:p>
        </w:tc>
        <w:tc>
          <w:tcPr>
            <w:tcW w:w="4813" w:type="dxa"/>
            <w:tcBorders>
              <w:top w:val="single" w:color="auto" w:sz="4" w:space="0"/>
              <w:left w:val="nil"/>
              <w:bottom w:val="single" w:color="auto" w:sz="4" w:space="0"/>
              <w:right w:val="single" w:color="auto" w:sz="4" w:space="0"/>
            </w:tcBorders>
            <w:noWrap w:val="0"/>
            <w:vAlign w:val="center"/>
          </w:tcPr>
          <w:p>
            <w:pPr>
              <w:snapToGrid w:val="0"/>
              <w:spacing w:line="360" w:lineRule="auto"/>
              <w:rPr>
                <w:rFonts w:hint="eastAsia" w:ascii="宋体" w:hAnsi="宋体"/>
                <w:color w:val="auto"/>
              </w:rPr>
            </w:pPr>
            <w:r>
              <w:rPr>
                <w:rFonts w:hint="eastAsia" w:ascii="宋体" w:hAnsi="宋体"/>
                <w:color w:val="auto"/>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4" w:hRule="atLeast"/>
        </w:trPr>
        <w:tc>
          <w:tcPr>
            <w:tcW w:w="4578"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color w:val="auto"/>
              </w:rPr>
            </w:pPr>
            <w:r>
              <w:rPr>
                <w:rFonts w:hint="eastAsia" w:ascii="宋体" w:hAnsi="宋体"/>
                <w:color w:val="auto"/>
              </w:rPr>
              <w:t>委托代理人：</w:t>
            </w:r>
          </w:p>
        </w:tc>
        <w:tc>
          <w:tcPr>
            <w:tcW w:w="4813" w:type="dxa"/>
            <w:tcBorders>
              <w:top w:val="single" w:color="auto" w:sz="4" w:space="0"/>
              <w:left w:val="nil"/>
              <w:bottom w:val="single" w:color="auto" w:sz="4" w:space="0"/>
              <w:right w:val="single" w:color="auto" w:sz="4" w:space="0"/>
            </w:tcBorders>
            <w:noWrap w:val="0"/>
            <w:vAlign w:val="center"/>
          </w:tcPr>
          <w:p>
            <w:pPr>
              <w:snapToGrid w:val="0"/>
              <w:spacing w:line="360" w:lineRule="auto"/>
              <w:rPr>
                <w:rFonts w:hint="eastAsia" w:ascii="宋体" w:hAnsi="宋体"/>
                <w:color w:val="auto"/>
              </w:rPr>
            </w:pPr>
            <w:r>
              <w:rPr>
                <w:rFonts w:hint="eastAsia" w:ascii="宋体" w:hAnsi="宋体"/>
                <w:color w:val="auto"/>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4" w:hRule="atLeast"/>
        </w:trPr>
        <w:tc>
          <w:tcPr>
            <w:tcW w:w="4578"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color w:val="auto"/>
              </w:rPr>
            </w:pPr>
            <w:r>
              <w:rPr>
                <w:rFonts w:hint="eastAsia" w:ascii="宋体" w:hAnsi="宋体"/>
                <w:color w:val="auto"/>
              </w:rPr>
              <w:t>电话：</w:t>
            </w:r>
          </w:p>
        </w:tc>
        <w:tc>
          <w:tcPr>
            <w:tcW w:w="4813" w:type="dxa"/>
            <w:tcBorders>
              <w:top w:val="single" w:color="auto" w:sz="4" w:space="0"/>
              <w:left w:val="nil"/>
              <w:bottom w:val="single" w:color="auto" w:sz="4" w:space="0"/>
              <w:right w:val="single" w:color="auto" w:sz="4" w:space="0"/>
            </w:tcBorders>
            <w:noWrap w:val="0"/>
            <w:vAlign w:val="center"/>
          </w:tcPr>
          <w:p>
            <w:pPr>
              <w:snapToGrid w:val="0"/>
              <w:spacing w:line="360" w:lineRule="auto"/>
              <w:rPr>
                <w:rFonts w:hint="eastAsia" w:ascii="宋体" w:hAnsi="宋体"/>
                <w:color w:val="auto"/>
              </w:rPr>
            </w:pPr>
            <w:r>
              <w:rPr>
                <w:rFonts w:hint="eastAsia" w:ascii="宋体" w:hAnsi="宋体"/>
                <w:color w:val="auto"/>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4" w:hRule="atLeast"/>
        </w:trPr>
        <w:tc>
          <w:tcPr>
            <w:tcW w:w="4578"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color w:val="auto"/>
              </w:rPr>
            </w:pPr>
            <w:r>
              <w:rPr>
                <w:rFonts w:hint="eastAsia" w:ascii="宋体" w:hAnsi="宋体"/>
                <w:color w:val="auto"/>
              </w:rPr>
              <w:t xml:space="preserve">开户银行： </w:t>
            </w:r>
          </w:p>
        </w:tc>
        <w:tc>
          <w:tcPr>
            <w:tcW w:w="4813" w:type="dxa"/>
            <w:tcBorders>
              <w:top w:val="single" w:color="auto" w:sz="4" w:space="0"/>
              <w:left w:val="nil"/>
              <w:bottom w:val="single" w:color="auto" w:sz="4" w:space="0"/>
              <w:right w:val="single" w:color="auto" w:sz="4" w:space="0"/>
            </w:tcBorders>
            <w:noWrap w:val="0"/>
            <w:vAlign w:val="center"/>
          </w:tcPr>
          <w:p>
            <w:pPr>
              <w:snapToGrid w:val="0"/>
              <w:spacing w:line="360" w:lineRule="auto"/>
              <w:rPr>
                <w:rFonts w:hint="eastAsia" w:ascii="宋体" w:hAnsi="宋体"/>
                <w:color w:val="auto"/>
              </w:rPr>
            </w:pPr>
            <w:r>
              <w:rPr>
                <w:rFonts w:hint="eastAsia" w:ascii="宋体" w:hAnsi="宋体"/>
                <w:color w:val="auto"/>
              </w:rPr>
              <w:t xml:space="preserve">开户银行：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4" w:hRule="atLeast"/>
        </w:trPr>
        <w:tc>
          <w:tcPr>
            <w:tcW w:w="4578"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color w:val="auto"/>
              </w:rPr>
            </w:pPr>
            <w:r>
              <w:rPr>
                <w:rFonts w:hint="eastAsia" w:ascii="宋体" w:hAnsi="宋体"/>
                <w:color w:val="auto"/>
              </w:rPr>
              <w:t>账号：</w:t>
            </w:r>
          </w:p>
        </w:tc>
        <w:tc>
          <w:tcPr>
            <w:tcW w:w="4813" w:type="dxa"/>
            <w:tcBorders>
              <w:top w:val="single" w:color="auto" w:sz="4" w:space="0"/>
              <w:left w:val="nil"/>
              <w:bottom w:val="single" w:color="auto" w:sz="4" w:space="0"/>
              <w:right w:val="single" w:color="auto" w:sz="4" w:space="0"/>
            </w:tcBorders>
            <w:noWrap w:val="0"/>
            <w:vAlign w:val="center"/>
          </w:tcPr>
          <w:p>
            <w:pPr>
              <w:snapToGrid w:val="0"/>
              <w:spacing w:line="360" w:lineRule="auto"/>
              <w:rPr>
                <w:rFonts w:hint="eastAsia" w:ascii="宋体" w:hAnsi="宋体"/>
                <w:color w:val="auto"/>
              </w:rPr>
            </w:pPr>
            <w:r>
              <w:rPr>
                <w:rFonts w:hint="eastAsia" w:ascii="宋体" w:hAnsi="宋体"/>
                <w:color w:val="auto"/>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2" w:hRule="atLeast"/>
        </w:trPr>
        <w:tc>
          <w:tcPr>
            <w:tcW w:w="4578"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color w:val="auto"/>
              </w:rPr>
            </w:pPr>
            <w:r>
              <w:rPr>
                <w:rFonts w:hint="eastAsia" w:ascii="宋体" w:hAnsi="宋体"/>
                <w:color w:val="auto"/>
              </w:rPr>
              <w:t>邮政编码：</w:t>
            </w:r>
          </w:p>
        </w:tc>
        <w:tc>
          <w:tcPr>
            <w:tcW w:w="4813" w:type="dxa"/>
            <w:tcBorders>
              <w:top w:val="single" w:color="auto" w:sz="4" w:space="0"/>
              <w:left w:val="nil"/>
              <w:bottom w:val="single" w:color="auto" w:sz="4" w:space="0"/>
              <w:right w:val="single" w:color="auto" w:sz="4" w:space="0"/>
            </w:tcBorders>
            <w:noWrap w:val="0"/>
            <w:vAlign w:val="center"/>
          </w:tcPr>
          <w:p>
            <w:pPr>
              <w:snapToGrid w:val="0"/>
              <w:spacing w:line="360" w:lineRule="auto"/>
              <w:rPr>
                <w:rFonts w:hint="eastAsia" w:ascii="宋体" w:hAnsi="宋体"/>
                <w:color w:val="auto"/>
              </w:rPr>
            </w:pPr>
            <w:r>
              <w:rPr>
                <w:rFonts w:hint="eastAsia" w:ascii="宋体" w:hAnsi="宋体"/>
                <w:color w:val="auto"/>
              </w:rPr>
              <w:t>邮政编码：</w:t>
            </w:r>
          </w:p>
        </w:tc>
      </w:tr>
    </w:tbl>
    <w:p>
      <w:pPr>
        <w:pStyle w:val="11"/>
        <w:ind w:left="-630" w:leftChars="-300"/>
        <w:jc w:val="center"/>
        <w:rPr>
          <w:b/>
          <w:color w:val="auto"/>
          <w:sz w:val="72"/>
          <w:szCs w:val="20"/>
        </w:rPr>
      </w:pPr>
    </w:p>
    <w:p>
      <w:pPr>
        <w:pStyle w:val="11"/>
        <w:ind w:left="-630" w:leftChars="-300"/>
        <w:jc w:val="center"/>
        <w:rPr>
          <w:b/>
          <w:color w:val="auto"/>
          <w:sz w:val="72"/>
          <w:szCs w:val="20"/>
        </w:rPr>
      </w:pPr>
    </w:p>
    <w:p>
      <w:pPr>
        <w:pStyle w:val="11"/>
        <w:ind w:left="-630" w:leftChars="-300"/>
        <w:jc w:val="center"/>
        <w:rPr>
          <w:b/>
          <w:color w:val="auto"/>
          <w:sz w:val="72"/>
          <w:szCs w:val="20"/>
        </w:rPr>
      </w:pPr>
    </w:p>
    <w:p>
      <w:pPr>
        <w:pStyle w:val="11"/>
        <w:ind w:left="-630" w:leftChars="-300"/>
        <w:jc w:val="center"/>
        <w:rPr>
          <w:b/>
          <w:color w:val="auto"/>
          <w:sz w:val="72"/>
          <w:szCs w:val="20"/>
        </w:rPr>
      </w:pPr>
    </w:p>
    <w:p>
      <w:pPr>
        <w:pStyle w:val="14"/>
        <w:tabs>
          <w:tab w:val="left" w:pos="2472"/>
        </w:tabs>
        <w:spacing w:line="460" w:lineRule="exact"/>
        <w:jc w:val="center"/>
        <w:rPr>
          <w:rFonts w:ascii="Times New Roman" w:hAnsi="Times New Roman"/>
          <w:b/>
          <w:color w:val="auto"/>
          <w:sz w:val="36"/>
        </w:rPr>
      </w:pPr>
    </w:p>
    <w:p>
      <w:pPr>
        <w:pStyle w:val="14"/>
        <w:tabs>
          <w:tab w:val="left" w:pos="2472"/>
        </w:tabs>
        <w:spacing w:line="460" w:lineRule="exact"/>
        <w:jc w:val="center"/>
        <w:rPr>
          <w:rFonts w:ascii="Times New Roman" w:hAnsi="Times New Roman"/>
          <w:b/>
          <w:color w:val="auto"/>
          <w:sz w:val="36"/>
        </w:rPr>
      </w:pPr>
    </w:p>
    <w:p>
      <w:pPr>
        <w:pStyle w:val="14"/>
        <w:tabs>
          <w:tab w:val="left" w:pos="2472"/>
        </w:tabs>
        <w:spacing w:line="460" w:lineRule="exact"/>
        <w:jc w:val="center"/>
        <w:outlineLvl w:val="0"/>
        <w:rPr>
          <w:rFonts w:ascii="Times New Roman" w:hAnsi="Times New Roman"/>
          <w:b/>
          <w:color w:val="auto"/>
          <w:sz w:val="36"/>
        </w:rPr>
      </w:pPr>
      <w:bookmarkStart w:id="345" w:name="_Toc2377"/>
      <w:bookmarkStart w:id="346" w:name="_Toc19106"/>
      <w:bookmarkStart w:id="347" w:name="_Toc2517"/>
      <w:bookmarkStart w:id="348" w:name="_Toc32149"/>
      <w:bookmarkStart w:id="349" w:name="_Toc11043"/>
      <w:bookmarkStart w:id="350" w:name="_Toc20296"/>
      <w:bookmarkStart w:id="351" w:name="_Toc26884"/>
      <w:bookmarkStart w:id="352" w:name="_Toc9123"/>
      <w:bookmarkStart w:id="353" w:name="_Toc24704"/>
      <w:bookmarkStart w:id="354" w:name="_Toc20832"/>
      <w:bookmarkStart w:id="355" w:name="_Toc5736"/>
      <w:bookmarkStart w:id="356" w:name="_Toc26390"/>
      <w:bookmarkStart w:id="357" w:name="_Toc19350"/>
    </w:p>
    <w:p>
      <w:pPr>
        <w:pStyle w:val="14"/>
        <w:tabs>
          <w:tab w:val="left" w:pos="2472"/>
        </w:tabs>
        <w:spacing w:line="460" w:lineRule="exact"/>
        <w:jc w:val="center"/>
        <w:outlineLvl w:val="0"/>
        <w:rPr>
          <w:rFonts w:ascii="Times New Roman" w:hAnsi="Times New Roman"/>
          <w:b/>
          <w:color w:val="auto"/>
          <w:sz w:val="36"/>
        </w:rPr>
      </w:pPr>
    </w:p>
    <w:p>
      <w:pPr>
        <w:pStyle w:val="14"/>
        <w:tabs>
          <w:tab w:val="left" w:pos="2472"/>
        </w:tabs>
        <w:spacing w:line="460" w:lineRule="exact"/>
        <w:jc w:val="center"/>
        <w:outlineLvl w:val="0"/>
        <w:rPr>
          <w:rFonts w:ascii="Times New Roman" w:hAnsi="Times New Roman"/>
          <w:b/>
          <w:color w:val="auto"/>
          <w:sz w:val="36"/>
        </w:rPr>
      </w:pPr>
    </w:p>
    <w:p>
      <w:pPr>
        <w:pStyle w:val="14"/>
        <w:tabs>
          <w:tab w:val="left" w:pos="2472"/>
        </w:tabs>
        <w:spacing w:line="460" w:lineRule="exact"/>
        <w:jc w:val="center"/>
        <w:outlineLvl w:val="0"/>
        <w:rPr>
          <w:rFonts w:ascii="Times New Roman" w:hAnsi="Times New Roman"/>
          <w:b/>
          <w:color w:val="auto"/>
          <w:sz w:val="36"/>
        </w:rPr>
      </w:pPr>
    </w:p>
    <w:p>
      <w:pPr>
        <w:pStyle w:val="14"/>
        <w:tabs>
          <w:tab w:val="left" w:pos="2472"/>
        </w:tabs>
        <w:spacing w:line="460" w:lineRule="exact"/>
        <w:jc w:val="center"/>
        <w:outlineLvl w:val="0"/>
        <w:rPr>
          <w:rFonts w:ascii="Times New Roman" w:hAnsi="Times New Roman"/>
          <w:b/>
          <w:color w:val="auto"/>
          <w:sz w:val="36"/>
        </w:rPr>
      </w:pPr>
    </w:p>
    <w:p>
      <w:pPr>
        <w:pStyle w:val="14"/>
        <w:tabs>
          <w:tab w:val="left" w:pos="2472"/>
        </w:tabs>
        <w:spacing w:line="460" w:lineRule="exact"/>
        <w:jc w:val="center"/>
        <w:outlineLvl w:val="0"/>
        <w:rPr>
          <w:rFonts w:ascii="Times New Roman" w:hAnsi="Times New Roman"/>
          <w:b/>
          <w:color w:val="auto"/>
          <w:sz w:val="36"/>
        </w:rPr>
      </w:pPr>
    </w:p>
    <w:p>
      <w:pPr>
        <w:pStyle w:val="14"/>
        <w:tabs>
          <w:tab w:val="left" w:pos="2472"/>
        </w:tabs>
        <w:spacing w:line="460" w:lineRule="exact"/>
        <w:jc w:val="center"/>
        <w:outlineLvl w:val="0"/>
        <w:rPr>
          <w:rFonts w:ascii="Times New Roman" w:hAnsi="Times New Roman"/>
          <w:b/>
          <w:color w:val="auto"/>
          <w:sz w:val="36"/>
        </w:rPr>
      </w:pPr>
    </w:p>
    <w:p>
      <w:pPr>
        <w:pStyle w:val="14"/>
        <w:tabs>
          <w:tab w:val="left" w:pos="2472"/>
        </w:tabs>
        <w:spacing w:line="460" w:lineRule="exact"/>
        <w:jc w:val="center"/>
        <w:outlineLvl w:val="0"/>
        <w:rPr>
          <w:rFonts w:ascii="Times New Roman" w:hAnsi="Times New Roman"/>
          <w:b/>
          <w:color w:val="auto"/>
          <w:sz w:val="36"/>
        </w:rPr>
      </w:pPr>
    </w:p>
    <w:p>
      <w:pPr>
        <w:pStyle w:val="14"/>
        <w:tabs>
          <w:tab w:val="left" w:pos="2472"/>
        </w:tabs>
        <w:spacing w:line="460" w:lineRule="exact"/>
        <w:jc w:val="center"/>
        <w:outlineLvl w:val="0"/>
        <w:rPr>
          <w:rFonts w:ascii="Times New Roman" w:hAnsi="Times New Roman"/>
          <w:b/>
          <w:color w:val="auto"/>
          <w:sz w:val="36"/>
        </w:rPr>
      </w:pPr>
    </w:p>
    <w:p>
      <w:pPr>
        <w:pStyle w:val="14"/>
        <w:tabs>
          <w:tab w:val="left" w:pos="2472"/>
        </w:tabs>
        <w:spacing w:line="460" w:lineRule="exact"/>
        <w:jc w:val="center"/>
        <w:outlineLvl w:val="0"/>
        <w:rPr>
          <w:rFonts w:ascii="Times New Roman" w:hAnsi="Times New Roman"/>
          <w:b/>
          <w:color w:val="auto"/>
          <w:sz w:val="36"/>
        </w:rPr>
      </w:pPr>
    </w:p>
    <w:p>
      <w:pPr>
        <w:pStyle w:val="14"/>
        <w:tabs>
          <w:tab w:val="left" w:pos="2472"/>
        </w:tabs>
        <w:spacing w:line="460" w:lineRule="exact"/>
        <w:jc w:val="center"/>
        <w:outlineLvl w:val="0"/>
        <w:rPr>
          <w:rFonts w:ascii="Times New Roman" w:hAnsi="Times New Roman"/>
          <w:b/>
          <w:color w:val="auto"/>
          <w:sz w:val="36"/>
        </w:rPr>
      </w:pPr>
    </w:p>
    <w:p>
      <w:pPr>
        <w:pStyle w:val="14"/>
        <w:tabs>
          <w:tab w:val="left" w:pos="2472"/>
        </w:tabs>
        <w:spacing w:line="460" w:lineRule="exact"/>
        <w:jc w:val="center"/>
        <w:outlineLvl w:val="0"/>
        <w:rPr>
          <w:rFonts w:ascii="Times New Roman" w:hAnsi="Times New Roman"/>
          <w:b/>
          <w:color w:val="auto"/>
          <w:sz w:val="36"/>
        </w:rPr>
      </w:pPr>
      <w:r>
        <w:rPr>
          <w:rFonts w:hint="eastAsia" w:ascii="Times New Roman" w:hAnsi="Times New Roman"/>
          <w:b/>
          <w:color w:val="auto"/>
          <w:sz w:val="36"/>
        </w:rPr>
        <w:t>第六章投标文件格式</w:t>
      </w:r>
      <w:bookmarkEnd w:id="345"/>
      <w:bookmarkEnd w:id="346"/>
      <w:bookmarkEnd w:id="347"/>
      <w:bookmarkEnd w:id="348"/>
      <w:bookmarkEnd w:id="349"/>
      <w:bookmarkEnd w:id="350"/>
      <w:bookmarkEnd w:id="351"/>
      <w:bookmarkEnd w:id="352"/>
      <w:bookmarkEnd w:id="353"/>
      <w:bookmarkEnd w:id="354"/>
      <w:bookmarkEnd w:id="355"/>
      <w:bookmarkEnd w:id="356"/>
      <w:bookmarkEnd w:id="357"/>
    </w:p>
    <w:p>
      <w:pPr>
        <w:widowControl/>
        <w:spacing w:beforeAutospacing="1" w:line="360" w:lineRule="auto"/>
        <w:jc w:val="left"/>
        <w:rPr>
          <w:rFonts w:ascii="宋体" w:hAnsi="宋体"/>
          <w:color w:val="auto"/>
          <w:szCs w:val="20"/>
        </w:rPr>
        <w:sectPr>
          <w:footerReference r:id="rId12" w:type="default"/>
          <w:pgSz w:w="11905" w:h="16838"/>
          <w:pgMar w:top="1134" w:right="1134" w:bottom="1134" w:left="1134" w:header="850" w:footer="850" w:gutter="0"/>
          <w:cols w:space="0" w:num="1"/>
          <w:titlePg/>
          <w:rtlGutter w:val="0"/>
          <w:docGrid w:linePitch="331" w:charSpace="0"/>
        </w:sectPr>
      </w:pPr>
    </w:p>
    <w:p>
      <w:pPr>
        <w:pStyle w:val="14"/>
        <w:jc w:val="center"/>
        <w:outlineLvl w:val="1"/>
        <w:rPr>
          <w:rFonts w:hAnsi="宋体"/>
          <w:b/>
          <w:bCs/>
          <w:color w:val="auto"/>
          <w:sz w:val="28"/>
          <w:szCs w:val="28"/>
        </w:rPr>
      </w:pPr>
      <w:bookmarkStart w:id="358" w:name="_Toc32508"/>
      <w:bookmarkStart w:id="359" w:name="_Toc24486"/>
      <w:bookmarkStart w:id="360" w:name="_Toc4270"/>
      <w:bookmarkStart w:id="361" w:name="_Toc21700"/>
      <w:bookmarkStart w:id="362" w:name="_Toc11854"/>
      <w:bookmarkStart w:id="363" w:name="_Toc20281"/>
      <w:bookmarkStart w:id="364" w:name="_Toc23486"/>
      <w:bookmarkStart w:id="365" w:name="_Toc16890"/>
      <w:bookmarkStart w:id="366" w:name="_Toc7817"/>
      <w:bookmarkStart w:id="367" w:name="_Toc32370"/>
      <w:r>
        <w:rPr>
          <w:rFonts w:hint="eastAsia" w:hAnsi="宋体"/>
          <w:b/>
          <w:bCs/>
          <w:color w:val="auto"/>
          <w:sz w:val="28"/>
          <w:szCs w:val="28"/>
        </w:rPr>
        <w:t>第一节 资格证明文件格式</w:t>
      </w:r>
      <w:bookmarkEnd w:id="358"/>
      <w:bookmarkEnd w:id="359"/>
      <w:bookmarkEnd w:id="360"/>
      <w:bookmarkEnd w:id="361"/>
      <w:bookmarkEnd w:id="362"/>
      <w:bookmarkEnd w:id="363"/>
      <w:bookmarkEnd w:id="364"/>
      <w:bookmarkEnd w:id="365"/>
      <w:bookmarkEnd w:id="366"/>
      <w:bookmarkEnd w:id="367"/>
    </w:p>
    <w:p>
      <w:pPr>
        <w:pStyle w:val="14"/>
        <w:spacing w:line="360" w:lineRule="auto"/>
        <w:ind w:firstLine="420"/>
        <w:rPr>
          <w:rFonts w:hAnsi="宋体"/>
          <w:color w:val="auto"/>
          <w:sz w:val="30"/>
        </w:rPr>
      </w:pPr>
    </w:p>
    <w:p>
      <w:pPr>
        <w:pStyle w:val="9"/>
        <w:ind w:left="0"/>
        <w:jc w:val="left"/>
        <w:rPr>
          <w:rFonts w:hAnsi="宋体"/>
          <w:color w:val="auto"/>
          <w:sz w:val="30"/>
        </w:rPr>
      </w:pPr>
      <w:r>
        <w:rPr>
          <w:rFonts w:hint="eastAsia" w:hAnsi="宋体" w:cs="宋体"/>
          <w:b/>
          <w:bCs/>
          <w:color w:val="auto"/>
          <w:sz w:val="28"/>
          <w:szCs w:val="28"/>
        </w:rPr>
        <w:t>1.资格证明文件封面的格式（参照此格式自拟）：</w:t>
      </w:r>
    </w:p>
    <w:p>
      <w:pPr>
        <w:rPr>
          <w:color w:val="auto"/>
        </w:rPr>
      </w:pPr>
    </w:p>
    <w:p>
      <w:pPr>
        <w:snapToGrid w:val="0"/>
        <w:spacing w:beforeLines="50" w:after="50"/>
        <w:rPr>
          <w:rFonts w:ascii="宋体" w:hAnsi="宋体"/>
          <w:bCs/>
          <w:color w:val="auto"/>
          <w:sz w:val="32"/>
          <w:szCs w:val="20"/>
        </w:rPr>
      </w:pPr>
      <w:r>
        <w:rPr>
          <w:rFonts w:hint="eastAsia" w:ascii="宋体" w:hAnsi="宋体"/>
          <w:bCs/>
          <w:color w:val="auto"/>
        </w:rPr>
        <w:t>电子投标文件</w:t>
      </w:r>
    </w:p>
    <w:p>
      <w:pPr>
        <w:snapToGrid w:val="0"/>
        <w:spacing w:beforeLines="50" w:after="50"/>
        <w:rPr>
          <w:rFonts w:ascii="宋体" w:hAnsi="宋体"/>
          <w:color w:val="auto"/>
          <w:sz w:val="24"/>
          <w:szCs w:val="20"/>
        </w:rPr>
      </w:pPr>
    </w:p>
    <w:p>
      <w:pPr>
        <w:snapToGrid w:val="0"/>
        <w:spacing w:beforeLines="50" w:after="50"/>
        <w:jc w:val="center"/>
        <w:rPr>
          <w:rFonts w:ascii="宋体" w:hAnsi="宋体"/>
          <w:b/>
          <w:color w:val="auto"/>
          <w:sz w:val="24"/>
          <w:szCs w:val="20"/>
        </w:rPr>
      </w:pPr>
      <w:r>
        <w:rPr>
          <w:rFonts w:hint="eastAsia" w:ascii="宋体" w:hAnsi="宋体"/>
          <w:b/>
          <w:color w:val="auto"/>
          <w:sz w:val="32"/>
          <w:szCs w:val="32"/>
        </w:rPr>
        <w:t>资格证明文件</w:t>
      </w:r>
    </w:p>
    <w:p>
      <w:pPr>
        <w:snapToGrid w:val="0"/>
        <w:spacing w:beforeLines="50" w:after="50"/>
        <w:rPr>
          <w:rFonts w:ascii="宋体" w:hAnsi="宋体"/>
          <w:bCs/>
          <w:color w:val="auto"/>
          <w:sz w:val="24"/>
          <w:szCs w:val="20"/>
        </w:rPr>
      </w:pPr>
    </w:p>
    <w:p>
      <w:pPr>
        <w:snapToGrid w:val="0"/>
        <w:spacing w:beforeLines="50" w:after="50"/>
        <w:rPr>
          <w:rFonts w:ascii="宋体" w:hAnsi="宋体"/>
          <w:bCs/>
          <w:color w:val="auto"/>
          <w:sz w:val="24"/>
          <w:szCs w:val="20"/>
        </w:rPr>
      </w:pPr>
    </w:p>
    <w:p>
      <w:pPr>
        <w:snapToGrid w:val="0"/>
        <w:spacing w:beforeLines="50" w:after="50"/>
        <w:rPr>
          <w:rFonts w:ascii="宋体" w:hAnsi="宋体"/>
          <w:bCs/>
          <w:color w:val="auto"/>
          <w:sz w:val="24"/>
          <w:szCs w:val="20"/>
        </w:rPr>
      </w:pPr>
    </w:p>
    <w:p>
      <w:pPr>
        <w:snapToGrid w:val="0"/>
        <w:spacing w:beforeLines="50" w:after="50"/>
        <w:rPr>
          <w:rFonts w:ascii="宋体" w:hAnsi="宋体"/>
          <w:bCs/>
          <w:color w:val="auto"/>
          <w:sz w:val="24"/>
          <w:szCs w:val="20"/>
        </w:rPr>
      </w:pPr>
    </w:p>
    <w:p>
      <w:pPr>
        <w:snapToGrid w:val="0"/>
        <w:spacing w:beforeLines="50" w:after="50"/>
        <w:rPr>
          <w:rFonts w:ascii="宋体" w:hAnsi="宋体"/>
          <w:bCs/>
          <w:color w:val="auto"/>
          <w:sz w:val="24"/>
          <w:szCs w:val="20"/>
        </w:rPr>
      </w:pPr>
    </w:p>
    <w:p>
      <w:pPr>
        <w:snapToGrid w:val="0"/>
        <w:spacing w:beforeLines="50" w:after="50"/>
        <w:rPr>
          <w:rFonts w:ascii="宋体" w:hAnsi="宋体"/>
          <w:bCs/>
          <w:color w:val="auto"/>
          <w:sz w:val="24"/>
          <w:szCs w:val="20"/>
        </w:rPr>
      </w:pPr>
    </w:p>
    <w:p>
      <w:pPr>
        <w:snapToGrid w:val="0"/>
        <w:spacing w:beforeLines="50" w:after="50"/>
        <w:rPr>
          <w:rFonts w:ascii="宋体" w:hAnsi="宋体"/>
          <w:bCs/>
          <w:color w:val="auto"/>
          <w:sz w:val="24"/>
          <w:szCs w:val="20"/>
        </w:rPr>
      </w:pPr>
    </w:p>
    <w:p>
      <w:pPr>
        <w:snapToGrid w:val="0"/>
        <w:spacing w:beforeLines="50" w:after="50"/>
        <w:ind w:firstLine="540" w:firstLineChars="225"/>
        <w:rPr>
          <w:rFonts w:ascii="宋体" w:hAnsi="宋体"/>
          <w:bCs/>
          <w:color w:val="auto"/>
          <w:sz w:val="24"/>
          <w:szCs w:val="20"/>
        </w:rPr>
      </w:pPr>
      <w:r>
        <w:rPr>
          <w:rFonts w:hint="eastAsia" w:ascii="宋体" w:hAnsi="宋体"/>
          <w:bCs/>
          <w:color w:val="auto"/>
          <w:sz w:val="24"/>
        </w:rPr>
        <w:t>项目名称：</w:t>
      </w:r>
    </w:p>
    <w:p>
      <w:pPr>
        <w:snapToGrid w:val="0"/>
        <w:spacing w:beforeLines="50" w:after="50"/>
        <w:ind w:firstLine="540" w:firstLineChars="225"/>
        <w:rPr>
          <w:rFonts w:ascii="宋体" w:hAnsi="宋体"/>
          <w:bCs/>
          <w:color w:val="auto"/>
          <w:sz w:val="24"/>
        </w:rPr>
      </w:pPr>
      <w:r>
        <w:rPr>
          <w:rFonts w:hint="eastAsia" w:ascii="宋体" w:hAnsi="宋体"/>
          <w:bCs/>
          <w:color w:val="auto"/>
          <w:sz w:val="24"/>
        </w:rPr>
        <w:t>项目编号：</w:t>
      </w:r>
    </w:p>
    <w:p>
      <w:pPr>
        <w:snapToGrid w:val="0"/>
        <w:spacing w:beforeLines="50" w:after="50"/>
        <w:ind w:firstLine="540" w:firstLineChars="225"/>
        <w:rPr>
          <w:rFonts w:ascii="宋体" w:hAnsi="宋体"/>
          <w:bCs/>
          <w:color w:val="auto"/>
          <w:sz w:val="24"/>
          <w:szCs w:val="20"/>
        </w:rPr>
      </w:pPr>
    </w:p>
    <w:p>
      <w:pPr>
        <w:snapToGrid w:val="0"/>
        <w:spacing w:beforeLines="50" w:after="50"/>
        <w:ind w:firstLine="540" w:firstLineChars="225"/>
        <w:rPr>
          <w:rFonts w:ascii="宋体" w:hAnsi="宋体"/>
          <w:bCs/>
          <w:color w:val="auto"/>
          <w:sz w:val="24"/>
        </w:rPr>
      </w:pPr>
      <w:r>
        <w:rPr>
          <w:rFonts w:hint="eastAsia" w:ascii="宋体" w:hAnsi="宋体"/>
          <w:bCs/>
          <w:color w:val="auto"/>
          <w:sz w:val="24"/>
        </w:rPr>
        <w:t>所投分标</w:t>
      </w:r>
      <w:r>
        <w:rPr>
          <w:rFonts w:hint="eastAsia" w:ascii="宋体" w:hAnsi="宋体" w:cs="宋体"/>
          <w:bCs/>
          <w:color w:val="auto"/>
          <w:sz w:val="24"/>
        </w:rPr>
        <w:t>（如有则填写，无分标时填写“无”或者留空）</w:t>
      </w:r>
      <w:r>
        <w:rPr>
          <w:rFonts w:hint="eastAsia" w:ascii="宋体" w:hAnsi="宋体"/>
          <w:bCs/>
          <w:color w:val="auto"/>
          <w:sz w:val="24"/>
        </w:rPr>
        <w:t>：</w:t>
      </w:r>
    </w:p>
    <w:p>
      <w:pPr>
        <w:pStyle w:val="8"/>
        <w:snapToGrid w:val="0"/>
        <w:spacing w:before="50" w:after="50"/>
        <w:ind w:firstLine="540" w:firstLineChars="225"/>
        <w:rPr>
          <w:rFonts w:ascii="宋体" w:hAnsi="宋体"/>
          <w:bCs/>
          <w:color w:val="auto"/>
          <w:sz w:val="24"/>
          <w:szCs w:val="24"/>
        </w:rPr>
      </w:pPr>
    </w:p>
    <w:p>
      <w:pPr>
        <w:pStyle w:val="8"/>
        <w:snapToGrid w:val="0"/>
        <w:spacing w:before="50" w:after="50"/>
        <w:ind w:firstLine="540" w:firstLineChars="225"/>
        <w:rPr>
          <w:rFonts w:ascii="宋体" w:hAnsi="宋体"/>
          <w:bCs/>
          <w:color w:val="auto"/>
          <w:sz w:val="24"/>
          <w:szCs w:val="24"/>
        </w:rPr>
      </w:pPr>
      <w:r>
        <w:rPr>
          <w:rFonts w:hint="eastAsia" w:ascii="宋体" w:hAnsi="宋体"/>
          <w:bCs/>
          <w:color w:val="auto"/>
          <w:sz w:val="24"/>
          <w:szCs w:val="24"/>
        </w:rPr>
        <w:t>投标人名称：</w:t>
      </w:r>
    </w:p>
    <w:p>
      <w:pPr>
        <w:pStyle w:val="8"/>
        <w:snapToGrid w:val="0"/>
        <w:spacing w:before="50" w:after="50"/>
        <w:ind w:firstLine="540" w:firstLineChars="225"/>
        <w:rPr>
          <w:rFonts w:ascii="宋体" w:hAnsi="宋体"/>
          <w:bCs/>
          <w:color w:val="auto"/>
          <w:sz w:val="24"/>
          <w:szCs w:val="24"/>
        </w:rPr>
      </w:pPr>
    </w:p>
    <w:p>
      <w:pPr>
        <w:pStyle w:val="8"/>
        <w:snapToGrid w:val="0"/>
        <w:spacing w:before="50" w:after="50"/>
        <w:ind w:firstLine="960" w:firstLineChars="400"/>
        <w:rPr>
          <w:rFonts w:ascii="宋体" w:hAnsi="宋体"/>
          <w:bCs/>
          <w:color w:val="auto"/>
          <w:sz w:val="24"/>
          <w:szCs w:val="24"/>
        </w:rPr>
      </w:pPr>
    </w:p>
    <w:p>
      <w:pPr>
        <w:snapToGrid w:val="0"/>
        <w:spacing w:beforeLines="50" w:after="50"/>
        <w:ind w:firstLine="645"/>
        <w:jc w:val="center"/>
        <w:rPr>
          <w:rFonts w:ascii="宋体" w:hAnsi="宋体"/>
          <w:color w:val="auto"/>
          <w:sz w:val="24"/>
        </w:rPr>
      </w:pPr>
    </w:p>
    <w:p>
      <w:pPr>
        <w:snapToGrid w:val="0"/>
        <w:spacing w:beforeLines="50" w:after="50"/>
        <w:ind w:firstLine="645"/>
        <w:jc w:val="center"/>
        <w:rPr>
          <w:rFonts w:ascii="宋体" w:hAnsi="宋体"/>
          <w:color w:val="auto"/>
          <w:sz w:val="24"/>
        </w:rPr>
      </w:pPr>
    </w:p>
    <w:p>
      <w:pPr>
        <w:snapToGrid w:val="0"/>
        <w:spacing w:beforeLines="50" w:after="50"/>
        <w:ind w:firstLine="645"/>
        <w:jc w:val="center"/>
        <w:rPr>
          <w:rFonts w:ascii="宋体" w:hAnsi="宋体"/>
          <w:color w:val="auto"/>
          <w:sz w:val="24"/>
        </w:rPr>
      </w:pPr>
      <w:r>
        <w:rPr>
          <w:rFonts w:hint="eastAsia" w:ascii="宋体" w:hAnsi="宋体"/>
          <w:color w:val="auto"/>
          <w:sz w:val="24"/>
        </w:rPr>
        <w:t>年  月  日</w:t>
      </w:r>
    </w:p>
    <w:p>
      <w:pPr>
        <w:widowControl/>
        <w:spacing w:line="360" w:lineRule="auto"/>
        <w:jc w:val="left"/>
        <w:rPr>
          <w:rFonts w:ascii="宋体" w:hAnsi="宋体"/>
          <w:color w:val="auto"/>
          <w:sz w:val="30"/>
          <w:szCs w:val="20"/>
        </w:rPr>
        <w:sectPr>
          <w:pgSz w:w="11905" w:h="16838"/>
          <w:pgMar w:top="1134" w:right="1134" w:bottom="1134" w:left="1134" w:header="850" w:footer="850" w:gutter="0"/>
          <w:cols w:space="0" w:num="1"/>
          <w:titlePg/>
          <w:rtlGutter w:val="0"/>
          <w:docGrid w:linePitch="331" w:charSpace="0"/>
        </w:sectPr>
      </w:pPr>
    </w:p>
    <w:p>
      <w:pPr>
        <w:rPr>
          <w:rFonts w:ascii="宋体" w:hAnsi="宋体" w:cs="宋体"/>
          <w:b/>
          <w:color w:val="auto"/>
          <w:kern w:val="0"/>
          <w:sz w:val="28"/>
          <w:szCs w:val="28"/>
        </w:rPr>
      </w:pPr>
      <w:r>
        <w:rPr>
          <w:rFonts w:hint="eastAsia" w:ascii="宋体" w:hAnsi="宋体" w:cs="宋体"/>
          <w:b/>
          <w:color w:val="auto"/>
          <w:kern w:val="0"/>
          <w:sz w:val="28"/>
          <w:szCs w:val="28"/>
        </w:rPr>
        <w:t>2.资格证明文件目录</w:t>
      </w:r>
    </w:p>
    <w:p>
      <w:pPr>
        <w:snapToGrid w:val="0"/>
        <w:spacing w:line="360" w:lineRule="auto"/>
        <w:rPr>
          <w:rFonts w:ascii="宋体" w:hAnsi="宋体" w:cs="宋体"/>
          <w:color w:val="auto"/>
          <w:kern w:val="0"/>
          <w:sz w:val="24"/>
        </w:rPr>
      </w:pPr>
      <w:r>
        <w:rPr>
          <w:rFonts w:hint="eastAsia" w:ascii="宋体" w:hAnsi="宋体" w:cs="宋体"/>
          <w:color w:val="auto"/>
          <w:kern w:val="0"/>
          <w:sz w:val="24"/>
        </w:rPr>
        <w:t>根据招标文件规定及投标人提供的材料自行编写目录（部分格式后附）。</w:t>
      </w:r>
    </w:p>
    <w:p>
      <w:pPr>
        <w:spacing w:line="360" w:lineRule="auto"/>
        <w:rPr>
          <w:rFonts w:ascii="仿宋_GB2312" w:hAnsi="仿宋" w:eastAsia="仿宋_GB2312" w:cs="仿宋_GB2312"/>
          <w:b/>
          <w:bCs/>
          <w:color w:val="auto"/>
          <w:sz w:val="24"/>
        </w:rPr>
      </w:pPr>
    </w:p>
    <w:p>
      <w:pPr>
        <w:snapToGrid w:val="0"/>
        <w:spacing w:line="360" w:lineRule="auto"/>
        <w:rPr>
          <w:rFonts w:ascii="仿宋_GB2312" w:hAnsi="仿宋" w:eastAsia="仿宋_GB2312" w:cs="仿宋_GB2312"/>
          <w:b/>
          <w:color w:val="auto"/>
          <w:kern w:val="0"/>
          <w:sz w:val="32"/>
          <w:szCs w:val="32"/>
          <w:lang w:val="zh-CN"/>
        </w:rPr>
      </w:pPr>
    </w:p>
    <w:p>
      <w:pPr>
        <w:snapToGrid w:val="0"/>
        <w:spacing w:line="360" w:lineRule="auto"/>
        <w:ind w:firstLine="5160" w:firstLineChars="2150"/>
        <w:rPr>
          <w:rFonts w:ascii="仿宋_GB2312" w:hAnsi="仿宋" w:eastAsia="仿宋_GB2312" w:cs="仿宋_GB2312"/>
          <w:color w:val="auto"/>
          <w:kern w:val="0"/>
          <w:sz w:val="24"/>
          <w:lang w:val="zh-CN"/>
        </w:rPr>
      </w:pPr>
    </w:p>
    <w:p>
      <w:pPr>
        <w:snapToGrid w:val="0"/>
        <w:spacing w:line="360" w:lineRule="auto"/>
        <w:ind w:right="480"/>
        <w:jc w:val="center"/>
        <w:rPr>
          <w:rFonts w:ascii="仿宋_GB2312" w:hAnsi="仿宋" w:eastAsia="仿宋_GB2312" w:cs="仿宋_GB2312"/>
          <w:b/>
          <w:color w:val="auto"/>
          <w:kern w:val="0"/>
          <w:sz w:val="32"/>
          <w:szCs w:val="32"/>
          <w:lang w:val="zh-CN"/>
        </w:rPr>
      </w:pPr>
    </w:p>
    <w:p>
      <w:pPr>
        <w:snapToGrid w:val="0"/>
        <w:spacing w:line="360" w:lineRule="auto"/>
        <w:ind w:right="480"/>
        <w:jc w:val="center"/>
        <w:rPr>
          <w:rFonts w:ascii="宋体" w:hAnsi="宋体"/>
          <w:b/>
          <w:color w:val="auto"/>
          <w:sz w:val="28"/>
          <w:szCs w:val="28"/>
        </w:rPr>
      </w:pPr>
      <w:r>
        <w:rPr>
          <w:rFonts w:hint="eastAsia" w:ascii="仿宋_GB2312" w:hAnsi="仿宋" w:eastAsia="仿宋_GB2312" w:cs="仿宋_GB2312"/>
          <w:b/>
          <w:color w:val="auto"/>
          <w:kern w:val="0"/>
          <w:sz w:val="32"/>
          <w:szCs w:val="32"/>
        </w:rPr>
        <w:br w:type="page"/>
      </w:r>
    </w:p>
    <w:p>
      <w:pPr>
        <w:pStyle w:val="11"/>
        <w:rPr>
          <w:color w:val="auto"/>
        </w:rPr>
      </w:pPr>
      <w:r>
        <w:rPr>
          <w:rFonts w:hint="eastAsia" w:ascii="宋体" w:hAnsi="宋体" w:cs="宋体"/>
          <w:b/>
          <w:color w:val="auto"/>
          <w:kern w:val="0"/>
          <w:sz w:val="32"/>
          <w:szCs w:val="32"/>
        </w:rPr>
        <w:t>3.</w:t>
      </w:r>
      <w:r>
        <w:rPr>
          <w:rFonts w:hint="eastAsia" w:ascii="宋体" w:hAnsi="宋体" w:cs="宋体"/>
          <w:b/>
          <w:color w:val="auto"/>
          <w:sz w:val="28"/>
          <w:szCs w:val="28"/>
        </w:rPr>
        <w:t>投标资格声明函的格式</w:t>
      </w:r>
      <w:r>
        <w:rPr>
          <w:rFonts w:hint="eastAsia"/>
          <w:color w:val="auto"/>
          <w:sz w:val="28"/>
          <w:szCs w:val="28"/>
        </w:rPr>
        <w:t>：</w:t>
      </w:r>
    </w:p>
    <w:p>
      <w:pPr>
        <w:snapToGrid w:val="0"/>
        <w:spacing w:before="50" w:afterLines="50"/>
        <w:jc w:val="center"/>
        <w:rPr>
          <w:rFonts w:ascii="宋体" w:hAnsi="宋体"/>
          <w:b/>
          <w:color w:val="auto"/>
          <w:sz w:val="32"/>
          <w:szCs w:val="32"/>
        </w:rPr>
      </w:pPr>
      <w:r>
        <w:rPr>
          <w:rFonts w:hint="eastAsia" w:ascii="宋体" w:hAnsi="宋体"/>
          <w:b/>
          <w:color w:val="auto"/>
          <w:sz w:val="32"/>
          <w:szCs w:val="32"/>
        </w:rPr>
        <w:t>投标资格声明函</w:t>
      </w:r>
    </w:p>
    <w:p>
      <w:pPr>
        <w:tabs>
          <w:tab w:val="left" w:pos="7200"/>
        </w:tabs>
        <w:spacing w:line="360" w:lineRule="auto"/>
        <w:rPr>
          <w:rFonts w:ascii="宋体" w:hAnsi="宋体"/>
          <w:color w:val="auto"/>
          <w:szCs w:val="21"/>
          <w:u w:val="single"/>
        </w:rPr>
      </w:pPr>
      <w:r>
        <w:rPr>
          <w:rFonts w:hint="eastAsia" w:ascii="宋体" w:hAnsi="宋体"/>
          <w:color w:val="auto"/>
          <w:szCs w:val="21"/>
        </w:rPr>
        <w:t>致：</w:t>
      </w:r>
      <w:bookmarkStart w:id="368" w:name="PO_3000001866_PM031_5"/>
      <w:r>
        <w:rPr>
          <w:rFonts w:hint="eastAsia" w:ascii="宋体" w:hAnsi="宋体"/>
          <w:color w:val="auto"/>
          <w:szCs w:val="21"/>
          <w:u w:val="single"/>
        </w:rPr>
        <w:t>广西科联招标中心有限公司</w:t>
      </w:r>
      <w:bookmarkEnd w:id="368"/>
    </w:p>
    <w:p>
      <w:pPr>
        <w:snapToGrid w:val="0"/>
        <w:spacing w:line="360" w:lineRule="auto"/>
        <w:ind w:firstLine="420" w:firstLineChars="200"/>
        <w:jc w:val="left"/>
        <w:rPr>
          <w:rFonts w:ascii="宋体" w:hAnsi="宋体"/>
          <w:color w:val="auto"/>
          <w:szCs w:val="21"/>
        </w:rPr>
      </w:pPr>
      <w:r>
        <w:rPr>
          <w:rFonts w:hint="eastAsia" w:ascii="宋体" w:hAnsi="宋体"/>
          <w:color w:val="auto"/>
          <w:szCs w:val="21"/>
        </w:rPr>
        <w:t>我方愿意参加贵方组织的</w:t>
      </w:r>
      <w:r>
        <w:rPr>
          <w:rFonts w:hint="eastAsia" w:ascii="宋体" w:hAnsi="宋体"/>
          <w:i/>
          <w:iCs/>
          <w:color w:val="auto"/>
          <w:szCs w:val="21"/>
          <w:u w:val="single"/>
        </w:rPr>
        <w:t xml:space="preserve">（项目名称） </w:t>
      </w:r>
      <w:r>
        <w:rPr>
          <w:rFonts w:hint="eastAsia" w:ascii="宋体" w:hAnsi="宋体"/>
          <w:color w:val="auto"/>
          <w:szCs w:val="21"/>
        </w:rPr>
        <w:t>（项目编号：            ）项目的投标，为便于贵方公正、择优地确定中标人，我方就本次投标有关事项郑重声明如下：</w:t>
      </w:r>
    </w:p>
    <w:p>
      <w:pPr>
        <w:snapToGrid w:val="0"/>
        <w:spacing w:line="360" w:lineRule="auto"/>
        <w:ind w:firstLine="420" w:firstLineChars="200"/>
        <w:jc w:val="left"/>
        <w:rPr>
          <w:rFonts w:ascii="宋体" w:hAnsi="宋体"/>
          <w:color w:val="auto"/>
          <w:szCs w:val="21"/>
        </w:rPr>
      </w:pPr>
      <w:r>
        <w:rPr>
          <w:rFonts w:hint="eastAsia" w:ascii="宋体" w:hAnsi="宋体"/>
          <w:color w:val="auto"/>
          <w:szCs w:val="21"/>
        </w:rPr>
        <w:t>1.我方承诺已经具备《中华人民共和国政府采购法》第二十二条中规定的参加政府采购活动的供应商应当具备的条件并按本项目招标文件“第三章”“第一节投标人须知前附表”中“资格证明文件组成”完整提供证明材料。</w:t>
      </w:r>
    </w:p>
    <w:p>
      <w:pPr>
        <w:snapToGrid w:val="0"/>
        <w:spacing w:line="360" w:lineRule="auto"/>
        <w:ind w:firstLine="420" w:firstLineChars="200"/>
        <w:jc w:val="left"/>
        <w:rPr>
          <w:rFonts w:ascii="宋体" w:hAnsi="宋体"/>
          <w:color w:val="auto"/>
          <w:szCs w:val="21"/>
        </w:rPr>
      </w:pPr>
      <w:r>
        <w:rPr>
          <w:rFonts w:hint="eastAsia" w:ascii="宋体" w:hAnsi="宋体"/>
          <w:color w:val="auto"/>
          <w:szCs w:val="21"/>
        </w:rPr>
        <w:t>2. 我方不是采购人的附属机构；不是为本次采购项目提供整体设计、规范编制或者项目管理、监理、检测等服务的供应商；在获知本项目采购信息后，与采购人聘请的为此项目提供咨询服务的公司及其附属机构没有任何联系。</w:t>
      </w:r>
    </w:p>
    <w:p>
      <w:pPr>
        <w:snapToGrid w:val="0"/>
        <w:spacing w:line="360" w:lineRule="auto"/>
        <w:ind w:firstLine="420" w:firstLineChars="200"/>
        <w:jc w:val="left"/>
        <w:rPr>
          <w:rFonts w:ascii="宋体" w:hAnsi="宋体"/>
          <w:color w:val="auto"/>
          <w:szCs w:val="21"/>
        </w:rPr>
      </w:pPr>
      <w:r>
        <w:rPr>
          <w:rFonts w:hint="eastAsia" w:ascii="宋体" w:hAnsi="宋体"/>
          <w:color w:val="auto"/>
          <w:szCs w:val="21"/>
        </w:rPr>
        <w:t>3.经查询，在“信用中国”和“中国政府采购网”网站我方未被列入失信被执行人、重大税收违法失信主体、政府采购严重违法失信行为记录名单。</w:t>
      </w:r>
    </w:p>
    <w:p>
      <w:pPr>
        <w:snapToGrid w:val="0"/>
        <w:spacing w:line="360" w:lineRule="auto"/>
        <w:ind w:firstLine="420" w:firstLineChars="200"/>
        <w:jc w:val="left"/>
        <w:rPr>
          <w:rFonts w:ascii="宋体" w:hAnsi="宋体"/>
          <w:color w:val="auto"/>
          <w:szCs w:val="21"/>
        </w:rPr>
      </w:pPr>
      <w:r>
        <w:rPr>
          <w:rFonts w:hint="eastAsia" w:ascii="宋体" w:hAnsi="宋体"/>
          <w:color w:val="auto"/>
          <w:szCs w:val="21"/>
        </w:rPr>
        <w:t xml:space="preserve">4.以上事项如有虚假或隐瞒，我方愿意承担一切后果，并不再寻求任何旨在减轻或免除法律责任的辩解。 </w:t>
      </w:r>
    </w:p>
    <w:p>
      <w:pPr>
        <w:tabs>
          <w:tab w:val="left" w:pos="7200"/>
        </w:tabs>
        <w:spacing w:line="360" w:lineRule="auto"/>
        <w:ind w:firstLine="315" w:firstLineChars="150"/>
        <w:rPr>
          <w:rFonts w:ascii="宋体" w:hAnsi="宋体"/>
          <w:color w:val="auto"/>
          <w:szCs w:val="21"/>
        </w:rPr>
      </w:pPr>
      <w:r>
        <w:rPr>
          <w:rFonts w:hint="eastAsia" w:ascii="宋体" w:hAnsi="宋体"/>
          <w:color w:val="auto"/>
          <w:szCs w:val="21"/>
        </w:rPr>
        <w:t>说明：</w:t>
      </w:r>
    </w:p>
    <w:p>
      <w:pPr>
        <w:spacing w:line="360" w:lineRule="auto"/>
        <w:ind w:firstLine="420" w:firstLineChars="200"/>
        <w:jc w:val="left"/>
        <w:rPr>
          <w:rFonts w:ascii="宋体" w:hAnsi="宋体"/>
          <w:color w:val="auto"/>
          <w:szCs w:val="21"/>
        </w:rPr>
      </w:pPr>
      <w:r>
        <w:rPr>
          <w:rFonts w:hint="eastAsia" w:ascii="宋体" w:hAnsi="宋体"/>
          <w:color w:val="auto"/>
          <w:szCs w:val="21"/>
        </w:rPr>
        <w:t>1.投标人应当通过 “信用中国”（www.creditchina.gov.cn）和“中国政府采购网”网站（www.ccgp.gov.cn）查询投标人相关主体的信用记录。查询时间为本项目投标截止时间前10日至投标截止时间中任意一天。对列入失信被执行人、重大税收违法失信主体、政府采购严重违法失信行为记录名单的投标人，将被拒绝参与本项目政府采购活动。</w:t>
      </w:r>
    </w:p>
    <w:p>
      <w:pPr>
        <w:spacing w:line="360" w:lineRule="auto"/>
        <w:ind w:firstLine="420" w:firstLineChars="200"/>
        <w:jc w:val="left"/>
        <w:rPr>
          <w:rFonts w:ascii="宋体" w:hAnsi="宋体"/>
          <w:color w:val="auto"/>
          <w:szCs w:val="21"/>
        </w:rPr>
      </w:pPr>
      <w:r>
        <w:rPr>
          <w:rFonts w:hint="eastAsia" w:ascii="宋体" w:hAnsi="宋体"/>
          <w:color w:val="auto"/>
          <w:szCs w:val="21"/>
        </w:rPr>
        <w:t>2.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snapToGrid w:val="0"/>
        <w:spacing w:before="50" w:afterLines="50"/>
        <w:jc w:val="left"/>
        <w:rPr>
          <w:rFonts w:ascii="宋体" w:hAnsi="宋体"/>
          <w:color w:val="auto"/>
          <w:szCs w:val="21"/>
        </w:rPr>
      </w:pPr>
      <w:r>
        <w:rPr>
          <w:rFonts w:hint="eastAsia" w:ascii="宋体" w:hAnsi="宋体"/>
          <w:b/>
          <w:color w:val="auto"/>
          <w:szCs w:val="21"/>
        </w:rPr>
        <w:t xml:space="preserve">  3.如为联合体投标，盖章处须加盖联合体各方公章，否则投标无效。</w:t>
      </w:r>
    </w:p>
    <w:p>
      <w:pPr>
        <w:snapToGrid w:val="0"/>
        <w:spacing w:before="50" w:afterLines="100" w:line="360" w:lineRule="auto"/>
        <w:jc w:val="left"/>
        <w:rPr>
          <w:rFonts w:ascii="宋体" w:hAnsi="宋体" w:cs="宋体"/>
          <w:color w:val="auto"/>
          <w:szCs w:val="21"/>
        </w:rPr>
      </w:pPr>
    </w:p>
    <w:p>
      <w:pPr>
        <w:snapToGrid w:val="0"/>
        <w:spacing w:before="50" w:afterLines="100" w:line="360" w:lineRule="auto"/>
        <w:ind w:left="7428" w:leftChars="2223" w:hanging="2760" w:hangingChars="1150"/>
        <w:jc w:val="left"/>
        <w:rPr>
          <w:rFonts w:ascii="仿宋_GB2312" w:hAnsi="仿宋" w:eastAsia="仿宋_GB2312" w:cs="仿宋_GB2312"/>
          <w:color w:val="auto"/>
          <w:kern w:val="0"/>
          <w:sz w:val="24"/>
          <w:lang w:val="zh-CN"/>
        </w:rPr>
      </w:pPr>
      <w:r>
        <w:rPr>
          <w:rFonts w:hint="eastAsia" w:ascii="宋体" w:hAnsi="宋体" w:cs="宋体"/>
          <w:color w:val="auto"/>
          <w:kern w:val="0"/>
          <w:sz w:val="24"/>
          <w:lang w:val="zh-CN"/>
        </w:rPr>
        <w:t>投标人名称(盖公章)：</w:t>
      </w:r>
      <w:r>
        <w:rPr>
          <w:rFonts w:hint="eastAsia" w:ascii="宋体" w:hAnsi="宋体"/>
          <w:color w:val="auto"/>
          <w:szCs w:val="21"/>
        </w:rPr>
        <w:t xml:space="preserve">                                     年    月    日</w:t>
      </w:r>
    </w:p>
    <w:p>
      <w:pPr>
        <w:rPr>
          <w:b/>
          <w:bCs/>
          <w:color w:val="auto"/>
          <w:sz w:val="30"/>
          <w:szCs w:val="30"/>
        </w:rPr>
      </w:pPr>
      <w:r>
        <w:rPr>
          <w:rFonts w:hint="eastAsia"/>
          <w:b/>
          <w:bCs/>
          <w:color w:val="auto"/>
          <w:sz w:val="30"/>
          <w:szCs w:val="30"/>
        </w:rPr>
        <w:br w:type="page"/>
      </w:r>
    </w:p>
    <w:p>
      <w:pPr>
        <w:pStyle w:val="9"/>
        <w:ind w:left="0"/>
        <w:jc w:val="left"/>
        <w:rPr>
          <w:color w:val="auto"/>
        </w:rPr>
      </w:pPr>
      <w:r>
        <w:rPr>
          <w:rFonts w:hint="eastAsia" w:hAnsi="宋体" w:cs="宋体"/>
          <w:b/>
          <w:bCs/>
          <w:color w:val="auto"/>
          <w:sz w:val="28"/>
          <w:szCs w:val="28"/>
        </w:rPr>
        <w:t>4.联合体投标协议书的格式：</w:t>
      </w:r>
    </w:p>
    <w:p>
      <w:pPr>
        <w:pStyle w:val="14"/>
        <w:spacing w:line="600" w:lineRule="exact"/>
        <w:jc w:val="center"/>
        <w:rPr>
          <w:rFonts w:hAnsi="宋体" w:cs="宋体"/>
          <w:b/>
          <w:bCs/>
          <w:color w:val="auto"/>
          <w:sz w:val="28"/>
          <w:szCs w:val="28"/>
        </w:rPr>
      </w:pPr>
    </w:p>
    <w:p>
      <w:pPr>
        <w:pStyle w:val="14"/>
        <w:spacing w:line="600" w:lineRule="exact"/>
        <w:jc w:val="center"/>
        <w:rPr>
          <w:rFonts w:hAnsi="宋体" w:cs="宋体"/>
          <w:color w:val="auto"/>
          <w:sz w:val="28"/>
          <w:szCs w:val="28"/>
        </w:rPr>
      </w:pPr>
      <w:r>
        <w:rPr>
          <w:rFonts w:hint="eastAsia" w:hAnsi="宋体" w:cs="宋体"/>
          <w:b/>
          <w:bCs/>
          <w:color w:val="auto"/>
          <w:sz w:val="28"/>
          <w:szCs w:val="28"/>
        </w:rPr>
        <w:t>联合体投标协议书</w:t>
      </w:r>
    </w:p>
    <w:p>
      <w:pPr>
        <w:autoSpaceDE w:val="0"/>
        <w:autoSpaceDN w:val="0"/>
        <w:adjustRightInd w:val="0"/>
        <w:spacing w:line="360" w:lineRule="auto"/>
        <w:jc w:val="left"/>
        <w:rPr>
          <w:rFonts w:ascii="宋体" w:hAnsi="宋体" w:cs="宋体"/>
          <w:color w:val="auto"/>
          <w:kern w:val="0"/>
          <w:szCs w:val="21"/>
          <w:u w:val="single"/>
        </w:rPr>
      </w:pPr>
    </w:p>
    <w:p>
      <w:pPr>
        <w:autoSpaceDE w:val="0"/>
        <w:autoSpaceDN w:val="0"/>
        <w:adjustRightInd w:val="0"/>
        <w:spacing w:line="360" w:lineRule="auto"/>
        <w:jc w:val="left"/>
        <w:rPr>
          <w:rFonts w:ascii="宋体" w:hAnsi="宋体" w:cs="宋体"/>
          <w:color w:val="auto"/>
          <w:kern w:val="0"/>
          <w:szCs w:val="21"/>
        </w:rPr>
      </w:pPr>
      <w:r>
        <w:rPr>
          <w:rFonts w:hint="eastAsia" w:ascii="宋体" w:hAnsi="宋体" w:cs="宋体"/>
          <w:color w:val="auto"/>
          <w:kern w:val="0"/>
          <w:szCs w:val="21"/>
        </w:rPr>
        <w:t>（所有成员单位名称）自愿组成联合体，共同参加</w:t>
      </w:r>
      <w:bookmarkStart w:id="369" w:name="PO_3000001919_PM031_1"/>
      <w:r>
        <w:rPr>
          <w:rFonts w:hint="eastAsia" w:ascii="宋体" w:hAnsi="宋体" w:cs="宋体"/>
          <w:color w:val="auto"/>
          <w:kern w:val="0"/>
          <w:szCs w:val="21"/>
          <w:u w:val="single"/>
        </w:rPr>
        <w:t>广西科联招标中心有限公司</w:t>
      </w:r>
      <w:bookmarkEnd w:id="369"/>
      <w:r>
        <w:rPr>
          <w:rFonts w:hint="eastAsia" w:ascii="宋体" w:hAnsi="宋体" w:cs="宋体"/>
          <w:color w:val="auto"/>
          <w:kern w:val="0"/>
          <w:szCs w:val="21"/>
        </w:rPr>
        <w:t>组织的</w:t>
      </w:r>
      <w:r>
        <w:rPr>
          <w:rFonts w:hint="eastAsia" w:ascii="宋体" w:hAnsi="宋体" w:cs="宋体"/>
          <w:i/>
          <w:iCs/>
          <w:color w:val="auto"/>
          <w:kern w:val="0"/>
          <w:szCs w:val="21"/>
          <w:u w:val="single"/>
        </w:rPr>
        <w:t>（项目名称）</w:t>
      </w:r>
      <w:r>
        <w:rPr>
          <w:rFonts w:hint="eastAsia" w:ascii="宋体" w:hAnsi="宋体" w:cs="宋体"/>
          <w:color w:val="auto"/>
          <w:kern w:val="0"/>
          <w:szCs w:val="21"/>
        </w:rPr>
        <w:t>（项目编号：）投标。现就联合体投标事宜订立如下协议：</w:t>
      </w:r>
    </w:p>
    <w:p>
      <w:pPr>
        <w:autoSpaceDE w:val="0"/>
        <w:autoSpaceDN w:val="0"/>
        <w:adjustRightInd w:val="0"/>
        <w:spacing w:line="360" w:lineRule="auto"/>
        <w:ind w:firstLine="420"/>
        <w:jc w:val="left"/>
        <w:rPr>
          <w:rFonts w:ascii="宋体" w:hAnsi="宋体" w:cs="宋体"/>
          <w:color w:val="auto"/>
          <w:kern w:val="0"/>
          <w:szCs w:val="21"/>
        </w:rPr>
      </w:pPr>
      <w:r>
        <w:rPr>
          <w:rFonts w:hint="eastAsia" w:ascii="宋体" w:hAnsi="宋体" w:cs="宋体"/>
          <w:color w:val="auto"/>
          <w:kern w:val="0"/>
          <w:szCs w:val="21"/>
        </w:rPr>
        <w:t>1、（某成员单位名称）为联合体名称牵头人。</w:t>
      </w:r>
    </w:p>
    <w:p>
      <w:pPr>
        <w:autoSpaceDE w:val="0"/>
        <w:autoSpaceDN w:val="0"/>
        <w:adjustRightInd w:val="0"/>
        <w:spacing w:line="360" w:lineRule="auto"/>
        <w:ind w:firstLine="420"/>
        <w:jc w:val="left"/>
        <w:rPr>
          <w:rFonts w:ascii="宋体" w:hAnsi="宋体" w:cs="宋体"/>
          <w:color w:val="auto"/>
          <w:kern w:val="0"/>
          <w:szCs w:val="21"/>
        </w:rPr>
      </w:pPr>
      <w:r>
        <w:rPr>
          <w:rFonts w:hint="eastAsia" w:ascii="宋体" w:hAnsi="宋体" w:cs="宋体"/>
          <w:color w:val="auto"/>
          <w:kern w:val="0"/>
          <w:szCs w:val="21"/>
        </w:rPr>
        <w:t>2、联合体牵头人合法代表联合体各成员负责本招标项目投标文件编制和合同谈判活动，并代表联合体提交和接收相关的资料、信息及指示，并处理与之有关的一切事务，负责合同实施阶段的主办、组织和协调工作。</w:t>
      </w:r>
    </w:p>
    <w:p>
      <w:pPr>
        <w:autoSpaceDE w:val="0"/>
        <w:autoSpaceDN w:val="0"/>
        <w:adjustRightInd w:val="0"/>
        <w:spacing w:line="360" w:lineRule="auto"/>
        <w:ind w:firstLine="420"/>
        <w:jc w:val="left"/>
        <w:rPr>
          <w:rFonts w:ascii="宋体" w:hAnsi="宋体" w:cs="宋体"/>
          <w:color w:val="auto"/>
          <w:kern w:val="0"/>
          <w:szCs w:val="21"/>
        </w:rPr>
      </w:pPr>
      <w:r>
        <w:rPr>
          <w:rFonts w:hint="eastAsia" w:ascii="宋体" w:hAnsi="宋体" w:cs="宋体"/>
          <w:color w:val="auto"/>
          <w:kern w:val="0"/>
          <w:szCs w:val="21"/>
        </w:rPr>
        <w:t>3、联合体牵头人在本项目中签署和盖章的一切文件和处理的一切事宜，联合体各成员均予以承认。 联合体各成员将严格按照招标文件、投标文件和合同的要求全面履行义务，并向采购人承担连带责任。</w:t>
      </w:r>
    </w:p>
    <w:p>
      <w:pPr>
        <w:autoSpaceDE w:val="0"/>
        <w:autoSpaceDN w:val="0"/>
        <w:adjustRightInd w:val="0"/>
        <w:spacing w:line="360" w:lineRule="auto"/>
        <w:ind w:firstLine="420"/>
        <w:jc w:val="left"/>
        <w:rPr>
          <w:rFonts w:ascii="宋体" w:hAnsi="宋体" w:cs="宋体"/>
          <w:color w:val="auto"/>
          <w:kern w:val="0"/>
          <w:szCs w:val="21"/>
          <w:u w:val="single"/>
        </w:rPr>
      </w:pPr>
      <w:r>
        <w:rPr>
          <w:rFonts w:hint="eastAsia" w:ascii="宋体" w:hAnsi="宋体" w:cs="宋体"/>
          <w:color w:val="auto"/>
          <w:kern w:val="0"/>
          <w:szCs w:val="21"/>
        </w:rPr>
        <w:t>4、联合体各成员单位内部的职责分工如下</w:t>
      </w:r>
      <w:r>
        <w:rPr>
          <w:rFonts w:hint="eastAsia" w:ascii="宋体" w:hAnsi="宋体" w:cs="宋体"/>
          <w:color w:val="auto"/>
          <w:kern w:val="0"/>
          <w:szCs w:val="21"/>
          <w:u w:val="single"/>
        </w:rPr>
        <w:t>：                             。</w:t>
      </w:r>
    </w:p>
    <w:p>
      <w:pPr>
        <w:pStyle w:val="14"/>
        <w:spacing w:line="360" w:lineRule="auto"/>
        <w:ind w:firstLine="420" w:firstLineChars="200"/>
        <w:rPr>
          <w:rFonts w:hAnsi="宋体" w:cs="宋体"/>
          <w:color w:val="auto"/>
          <w:szCs w:val="21"/>
        </w:rPr>
      </w:pPr>
      <w:r>
        <w:rPr>
          <w:rFonts w:hint="eastAsia" w:hAnsi="宋体" w:cs="宋体"/>
          <w:color w:val="auto"/>
          <w:kern w:val="0"/>
        </w:rPr>
        <w:t>5、本联合体中</w:t>
      </w:r>
      <w:r>
        <w:rPr>
          <w:rFonts w:hint="eastAsia" w:hAnsi="宋体" w:cs="宋体"/>
          <w:color w:val="auto"/>
          <w:kern w:val="0"/>
          <w:u w:val="single"/>
        </w:rPr>
        <w:t>，（某成员单位名称）为</w:t>
      </w:r>
      <w:r>
        <w:rPr>
          <w:rFonts w:hint="eastAsia" w:hAnsi="宋体" w:cs="宋体"/>
          <w:color w:val="auto"/>
        </w:rPr>
        <w:t>（请填写：中型、小型、微型）企业，其协议合同金额占联合体协议合同总金额的%。【如联合体成员中有小型、微型企业的，请填写此条，否则无需填写；如联合体成员中有多个小型、微型企业的，请逐一列出。】</w:t>
      </w:r>
    </w:p>
    <w:p>
      <w:pPr>
        <w:autoSpaceDE w:val="0"/>
        <w:autoSpaceDN w:val="0"/>
        <w:adjustRightInd w:val="0"/>
        <w:spacing w:line="360" w:lineRule="auto"/>
        <w:ind w:firstLine="420"/>
        <w:jc w:val="left"/>
        <w:rPr>
          <w:rFonts w:ascii="宋体" w:hAnsi="宋体" w:cs="宋体"/>
          <w:color w:val="auto"/>
          <w:kern w:val="0"/>
          <w:szCs w:val="21"/>
        </w:rPr>
      </w:pPr>
      <w:r>
        <w:rPr>
          <w:rFonts w:hint="eastAsia" w:ascii="宋体" w:hAnsi="宋体" w:cs="宋体"/>
          <w:color w:val="auto"/>
          <w:kern w:val="0"/>
          <w:szCs w:val="21"/>
        </w:rPr>
        <w:t>6、本协议书自签署之日起生效，合同履行完毕后自动失效。</w:t>
      </w:r>
    </w:p>
    <w:p>
      <w:pPr>
        <w:autoSpaceDE w:val="0"/>
        <w:autoSpaceDN w:val="0"/>
        <w:adjustRightInd w:val="0"/>
        <w:spacing w:line="360" w:lineRule="auto"/>
        <w:ind w:firstLine="420"/>
        <w:jc w:val="left"/>
        <w:rPr>
          <w:rFonts w:ascii="宋体" w:hAnsi="宋体" w:cs="宋体"/>
          <w:color w:val="auto"/>
          <w:kern w:val="0"/>
          <w:szCs w:val="21"/>
        </w:rPr>
      </w:pPr>
      <w:r>
        <w:rPr>
          <w:rFonts w:hint="eastAsia" w:ascii="宋体" w:hAnsi="宋体" w:cs="宋体"/>
          <w:color w:val="auto"/>
          <w:kern w:val="0"/>
          <w:szCs w:val="21"/>
        </w:rPr>
        <w:t>7、本协议书一式份，联合体成员和采购代理机构各执一份。</w:t>
      </w:r>
    </w:p>
    <w:p>
      <w:pPr>
        <w:autoSpaceDE w:val="0"/>
        <w:autoSpaceDN w:val="0"/>
        <w:adjustRightInd w:val="0"/>
        <w:spacing w:line="360" w:lineRule="auto"/>
        <w:ind w:firstLine="420"/>
        <w:jc w:val="left"/>
        <w:rPr>
          <w:rFonts w:ascii="宋体" w:hAnsi="宋体" w:cs="宋体"/>
          <w:color w:val="auto"/>
          <w:kern w:val="0"/>
          <w:szCs w:val="21"/>
        </w:rPr>
      </w:pPr>
      <w:r>
        <w:rPr>
          <w:rFonts w:hint="eastAsia" w:ascii="宋体" w:hAnsi="宋体" w:cs="宋体"/>
          <w:color w:val="auto"/>
          <w:kern w:val="0"/>
          <w:szCs w:val="21"/>
        </w:rPr>
        <w:t>注：本协议书由法定代表人签字的，应附法定代表人身份证明；本协议书由委托代理人签字的，应附法定代表人授权委托书。</w:t>
      </w:r>
    </w:p>
    <w:p>
      <w:pPr>
        <w:autoSpaceDE w:val="0"/>
        <w:autoSpaceDN w:val="0"/>
        <w:adjustRightInd w:val="0"/>
        <w:spacing w:line="360" w:lineRule="auto"/>
        <w:jc w:val="left"/>
        <w:rPr>
          <w:rFonts w:ascii="宋体" w:hAnsi="宋体" w:cs="宋体"/>
          <w:color w:val="auto"/>
          <w:kern w:val="0"/>
          <w:szCs w:val="21"/>
        </w:rPr>
      </w:pPr>
      <w:r>
        <w:rPr>
          <w:rFonts w:hint="eastAsia" w:ascii="宋体" w:hAnsi="宋体" w:cs="宋体"/>
          <w:color w:val="auto"/>
          <w:kern w:val="0"/>
          <w:szCs w:val="21"/>
        </w:rPr>
        <w:t>牵头人名称：（盖公章）</w:t>
      </w:r>
    </w:p>
    <w:p>
      <w:pPr>
        <w:autoSpaceDE w:val="0"/>
        <w:autoSpaceDN w:val="0"/>
        <w:adjustRightInd w:val="0"/>
        <w:spacing w:line="360" w:lineRule="auto"/>
        <w:jc w:val="left"/>
        <w:rPr>
          <w:rFonts w:ascii="宋体" w:hAnsi="宋体" w:cs="宋体"/>
          <w:color w:val="auto"/>
          <w:kern w:val="0"/>
          <w:szCs w:val="21"/>
        </w:rPr>
      </w:pPr>
      <w:r>
        <w:rPr>
          <w:rFonts w:hint="eastAsia" w:ascii="宋体" w:hAnsi="宋体" w:cs="宋体"/>
          <w:color w:val="auto"/>
          <w:kern w:val="0"/>
          <w:szCs w:val="21"/>
        </w:rPr>
        <w:t>法定代表人或其委托代理人：（签字）</w:t>
      </w:r>
    </w:p>
    <w:p>
      <w:pPr>
        <w:autoSpaceDE w:val="0"/>
        <w:autoSpaceDN w:val="0"/>
        <w:adjustRightInd w:val="0"/>
        <w:spacing w:line="360" w:lineRule="auto"/>
        <w:jc w:val="left"/>
        <w:rPr>
          <w:rFonts w:ascii="宋体" w:hAnsi="宋体" w:cs="宋体"/>
          <w:color w:val="auto"/>
          <w:kern w:val="0"/>
          <w:szCs w:val="21"/>
        </w:rPr>
      </w:pPr>
    </w:p>
    <w:p>
      <w:pPr>
        <w:autoSpaceDE w:val="0"/>
        <w:autoSpaceDN w:val="0"/>
        <w:adjustRightInd w:val="0"/>
        <w:spacing w:line="360" w:lineRule="auto"/>
        <w:jc w:val="left"/>
        <w:rPr>
          <w:rFonts w:ascii="宋体" w:hAnsi="宋体" w:cs="宋体"/>
          <w:color w:val="auto"/>
          <w:kern w:val="0"/>
          <w:szCs w:val="21"/>
        </w:rPr>
      </w:pPr>
      <w:r>
        <w:rPr>
          <w:rFonts w:hint="eastAsia" w:ascii="宋体" w:hAnsi="宋体" w:cs="宋体"/>
          <w:color w:val="auto"/>
          <w:kern w:val="0"/>
          <w:szCs w:val="21"/>
        </w:rPr>
        <w:t>成员一名称：（盖公章）</w:t>
      </w:r>
    </w:p>
    <w:p>
      <w:pPr>
        <w:autoSpaceDE w:val="0"/>
        <w:autoSpaceDN w:val="0"/>
        <w:adjustRightInd w:val="0"/>
        <w:spacing w:line="360" w:lineRule="auto"/>
        <w:jc w:val="left"/>
        <w:rPr>
          <w:rFonts w:ascii="宋体" w:hAnsi="宋体" w:cs="宋体"/>
          <w:color w:val="auto"/>
          <w:kern w:val="0"/>
          <w:szCs w:val="21"/>
        </w:rPr>
      </w:pPr>
      <w:r>
        <w:rPr>
          <w:rFonts w:hint="eastAsia" w:ascii="宋体" w:hAnsi="宋体" w:cs="宋体"/>
          <w:color w:val="auto"/>
          <w:kern w:val="0"/>
          <w:szCs w:val="21"/>
        </w:rPr>
        <w:t>法定代表人或其委托代理人：（签字）</w:t>
      </w:r>
    </w:p>
    <w:p>
      <w:pPr>
        <w:autoSpaceDE w:val="0"/>
        <w:autoSpaceDN w:val="0"/>
        <w:adjustRightInd w:val="0"/>
        <w:spacing w:line="360" w:lineRule="auto"/>
        <w:jc w:val="left"/>
        <w:rPr>
          <w:rFonts w:ascii="宋体" w:hAnsi="宋体" w:cs="宋体"/>
          <w:color w:val="auto"/>
          <w:kern w:val="0"/>
          <w:szCs w:val="21"/>
        </w:rPr>
      </w:pPr>
    </w:p>
    <w:p>
      <w:pPr>
        <w:autoSpaceDE w:val="0"/>
        <w:autoSpaceDN w:val="0"/>
        <w:adjustRightInd w:val="0"/>
        <w:spacing w:line="360" w:lineRule="auto"/>
        <w:jc w:val="left"/>
        <w:rPr>
          <w:rFonts w:ascii="宋体" w:hAnsi="宋体" w:cs="宋体"/>
          <w:color w:val="auto"/>
          <w:kern w:val="0"/>
          <w:szCs w:val="21"/>
        </w:rPr>
      </w:pPr>
      <w:r>
        <w:rPr>
          <w:rFonts w:hint="eastAsia" w:ascii="宋体" w:hAnsi="宋体" w:cs="宋体"/>
          <w:color w:val="auto"/>
          <w:kern w:val="0"/>
          <w:szCs w:val="21"/>
        </w:rPr>
        <w:t>成员二名称：（盖公章）</w:t>
      </w:r>
    </w:p>
    <w:p>
      <w:pPr>
        <w:pStyle w:val="14"/>
        <w:spacing w:line="360" w:lineRule="auto"/>
        <w:rPr>
          <w:rFonts w:hAnsi="宋体" w:cs="宋体"/>
          <w:color w:val="auto"/>
          <w:kern w:val="0"/>
          <w:szCs w:val="21"/>
        </w:rPr>
      </w:pPr>
      <w:r>
        <w:rPr>
          <w:rFonts w:hint="eastAsia" w:hAnsi="宋体" w:cs="宋体"/>
          <w:color w:val="auto"/>
          <w:kern w:val="0"/>
          <w:szCs w:val="21"/>
        </w:rPr>
        <w:t>法定代表人或其委托代理人：（签字）</w:t>
      </w:r>
    </w:p>
    <w:p>
      <w:pPr>
        <w:pStyle w:val="8"/>
        <w:overflowPunct w:val="0"/>
        <w:spacing w:line="360" w:lineRule="auto"/>
        <w:ind w:firstLineChars="175"/>
        <w:rPr>
          <w:rFonts w:ascii="宋体" w:hAnsi="宋体" w:cs="宋体"/>
          <w:color w:val="auto"/>
          <w:sz w:val="24"/>
        </w:rPr>
      </w:pPr>
      <w:r>
        <w:rPr>
          <w:rFonts w:hint="eastAsia" w:ascii="宋体" w:hAnsi="宋体" w:cs="宋体"/>
          <w:color w:val="auto"/>
          <w:sz w:val="24"/>
        </w:rPr>
        <w:t>……</w:t>
      </w:r>
    </w:p>
    <w:p>
      <w:pPr>
        <w:pStyle w:val="8"/>
        <w:overflowPunct w:val="0"/>
        <w:spacing w:line="360" w:lineRule="auto"/>
        <w:ind w:firstLineChars="175"/>
        <w:rPr>
          <w:rFonts w:ascii="宋体" w:hAnsi="宋体" w:cs="宋体"/>
          <w:color w:val="auto"/>
          <w:sz w:val="24"/>
        </w:rPr>
      </w:pPr>
    </w:p>
    <w:p>
      <w:pPr>
        <w:pStyle w:val="8"/>
        <w:overflowPunct w:val="0"/>
        <w:spacing w:line="360" w:lineRule="auto"/>
        <w:ind w:firstLine="7140" w:firstLineChars="2975"/>
        <w:rPr>
          <w:rFonts w:ascii="宋体" w:hAnsi="宋体" w:cs="宋体"/>
          <w:color w:val="auto"/>
          <w:sz w:val="24"/>
        </w:rPr>
      </w:pPr>
      <w:r>
        <w:rPr>
          <w:rFonts w:hint="eastAsia" w:ascii="宋体" w:hAnsi="宋体" w:cs="宋体"/>
          <w:color w:val="auto"/>
          <w:sz w:val="24"/>
        </w:rPr>
        <w:tab/>
      </w:r>
      <w:r>
        <w:rPr>
          <w:rFonts w:hint="eastAsia" w:ascii="宋体" w:hAnsi="宋体" w:cs="宋体"/>
          <w:color w:val="auto"/>
          <w:sz w:val="24"/>
        </w:rPr>
        <w:t xml:space="preserve">年  </w:t>
      </w:r>
      <w:r>
        <w:rPr>
          <w:rFonts w:hint="eastAsia" w:ascii="宋体" w:hAnsi="宋体" w:cs="宋体"/>
          <w:color w:val="auto"/>
          <w:sz w:val="24"/>
        </w:rPr>
        <w:tab/>
      </w:r>
      <w:r>
        <w:rPr>
          <w:rFonts w:hint="eastAsia" w:ascii="宋体" w:hAnsi="宋体" w:cs="宋体"/>
          <w:color w:val="auto"/>
          <w:sz w:val="24"/>
        </w:rPr>
        <w:t xml:space="preserve">月  </w:t>
      </w:r>
      <w:r>
        <w:rPr>
          <w:rFonts w:hint="eastAsia" w:ascii="宋体" w:hAnsi="宋体" w:cs="宋体"/>
          <w:color w:val="auto"/>
          <w:sz w:val="24"/>
        </w:rPr>
        <w:tab/>
      </w:r>
      <w:r>
        <w:rPr>
          <w:rFonts w:hint="eastAsia" w:ascii="宋体" w:hAnsi="宋体" w:cs="宋体"/>
          <w:color w:val="auto"/>
          <w:sz w:val="24"/>
        </w:rPr>
        <w:t>日</w:t>
      </w:r>
    </w:p>
    <w:p>
      <w:pPr>
        <w:pStyle w:val="14"/>
        <w:spacing w:line="600" w:lineRule="exact"/>
        <w:jc w:val="center"/>
        <w:rPr>
          <w:rFonts w:hAnsi="宋体" w:cs="宋体"/>
          <w:color w:val="auto"/>
          <w:kern w:val="0"/>
          <w:szCs w:val="21"/>
        </w:rPr>
      </w:pPr>
    </w:p>
    <w:p>
      <w:pPr>
        <w:pStyle w:val="14"/>
        <w:rPr>
          <w:rFonts w:hAnsi="宋体"/>
          <w:color w:val="auto"/>
          <w:szCs w:val="21"/>
        </w:rPr>
      </w:pPr>
    </w:p>
    <w:p>
      <w:pPr>
        <w:pStyle w:val="14"/>
        <w:jc w:val="center"/>
        <w:outlineLvl w:val="1"/>
        <w:rPr>
          <w:rFonts w:hAnsi="宋体"/>
          <w:b/>
          <w:bCs/>
          <w:color w:val="auto"/>
          <w:sz w:val="28"/>
          <w:szCs w:val="28"/>
        </w:rPr>
      </w:pPr>
      <w:bookmarkStart w:id="370" w:name="_Toc3944"/>
      <w:bookmarkStart w:id="371" w:name="_Toc12624"/>
      <w:bookmarkStart w:id="372" w:name="_Toc20777"/>
      <w:bookmarkStart w:id="373" w:name="_Toc19686838"/>
      <w:bookmarkStart w:id="374" w:name="_Toc31528"/>
      <w:bookmarkStart w:id="375" w:name="_Toc2566"/>
      <w:bookmarkStart w:id="376" w:name="_Toc6839"/>
      <w:bookmarkStart w:id="377" w:name="_Toc13159"/>
      <w:bookmarkStart w:id="378" w:name="_Toc16062"/>
      <w:bookmarkStart w:id="379" w:name="_Toc24133"/>
      <w:bookmarkStart w:id="380" w:name="_Toc8189"/>
    </w:p>
    <w:p>
      <w:pPr>
        <w:pStyle w:val="14"/>
        <w:jc w:val="center"/>
        <w:outlineLvl w:val="1"/>
        <w:rPr>
          <w:rFonts w:hAnsi="宋体"/>
          <w:b/>
          <w:bCs/>
          <w:color w:val="auto"/>
          <w:sz w:val="28"/>
          <w:szCs w:val="28"/>
        </w:rPr>
      </w:pPr>
      <w:r>
        <w:rPr>
          <w:rFonts w:hint="eastAsia" w:hAnsi="宋体"/>
          <w:b/>
          <w:bCs/>
          <w:color w:val="auto"/>
          <w:sz w:val="28"/>
          <w:szCs w:val="28"/>
        </w:rPr>
        <w:t>第二节 商务文件格式</w:t>
      </w:r>
      <w:bookmarkEnd w:id="370"/>
      <w:bookmarkEnd w:id="371"/>
      <w:bookmarkEnd w:id="372"/>
      <w:bookmarkEnd w:id="373"/>
      <w:bookmarkEnd w:id="374"/>
      <w:bookmarkEnd w:id="375"/>
      <w:bookmarkEnd w:id="376"/>
      <w:bookmarkEnd w:id="377"/>
      <w:bookmarkEnd w:id="378"/>
      <w:bookmarkEnd w:id="379"/>
      <w:bookmarkEnd w:id="380"/>
    </w:p>
    <w:p>
      <w:pPr>
        <w:snapToGrid w:val="0"/>
        <w:spacing w:beforeLines="50" w:after="50"/>
        <w:rPr>
          <w:rFonts w:ascii="宋体" w:hAnsi="宋体"/>
          <w:color w:val="auto"/>
          <w:sz w:val="30"/>
          <w:szCs w:val="20"/>
        </w:rPr>
      </w:pPr>
    </w:p>
    <w:p>
      <w:pPr>
        <w:pStyle w:val="2"/>
        <w:rPr>
          <w:color w:val="auto"/>
        </w:rPr>
      </w:pPr>
      <w:r>
        <w:rPr>
          <w:rFonts w:hint="eastAsia" w:ascii="宋体" w:hAnsi="宋体" w:cs="宋体"/>
          <w:b/>
          <w:color w:val="auto"/>
          <w:sz w:val="28"/>
          <w:szCs w:val="28"/>
        </w:rPr>
        <w:t>1.商务文件封面的格式</w:t>
      </w:r>
      <w:r>
        <w:rPr>
          <w:rFonts w:hint="eastAsia" w:hAnsi="宋体" w:cs="宋体"/>
          <w:b/>
          <w:bCs/>
          <w:color w:val="auto"/>
          <w:sz w:val="28"/>
          <w:szCs w:val="28"/>
        </w:rPr>
        <w:t>（参照此格式自拟）</w:t>
      </w:r>
      <w:r>
        <w:rPr>
          <w:rFonts w:hint="eastAsia" w:ascii="宋体" w:hAnsi="宋体" w:cs="宋体"/>
          <w:b/>
          <w:color w:val="auto"/>
          <w:sz w:val="28"/>
          <w:szCs w:val="28"/>
        </w:rPr>
        <w:t>：</w:t>
      </w:r>
    </w:p>
    <w:p>
      <w:pPr>
        <w:snapToGrid w:val="0"/>
        <w:spacing w:beforeLines="50" w:after="50"/>
        <w:rPr>
          <w:rFonts w:ascii="宋体" w:hAnsi="宋体"/>
          <w:bCs/>
          <w:color w:val="auto"/>
          <w:sz w:val="32"/>
          <w:szCs w:val="20"/>
        </w:rPr>
      </w:pPr>
      <w:r>
        <w:rPr>
          <w:rFonts w:hint="eastAsia" w:ascii="宋体" w:hAnsi="宋体"/>
          <w:bCs/>
          <w:color w:val="auto"/>
        </w:rPr>
        <w:t xml:space="preserve">             电子投标文件</w:t>
      </w:r>
    </w:p>
    <w:p>
      <w:pPr>
        <w:snapToGrid w:val="0"/>
        <w:spacing w:beforeLines="50" w:after="50"/>
        <w:rPr>
          <w:rFonts w:ascii="宋体" w:hAnsi="宋体"/>
          <w:color w:val="auto"/>
          <w:sz w:val="24"/>
          <w:szCs w:val="20"/>
        </w:rPr>
      </w:pPr>
    </w:p>
    <w:p>
      <w:pPr>
        <w:snapToGrid w:val="0"/>
        <w:spacing w:beforeLines="50" w:after="50"/>
        <w:jc w:val="center"/>
        <w:rPr>
          <w:rFonts w:ascii="宋体" w:hAnsi="宋体"/>
          <w:b/>
          <w:color w:val="auto"/>
          <w:sz w:val="24"/>
          <w:szCs w:val="20"/>
        </w:rPr>
      </w:pPr>
      <w:r>
        <w:rPr>
          <w:rFonts w:hint="eastAsia" w:ascii="宋体" w:hAnsi="宋体"/>
          <w:b/>
          <w:color w:val="auto"/>
          <w:sz w:val="32"/>
          <w:szCs w:val="32"/>
        </w:rPr>
        <w:t>商务文件</w:t>
      </w:r>
    </w:p>
    <w:p>
      <w:pPr>
        <w:snapToGrid w:val="0"/>
        <w:spacing w:beforeLines="50" w:after="50"/>
        <w:rPr>
          <w:rFonts w:ascii="宋体" w:hAnsi="宋体"/>
          <w:bCs/>
          <w:color w:val="auto"/>
          <w:sz w:val="24"/>
          <w:szCs w:val="20"/>
        </w:rPr>
      </w:pPr>
    </w:p>
    <w:p>
      <w:pPr>
        <w:snapToGrid w:val="0"/>
        <w:spacing w:beforeLines="50" w:after="50"/>
        <w:ind w:firstLine="540" w:firstLineChars="225"/>
        <w:rPr>
          <w:rFonts w:ascii="宋体" w:hAnsi="宋体"/>
          <w:bCs/>
          <w:color w:val="auto"/>
          <w:sz w:val="24"/>
        </w:rPr>
      </w:pPr>
    </w:p>
    <w:p>
      <w:pPr>
        <w:snapToGrid w:val="0"/>
        <w:spacing w:beforeLines="50" w:after="50"/>
        <w:ind w:firstLine="540" w:firstLineChars="225"/>
        <w:rPr>
          <w:rFonts w:ascii="宋体" w:hAnsi="宋体"/>
          <w:bCs/>
          <w:color w:val="auto"/>
          <w:sz w:val="24"/>
          <w:szCs w:val="20"/>
        </w:rPr>
      </w:pPr>
      <w:r>
        <w:rPr>
          <w:rFonts w:hint="eastAsia" w:ascii="宋体" w:hAnsi="宋体"/>
          <w:bCs/>
          <w:color w:val="auto"/>
          <w:sz w:val="24"/>
        </w:rPr>
        <w:t>项目名称：</w:t>
      </w:r>
    </w:p>
    <w:p>
      <w:pPr>
        <w:snapToGrid w:val="0"/>
        <w:spacing w:beforeLines="50" w:after="50"/>
        <w:ind w:firstLine="540" w:firstLineChars="225"/>
        <w:rPr>
          <w:rFonts w:ascii="宋体" w:hAnsi="宋体"/>
          <w:bCs/>
          <w:color w:val="auto"/>
          <w:sz w:val="24"/>
          <w:szCs w:val="20"/>
        </w:rPr>
      </w:pPr>
      <w:r>
        <w:rPr>
          <w:rFonts w:hint="eastAsia" w:ascii="宋体" w:hAnsi="宋体"/>
          <w:bCs/>
          <w:color w:val="auto"/>
          <w:sz w:val="24"/>
        </w:rPr>
        <w:t xml:space="preserve">项目编号： </w:t>
      </w:r>
    </w:p>
    <w:p>
      <w:pPr>
        <w:snapToGrid w:val="0"/>
        <w:spacing w:beforeLines="50" w:after="50"/>
        <w:ind w:firstLine="540" w:firstLineChars="225"/>
        <w:rPr>
          <w:rFonts w:ascii="宋体" w:hAnsi="宋体"/>
          <w:bCs/>
          <w:color w:val="auto"/>
          <w:sz w:val="24"/>
        </w:rPr>
      </w:pPr>
      <w:r>
        <w:rPr>
          <w:rFonts w:hint="eastAsia" w:ascii="宋体" w:hAnsi="宋体"/>
          <w:bCs/>
          <w:color w:val="auto"/>
          <w:sz w:val="24"/>
        </w:rPr>
        <w:t>所投分标（如有则填写，无分标时填写“无”或者留空）：</w:t>
      </w:r>
    </w:p>
    <w:p>
      <w:pPr>
        <w:snapToGrid w:val="0"/>
        <w:spacing w:beforeLines="50" w:after="50"/>
        <w:ind w:firstLine="540" w:firstLineChars="225"/>
        <w:rPr>
          <w:rFonts w:ascii="宋体" w:hAnsi="宋体"/>
          <w:bCs/>
          <w:color w:val="auto"/>
          <w:sz w:val="24"/>
          <w:szCs w:val="20"/>
        </w:rPr>
      </w:pPr>
    </w:p>
    <w:p>
      <w:pPr>
        <w:pStyle w:val="8"/>
        <w:snapToGrid w:val="0"/>
        <w:spacing w:before="50" w:after="50"/>
        <w:ind w:firstLine="540" w:firstLineChars="225"/>
        <w:rPr>
          <w:rFonts w:ascii="宋体" w:hAnsi="宋体"/>
          <w:bCs/>
          <w:color w:val="auto"/>
          <w:sz w:val="24"/>
          <w:szCs w:val="24"/>
        </w:rPr>
      </w:pPr>
      <w:r>
        <w:rPr>
          <w:rFonts w:hint="eastAsia" w:ascii="宋体" w:hAnsi="宋体"/>
          <w:bCs/>
          <w:color w:val="auto"/>
          <w:sz w:val="24"/>
          <w:szCs w:val="24"/>
        </w:rPr>
        <w:t>投标人名称：</w:t>
      </w:r>
    </w:p>
    <w:p>
      <w:pPr>
        <w:pStyle w:val="8"/>
        <w:snapToGrid w:val="0"/>
        <w:spacing w:before="50" w:after="50"/>
        <w:ind w:firstLine="540" w:firstLineChars="225"/>
        <w:rPr>
          <w:rFonts w:ascii="宋体" w:hAnsi="宋体"/>
          <w:bCs/>
          <w:color w:val="auto"/>
          <w:sz w:val="24"/>
          <w:szCs w:val="24"/>
        </w:rPr>
      </w:pPr>
    </w:p>
    <w:p>
      <w:pPr>
        <w:pStyle w:val="8"/>
        <w:snapToGrid w:val="0"/>
        <w:spacing w:before="50" w:after="50"/>
        <w:ind w:firstLine="960" w:firstLineChars="400"/>
        <w:rPr>
          <w:rFonts w:ascii="宋体" w:hAnsi="宋体"/>
          <w:bCs/>
          <w:color w:val="auto"/>
          <w:sz w:val="24"/>
          <w:szCs w:val="24"/>
        </w:rPr>
      </w:pPr>
    </w:p>
    <w:p>
      <w:pPr>
        <w:snapToGrid w:val="0"/>
        <w:spacing w:beforeLines="50" w:after="50"/>
        <w:ind w:firstLine="645"/>
        <w:rPr>
          <w:rFonts w:ascii="宋体" w:hAnsi="宋体"/>
          <w:color w:val="auto"/>
          <w:sz w:val="24"/>
        </w:rPr>
      </w:pPr>
    </w:p>
    <w:p>
      <w:pPr>
        <w:snapToGrid w:val="0"/>
        <w:spacing w:beforeLines="50" w:after="50"/>
        <w:ind w:firstLine="645"/>
        <w:rPr>
          <w:rFonts w:ascii="宋体" w:hAnsi="宋体"/>
          <w:color w:val="auto"/>
          <w:sz w:val="24"/>
        </w:rPr>
      </w:pPr>
    </w:p>
    <w:p>
      <w:pPr>
        <w:snapToGrid w:val="0"/>
        <w:spacing w:beforeLines="50" w:after="50"/>
        <w:ind w:firstLine="645"/>
        <w:rPr>
          <w:rFonts w:ascii="宋体" w:hAnsi="宋体"/>
          <w:color w:val="auto"/>
          <w:sz w:val="24"/>
        </w:rPr>
      </w:pPr>
    </w:p>
    <w:p>
      <w:pPr>
        <w:snapToGrid w:val="0"/>
        <w:spacing w:beforeLines="50" w:after="50"/>
        <w:ind w:firstLine="645"/>
        <w:rPr>
          <w:rFonts w:ascii="宋体" w:hAnsi="宋体"/>
          <w:color w:val="auto"/>
          <w:sz w:val="24"/>
        </w:rPr>
      </w:pPr>
    </w:p>
    <w:p>
      <w:pPr>
        <w:snapToGrid w:val="0"/>
        <w:spacing w:beforeLines="50" w:after="50"/>
        <w:ind w:firstLine="645"/>
        <w:rPr>
          <w:rFonts w:ascii="宋体" w:hAnsi="宋体"/>
          <w:color w:val="auto"/>
          <w:sz w:val="24"/>
        </w:rPr>
      </w:pPr>
    </w:p>
    <w:p>
      <w:pPr>
        <w:snapToGrid w:val="0"/>
        <w:spacing w:beforeLines="50" w:after="50"/>
        <w:ind w:firstLine="4329" w:firstLineChars="1804"/>
        <w:rPr>
          <w:rFonts w:ascii="宋体" w:hAnsi="宋体"/>
          <w:color w:val="auto"/>
          <w:sz w:val="24"/>
        </w:rPr>
      </w:pPr>
      <w:r>
        <w:rPr>
          <w:rFonts w:hint="eastAsia" w:ascii="宋体" w:hAnsi="宋体"/>
          <w:color w:val="auto"/>
          <w:sz w:val="24"/>
        </w:rPr>
        <w:t xml:space="preserve"> 年  月  日</w:t>
      </w:r>
    </w:p>
    <w:p>
      <w:pPr>
        <w:spacing w:line="360" w:lineRule="auto"/>
        <w:ind w:right="420"/>
        <w:rPr>
          <w:rFonts w:ascii="仿宋_GB2312" w:hAnsi="仿宋" w:eastAsia="仿宋_GB2312" w:cs="仿宋_GB2312"/>
          <w:b/>
          <w:color w:val="auto"/>
          <w:kern w:val="0"/>
          <w:sz w:val="36"/>
          <w:szCs w:val="36"/>
        </w:rPr>
      </w:pPr>
    </w:p>
    <w:p>
      <w:pPr>
        <w:rPr>
          <w:rFonts w:ascii="仿宋_GB2312" w:hAnsi="仿宋" w:eastAsia="仿宋_GB2312" w:cs="仿宋_GB2312"/>
          <w:b/>
          <w:color w:val="auto"/>
          <w:kern w:val="0"/>
          <w:sz w:val="24"/>
        </w:rPr>
      </w:pPr>
      <w:r>
        <w:rPr>
          <w:rFonts w:hint="eastAsia" w:ascii="仿宋_GB2312" w:hAnsi="仿宋" w:eastAsia="仿宋_GB2312" w:cs="仿宋_GB2312"/>
          <w:b/>
          <w:color w:val="auto"/>
          <w:kern w:val="0"/>
          <w:sz w:val="24"/>
        </w:rPr>
        <w:br w:type="page"/>
      </w:r>
    </w:p>
    <w:p>
      <w:pPr>
        <w:spacing w:line="360" w:lineRule="auto"/>
        <w:ind w:right="420"/>
        <w:rPr>
          <w:rFonts w:ascii="宋体" w:hAnsi="宋体" w:cs="宋体"/>
          <w:color w:val="auto"/>
          <w:sz w:val="24"/>
          <w:szCs w:val="20"/>
        </w:rPr>
      </w:pPr>
      <w:r>
        <w:rPr>
          <w:rFonts w:hint="eastAsia" w:ascii="宋体" w:hAnsi="宋体" w:cs="宋体"/>
          <w:b/>
          <w:bCs/>
          <w:color w:val="auto"/>
          <w:sz w:val="28"/>
          <w:szCs w:val="28"/>
        </w:rPr>
        <w:t>2.商务文件目录</w:t>
      </w:r>
    </w:p>
    <w:p>
      <w:pPr>
        <w:jc w:val="left"/>
        <w:rPr>
          <w:b/>
          <w:bCs/>
          <w:color w:val="auto"/>
          <w:sz w:val="30"/>
          <w:szCs w:val="30"/>
        </w:rPr>
      </w:pPr>
      <w:r>
        <w:rPr>
          <w:rFonts w:hint="eastAsia" w:ascii="宋体" w:hAnsi="宋体" w:cs="宋体"/>
          <w:color w:val="auto"/>
          <w:kern w:val="0"/>
          <w:sz w:val="24"/>
        </w:rPr>
        <w:t>根据招标文件规定及投标人提供的材料自行编写目录（部分格式后附）。</w:t>
      </w:r>
      <w:r>
        <w:rPr>
          <w:rFonts w:hint="eastAsia"/>
          <w:b/>
          <w:bCs/>
          <w:color w:val="auto"/>
          <w:sz w:val="30"/>
          <w:szCs w:val="30"/>
        </w:rPr>
        <w:br w:type="page"/>
      </w:r>
    </w:p>
    <w:p>
      <w:pPr>
        <w:snapToGrid w:val="0"/>
        <w:spacing w:beforeLines="50" w:after="50"/>
        <w:rPr>
          <w:b/>
          <w:bCs/>
          <w:color w:val="auto"/>
          <w:sz w:val="30"/>
          <w:szCs w:val="30"/>
        </w:rPr>
      </w:pPr>
      <w:r>
        <w:rPr>
          <w:rFonts w:hint="eastAsia" w:ascii="宋体" w:hAnsi="宋体" w:cs="宋体"/>
          <w:b/>
          <w:bCs/>
          <w:color w:val="auto"/>
          <w:sz w:val="28"/>
          <w:szCs w:val="28"/>
        </w:rPr>
        <w:t>3.无串通投标行为的承诺函的格式：</w:t>
      </w:r>
    </w:p>
    <w:p>
      <w:pPr>
        <w:snapToGrid w:val="0"/>
        <w:spacing w:beforeLines="50" w:after="50"/>
        <w:ind w:left="420"/>
        <w:jc w:val="center"/>
        <w:rPr>
          <w:rFonts w:ascii="宋体" w:hAnsi="宋体"/>
          <w:b/>
          <w:color w:val="auto"/>
          <w:sz w:val="32"/>
          <w:szCs w:val="32"/>
        </w:rPr>
      </w:pPr>
    </w:p>
    <w:p>
      <w:pPr>
        <w:snapToGrid w:val="0"/>
        <w:spacing w:beforeLines="50" w:after="50"/>
        <w:ind w:left="420"/>
        <w:jc w:val="center"/>
        <w:rPr>
          <w:rFonts w:ascii="宋体" w:hAnsi="宋体"/>
          <w:b/>
          <w:color w:val="auto"/>
          <w:sz w:val="32"/>
          <w:szCs w:val="32"/>
        </w:rPr>
      </w:pPr>
      <w:r>
        <w:rPr>
          <w:rFonts w:hint="eastAsia" w:ascii="宋体" w:hAnsi="宋体"/>
          <w:b/>
          <w:color w:val="auto"/>
          <w:sz w:val="32"/>
          <w:szCs w:val="32"/>
        </w:rPr>
        <w:t>参加本项目无</w:t>
      </w:r>
      <w:r>
        <w:rPr>
          <w:rFonts w:hint="eastAsia"/>
          <w:b/>
          <w:bCs/>
          <w:color w:val="auto"/>
          <w:sz w:val="32"/>
          <w:szCs w:val="32"/>
        </w:rPr>
        <w:t>串通投</w:t>
      </w:r>
      <w:r>
        <w:rPr>
          <w:rFonts w:hint="eastAsia" w:ascii="宋体" w:hAnsi="宋体"/>
          <w:b/>
          <w:color w:val="auto"/>
          <w:sz w:val="32"/>
          <w:szCs w:val="32"/>
        </w:rPr>
        <w:t>标行为的承诺函</w:t>
      </w:r>
    </w:p>
    <w:p>
      <w:pPr>
        <w:snapToGrid w:val="0"/>
        <w:spacing w:beforeLines="50" w:after="50"/>
        <w:rPr>
          <w:rFonts w:ascii="宋体" w:hAnsi="宋体"/>
          <w:b/>
          <w:color w:val="auto"/>
          <w:szCs w:val="21"/>
        </w:rPr>
      </w:pPr>
    </w:p>
    <w:p>
      <w:pPr>
        <w:snapToGrid w:val="0"/>
        <w:spacing w:beforeLines="50" w:after="50" w:line="360" w:lineRule="auto"/>
        <w:jc w:val="left"/>
        <w:rPr>
          <w:rFonts w:ascii="宋体" w:hAnsi="宋体"/>
          <w:b/>
          <w:color w:val="auto"/>
          <w:szCs w:val="21"/>
        </w:rPr>
      </w:pPr>
      <w:r>
        <w:rPr>
          <w:rFonts w:hint="eastAsia" w:ascii="宋体" w:hAnsi="宋体"/>
          <w:b/>
          <w:color w:val="auto"/>
          <w:szCs w:val="21"/>
        </w:rPr>
        <w:t>一、我方承诺无下列相互串通投标的情形：</w:t>
      </w:r>
    </w:p>
    <w:p>
      <w:pPr>
        <w:snapToGrid w:val="0"/>
        <w:spacing w:beforeLines="50" w:after="50" w:line="360" w:lineRule="auto"/>
        <w:ind w:firstLine="411" w:firstLineChars="196"/>
        <w:jc w:val="left"/>
        <w:rPr>
          <w:rFonts w:ascii="宋体" w:hAnsi="宋体"/>
          <w:color w:val="auto"/>
          <w:szCs w:val="21"/>
        </w:rPr>
      </w:pPr>
      <w:r>
        <w:rPr>
          <w:rFonts w:hint="eastAsia" w:ascii="宋体" w:hAnsi="宋体"/>
          <w:color w:val="auto"/>
          <w:szCs w:val="21"/>
        </w:rPr>
        <w:t>1.不同投标人的投标文件由同一单位或者个人编制；或者不同投标人报名的IP地址一致的；</w:t>
      </w:r>
    </w:p>
    <w:p>
      <w:pPr>
        <w:snapToGrid w:val="0"/>
        <w:spacing w:beforeLines="50" w:after="50" w:line="360" w:lineRule="auto"/>
        <w:ind w:firstLine="411" w:firstLineChars="196"/>
        <w:jc w:val="left"/>
        <w:rPr>
          <w:rFonts w:ascii="宋体" w:hAnsi="宋体"/>
          <w:color w:val="auto"/>
          <w:szCs w:val="21"/>
        </w:rPr>
      </w:pPr>
      <w:r>
        <w:rPr>
          <w:rFonts w:hint="eastAsia" w:ascii="宋体" w:hAnsi="宋体"/>
          <w:color w:val="auto"/>
          <w:szCs w:val="21"/>
        </w:rPr>
        <w:t>2.不同投标人委托同一单位或者个人办理投标事宜；</w:t>
      </w:r>
    </w:p>
    <w:p>
      <w:pPr>
        <w:snapToGrid w:val="0"/>
        <w:spacing w:beforeLines="50" w:after="50" w:line="360" w:lineRule="auto"/>
        <w:ind w:firstLine="411" w:firstLineChars="196"/>
        <w:jc w:val="left"/>
        <w:rPr>
          <w:rFonts w:ascii="宋体" w:hAnsi="宋体"/>
          <w:color w:val="auto"/>
          <w:szCs w:val="21"/>
        </w:rPr>
      </w:pPr>
      <w:r>
        <w:rPr>
          <w:rFonts w:hint="eastAsia" w:ascii="宋体" w:hAnsi="宋体"/>
          <w:color w:val="auto"/>
          <w:szCs w:val="21"/>
        </w:rPr>
        <w:t>3.不同的投标人的投标文件载明的项目管理员为同一个人；</w:t>
      </w:r>
    </w:p>
    <w:p>
      <w:pPr>
        <w:snapToGrid w:val="0"/>
        <w:spacing w:beforeLines="50" w:after="50" w:line="360" w:lineRule="auto"/>
        <w:ind w:firstLine="411" w:firstLineChars="196"/>
        <w:jc w:val="left"/>
        <w:rPr>
          <w:rFonts w:ascii="宋体" w:hAnsi="宋体"/>
          <w:color w:val="auto"/>
          <w:szCs w:val="21"/>
        </w:rPr>
      </w:pPr>
      <w:r>
        <w:rPr>
          <w:rFonts w:hint="eastAsia" w:ascii="宋体" w:hAnsi="宋体"/>
          <w:color w:val="auto"/>
          <w:szCs w:val="21"/>
        </w:rPr>
        <w:t>4.不同投标人的投标文件异常一致或者投标报价呈规律性差异；</w:t>
      </w:r>
    </w:p>
    <w:p>
      <w:pPr>
        <w:snapToGrid w:val="0"/>
        <w:spacing w:beforeLines="50" w:after="50" w:line="360" w:lineRule="auto"/>
        <w:ind w:firstLine="411" w:firstLineChars="196"/>
        <w:jc w:val="left"/>
        <w:rPr>
          <w:rFonts w:ascii="宋体" w:hAnsi="宋体"/>
          <w:color w:val="auto"/>
          <w:szCs w:val="21"/>
        </w:rPr>
      </w:pPr>
      <w:r>
        <w:rPr>
          <w:rFonts w:hint="eastAsia" w:ascii="宋体" w:hAnsi="宋体"/>
          <w:color w:val="auto"/>
          <w:szCs w:val="21"/>
        </w:rPr>
        <w:t>5.不同投标人的投标文件相互混装；</w:t>
      </w:r>
    </w:p>
    <w:p>
      <w:pPr>
        <w:snapToGrid w:val="0"/>
        <w:spacing w:beforeLines="50" w:after="50" w:line="360" w:lineRule="auto"/>
        <w:ind w:firstLine="411" w:firstLineChars="196"/>
        <w:jc w:val="left"/>
        <w:rPr>
          <w:rFonts w:ascii="宋体" w:hAnsi="宋体"/>
          <w:color w:val="auto"/>
          <w:szCs w:val="21"/>
        </w:rPr>
      </w:pPr>
      <w:r>
        <w:rPr>
          <w:rFonts w:ascii="宋体" w:hAnsi="宋体"/>
          <w:color w:val="auto"/>
          <w:szCs w:val="21"/>
        </w:rPr>
        <w:t>6</w:t>
      </w:r>
      <w:r>
        <w:rPr>
          <w:rFonts w:hint="eastAsia" w:ascii="宋体" w:hAnsi="宋体"/>
          <w:color w:val="auto"/>
          <w:szCs w:val="21"/>
        </w:rPr>
        <w:t>.不同投标人的投标保证金从同一单位或者个人账户转出。</w:t>
      </w:r>
    </w:p>
    <w:p>
      <w:pPr>
        <w:snapToGrid w:val="0"/>
        <w:spacing w:beforeLines="50" w:after="50" w:line="360" w:lineRule="auto"/>
        <w:jc w:val="left"/>
        <w:rPr>
          <w:rFonts w:ascii="宋体" w:hAnsi="宋体"/>
          <w:color w:val="auto"/>
          <w:szCs w:val="21"/>
        </w:rPr>
      </w:pPr>
      <w:r>
        <w:rPr>
          <w:rFonts w:hint="eastAsia" w:ascii="宋体" w:hAnsi="宋体"/>
          <w:b/>
          <w:color w:val="auto"/>
          <w:szCs w:val="21"/>
        </w:rPr>
        <w:t>二、我方承诺无下列恶意串通的情形：</w:t>
      </w:r>
    </w:p>
    <w:p>
      <w:pPr>
        <w:snapToGrid w:val="0"/>
        <w:spacing w:beforeLines="50" w:after="50" w:line="360" w:lineRule="auto"/>
        <w:ind w:firstLine="411" w:firstLineChars="196"/>
        <w:jc w:val="left"/>
        <w:rPr>
          <w:rFonts w:ascii="宋体" w:hAnsi="宋体"/>
          <w:color w:val="auto"/>
          <w:szCs w:val="21"/>
        </w:rPr>
      </w:pPr>
      <w:r>
        <w:rPr>
          <w:rFonts w:hint="eastAsia" w:ascii="宋体" w:hAnsi="宋体"/>
          <w:color w:val="auto"/>
          <w:szCs w:val="21"/>
        </w:rPr>
        <w:t>1.投标人直接或者间接从采购人或者采购代理机构处获得其他投标人的相关信息并修改其投标文件；</w:t>
      </w:r>
    </w:p>
    <w:p>
      <w:pPr>
        <w:snapToGrid w:val="0"/>
        <w:spacing w:beforeLines="50" w:after="50" w:line="360" w:lineRule="auto"/>
        <w:ind w:firstLine="411" w:firstLineChars="196"/>
        <w:jc w:val="left"/>
        <w:rPr>
          <w:rFonts w:ascii="宋体" w:hAnsi="宋体"/>
          <w:color w:val="auto"/>
          <w:szCs w:val="21"/>
        </w:rPr>
      </w:pPr>
      <w:r>
        <w:rPr>
          <w:rFonts w:hint="eastAsia" w:ascii="宋体" w:hAnsi="宋体"/>
          <w:color w:val="auto"/>
          <w:szCs w:val="21"/>
        </w:rPr>
        <w:t>2.投标人按照采购人或者采购代理机构的授意撤换、修改投标文件；</w:t>
      </w:r>
    </w:p>
    <w:p>
      <w:pPr>
        <w:snapToGrid w:val="0"/>
        <w:spacing w:beforeLines="50" w:after="50" w:line="360" w:lineRule="auto"/>
        <w:ind w:firstLine="411" w:firstLineChars="196"/>
        <w:jc w:val="left"/>
        <w:rPr>
          <w:rFonts w:ascii="宋体" w:hAnsi="宋体"/>
          <w:color w:val="auto"/>
          <w:szCs w:val="21"/>
        </w:rPr>
      </w:pPr>
      <w:r>
        <w:rPr>
          <w:rFonts w:hint="eastAsia" w:ascii="宋体" w:hAnsi="宋体"/>
          <w:color w:val="auto"/>
          <w:szCs w:val="21"/>
        </w:rPr>
        <w:t>3.投标人之间协商报价、技术方案等投标文件的实质性内容；</w:t>
      </w:r>
    </w:p>
    <w:p>
      <w:pPr>
        <w:snapToGrid w:val="0"/>
        <w:spacing w:beforeLines="50" w:after="50" w:line="360" w:lineRule="auto"/>
        <w:ind w:firstLine="411" w:firstLineChars="196"/>
        <w:jc w:val="left"/>
        <w:rPr>
          <w:rFonts w:ascii="宋体" w:hAnsi="宋体"/>
          <w:color w:val="auto"/>
          <w:szCs w:val="21"/>
        </w:rPr>
      </w:pPr>
      <w:r>
        <w:rPr>
          <w:rFonts w:hint="eastAsia" w:ascii="宋体" w:hAnsi="宋体"/>
          <w:color w:val="auto"/>
          <w:szCs w:val="21"/>
        </w:rPr>
        <w:t>4.属于同一集团、协会、商会等组织成员的投标人按照该组织要求协同参加政府采购活动；</w:t>
      </w:r>
    </w:p>
    <w:p>
      <w:pPr>
        <w:snapToGrid w:val="0"/>
        <w:spacing w:beforeLines="50" w:after="50" w:line="360" w:lineRule="auto"/>
        <w:ind w:firstLine="411" w:firstLineChars="196"/>
        <w:jc w:val="left"/>
        <w:rPr>
          <w:rFonts w:ascii="宋体" w:hAnsi="宋体"/>
          <w:color w:val="auto"/>
          <w:szCs w:val="21"/>
        </w:rPr>
      </w:pPr>
      <w:r>
        <w:rPr>
          <w:rFonts w:hint="eastAsia" w:ascii="宋体" w:hAnsi="宋体"/>
          <w:color w:val="auto"/>
          <w:szCs w:val="21"/>
        </w:rPr>
        <w:t>5.投标人之间事先约定一致抬高或者压低投标报价，或者在招标项目中事先约定轮流以高价位或者低价位中标，或者事先约定由某一特定投标人中标，然后再参加投标；</w:t>
      </w:r>
    </w:p>
    <w:p>
      <w:pPr>
        <w:snapToGrid w:val="0"/>
        <w:spacing w:beforeLines="50" w:after="50" w:line="360" w:lineRule="auto"/>
        <w:ind w:firstLine="411" w:firstLineChars="196"/>
        <w:jc w:val="left"/>
        <w:rPr>
          <w:rFonts w:ascii="宋体" w:hAnsi="宋体"/>
          <w:color w:val="auto"/>
          <w:szCs w:val="21"/>
        </w:rPr>
      </w:pPr>
      <w:r>
        <w:rPr>
          <w:rFonts w:hint="eastAsia" w:ascii="宋体" w:hAnsi="宋体"/>
          <w:color w:val="auto"/>
          <w:szCs w:val="21"/>
        </w:rPr>
        <w:t>6.投标人之间商定部分投标人放弃参加政府采购活动或者放弃中标；</w:t>
      </w:r>
    </w:p>
    <w:p>
      <w:pPr>
        <w:snapToGrid w:val="0"/>
        <w:spacing w:beforeLines="50" w:after="50" w:line="360" w:lineRule="auto"/>
        <w:ind w:firstLine="411" w:firstLineChars="196"/>
        <w:jc w:val="left"/>
        <w:rPr>
          <w:rFonts w:ascii="宋体" w:hAnsi="宋体"/>
          <w:color w:val="auto"/>
          <w:szCs w:val="21"/>
        </w:rPr>
      </w:pPr>
      <w:r>
        <w:rPr>
          <w:rFonts w:hint="eastAsia" w:ascii="宋体" w:hAnsi="宋体"/>
          <w:color w:val="auto"/>
          <w:szCs w:val="21"/>
        </w:rPr>
        <w:t>7.投标人与采购人或者采购代理机构之间、投标人相互之间，为谋求特定投标人中标或者排斥其他投标人的其他串通行为。</w:t>
      </w:r>
    </w:p>
    <w:p>
      <w:pPr>
        <w:snapToGrid w:val="0"/>
        <w:spacing w:beforeLines="50" w:after="50" w:line="360" w:lineRule="auto"/>
        <w:ind w:firstLine="413" w:firstLineChars="196"/>
        <w:jc w:val="left"/>
        <w:rPr>
          <w:rFonts w:ascii="宋体" w:hAnsi="宋体"/>
          <w:b/>
          <w:color w:val="auto"/>
          <w:szCs w:val="21"/>
        </w:rPr>
      </w:pPr>
      <w:r>
        <w:rPr>
          <w:rFonts w:hint="eastAsia" w:ascii="宋体" w:hAnsi="宋体"/>
          <w:b/>
          <w:color w:val="auto"/>
          <w:szCs w:val="21"/>
        </w:rPr>
        <w:t>以上情形一经核查属实，接受政府采购监管部门对我方认定存在围标串标行为，我方愿意承担一切后果，并不再寻求任何旨在减轻或者免除法律责任的辩解。</w:t>
      </w:r>
    </w:p>
    <w:p>
      <w:pPr>
        <w:pStyle w:val="11"/>
        <w:rPr>
          <w:color w:val="auto"/>
        </w:rPr>
      </w:pPr>
    </w:p>
    <w:p>
      <w:pPr>
        <w:snapToGrid w:val="0"/>
        <w:spacing w:line="360" w:lineRule="auto"/>
        <w:ind w:firstLine="5640" w:firstLineChars="2350"/>
        <w:rPr>
          <w:rFonts w:ascii="宋体" w:hAnsi="宋体" w:cs="宋体"/>
          <w:color w:val="auto"/>
          <w:kern w:val="0"/>
          <w:sz w:val="24"/>
        </w:rPr>
      </w:pPr>
      <w:r>
        <w:rPr>
          <w:rFonts w:hint="eastAsia" w:ascii="宋体" w:hAnsi="宋体" w:cs="宋体"/>
          <w:color w:val="auto"/>
          <w:kern w:val="0"/>
          <w:sz w:val="24"/>
          <w:lang w:val="zh-CN"/>
        </w:rPr>
        <w:t>投标人名称(盖公章)：</w:t>
      </w:r>
    </w:p>
    <w:p>
      <w:pPr>
        <w:snapToGrid w:val="0"/>
        <w:spacing w:line="360" w:lineRule="auto"/>
        <w:ind w:firstLine="5160" w:firstLineChars="2150"/>
        <w:rPr>
          <w:rFonts w:ascii="宋体" w:hAnsi="宋体" w:cs="宋体"/>
          <w:color w:val="auto"/>
          <w:kern w:val="0"/>
          <w:sz w:val="24"/>
          <w:lang w:val="zh-CN"/>
        </w:rPr>
      </w:pPr>
      <w:r>
        <w:rPr>
          <w:rFonts w:hint="eastAsia" w:ascii="宋体" w:hAnsi="宋体" w:cs="宋体"/>
          <w:color w:val="auto"/>
          <w:kern w:val="0"/>
          <w:sz w:val="24"/>
          <w:lang w:val="zh-CN"/>
        </w:rPr>
        <w:t>日期</w:t>
      </w:r>
      <w:r>
        <w:rPr>
          <w:rFonts w:hint="eastAsia" w:ascii="宋体" w:hAnsi="宋体" w:cs="宋体"/>
          <w:color w:val="auto"/>
          <w:kern w:val="0"/>
          <w:sz w:val="24"/>
        </w:rPr>
        <w:t xml:space="preserve">：  年  </w:t>
      </w:r>
      <w:r>
        <w:rPr>
          <w:rFonts w:hint="eastAsia" w:ascii="宋体" w:hAnsi="宋体" w:cs="宋体"/>
          <w:color w:val="auto"/>
          <w:kern w:val="0"/>
          <w:sz w:val="24"/>
          <w:lang w:val="zh-CN"/>
        </w:rPr>
        <w:t>月日</w:t>
      </w:r>
    </w:p>
    <w:p>
      <w:pPr>
        <w:pStyle w:val="14"/>
        <w:snapToGrid w:val="0"/>
        <w:spacing w:before="295" w:after="295" w:line="360" w:lineRule="auto"/>
        <w:rPr>
          <w:rFonts w:hAnsi="宋体"/>
          <w:b/>
          <w:color w:val="auto"/>
          <w:sz w:val="24"/>
        </w:rPr>
      </w:pPr>
      <w:r>
        <w:rPr>
          <w:rFonts w:hint="eastAsia" w:hAnsi="宋体"/>
          <w:b/>
          <w:color w:val="auto"/>
          <w:sz w:val="24"/>
        </w:rPr>
        <w:br w:type="page"/>
      </w:r>
      <w:r>
        <w:rPr>
          <w:rFonts w:hint="eastAsia" w:hAnsi="宋体" w:cs="宋体"/>
          <w:b/>
          <w:bCs/>
          <w:color w:val="auto"/>
          <w:sz w:val="28"/>
          <w:szCs w:val="28"/>
        </w:rPr>
        <w:t>4.法定代表人身份证明的格式：</w:t>
      </w:r>
    </w:p>
    <w:p>
      <w:pPr>
        <w:spacing w:beforeLines="100" w:afterLines="50"/>
        <w:ind w:left="540"/>
        <w:jc w:val="center"/>
        <w:rPr>
          <w:rFonts w:ascii="宋体" w:hAnsi="Courier New"/>
          <w:b/>
          <w:color w:val="auto"/>
          <w:sz w:val="32"/>
          <w:szCs w:val="32"/>
        </w:rPr>
      </w:pPr>
    </w:p>
    <w:p>
      <w:pPr>
        <w:spacing w:beforeLines="100" w:afterLines="50"/>
        <w:ind w:left="540"/>
        <w:jc w:val="center"/>
        <w:rPr>
          <w:rFonts w:ascii="黑体" w:hAnsi="宋体" w:eastAsia="黑体"/>
          <w:color w:val="auto"/>
          <w:sz w:val="32"/>
          <w:szCs w:val="32"/>
        </w:rPr>
      </w:pPr>
      <w:r>
        <w:rPr>
          <w:rFonts w:hint="eastAsia" w:ascii="宋体" w:hAnsi="Courier New"/>
          <w:b/>
          <w:color w:val="auto"/>
          <w:sz w:val="32"/>
          <w:szCs w:val="32"/>
        </w:rPr>
        <w:t>法定代表人身份证明</w:t>
      </w:r>
    </w:p>
    <w:p>
      <w:pPr>
        <w:spacing w:line="500" w:lineRule="exact"/>
        <w:ind w:left="540"/>
        <w:rPr>
          <w:rFonts w:ascii="宋体" w:hAnsi="宋体"/>
          <w:color w:val="auto"/>
          <w:sz w:val="24"/>
        </w:rPr>
      </w:pPr>
      <w:r>
        <w:rPr>
          <w:rFonts w:hint="eastAsia" w:ascii="宋体" w:hAnsi="宋体"/>
          <w:color w:val="auto"/>
          <w:sz w:val="24"/>
        </w:rPr>
        <w:t>投 标 人：</w:t>
      </w:r>
    </w:p>
    <w:p>
      <w:pPr>
        <w:spacing w:line="500" w:lineRule="exact"/>
        <w:ind w:left="540"/>
        <w:rPr>
          <w:rFonts w:ascii="宋体" w:hAnsi="宋体"/>
          <w:color w:val="auto"/>
          <w:sz w:val="24"/>
        </w:rPr>
      </w:pPr>
      <w:r>
        <w:rPr>
          <w:rFonts w:hint="eastAsia" w:ascii="宋体" w:hAnsi="宋体"/>
          <w:color w:val="auto"/>
          <w:sz w:val="24"/>
        </w:rPr>
        <w:t>地    址：</w:t>
      </w:r>
    </w:p>
    <w:p>
      <w:pPr>
        <w:spacing w:line="500" w:lineRule="exact"/>
        <w:ind w:left="540"/>
        <w:rPr>
          <w:rFonts w:ascii="宋体" w:hAnsi="宋体"/>
          <w:color w:val="auto"/>
          <w:sz w:val="24"/>
        </w:rPr>
      </w:pPr>
      <w:r>
        <w:rPr>
          <w:rFonts w:hint="eastAsia" w:ascii="宋体" w:hAnsi="宋体"/>
          <w:color w:val="auto"/>
          <w:sz w:val="24"/>
        </w:rPr>
        <w:t>姓    名：性      别：</w:t>
      </w:r>
    </w:p>
    <w:p>
      <w:pPr>
        <w:spacing w:line="500" w:lineRule="exact"/>
        <w:ind w:left="540"/>
        <w:rPr>
          <w:rFonts w:ascii="宋体" w:hAnsi="宋体"/>
          <w:color w:val="auto"/>
          <w:sz w:val="24"/>
          <w:u w:val="single"/>
        </w:rPr>
      </w:pPr>
      <w:r>
        <w:rPr>
          <w:rFonts w:hint="eastAsia" w:ascii="宋体" w:hAnsi="宋体"/>
          <w:color w:val="auto"/>
          <w:sz w:val="24"/>
        </w:rPr>
        <w:t>年    龄：职      务：</w:t>
      </w:r>
    </w:p>
    <w:p>
      <w:pPr>
        <w:spacing w:line="500" w:lineRule="exact"/>
        <w:ind w:left="540"/>
        <w:rPr>
          <w:rFonts w:ascii="宋体" w:hAnsi="宋体"/>
          <w:color w:val="auto"/>
          <w:sz w:val="24"/>
        </w:rPr>
      </w:pPr>
      <w:r>
        <w:rPr>
          <w:rFonts w:hint="eastAsia" w:ascii="宋体" w:hAnsi="宋体"/>
          <w:color w:val="auto"/>
          <w:sz w:val="24"/>
        </w:rPr>
        <w:t>身份证</w:t>
      </w:r>
      <w:r>
        <w:rPr>
          <w:rFonts w:hint="eastAsia"/>
          <w:color w:val="auto"/>
          <w:sz w:val="24"/>
        </w:rPr>
        <w:t>号码：</w:t>
      </w:r>
    </w:p>
    <w:p>
      <w:pPr>
        <w:spacing w:line="500" w:lineRule="exact"/>
        <w:ind w:left="540"/>
        <w:rPr>
          <w:rFonts w:ascii="宋体" w:hAnsi="宋体"/>
          <w:color w:val="auto"/>
          <w:sz w:val="24"/>
        </w:rPr>
      </w:pPr>
      <w:r>
        <w:rPr>
          <w:rFonts w:hint="eastAsia" w:ascii="宋体" w:hAnsi="宋体"/>
          <w:color w:val="auto"/>
          <w:sz w:val="24"/>
        </w:rPr>
        <w:t>系</w:t>
      </w:r>
      <w:r>
        <w:rPr>
          <w:rFonts w:hint="eastAsia" w:ascii="宋体" w:hAnsi="宋体"/>
          <w:i/>
          <w:iCs/>
          <w:color w:val="auto"/>
          <w:sz w:val="24"/>
          <w:u w:val="single"/>
        </w:rPr>
        <w:t>（投标人名称</w:t>
      </w:r>
      <w:r>
        <w:rPr>
          <w:rFonts w:hint="eastAsia" w:ascii="宋体" w:hAnsi="宋体"/>
          <w:color w:val="auto"/>
          <w:sz w:val="24"/>
          <w:u w:val="single"/>
        </w:rPr>
        <w:t xml:space="preserve">）              </w:t>
      </w:r>
      <w:r>
        <w:rPr>
          <w:rFonts w:hint="eastAsia" w:ascii="宋体" w:hAnsi="宋体"/>
          <w:color w:val="auto"/>
          <w:sz w:val="24"/>
        </w:rPr>
        <w:t>的法定代表人。</w:t>
      </w:r>
    </w:p>
    <w:p>
      <w:pPr>
        <w:spacing w:line="500" w:lineRule="exact"/>
        <w:ind w:left="540"/>
        <w:rPr>
          <w:rFonts w:ascii="宋体" w:hAnsi="宋体"/>
          <w:color w:val="auto"/>
          <w:sz w:val="24"/>
        </w:rPr>
      </w:pPr>
      <w:r>
        <w:rPr>
          <w:rFonts w:hint="eastAsia" w:ascii="宋体" w:hAnsi="宋体"/>
          <w:color w:val="auto"/>
          <w:sz w:val="24"/>
        </w:rPr>
        <w:t>特此证明。</w:t>
      </w:r>
    </w:p>
    <w:p>
      <w:pPr>
        <w:spacing w:line="500" w:lineRule="exact"/>
        <w:ind w:left="540"/>
        <w:rPr>
          <w:rFonts w:ascii="宋体" w:hAnsi="宋体"/>
          <w:color w:val="auto"/>
          <w:sz w:val="24"/>
        </w:rPr>
      </w:pPr>
    </w:p>
    <w:p>
      <w:pPr>
        <w:spacing w:line="500" w:lineRule="exact"/>
        <w:ind w:left="540"/>
        <w:rPr>
          <w:rFonts w:ascii="宋体" w:hAnsi="宋体"/>
          <w:color w:val="auto"/>
          <w:sz w:val="24"/>
        </w:rPr>
      </w:pPr>
    </w:p>
    <w:p>
      <w:pPr>
        <w:spacing w:line="500" w:lineRule="exact"/>
        <w:ind w:left="540"/>
        <w:rPr>
          <w:rFonts w:ascii="宋体" w:hAnsi="宋体"/>
          <w:color w:val="auto"/>
          <w:sz w:val="24"/>
        </w:rPr>
      </w:pPr>
      <w:r>
        <w:rPr>
          <w:rFonts w:hint="eastAsia" w:ascii="宋体" w:hAnsi="宋体"/>
          <w:color w:val="auto"/>
          <w:sz w:val="24"/>
        </w:rPr>
        <w:t>附件：法定代表人有效身份证正反面复印件</w:t>
      </w:r>
    </w:p>
    <w:p>
      <w:pPr>
        <w:spacing w:line="500" w:lineRule="exact"/>
        <w:ind w:left="540"/>
        <w:rPr>
          <w:rFonts w:ascii="宋体" w:hAnsi="宋体"/>
          <w:color w:val="auto"/>
          <w:sz w:val="24"/>
        </w:rPr>
      </w:pPr>
    </w:p>
    <w:p>
      <w:pPr>
        <w:snapToGrid w:val="0"/>
        <w:spacing w:line="360" w:lineRule="auto"/>
        <w:ind w:firstLine="5640" w:firstLineChars="2350"/>
        <w:rPr>
          <w:rFonts w:ascii="宋体" w:hAnsi="宋体" w:cs="宋体"/>
          <w:color w:val="auto"/>
          <w:kern w:val="0"/>
          <w:sz w:val="24"/>
        </w:rPr>
      </w:pPr>
      <w:r>
        <w:rPr>
          <w:rFonts w:hint="eastAsia" w:ascii="宋体" w:hAnsi="宋体" w:cs="宋体"/>
          <w:color w:val="auto"/>
          <w:kern w:val="0"/>
          <w:sz w:val="24"/>
          <w:lang w:val="zh-CN"/>
        </w:rPr>
        <w:t>投标人名称(盖公章)：</w:t>
      </w:r>
    </w:p>
    <w:p>
      <w:pPr>
        <w:snapToGrid w:val="0"/>
        <w:spacing w:line="360" w:lineRule="auto"/>
        <w:ind w:firstLine="5160" w:firstLineChars="2150"/>
        <w:rPr>
          <w:rFonts w:ascii="宋体" w:hAnsi="宋体" w:cs="宋体"/>
          <w:color w:val="auto"/>
          <w:kern w:val="0"/>
          <w:sz w:val="24"/>
          <w:lang w:val="zh-CN"/>
        </w:rPr>
      </w:pPr>
      <w:r>
        <w:rPr>
          <w:rFonts w:hint="eastAsia" w:ascii="宋体" w:hAnsi="宋体" w:cs="宋体"/>
          <w:color w:val="auto"/>
          <w:kern w:val="0"/>
          <w:sz w:val="24"/>
          <w:lang w:val="zh-CN"/>
        </w:rPr>
        <w:t>日期</w:t>
      </w:r>
      <w:r>
        <w:rPr>
          <w:rFonts w:hint="eastAsia" w:ascii="宋体" w:hAnsi="宋体" w:cs="宋体"/>
          <w:color w:val="auto"/>
          <w:kern w:val="0"/>
          <w:sz w:val="24"/>
        </w:rPr>
        <w:t xml:space="preserve">：  年  </w:t>
      </w:r>
      <w:r>
        <w:rPr>
          <w:rFonts w:hint="eastAsia" w:ascii="宋体" w:hAnsi="宋体" w:cs="宋体"/>
          <w:color w:val="auto"/>
          <w:kern w:val="0"/>
          <w:sz w:val="24"/>
          <w:lang w:val="zh-CN"/>
        </w:rPr>
        <w:t>月日</w:t>
      </w:r>
    </w:p>
    <w:p>
      <w:pPr>
        <w:snapToGrid w:val="0"/>
        <w:spacing w:beforeLines="50" w:after="50"/>
        <w:jc w:val="center"/>
        <w:rPr>
          <w:rFonts w:ascii="宋体" w:hAnsi="宋体"/>
          <w:b/>
          <w:color w:val="auto"/>
          <w:sz w:val="24"/>
        </w:rPr>
      </w:pPr>
    </w:p>
    <w:p>
      <w:pPr>
        <w:snapToGrid w:val="0"/>
        <w:spacing w:beforeLines="50" w:after="50"/>
        <w:ind w:firstLine="600" w:firstLineChars="250"/>
        <w:jc w:val="left"/>
        <w:rPr>
          <w:rFonts w:ascii="宋体" w:hAnsi="宋体"/>
          <w:color w:val="auto"/>
          <w:sz w:val="24"/>
        </w:rPr>
      </w:pPr>
      <w:r>
        <w:rPr>
          <w:rFonts w:hint="eastAsia" w:ascii="宋体" w:hAnsi="宋体"/>
          <w:color w:val="auto"/>
          <w:sz w:val="24"/>
        </w:rPr>
        <w:t>注：自然人投标的无需提供</w:t>
      </w:r>
    </w:p>
    <w:p>
      <w:pPr>
        <w:snapToGrid w:val="0"/>
        <w:spacing w:beforeLines="50" w:after="50"/>
        <w:ind w:firstLine="600" w:firstLineChars="250"/>
        <w:jc w:val="left"/>
        <w:rPr>
          <w:rFonts w:ascii="宋体" w:hAnsi="宋体"/>
          <w:color w:val="auto"/>
          <w:sz w:val="24"/>
        </w:rPr>
      </w:pPr>
    </w:p>
    <w:p>
      <w:pPr>
        <w:snapToGrid w:val="0"/>
        <w:spacing w:beforeLines="50" w:after="50"/>
        <w:ind w:firstLine="602" w:firstLineChars="250"/>
        <w:jc w:val="left"/>
        <w:rPr>
          <w:rFonts w:ascii="宋体" w:hAnsi="宋体"/>
          <w:b/>
          <w:color w:val="auto"/>
          <w:sz w:val="24"/>
          <w:szCs w:val="20"/>
        </w:rPr>
      </w:pPr>
    </w:p>
    <w:tbl>
      <w:tblPr>
        <w:tblStyle w:val="24"/>
        <w:tblpPr w:leftFromText="180" w:rightFromText="180" w:vertAnchor="text" w:horzAnchor="margin" w:tblpXSpec="center" w:tblpY="1169"/>
        <w:tblW w:w="84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705" w:hRule="atLeast"/>
          <w:jc w:val="center"/>
        </w:trPr>
        <w:tc>
          <w:tcPr>
            <w:tcW w:w="8460" w:type="dxa"/>
            <w:tcBorders>
              <w:top w:val="single" w:color="auto" w:sz="4" w:space="0"/>
              <w:left w:val="single" w:color="auto" w:sz="4" w:space="0"/>
              <w:bottom w:val="single" w:color="auto" w:sz="4" w:space="0"/>
              <w:right w:val="single" w:color="auto" w:sz="4" w:space="0"/>
            </w:tcBorders>
          </w:tcPr>
          <w:p>
            <w:pPr>
              <w:spacing w:line="360" w:lineRule="auto"/>
              <w:rPr>
                <w:rFonts w:ascii="宋体"/>
                <w:b/>
                <w:color w:val="auto"/>
                <w:sz w:val="24"/>
              </w:rPr>
            </w:pPr>
          </w:p>
          <w:p>
            <w:pPr>
              <w:spacing w:line="360" w:lineRule="auto"/>
              <w:rPr>
                <w:rFonts w:ascii="宋体"/>
                <w:b/>
                <w:color w:val="auto"/>
                <w:sz w:val="24"/>
              </w:rPr>
            </w:pPr>
            <w:r>
              <w:rPr>
                <w:rFonts w:hint="eastAsia" w:ascii="宋体"/>
                <w:b/>
                <w:color w:val="auto"/>
                <w:sz w:val="24"/>
              </w:rPr>
              <w:t>法定代表人有效身份证复印件粘帖处（正、反面）</w:t>
            </w:r>
          </w:p>
        </w:tc>
      </w:tr>
    </w:tbl>
    <w:p>
      <w:pPr>
        <w:pStyle w:val="14"/>
        <w:snapToGrid w:val="0"/>
        <w:spacing w:before="295" w:after="295" w:line="360" w:lineRule="auto"/>
        <w:jc w:val="left"/>
        <w:rPr>
          <w:rFonts w:hAnsi="宋体"/>
          <w:b/>
          <w:color w:val="auto"/>
          <w:sz w:val="24"/>
        </w:rPr>
      </w:pPr>
      <w:r>
        <w:rPr>
          <w:rFonts w:hint="eastAsia" w:hAnsi="宋体"/>
          <w:b/>
          <w:color w:val="auto"/>
          <w:sz w:val="24"/>
        </w:rPr>
        <w:t>附件：</w:t>
      </w:r>
      <w:r>
        <w:rPr>
          <w:rFonts w:hint="eastAsia" w:hAnsi="宋体"/>
          <w:b/>
          <w:color w:val="auto"/>
          <w:sz w:val="24"/>
        </w:rPr>
        <w:br w:type="page"/>
      </w:r>
      <w:r>
        <w:rPr>
          <w:rFonts w:hint="eastAsia" w:hAnsi="宋体" w:cs="宋体"/>
          <w:b/>
          <w:bCs/>
          <w:color w:val="auto"/>
          <w:sz w:val="30"/>
          <w:szCs w:val="30"/>
        </w:rPr>
        <w:t>5.法定代表人授权委托书的格式：</w:t>
      </w:r>
    </w:p>
    <w:p>
      <w:pPr>
        <w:snapToGrid w:val="0"/>
        <w:spacing w:beforeLines="50" w:after="50"/>
        <w:jc w:val="center"/>
        <w:rPr>
          <w:rFonts w:ascii="宋体" w:hAnsi="宋体"/>
          <w:b/>
          <w:color w:val="auto"/>
          <w:sz w:val="32"/>
          <w:szCs w:val="32"/>
        </w:rPr>
      </w:pPr>
    </w:p>
    <w:p>
      <w:pPr>
        <w:snapToGrid w:val="0"/>
        <w:spacing w:beforeLines="50" w:after="50"/>
        <w:jc w:val="center"/>
        <w:rPr>
          <w:rFonts w:ascii="宋体" w:hAnsi="宋体"/>
          <w:b/>
          <w:color w:val="auto"/>
          <w:sz w:val="32"/>
          <w:szCs w:val="32"/>
        </w:rPr>
      </w:pPr>
      <w:r>
        <w:rPr>
          <w:rFonts w:hint="eastAsia" w:ascii="宋体" w:hAnsi="宋体"/>
          <w:b/>
          <w:color w:val="auto"/>
          <w:sz w:val="32"/>
          <w:szCs w:val="32"/>
        </w:rPr>
        <w:t>法定代表人授权委托书（如有委托时）</w:t>
      </w:r>
    </w:p>
    <w:p>
      <w:pPr>
        <w:snapToGrid w:val="0"/>
        <w:spacing w:beforeLines="50" w:after="50"/>
        <w:jc w:val="center"/>
        <w:rPr>
          <w:rFonts w:ascii="宋体" w:hAnsi="宋体"/>
          <w:b/>
          <w:color w:val="auto"/>
          <w:sz w:val="24"/>
        </w:rPr>
      </w:pPr>
    </w:p>
    <w:p>
      <w:pPr>
        <w:pStyle w:val="14"/>
        <w:spacing w:line="360" w:lineRule="exact"/>
        <w:ind w:firstLine="420" w:firstLineChars="200"/>
        <w:rPr>
          <w:rFonts w:ascii="Times New Roman" w:hAnsi="Times New Roman"/>
          <w:color w:val="auto"/>
        </w:rPr>
      </w:pPr>
      <w:r>
        <w:rPr>
          <w:rFonts w:hint="eastAsia" w:ascii="Times New Roman" w:hAnsi="Times New Roman"/>
          <w:color w:val="auto"/>
        </w:rPr>
        <w:t>致：</w:t>
      </w:r>
      <w:bookmarkStart w:id="381" w:name="PO_3000001866_PM031_7"/>
      <w:r>
        <w:rPr>
          <w:rFonts w:hint="eastAsia" w:ascii="Times New Roman" w:hAnsi="Times New Roman"/>
          <w:color w:val="auto"/>
          <w:u w:val="single"/>
        </w:rPr>
        <w:t>广西科联招标中心有限公司</w:t>
      </w:r>
      <w:bookmarkEnd w:id="381"/>
    </w:p>
    <w:p>
      <w:pPr>
        <w:pStyle w:val="14"/>
        <w:spacing w:line="360" w:lineRule="exact"/>
        <w:ind w:firstLine="420" w:firstLineChars="200"/>
        <w:rPr>
          <w:rFonts w:ascii="Times New Roman" w:hAnsi="Times New Roman"/>
          <w:color w:val="auto"/>
        </w:rPr>
      </w:pPr>
      <w:r>
        <w:rPr>
          <w:rFonts w:hint="eastAsia" w:ascii="Times New Roman" w:hAnsi="Times New Roman"/>
          <w:color w:val="auto"/>
        </w:rPr>
        <w:t>本人（姓名）系（投标人名称）的法定代表人，现授权我单位在职正式员工（姓名和职务）为我方代理人。代理人根据授权，以我方名义签署、澄清、说明、补正、递交、撤回、修改贵方组织的</w:t>
      </w:r>
      <w:r>
        <w:rPr>
          <w:rFonts w:hint="eastAsia"/>
          <w:i/>
          <w:iCs/>
          <w:color w:val="auto"/>
          <w:u w:val="single"/>
        </w:rPr>
        <w:t>（项目名称）</w:t>
      </w:r>
      <w:r>
        <w:rPr>
          <w:rFonts w:hint="eastAsia"/>
          <w:color w:val="auto"/>
        </w:rPr>
        <w:t>项目（项目编号：）</w:t>
      </w:r>
      <w:r>
        <w:rPr>
          <w:rFonts w:hint="eastAsia" w:ascii="Times New Roman" w:hAnsi="Times New Roman"/>
          <w:color w:val="auto"/>
        </w:rPr>
        <w:t>的投标文件、签订合同和处理一切有关事宜，其法律后果由我方承担。</w:t>
      </w:r>
    </w:p>
    <w:p>
      <w:pPr>
        <w:pStyle w:val="14"/>
        <w:spacing w:line="360" w:lineRule="exact"/>
        <w:ind w:firstLine="420" w:firstLineChars="200"/>
        <w:rPr>
          <w:rFonts w:ascii="Times New Roman" w:hAnsi="Times New Roman"/>
          <w:color w:val="auto"/>
        </w:rPr>
      </w:pPr>
      <w:r>
        <w:rPr>
          <w:rFonts w:hint="eastAsia" w:ascii="Times New Roman" w:hAnsi="Times New Roman"/>
          <w:color w:val="auto"/>
        </w:rPr>
        <w:t>本授权书于年月日签字生效，委托期限：。</w:t>
      </w:r>
    </w:p>
    <w:p>
      <w:pPr>
        <w:pStyle w:val="14"/>
        <w:spacing w:line="360" w:lineRule="exact"/>
        <w:ind w:firstLine="420"/>
        <w:rPr>
          <w:rFonts w:ascii="Times New Roman" w:hAnsi="Times New Roman"/>
          <w:color w:val="auto"/>
        </w:rPr>
      </w:pPr>
      <w:r>
        <w:rPr>
          <w:rFonts w:hint="eastAsia" w:ascii="Times New Roman" w:hAnsi="Times New Roman"/>
          <w:color w:val="auto"/>
        </w:rPr>
        <w:t>代理人无转委托权。</w:t>
      </w:r>
    </w:p>
    <w:p>
      <w:pPr>
        <w:pStyle w:val="14"/>
        <w:spacing w:line="360" w:lineRule="exact"/>
        <w:ind w:firstLine="420"/>
        <w:rPr>
          <w:rFonts w:ascii="Times New Roman" w:hAnsi="Times New Roman"/>
          <w:color w:val="auto"/>
        </w:rPr>
      </w:pPr>
    </w:p>
    <w:p>
      <w:pPr>
        <w:pStyle w:val="14"/>
        <w:spacing w:line="360" w:lineRule="exact"/>
        <w:ind w:firstLine="420"/>
        <w:rPr>
          <w:rFonts w:ascii="Times New Roman" w:hAnsi="Times New Roman"/>
          <w:color w:val="auto"/>
          <w:u w:val="single"/>
        </w:rPr>
      </w:pPr>
      <w:r>
        <w:rPr>
          <w:rFonts w:hint="eastAsia" w:ascii="Times New Roman" w:hAnsi="Times New Roman"/>
          <w:color w:val="auto"/>
        </w:rPr>
        <w:t>投标人名称（或联合体投标</w:t>
      </w:r>
      <w:r>
        <w:rPr>
          <w:rFonts w:hint="eastAsia" w:cs="宋体"/>
          <w:color w:val="auto"/>
          <w:kern w:val="0"/>
          <w:szCs w:val="21"/>
        </w:rPr>
        <w:t>牵头人名称</w:t>
      </w:r>
      <w:r>
        <w:rPr>
          <w:rFonts w:hint="eastAsia" w:ascii="Times New Roman" w:hAnsi="Times New Roman"/>
          <w:color w:val="auto"/>
        </w:rPr>
        <w:t>）（盖公章）：</w:t>
      </w:r>
    </w:p>
    <w:p>
      <w:pPr>
        <w:pStyle w:val="14"/>
        <w:spacing w:line="360" w:lineRule="exact"/>
        <w:ind w:firstLine="420"/>
        <w:rPr>
          <w:rFonts w:ascii="Times New Roman" w:hAnsi="Times New Roman"/>
          <w:color w:val="auto"/>
          <w:u w:val="single"/>
        </w:rPr>
      </w:pPr>
      <w:r>
        <w:rPr>
          <w:rFonts w:hint="eastAsia" w:ascii="Times New Roman" w:hAnsi="Times New Roman"/>
          <w:color w:val="auto"/>
        </w:rPr>
        <w:t>法定代表人（签字）：</w:t>
      </w:r>
    </w:p>
    <w:p>
      <w:pPr>
        <w:pStyle w:val="14"/>
        <w:spacing w:line="360" w:lineRule="exact"/>
        <w:ind w:firstLine="420"/>
        <w:rPr>
          <w:rFonts w:ascii="Times New Roman" w:hAnsi="Times New Roman"/>
          <w:color w:val="auto"/>
          <w:u w:val="single"/>
        </w:rPr>
      </w:pPr>
      <w:r>
        <w:rPr>
          <w:rFonts w:hint="eastAsia" w:ascii="Times New Roman" w:hAnsi="Times New Roman"/>
          <w:color w:val="auto"/>
        </w:rPr>
        <w:t>法定代表人身份证号码：</w:t>
      </w:r>
    </w:p>
    <w:p>
      <w:pPr>
        <w:pStyle w:val="14"/>
        <w:spacing w:line="360" w:lineRule="exact"/>
        <w:ind w:firstLine="420" w:firstLineChars="200"/>
        <w:rPr>
          <w:rFonts w:ascii="Times New Roman" w:hAnsi="Times New Roman"/>
          <w:color w:val="auto"/>
        </w:rPr>
      </w:pPr>
      <w:r>
        <w:rPr>
          <w:rFonts w:hint="eastAsia" w:ascii="Times New Roman" w:hAnsi="Times New Roman"/>
          <w:color w:val="auto"/>
        </w:rPr>
        <w:t>委托代理人（签字）：</w:t>
      </w:r>
    </w:p>
    <w:p>
      <w:pPr>
        <w:pStyle w:val="14"/>
        <w:spacing w:line="360" w:lineRule="exact"/>
        <w:ind w:firstLine="420"/>
        <w:rPr>
          <w:rFonts w:ascii="Times New Roman" w:hAnsi="Times New Roman"/>
          <w:color w:val="auto"/>
          <w:u w:val="single"/>
        </w:rPr>
      </w:pPr>
      <w:r>
        <w:rPr>
          <w:rFonts w:hint="eastAsia" w:ascii="Times New Roman" w:hAnsi="Times New Roman"/>
          <w:color w:val="auto"/>
        </w:rPr>
        <w:t>委托代理人身份证号码：</w:t>
      </w:r>
    </w:p>
    <w:p>
      <w:pPr>
        <w:pStyle w:val="14"/>
        <w:spacing w:line="360" w:lineRule="exact"/>
        <w:ind w:firstLine="420"/>
        <w:rPr>
          <w:rFonts w:ascii="Times New Roman" w:hAnsi="Times New Roman"/>
          <w:color w:val="auto"/>
          <w:u w:val="single"/>
        </w:rPr>
      </w:pPr>
    </w:p>
    <w:p>
      <w:pPr>
        <w:pStyle w:val="14"/>
        <w:spacing w:line="360" w:lineRule="exact"/>
        <w:ind w:firstLine="420"/>
        <w:rPr>
          <w:rFonts w:hAnsi="宋体" w:cs="宋体"/>
          <w:color w:val="auto"/>
          <w:u w:val="single"/>
        </w:rPr>
      </w:pPr>
      <w:r>
        <w:rPr>
          <w:rFonts w:hint="eastAsia" w:hAnsi="宋体" w:cs="宋体"/>
          <w:color w:val="auto"/>
          <w:kern w:val="0"/>
          <w:szCs w:val="21"/>
        </w:rPr>
        <w:t>成员一名称</w:t>
      </w:r>
      <w:r>
        <w:rPr>
          <w:rFonts w:hint="eastAsia" w:hAnsi="宋体" w:cs="宋体"/>
          <w:color w:val="auto"/>
        </w:rPr>
        <w:t>（盖公章）：</w:t>
      </w:r>
    </w:p>
    <w:p>
      <w:pPr>
        <w:pStyle w:val="14"/>
        <w:spacing w:line="360" w:lineRule="exact"/>
        <w:ind w:firstLine="420"/>
        <w:rPr>
          <w:rFonts w:hAnsi="宋体" w:cs="宋体"/>
          <w:color w:val="auto"/>
          <w:u w:val="single"/>
        </w:rPr>
      </w:pPr>
      <w:r>
        <w:rPr>
          <w:rFonts w:hint="eastAsia" w:hAnsi="宋体" w:cs="宋体"/>
          <w:color w:val="auto"/>
        </w:rPr>
        <w:t>法定代表人（签字）：</w:t>
      </w:r>
    </w:p>
    <w:p>
      <w:pPr>
        <w:pStyle w:val="9"/>
        <w:spacing w:line="360" w:lineRule="exact"/>
        <w:ind w:left="0" w:firstLine="420" w:firstLineChars="200"/>
        <w:rPr>
          <w:rFonts w:ascii="宋体" w:hAnsi="宋体" w:cs="宋体"/>
          <w:color w:val="auto"/>
          <w:u w:val="single"/>
        </w:rPr>
      </w:pPr>
      <w:r>
        <w:rPr>
          <w:rFonts w:hint="eastAsia" w:ascii="宋体" w:hAnsi="宋体" w:cs="宋体"/>
          <w:color w:val="auto"/>
        </w:rPr>
        <w:t>委托代理人（签字）：</w:t>
      </w:r>
    </w:p>
    <w:p>
      <w:pPr>
        <w:spacing w:line="360" w:lineRule="exact"/>
        <w:ind w:firstLine="420" w:firstLineChars="200"/>
        <w:rPr>
          <w:color w:val="auto"/>
        </w:rPr>
      </w:pPr>
      <w:r>
        <w:rPr>
          <w:rFonts w:hint="eastAsia" w:ascii="宋体" w:hAnsi="宋体" w:cs="宋体"/>
          <w:color w:val="auto"/>
        </w:rPr>
        <w:t>委托代理人身份证号码：</w:t>
      </w:r>
    </w:p>
    <w:p>
      <w:pPr>
        <w:pStyle w:val="14"/>
        <w:spacing w:line="360" w:lineRule="exact"/>
        <w:ind w:firstLine="420"/>
        <w:rPr>
          <w:rFonts w:hAnsi="宋体" w:cs="宋体"/>
          <w:color w:val="auto"/>
          <w:u w:val="single"/>
        </w:rPr>
      </w:pPr>
    </w:p>
    <w:p>
      <w:pPr>
        <w:autoSpaceDE w:val="0"/>
        <w:autoSpaceDN w:val="0"/>
        <w:adjustRightInd w:val="0"/>
        <w:spacing w:line="360" w:lineRule="exact"/>
        <w:ind w:firstLine="420" w:firstLineChars="200"/>
        <w:jc w:val="left"/>
        <w:rPr>
          <w:rFonts w:ascii="宋体" w:hAnsi="宋体" w:cs="宋体"/>
          <w:color w:val="auto"/>
          <w:kern w:val="0"/>
          <w:szCs w:val="21"/>
        </w:rPr>
      </w:pPr>
      <w:r>
        <w:rPr>
          <w:rFonts w:hint="eastAsia" w:ascii="宋体" w:hAnsi="宋体" w:cs="宋体"/>
          <w:color w:val="auto"/>
          <w:kern w:val="0"/>
          <w:szCs w:val="21"/>
        </w:rPr>
        <w:t>成员二名称（盖公章）：</w:t>
      </w:r>
    </w:p>
    <w:p>
      <w:pPr>
        <w:autoSpaceDE w:val="0"/>
        <w:autoSpaceDN w:val="0"/>
        <w:adjustRightInd w:val="0"/>
        <w:spacing w:line="360" w:lineRule="exact"/>
        <w:ind w:firstLine="420" w:firstLineChars="200"/>
        <w:jc w:val="left"/>
        <w:rPr>
          <w:rFonts w:ascii="宋体" w:hAnsi="宋体" w:cs="宋体"/>
          <w:color w:val="auto"/>
          <w:kern w:val="0"/>
          <w:szCs w:val="21"/>
        </w:rPr>
      </w:pPr>
      <w:r>
        <w:rPr>
          <w:rFonts w:hint="eastAsia" w:ascii="宋体" w:hAnsi="宋体" w:cs="宋体"/>
          <w:color w:val="auto"/>
          <w:kern w:val="0"/>
          <w:szCs w:val="21"/>
        </w:rPr>
        <w:t>法定代表人（签字）：</w:t>
      </w:r>
    </w:p>
    <w:p>
      <w:pPr>
        <w:pStyle w:val="9"/>
        <w:spacing w:line="360" w:lineRule="exact"/>
        <w:ind w:left="0" w:firstLine="420" w:firstLineChars="200"/>
        <w:rPr>
          <w:rFonts w:ascii="宋体" w:hAnsi="宋体" w:cs="宋体"/>
          <w:color w:val="auto"/>
          <w:u w:val="single"/>
        </w:rPr>
      </w:pPr>
      <w:r>
        <w:rPr>
          <w:rFonts w:hint="eastAsia" w:ascii="宋体" w:hAnsi="宋体" w:cs="宋体"/>
          <w:color w:val="auto"/>
        </w:rPr>
        <w:t>委托代理人（签字）：</w:t>
      </w:r>
    </w:p>
    <w:p>
      <w:pPr>
        <w:spacing w:line="360" w:lineRule="exact"/>
        <w:ind w:firstLine="420" w:firstLineChars="200"/>
        <w:rPr>
          <w:color w:val="auto"/>
        </w:rPr>
      </w:pPr>
      <w:r>
        <w:rPr>
          <w:rFonts w:hint="eastAsia" w:ascii="宋体" w:hAnsi="宋体" w:cs="宋体"/>
          <w:color w:val="auto"/>
        </w:rPr>
        <w:t>委托代理人身份证号码：</w:t>
      </w:r>
    </w:p>
    <w:p>
      <w:pPr>
        <w:pStyle w:val="14"/>
        <w:spacing w:line="360" w:lineRule="exact"/>
        <w:ind w:firstLine="420" w:firstLineChars="200"/>
        <w:rPr>
          <w:color w:val="auto"/>
        </w:rPr>
      </w:pPr>
      <w:r>
        <w:rPr>
          <w:rFonts w:hint="eastAsia"/>
          <w:color w:val="auto"/>
        </w:rPr>
        <w:t>......</w:t>
      </w:r>
    </w:p>
    <w:p>
      <w:pPr>
        <w:spacing w:line="360" w:lineRule="exact"/>
        <w:ind w:firstLine="420" w:firstLineChars="200"/>
        <w:rPr>
          <w:rFonts w:ascii="宋体" w:hAnsi="宋体" w:cs="宋体"/>
          <w:color w:val="auto"/>
          <w:szCs w:val="21"/>
        </w:rPr>
      </w:pPr>
      <w:r>
        <w:rPr>
          <w:rFonts w:hint="eastAsia" w:ascii="宋体" w:hAnsi="宋体" w:cs="宋体"/>
          <w:color w:val="auto"/>
          <w:szCs w:val="21"/>
        </w:rPr>
        <w:t>注：</w:t>
      </w:r>
    </w:p>
    <w:p>
      <w:pPr>
        <w:spacing w:line="360" w:lineRule="exact"/>
        <w:ind w:firstLine="420" w:firstLineChars="200"/>
        <w:rPr>
          <w:rFonts w:ascii="宋体" w:hAnsi="宋体" w:cs="宋体"/>
          <w:color w:val="auto"/>
          <w:szCs w:val="21"/>
        </w:rPr>
      </w:pPr>
      <w:r>
        <w:rPr>
          <w:rFonts w:hint="eastAsia" w:ascii="宋体" w:hAnsi="宋体" w:cs="宋体"/>
          <w:color w:val="auto"/>
          <w:szCs w:val="21"/>
        </w:rPr>
        <w:t>1.法定代表人和委托代理人必须在授权委托书上签字，</w:t>
      </w:r>
      <w:r>
        <w:rPr>
          <w:rFonts w:hint="eastAsia" w:ascii="宋体" w:hAnsi="宋体" w:cs="宋体"/>
          <w:b/>
          <w:bCs/>
          <w:color w:val="auto"/>
          <w:szCs w:val="21"/>
        </w:rPr>
        <w:t>否则作无效投标处理；</w:t>
      </w:r>
    </w:p>
    <w:p>
      <w:pPr>
        <w:spacing w:line="360" w:lineRule="exact"/>
        <w:ind w:firstLine="420" w:firstLineChars="200"/>
        <w:jc w:val="left"/>
        <w:rPr>
          <w:rFonts w:ascii="宋体" w:hAnsi="宋体" w:cs="宋体"/>
          <w:color w:val="auto"/>
          <w:szCs w:val="21"/>
        </w:rPr>
      </w:pPr>
      <w:r>
        <w:rPr>
          <w:rFonts w:hint="eastAsia" w:ascii="宋体" w:hAnsi="宋体" w:cs="宋体"/>
          <w:color w:val="auto"/>
          <w:szCs w:val="21"/>
        </w:rPr>
        <w:t>2.以联合体形式投标的，本授权委托书应由联合体牵头人的法定代表人按上述规定签署。</w:t>
      </w:r>
    </w:p>
    <w:p>
      <w:pPr>
        <w:snapToGrid w:val="0"/>
        <w:spacing w:before="50" w:afterLines="50" w:line="360" w:lineRule="exact"/>
        <w:ind w:firstLine="420" w:firstLineChars="200"/>
        <w:jc w:val="left"/>
        <w:rPr>
          <w:rFonts w:ascii="宋体" w:hAnsi="宋体" w:cs="宋体"/>
          <w:color w:val="auto"/>
          <w:szCs w:val="21"/>
        </w:rPr>
      </w:pPr>
      <w:r>
        <w:rPr>
          <w:rFonts w:hint="eastAsia" w:ascii="宋体" w:hAnsi="宋体" w:cs="宋体"/>
          <w:color w:val="auto"/>
          <w:szCs w:val="21"/>
        </w:rPr>
        <w:t>3. 投标人为其他组织或者自然人时，本招标文件规定的法定代表人指负责人或者自然人。本招标文件所称负责人是指参加投标的其他组织营业执照上的负责人，本招标文件所称自然人指参与投标的自然人本人。</w:t>
      </w:r>
    </w:p>
    <w:p>
      <w:pPr>
        <w:snapToGrid w:val="0"/>
        <w:spacing w:before="50" w:afterLines="50" w:line="360" w:lineRule="exact"/>
        <w:ind w:firstLine="420" w:firstLineChars="200"/>
        <w:jc w:val="left"/>
        <w:rPr>
          <w:rFonts w:ascii="宋体" w:hAnsi="宋体" w:cs="宋体"/>
          <w:color w:val="auto"/>
          <w:szCs w:val="21"/>
        </w:rPr>
      </w:pPr>
      <w:r>
        <w:rPr>
          <w:rFonts w:hint="eastAsia" w:ascii="宋体" w:hAnsi="宋体" w:cs="宋体"/>
          <w:color w:val="auto"/>
          <w:szCs w:val="21"/>
        </w:rPr>
        <w:t>4. 若为联合体投标须各方签字或盖章。</w:t>
      </w:r>
    </w:p>
    <w:p>
      <w:pPr>
        <w:spacing w:line="360" w:lineRule="auto"/>
        <w:rPr>
          <w:rFonts w:ascii="宋体"/>
          <w:b/>
          <w:color w:val="auto"/>
          <w:sz w:val="24"/>
        </w:rPr>
      </w:pPr>
    </w:p>
    <w:p>
      <w:pPr>
        <w:rPr>
          <w:rFonts w:ascii="宋体"/>
          <w:b/>
          <w:color w:val="auto"/>
          <w:sz w:val="24"/>
        </w:rPr>
      </w:pPr>
      <w:r>
        <w:rPr>
          <w:rFonts w:hint="eastAsia" w:ascii="宋体"/>
          <w:b/>
          <w:color w:val="auto"/>
          <w:sz w:val="24"/>
        </w:rPr>
        <w:br w:type="page"/>
      </w:r>
    </w:p>
    <w:p>
      <w:pPr>
        <w:spacing w:line="360" w:lineRule="auto"/>
        <w:rPr>
          <w:b/>
          <w:color w:val="auto"/>
          <w:sz w:val="24"/>
        </w:rPr>
      </w:pPr>
      <w:r>
        <w:rPr>
          <w:rFonts w:hint="eastAsia" w:ascii="宋体"/>
          <w:b/>
          <w:color w:val="auto"/>
          <w:sz w:val="24"/>
        </w:rPr>
        <w:t>附件：</w:t>
      </w:r>
    </w:p>
    <w:tbl>
      <w:tblPr>
        <w:tblStyle w:val="24"/>
        <w:tblpPr w:leftFromText="180" w:rightFromText="180" w:vertAnchor="text" w:horzAnchor="margin" w:tblpXSpec="center" w:tblpY="263"/>
        <w:tblW w:w="79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40" w:hRule="atLeast"/>
          <w:jc w:val="center"/>
        </w:trPr>
        <w:tc>
          <w:tcPr>
            <w:tcW w:w="7990" w:type="dxa"/>
            <w:tcBorders>
              <w:top w:val="single" w:color="auto" w:sz="4" w:space="0"/>
              <w:left w:val="single" w:color="auto" w:sz="4" w:space="0"/>
              <w:bottom w:val="single" w:color="auto" w:sz="4" w:space="0"/>
              <w:right w:val="single" w:color="auto" w:sz="4" w:space="0"/>
            </w:tcBorders>
          </w:tcPr>
          <w:p>
            <w:pPr>
              <w:spacing w:line="360" w:lineRule="auto"/>
              <w:rPr>
                <w:rFonts w:ascii="宋体"/>
                <w:b/>
                <w:color w:val="auto"/>
                <w:sz w:val="24"/>
              </w:rPr>
            </w:pPr>
          </w:p>
          <w:p>
            <w:pPr>
              <w:spacing w:line="360" w:lineRule="auto"/>
              <w:rPr>
                <w:rFonts w:ascii="宋体"/>
                <w:b/>
                <w:color w:val="auto"/>
                <w:sz w:val="24"/>
              </w:rPr>
            </w:pPr>
            <w:r>
              <w:rPr>
                <w:rFonts w:hint="eastAsia"/>
                <w:b/>
                <w:bCs/>
                <w:color w:val="auto"/>
                <w:sz w:val="24"/>
              </w:rPr>
              <w:t>委托代理人有效</w:t>
            </w:r>
            <w:r>
              <w:rPr>
                <w:rFonts w:hint="eastAsia" w:ascii="宋体"/>
                <w:b/>
                <w:color w:val="auto"/>
                <w:sz w:val="24"/>
              </w:rPr>
              <w:t>身份证复印件粘帖处（正、反面）</w:t>
            </w:r>
          </w:p>
        </w:tc>
      </w:tr>
    </w:tbl>
    <w:p>
      <w:pPr>
        <w:snapToGrid w:val="0"/>
        <w:spacing w:before="50" w:afterLines="50" w:line="360" w:lineRule="auto"/>
        <w:jc w:val="left"/>
        <w:rPr>
          <w:rFonts w:ascii="仿宋_GB2312" w:hAnsi="仿宋_GB2312" w:eastAsia="仿宋_GB2312" w:cs="仿宋_GB2312"/>
          <w:color w:val="auto"/>
          <w:szCs w:val="21"/>
        </w:rPr>
      </w:pPr>
    </w:p>
    <w:p>
      <w:pPr>
        <w:snapToGrid w:val="0"/>
        <w:spacing w:beforeLines="50" w:after="50"/>
        <w:ind w:firstLine="566" w:firstLineChars="236"/>
        <w:jc w:val="center"/>
        <w:rPr>
          <w:rFonts w:ascii="宋体" w:hAnsi="宋体"/>
          <w:color w:val="auto"/>
          <w:sz w:val="24"/>
        </w:rPr>
      </w:pPr>
    </w:p>
    <w:p>
      <w:pPr>
        <w:snapToGrid w:val="0"/>
        <w:spacing w:beforeLines="50" w:after="50"/>
        <w:ind w:firstLine="660" w:firstLineChars="236"/>
        <w:rPr>
          <w:rFonts w:ascii="宋体" w:hAnsi="宋体"/>
          <w:color w:val="auto"/>
          <w:sz w:val="28"/>
          <w:szCs w:val="28"/>
        </w:rPr>
      </w:pPr>
    </w:p>
    <w:p>
      <w:pPr>
        <w:snapToGrid w:val="0"/>
        <w:spacing w:beforeLines="50" w:after="50"/>
        <w:ind w:firstLine="660" w:firstLineChars="236"/>
        <w:rPr>
          <w:rFonts w:ascii="宋体" w:hAnsi="宋体"/>
          <w:color w:val="auto"/>
          <w:sz w:val="28"/>
          <w:szCs w:val="28"/>
        </w:rPr>
      </w:pPr>
    </w:p>
    <w:p>
      <w:pPr>
        <w:snapToGrid w:val="0"/>
        <w:spacing w:beforeLines="50" w:after="50"/>
        <w:ind w:firstLine="660" w:firstLineChars="236"/>
        <w:rPr>
          <w:rFonts w:ascii="宋体" w:hAnsi="宋体"/>
          <w:color w:val="auto"/>
          <w:sz w:val="28"/>
          <w:szCs w:val="28"/>
        </w:rPr>
      </w:pPr>
    </w:p>
    <w:p>
      <w:pPr>
        <w:snapToGrid w:val="0"/>
        <w:spacing w:beforeLines="50" w:after="50"/>
        <w:ind w:firstLine="660" w:firstLineChars="236"/>
        <w:rPr>
          <w:rFonts w:ascii="宋体" w:hAnsi="宋体"/>
          <w:color w:val="auto"/>
          <w:sz w:val="28"/>
          <w:szCs w:val="28"/>
        </w:rPr>
      </w:pPr>
    </w:p>
    <w:p>
      <w:pPr>
        <w:snapToGrid w:val="0"/>
        <w:spacing w:beforeLines="50" w:after="50"/>
        <w:ind w:firstLine="660" w:firstLineChars="236"/>
        <w:rPr>
          <w:rFonts w:ascii="宋体" w:hAnsi="宋体"/>
          <w:color w:val="auto"/>
          <w:sz w:val="28"/>
          <w:szCs w:val="28"/>
        </w:rPr>
      </w:pPr>
    </w:p>
    <w:p>
      <w:pPr>
        <w:snapToGrid w:val="0"/>
        <w:spacing w:beforeLines="50" w:after="50"/>
        <w:ind w:firstLine="660" w:firstLineChars="236"/>
        <w:rPr>
          <w:rFonts w:ascii="宋体" w:hAnsi="宋体"/>
          <w:color w:val="auto"/>
          <w:sz w:val="28"/>
          <w:szCs w:val="28"/>
        </w:rPr>
      </w:pPr>
    </w:p>
    <w:p>
      <w:pPr>
        <w:snapToGrid w:val="0"/>
        <w:spacing w:beforeLines="50" w:after="50"/>
        <w:ind w:firstLine="566" w:firstLineChars="236"/>
        <w:rPr>
          <w:rFonts w:ascii="宋体" w:hAnsi="宋体"/>
          <w:color w:val="auto"/>
        </w:rPr>
      </w:pPr>
      <w:r>
        <w:rPr>
          <w:rFonts w:hint="eastAsia" w:ascii="宋体" w:hAnsi="宋体"/>
          <w:color w:val="auto"/>
          <w:sz w:val="24"/>
        </w:rPr>
        <w:br w:type="page"/>
      </w:r>
    </w:p>
    <w:p>
      <w:pPr>
        <w:jc w:val="left"/>
        <w:rPr>
          <w:b/>
          <w:bCs/>
          <w:color w:val="auto"/>
          <w:sz w:val="30"/>
          <w:szCs w:val="30"/>
        </w:rPr>
      </w:pPr>
      <w:r>
        <w:rPr>
          <w:rFonts w:hint="eastAsia" w:ascii="宋体" w:hAnsi="宋体" w:cs="宋体"/>
          <w:b/>
          <w:color w:val="auto"/>
          <w:sz w:val="28"/>
          <w:szCs w:val="28"/>
        </w:rPr>
        <w:t>6.商务条款偏离表的格式：</w:t>
      </w:r>
    </w:p>
    <w:p>
      <w:pPr>
        <w:jc w:val="center"/>
        <w:rPr>
          <w:b/>
          <w:bCs/>
          <w:color w:val="auto"/>
          <w:sz w:val="30"/>
          <w:szCs w:val="30"/>
        </w:rPr>
      </w:pPr>
    </w:p>
    <w:p>
      <w:pPr>
        <w:jc w:val="center"/>
        <w:rPr>
          <w:b/>
          <w:bCs/>
          <w:color w:val="auto"/>
          <w:sz w:val="30"/>
          <w:szCs w:val="30"/>
        </w:rPr>
      </w:pPr>
      <w:r>
        <w:rPr>
          <w:rFonts w:hint="eastAsia"/>
          <w:b/>
          <w:bCs/>
          <w:color w:val="auto"/>
          <w:sz w:val="30"/>
          <w:szCs w:val="30"/>
        </w:rPr>
        <w:t>商务条款偏离表</w:t>
      </w:r>
    </w:p>
    <w:p>
      <w:pPr>
        <w:spacing w:line="360" w:lineRule="auto"/>
        <w:contextualSpacing/>
        <w:rPr>
          <w:rFonts w:ascii="宋体" w:hAnsi="宋体" w:cs="宋体"/>
          <w:color w:val="auto"/>
          <w:sz w:val="24"/>
        </w:rPr>
      </w:pPr>
    </w:p>
    <w:p>
      <w:pPr>
        <w:spacing w:line="360" w:lineRule="auto"/>
        <w:contextualSpacing/>
        <w:rPr>
          <w:rFonts w:ascii="宋体" w:hAnsi="宋体" w:cs="宋体"/>
          <w:color w:val="auto"/>
          <w:sz w:val="24"/>
          <w:u w:val="single"/>
        </w:rPr>
      </w:pPr>
      <w:r>
        <w:rPr>
          <w:rFonts w:hint="eastAsia" w:ascii="宋体" w:hAnsi="宋体" w:cs="宋体"/>
          <w:color w:val="auto"/>
          <w:sz w:val="24"/>
        </w:rPr>
        <w:t>项目名称：</w:t>
      </w:r>
    </w:p>
    <w:p>
      <w:pPr>
        <w:spacing w:line="360" w:lineRule="auto"/>
        <w:contextualSpacing/>
        <w:jc w:val="left"/>
        <w:rPr>
          <w:rFonts w:ascii="宋体" w:hAnsi="宋体" w:cs="宋体"/>
          <w:color w:val="auto"/>
          <w:sz w:val="24"/>
          <w:u w:val="single"/>
        </w:rPr>
      </w:pPr>
      <w:r>
        <w:rPr>
          <w:rFonts w:hint="eastAsia" w:ascii="宋体" w:hAnsi="宋体" w:cs="宋体"/>
          <w:color w:val="auto"/>
          <w:sz w:val="24"/>
        </w:rPr>
        <w:t>项目编号：</w:t>
      </w:r>
    </w:p>
    <w:p>
      <w:pPr>
        <w:pStyle w:val="14"/>
        <w:spacing w:line="480" w:lineRule="auto"/>
        <w:ind w:left="-422" w:leftChars="-201" w:firstLine="424"/>
        <w:rPr>
          <w:color w:val="auto"/>
        </w:rPr>
      </w:pPr>
      <w:r>
        <w:rPr>
          <w:rFonts w:hint="eastAsia" w:hAnsi="宋体" w:cs="宋体"/>
          <w:color w:val="auto"/>
          <w:sz w:val="24"/>
          <w:szCs w:val="24"/>
        </w:rPr>
        <w:t>所投分标</w:t>
      </w:r>
      <w:r>
        <w:rPr>
          <w:rFonts w:hint="eastAsia" w:hAnsi="宋体" w:cs="宋体"/>
          <w:color w:val="auto"/>
          <w:szCs w:val="21"/>
        </w:rPr>
        <w:t>（此处有分标时填写具体分标号，无分标时填写“无”）</w:t>
      </w:r>
      <w:r>
        <w:rPr>
          <w:rFonts w:hint="eastAsia" w:hAnsi="宋体" w:cs="宋体"/>
          <w:color w:val="auto"/>
          <w:sz w:val="24"/>
          <w:szCs w:val="24"/>
        </w:rPr>
        <w:t>：</w:t>
      </w:r>
    </w:p>
    <w:tbl>
      <w:tblPr>
        <w:tblStyle w:val="24"/>
        <w:tblW w:w="92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3379"/>
        <w:gridCol w:w="3229"/>
        <w:gridCol w:w="1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rPr>
        <w:tc>
          <w:tcPr>
            <w:tcW w:w="77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color w:val="auto"/>
                <w:szCs w:val="21"/>
              </w:rPr>
            </w:pPr>
            <w:r>
              <w:rPr>
                <w:rFonts w:hint="eastAsia" w:ascii="宋体" w:hAnsi="宋体" w:cs="宋体"/>
                <w:color w:val="auto"/>
                <w:szCs w:val="21"/>
              </w:rPr>
              <w:t>项号</w:t>
            </w:r>
          </w:p>
        </w:tc>
        <w:tc>
          <w:tcPr>
            <w:tcW w:w="337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color w:val="auto"/>
                <w:szCs w:val="21"/>
              </w:rPr>
            </w:pPr>
            <w:r>
              <w:rPr>
                <w:rFonts w:hint="eastAsia" w:ascii="宋体" w:hAnsi="宋体" w:cs="宋体"/>
                <w:color w:val="auto"/>
                <w:szCs w:val="21"/>
              </w:rPr>
              <w:t>招标文件的商务需求</w:t>
            </w:r>
          </w:p>
        </w:tc>
        <w:tc>
          <w:tcPr>
            <w:tcW w:w="322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color w:val="auto"/>
                <w:szCs w:val="21"/>
              </w:rPr>
            </w:pPr>
            <w:r>
              <w:rPr>
                <w:rFonts w:hint="eastAsia" w:ascii="宋体" w:hAnsi="宋体" w:cs="宋体"/>
                <w:color w:val="auto"/>
                <w:szCs w:val="21"/>
              </w:rPr>
              <w:t>投标文件承诺的商务条款</w:t>
            </w:r>
          </w:p>
        </w:tc>
        <w:tc>
          <w:tcPr>
            <w:tcW w:w="1917"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color w:val="auto"/>
                <w:szCs w:val="21"/>
              </w:rPr>
            </w:pPr>
            <w:r>
              <w:rPr>
                <w:rFonts w:hint="eastAsia" w:ascii="宋体" w:hAnsi="宋体" w:cs="宋体"/>
                <w:color w:val="auto"/>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0" w:hRule="atLeast"/>
        </w:trPr>
        <w:tc>
          <w:tcPr>
            <w:tcW w:w="774"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color w:val="auto"/>
                <w:szCs w:val="21"/>
              </w:rPr>
            </w:pPr>
            <w:r>
              <w:rPr>
                <w:rFonts w:hint="eastAsia" w:ascii="宋体" w:hAnsi="宋体" w:cs="宋体"/>
                <w:color w:val="auto"/>
                <w:szCs w:val="21"/>
              </w:rPr>
              <w:t>一</w:t>
            </w:r>
          </w:p>
        </w:tc>
        <w:tc>
          <w:tcPr>
            <w:tcW w:w="3379"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color w:val="auto"/>
                <w:szCs w:val="21"/>
              </w:rPr>
            </w:pPr>
          </w:p>
        </w:tc>
        <w:tc>
          <w:tcPr>
            <w:tcW w:w="3229"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color w:val="auto"/>
                <w:szCs w:val="21"/>
              </w:rPr>
            </w:pPr>
          </w:p>
        </w:tc>
        <w:tc>
          <w:tcPr>
            <w:tcW w:w="1917"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0" w:hRule="atLeast"/>
        </w:trPr>
        <w:tc>
          <w:tcPr>
            <w:tcW w:w="774"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color w:val="auto"/>
                <w:szCs w:val="21"/>
              </w:rPr>
            </w:pPr>
            <w:r>
              <w:rPr>
                <w:rFonts w:hint="eastAsia" w:ascii="宋体" w:hAnsi="宋体" w:cs="宋体"/>
                <w:color w:val="auto"/>
                <w:szCs w:val="21"/>
              </w:rPr>
              <w:t>二</w:t>
            </w:r>
          </w:p>
        </w:tc>
        <w:tc>
          <w:tcPr>
            <w:tcW w:w="3379"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color w:val="auto"/>
                <w:szCs w:val="21"/>
              </w:rPr>
            </w:pPr>
          </w:p>
        </w:tc>
        <w:tc>
          <w:tcPr>
            <w:tcW w:w="3229"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color w:val="auto"/>
                <w:szCs w:val="21"/>
              </w:rPr>
            </w:pPr>
          </w:p>
        </w:tc>
        <w:tc>
          <w:tcPr>
            <w:tcW w:w="1917"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9" w:hRule="atLeast"/>
        </w:trPr>
        <w:tc>
          <w:tcPr>
            <w:tcW w:w="774"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color w:val="auto"/>
                <w:szCs w:val="21"/>
              </w:rPr>
            </w:pPr>
            <w:r>
              <w:rPr>
                <w:rFonts w:hint="eastAsia" w:ascii="宋体" w:hAnsi="宋体" w:cs="宋体"/>
                <w:color w:val="auto"/>
                <w:szCs w:val="21"/>
              </w:rPr>
              <w:t>...</w:t>
            </w:r>
          </w:p>
        </w:tc>
        <w:tc>
          <w:tcPr>
            <w:tcW w:w="3379"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color w:val="auto"/>
                <w:szCs w:val="21"/>
              </w:rPr>
            </w:pPr>
          </w:p>
        </w:tc>
        <w:tc>
          <w:tcPr>
            <w:tcW w:w="3229"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color w:val="auto"/>
                <w:szCs w:val="21"/>
              </w:rPr>
            </w:pPr>
          </w:p>
        </w:tc>
        <w:tc>
          <w:tcPr>
            <w:tcW w:w="1917"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color w:val="auto"/>
                <w:szCs w:val="21"/>
              </w:rPr>
            </w:pPr>
          </w:p>
        </w:tc>
      </w:tr>
    </w:tbl>
    <w:p>
      <w:pPr>
        <w:pStyle w:val="14"/>
        <w:spacing w:line="360" w:lineRule="auto"/>
        <w:ind w:left="-708" w:leftChars="-337"/>
        <w:rPr>
          <w:rFonts w:ascii="Times New Roman" w:hAnsi="Times New Roman"/>
          <w:color w:val="auto"/>
        </w:rPr>
      </w:pPr>
    </w:p>
    <w:p>
      <w:pPr>
        <w:pStyle w:val="14"/>
        <w:spacing w:line="360" w:lineRule="auto"/>
        <w:ind w:firstLine="420" w:firstLineChars="200"/>
        <w:rPr>
          <w:rFonts w:ascii="Times New Roman" w:hAnsi="Times New Roman"/>
          <w:color w:val="auto"/>
        </w:rPr>
      </w:pPr>
      <w:r>
        <w:rPr>
          <w:rFonts w:hint="eastAsia" w:ascii="Times New Roman" w:hAnsi="Times New Roman"/>
          <w:color w:val="auto"/>
        </w:rPr>
        <w:t>注：</w:t>
      </w:r>
    </w:p>
    <w:p>
      <w:pPr>
        <w:pStyle w:val="14"/>
        <w:spacing w:line="360" w:lineRule="auto"/>
        <w:ind w:firstLine="420" w:firstLineChars="200"/>
        <w:rPr>
          <w:rFonts w:hAnsi="宋体" w:cs="宋体"/>
          <w:color w:val="auto"/>
        </w:rPr>
      </w:pPr>
      <w:r>
        <w:rPr>
          <w:rFonts w:hint="eastAsia" w:hAnsi="宋体" w:cs="宋体"/>
          <w:color w:val="auto"/>
        </w:rPr>
        <w:t>1.表格内容均需按要求填写并加盖投标人公章。</w:t>
      </w:r>
    </w:p>
    <w:p>
      <w:pPr>
        <w:pStyle w:val="14"/>
        <w:spacing w:line="360" w:lineRule="auto"/>
        <w:ind w:left="-424" w:leftChars="-202" w:firstLine="846"/>
        <w:rPr>
          <w:rFonts w:hAnsi="宋体" w:cs="宋体"/>
          <w:color w:val="auto"/>
        </w:rPr>
      </w:pPr>
      <w:r>
        <w:rPr>
          <w:rFonts w:hint="eastAsia" w:hAnsi="宋体" w:cs="宋体"/>
          <w:color w:val="auto"/>
        </w:rPr>
        <w:t xml:space="preserve">2.请逐条对应本项目招标文件“第二章  </w:t>
      </w:r>
      <w:r>
        <w:rPr>
          <w:rFonts w:hint="eastAsia" w:hAnsi="宋体" w:cs="宋体"/>
          <w:b/>
          <w:color w:val="auto"/>
          <w:szCs w:val="21"/>
        </w:rPr>
        <w:t>采购需求</w:t>
      </w:r>
      <w:r>
        <w:rPr>
          <w:rFonts w:hint="eastAsia" w:hAnsi="宋体" w:cs="宋体"/>
          <w:color w:val="auto"/>
        </w:rPr>
        <w:t>”中“商务条款”的要求，详细填写相应的具体内容。“偏离说明”一栏应当选择“正偏离”或“负偏离”或“无偏离”进行填写。</w:t>
      </w:r>
    </w:p>
    <w:p>
      <w:pPr>
        <w:pStyle w:val="14"/>
        <w:spacing w:line="360" w:lineRule="auto"/>
        <w:ind w:left="-603" w:leftChars="-287" w:firstLine="945" w:firstLineChars="450"/>
        <w:rPr>
          <w:rFonts w:hAnsi="宋体" w:cs="宋体"/>
          <w:color w:val="auto"/>
        </w:rPr>
      </w:pPr>
      <w:r>
        <w:rPr>
          <w:rFonts w:hint="eastAsia" w:hAnsi="宋体" w:cs="宋体"/>
          <w:color w:val="auto"/>
        </w:rPr>
        <w:t>3.当投标文件的商务内容低于招标文件要求时，投标人应当如实写明“负偏离”。</w:t>
      </w:r>
    </w:p>
    <w:p>
      <w:pPr>
        <w:pStyle w:val="14"/>
        <w:spacing w:line="360" w:lineRule="auto"/>
        <w:ind w:left="-708" w:leftChars="-337" w:firstLine="1050" w:firstLineChars="500"/>
        <w:rPr>
          <w:rFonts w:hAnsi="宋体" w:cs="宋体"/>
          <w:color w:val="auto"/>
          <w:szCs w:val="21"/>
        </w:rPr>
      </w:pPr>
    </w:p>
    <w:p>
      <w:pPr>
        <w:snapToGrid w:val="0"/>
        <w:spacing w:before="50" w:after="50"/>
        <w:rPr>
          <w:rFonts w:ascii="宋体" w:hAnsi="宋体"/>
          <w:color w:val="auto"/>
          <w:sz w:val="24"/>
        </w:rPr>
      </w:pPr>
    </w:p>
    <w:p>
      <w:pPr>
        <w:snapToGrid w:val="0"/>
        <w:spacing w:line="360" w:lineRule="auto"/>
        <w:ind w:firstLine="5640" w:firstLineChars="2350"/>
        <w:rPr>
          <w:rFonts w:ascii="宋体" w:hAnsi="宋体" w:cs="宋体"/>
          <w:color w:val="auto"/>
          <w:kern w:val="0"/>
          <w:sz w:val="24"/>
        </w:rPr>
      </w:pPr>
      <w:r>
        <w:rPr>
          <w:rFonts w:hint="eastAsia" w:ascii="宋体" w:hAnsi="宋体" w:cs="宋体"/>
          <w:color w:val="auto"/>
          <w:kern w:val="0"/>
          <w:sz w:val="24"/>
          <w:lang w:val="zh-CN"/>
        </w:rPr>
        <w:t>投标人名称(盖公章)：</w:t>
      </w:r>
    </w:p>
    <w:p>
      <w:pPr>
        <w:snapToGrid w:val="0"/>
        <w:spacing w:line="360" w:lineRule="auto"/>
        <w:ind w:firstLine="5160" w:firstLineChars="2150"/>
        <w:rPr>
          <w:rFonts w:ascii="宋体" w:hAnsi="宋体" w:cs="宋体"/>
          <w:color w:val="auto"/>
          <w:kern w:val="0"/>
          <w:sz w:val="24"/>
          <w:lang w:val="zh-CN"/>
        </w:rPr>
      </w:pPr>
      <w:r>
        <w:rPr>
          <w:rFonts w:hint="eastAsia" w:ascii="宋体" w:hAnsi="宋体" w:cs="宋体"/>
          <w:color w:val="auto"/>
          <w:kern w:val="0"/>
          <w:sz w:val="24"/>
          <w:lang w:val="zh-CN"/>
        </w:rPr>
        <w:t>日期</w:t>
      </w:r>
      <w:r>
        <w:rPr>
          <w:rFonts w:hint="eastAsia" w:ascii="宋体" w:hAnsi="宋体" w:cs="宋体"/>
          <w:color w:val="auto"/>
          <w:kern w:val="0"/>
          <w:sz w:val="24"/>
        </w:rPr>
        <w:t xml:space="preserve">：  年  </w:t>
      </w:r>
      <w:r>
        <w:rPr>
          <w:rFonts w:hint="eastAsia" w:ascii="宋体" w:hAnsi="宋体" w:cs="宋体"/>
          <w:color w:val="auto"/>
          <w:kern w:val="0"/>
          <w:sz w:val="24"/>
          <w:lang w:val="zh-CN"/>
        </w:rPr>
        <w:t>月日</w:t>
      </w:r>
    </w:p>
    <w:p>
      <w:pPr>
        <w:rPr>
          <w:color w:val="auto"/>
        </w:rPr>
      </w:pPr>
    </w:p>
    <w:p>
      <w:pPr>
        <w:widowControl/>
        <w:jc w:val="left"/>
        <w:rPr>
          <w:b/>
          <w:bCs/>
          <w:color w:val="auto"/>
          <w:sz w:val="30"/>
          <w:szCs w:val="30"/>
        </w:rPr>
        <w:sectPr>
          <w:pgSz w:w="11905" w:h="16838"/>
          <w:pgMar w:top="1134" w:right="1134" w:bottom="1134" w:left="1134" w:header="850" w:footer="850" w:gutter="0"/>
          <w:cols w:space="0" w:num="1"/>
          <w:titlePg/>
          <w:rtlGutter w:val="0"/>
          <w:docGrid w:linePitch="331" w:charSpace="0"/>
        </w:sectPr>
      </w:pPr>
    </w:p>
    <w:p>
      <w:pPr>
        <w:pStyle w:val="14"/>
        <w:jc w:val="center"/>
        <w:outlineLvl w:val="1"/>
        <w:rPr>
          <w:rFonts w:hAnsi="宋体"/>
          <w:b/>
          <w:bCs/>
          <w:color w:val="auto"/>
          <w:sz w:val="28"/>
          <w:szCs w:val="28"/>
        </w:rPr>
      </w:pPr>
      <w:bookmarkStart w:id="382" w:name="_Toc17437"/>
      <w:bookmarkStart w:id="383" w:name="_Toc1161"/>
      <w:bookmarkStart w:id="384" w:name="_Toc23685"/>
      <w:bookmarkStart w:id="385" w:name="_Toc24407"/>
      <w:bookmarkStart w:id="386" w:name="_Toc24098"/>
      <w:bookmarkStart w:id="387" w:name="_Toc8889"/>
      <w:bookmarkStart w:id="388" w:name="_Toc10435"/>
      <w:bookmarkStart w:id="389" w:name="_Toc585"/>
      <w:bookmarkStart w:id="390" w:name="_Toc10197"/>
      <w:bookmarkStart w:id="391" w:name="_Toc27757"/>
      <w:bookmarkStart w:id="392" w:name="_Toc19686839"/>
      <w:r>
        <w:rPr>
          <w:rFonts w:hint="eastAsia" w:hAnsi="宋体"/>
          <w:b/>
          <w:bCs/>
          <w:color w:val="auto"/>
          <w:sz w:val="28"/>
          <w:szCs w:val="28"/>
        </w:rPr>
        <w:t>第三节 技术文件格式</w:t>
      </w:r>
      <w:bookmarkEnd w:id="382"/>
      <w:bookmarkEnd w:id="383"/>
      <w:bookmarkEnd w:id="384"/>
      <w:bookmarkEnd w:id="385"/>
      <w:bookmarkEnd w:id="386"/>
      <w:bookmarkEnd w:id="387"/>
      <w:bookmarkEnd w:id="388"/>
      <w:bookmarkEnd w:id="389"/>
      <w:bookmarkEnd w:id="390"/>
      <w:bookmarkEnd w:id="391"/>
      <w:bookmarkEnd w:id="392"/>
    </w:p>
    <w:p>
      <w:pPr>
        <w:snapToGrid w:val="0"/>
        <w:spacing w:beforeLines="50" w:after="50"/>
        <w:rPr>
          <w:rFonts w:ascii="宋体" w:hAnsi="宋体"/>
          <w:color w:val="auto"/>
          <w:sz w:val="24"/>
        </w:rPr>
      </w:pPr>
    </w:p>
    <w:p>
      <w:pPr>
        <w:snapToGrid w:val="0"/>
        <w:spacing w:beforeLines="50" w:after="50"/>
        <w:rPr>
          <w:rFonts w:ascii="宋体" w:hAnsi="宋体"/>
          <w:color w:val="auto"/>
          <w:sz w:val="24"/>
        </w:rPr>
      </w:pPr>
      <w:r>
        <w:rPr>
          <w:rFonts w:hint="eastAsia" w:ascii="宋体" w:hAnsi="宋体" w:cs="宋体"/>
          <w:b/>
          <w:color w:val="auto"/>
          <w:sz w:val="28"/>
          <w:szCs w:val="28"/>
        </w:rPr>
        <w:t>1. 技术文件封面的格式（参照此格式自拟）：</w:t>
      </w:r>
    </w:p>
    <w:p>
      <w:pPr>
        <w:snapToGrid w:val="0"/>
        <w:spacing w:beforeLines="50" w:after="50"/>
        <w:ind w:firstLine="1050" w:firstLineChars="500"/>
        <w:rPr>
          <w:rFonts w:ascii="宋体" w:hAnsi="宋体"/>
          <w:bCs/>
          <w:color w:val="auto"/>
          <w:sz w:val="32"/>
          <w:szCs w:val="20"/>
        </w:rPr>
      </w:pPr>
      <w:r>
        <w:rPr>
          <w:rFonts w:hint="eastAsia" w:ascii="宋体" w:hAnsi="宋体"/>
          <w:bCs/>
          <w:color w:val="auto"/>
        </w:rPr>
        <w:t>电子投标文件</w:t>
      </w:r>
    </w:p>
    <w:p>
      <w:pPr>
        <w:snapToGrid w:val="0"/>
        <w:spacing w:beforeLines="50" w:after="50"/>
        <w:rPr>
          <w:rFonts w:ascii="宋体" w:hAnsi="宋体"/>
          <w:color w:val="auto"/>
          <w:sz w:val="24"/>
          <w:szCs w:val="20"/>
        </w:rPr>
      </w:pPr>
    </w:p>
    <w:p>
      <w:pPr>
        <w:snapToGrid w:val="0"/>
        <w:spacing w:beforeLines="50" w:after="50"/>
        <w:jc w:val="center"/>
        <w:rPr>
          <w:rFonts w:ascii="宋体" w:hAnsi="宋体"/>
          <w:b/>
          <w:bCs/>
          <w:color w:val="auto"/>
          <w:sz w:val="32"/>
          <w:szCs w:val="32"/>
        </w:rPr>
      </w:pPr>
    </w:p>
    <w:p>
      <w:pPr>
        <w:snapToGrid w:val="0"/>
        <w:spacing w:beforeLines="50" w:after="50"/>
        <w:jc w:val="center"/>
        <w:rPr>
          <w:rFonts w:ascii="宋体" w:hAnsi="宋体"/>
          <w:b/>
          <w:bCs/>
          <w:color w:val="auto"/>
          <w:sz w:val="32"/>
          <w:szCs w:val="32"/>
        </w:rPr>
      </w:pPr>
      <w:r>
        <w:rPr>
          <w:rFonts w:hint="eastAsia" w:ascii="宋体" w:hAnsi="宋体"/>
          <w:b/>
          <w:bCs/>
          <w:color w:val="auto"/>
          <w:sz w:val="32"/>
          <w:szCs w:val="32"/>
        </w:rPr>
        <w:t>技术文件</w:t>
      </w:r>
    </w:p>
    <w:p>
      <w:pPr>
        <w:snapToGrid w:val="0"/>
        <w:spacing w:beforeLines="50" w:after="50"/>
        <w:rPr>
          <w:rFonts w:ascii="宋体" w:hAnsi="宋体"/>
          <w:bCs/>
          <w:color w:val="auto"/>
          <w:sz w:val="24"/>
          <w:szCs w:val="20"/>
        </w:rPr>
      </w:pPr>
    </w:p>
    <w:p>
      <w:pPr>
        <w:snapToGrid w:val="0"/>
        <w:spacing w:beforeLines="50" w:after="50" w:line="400" w:lineRule="exact"/>
        <w:ind w:firstLine="360" w:firstLineChars="150"/>
        <w:rPr>
          <w:rFonts w:ascii="宋体" w:hAnsi="宋体"/>
          <w:bCs/>
          <w:color w:val="auto"/>
          <w:sz w:val="24"/>
        </w:rPr>
      </w:pPr>
      <w:r>
        <w:rPr>
          <w:rFonts w:hint="eastAsia" w:ascii="宋体" w:hAnsi="宋体"/>
          <w:bCs/>
          <w:color w:val="auto"/>
          <w:sz w:val="24"/>
        </w:rPr>
        <w:t xml:space="preserve">项目名称： </w:t>
      </w:r>
    </w:p>
    <w:p>
      <w:pPr>
        <w:snapToGrid w:val="0"/>
        <w:spacing w:beforeLines="50" w:after="50" w:line="400" w:lineRule="exact"/>
        <w:ind w:firstLine="360" w:firstLineChars="150"/>
        <w:rPr>
          <w:rFonts w:ascii="宋体" w:hAnsi="宋体"/>
          <w:bCs/>
          <w:color w:val="auto"/>
          <w:sz w:val="24"/>
        </w:rPr>
      </w:pPr>
      <w:r>
        <w:rPr>
          <w:rFonts w:hint="eastAsia" w:ascii="宋体" w:hAnsi="宋体"/>
          <w:bCs/>
          <w:color w:val="auto"/>
          <w:sz w:val="24"/>
        </w:rPr>
        <w:t xml:space="preserve">项目编号： </w:t>
      </w:r>
    </w:p>
    <w:p>
      <w:pPr>
        <w:snapToGrid w:val="0"/>
        <w:spacing w:beforeLines="50" w:after="50" w:line="400" w:lineRule="exact"/>
        <w:ind w:firstLine="360" w:firstLineChars="150"/>
        <w:rPr>
          <w:rFonts w:ascii="宋体" w:hAnsi="宋体"/>
          <w:bCs/>
          <w:color w:val="auto"/>
          <w:sz w:val="24"/>
        </w:rPr>
      </w:pPr>
      <w:r>
        <w:rPr>
          <w:rFonts w:hint="eastAsia" w:ascii="宋体" w:hAnsi="宋体"/>
          <w:bCs/>
          <w:color w:val="auto"/>
          <w:sz w:val="24"/>
        </w:rPr>
        <w:t>所投分标（如有则填写，无分标时填写“无”或者留空）：</w:t>
      </w:r>
    </w:p>
    <w:p>
      <w:pPr>
        <w:snapToGrid w:val="0"/>
        <w:spacing w:beforeLines="50" w:after="50" w:line="400" w:lineRule="exact"/>
        <w:ind w:firstLine="360" w:firstLineChars="150"/>
        <w:rPr>
          <w:rFonts w:ascii="宋体" w:hAnsi="宋体"/>
          <w:bCs/>
          <w:color w:val="auto"/>
          <w:sz w:val="24"/>
        </w:rPr>
      </w:pPr>
      <w:r>
        <w:rPr>
          <w:rFonts w:hint="eastAsia" w:ascii="宋体" w:hAnsi="宋体"/>
          <w:bCs/>
          <w:color w:val="auto"/>
          <w:sz w:val="24"/>
        </w:rPr>
        <w:t>投标人名称：</w:t>
      </w:r>
    </w:p>
    <w:p>
      <w:pPr>
        <w:snapToGrid w:val="0"/>
        <w:spacing w:beforeLines="50" w:after="50"/>
        <w:ind w:firstLine="645"/>
        <w:jc w:val="center"/>
        <w:rPr>
          <w:rFonts w:ascii="宋体" w:hAnsi="宋体"/>
          <w:color w:val="auto"/>
          <w:sz w:val="24"/>
        </w:rPr>
      </w:pPr>
    </w:p>
    <w:p>
      <w:pPr>
        <w:snapToGrid w:val="0"/>
        <w:spacing w:beforeLines="50" w:after="50"/>
        <w:ind w:firstLine="645"/>
        <w:jc w:val="center"/>
        <w:rPr>
          <w:rFonts w:ascii="宋体" w:hAnsi="宋体"/>
          <w:color w:val="auto"/>
          <w:sz w:val="24"/>
        </w:rPr>
      </w:pPr>
    </w:p>
    <w:p>
      <w:pPr>
        <w:snapToGrid w:val="0"/>
        <w:spacing w:beforeLines="50" w:after="50"/>
        <w:ind w:firstLine="645"/>
        <w:jc w:val="center"/>
        <w:rPr>
          <w:rFonts w:ascii="宋体" w:hAnsi="宋体"/>
          <w:color w:val="auto"/>
          <w:sz w:val="24"/>
        </w:rPr>
      </w:pPr>
    </w:p>
    <w:p>
      <w:pPr>
        <w:snapToGrid w:val="0"/>
        <w:spacing w:beforeLines="50" w:after="50"/>
        <w:ind w:firstLine="645"/>
        <w:jc w:val="center"/>
        <w:rPr>
          <w:rFonts w:ascii="宋体" w:hAnsi="宋体"/>
          <w:color w:val="auto"/>
          <w:sz w:val="24"/>
        </w:rPr>
      </w:pPr>
    </w:p>
    <w:p>
      <w:pPr>
        <w:snapToGrid w:val="0"/>
        <w:spacing w:beforeLines="50" w:after="50"/>
        <w:ind w:firstLine="645"/>
        <w:jc w:val="center"/>
        <w:rPr>
          <w:rFonts w:ascii="宋体" w:hAnsi="宋体"/>
          <w:color w:val="auto"/>
          <w:sz w:val="24"/>
        </w:rPr>
      </w:pPr>
    </w:p>
    <w:p>
      <w:pPr>
        <w:snapToGrid w:val="0"/>
        <w:spacing w:beforeLines="50" w:after="50"/>
        <w:ind w:firstLine="645"/>
        <w:jc w:val="center"/>
        <w:rPr>
          <w:rFonts w:ascii="宋体" w:hAnsi="宋体"/>
          <w:color w:val="auto"/>
          <w:sz w:val="24"/>
        </w:rPr>
      </w:pPr>
    </w:p>
    <w:p>
      <w:pPr>
        <w:snapToGrid w:val="0"/>
        <w:spacing w:beforeLines="50" w:after="50"/>
        <w:ind w:firstLine="645"/>
        <w:jc w:val="center"/>
        <w:rPr>
          <w:rFonts w:ascii="宋体" w:hAnsi="宋体"/>
          <w:color w:val="auto"/>
          <w:sz w:val="24"/>
        </w:rPr>
      </w:pPr>
      <w:r>
        <w:rPr>
          <w:rFonts w:hint="eastAsia" w:ascii="宋体" w:hAnsi="宋体"/>
          <w:color w:val="auto"/>
          <w:sz w:val="24"/>
        </w:rPr>
        <w:t xml:space="preserve"> 年    月    日</w:t>
      </w:r>
    </w:p>
    <w:p>
      <w:pPr>
        <w:snapToGrid w:val="0"/>
        <w:spacing w:beforeLines="50" w:after="50"/>
        <w:ind w:firstLine="645"/>
        <w:jc w:val="center"/>
        <w:rPr>
          <w:rFonts w:ascii="宋体" w:hAnsi="宋体"/>
          <w:color w:val="auto"/>
          <w:sz w:val="24"/>
          <w:szCs w:val="20"/>
        </w:rPr>
      </w:pPr>
    </w:p>
    <w:p>
      <w:pPr>
        <w:jc w:val="center"/>
        <w:rPr>
          <w:rFonts w:ascii="宋体" w:hAnsi="宋体"/>
          <w:b/>
          <w:bCs/>
          <w:color w:val="auto"/>
          <w:sz w:val="24"/>
        </w:rPr>
      </w:pPr>
      <w:r>
        <w:rPr>
          <w:rFonts w:hint="eastAsia" w:ascii="宋体" w:hAnsi="宋体"/>
          <w:b/>
          <w:bCs/>
          <w:color w:val="auto"/>
          <w:sz w:val="24"/>
        </w:rPr>
        <w:br w:type="page"/>
      </w:r>
    </w:p>
    <w:p>
      <w:pPr>
        <w:numPr>
          <w:ilvl w:val="0"/>
          <w:numId w:val="4"/>
        </w:numPr>
        <w:snapToGrid w:val="0"/>
        <w:spacing w:beforeLines="50" w:after="50"/>
        <w:ind w:left="142"/>
        <w:jc w:val="left"/>
        <w:rPr>
          <w:rFonts w:ascii="宋体" w:hAnsi="宋体" w:cs="宋体"/>
          <w:b/>
          <w:bCs/>
          <w:color w:val="auto"/>
          <w:sz w:val="28"/>
          <w:szCs w:val="28"/>
        </w:rPr>
      </w:pPr>
      <w:r>
        <w:rPr>
          <w:rFonts w:hint="eastAsia" w:ascii="宋体" w:hAnsi="宋体" w:cs="宋体"/>
          <w:b/>
          <w:bCs/>
          <w:color w:val="auto"/>
          <w:sz w:val="28"/>
          <w:szCs w:val="28"/>
        </w:rPr>
        <w:t>技术文件目录</w:t>
      </w:r>
    </w:p>
    <w:p>
      <w:pPr>
        <w:snapToGrid w:val="0"/>
        <w:spacing w:beforeLines="50" w:after="50"/>
        <w:ind w:left="142"/>
        <w:jc w:val="left"/>
        <w:rPr>
          <w:rFonts w:ascii="宋体" w:hAnsi="宋体"/>
          <w:b/>
          <w:color w:val="auto"/>
          <w:sz w:val="24"/>
        </w:rPr>
      </w:pPr>
      <w:r>
        <w:rPr>
          <w:rFonts w:hint="eastAsia" w:ascii="宋体" w:hAnsi="宋体" w:cs="宋体"/>
          <w:color w:val="auto"/>
          <w:kern w:val="0"/>
          <w:sz w:val="24"/>
        </w:rPr>
        <w:t>根据招标文件规定及投标人提供的材料自行编写目录（部分格式后附）。</w:t>
      </w:r>
    </w:p>
    <w:p>
      <w:pPr>
        <w:snapToGrid w:val="0"/>
        <w:spacing w:beforeLines="50" w:after="50"/>
        <w:jc w:val="left"/>
        <w:rPr>
          <w:rFonts w:ascii="宋体" w:hAnsi="宋体"/>
          <w:b/>
          <w:color w:val="auto"/>
          <w:sz w:val="24"/>
        </w:rPr>
      </w:pPr>
      <w:r>
        <w:rPr>
          <w:rFonts w:hint="eastAsia" w:ascii="宋体" w:hAnsi="宋体"/>
          <w:b/>
          <w:color w:val="auto"/>
          <w:sz w:val="24"/>
        </w:rPr>
        <w:br w:type="page"/>
      </w:r>
      <w:r>
        <w:rPr>
          <w:rFonts w:hint="eastAsia" w:ascii="宋体" w:hAnsi="宋体" w:cs="宋体"/>
          <w:b/>
          <w:color w:val="auto"/>
          <w:sz w:val="28"/>
          <w:szCs w:val="28"/>
        </w:rPr>
        <w:t>3. 服务要求偏离表</w:t>
      </w:r>
      <w:r>
        <w:rPr>
          <w:rFonts w:hint="eastAsia" w:hAnsi="宋体" w:cs="宋体"/>
          <w:b/>
          <w:color w:val="auto"/>
          <w:sz w:val="28"/>
          <w:szCs w:val="28"/>
        </w:rPr>
        <w:t>的</w:t>
      </w:r>
      <w:r>
        <w:rPr>
          <w:rFonts w:hint="eastAsia" w:ascii="宋体" w:hAnsi="宋体" w:cs="宋体"/>
          <w:b/>
          <w:color w:val="auto"/>
          <w:sz w:val="28"/>
          <w:szCs w:val="28"/>
        </w:rPr>
        <w:t>格式</w:t>
      </w:r>
      <w:r>
        <w:rPr>
          <w:rFonts w:hint="eastAsia" w:hAnsi="宋体" w:cs="宋体"/>
          <w:b/>
          <w:color w:val="auto"/>
          <w:sz w:val="28"/>
          <w:szCs w:val="28"/>
        </w:rPr>
        <w:t>：</w:t>
      </w:r>
    </w:p>
    <w:p>
      <w:pPr>
        <w:pStyle w:val="14"/>
        <w:spacing w:line="500" w:lineRule="exact"/>
        <w:jc w:val="center"/>
        <w:rPr>
          <w:rFonts w:ascii="Times New Roman" w:hAnsi="Times New Roman"/>
          <w:b/>
          <w:bCs/>
          <w:color w:val="auto"/>
          <w:sz w:val="30"/>
          <w:szCs w:val="30"/>
        </w:rPr>
      </w:pPr>
      <w:r>
        <w:rPr>
          <w:rFonts w:hint="eastAsia" w:ascii="Times New Roman" w:hAnsi="Times New Roman"/>
          <w:b/>
          <w:bCs/>
          <w:color w:val="auto"/>
          <w:sz w:val="30"/>
          <w:szCs w:val="30"/>
        </w:rPr>
        <w:t>服务要求偏离表</w:t>
      </w:r>
    </w:p>
    <w:p>
      <w:pPr>
        <w:pStyle w:val="14"/>
        <w:spacing w:line="440" w:lineRule="exact"/>
        <w:ind w:firstLine="420" w:firstLineChars="200"/>
        <w:rPr>
          <w:color w:val="auto"/>
        </w:rPr>
      </w:pPr>
    </w:p>
    <w:p>
      <w:pPr>
        <w:spacing w:line="360" w:lineRule="auto"/>
        <w:contextualSpacing/>
        <w:rPr>
          <w:rFonts w:ascii="宋体" w:hAnsi="宋体" w:cs="宋体"/>
          <w:color w:val="auto"/>
          <w:sz w:val="24"/>
          <w:u w:val="single"/>
        </w:rPr>
      </w:pPr>
      <w:r>
        <w:rPr>
          <w:rFonts w:hint="eastAsia" w:ascii="宋体" w:hAnsi="宋体" w:cs="宋体"/>
          <w:color w:val="auto"/>
          <w:sz w:val="24"/>
        </w:rPr>
        <w:t>项目</w:t>
      </w:r>
      <w:r>
        <w:rPr>
          <w:rFonts w:hint="eastAsia" w:hAnsi="宋体" w:cs="宋体"/>
          <w:color w:val="auto"/>
          <w:sz w:val="24"/>
        </w:rPr>
        <w:t>名称</w:t>
      </w:r>
      <w:r>
        <w:rPr>
          <w:rFonts w:hint="eastAsia" w:ascii="宋体" w:hAnsi="宋体" w:cs="宋体"/>
          <w:color w:val="auto"/>
          <w:sz w:val="24"/>
        </w:rPr>
        <w:t>：</w:t>
      </w:r>
    </w:p>
    <w:p>
      <w:pPr>
        <w:pStyle w:val="14"/>
        <w:spacing w:line="600" w:lineRule="exact"/>
        <w:rPr>
          <w:rFonts w:hAnsi="宋体" w:cs="宋体"/>
          <w:color w:val="auto"/>
          <w:sz w:val="24"/>
          <w:u w:val="single"/>
        </w:rPr>
      </w:pPr>
      <w:r>
        <w:rPr>
          <w:rFonts w:hint="eastAsia" w:hAnsi="宋体" w:cs="宋体"/>
          <w:color w:val="auto"/>
          <w:sz w:val="24"/>
        </w:rPr>
        <w:t>项目编号：</w:t>
      </w:r>
    </w:p>
    <w:p>
      <w:pPr>
        <w:pStyle w:val="9"/>
        <w:rPr>
          <w:color w:val="auto"/>
        </w:rPr>
      </w:pPr>
    </w:p>
    <w:p>
      <w:pPr>
        <w:pStyle w:val="9"/>
        <w:ind w:left="0"/>
        <w:rPr>
          <w:rFonts w:ascii="宋体" w:hAnsi="宋体" w:cs="宋体"/>
          <w:color w:val="auto"/>
          <w:sz w:val="24"/>
          <w:u w:val="single"/>
        </w:rPr>
      </w:pPr>
      <w:r>
        <w:rPr>
          <w:rFonts w:hint="eastAsia" w:hAnsi="宋体" w:cs="宋体"/>
          <w:color w:val="auto"/>
          <w:sz w:val="24"/>
          <w:szCs w:val="20"/>
        </w:rPr>
        <w:t>所投</w:t>
      </w:r>
      <w:r>
        <w:rPr>
          <w:rFonts w:hint="eastAsia" w:ascii="宋体" w:hAnsi="宋体" w:cs="宋体"/>
          <w:color w:val="auto"/>
          <w:sz w:val="24"/>
          <w:szCs w:val="20"/>
        </w:rPr>
        <w:t>分标</w:t>
      </w:r>
      <w:r>
        <w:rPr>
          <w:rFonts w:hint="eastAsia" w:ascii="宋体" w:hAnsi="宋体" w:cs="宋体"/>
          <w:color w:val="auto"/>
          <w:szCs w:val="21"/>
        </w:rPr>
        <w:t>（此处有分标时填写具体分标号，无分标时填写“无”）</w:t>
      </w:r>
      <w:r>
        <w:rPr>
          <w:rFonts w:hint="eastAsia" w:ascii="宋体" w:hAnsi="宋体" w:cs="宋体"/>
          <w:color w:val="auto"/>
          <w:sz w:val="24"/>
        </w:rPr>
        <w:t>：</w:t>
      </w:r>
    </w:p>
    <w:p>
      <w:pPr>
        <w:rPr>
          <w:color w:val="auto"/>
        </w:rPr>
      </w:pPr>
    </w:p>
    <w:tbl>
      <w:tblPr>
        <w:tblStyle w:val="24"/>
        <w:tblW w:w="101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
        <w:gridCol w:w="1262"/>
        <w:gridCol w:w="3133"/>
        <w:gridCol w:w="3769"/>
        <w:gridCol w:w="1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61" w:hRule="atLeast"/>
          <w:jc w:val="center"/>
        </w:trPr>
        <w:tc>
          <w:tcPr>
            <w:tcW w:w="85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color w:val="auto"/>
                <w:szCs w:val="21"/>
              </w:rPr>
              <w:t>项号</w:t>
            </w:r>
          </w:p>
        </w:tc>
        <w:tc>
          <w:tcPr>
            <w:tcW w:w="1262" w:type="dxa"/>
            <w:tcBorders>
              <w:top w:val="single" w:color="auto" w:sz="4" w:space="0"/>
              <w:left w:val="single" w:color="auto" w:sz="4" w:space="0"/>
              <w:right w:val="single" w:color="auto" w:sz="4" w:space="0"/>
            </w:tcBorders>
            <w:vAlign w:val="center"/>
          </w:tcPr>
          <w:p>
            <w:pPr>
              <w:jc w:val="center"/>
              <w:rPr>
                <w:rFonts w:ascii="宋体" w:hAnsi="宋体"/>
                <w:color w:val="auto"/>
                <w:szCs w:val="21"/>
              </w:rPr>
            </w:pPr>
            <w:r>
              <w:rPr>
                <w:rFonts w:hint="eastAsia" w:ascii="宋体" w:hAnsi="宋体"/>
                <w:color w:val="auto"/>
                <w:szCs w:val="21"/>
              </w:rPr>
              <w:t>标的名称</w:t>
            </w:r>
          </w:p>
        </w:tc>
        <w:tc>
          <w:tcPr>
            <w:tcW w:w="31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rPr>
            </w:pPr>
            <w:r>
              <w:rPr>
                <w:rFonts w:hint="eastAsia" w:ascii="宋体" w:hAnsi="宋体"/>
                <w:color w:val="auto"/>
                <w:szCs w:val="21"/>
              </w:rPr>
              <w:t>招标文件服务内容</w:t>
            </w:r>
          </w:p>
        </w:tc>
        <w:tc>
          <w:tcPr>
            <w:tcW w:w="3769" w:type="dxa"/>
            <w:tcBorders>
              <w:top w:val="single" w:color="auto" w:sz="4" w:space="0"/>
              <w:left w:val="single" w:color="auto" w:sz="4" w:space="0"/>
              <w:right w:val="single" w:color="auto" w:sz="4" w:space="0"/>
            </w:tcBorders>
            <w:vAlign w:val="center"/>
          </w:tcPr>
          <w:p>
            <w:pPr>
              <w:jc w:val="center"/>
              <w:rPr>
                <w:rFonts w:ascii="宋体" w:hAnsi="宋体"/>
                <w:color w:val="auto"/>
                <w:szCs w:val="21"/>
              </w:rPr>
            </w:pPr>
            <w:r>
              <w:rPr>
                <w:rFonts w:hint="eastAsia" w:ascii="宋体" w:hAnsi="宋体"/>
                <w:color w:val="auto"/>
                <w:szCs w:val="21"/>
              </w:rPr>
              <w:t>投标文件服务内容</w:t>
            </w:r>
          </w:p>
        </w:tc>
        <w:tc>
          <w:tcPr>
            <w:tcW w:w="116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color w:val="auto"/>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jc w:val="center"/>
        </w:trPr>
        <w:tc>
          <w:tcPr>
            <w:tcW w:w="85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color w:val="auto"/>
                <w:szCs w:val="21"/>
              </w:rPr>
              <w:t>1</w:t>
            </w:r>
          </w:p>
        </w:tc>
        <w:tc>
          <w:tcPr>
            <w:tcW w:w="126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31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376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16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jc w:val="center"/>
        </w:trPr>
        <w:tc>
          <w:tcPr>
            <w:tcW w:w="85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color w:val="auto"/>
                <w:szCs w:val="21"/>
              </w:rPr>
              <w:t>2</w:t>
            </w:r>
          </w:p>
        </w:tc>
        <w:tc>
          <w:tcPr>
            <w:tcW w:w="126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31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376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16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jc w:val="center"/>
        </w:trPr>
        <w:tc>
          <w:tcPr>
            <w:tcW w:w="85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color w:val="auto"/>
                <w:szCs w:val="21"/>
              </w:rPr>
              <w:t>...</w:t>
            </w:r>
          </w:p>
        </w:tc>
        <w:tc>
          <w:tcPr>
            <w:tcW w:w="126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31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376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16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r>
    </w:tbl>
    <w:p>
      <w:pPr>
        <w:pStyle w:val="14"/>
        <w:spacing w:line="360" w:lineRule="auto"/>
        <w:rPr>
          <w:rFonts w:hAnsi="宋体" w:cs="宋体"/>
          <w:color w:val="auto"/>
          <w:szCs w:val="21"/>
        </w:rPr>
      </w:pPr>
    </w:p>
    <w:p>
      <w:pPr>
        <w:pStyle w:val="14"/>
        <w:spacing w:line="360" w:lineRule="auto"/>
        <w:ind w:firstLine="420" w:firstLineChars="200"/>
        <w:rPr>
          <w:rFonts w:hAnsi="宋体" w:cs="宋体"/>
          <w:color w:val="auto"/>
          <w:szCs w:val="21"/>
        </w:rPr>
      </w:pPr>
      <w:r>
        <w:rPr>
          <w:rFonts w:hint="eastAsia" w:hAnsi="宋体" w:cs="宋体"/>
          <w:color w:val="auto"/>
          <w:szCs w:val="21"/>
        </w:rPr>
        <w:t>注：</w:t>
      </w:r>
    </w:p>
    <w:p>
      <w:pPr>
        <w:pStyle w:val="14"/>
        <w:spacing w:line="360" w:lineRule="auto"/>
        <w:ind w:firstLine="420" w:firstLineChars="200"/>
        <w:rPr>
          <w:rFonts w:hAnsi="宋体" w:cs="宋体"/>
          <w:color w:val="auto"/>
          <w:szCs w:val="21"/>
        </w:rPr>
      </w:pPr>
      <w:r>
        <w:rPr>
          <w:rFonts w:hint="eastAsia" w:hAnsi="宋体" w:cs="宋体"/>
          <w:color w:val="auto"/>
          <w:szCs w:val="21"/>
        </w:rPr>
        <w:t>1.表格内容均需按要求填写并加盖投标人公章。</w:t>
      </w:r>
    </w:p>
    <w:p>
      <w:pPr>
        <w:pStyle w:val="14"/>
        <w:spacing w:line="360" w:lineRule="auto"/>
        <w:ind w:firstLine="420" w:firstLineChars="200"/>
        <w:rPr>
          <w:rFonts w:hAnsi="宋体" w:cs="宋体"/>
          <w:color w:val="auto"/>
          <w:szCs w:val="21"/>
        </w:rPr>
      </w:pPr>
      <w:r>
        <w:rPr>
          <w:rFonts w:hint="eastAsia" w:hAnsi="宋体" w:cs="宋体"/>
          <w:bCs/>
          <w:color w:val="auto"/>
          <w:szCs w:val="21"/>
        </w:rPr>
        <w:t>2.</w:t>
      </w:r>
      <w:r>
        <w:rPr>
          <w:rFonts w:hint="eastAsia" w:hAnsi="宋体" w:cs="宋体"/>
          <w:color w:val="auto"/>
          <w:szCs w:val="21"/>
        </w:rPr>
        <w:t>请根据所投服务内容，逐条对应本项目招标文件“第二章 采购需求”中“服务要求”的内容详细填写相应的具体内容。“偏离说明”一栏应当选择“正偏离”或“负偏离”或“无偏离”进行填写。</w:t>
      </w:r>
    </w:p>
    <w:p>
      <w:pPr>
        <w:pStyle w:val="14"/>
        <w:spacing w:line="360" w:lineRule="auto"/>
        <w:ind w:firstLine="420" w:firstLineChars="200"/>
        <w:rPr>
          <w:rFonts w:hAnsi="宋体" w:cs="宋体"/>
          <w:color w:val="auto"/>
          <w:szCs w:val="21"/>
        </w:rPr>
      </w:pPr>
      <w:r>
        <w:rPr>
          <w:rFonts w:hint="eastAsia" w:hAnsi="宋体" w:cs="宋体"/>
          <w:bCs/>
          <w:color w:val="auto"/>
          <w:szCs w:val="21"/>
        </w:rPr>
        <w:t>3.当投标文件的服务内容低于招标文件要求时，投标人应当如实写明“负偏离”。</w:t>
      </w:r>
    </w:p>
    <w:p>
      <w:pPr>
        <w:pStyle w:val="9"/>
        <w:rPr>
          <w:rFonts w:hAnsi="宋体" w:cs="宋体"/>
          <w:color w:val="auto"/>
          <w:szCs w:val="21"/>
        </w:rPr>
      </w:pPr>
    </w:p>
    <w:p>
      <w:pPr>
        <w:rPr>
          <w:rFonts w:hAnsi="宋体" w:cs="宋体"/>
          <w:color w:val="auto"/>
          <w:szCs w:val="21"/>
        </w:rPr>
      </w:pPr>
    </w:p>
    <w:p>
      <w:pPr>
        <w:snapToGrid w:val="0"/>
        <w:spacing w:line="360" w:lineRule="auto"/>
        <w:ind w:firstLine="5640" w:firstLineChars="2350"/>
        <w:rPr>
          <w:rFonts w:ascii="仿宋_GB2312" w:hAnsi="仿宋" w:eastAsia="仿宋_GB2312" w:cs="仿宋_GB2312"/>
          <w:color w:val="auto"/>
          <w:kern w:val="0"/>
          <w:sz w:val="24"/>
          <w:lang w:val="zh-CN"/>
        </w:rPr>
      </w:pPr>
    </w:p>
    <w:p>
      <w:pPr>
        <w:snapToGrid w:val="0"/>
        <w:spacing w:line="360" w:lineRule="auto"/>
        <w:ind w:firstLine="5640" w:firstLineChars="2350"/>
        <w:rPr>
          <w:rFonts w:ascii="宋体" w:hAnsi="宋体" w:cs="宋体"/>
          <w:color w:val="auto"/>
          <w:kern w:val="0"/>
          <w:sz w:val="24"/>
        </w:rPr>
      </w:pPr>
      <w:r>
        <w:rPr>
          <w:rFonts w:hint="eastAsia" w:ascii="宋体" w:hAnsi="宋体" w:cs="宋体"/>
          <w:color w:val="auto"/>
          <w:kern w:val="0"/>
          <w:sz w:val="24"/>
          <w:lang w:val="zh-CN"/>
        </w:rPr>
        <w:t>投标人名称(盖公章)：</w:t>
      </w:r>
    </w:p>
    <w:p>
      <w:pPr>
        <w:snapToGrid w:val="0"/>
        <w:spacing w:line="360" w:lineRule="auto"/>
        <w:ind w:firstLine="5640" w:firstLineChars="2350"/>
        <w:rPr>
          <w:rFonts w:ascii="宋体" w:hAnsi="宋体" w:cs="宋体"/>
          <w:color w:val="auto"/>
          <w:kern w:val="0"/>
          <w:sz w:val="24"/>
          <w:lang w:val="zh-CN"/>
        </w:rPr>
      </w:pPr>
      <w:r>
        <w:rPr>
          <w:rFonts w:hint="eastAsia" w:ascii="宋体" w:hAnsi="宋体" w:cs="宋体"/>
          <w:color w:val="auto"/>
          <w:kern w:val="0"/>
          <w:sz w:val="24"/>
          <w:lang w:val="zh-CN"/>
        </w:rPr>
        <w:t>日期</w:t>
      </w:r>
      <w:r>
        <w:rPr>
          <w:rFonts w:hint="eastAsia" w:ascii="宋体" w:hAnsi="宋体" w:cs="宋体"/>
          <w:color w:val="auto"/>
          <w:kern w:val="0"/>
          <w:sz w:val="24"/>
        </w:rPr>
        <w:t xml:space="preserve">：  年  </w:t>
      </w:r>
      <w:r>
        <w:rPr>
          <w:rFonts w:hint="eastAsia" w:ascii="宋体" w:hAnsi="宋体" w:cs="宋体"/>
          <w:color w:val="auto"/>
          <w:kern w:val="0"/>
          <w:sz w:val="24"/>
          <w:lang w:val="zh-CN"/>
        </w:rPr>
        <w:t>月日</w:t>
      </w:r>
    </w:p>
    <w:p>
      <w:pPr>
        <w:widowControl/>
        <w:jc w:val="left"/>
        <w:rPr>
          <w:rFonts w:ascii="宋体" w:hAnsi="宋体"/>
          <w:color w:val="auto"/>
          <w:sz w:val="30"/>
          <w:szCs w:val="20"/>
        </w:rPr>
        <w:sectPr>
          <w:pgSz w:w="11905" w:h="16838"/>
          <w:pgMar w:top="1134" w:right="1134" w:bottom="1134" w:left="1134" w:header="850" w:footer="850" w:gutter="0"/>
          <w:cols w:space="0" w:num="1"/>
          <w:titlePg/>
          <w:rtlGutter w:val="0"/>
          <w:docGrid w:linePitch="331" w:charSpace="0"/>
        </w:sectPr>
      </w:pPr>
    </w:p>
    <w:p>
      <w:pPr>
        <w:pStyle w:val="19"/>
        <w:snapToGrid w:val="0"/>
        <w:ind w:left="562" w:hanging="562"/>
        <w:rPr>
          <w:rFonts w:ascii="宋体" w:hAnsi="宋体" w:cs="宋体"/>
          <w:i/>
          <w:iCs/>
          <w:color w:val="auto"/>
          <w:sz w:val="24"/>
        </w:rPr>
      </w:pPr>
      <w:r>
        <w:rPr>
          <w:rFonts w:hint="eastAsia" w:ascii="宋体" w:hAnsi="宋体" w:cs="宋体"/>
          <w:b/>
          <w:color w:val="auto"/>
          <w:szCs w:val="28"/>
        </w:rPr>
        <w:t>4. 项目实施人员一览表的格式</w:t>
      </w:r>
      <w:r>
        <w:rPr>
          <w:rFonts w:hint="eastAsia" w:ascii="宋体" w:hAnsi="宋体" w:cs="宋体"/>
          <w:b/>
          <w:bCs/>
          <w:color w:val="auto"/>
          <w:sz w:val="30"/>
          <w:szCs w:val="30"/>
        </w:rPr>
        <w:t>：</w:t>
      </w:r>
      <w:r>
        <w:rPr>
          <w:rFonts w:hint="eastAsia" w:ascii="宋体" w:hAnsi="宋体" w:cs="宋体"/>
          <w:b/>
          <w:bCs/>
          <w:i/>
          <w:iCs/>
          <w:color w:val="auto"/>
          <w:sz w:val="30"/>
          <w:szCs w:val="30"/>
        </w:rPr>
        <w:t>（项目人员根据项目情况编写）</w:t>
      </w:r>
    </w:p>
    <w:p>
      <w:pPr>
        <w:snapToGrid w:val="0"/>
        <w:spacing w:beforeLines="50" w:after="50"/>
        <w:ind w:left="142"/>
        <w:jc w:val="left"/>
        <w:rPr>
          <w:rFonts w:ascii="宋体" w:hAnsi="宋体"/>
          <w:b/>
          <w:color w:val="auto"/>
          <w:sz w:val="32"/>
          <w:szCs w:val="32"/>
        </w:rPr>
      </w:pPr>
    </w:p>
    <w:p>
      <w:pPr>
        <w:snapToGrid w:val="0"/>
        <w:spacing w:beforeLines="50" w:after="50"/>
        <w:ind w:left="142"/>
        <w:jc w:val="center"/>
        <w:rPr>
          <w:rFonts w:ascii="宋体" w:hAnsi="宋体"/>
          <w:b/>
          <w:color w:val="auto"/>
          <w:sz w:val="32"/>
          <w:szCs w:val="32"/>
        </w:rPr>
      </w:pPr>
      <w:r>
        <w:rPr>
          <w:rFonts w:hint="eastAsia" w:ascii="宋体" w:hAnsi="宋体"/>
          <w:b/>
          <w:color w:val="auto"/>
          <w:sz w:val="32"/>
          <w:szCs w:val="32"/>
        </w:rPr>
        <w:t>项目实施人员一览表</w:t>
      </w:r>
      <w:r>
        <w:rPr>
          <w:rFonts w:hint="eastAsia" w:ascii="宋体" w:hAnsi="宋体"/>
          <w:b/>
          <w:i/>
          <w:iCs/>
          <w:color w:val="auto"/>
          <w:sz w:val="32"/>
          <w:szCs w:val="32"/>
        </w:rPr>
        <w:t>（如有要求）</w:t>
      </w:r>
    </w:p>
    <w:p>
      <w:pPr>
        <w:spacing w:line="360" w:lineRule="auto"/>
        <w:jc w:val="center"/>
        <w:rPr>
          <w:rFonts w:ascii="仿宋_GB2312" w:hAnsi="仿宋" w:eastAsia="仿宋_GB2312" w:cs="仿宋_GB2312"/>
          <w:b/>
          <w:bCs/>
          <w:color w:val="auto"/>
          <w:sz w:val="24"/>
        </w:rPr>
      </w:pPr>
      <w:r>
        <w:rPr>
          <w:rFonts w:hint="eastAsia" w:ascii="仿宋_GB2312" w:hAnsi="仿宋" w:eastAsia="仿宋_GB2312" w:cs="仿宋_GB2312"/>
          <w:color w:val="auto"/>
          <w:sz w:val="24"/>
        </w:rPr>
        <w:t>（由投标人根据采购需求及招标文件要求编制）</w:t>
      </w:r>
    </w:p>
    <w:p>
      <w:pPr>
        <w:pStyle w:val="14"/>
        <w:rPr>
          <w:color w:val="auto"/>
          <w:sz w:val="24"/>
          <w:szCs w:val="24"/>
        </w:rPr>
      </w:pPr>
    </w:p>
    <w:p>
      <w:pPr>
        <w:pStyle w:val="14"/>
        <w:rPr>
          <w:color w:val="auto"/>
          <w:sz w:val="24"/>
          <w:szCs w:val="24"/>
        </w:rPr>
      </w:pPr>
      <w:r>
        <w:rPr>
          <w:rFonts w:hint="eastAsia"/>
          <w:color w:val="auto"/>
          <w:sz w:val="24"/>
          <w:szCs w:val="24"/>
        </w:rPr>
        <w:t>所投分标（此处有分标时填写具体分标号，无分标时填写“无”）：</w:t>
      </w:r>
    </w:p>
    <w:p>
      <w:pPr>
        <w:keepNext/>
        <w:autoSpaceDE w:val="0"/>
        <w:autoSpaceDN w:val="0"/>
        <w:spacing w:line="360" w:lineRule="auto"/>
        <w:rPr>
          <w:rFonts w:ascii="仿宋_GB2312" w:hAnsi="仿宋" w:eastAsia="仿宋_GB2312" w:cs="仿宋_GB2312"/>
          <w:b/>
          <w:color w:val="auto"/>
          <w:sz w:val="24"/>
        </w:rPr>
      </w:pPr>
      <w:r>
        <w:rPr>
          <w:rFonts w:hint="eastAsia" w:ascii="仿宋_GB2312" w:hAnsi="仿宋" w:eastAsia="仿宋_GB2312" w:cs="仿宋_GB2312"/>
          <w:b/>
          <w:color w:val="auto"/>
          <w:sz w:val="24"/>
        </w:rPr>
        <w:t>附表A：本项目的项目经理情况表</w:t>
      </w:r>
    </w:p>
    <w:tbl>
      <w:tblPr>
        <w:tblStyle w:val="24"/>
        <w:tblW w:w="8755" w:type="dxa"/>
        <w:tblInd w:w="116" w:type="dxa"/>
        <w:tblLayout w:type="fixed"/>
        <w:tblCellMar>
          <w:top w:w="0" w:type="dxa"/>
          <w:left w:w="108" w:type="dxa"/>
          <w:bottom w:w="0" w:type="dxa"/>
          <w:right w:w="108" w:type="dxa"/>
        </w:tblCellMar>
      </w:tblPr>
      <w:tblGrid>
        <w:gridCol w:w="2061"/>
        <w:gridCol w:w="1287"/>
        <w:gridCol w:w="1260"/>
        <w:gridCol w:w="4147"/>
      </w:tblGrid>
      <w:tr>
        <w:tblPrEx>
          <w:tblLayout w:type="fixed"/>
          <w:tblCellMar>
            <w:top w:w="0" w:type="dxa"/>
            <w:left w:w="108" w:type="dxa"/>
            <w:bottom w:w="0" w:type="dxa"/>
            <w:right w:w="108" w:type="dxa"/>
          </w:tblCellMar>
        </w:tblPrEx>
        <w:trPr>
          <w:trHeight w:val="604" w:hRule="atLeast"/>
        </w:trPr>
        <w:tc>
          <w:tcPr>
            <w:tcW w:w="2061"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360" w:lineRule="auto"/>
              <w:jc w:val="center"/>
              <w:rPr>
                <w:rFonts w:ascii="仿宋_GB2312" w:hAnsi="仿宋" w:eastAsia="仿宋_GB2312" w:cs="仿宋_GB2312"/>
                <w:color w:val="auto"/>
                <w:sz w:val="24"/>
              </w:rPr>
            </w:pPr>
            <w:r>
              <w:rPr>
                <w:rFonts w:hint="eastAsia" w:ascii="仿宋_GB2312" w:hAnsi="仿宋" w:eastAsia="仿宋_GB2312" w:cs="仿宋_GB2312"/>
                <w:color w:val="auto"/>
                <w:sz w:val="24"/>
              </w:rPr>
              <w:t>姓名</w:t>
            </w:r>
          </w:p>
        </w:tc>
        <w:tc>
          <w:tcPr>
            <w:tcW w:w="1287" w:type="dxa"/>
            <w:tcBorders>
              <w:top w:val="single" w:color="auto" w:sz="6" w:space="0"/>
              <w:left w:val="single" w:color="auto" w:sz="6" w:space="0"/>
              <w:bottom w:val="single" w:color="auto" w:sz="6" w:space="0"/>
              <w:right w:val="single" w:color="auto" w:sz="4" w:space="0"/>
            </w:tcBorders>
            <w:shd w:val="clear" w:color="auto" w:fill="auto"/>
            <w:vAlign w:val="center"/>
          </w:tcPr>
          <w:p>
            <w:pPr>
              <w:autoSpaceDE w:val="0"/>
              <w:autoSpaceDN w:val="0"/>
              <w:spacing w:line="360" w:lineRule="auto"/>
              <w:jc w:val="center"/>
              <w:rPr>
                <w:rFonts w:ascii="仿宋_GB2312" w:hAnsi="仿宋" w:eastAsia="仿宋_GB2312" w:cs="仿宋_GB2312"/>
                <w:color w:val="auto"/>
                <w:sz w:val="24"/>
              </w:rPr>
            </w:pPr>
          </w:p>
        </w:tc>
        <w:tc>
          <w:tcPr>
            <w:tcW w:w="1260" w:type="dxa"/>
            <w:tcBorders>
              <w:top w:val="single" w:color="auto" w:sz="6" w:space="0"/>
              <w:left w:val="single" w:color="auto" w:sz="4" w:space="0"/>
              <w:bottom w:val="single" w:color="auto" w:sz="6" w:space="0"/>
              <w:right w:val="single" w:color="auto" w:sz="6" w:space="0"/>
            </w:tcBorders>
            <w:shd w:val="clear" w:color="auto" w:fill="auto"/>
            <w:vAlign w:val="center"/>
          </w:tcPr>
          <w:p>
            <w:pPr>
              <w:autoSpaceDE w:val="0"/>
              <w:autoSpaceDN w:val="0"/>
              <w:spacing w:line="360" w:lineRule="auto"/>
              <w:jc w:val="center"/>
              <w:rPr>
                <w:rFonts w:ascii="仿宋_GB2312" w:hAnsi="仿宋" w:eastAsia="仿宋_GB2312" w:cs="仿宋_GB2312"/>
                <w:color w:val="auto"/>
                <w:sz w:val="24"/>
              </w:rPr>
            </w:pPr>
            <w:r>
              <w:rPr>
                <w:rFonts w:hint="eastAsia" w:ascii="仿宋_GB2312" w:hAnsi="仿宋" w:eastAsia="仿宋_GB2312" w:cs="仿宋_GB2312"/>
                <w:color w:val="auto"/>
                <w:sz w:val="24"/>
              </w:rPr>
              <w:t>页码</w:t>
            </w:r>
          </w:p>
        </w:tc>
        <w:tc>
          <w:tcPr>
            <w:tcW w:w="414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ascii="仿宋_GB2312" w:hAnsi="仿宋" w:eastAsia="仿宋_GB2312" w:cs="仿宋_GB2312"/>
                <w:color w:val="auto"/>
                <w:sz w:val="24"/>
              </w:rPr>
            </w:pPr>
            <w:r>
              <w:rPr>
                <w:rFonts w:hint="eastAsia" w:ascii="仿宋_GB2312" w:hAnsi="仿宋" w:eastAsia="仿宋_GB2312" w:cs="仿宋_GB2312"/>
                <w:color w:val="auto"/>
                <w:sz w:val="24"/>
              </w:rPr>
              <w:t>投标截止时间前三年业绩及承担的主要工作情况，曾担任项目经理的项目应列明细</w:t>
            </w:r>
          </w:p>
        </w:tc>
      </w:tr>
      <w:tr>
        <w:tblPrEx>
          <w:tblLayout w:type="fixed"/>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360" w:lineRule="auto"/>
              <w:jc w:val="center"/>
              <w:rPr>
                <w:rFonts w:ascii="仿宋_GB2312" w:hAnsi="仿宋" w:eastAsia="仿宋_GB2312" w:cs="仿宋_GB2312"/>
                <w:color w:val="auto"/>
                <w:sz w:val="24"/>
              </w:rPr>
            </w:pPr>
            <w:r>
              <w:rPr>
                <w:rFonts w:hint="eastAsia" w:ascii="仿宋_GB2312" w:hAnsi="仿宋" w:eastAsia="仿宋_GB2312" w:cs="仿宋_GB2312"/>
                <w:color w:val="auto"/>
                <w:sz w:val="24"/>
              </w:rPr>
              <w:t>性别</w:t>
            </w:r>
          </w:p>
        </w:tc>
        <w:tc>
          <w:tcPr>
            <w:tcW w:w="1287" w:type="dxa"/>
            <w:tcBorders>
              <w:top w:val="single" w:color="auto" w:sz="6" w:space="0"/>
              <w:left w:val="single" w:color="auto" w:sz="6" w:space="0"/>
              <w:bottom w:val="single" w:color="auto" w:sz="6" w:space="0"/>
              <w:right w:val="single" w:color="auto" w:sz="4" w:space="0"/>
            </w:tcBorders>
            <w:shd w:val="clear" w:color="auto" w:fill="auto"/>
            <w:vAlign w:val="center"/>
          </w:tcPr>
          <w:p>
            <w:pPr>
              <w:autoSpaceDE w:val="0"/>
              <w:autoSpaceDN w:val="0"/>
              <w:spacing w:line="360" w:lineRule="auto"/>
              <w:jc w:val="center"/>
              <w:rPr>
                <w:rFonts w:ascii="仿宋_GB2312" w:hAnsi="仿宋" w:eastAsia="仿宋_GB2312" w:cs="仿宋_GB2312"/>
                <w:color w:val="auto"/>
                <w:sz w:val="24"/>
              </w:rPr>
            </w:pPr>
          </w:p>
        </w:tc>
        <w:tc>
          <w:tcPr>
            <w:tcW w:w="1260" w:type="dxa"/>
            <w:tcBorders>
              <w:top w:val="single" w:color="auto" w:sz="6" w:space="0"/>
              <w:left w:val="single" w:color="auto" w:sz="4" w:space="0"/>
              <w:bottom w:val="single" w:color="auto" w:sz="6" w:space="0"/>
              <w:right w:val="single" w:color="auto" w:sz="6" w:space="0"/>
            </w:tcBorders>
            <w:shd w:val="clear" w:color="auto" w:fill="auto"/>
            <w:vAlign w:val="center"/>
          </w:tcPr>
          <w:p>
            <w:pPr>
              <w:autoSpaceDE w:val="0"/>
              <w:autoSpaceDN w:val="0"/>
              <w:spacing w:line="360" w:lineRule="auto"/>
              <w:jc w:val="center"/>
              <w:rPr>
                <w:rFonts w:ascii="仿宋_GB2312" w:hAnsi="仿宋" w:eastAsia="仿宋_GB2312" w:cs="仿宋_GB2312"/>
                <w:color w:val="auto"/>
                <w:sz w:val="24"/>
              </w:rPr>
            </w:pPr>
          </w:p>
        </w:tc>
        <w:tc>
          <w:tcPr>
            <w:tcW w:w="4147" w:type="dxa"/>
            <w:vMerge w:val="restart"/>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color w:val="auto"/>
                <w:sz w:val="24"/>
              </w:rPr>
            </w:pPr>
          </w:p>
        </w:tc>
      </w:tr>
      <w:tr>
        <w:tblPrEx>
          <w:tblLayout w:type="fixed"/>
          <w:tblCellMar>
            <w:top w:w="0" w:type="dxa"/>
            <w:left w:w="108" w:type="dxa"/>
            <w:bottom w:w="0" w:type="dxa"/>
            <w:right w:w="108" w:type="dxa"/>
          </w:tblCellMar>
        </w:tblPrEx>
        <w:trPr>
          <w:cantSplit/>
          <w:trHeight w:val="337" w:hRule="atLeast"/>
        </w:trPr>
        <w:tc>
          <w:tcPr>
            <w:tcW w:w="2061"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360" w:lineRule="auto"/>
              <w:jc w:val="center"/>
              <w:rPr>
                <w:rFonts w:ascii="仿宋_GB2312" w:hAnsi="仿宋" w:eastAsia="仿宋_GB2312" w:cs="仿宋_GB2312"/>
                <w:color w:val="auto"/>
                <w:sz w:val="24"/>
              </w:rPr>
            </w:pPr>
            <w:r>
              <w:rPr>
                <w:rFonts w:hint="eastAsia" w:ascii="仿宋_GB2312" w:hAnsi="仿宋" w:eastAsia="仿宋_GB2312" w:cs="仿宋_GB2312"/>
                <w:color w:val="auto"/>
                <w:sz w:val="24"/>
              </w:rPr>
              <w:t>年龄</w:t>
            </w:r>
          </w:p>
        </w:tc>
        <w:tc>
          <w:tcPr>
            <w:tcW w:w="1287" w:type="dxa"/>
            <w:tcBorders>
              <w:top w:val="single" w:color="auto" w:sz="6" w:space="0"/>
              <w:left w:val="single" w:color="auto" w:sz="6" w:space="0"/>
              <w:bottom w:val="single" w:color="auto" w:sz="6" w:space="0"/>
              <w:right w:val="single" w:color="auto" w:sz="4" w:space="0"/>
            </w:tcBorders>
            <w:shd w:val="clear" w:color="auto" w:fill="auto"/>
            <w:vAlign w:val="center"/>
          </w:tcPr>
          <w:p>
            <w:pPr>
              <w:autoSpaceDE w:val="0"/>
              <w:autoSpaceDN w:val="0"/>
              <w:spacing w:line="360" w:lineRule="auto"/>
              <w:jc w:val="center"/>
              <w:rPr>
                <w:rFonts w:ascii="仿宋_GB2312" w:hAnsi="仿宋" w:eastAsia="仿宋_GB2312" w:cs="仿宋_GB2312"/>
                <w:color w:val="auto"/>
                <w:sz w:val="24"/>
              </w:rPr>
            </w:pPr>
          </w:p>
        </w:tc>
        <w:tc>
          <w:tcPr>
            <w:tcW w:w="1260" w:type="dxa"/>
            <w:tcBorders>
              <w:top w:val="single" w:color="auto" w:sz="6" w:space="0"/>
              <w:left w:val="single" w:color="auto" w:sz="4" w:space="0"/>
              <w:bottom w:val="single" w:color="auto" w:sz="6" w:space="0"/>
              <w:right w:val="single" w:color="auto" w:sz="6" w:space="0"/>
            </w:tcBorders>
            <w:shd w:val="clear" w:color="auto" w:fill="auto"/>
            <w:vAlign w:val="center"/>
          </w:tcPr>
          <w:p>
            <w:pPr>
              <w:autoSpaceDE w:val="0"/>
              <w:autoSpaceDN w:val="0"/>
              <w:spacing w:line="360" w:lineRule="auto"/>
              <w:jc w:val="center"/>
              <w:rPr>
                <w:rFonts w:ascii="仿宋_GB2312" w:hAnsi="仿宋" w:eastAsia="仿宋_GB2312" w:cs="仿宋_GB2312"/>
                <w:color w:val="auto"/>
                <w:sz w:val="24"/>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仿宋_GB2312" w:hAnsi="仿宋" w:eastAsia="仿宋_GB2312" w:cs="仿宋_GB2312"/>
                <w:color w:val="auto"/>
                <w:sz w:val="24"/>
              </w:rPr>
            </w:pPr>
          </w:p>
        </w:tc>
      </w:tr>
      <w:tr>
        <w:tblPrEx>
          <w:tblLayout w:type="fixed"/>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360" w:lineRule="auto"/>
              <w:jc w:val="center"/>
              <w:rPr>
                <w:rFonts w:ascii="仿宋_GB2312" w:hAnsi="仿宋" w:eastAsia="仿宋_GB2312" w:cs="仿宋_GB2312"/>
                <w:color w:val="auto"/>
                <w:sz w:val="24"/>
              </w:rPr>
            </w:pPr>
            <w:r>
              <w:rPr>
                <w:rFonts w:hint="eastAsia" w:ascii="仿宋_GB2312" w:hAnsi="仿宋" w:eastAsia="仿宋_GB2312" w:cs="仿宋_GB2312"/>
                <w:color w:val="auto"/>
                <w:sz w:val="24"/>
              </w:rPr>
              <w:t>职称</w:t>
            </w:r>
          </w:p>
        </w:tc>
        <w:tc>
          <w:tcPr>
            <w:tcW w:w="1287" w:type="dxa"/>
            <w:tcBorders>
              <w:top w:val="single" w:color="auto" w:sz="6" w:space="0"/>
              <w:left w:val="single" w:color="auto" w:sz="6" w:space="0"/>
              <w:bottom w:val="single" w:color="auto" w:sz="6" w:space="0"/>
              <w:right w:val="single" w:color="auto" w:sz="4" w:space="0"/>
            </w:tcBorders>
            <w:shd w:val="clear" w:color="auto" w:fill="auto"/>
            <w:vAlign w:val="center"/>
          </w:tcPr>
          <w:p>
            <w:pPr>
              <w:autoSpaceDE w:val="0"/>
              <w:autoSpaceDN w:val="0"/>
              <w:spacing w:line="360" w:lineRule="auto"/>
              <w:jc w:val="center"/>
              <w:rPr>
                <w:rFonts w:ascii="仿宋_GB2312" w:hAnsi="仿宋" w:eastAsia="仿宋_GB2312" w:cs="仿宋_GB2312"/>
                <w:color w:val="auto"/>
                <w:sz w:val="24"/>
              </w:rPr>
            </w:pPr>
          </w:p>
        </w:tc>
        <w:tc>
          <w:tcPr>
            <w:tcW w:w="1260" w:type="dxa"/>
            <w:tcBorders>
              <w:top w:val="single" w:color="auto" w:sz="6" w:space="0"/>
              <w:left w:val="single" w:color="auto" w:sz="4" w:space="0"/>
              <w:bottom w:val="single" w:color="auto" w:sz="6" w:space="0"/>
              <w:right w:val="single" w:color="auto" w:sz="6" w:space="0"/>
            </w:tcBorders>
            <w:shd w:val="clear" w:color="auto" w:fill="auto"/>
            <w:vAlign w:val="center"/>
          </w:tcPr>
          <w:p>
            <w:pPr>
              <w:autoSpaceDE w:val="0"/>
              <w:autoSpaceDN w:val="0"/>
              <w:spacing w:line="360" w:lineRule="auto"/>
              <w:jc w:val="center"/>
              <w:rPr>
                <w:rFonts w:ascii="仿宋_GB2312" w:hAnsi="仿宋" w:eastAsia="仿宋_GB2312" w:cs="仿宋_GB2312"/>
                <w:color w:val="auto"/>
                <w:sz w:val="24"/>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仿宋_GB2312" w:hAnsi="仿宋" w:eastAsia="仿宋_GB2312" w:cs="仿宋_GB2312"/>
                <w:color w:val="auto"/>
                <w:sz w:val="24"/>
              </w:rPr>
            </w:pPr>
          </w:p>
        </w:tc>
      </w:tr>
      <w:tr>
        <w:tblPrEx>
          <w:tblLayout w:type="fixed"/>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360" w:lineRule="auto"/>
              <w:jc w:val="center"/>
              <w:rPr>
                <w:rFonts w:ascii="仿宋_GB2312" w:hAnsi="仿宋" w:eastAsia="仿宋_GB2312" w:cs="仿宋_GB2312"/>
                <w:color w:val="auto"/>
                <w:sz w:val="24"/>
              </w:rPr>
            </w:pPr>
            <w:r>
              <w:rPr>
                <w:rFonts w:hint="eastAsia" w:ascii="仿宋_GB2312" w:hAnsi="仿宋" w:eastAsia="仿宋_GB2312" w:cs="仿宋_GB2312"/>
                <w:color w:val="auto"/>
                <w:sz w:val="24"/>
              </w:rPr>
              <w:t>毕业时间</w:t>
            </w:r>
          </w:p>
        </w:tc>
        <w:tc>
          <w:tcPr>
            <w:tcW w:w="1287" w:type="dxa"/>
            <w:tcBorders>
              <w:top w:val="single" w:color="auto" w:sz="6" w:space="0"/>
              <w:left w:val="single" w:color="auto" w:sz="6" w:space="0"/>
              <w:bottom w:val="single" w:color="auto" w:sz="6" w:space="0"/>
              <w:right w:val="single" w:color="auto" w:sz="4" w:space="0"/>
            </w:tcBorders>
            <w:shd w:val="clear" w:color="auto" w:fill="auto"/>
            <w:vAlign w:val="center"/>
          </w:tcPr>
          <w:p>
            <w:pPr>
              <w:autoSpaceDE w:val="0"/>
              <w:autoSpaceDN w:val="0"/>
              <w:spacing w:line="360" w:lineRule="auto"/>
              <w:jc w:val="center"/>
              <w:rPr>
                <w:rFonts w:ascii="仿宋_GB2312" w:hAnsi="仿宋" w:eastAsia="仿宋_GB2312" w:cs="仿宋_GB2312"/>
                <w:color w:val="auto"/>
                <w:sz w:val="24"/>
              </w:rPr>
            </w:pPr>
          </w:p>
        </w:tc>
        <w:tc>
          <w:tcPr>
            <w:tcW w:w="1260" w:type="dxa"/>
            <w:tcBorders>
              <w:top w:val="single" w:color="auto" w:sz="6" w:space="0"/>
              <w:left w:val="single" w:color="auto" w:sz="4" w:space="0"/>
              <w:bottom w:val="single" w:color="auto" w:sz="6" w:space="0"/>
              <w:right w:val="single" w:color="auto" w:sz="6" w:space="0"/>
            </w:tcBorders>
            <w:shd w:val="clear" w:color="auto" w:fill="auto"/>
            <w:vAlign w:val="center"/>
          </w:tcPr>
          <w:p>
            <w:pPr>
              <w:autoSpaceDE w:val="0"/>
              <w:autoSpaceDN w:val="0"/>
              <w:spacing w:line="360" w:lineRule="auto"/>
              <w:jc w:val="center"/>
              <w:rPr>
                <w:rFonts w:ascii="仿宋_GB2312" w:hAnsi="仿宋" w:eastAsia="仿宋_GB2312" w:cs="仿宋_GB2312"/>
                <w:color w:val="auto"/>
                <w:sz w:val="24"/>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仿宋_GB2312" w:hAnsi="仿宋" w:eastAsia="仿宋_GB2312" w:cs="仿宋_GB2312"/>
                <w:color w:val="auto"/>
                <w:sz w:val="24"/>
              </w:rPr>
            </w:pPr>
          </w:p>
        </w:tc>
      </w:tr>
      <w:tr>
        <w:tblPrEx>
          <w:tblLayout w:type="fixed"/>
          <w:tblCellMar>
            <w:top w:w="0" w:type="dxa"/>
            <w:left w:w="108" w:type="dxa"/>
            <w:bottom w:w="0" w:type="dxa"/>
            <w:right w:w="108" w:type="dxa"/>
          </w:tblCellMar>
        </w:tblPrEx>
        <w:trPr>
          <w:cantSplit/>
          <w:trHeight w:val="422" w:hRule="atLeast"/>
        </w:trPr>
        <w:tc>
          <w:tcPr>
            <w:tcW w:w="2061"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360" w:lineRule="auto"/>
              <w:jc w:val="center"/>
              <w:rPr>
                <w:rFonts w:ascii="仿宋_GB2312" w:hAnsi="仿宋" w:eastAsia="仿宋_GB2312" w:cs="仿宋_GB2312"/>
                <w:color w:val="auto"/>
                <w:sz w:val="24"/>
              </w:rPr>
            </w:pPr>
            <w:r>
              <w:rPr>
                <w:rFonts w:hint="eastAsia" w:ascii="仿宋_GB2312" w:hAnsi="仿宋" w:eastAsia="仿宋_GB2312" w:cs="仿宋_GB2312"/>
                <w:color w:val="auto"/>
                <w:sz w:val="24"/>
              </w:rPr>
              <w:t>所学专业</w:t>
            </w:r>
          </w:p>
        </w:tc>
        <w:tc>
          <w:tcPr>
            <w:tcW w:w="1287" w:type="dxa"/>
            <w:tcBorders>
              <w:top w:val="single" w:color="auto" w:sz="6" w:space="0"/>
              <w:left w:val="single" w:color="auto" w:sz="6" w:space="0"/>
              <w:bottom w:val="single" w:color="auto" w:sz="6" w:space="0"/>
              <w:right w:val="single" w:color="auto" w:sz="4" w:space="0"/>
            </w:tcBorders>
            <w:shd w:val="clear" w:color="auto" w:fill="auto"/>
            <w:vAlign w:val="center"/>
          </w:tcPr>
          <w:p>
            <w:pPr>
              <w:autoSpaceDE w:val="0"/>
              <w:autoSpaceDN w:val="0"/>
              <w:spacing w:line="360" w:lineRule="auto"/>
              <w:jc w:val="center"/>
              <w:rPr>
                <w:rFonts w:ascii="仿宋_GB2312" w:hAnsi="仿宋" w:eastAsia="仿宋_GB2312" w:cs="仿宋_GB2312"/>
                <w:color w:val="auto"/>
                <w:sz w:val="24"/>
              </w:rPr>
            </w:pPr>
          </w:p>
        </w:tc>
        <w:tc>
          <w:tcPr>
            <w:tcW w:w="1260" w:type="dxa"/>
            <w:tcBorders>
              <w:top w:val="single" w:color="auto" w:sz="6" w:space="0"/>
              <w:left w:val="single" w:color="auto" w:sz="4" w:space="0"/>
              <w:bottom w:val="single" w:color="auto" w:sz="6" w:space="0"/>
              <w:right w:val="single" w:color="auto" w:sz="6" w:space="0"/>
            </w:tcBorders>
            <w:shd w:val="clear" w:color="auto" w:fill="auto"/>
            <w:vAlign w:val="center"/>
          </w:tcPr>
          <w:p>
            <w:pPr>
              <w:autoSpaceDE w:val="0"/>
              <w:autoSpaceDN w:val="0"/>
              <w:spacing w:line="360" w:lineRule="auto"/>
              <w:jc w:val="center"/>
              <w:rPr>
                <w:rFonts w:ascii="仿宋_GB2312" w:hAnsi="仿宋" w:eastAsia="仿宋_GB2312" w:cs="仿宋_GB2312"/>
                <w:color w:val="auto"/>
                <w:sz w:val="24"/>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仿宋_GB2312" w:hAnsi="仿宋" w:eastAsia="仿宋_GB2312" w:cs="仿宋_GB2312"/>
                <w:color w:val="auto"/>
                <w:sz w:val="24"/>
              </w:rPr>
            </w:pPr>
          </w:p>
        </w:tc>
      </w:tr>
      <w:tr>
        <w:tblPrEx>
          <w:tblLayout w:type="fixed"/>
          <w:tblCellMar>
            <w:top w:w="0" w:type="dxa"/>
            <w:left w:w="108" w:type="dxa"/>
            <w:bottom w:w="0" w:type="dxa"/>
            <w:right w:w="108" w:type="dxa"/>
          </w:tblCellMar>
        </w:tblPrEx>
        <w:trPr>
          <w:cantSplit/>
          <w:trHeight w:val="416" w:hRule="atLeast"/>
        </w:trPr>
        <w:tc>
          <w:tcPr>
            <w:tcW w:w="2061"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360" w:lineRule="auto"/>
              <w:jc w:val="center"/>
              <w:rPr>
                <w:rFonts w:ascii="仿宋_GB2312" w:hAnsi="仿宋" w:eastAsia="仿宋_GB2312" w:cs="仿宋_GB2312"/>
                <w:color w:val="auto"/>
                <w:sz w:val="24"/>
              </w:rPr>
            </w:pPr>
            <w:r>
              <w:rPr>
                <w:rFonts w:hint="eastAsia" w:ascii="仿宋_GB2312" w:hAnsi="仿宋" w:eastAsia="仿宋_GB2312" w:cs="仿宋_GB2312"/>
                <w:color w:val="auto"/>
                <w:sz w:val="24"/>
              </w:rPr>
              <w:t>学历</w:t>
            </w:r>
          </w:p>
        </w:tc>
        <w:tc>
          <w:tcPr>
            <w:tcW w:w="1287" w:type="dxa"/>
            <w:tcBorders>
              <w:top w:val="single" w:color="auto" w:sz="6" w:space="0"/>
              <w:left w:val="single" w:color="auto" w:sz="6" w:space="0"/>
              <w:bottom w:val="single" w:color="auto" w:sz="6" w:space="0"/>
              <w:right w:val="single" w:color="auto" w:sz="4" w:space="0"/>
            </w:tcBorders>
            <w:shd w:val="clear" w:color="auto" w:fill="auto"/>
            <w:vAlign w:val="center"/>
          </w:tcPr>
          <w:p>
            <w:pPr>
              <w:autoSpaceDE w:val="0"/>
              <w:autoSpaceDN w:val="0"/>
              <w:spacing w:line="360" w:lineRule="auto"/>
              <w:jc w:val="center"/>
              <w:rPr>
                <w:rFonts w:ascii="仿宋_GB2312" w:hAnsi="仿宋" w:eastAsia="仿宋_GB2312" w:cs="仿宋_GB2312"/>
                <w:color w:val="auto"/>
                <w:sz w:val="24"/>
              </w:rPr>
            </w:pPr>
          </w:p>
        </w:tc>
        <w:tc>
          <w:tcPr>
            <w:tcW w:w="1260" w:type="dxa"/>
            <w:tcBorders>
              <w:top w:val="single" w:color="auto" w:sz="6" w:space="0"/>
              <w:left w:val="single" w:color="auto" w:sz="4" w:space="0"/>
              <w:bottom w:val="single" w:color="auto" w:sz="6" w:space="0"/>
              <w:right w:val="single" w:color="auto" w:sz="6" w:space="0"/>
            </w:tcBorders>
            <w:shd w:val="clear" w:color="auto" w:fill="auto"/>
            <w:vAlign w:val="center"/>
          </w:tcPr>
          <w:p>
            <w:pPr>
              <w:autoSpaceDE w:val="0"/>
              <w:autoSpaceDN w:val="0"/>
              <w:spacing w:line="360" w:lineRule="auto"/>
              <w:jc w:val="center"/>
              <w:rPr>
                <w:rFonts w:ascii="仿宋_GB2312" w:hAnsi="仿宋" w:eastAsia="仿宋_GB2312" w:cs="仿宋_GB2312"/>
                <w:color w:val="auto"/>
                <w:sz w:val="24"/>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仿宋_GB2312" w:hAnsi="仿宋" w:eastAsia="仿宋_GB2312" w:cs="仿宋_GB2312"/>
                <w:color w:val="auto"/>
                <w:sz w:val="24"/>
              </w:rPr>
            </w:pPr>
          </w:p>
        </w:tc>
      </w:tr>
      <w:tr>
        <w:tblPrEx>
          <w:tblLayout w:type="fixed"/>
          <w:tblCellMar>
            <w:top w:w="0" w:type="dxa"/>
            <w:left w:w="108" w:type="dxa"/>
            <w:bottom w:w="0" w:type="dxa"/>
            <w:right w:w="108" w:type="dxa"/>
          </w:tblCellMar>
        </w:tblPrEx>
        <w:trPr>
          <w:cantSplit/>
          <w:trHeight w:val="356" w:hRule="atLeast"/>
        </w:trPr>
        <w:tc>
          <w:tcPr>
            <w:tcW w:w="2061"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360" w:lineRule="auto"/>
              <w:jc w:val="center"/>
              <w:rPr>
                <w:rFonts w:ascii="仿宋_GB2312" w:hAnsi="仿宋" w:eastAsia="仿宋_GB2312" w:cs="仿宋_GB2312"/>
                <w:color w:val="auto"/>
                <w:sz w:val="24"/>
              </w:rPr>
            </w:pPr>
            <w:r>
              <w:rPr>
                <w:rFonts w:hint="eastAsia" w:ascii="仿宋_GB2312" w:hAnsi="仿宋" w:eastAsia="仿宋_GB2312" w:cs="仿宋_GB2312"/>
                <w:color w:val="auto"/>
                <w:sz w:val="24"/>
              </w:rPr>
              <w:t>资质证书编号</w:t>
            </w:r>
          </w:p>
        </w:tc>
        <w:tc>
          <w:tcPr>
            <w:tcW w:w="1287" w:type="dxa"/>
            <w:tcBorders>
              <w:top w:val="single" w:color="auto" w:sz="6" w:space="0"/>
              <w:left w:val="single" w:color="auto" w:sz="6" w:space="0"/>
              <w:bottom w:val="single" w:color="auto" w:sz="6" w:space="0"/>
              <w:right w:val="single" w:color="auto" w:sz="4" w:space="0"/>
            </w:tcBorders>
            <w:shd w:val="clear" w:color="auto" w:fill="auto"/>
            <w:vAlign w:val="center"/>
          </w:tcPr>
          <w:p>
            <w:pPr>
              <w:autoSpaceDE w:val="0"/>
              <w:autoSpaceDN w:val="0"/>
              <w:spacing w:line="360" w:lineRule="auto"/>
              <w:jc w:val="center"/>
              <w:rPr>
                <w:rFonts w:ascii="仿宋_GB2312" w:hAnsi="仿宋" w:eastAsia="仿宋_GB2312" w:cs="仿宋_GB2312"/>
                <w:color w:val="auto"/>
                <w:sz w:val="24"/>
              </w:rPr>
            </w:pPr>
          </w:p>
        </w:tc>
        <w:tc>
          <w:tcPr>
            <w:tcW w:w="1260" w:type="dxa"/>
            <w:tcBorders>
              <w:top w:val="single" w:color="auto" w:sz="6" w:space="0"/>
              <w:left w:val="single" w:color="auto" w:sz="4" w:space="0"/>
              <w:bottom w:val="single" w:color="auto" w:sz="6" w:space="0"/>
              <w:right w:val="single" w:color="auto" w:sz="6" w:space="0"/>
            </w:tcBorders>
            <w:shd w:val="clear" w:color="auto" w:fill="auto"/>
            <w:vAlign w:val="center"/>
          </w:tcPr>
          <w:p>
            <w:pPr>
              <w:autoSpaceDE w:val="0"/>
              <w:autoSpaceDN w:val="0"/>
              <w:spacing w:line="360" w:lineRule="auto"/>
              <w:jc w:val="center"/>
              <w:rPr>
                <w:rFonts w:ascii="仿宋_GB2312" w:hAnsi="仿宋" w:eastAsia="仿宋_GB2312" w:cs="仿宋_GB2312"/>
                <w:color w:val="auto"/>
                <w:sz w:val="24"/>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仿宋_GB2312" w:hAnsi="仿宋" w:eastAsia="仿宋_GB2312" w:cs="仿宋_GB2312"/>
                <w:color w:val="auto"/>
                <w:sz w:val="24"/>
              </w:rPr>
            </w:pPr>
          </w:p>
        </w:tc>
      </w:tr>
      <w:tr>
        <w:tblPrEx>
          <w:tblLayout w:type="fixed"/>
          <w:tblCellMar>
            <w:top w:w="0" w:type="dxa"/>
            <w:left w:w="108" w:type="dxa"/>
            <w:bottom w:w="0" w:type="dxa"/>
            <w:right w:w="108" w:type="dxa"/>
          </w:tblCellMar>
        </w:tblPrEx>
        <w:trPr>
          <w:cantSplit/>
          <w:trHeight w:val="177" w:hRule="atLeast"/>
        </w:trPr>
        <w:tc>
          <w:tcPr>
            <w:tcW w:w="2061"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360" w:lineRule="auto"/>
              <w:jc w:val="center"/>
              <w:rPr>
                <w:rFonts w:ascii="仿宋_GB2312" w:hAnsi="仿宋" w:eastAsia="仿宋_GB2312" w:cs="仿宋_GB2312"/>
                <w:color w:val="auto"/>
                <w:sz w:val="24"/>
              </w:rPr>
            </w:pPr>
            <w:r>
              <w:rPr>
                <w:rFonts w:hint="eastAsia" w:ascii="仿宋_GB2312" w:hAnsi="仿宋" w:eastAsia="仿宋_GB2312" w:cs="仿宋_GB2312"/>
                <w:color w:val="auto"/>
                <w:sz w:val="24"/>
              </w:rPr>
              <w:t>其他资质情况</w:t>
            </w:r>
          </w:p>
        </w:tc>
        <w:tc>
          <w:tcPr>
            <w:tcW w:w="1287" w:type="dxa"/>
            <w:tcBorders>
              <w:top w:val="single" w:color="auto" w:sz="6" w:space="0"/>
              <w:left w:val="single" w:color="auto" w:sz="6" w:space="0"/>
              <w:bottom w:val="single" w:color="auto" w:sz="6" w:space="0"/>
              <w:right w:val="single" w:color="auto" w:sz="4" w:space="0"/>
            </w:tcBorders>
            <w:shd w:val="clear" w:color="auto" w:fill="auto"/>
            <w:vAlign w:val="center"/>
          </w:tcPr>
          <w:p>
            <w:pPr>
              <w:autoSpaceDE w:val="0"/>
              <w:autoSpaceDN w:val="0"/>
              <w:spacing w:line="360" w:lineRule="auto"/>
              <w:jc w:val="center"/>
              <w:rPr>
                <w:rFonts w:ascii="仿宋_GB2312" w:hAnsi="仿宋" w:eastAsia="仿宋_GB2312" w:cs="仿宋_GB2312"/>
                <w:color w:val="auto"/>
                <w:sz w:val="24"/>
              </w:rPr>
            </w:pPr>
          </w:p>
        </w:tc>
        <w:tc>
          <w:tcPr>
            <w:tcW w:w="1260" w:type="dxa"/>
            <w:tcBorders>
              <w:top w:val="single" w:color="auto" w:sz="6" w:space="0"/>
              <w:left w:val="single" w:color="auto" w:sz="4" w:space="0"/>
              <w:bottom w:val="single" w:color="auto" w:sz="6" w:space="0"/>
              <w:right w:val="single" w:color="auto" w:sz="6" w:space="0"/>
            </w:tcBorders>
            <w:shd w:val="clear" w:color="auto" w:fill="auto"/>
            <w:vAlign w:val="center"/>
          </w:tcPr>
          <w:p>
            <w:pPr>
              <w:autoSpaceDE w:val="0"/>
              <w:autoSpaceDN w:val="0"/>
              <w:spacing w:line="360" w:lineRule="auto"/>
              <w:jc w:val="center"/>
              <w:rPr>
                <w:rFonts w:ascii="仿宋_GB2312" w:hAnsi="仿宋" w:eastAsia="仿宋_GB2312" w:cs="仿宋_GB2312"/>
                <w:color w:val="auto"/>
                <w:sz w:val="24"/>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仿宋_GB2312" w:hAnsi="仿宋" w:eastAsia="仿宋_GB2312" w:cs="仿宋_GB2312"/>
                <w:color w:val="auto"/>
                <w:sz w:val="24"/>
              </w:rPr>
            </w:pPr>
          </w:p>
        </w:tc>
      </w:tr>
      <w:tr>
        <w:tblPrEx>
          <w:tblLayout w:type="fixed"/>
          <w:tblCellMar>
            <w:top w:w="0" w:type="dxa"/>
            <w:left w:w="108" w:type="dxa"/>
            <w:bottom w:w="0" w:type="dxa"/>
            <w:right w:w="108" w:type="dxa"/>
          </w:tblCellMar>
        </w:tblPrEx>
        <w:trPr>
          <w:cantSplit/>
          <w:trHeight w:val="169" w:hRule="atLeast"/>
        </w:trPr>
        <w:tc>
          <w:tcPr>
            <w:tcW w:w="2061"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360" w:lineRule="auto"/>
              <w:jc w:val="center"/>
              <w:rPr>
                <w:rFonts w:ascii="仿宋_GB2312" w:hAnsi="仿宋" w:eastAsia="仿宋_GB2312" w:cs="仿宋_GB2312"/>
                <w:color w:val="auto"/>
                <w:sz w:val="24"/>
              </w:rPr>
            </w:pPr>
            <w:r>
              <w:rPr>
                <w:rFonts w:hint="eastAsia" w:ascii="仿宋_GB2312" w:hAnsi="仿宋" w:eastAsia="仿宋_GB2312" w:cs="仿宋_GB2312"/>
                <w:color w:val="auto"/>
                <w:sz w:val="24"/>
              </w:rPr>
              <w:t>联系电话</w:t>
            </w:r>
          </w:p>
        </w:tc>
        <w:tc>
          <w:tcPr>
            <w:tcW w:w="1287" w:type="dxa"/>
            <w:tcBorders>
              <w:top w:val="single" w:color="auto" w:sz="6" w:space="0"/>
              <w:left w:val="single" w:color="auto" w:sz="6" w:space="0"/>
              <w:bottom w:val="single" w:color="auto" w:sz="6" w:space="0"/>
              <w:right w:val="single" w:color="auto" w:sz="4" w:space="0"/>
            </w:tcBorders>
            <w:shd w:val="clear" w:color="auto" w:fill="auto"/>
            <w:vAlign w:val="center"/>
          </w:tcPr>
          <w:p>
            <w:pPr>
              <w:autoSpaceDE w:val="0"/>
              <w:autoSpaceDN w:val="0"/>
              <w:spacing w:line="360" w:lineRule="auto"/>
              <w:jc w:val="center"/>
              <w:rPr>
                <w:rFonts w:ascii="仿宋_GB2312" w:hAnsi="仿宋" w:eastAsia="仿宋_GB2312" w:cs="仿宋_GB2312"/>
                <w:color w:val="auto"/>
                <w:sz w:val="24"/>
              </w:rPr>
            </w:pPr>
          </w:p>
        </w:tc>
        <w:tc>
          <w:tcPr>
            <w:tcW w:w="1260" w:type="dxa"/>
            <w:tcBorders>
              <w:top w:val="single" w:color="auto" w:sz="6" w:space="0"/>
              <w:left w:val="single" w:color="auto" w:sz="4" w:space="0"/>
              <w:bottom w:val="single" w:color="auto" w:sz="6" w:space="0"/>
              <w:right w:val="single" w:color="auto" w:sz="6" w:space="0"/>
            </w:tcBorders>
            <w:shd w:val="clear" w:color="auto" w:fill="auto"/>
            <w:vAlign w:val="center"/>
          </w:tcPr>
          <w:p>
            <w:pPr>
              <w:autoSpaceDE w:val="0"/>
              <w:autoSpaceDN w:val="0"/>
              <w:spacing w:line="360" w:lineRule="auto"/>
              <w:jc w:val="center"/>
              <w:rPr>
                <w:rFonts w:ascii="仿宋_GB2312" w:hAnsi="仿宋" w:eastAsia="仿宋_GB2312" w:cs="仿宋_GB2312"/>
                <w:color w:val="auto"/>
                <w:sz w:val="24"/>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仿宋_GB2312" w:hAnsi="仿宋" w:eastAsia="仿宋_GB2312" w:cs="仿宋_GB2312"/>
                <w:color w:val="auto"/>
                <w:sz w:val="24"/>
              </w:rPr>
            </w:pPr>
          </w:p>
        </w:tc>
      </w:tr>
    </w:tbl>
    <w:p>
      <w:pPr>
        <w:autoSpaceDE w:val="0"/>
        <w:autoSpaceDN w:val="0"/>
        <w:spacing w:line="360" w:lineRule="auto"/>
        <w:rPr>
          <w:rFonts w:ascii="仿宋_GB2312" w:hAnsi="仿宋" w:eastAsia="仿宋_GB2312" w:cs="仿宋_GB2312"/>
          <w:b/>
          <w:color w:val="auto"/>
          <w:sz w:val="24"/>
        </w:rPr>
      </w:pPr>
      <w:r>
        <w:rPr>
          <w:rFonts w:hint="eastAsia" w:ascii="仿宋_GB2312" w:hAnsi="仿宋" w:eastAsia="仿宋_GB2312" w:cs="仿宋_GB2312"/>
          <w:b/>
          <w:color w:val="auto"/>
          <w:sz w:val="24"/>
        </w:rPr>
        <w:t>注：投标人可参照上述的格式自行编制，并注明所在投标技术文件页码。</w:t>
      </w:r>
    </w:p>
    <w:p>
      <w:pPr>
        <w:autoSpaceDE w:val="0"/>
        <w:autoSpaceDN w:val="0"/>
        <w:spacing w:line="360" w:lineRule="auto"/>
        <w:rPr>
          <w:rFonts w:ascii="仿宋_GB2312" w:hAnsi="仿宋" w:eastAsia="仿宋_GB2312" w:cs="仿宋_GB2312"/>
          <w:b/>
          <w:color w:val="auto"/>
          <w:sz w:val="24"/>
        </w:rPr>
      </w:pPr>
      <w:r>
        <w:rPr>
          <w:rFonts w:hint="eastAsia" w:ascii="仿宋_GB2312" w:hAnsi="仿宋" w:eastAsia="仿宋_GB2312" w:cs="仿宋_GB2312"/>
          <w:b/>
          <w:color w:val="auto"/>
          <w:sz w:val="24"/>
        </w:rPr>
        <w:t>附表B：本项目的项目小组人员情况表</w:t>
      </w:r>
      <w:r>
        <w:rPr>
          <w:rFonts w:hint="eastAsia" w:ascii="仿宋_GB2312" w:hAnsi="仿宋" w:eastAsia="仿宋_GB2312" w:cs="仿宋_GB2312"/>
          <w:color w:val="auto"/>
          <w:sz w:val="24"/>
        </w:rPr>
        <w:t>（参照此格式自制）</w:t>
      </w:r>
    </w:p>
    <w:tbl>
      <w:tblPr>
        <w:tblStyle w:val="24"/>
        <w:tblW w:w="9030" w:type="dxa"/>
        <w:tblInd w:w="108" w:type="dxa"/>
        <w:tblLayout w:type="fixed"/>
        <w:tblCellMar>
          <w:top w:w="0" w:type="dxa"/>
          <w:left w:w="108" w:type="dxa"/>
          <w:bottom w:w="0" w:type="dxa"/>
          <w:right w:w="108" w:type="dxa"/>
        </w:tblCellMar>
      </w:tblPr>
      <w:tblGrid>
        <w:gridCol w:w="420"/>
        <w:gridCol w:w="787"/>
        <w:gridCol w:w="412"/>
        <w:gridCol w:w="586"/>
        <w:gridCol w:w="1035"/>
        <w:gridCol w:w="1080"/>
        <w:gridCol w:w="1080"/>
        <w:gridCol w:w="1260"/>
        <w:gridCol w:w="900"/>
        <w:gridCol w:w="1470"/>
      </w:tblGrid>
      <w:tr>
        <w:tblPrEx>
          <w:tblLayout w:type="fixed"/>
          <w:tblCellMar>
            <w:top w:w="0" w:type="dxa"/>
            <w:left w:w="108" w:type="dxa"/>
            <w:bottom w:w="0" w:type="dxa"/>
            <w:right w:w="108" w:type="dxa"/>
          </w:tblCellMar>
        </w:tblPrEx>
        <w:tc>
          <w:tcPr>
            <w:tcW w:w="4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color w:val="auto"/>
                <w:sz w:val="24"/>
              </w:rPr>
            </w:pPr>
            <w:r>
              <w:rPr>
                <w:rFonts w:hint="eastAsia" w:ascii="仿宋_GB2312" w:hAnsi="仿宋" w:eastAsia="仿宋_GB2312" w:cs="仿宋_GB2312"/>
                <w:color w:val="auto"/>
                <w:sz w:val="24"/>
              </w:rPr>
              <w:t>序号</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color w:val="auto"/>
                <w:sz w:val="24"/>
              </w:rPr>
            </w:pPr>
            <w:r>
              <w:rPr>
                <w:rFonts w:hint="eastAsia" w:ascii="仿宋_GB2312" w:hAnsi="仿宋" w:eastAsia="仿宋_GB2312" w:cs="仿宋_GB2312"/>
                <w:color w:val="auto"/>
                <w:sz w:val="24"/>
              </w:rPr>
              <w:t>姓名</w:t>
            </w:r>
          </w:p>
        </w:tc>
        <w:tc>
          <w:tcPr>
            <w:tcW w:w="41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color w:val="auto"/>
                <w:sz w:val="24"/>
              </w:rPr>
            </w:pPr>
            <w:r>
              <w:rPr>
                <w:rFonts w:hint="eastAsia" w:ascii="仿宋_GB2312" w:hAnsi="仿宋" w:eastAsia="仿宋_GB2312" w:cs="仿宋_GB2312"/>
                <w:color w:val="auto"/>
                <w:sz w:val="24"/>
              </w:rPr>
              <w:t>性别</w:t>
            </w:r>
          </w:p>
        </w:tc>
        <w:tc>
          <w:tcPr>
            <w:tcW w:w="58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color w:val="auto"/>
                <w:sz w:val="24"/>
              </w:rPr>
            </w:pPr>
            <w:r>
              <w:rPr>
                <w:rFonts w:hint="eastAsia" w:ascii="仿宋_GB2312" w:hAnsi="仿宋" w:eastAsia="仿宋_GB2312" w:cs="仿宋_GB2312"/>
                <w:color w:val="auto"/>
                <w:sz w:val="24"/>
              </w:rPr>
              <w:t>年龄</w:t>
            </w:r>
          </w:p>
        </w:tc>
        <w:tc>
          <w:tcPr>
            <w:tcW w:w="103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color w:val="auto"/>
                <w:sz w:val="24"/>
              </w:rPr>
            </w:pPr>
            <w:r>
              <w:rPr>
                <w:rFonts w:hint="eastAsia" w:ascii="仿宋_GB2312" w:hAnsi="仿宋" w:eastAsia="仿宋_GB2312" w:cs="仿宋_GB2312"/>
                <w:color w:val="auto"/>
                <w:sz w:val="24"/>
              </w:rPr>
              <w:t>学历</w:t>
            </w:r>
          </w:p>
          <w:p>
            <w:pPr>
              <w:autoSpaceDE w:val="0"/>
              <w:autoSpaceDN w:val="0"/>
              <w:spacing w:line="360" w:lineRule="auto"/>
              <w:jc w:val="center"/>
              <w:rPr>
                <w:rFonts w:ascii="仿宋_GB2312" w:hAnsi="仿宋" w:eastAsia="仿宋_GB2312" w:cs="仿宋_GB2312"/>
                <w:color w:val="auto"/>
                <w:sz w:val="24"/>
              </w:rPr>
            </w:pPr>
            <w:r>
              <w:rPr>
                <w:rFonts w:hint="eastAsia" w:ascii="仿宋_GB2312" w:hAnsi="仿宋" w:eastAsia="仿宋_GB2312" w:cs="仿宋_GB2312"/>
                <w:color w:val="auto"/>
                <w:sz w:val="24"/>
              </w:rPr>
              <w:t>(页码)</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color w:val="auto"/>
                <w:sz w:val="24"/>
              </w:rPr>
            </w:pPr>
            <w:r>
              <w:rPr>
                <w:rFonts w:hint="eastAsia" w:ascii="仿宋_GB2312" w:hAnsi="仿宋" w:eastAsia="仿宋_GB2312" w:cs="仿宋_GB2312"/>
                <w:color w:val="auto"/>
                <w:sz w:val="24"/>
              </w:rPr>
              <w:t>专业</w:t>
            </w:r>
          </w:p>
          <w:p>
            <w:pPr>
              <w:autoSpaceDE w:val="0"/>
              <w:autoSpaceDN w:val="0"/>
              <w:spacing w:line="360" w:lineRule="auto"/>
              <w:jc w:val="center"/>
              <w:rPr>
                <w:rFonts w:ascii="仿宋_GB2312" w:hAnsi="仿宋" w:eastAsia="仿宋_GB2312" w:cs="仿宋_GB2312"/>
                <w:color w:val="auto"/>
                <w:sz w:val="24"/>
              </w:rPr>
            </w:pPr>
            <w:r>
              <w:rPr>
                <w:rFonts w:hint="eastAsia" w:ascii="仿宋_GB2312" w:hAnsi="仿宋" w:eastAsia="仿宋_GB2312" w:cs="仿宋_GB2312"/>
                <w:color w:val="auto"/>
                <w:sz w:val="24"/>
              </w:rPr>
              <w:t>(页码)</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color w:val="auto"/>
                <w:sz w:val="24"/>
              </w:rPr>
            </w:pPr>
            <w:r>
              <w:rPr>
                <w:rFonts w:hint="eastAsia" w:ascii="仿宋_GB2312" w:hAnsi="仿宋" w:eastAsia="仿宋_GB2312" w:cs="仿宋_GB2312"/>
                <w:color w:val="auto"/>
                <w:sz w:val="24"/>
              </w:rPr>
              <w:t>职称</w:t>
            </w:r>
          </w:p>
          <w:p>
            <w:pPr>
              <w:autoSpaceDE w:val="0"/>
              <w:autoSpaceDN w:val="0"/>
              <w:spacing w:line="360" w:lineRule="auto"/>
              <w:jc w:val="center"/>
              <w:rPr>
                <w:rFonts w:ascii="仿宋_GB2312" w:hAnsi="仿宋" w:eastAsia="仿宋_GB2312" w:cs="仿宋_GB2312"/>
                <w:color w:val="auto"/>
                <w:sz w:val="24"/>
              </w:rPr>
            </w:pPr>
            <w:r>
              <w:rPr>
                <w:rFonts w:hint="eastAsia" w:ascii="仿宋_GB2312" w:hAnsi="仿宋" w:eastAsia="仿宋_GB2312" w:cs="仿宋_GB2312"/>
                <w:color w:val="auto"/>
                <w:sz w:val="24"/>
              </w:rPr>
              <w:t>(页码)</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color w:val="auto"/>
                <w:sz w:val="24"/>
              </w:rPr>
            </w:pPr>
            <w:r>
              <w:rPr>
                <w:rFonts w:hint="eastAsia" w:ascii="仿宋_GB2312" w:hAnsi="仿宋" w:eastAsia="仿宋_GB2312" w:cs="仿宋_GB2312"/>
                <w:color w:val="auto"/>
                <w:sz w:val="24"/>
              </w:rPr>
              <w:t>本项目中的职责</w:t>
            </w:r>
          </w:p>
        </w:tc>
        <w:tc>
          <w:tcPr>
            <w:tcW w:w="90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color w:val="auto"/>
                <w:sz w:val="24"/>
              </w:rPr>
            </w:pPr>
            <w:r>
              <w:rPr>
                <w:rFonts w:hint="eastAsia" w:ascii="仿宋_GB2312" w:hAnsi="仿宋" w:eastAsia="仿宋_GB2312" w:cs="仿宋_GB2312"/>
                <w:color w:val="auto"/>
                <w:sz w:val="24"/>
              </w:rPr>
              <w:t>项目经历</w:t>
            </w:r>
          </w:p>
        </w:tc>
        <w:tc>
          <w:tcPr>
            <w:tcW w:w="147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color w:val="auto"/>
                <w:sz w:val="24"/>
              </w:rPr>
            </w:pPr>
            <w:r>
              <w:rPr>
                <w:rFonts w:hint="eastAsia" w:ascii="仿宋_GB2312" w:hAnsi="仿宋" w:eastAsia="仿宋_GB2312" w:cs="仿宋_GB2312"/>
                <w:color w:val="auto"/>
                <w:sz w:val="24"/>
              </w:rPr>
              <w:t>参与本项目的到位情况</w:t>
            </w:r>
          </w:p>
        </w:tc>
      </w:tr>
      <w:tr>
        <w:tblPrEx>
          <w:tblLayout w:type="fixed"/>
          <w:tblCellMar>
            <w:top w:w="0" w:type="dxa"/>
            <w:left w:w="108" w:type="dxa"/>
            <w:bottom w:w="0" w:type="dxa"/>
            <w:right w:w="108" w:type="dxa"/>
          </w:tblCellMar>
        </w:tblPrEx>
        <w:trPr>
          <w:trHeight w:val="479" w:hRule="atLeast"/>
        </w:trPr>
        <w:tc>
          <w:tcPr>
            <w:tcW w:w="42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_GB2312" w:hAnsi="仿宋" w:eastAsia="仿宋_GB2312" w:cs="仿宋_GB2312"/>
                <w:color w:val="auto"/>
                <w:sz w:val="24"/>
              </w:rPr>
            </w:pP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color w:val="auto"/>
                <w:sz w:val="24"/>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color w:val="auto"/>
                <w:sz w:val="24"/>
              </w:rPr>
            </w:pPr>
          </w:p>
        </w:tc>
        <w:tc>
          <w:tcPr>
            <w:tcW w:w="58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color w:val="auto"/>
                <w:sz w:val="24"/>
              </w:rPr>
            </w:pPr>
          </w:p>
        </w:tc>
        <w:tc>
          <w:tcPr>
            <w:tcW w:w="103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color w:val="auto"/>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color w:val="auto"/>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color w:val="auto"/>
                <w:sz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color w:val="auto"/>
                <w:sz w:val="24"/>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color w:val="auto"/>
                <w:sz w:val="24"/>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color w:val="auto"/>
                <w:sz w:val="24"/>
              </w:rPr>
            </w:pPr>
          </w:p>
        </w:tc>
      </w:tr>
      <w:tr>
        <w:tblPrEx>
          <w:tblLayout w:type="fixed"/>
          <w:tblCellMar>
            <w:top w:w="0" w:type="dxa"/>
            <w:left w:w="108" w:type="dxa"/>
            <w:bottom w:w="0" w:type="dxa"/>
            <w:right w:w="108" w:type="dxa"/>
          </w:tblCellMar>
        </w:tblPrEx>
        <w:trPr>
          <w:trHeight w:val="473" w:hRule="atLeast"/>
        </w:trPr>
        <w:tc>
          <w:tcPr>
            <w:tcW w:w="42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_GB2312" w:hAnsi="仿宋" w:eastAsia="仿宋_GB2312" w:cs="仿宋_GB2312"/>
                <w:color w:val="auto"/>
                <w:sz w:val="24"/>
              </w:rPr>
            </w:pP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color w:val="auto"/>
                <w:sz w:val="24"/>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color w:val="auto"/>
                <w:sz w:val="24"/>
              </w:rPr>
            </w:pPr>
          </w:p>
        </w:tc>
        <w:tc>
          <w:tcPr>
            <w:tcW w:w="58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color w:val="auto"/>
                <w:sz w:val="24"/>
              </w:rPr>
            </w:pPr>
          </w:p>
        </w:tc>
        <w:tc>
          <w:tcPr>
            <w:tcW w:w="103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color w:val="auto"/>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color w:val="auto"/>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color w:val="auto"/>
                <w:sz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color w:val="auto"/>
                <w:sz w:val="24"/>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color w:val="auto"/>
                <w:sz w:val="24"/>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color w:val="auto"/>
                <w:sz w:val="24"/>
              </w:rPr>
            </w:pPr>
          </w:p>
        </w:tc>
      </w:tr>
    </w:tbl>
    <w:p>
      <w:pPr>
        <w:spacing w:line="360" w:lineRule="auto"/>
        <w:rPr>
          <w:rFonts w:ascii="仿宋_GB2312" w:hAnsi="仿宋" w:eastAsia="仿宋_GB2312" w:cs="仿宋_GB2312"/>
          <w:b/>
          <w:bCs/>
          <w:color w:val="auto"/>
          <w:sz w:val="24"/>
        </w:rPr>
      </w:pPr>
      <w:r>
        <w:rPr>
          <w:rFonts w:hint="eastAsia" w:ascii="仿宋_GB2312" w:hAnsi="仿宋" w:eastAsia="仿宋_GB2312" w:cs="仿宋_GB2312"/>
          <w:b/>
          <w:color w:val="auto"/>
          <w:sz w:val="24"/>
        </w:rPr>
        <w:t>注：投标人可参照上述的格式自行编制，并注明所在投标技术文件页码。</w:t>
      </w:r>
    </w:p>
    <w:p>
      <w:pPr>
        <w:snapToGrid w:val="0"/>
        <w:spacing w:line="360" w:lineRule="auto"/>
        <w:ind w:firstLine="4320" w:firstLineChars="1800"/>
        <w:rPr>
          <w:rFonts w:ascii="仿宋_GB2312" w:hAnsi="仿宋" w:eastAsia="仿宋_GB2312" w:cs="仿宋_GB2312"/>
          <w:color w:val="auto"/>
          <w:kern w:val="0"/>
          <w:sz w:val="24"/>
          <w:lang w:val="zh-CN"/>
        </w:rPr>
      </w:pPr>
    </w:p>
    <w:p>
      <w:pPr>
        <w:snapToGrid w:val="0"/>
        <w:spacing w:line="360" w:lineRule="auto"/>
        <w:ind w:firstLine="4320" w:firstLineChars="1800"/>
        <w:rPr>
          <w:rFonts w:ascii="仿宋_GB2312" w:hAnsi="仿宋" w:eastAsia="仿宋_GB2312" w:cs="仿宋_GB2312"/>
          <w:color w:val="auto"/>
          <w:kern w:val="0"/>
          <w:sz w:val="24"/>
          <w:lang w:val="zh-CN"/>
        </w:rPr>
      </w:pPr>
    </w:p>
    <w:p>
      <w:pPr>
        <w:snapToGrid w:val="0"/>
        <w:spacing w:line="360" w:lineRule="auto"/>
        <w:ind w:firstLine="5040" w:firstLineChars="2100"/>
        <w:rPr>
          <w:rFonts w:ascii="宋体" w:hAnsi="宋体" w:cs="宋体"/>
          <w:color w:val="auto"/>
          <w:kern w:val="0"/>
          <w:sz w:val="24"/>
        </w:rPr>
      </w:pPr>
      <w:r>
        <w:rPr>
          <w:rFonts w:hint="eastAsia" w:ascii="宋体" w:hAnsi="宋体" w:cs="宋体"/>
          <w:color w:val="auto"/>
          <w:kern w:val="0"/>
          <w:sz w:val="24"/>
          <w:lang w:val="zh-CN"/>
        </w:rPr>
        <w:t>投标人名称(盖公章)：</w:t>
      </w:r>
    </w:p>
    <w:p>
      <w:pPr>
        <w:autoSpaceDE w:val="0"/>
        <w:autoSpaceDN w:val="0"/>
        <w:spacing w:line="360" w:lineRule="auto"/>
        <w:rPr>
          <w:rFonts w:ascii="宋体" w:hAnsi="宋体" w:cs="宋体"/>
          <w:color w:val="auto"/>
          <w:kern w:val="0"/>
          <w:sz w:val="24"/>
        </w:rPr>
      </w:pPr>
      <w:r>
        <w:rPr>
          <w:rFonts w:hint="eastAsia" w:ascii="宋体" w:hAnsi="宋体" w:cs="宋体"/>
          <w:color w:val="auto"/>
          <w:kern w:val="0"/>
          <w:sz w:val="24"/>
          <w:lang w:val="zh-CN"/>
        </w:rPr>
        <w:t>日期：  年  月   日</w:t>
      </w:r>
    </w:p>
    <w:p>
      <w:pPr>
        <w:snapToGrid w:val="0"/>
        <w:spacing w:before="50" w:after="50"/>
        <w:rPr>
          <w:rFonts w:ascii="宋体" w:hAnsi="宋体"/>
          <w:color w:val="auto"/>
          <w:sz w:val="24"/>
        </w:rPr>
      </w:pPr>
    </w:p>
    <w:p>
      <w:pPr>
        <w:pStyle w:val="14"/>
        <w:jc w:val="center"/>
        <w:outlineLvl w:val="1"/>
        <w:rPr>
          <w:rFonts w:hAnsi="宋体"/>
          <w:b/>
          <w:bCs/>
          <w:color w:val="auto"/>
          <w:sz w:val="28"/>
          <w:szCs w:val="28"/>
        </w:rPr>
      </w:pPr>
      <w:bookmarkStart w:id="393" w:name="_Toc1343"/>
      <w:bookmarkStart w:id="394" w:name="_Toc22926"/>
      <w:bookmarkStart w:id="395" w:name="_Toc12675"/>
      <w:bookmarkStart w:id="396" w:name="_Toc28617"/>
      <w:bookmarkStart w:id="397" w:name="_Toc9015"/>
      <w:bookmarkStart w:id="398" w:name="_Toc12868"/>
      <w:bookmarkStart w:id="399" w:name="_Toc31920"/>
      <w:bookmarkStart w:id="400" w:name="_Toc30951"/>
      <w:bookmarkStart w:id="401" w:name="_Toc17719"/>
      <w:bookmarkStart w:id="402" w:name="_Toc3481"/>
      <w:r>
        <w:rPr>
          <w:rFonts w:hint="eastAsia" w:hAnsi="宋体"/>
          <w:b/>
          <w:bCs/>
          <w:color w:val="auto"/>
          <w:sz w:val="28"/>
          <w:szCs w:val="28"/>
        </w:rPr>
        <w:t>第四节 报价文件格式</w:t>
      </w:r>
      <w:bookmarkEnd w:id="393"/>
      <w:bookmarkEnd w:id="394"/>
      <w:bookmarkEnd w:id="395"/>
      <w:bookmarkEnd w:id="396"/>
      <w:bookmarkEnd w:id="397"/>
      <w:bookmarkEnd w:id="398"/>
      <w:bookmarkEnd w:id="399"/>
      <w:bookmarkEnd w:id="400"/>
      <w:bookmarkEnd w:id="401"/>
      <w:bookmarkEnd w:id="402"/>
    </w:p>
    <w:p>
      <w:pPr>
        <w:snapToGrid w:val="0"/>
        <w:spacing w:beforeLines="50" w:after="50" w:line="400" w:lineRule="exact"/>
        <w:jc w:val="left"/>
        <w:rPr>
          <w:rFonts w:ascii="宋体" w:hAnsi="宋体"/>
          <w:color w:val="auto"/>
          <w:sz w:val="24"/>
        </w:rPr>
      </w:pPr>
      <w:r>
        <w:rPr>
          <w:rFonts w:hint="eastAsia" w:ascii="宋体" w:hAnsi="宋体" w:cs="宋体"/>
          <w:b/>
          <w:bCs/>
          <w:color w:val="auto"/>
          <w:sz w:val="28"/>
          <w:szCs w:val="28"/>
        </w:rPr>
        <w:t>1.报价文件封面的格式（参照此格式自拟）：</w:t>
      </w:r>
    </w:p>
    <w:p>
      <w:pPr>
        <w:snapToGrid w:val="0"/>
        <w:spacing w:beforeLines="50" w:after="50" w:line="400" w:lineRule="exact"/>
        <w:rPr>
          <w:rFonts w:ascii="宋体" w:hAnsi="宋体"/>
          <w:color w:val="auto"/>
          <w:sz w:val="24"/>
        </w:rPr>
      </w:pPr>
    </w:p>
    <w:p>
      <w:pPr>
        <w:snapToGrid w:val="0"/>
        <w:spacing w:beforeLines="50" w:after="50" w:line="400" w:lineRule="exact"/>
        <w:rPr>
          <w:rFonts w:ascii="宋体" w:hAnsi="宋体"/>
          <w:bCs/>
          <w:color w:val="auto"/>
          <w:sz w:val="32"/>
          <w:szCs w:val="20"/>
        </w:rPr>
      </w:pPr>
      <w:r>
        <w:rPr>
          <w:rFonts w:hint="eastAsia" w:ascii="宋体" w:hAnsi="宋体"/>
          <w:bCs/>
          <w:color w:val="auto"/>
        </w:rPr>
        <w:t>电子投标文件</w:t>
      </w:r>
    </w:p>
    <w:p>
      <w:pPr>
        <w:snapToGrid w:val="0"/>
        <w:spacing w:beforeLines="50" w:after="50" w:line="400" w:lineRule="exact"/>
        <w:jc w:val="center"/>
        <w:rPr>
          <w:rFonts w:ascii="宋体" w:hAnsi="宋体"/>
          <w:bCs/>
          <w:color w:val="auto"/>
          <w:sz w:val="24"/>
          <w:szCs w:val="20"/>
        </w:rPr>
      </w:pPr>
    </w:p>
    <w:p>
      <w:pPr>
        <w:snapToGrid w:val="0"/>
        <w:spacing w:beforeLines="50" w:after="50" w:line="400" w:lineRule="exact"/>
        <w:jc w:val="center"/>
        <w:rPr>
          <w:rFonts w:ascii="宋体" w:hAnsi="宋体"/>
          <w:b/>
          <w:bCs/>
          <w:color w:val="auto"/>
          <w:sz w:val="32"/>
          <w:szCs w:val="32"/>
        </w:rPr>
      </w:pPr>
      <w:r>
        <w:rPr>
          <w:rFonts w:hint="eastAsia" w:ascii="宋体" w:hAnsi="宋体"/>
          <w:b/>
          <w:bCs/>
          <w:color w:val="auto"/>
          <w:sz w:val="32"/>
          <w:szCs w:val="32"/>
        </w:rPr>
        <w:t>报价文件</w:t>
      </w:r>
    </w:p>
    <w:p>
      <w:pPr>
        <w:snapToGrid w:val="0"/>
        <w:spacing w:beforeLines="50" w:after="50" w:line="400" w:lineRule="exact"/>
        <w:rPr>
          <w:rFonts w:ascii="宋体" w:hAnsi="宋体"/>
          <w:bCs/>
          <w:color w:val="auto"/>
          <w:sz w:val="24"/>
          <w:szCs w:val="20"/>
        </w:rPr>
      </w:pPr>
    </w:p>
    <w:p>
      <w:pPr>
        <w:snapToGrid w:val="0"/>
        <w:spacing w:beforeLines="50" w:after="50" w:line="400" w:lineRule="exact"/>
        <w:rPr>
          <w:rFonts w:ascii="宋体" w:hAnsi="宋体"/>
          <w:bCs/>
          <w:color w:val="auto"/>
          <w:sz w:val="24"/>
          <w:szCs w:val="20"/>
        </w:rPr>
      </w:pPr>
    </w:p>
    <w:p>
      <w:pPr>
        <w:snapToGrid w:val="0"/>
        <w:spacing w:beforeLines="50" w:after="50" w:line="400" w:lineRule="exact"/>
        <w:rPr>
          <w:rFonts w:ascii="宋体" w:hAnsi="宋体"/>
          <w:bCs/>
          <w:color w:val="auto"/>
          <w:sz w:val="24"/>
          <w:szCs w:val="20"/>
        </w:rPr>
      </w:pPr>
    </w:p>
    <w:p>
      <w:pPr>
        <w:snapToGrid w:val="0"/>
        <w:spacing w:beforeLines="50" w:after="50" w:line="400" w:lineRule="exact"/>
        <w:rPr>
          <w:rFonts w:ascii="宋体" w:hAnsi="宋体"/>
          <w:bCs/>
          <w:color w:val="auto"/>
          <w:sz w:val="24"/>
          <w:szCs w:val="20"/>
        </w:rPr>
      </w:pPr>
    </w:p>
    <w:p>
      <w:pPr>
        <w:snapToGrid w:val="0"/>
        <w:spacing w:beforeLines="50" w:after="50" w:line="400" w:lineRule="exact"/>
        <w:ind w:firstLine="360" w:firstLineChars="150"/>
        <w:rPr>
          <w:rFonts w:ascii="宋体" w:hAnsi="宋体"/>
          <w:bCs/>
          <w:color w:val="auto"/>
          <w:sz w:val="24"/>
        </w:rPr>
      </w:pPr>
      <w:r>
        <w:rPr>
          <w:rFonts w:hint="eastAsia" w:ascii="宋体" w:hAnsi="宋体"/>
          <w:bCs/>
          <w:color w:val="auto"/>
          <w:sz w:val="24"/>
        </w:rPr>
        <w:t xml:space="preserve">项目名称： </w:t>
      </w:r>
    </w:p>
    <w:p>
      <w:pPr>
        <w:snapToGrid w:val="0"/>
        <w:spacing w:beforeLines="50" w:after="50" w:line="400" w:lineRule="exact"/>
        <w:ind w:firstLine="360" w:firstLineChars="150"/>
        <w:rPr>
          <w:rFonts w:ascii="宋体" w:hAnsi="宋体"/>
          <w:bCs/>
          <w:color w:val="auto"/>
          <w:sz w:val="24"/>
        </w:rPr>
      </w:pPr>
    </w:p>
    <w:p>
      <w:pPr>
        <w:snapToGrid w:val="0"/>
        <w:spacing w:beforeLines="50" w:after="50" w:line="400" w:lineRule="exact"/>
        <w:ind w:firstLine="360" w:firstLineChars="150"/>
        <w:rPr>
          <w:rFonts w:ascii="宋体" w:hAnsi="宋体"/>
          <w:bCs/>
          <w:color w:val="auto"/>
          <w:sz w:val="24"/>
        </w:rPr>
      </w:pPr>
      <w:r>
        <w:rPr>
          <w:rFonts w:hint="eastAsia" w:ascii="宋体" w:hAnsi="宋体"/>
          <w:bCs/>
          <w:color w:val="auto"/>
          <w:sz w:val="24"/>
        </w:rPr>
        <w:t xml:space="preserve">项目编号： </w:t>
      </w:r>
    </w:p>
    <w:p>
      <w:pPr>
        <w:snapToGrid w:val="0"/>
        <w:spacing w:beforeLines="50" w:after="50" w:line="400" w:lineRule="exact"/>
        <w:ind w:firstLine="360" w:firstLineChars="150"/>
        <w:rPr>
          <w:rFonts w:ascii="宋体" w:hAnsi="宋体"/>
          <w:bCs/>
          <w:color w:val="auto"/>
          <w:sz w:val="24"/>
        </w:rPr>
      </w:pPr>
    </w:p>
    <w:p>
      <w:pPr>
        <w:snapToGrid w:val="0"/>
        <w:spacing w:beforeLines="50" w:after="50" w:line="400" w:lineRule="exact"/>
        <w:ind w:firstLine="360" w:firstLineChars="150"/>
        <w:rPr>
          <w:rFonts w:ascii="宋体" w:hAnsi="宋体"/>
          <w:bCs/>
          <w:color w:val="auto"/>
          <w:sz w:val="24"/>
        </w:rPr>
      </w:pPr>
      <w:r>
        <w:rPr>
          <w:rFonts w:hint="eastAsia" w:ascii="宋体" w:hAnsi="宋体"/>
          <w:bCs/>
          <w:color w:val="auto"/>
          <w:sz w:val="24"/>
        </w:rPr>
        <w:t>所投分标（如有则填写，无分标时填写“无”或者留空）：</w:t>
      </w:r>
    </w:p>
    <w:p>
      <w:pPr>
        <w:snapToGrid w:val="0"/>
        <w:spacing w:beforeLines="50" w:after="50" w:line="400" w:lineRule="exact"/>
        <w:ind w:firstLine="360" w:firstLineChars="150"/>
        <w:rPr>
          <w:rFonts w:ascii="宋体" w:hAnsi="宋体"/>
          <w:bCs/>
          <w:color w:val="auto"/>
          <w:sz w:val="24"/>
        </w:rPr>
      </w:pPr>
    </w:p>
    <w:p>
      <w:pPr>
        <w:snapToGrid w:val="0"/>
        <w:spacing w:beforeLines="50" w:after="50" w:line="400" w:lineRule="exact"/>
        <w:ind w:firstLine="360" w:firstLineChars="150"/>
        <w:rPr>
          <w:rFonts w:ascii="宋体" w:hAnsi="宋体"/>
          <w:bCs/>
          <w:color w:val="auto"/>
          <w:sz w:val="24"/>
        </w:rPr>
      </w:pPr>
      <w:r>
        <w:rPr>
          <w:rFonts w:hint="eastAsia" w:ascii="宋体" w:hAnsi="宋体"/>
          <w:bCs/>
          <w:color w:val="auto"/>
          <w:sz w:val="24"/>
        </w:rPr>
        <w:t>投标人名称：</w:t>
      </w:r>
    </w:p>
    <w:p>
      <w:pPr>
        <w:snapToGrid w:val="0"/>
        <w:spacing w:beforeLines="50" w:after="50" w:line="400" w:lineRule="exact"/>
        <w:ind w:firstLine="360" w:firstLineChars="150"/>
        <w:rPr>
          <w:rFonts w:ascii="宋体" w:hAnsi="宋体"/>
          <w:bCs/>
          <w:color w:val="auto"/>
          <w:sz w:val="24"/>
        </w:rPr>
      </w:pPr>
    </w:p>
    <w:p>
      <w:pPr>
        <w:pStyle w:val="8"/>
        <w:snapToGrid w:val="0"/>
        <w:spacing w:before="50" w:after="50" w:line="400" w:lineRule="exact"/>
        <w:ind w:firstLine="960" w:firstLineChars="400"/>
        <w:rPr>
          <w:rFonts w:ascii="宋体" w:hAnsi="宋体"/>
          <w:bCs/>
          <w:color w:val="auto"/>
          <w:sz w:val="24"/>
          <w:szCs w:val="24"/>
        </w:rPr>
      </w:pPr>
    </w:p>
    <w:p>
      <w:pPr>
        <w:snapToGrid w:val="0"/>
        <w:spacing w:beforeLines="50" w:after="50" w:line="400" w:lineRule="exact"/>
        <w:rPr>
          <w:rFonts w:ascii="宋体" w:hAnsi="宋体"/>
          <w:color w:val="auto"/>
          <w:sz w:val="24"/>
        </w:rPr>
      </w:pPr>
    </w:p>
    <w:p>
      <w:pPr>
        <w:snapToGrid w:val="0"/>
        <w:spacing w:beforeLines="50" w:after="50" w:line="400" w:lineRule="exact"/>
        <w:ind w:firstLine="3120" w:firstLineChars="1300"/>
        <w:rPr>
          <w:rFonts w:ascii="宋体" w:hAnsi="宋体"/>
          <w:color w:val="auto"/>
          <w:sz w:val="24"/>
        </w:rPr>
      </w:pPr>
    </w:p>
    <w:p>
      <w:pPr>
        <w:snapToGrid w:val="0"/>
        <w:spacing w:beforeLines="50" w:after="50" w:line="400" w:lineRule="exact"/>
        <w:ind w:firstLine="4320" w:firstLineChars="1800"/>
        <w:rPr>
          <w:rFonts w:ascii="宋体" w:hAnsi="宋体"/>
          <w:color w:val="auto"/>
          <w:sz w:val="24"/>
        </w:rPr>
      </w:pPr>
      <w:r>
        <w:rPr>
          <w:rFonts w:hint="eastAsia" w:ascii="宋体" w:hAnsi="宋体"/>
          <w:color w:val="auto"/>
          <w:sz w:val="24"/>
        </w:rPr>
        <w:t xml:space="preserve">  年  月  日</w:t>
      </w:r>
    </w:p>
    <w:p>
      <w:pPr>
        <w:widowControl/>
        <w:jc w:val="left"/>
        <w:rPr>
          <w:rFonts w:ascii="宋体" w:hAnsi="宋体"/>
          <w:color w:val="auto"/>
          <w:sz w:val="24"/>
        </w:rPr>
        <w:sectPr>
          <w:pgSz w:w="11905" w:h="16838"/>
          <w:pgMar w:top="1134" w:right="1134" w:bottom="1134" w:left="1134" w:header="850" w:footer="850" w:gutter="0"/>
          <w:cols w:space="0" w:num="1"/>
          <w:titlePg/>
          <w:rtlGutter w:val="0"/>
          <w:docGrid w:linePitch="331" w:charSpace="0"/>
        </w:sectPr>
      </w:pPr>
    </w:p>
    <w:p>
      <w:pPr>
        <w:snapToGrid w:val="0"/>
        <w:spacing w:beforeLines="50" w:after="50" w:line="360" w:lineRule="auto"/>
        <w:jc w:val="left"/>
        <w:rPr>
          <w:rFonts w:ascii="宋体" w:hAnsi="宋体" w:cs="宋体"/>
          <w:color w:val="auto"/>
          <w:sz w:val="28"/>
          <w:szCs w:val="28"/>
        </w:rPr>
      </w:pPr>
      <w:r>
        <w:rPr>
          <w:rFonts w:hint="eastAsia" w:ascii="宋体" w:hAnsi="宋体" w:cs="宋体"/>
          <w:b/>
          <w:color w:val="auto"/>
          <w:sz w:val="28"/>
          <w:szCs w:val="28"/>
        </w:rPr>
        <w:t>2.</w:t>
      </w:r>
      <w:r>
        <w:rPr>
          <w:rFonts w:hint="eastAsia" w:ascii="宋体" w:hAnsi="宋体" w:cs="宋体"/>
          <w:b/>
          <w:bCs/>
          <w:color w:val="auto"/>
          <w:sz w:val="28"/>
          <w:szCs w:val="28"/>
        </w:rPr>
        <w:t>报价文件目录</w:t>
      </w:r>
    </w:p>
    <w:p>
      <w:pPr>
        <w:snapToGrid w:val="0"/>
        <w:spacing w:before="50" w:afterLines="50" w:line="360" w:lineRule="auto"/>
        <w:jc w:val="left"/>
        <w:rPr>
          <w:rFonts w:ascii="宋体" w:hAnsi="宋体" w:cs="宋体"/>
          <w:b/>
          <w:color w:val="auto"/>
          <w:sz w:val="28"/>
          <w:szCs w:val="28"/>
        </w:rPr>
      </w:pPr>
      <w:r>
        <w:rPr>
          <w:rFonts w:hint="eastAsia" w:ascii="宋体" w:hAnsi="宋体" w:cs="宋体"/>
          <w:color w:val="auto"/>
          <w:sz w:val="28"/>
          <w:szCs w:val="28"/>
        </w:rPr>
        <w:t>根据招标文件规定及投标人提供的材料自行编写目录</w:t>
      </w:r>
      <w:r>
        <w:rPr>
          <w:rFonts w:hint="eastAsia" w:ascii="宋体" w:hAnsi="宋体" w:cs="宋体"/>
          <w:color w:val="auto"/>
          <w:kern w:val="0"/>
          <w:sz w:val="28"/>
          <w:szCs w:val="28"/>
        </w:rPr>
        <w:t>（部分格式后附）</w:t>
      </w:r>
      <w:r>
        <w:rPr>
          <w:rFonts w:hint="eastAsia" w:ascii="宋体" w:hAnsi="宋体" w:cs="宋体"/>
          <w:color w:val="auto"/>
          <w:sz w:val="28"/>
          <w:szCs w:val="28"/>
        </w:rPr>
        <w:t>。</w:t>
      </w:r>
    </w:p>
    <w:p>
      <w:pPr>
        <w:spacing w:line="500" w:lineRule="exact"/>
        <w:jc w:val="center"/>
        <w:rPr>
          <w:b/>
          <w:bCs/>
          <w:color w:val="auto"/>
          <w:sz w:val="30"/>
          <w:szCs w:val="30"/>
        </w:rPr>
      </w:pPr>
      <w:r>
        <w:rPr>
          <w:rFonts w:hint="eastAsia"/>
          <w:b/>
          <w:bCs/>
          <w:color w:val="auto"/>
          <w:sz w:val="30"/>
          <w:szCs w:val="30"/>
        </w:rPr>
        <w:br w:type="page"/>
      </w:r>
    </w:p>
    <w:p>
      <w:pPr>
        <w:pStyle w:val="14"/>
        <w:spacing w:line="500" w:lineRule="exact"/>
        <w:jc w:val="left"/>
        <w:rPr>
          <w:rFonts w:ascii="Times New Roman" w:hAnsi="Times New Roman"/>
          <w:b/>
          <w:bCs/>
          <w:color w:val="auto"/>
          <w:sz w:val="30"/>
          <w:szCs w:val="30"/>
        </w:rPr>
      </w:pPr>
      <w:r>
        <w:rPr>
          <w:rFonts w:hint="eastAsia" w:hAnsi="宋体" w:cs="宋体"/>
          <w:b/>
          <w:bCs/>
          <w:color w:val="auto"/>
          <w:sz w:val="28"/>
          <w:szCs w:val="28"/>
        </w:rPr>
        <w:t>3.投标函的格式：</w:t>
      </w:r>
    </w:p>
    <w:p>
      <w:pPr>
        <w:pStyle w:val="14"/>
        <w:spacing w:line="500" w:lineRule="exact"/>
        <w:jc w:val="center"/>
        <w:rPr>
          <w:rFonts w:ascii="Times New Roman" w:hAnsi="Times New Roman"/>
          <w:b/>
          <w:bCs/>
          <w:color w:val="auto"/>
          <w:sz w:val="30"/>
          <w:szCs w:val="30"/>
        </w:rPr>
      </w:pPr>
      <w:r>
        <w:rPr>
          <w:rFonts w:hint="eastAsia" w:ascii="Times New Roman" w:hAnsi="Times New Roman"/>
          <w:b/>
          <w:bCs/>
          <w:color w:val="auto"/>
          <w:sz w:val="30"/>
          <w:szCs w:val="30"/>
        </w:rPr>
        <w:t>投标函</w:t>
      </w:r>
    </w:p>
    <w:p>
      <w:pPr>
        <w:pStyle w:val="14"/>
        <w:spacing w:line="440" w:lineRule="exact"/>
        <w:ind w:firstLine="420" w:firstLineChars="200"/>
        <w:rPr>
          <w:rFonts w:ascii="Times New Roman" w:hAnsi="Times New Roman"/>
          <w:color w:val="auto"/>
        </w:rPr>
      </w:pPr>
    </w:p>
    <w:p>
      <w:pPr>
        <w:pStyle w:val="14"/>
        <w:spacing w:line="440" w:lineRule="exact"/>
        <w:ind w:firstLine="420" w:firstLineChars="200"/>
        <w:rPr>
          <w:rFonts w:ascii="Times New Roman" w:hAnsi="Times New Roman"/>
          <w:color w:val="auto"/>
        </w:rPr>
      </w:pPr>
      <w:r>
        <w:rPr>
          <w:rFonts w:hint="eastAsia" w:ascii="Times New Roman" w:hAnsi="Times New Roman"/>
          <w:color w:val="auto"/>
        </w:rPr>
        <w:t>致：</w:t>
      </w:r>
      <w:bookmarkStart w:id="403" w:name="PO_3000001866_PM031_4"/>
      <w:r>
        <w:rPr>
          <w:rFonts w:hint="eastAsia" w:ascii="Times New Roman" w:hAnsi="Times New Roman"/>
          <w:color w:val="auto"/>
          <w:u w:val="single"/>
        </w:rPr>
        <w:t>广西科联招标中心有限公司</w:t>
      </w:r>
      <w:bookmarkEnd w:id="403"/>
    </w:p>
    <w:p>
      <w:pPr>
        <w:pStyle w:val="14"/>
        <w:spacing w:line="440" w:lineRule="exact"/>
        <w:ind w:firstLine="420" w:firstLineChars="200"/>
        <w:rPr>
          <w:color w:val="auto"/>
        </w:rPr>
      </w:pPr>
      <w:r>
        <w:rPr>
          <w:rFonts w:hint="eastAsia"/>
          <w:color w:val="auto"/>
        </w:rPr>
        <w:t>我方已仔细阅读了贵方组织的</w:t>
      </w:r>
      <w:r>
        <w:rPr>
          <w:rFonts w:hint="eastAsia" w:hAnsi="宋体" w:cs="宋体"/>
          <w:i/>
          <w:iCs/>
          <w:color w:val="auto"/>
          <w:u w:val="single"/>
        </w:rPr>
        <w:t>（项目名称）</w:t>
      </w:r>
      <w:r>
        <w:rPr>
          <w:rFonts w:hint="eastAsia"/>
          <w:color w:val="auto"/>
        </w:rPr>
        <w:t xml:space="preserve">项目（项目编号：）的招标文件的全部内容，授权(全权代表姓名) (职务、职称)为全权代表，现正式递交下述文件参加贵方组织的本次政府采购活动： </w:t>
      </w:r>
    </w:p>
    <w:p>
      <w:pPr>
        <w:pStyle w:val="14"/>
        <w:spacing w:line="440" w:lineRule="exact"/>
        <w:ind w:firstLine="420" w:firstLineChars="200"/>
        <w:rPr>
          <w:color w:val="auto"/>
        </w:rPr>
      </w:pPr>
      <w:r>
        <w:rPr>
          <w:rFonts w:hint="eastAsia"/>
          <w:color w:val="auto"/>
        </w:rPr>
        <w:t>一、报价文件电子版（包含按投标人须知前附表要求提交的全部文件）；</w:t>
      </w:r>
    </w:p>
    <w:p>
      <w:pPr>
        <w:pStyle w:val="14"/>
        <w:spacing w:line="440" w:lineRule="exact"/>
        <w:ind w:firstLine="482"/>
        <w:rPr>
          <w:color w:val="auto"/>
        </w:rPr>
      </w:pPr>
      <w:r>
        <w:rPr>
          <w:rFonts w:hint="eastAsia"/>
          <w:color w:val="auto"/>
        </w:rPr>
        <w:t>二、资格文件电子版（包含按投标人须知前附表要求提交的全部文件）；</w:t>
      </w:r>
    </w:p>
    <w:p>
      <w:pPr>
        <w:pStyle w:val="14"/>
        <w:spacing w:line="440" w:lineRule="exact"/>
        <w:ind w:firstLine="482"/>
        <w:rPr>
          <w:color w:val="auto"/>
        </w:rPr>
      </w:pPr>
      <w:r>
        <w:rPr>
          <w:rFonts w:hint="eastAsia"/>
          <w:color w:val="auto"/>
        </w:rPr>
        <w:t>三、</w:t>
      </w:r>
      <w:r>
        <w:rPr>
          <w:rFonts w:hint="eastAsia" w:hAnsi="宋体"/>
          <w:color w:val="auto"/>
        </w:rPr>
        <w:t>技术</w:t>
      </w:r>
      <w:r>
        <w:rPr>
          <w:rFonts w:hint="eastAsia"/>
          <w:color w:val="auto"/>
        </w:rPr>
        <w:t>文件电子版（包含按投标人须知前附表要求提交的全部文件）；</w:t>
      </w:r>
    </w:p>
    <w:p>
      <w:pPr>
        <w:pStyle w:val="14"/>
        <w:spacing w:line="440" w:lineRule="exact"/>
        <w:ind w:firstLine="482"/>
        <w:rPr>
          <w:color w:val="auto"/>
        </w:rPr>
      </w:pPr>
      <w:r>
        <w:rPr>
          <w:rFonts w:hint="eastAsia" w:hAnsi="宋体"/>
          <w:color w:val="auto"/>
        </w:rPr>
        <w:t>四、</w:t>
      </w:r>
      <w:r>
        <w:rPr>
          <w:rFonts w:hint="eastAsia"/>
          <w:color w:val="auto"/>
        </w:rPr>
        <w:t>商务</w:t>
      </w:r>
      <w:r>
        <w:rPr>
          <w:rFonts w:hint="eastAsia" w:hAnsi="宋体"/>
          <w:color w:val="auto"/>
        </w:rPr>
        <w:t>文件</w:t>
      </w:r>
      <w:r>
        <w:rPr>
          <w:rFonts w:hint="eastAsia"/>
          <w:color w:val="auto"/>
        </w:rPr>
        <w:t>电子版（包含按投标人须知前附表要求提交的全部文件）；</w:t>
      </w:r>
    </w:p>
    <w:p>
      <w:pPr>
        <w:pStyle w:val="14"/>
        <w:spacing w:line="440" w:lineRule="exact"/>
        <w:ind w:firstLine="482"/>
        <w:rPr>
          <w:rFonts w:ascii="Times New Roman" w:hAnsi="Times New Roman"/>
          <w:color w:val="auto"/>
        </w:rPr>
      </w:pPr>
      <w:r>
        <w:rPr>
          <w:rFonts w:hint="eastAsia"/>
          <w:color w:val="auto"/>
        </w:rPr>
        <w:t>据此函，签字人兹宣布：</w:t>
      </w:r>
    </w:p>
    <w:p>
      <w:pPr>
        <w:pStyle w:val="14"/>
        <w:spacing w:line="440" w:lineRule="exact"/>
        <w:ind w:firstLine="420" w:firstLineChars="200"/>
        <w:rPr>
          <w:rFonts w:ascii="Times New Roman" w:hAnsi="Times New Roman"/>
          <w:color w:val="auto"/>
        </w:rPr>
      </w:pPr>
      <w:r>
        <w:rPr>
          <w:rFonts w:hint="eastAsia"/>
          <w:color w:val="auto"/>
        </w:rPr>
        <w:t>1、我方愿意以投标时提供</w:t>
      </w:r>
      <w:r>
        <w:rPr>
          <w:rFonts w:hint="eastAsia" w:hAnsi="宋体" w:cs="宋体"/>
          <w:color w:val="auto"/>
        </w:rPr>
        <w:t>的开标一览表中的投标单价</w:t>
      </w:r>
      <w:r>
        <w:rPr>
          <w:rFonts w:hint="eastAsia" w:hAnsi="宋体" w:cs="宋体"/>
          <w:color w:val="auto"/>
          <w:szCs w:val="22"/>
        </w:rPr>
        <w:t>报价，在承诺的服务期限内</w:t>
      </w:r>
      <w:r>
        <w:rPr>
          <w:rFonts w:hint="eastAsia"/>
          <w:color w:val="auto"/>
        </w:rPr>
        <w:t>提供本项目</w:t>
      </w:r>
      <w:r>
        <w:rPr>
          <w:rFonts w:hint="eastAsia" w:hAnsi="Times New Roman"/>
          <w:color w:val="auto"/>
        </w:rPr>
        <w:t>招标文件“第二章  采购需求”的“服务要求”中</w:t>
      </w:r>
      <w:r>
        <w:rPr>
          <w:rFonts w:hint="eastAsia"/>
          <w:color w:val="auto"/>
        </w:rPr>
        <w:t>的相应的采购内容</w:t>
      </w:r>
      <w:r>
        <w:rPr>
          <w:rFonts w:hint="eastAsia" w:hAnsi="宋体" w:cs="宋体"/>
          <w:color w:val="auto"/>
        </w:rPr>
        <w:t>，具体详见开标一览表</w:t>
      </w:r>
      <w:r>
        <w:rPr>
          <w:rFonts w:hint="eastAsia"/>
          <w:color w:val="auto"/>
        </w:rPr>
        <w:t>。</w:t>
      </w:r>
    </w:p>
    <w:p>
      <w:pPr>
        <w:pStyle w:val="14"/>
        <w:spacing w:line="360" w:lineRule="exact"/>
        <w:ind w:firstLine="420" w:firstLineChars="200"/>
        <w:rPr>
          <w:color w:val="auto"/>
          <w:u w:val="single"/>
        </w:rPr>
      </w:pPr>
      <w:r>
        <w:rPr>
          <w:rFonts w:hint="eastAsia"/>
          <w:color w:val="auto"/>
        </w:rPr>
        <w:t>2、我方同意自本项目招标文件“第三章 投标人须知”第一节 投标人须知前附表 第21.1项规定的投标截止时间（开标时间）起遵循</w:t>
      </w:r>
      <w:r>
        <w:rPr>
          <w:rFonts w:hint="eastAsia" w:hAnsi="宋体"/>
          <w:color w:val="auto"/>
        </w:rPr>
        <w:t>本投标函</w:t>
      </w:r>
      <w:r>
        <w:rPr>
          <w:rFonts w:hint="eastAsia"/>
          <w:color w:val="auto"/>
        </w:rPr>
        <w:t>，并承诺在“投标人须知前附表”第17.2项规定的投标有效期内不修改、撤销投标文件。</w:t>
      </w:r>
    </w:p>
    <w:p>
      <w:pPr>
        <w:pStyle w:val="14"/>
        <w:spacing w:line="360" w:lineRule="exact"/>
        <w:ind w:firstLine="420" w:firstLineChars="200"/>
        <w:rPr>
          <w:color w:val="auto"/>
          <w:u w:val="single"/>
        </w:rPr>
      </w:pPr>
      <w:r>
        <w:rPr>
          <w:rFonts w:hint="eastAsia"/>
          <w:color w:val="auto"/>
        </w:rPr>
        <w:t>3、我方所递交的投标文件及有关资料都是内容完整、真实和准确的。</w:t>
      </w:r>
    </w:p>
    <w:p>
      <w:pPr>
        <w:pStyle w:val="14"/>
        <w:spacing w:line="440" w:lineRule="exact"/>
        <w:ind w:firstLine="420" w:firstLineChars="200"/>
        <w:rPr>
          <w:color w:val="auto"/>
        </w:rPr>
      </w:pPr>
      <w:r>
        <w:rPr>
          <w:rFonts w:hint="eastAsia"/>
          <w:color w:val="auto"/>
        </w:rPr>
        <w:t>4、</w:t>
      </w:r>
      <w:r>
        <w:rPr>
          <w:rFonts w:hint="eastAsia"/>
          <w:color w:val="auto"/>
          <w:szCs w:val="21"/>
        </w:rPr>
        <w:t>如本项目采购内容涉及须符合国家强制规定的，我方承诺我方本次投标（包括资格条件和所投产品）均符合国家有关强制规定。</w:t>
      </w:r>
    </w:p>
    <w:p>
      <w:pPr>
        <w:pStyle w:val="14"/>
        <w:spacing w:line="440" w:lineRule="exact"/>
        <w:ind w:firstLine="420" w:firstLineChars="200"/>
        <w:rPr>
          <w:color w:val="auto"/>
        </w:rPr>
      </w:pPr>
      <w:r>
        <w:rPr>
          <w:rFonts w:hint="eastAsia"/>
          <w:color w:val="auto"/>
        </w:rPr>
        <w:t>5、如我方中标，我方承诺在收到中标通知书后，在中标通知书规定的期限内，</w:t>
      </w:r>
      <w:r>
        <w:rPr>
          <w:rFonts w:hint="eastAsia" w:hAnsi="宋体"/>
          <w:color w:val="auto"/>
        </w:rPr>
        <w:t>根据招标文件、我方的投标文件及有关澄清承诺书的要求按第五章“拟签订的合同文本”与采购人订立书面合同，并按照合同约定</w:t>
      </w:r>
      <w:r>
        <w:rPr>
          <w:rFonts w:hint="eastAsia"/>
          <w:color w:val="auto"/>
        </w:rPr>
        <w:t>承担完成合同的责任和义务。</w:t>
      </w:r>
    </w:p>
    <w:p>
      <w:pPr>
        <w:pStyle w:val="14"/>
        <w:spacing w:line="440" w:lineRule="exact"/>
        <w:ind w:firstLine="420" w:firstLineChars="200"/>
        <w:rPr>
          <w:color w:val="auto"/>
        </w:rPr>
      </w:pPr>
      <w:r>
        <w:rPr>
          <w:rFonts w:hint="eastAsia"/>
          <w:color w:val="auto"/>
        </w:rPr>
        <w:t>6、我方已详细审核招标文件，我方知道必须放弃提出含糊不清或误解问题的权利。</w:t>
      </w:r>
    </w:p>
    <w:p>
      <w:pPr>
        <w:pStyle w:val="14"/>
        <w:spacing w:line="440" w:lineRule="exact"/>
        <w:ind w:firstLine="420" w:firstLineChars="200"/>
        <w:rPr>
          <w:color w:val="auto"/>
        </w:rPr>
      </w:pPr>
      <w:r>
        <w:rPr>
          <w:rFonts w:hint="eastAsia"/>
          <w:color w:val="auto"/>
        </w:rPr>
        <w:t>7、我方同意应贵方要求提供与本投标有关的任何数据或资料。若贵方需要，我方愿意提供我方作出的一切承诺的证明材料。</w:t>
      </w:r>
    </w:p>
    <w:p>
      <w:pPr>
        <w:pStyle w:val="14"/>
        <w:spacing w:line="440" w:lineRule="exact"/>
        <w:ind w:firstLine="420" w:firstLineChars="200"/>
        <w:rPr>
          <w:color w:val="auto"/>
        </w:rPr>
      </w:pPr>
      <w:r>
        <w:rPr>
          <w:rFonts w:hint="eastAsia"/>
          <w:color w:val="auto"/>
        </w:rPr>
        <w:t>8、我方完全理解贵方不一定接受投标报价最低的投标人为中标人的行为。</w:t>
      </w:r>
    </w:p>
    <w:p>
      <w:pPr>
        <w:pStyle w:val="14"/>
        <w:spacing w:line="440" w:lineRule="exact"/>
        <w:ind w:firstLine="420" w:firstLineChars="200"/>
        <w:rPr>
          <w:color w:val="auto"/>
        </w:rPr>
      </w:pPr>
      <w:r>
        <w:rPr>
          <w:rFonts w:hint="eastAsia"/>
          <w:color w:val="auto"/>
        </w:rPr>
        <w:t>9、我方将严格遵守《中华人民共和国政府采购法》第七十七条的规定，即供应商有下列情形之一的，处以采购金额千分之五以上千分之十</w:t>
      </w:r>
      <w:r>
        <w:rPr>
          <w:rFonts w:hint="eastAsia" w:hAnsi="宋体"/>
          <w:color w:val="auto"/>
        </w:rPr>
        <w:t>以下的罚款，列入不良行为记录名单，在一至三年内禁止参加政府采购活动，有违法所得的，并处没收违法所得，情节严重的，由工商行政管理机关吊销营业执照；构成犯罪的，依法追究刑事责任：</w:t>
      </w:r>
    </w:p>
    <w:p>
      <w:pPr>
        <w:pStyle w:val="14"/>
        <w:numPr>
          <w:ilvl w:val="0"/>
          <w:numId w:val="5"/>
        </w:numPr>
        <w:spacing w:line="440" w:lineRule="exact"/>
        <w:rPr>
          <w:rFonts w:hAnsi="宋体"/>
          <w:color w:val="auto"/>
        </w:rPr>
      </w:pPr>
      <w:r>
        <w:rPr>
          <w:rFonts w:hint="eastAsia" w:hAnsi="宋体"/>
          <w:color w:val="auto"/>
        </w:rPr>
        <w:t>提供虚假材料谋取中标、成交的；</w:t>
      </w:r>
    </w:p>
    <w:p>
      <w:pPr>
        <w:pStyle w:val="14"/>
        <w:numPr>
          <w:ilvl w:val="0"/>
          <w:numId w:val="5"/>
        </w:numPr>
        <w:spacing w:line="440" w:lineRule="exact"/>
        <w:rPr>
          <w:rFonts w:hAnsi="宋体"/>
          <w:color w:val="auto"/>
        </w:rPr>
      </w:pPr>
      <w:r>
        <w:rPr>
          <w:rFonts w:hint="eastAsia" w:hAnsi="宋体"/>
          <w:color w:val="auto"/>
        </w:rPr>
        <w:t>采取不正当手段诋毁、排挤其他供应商的；</w:t>
      </w:r>
    </w:p>
    <w:p>
      <w:pPr>
        <w:pStyle w:val="14"/>
        <w:numPr>
          <w:ilvl w:val="0"/>
          <w:numId w:val="5"/>
        </w:numPr>
        <w:spacing w:line="440" w:lineRule="exact"/>
        <w:rPr>
          <w:color w:val="auto"/>
        </w:rPr>
      </w:pPr>
      <w:r>
        <w:rPr>
          <w:rFonts w:hint="eastAsia" w:hAnsi="宋体"/>
          <w:color w:val="auto"/>
        </w:rPr>
        <w:t>与采购人、其他供应商或者采购代理机构恶意串通的；</w:t>
      </w:r>
    </w:p>
    <w:p>
      <w:pPr>
        <w:pStyle w:val="14"/>
        <w:numPr>
          <w:ilvl w:val="0"/>
          <w:numId w:val="5"/>
        </w:numPr>
        <w:spacing w:line="440" w:lineRule="exact"/>
        <w:rPr>
          <w:color w:val="auto"/>
        </w:rPr>
      </w:pPr>
      <w:r>
        <w:rPr>
          <w:rFonts w:hint="eastAsia" w:hAnsi="宋体"/>
          <w:color w:val="auto"/>
        </w:rPr>
        <w:t>向采购人、采购代理机构行贿或者提供其他不正当利益的；</w:t>
      </w:r>
    </w:p>
    <w:p>
      <w:pPr>
        <w:pStyle w:val="14"/>
        <w:numPr>
          <w:ilvl w:val="0"/>
          <w:numId w:val="5"/>
        </w:numPr>
        <w:spacing w:line="440" w:lineRule="exact"/>
        <w:rPr>
          <w:color w:val="auto"/>
        </w:rPr>
      </w:pPr>
      <w:r>
        <w:rPr>
          <w:rFonts w:hint="eastAsia" w:hAnsi="宋体"/>
          <w:color w:val="auto"/>
        </w:rPr>
        <w:t>在招标采购过程中与采购人进行协商谈判的；</w:t>
      </w:r>
    </w:p>
    <w:p>
      <w:pPr>
        <w:pStyle w:val="14"/>
        <w:numPr>
          <w:ilvl w:val="0"/>
          <w:numId w:val="5"/>
        </w:numPr>
        <w:spacing w:line="440" w:lineRule="exact"/>
        <w:rPr>
          <w:color w:val="auto"/>
        </w:rPr>
      </w:pPr>
      <w:r>
        <w:rPr>
          <w:rFonts w:hint="eastAsia" w:hAnsi="宋体"/>
          <w:color w:val="auto"/>
        </w:rPr>
        <w:t>拒绝有关部门监督检查或提供虚假情况的。</w:t>
      </w:r>
    </w:p>
    <w:p>
      <w:pPr>
        <w:pStyle w:val="14"/>
        <w:spacing w:line="440" w:lineRule="exact"/>
        <w:ind w:left="420"/>
        <w:rPr>
          <w:color w:val="auto"/>
        </w:rPr>
      </w:pPr>
      <w:r>
        <w:rPr>
          <w:rFonts w:hint="eastAsia"/>
          <w:color w:val="auto"/>
        </w:rPr>
        <w:t>10、我方及由本人担任法定代表人的其他机构最近三年内被处罚的违法行为有：</w:t>
      </w:r>
    </w:p>
    <w:p>
      <w:pPr>
        <w:pStyle w:val="14"/>
        <w:spacing w:line="440" w:lineRule="exact"/>
        <w:ind w:left="420"/>
        <w:rPr>
          <w:color w:val="auto"/>
        </w:rPr>
      </w:pPr>
    </w:p>
    <w:p>
      <w:pPr>
        <w:pStyle w:val="14"/>
        <w:spacing w:line="360" w:lineRule="auto"/>
        <w:ind w:firstLine="420"/>
        <w:rPr>
          <w:color w:val="auto"/>
        </w:rPr>
      </w:pPr>
      <w:r>
        <w:rPr>
          <w:rFonts w:hint="eastAsia"/>
          <w:color w:val="auto"/>
        </w:rPr>
        <w:t>11、以上事项如有虚假或隐瞒，我方愿意承担一切后果，并不再寻求任何旨在减轻或免除法律责任的辩解。</w:t>
      </w:r>
    </w:p>
    <w:p>
      <w:pPr>
        <w:pStyle w:val="14"/>
        <w:spacing w:line="360" w:lineRule="auto"/>
        <w:ind w:firstLine="420"/>
        <w:rPr>
          <w:color w:val="auto"/>
        </w:rPr>
      </w:pPr>
      <w:r>
        <w:rPr>
          <w:rFonts w:hint="eastAsia"/>
          <w:color w:val="auto"/>
        </w:rPr>
        <w:t>12、与本投标有关的一切正式往来信函请寄：</w:t>
      </w:r>
    </w:p>
    <w:p>
      <w:pPr>
        <w:pStyle w:val="14"/>
        <w:spacing w:line="360" w:lineRule="auto"/>
        <w:ind w:firstLine="420"/>
        <w:rPr>
          <w:color w:val="auto"/>
        </w:rPr>
      </w:pPr>
      <w:r>
        <w:rPr>
          <w:rFonts w:hint="eastAsia"/>
          <w:color w:val="auto"/>
        </w:rPr>
        <w:t>地址：</w:t>
      </w:r>
    </w:p>
    <w:p>
      <w:pPr>
        <w:pStyle w:val="14"/>
        <w:spacing w:line="360" w:lineRule="auto"/>
        <w:ind w:firstLine="420"/>
        <w:rPr>
          <w:color w:val="auto"/>
          <w:u w:val="single"/>
        </w:rPr>
      </w:pPr>
      <w:r>
        <w:rPr>
          <w:rFonts w:hint="eastAsia"/>
          <w:color w:val="auto"/>
        </w:rPr>
        <w:t>电话：</w:t>
      </w:r>
      <w:r>
        <w:rPr>
          <w:rFonts w:hint="eastAsia"/>
          <w:color w:val="auto"/>
          <w:u w:val="single"/>
        </w:rPr>
        <w:t xml:space="preserve">                                      　　　　　　　　　</w:t>
      </w:r>
    </w:p>
    <w:p>
      <w:pPr>
        <w:pStyle w:val="14"/>
        <w:spacing w:line="360" w:lineRule="auto"/>
        <w:ind w:firstLine="420"/>
        <w:rPr>
          <w:color w:val="auto"/>
          <w:u w:val="single"/>
        </w:rPr>
      </w:pPr>
      <w:r>
        <w:rPr>
          <w:rFonts w:hint="eastAsia"/>
          <w:color w:val="auto"/>
        </w:rPr>
        <w:t>传真：</w:t>
      </w:r>
      <w:r>
        <w:rPr>
          <w:rFonts w:hint="eastAsia"/>
          <w:color w:val="auto"/>
          <w:u w:val="single"/>
        </w:rPr>
        <w:t>　　　　　　　　　　　　　　　　　　　　　　　　　　　　</w:t>
      </w:r>
    </w:p>
    <w:p>
      <w:pPr>
        <w:pStyle w:val="9"/>
        <w:spacing w:line="360" w:lineRule="auto"/>
        <w:ind w:left="0" w:firstLine="420" w:firstLineChars="200"/>
        <w:rPr>
          <w:color w:val="auto"/>
        </w:rPr>
      </w:pPr>
      <w:r>
        <w:rPr>
          <w:rFonts w:hint="eastAsia"/>
          <w:color w:val="auto"/>
        </w:rPr>
        <w:t>电子邮箱：</w:t>
      </w:r>
      <w:r>
        <w:rPr>
          <w:rFonts w:hint="eastAsia"/>
          <w:color w:val="auto"/>
          <w:u w:val="single"/>
        </w:rPr>
        <w:t>　　　　　　　　　　　　　　　　　　　　　　　　　　</w:t>
      </w:r>
    </w:p>
    <w:p>
      <w:pPr>
        <w:pStyle w:val="14"/>
        <w:spacing w:line="360" w:lineRule="auto"/>
        <w:ind w:firstLine="420"/>
        <w:rPr>
          <w:color w:val="auto"/>
          <w:u w:val="single"/>
        </w:rPr>
      </w:pPr>
      <w:r>
        <w:rPr>
          <w:rFonts w:hint="eastAsia"/>
          <w:color w:val="auto"/>
        </w:rPr>
        <w:t>邮政编码：</w:t>
      </w:r>
    </w:p>
    <w:p>
      <w:pPr>
        <w:pStyle w:val="14"/>
        <w:spacing w:line="360" w:lineRule="auto"/>
        <w:ind w:firstLine="420"/>
        <w:rPr>
          <w:color w:val="auto"/>
          <w:u w:val="single"/>
        </w:rPr>
      </w:pPr>
      <w:r>
        <w:rPr>
          <w:rFonts w:hint="eastAsia"/>
          <w:color w:val="auto"/>
        </w:rPr>
        <w:t>开户名称：</w:t>
      </w:r>
    </w:p>
    <w:p>
      <w:pPr>
        <w:pStyle w:val="14"/>
        <w:spacing w:line="360" w:lineRule="auto"/>
        <w:ind w:firstLine="420"/>
        <w:rPr>
          <w:color w:val="auto"/>
          <w:u w:val="single"/>
        </w:rPr>
      </w:pPr>
      <w:r>
        <w:rPr>
          <w:rFonts w:hint="eastAsia"/>
          <w:color w:val="auto"/>
        </w:rPr>
        <w:t>开户银行：</w:t>
      </w:r>
    </w:p>
    <w:p>
      <w:pPr>
        <w:pStyle w:val="14"/>
        <w:spacing w:line="360" w:lineRule="auto"/>
        <w:ind w:firstLine="420"/>
        <w:rPr>
          <w:color w:val="auto"/>
          <w:u w:val="single"/>
        </w:rPr>
      </w:pPr>
      <w:r>
        <w:rPr>
          <w:rFonts w:hint="eastAsia"/>
          <w:color w:val="auto"/>
        </w:rPr>
        <w:t>银行账号：</w:t>
      </w:r>
    </w:p>
    <w:p>
      <w:pPr>
        <w:snapToGrid w:val="0"/>
        <w:spacing w:line="360" w:lineRule="auto"/>
        <w:ind w:firstLine="5040" w:firstLineChars="2100"/>
        <w:rPr>
          <w:rFonts w:ascii="仿宋_GB2312" w:hAnsi="仿宋" w:eastAsia="仿宋_GB2312" w:cs="仿宋_GB2312"/>
          <w:color w:val="auto"/>
          <w:kern w:val="0"/>
          <w:sz w:val="24"/>
          <w:lang w:val="zh-CN"/>
        </w:rPr>
      </w:pPr>
    </w:p>
    <w:p>
      <w:pPr>
        <w:snapToGrid w:val="0"/>
        <w:spacing w:line="360" w:lineRule="auto"/>
        <w:ind w:firstLine="5040" w:firstLineChars="2100"/>
        <w:rPr>
          <w:rFonts w:ascii="仿宋_GB2312" w:hAnsi="仿宋" w:eastAsia="仿宋_GB2312" w:cs="仿宋_GB2312"/>
          <w:color w:val="auto"/>
          <w:kern w:val="0"/>
          <w:sz w:val="24"/>
          <w:lang w:val="zh-CN"/>
        </w:rPr>
      </w:pPr>
    </w:p>
    <w:p>
      <w:pPr>
        <w:snapToGrid w:val="0"/>
        <w:spacing w:line="360" w:lineRule="auto"/>
        <w:ind w:firstLine="5280" w:firstLineChars="2200"/>
        <w:rPr>
          <w:rFonts w:ascii="宋体" w:hAnsi="宋体" w:cs="宋体"/>
          <w:color w:val="auto"/>
          <w:kern w:val="0"/>
          <w:sz w:val="24"/>
        </w:rPr>
      </w:pPr>
      <w:r>
        <w:rPr>
          <w:rFonts w:hint="eastAsia" w:ascii="宋体" w:hAnsi="宋体" w:cs="宋体"/>
          <w:color w:val="auto"/>
          <w:kern w:val="0"/>
          <w:sz w:val="24"/>
          <w:lang w:val="zh-CN"/>
        </w:rPr>
        <w:t>投标人名称(盖公章)：</w:t>
      </w:r>
    </w:p>
    <w:p>
      <w:pPr>
        <w:snapToGrid w:val="0"/>
        <w:spacing w:line="360" w:lineRule="auto"/>
        <w:ind w:firstLine="5280" w:firstLineChars="2200"/>
        <w:rPr>
          <w:rFonts w:ascii="宋体" w:hAnsi="宋体" w:cs="宋体"/>
          <w:color w:val="auto"/>
          <w:kern w:val="0"/>
          <w:sz w:val="24"/>
          <w:lang w:val="zh-CN"/>
        </w:rPr>
      </w:pPr>
      <w:r>
        <w:rPr>
          <w:rFonts w:hint="eastAsia" w:ascii="宋体" w:hAnsi="宋体" w:cs="宋体"/>
          <w:color w:val="auto"/>
          <w:kern w:val="0"/>
          <w:sz w:val="24"/>
          <w:lang w:val="zh-CN"/>
        </w:rPr>
        <w:t>日期</w:t>
      </w:r>
      <w:r>
        <w:rPr>
          <w:rFonts w:hint="eastAsia" w:ascii="宋体" w:hAnsi="宋体" w:cs="宋体"/>
          <w:color w:val="auto"/>
          <w:kern w:val="0"/>
          <w:sz w:val="24"/>
        </w:rPr>
        <w:t xml:space="preserve">：  年  </w:t>
      </w:r>
      <w:r>
        <w:rPr>
          <w:rFonts w:hint="eastAsia" w:ascii="宋体" w:hAnsi="宋体" w:cs="宋体"/>
          <w:color w:val="auto"/>
          <w:kern w:val="0"/>
          <w:sz w:val="24"/>
          <w:lang w:val="zh-CN"/>
        </w:rPr>
        <w:t>月日</w:t>
      </w:r>
    </w:p>
    <w:p>
      <w:pPr>
        <w:widowControl/>
        <w:spacing w:line="360" w:lineRule="auto"/>
        <w:jc w:val="left"/>
        <w:rPr>
          <w:rFonts w:ascii="仿宋_GB2312" w:hAnsi="仿宋" w:eastAsia="仿宋_GB2312" w:cs="仿宋_GB2312"/>
          <w:color w:val="auto"/>
          <w:kern w:val="0"/>
          <w:sz w:val="24"/>
          <w:lang w:val="zh-CN"/>
        </w:rPr>
        <w:sectPr>
          <w:pgSz w:w="11905" w:h="16838"/>
          <w:pgMar w:top="1134" w:right="1134" w:bottom="1134" w:left="1134" w:header="850" w:footer="850" w:gutter="0"/>
          <w:cols w:space="0" w:num="1"/>
          <w:titlePg/>
          <w:rtlGutter w:val="0"/>
          <w:docGrid w:linePitch="331" w:charSpace="0"/>
        </w:sectPr>
      </w:pPr>
    </w:p>
    <w:p>
      <w:pPr>
        <w:pStyle w:val="14"/>
        <w:spacing w:line="360" w:lineRule="auto"/>
        <w:jc w:val="left"/>
        <w:rPr>
          <w:rFonts w:hAnsi="宋体" w:cs="宋体"/>
          <w:b/>
          <w:color w:val="auto"/>
          <w:sz w:val="28"/>
          <w:szCs w:val="28"/>
        </w:rPr>
      </w:pPr>
      <w:r>
        <w:rPr>
          <w:rFonts w:hint="eastAsia" w:hAnsi="宋体" w:cs="宋体"/>
          <w:b/>
          <w:color w:val="auto"/>
          <w:sz w:val="28"/>
          <w:szCs w:val="28"/>
        </w:rPr>
        <w:t>4. 开标一览表的格式：</w:t>
      </w:r>
    </w:p>
    <w:p>
      <w:pPr>
        <w:pStyle w:val="14"/>
        <w:spacing w:line="360" w:lineRule="auto"/>
        <w:jc w:val="center"/>
        <w:rPr>
          <w:b/>
          <w:color w:val="auto"/>
          <w:sz w:val="30"/>
          <w:szCs w:val="30"/>
        </w:rPr>
      </w:pPr>
      <w:r>
        <w:rPr>
          <w:rFonts w:hint="eastAsia"/>
          <w:b/>
          <w:color w:val="auto"/>
          <w:sz w:val="30"/>
          <w:szCs w:val="30"/>
        </w:rPr>
        <w:t>开标一览表</w:t>
      </w:r>
      <w:r>
        <w:rPr>
          <w:rFonts w:hint="eastAsia" w:ascii="仿宋_GB2312" w:hAnsi="仿宋" w:eastAsia="仿宋_GB2312" w:cs="仿宋_GB2312"/>
          <w:b/>
          <w:color w:val="auto"/>
          <w:kern w:val="0"/>
          <w:sz w:val="24"/>
          <w:lang w:val="zh-CN"/>
        </w:rPr>
        <w:t>(单位均为人民币元)</w:t>
      </w:r>
    </w:p>
    <w:p>
      <w:pPr>
        <w:snapToGrid w:val="0"/>
        <w:spacing w:before="50" w:after="50" w:line="360" w:lineRule="auto"/>
        <w:rPr>
          <w:rFonts w:ascii="宋体" w:hAnsi="宋体"/>
          <w:color w:val="auto"/>
          <w:sz w:val="24"/>
        </w:rPr>
      </w:pPr>
      <w:r>
        <w:rPr>
          <w:rFonts w:hint="eastAsia" w:ascii="宋体" w:hAnsi="宋体"/>
          <w:color w:val="auto"/>
          <w:sz w:val="24"/>
        </w:rPr>
        <w:t xml:space="preserve">项目名称：                       </w:t>
      </w:r>
    </w:p>
    <w:p>
      <w:pPr>
        <w:snapToGrid w:val="0"/>
        <w:spacing w:before="50" w:after="50" w:line="360" w:lineRule="auto"/>
        <w:rPr>
          <w:rFonts w:ascii="宋体" w:hAnsi="宋体"/>
          <w:color w:val="auto"/>
          <w:sz w:val="24"/>
        </w:rPr>
      </w:pPr>
      <w:r>
        <w:rPr>
          <w:rFonts w:hint="eastAsia" w:ascii="宋体" w:hAnsi="宋体"/>
          <w:color w:val="auto"/>
          <w:sz w:val="24"/>
        </w:rPr>
        <w:t xml:space="preserve">项目编号：   </w:t>
      </w:r>
    </w:p>
    <w:p>
      <w:pPr>
        <w:snapToGrid w:val="0"/>
        <w:spacing w:before="50" w:after="50" w:line="360" w:lineRule="auto"/>
        <w:rPr>
          <w:rFonts w:hint="eastAsia" w:ascii="宋体" w:hAnsi="宋体" w:cs="宋体"/>
          <w:bCs/>
          <w:color w:val="auto"/>
          <w:sz w:val="24"/>
        </w:rPr>
      </w:pPr>
      <w:r>
        <w:rPr>
          <w:rFonts w:hint="eastAsia" w:ascii="宋体" w:hAnsi="宋体" w:cs="宋体"/>
          <w:bCs/>
          <w:color w:val="auto"/>
          <w:sz w:val="24"/>
        </w:rPr>
        <w:t>所投分标（如有则填写，无分标时填写“无”或者留空）：</w:t>
      </w:r>
    </w:p>
    <w:tbl>
      <w:tblPr>
        <w:tblStyle w:val="24"/>
        <w:tblW w:w="9813"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1092"/>
        <w:gridCol w:w="2232"/>
        <w:gridCol w:w="1080"/>
        <w:gridCol w:w="1260"/>
        <w:gridCol w:w="2473"/>
        <w:gridCol w:w="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3" w:hRule="atLeast"/>
        </w:trPr>
        <w:tc>
          <w:tcPr>
            <w:tcW w:w="719"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Times New Roman"/>
                <w:color w:val="auto"/>
                <w:szCs w:val="22"/>
                <w:highlight w:val="none"/>
              </w:rPr>
            </w:pPr>
            <w:r>
              <w:rPr>
                <w:rFonts w:hint="eastAsia" w:ascii="宋体" w:hAnsi="宋体" w:eastAsia="宋体" w:cs="Times New Roman"/>
                <w:color w:val="auto"/>
                <w:szCs w:val="22"/>
                <w:highlight w:val="none"/>
              </w:rPr>
              <w:t>序号</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Times New Roman"/>
                <w:color w:val="auto"/>
                <w:szCs w:val="22"/>
                <w:highlight w:val="none"/>
              </w:rPr>
            </w:pPr>
            <w:r>
              <w:rPr>
                <w:rFonts w:hint="eastAsia" w:ascii="宋体" w:hAnsi="宋体" w:cs="Times New Roman"/>
                <w:color w:val="auto"/>
                <w:szCs w:val="22"/>
                <w:highlight w:val="none"/>
                <w:lang w:eastAsia="zh-CN"/>
              </w:rPr>
              <w:t>标的</w:t>
            </w:r>
            <w:r>
              <w:rPr>
                <w:rFonts w:hint="eastAsia" w:ascii="宋体" w:hAnsi="宋体" w:eastAsia="宋体" w:cs="Times New Roman"/>
                <w:color w:val="auto"/>
                <w:szCs w:val="22"/>
                <w:highlight w:val="none"/>
              </w:rPr>
              <w:t>名称</w:t>
            </w:r>
          </w:p>
        </w:tc>
        <w:tc>
          <w:tcPr>
            <w:tcW w:w="22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color w:val="auto"/>
                <w:szCs w:val="22"/>
                <w:highlight w:val="none"/>
              </w:rPr>
            </w:pPr>
            <w:r>
              <w:rPr>
                <w:rFonts w:hint="eastAsia" w:ascii="宋体" w:hAnsi="宋体" w:eastAsia="宋体" w:cs="Times New Roman"/>
                <w:color w:val="auto"/>
                <w:szCs w:val="22"/>
                <w:highlight w:val="none"/>
              </w:rPr>
              <w:t>具体服务内容</w:t>
            </w:r>
            <w:r>
              <w:rPr>
                <w:rFonts w:hint="eastAsia" w:ascii="宋体" w:hAnsi="宋体" w:eastAsia="宋体" w:cs="Times New Roman"/>
                <w:color w:val="auto"/>
                <w:szCs w:val="22"/>
                <w:highlight w:val="yellow"/>
              </w:rPr>
              <w:t>（含具体服务范围、服务时间、服务标准等内容）</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color w:val="auto"/>
                <w:szCs w:val="22"/>
                <w:highlight w:val="none"/>
              </w:rPr>
            </w:pPr>
            <w:r>
              <w:rPr>
                <w:rFonts w:hint="eastAsia" w:ascii="宋体" w:hAnsi="宋体" w:eastAsia="宋体" w:cs="Times New Roman"/>
                <w:color w:val="auto"/>
                <w:szCs w:val="22"/>
                <w:highlight w:val="none"/>
              </w:rPr>
              <w:t>数量</w:t>
            </w:r>
            <w:r>
              <w:rPr>
                <w:rFonts w:hint="eastAsia" w:ascii="宋体" w:hAnsi="宋体" w:cs="Times New Roman"/>
                <w:color w:val="auto"/>
                <w:szCs w:val="22"/>
                <w:highlight w:val="none"/>
                <w:lang w:eastAsia="zh-CN"/>
              </w:rPr>
              <w:t>及单位</w:t>
            </w:r>
            <w:r>
              <w:rPr>
                <w:rFonts w:hint="eastAsia" w:ascii="宋体" w:hAnsi="宋体" w:eastAsia="宋体" w:cs="Times New Roman"/>
                <w:color w:val="auto"/>
                <w:szCs w:val="22"/>
                <w:highlight w:val="none"/>
              </w:rPr>
              <w:t>①</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color w:val="auto"/>
                <w:szCs w:val="22"/>
                <w:highlight w:val="none"/>
              </w:rPr>
            </w:pPr>
            <w:r>
              <w:rPr>
                <w:rFonts w:hint="eastAsia" w:ascii="宋体" w:hAnsi="宋体" w:eastAsia="宋体" w:cs="Times New Roman"/>
                <w:color w:val="auto"/>
                <w:szCs w:val="22"/>
                <w:highlight w:val="none"/>
              </w:rPr>
              <w:t>单价(元)②</w:t>
            </w:r>
          </w:p>
        </w:tc>
        <w:tc>
          <w:tcPr>
            <w:tcW w:w="247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color w:val="auto"/>
                <w:szCs w:val="22"/>
                <w:highlight w:val="none"/>
              </w:rPr>
            </w:pPr>
            <w:r>
              <w:rPr>
                <w:rFonts w:hint="eastAsia" w:ascii="宋体" w:hAnsi="宋体" w:eastAsia="宋体" w:cs="Times New Roman"/>
                <w:color w:val="auto"/>
                <w:szCs w:val="22"/>
                <w:highlight w:val="none"/>
              </w:rPr>
              <w:t>单项合价（元）</w:t>
            </w:r>
          </w:p>
          <w:p>
            <w:pPr>
              <w:spacing w:line="360" w:lineRule="auto"/>
              <w:jc w:val="center"/>
              <w:rPr>
                <w:rFonts w:hint="eastAsia" w:ascii="宋体" w:hAnsi="宋体" w:eastAsia="宋体" w:cs="Times New Roman"/>
                <w:color w:val="auto"/>
                <w:szCs w:val="22"/>
                <w:highlight w:val="none"/>
              </w:rPr>
            </w:pPr>
            <w:r>
              <w:rPr>
                <w:rFonts w:hint="eastAsia" w:ascii="宋体" w:hAnsi="宋体" w:eastAsia="宋体" w:cs="Times New Roman"/>
                <w:color w:val="auto"/>
                <w:szCs w:val="22"/>
                <w:highlight w:val="none"/>
              </w:rPr>
              <w:t>③＝①×②</w:t>
            </w:r>
          </w:p>
        </w:tc>
        <w:tc>
          <w:tcPr>
            <w:tcW w:w="9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color w:val="auto"/>
                <w:szCs w:val="22"/>
                <w:highlight w:val="none"/>
              </w:rPr>
            </w:pPr>
            <w:r>
              <w:rPr>
                <w:rFonts w:hint="eastAsia" w:ascii="宋体" w:hAnsi="宋体" w:eastAsia="宋体" w:cs="Times New Roman"/>
                <w:color w:val="auto"/>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3" w:hRule="atLeast"/>
        </w:trPr>
        <w:tc>
          <w:tcPr>
            <w:tcW w:w="7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color w:val="auto"/>
                <w:szCs w:val="22"/>
                <w:highlight w:val="none"/>
              </w:rPr>
            </w:pPr>
            <w:r>
              <w:rPr>
                <w:rFonts w:hint="eastAsia" w:ascii="宋体" w:hAnsi="宋体" w:eastAsia="宋体" w:cs="Times New Roman"/>
                <w:color w:val="auto"/>
                <w:szCs w:val="22"/>
                <w:highlight w:val="none"/>
              </w:rPr>
              <w:t>1</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Times New Roman"/>
                <w:color w:val="auto"/>
                <w:szCs w:val="22"/>
                <w:highlight w:val="none"/>
              </w:rPr>
            </w:pPr>
          </w:p>
        </w:tc>
        <w:tc>
          <w:tcPr>
            <w:tcW w:w="223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Times New Roman"/>
                <w:color w:val="auto"/>
                <w:szCs w:val="22"/>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Times New Roman"/>
                <w:color w:val="auto"/>
                <w:szCs w:val="22"/>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Times New Roman"/>
                <w:color w:val="auto"/>
                <w:szCs w:val="22"/>
                <w:highlight w:val="none"/>
              </w:rPr>
            </w:pPr>
          </w:p>
        </w:tc>
        <w:tc>
          <w:tcPr>
            <w:tcW w:w="247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Times New Roman"/>
                <w:color w:val="auto"/>
                <w:szCs w:val="22"/>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Times New Roman"/>
                <w:color w:val="auto"/>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atLeast"/>
        </w:trPr>
        <w:tc>
          <w:tcPr>
            <w:tcW w:w="7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color w:val="auto"/>
                <w:szCs w:val="22"/>
                <w:highlight w:val="none"/>
              </w:rPr>
            </w:pPr>
            <w:r>
              <w:rPr>
                <w:rFonts w:hint="eastAsia" w:ascii="宋体" w:hAnsi="宋体" w:eastAsia="宋体" w:cs="Times New Roman"/>
                <w:color w:val="auto"/>
                <w:szCs w:val="22"/>
                <w:highlight w:val="none"/>
              </w:rPr>
              <w:t>2</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Times New Roman"/>
                <w:color w:val="auto"/>
                <w:szCs w:val="22"/>
                <w:highlight w:val="none"/>
              </w:rPr>
            </w:pPr>
          </w:p>
        </w:tc>
        <w:tc>
          <w:tcPr>
            <w:tcW w:w="223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Times New Roman"/>
                <w:color w:val="auto"/>
                <w:szCs w:val="22"/>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Times New Roman"/>
                <w:color w:val="auto"/>
                <w:szCs w:val="22"/>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Times New Roman"/>
                <w:color w:val="auto"/>
                <w:szCs w:val="22"/>
                <w:highlight w:val="none"/>
              </w:rPr>
            </w:pPr>
          </w:p>
        </w:tc>
        <w:tc>
          <w:tcPr>
            <w:tcW w:w="247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Times New Roman"/>
                <w:color w:val="auto"/>
                <w:szCs w:val="22"/>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Times New Roman"/>
                <w:color w:val="auto"/>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1" w:hRule="atLeast"/>
        </w:trPr>
        <w:tc>
          <w:tcPr>
            <w:tcW w:w="719" w:type="dxa"/>
            <w:tcBorders>
              <w:top w:val="single" w:color="auto" w:sz="4" w:space="0"/>
              <w:left w:val="single" w:color="auto" w:sz="4" w:space="0"/>
              <w:bottom w:val="single" w:color="auto" w:sz="4" w:space="0"/>
              <w:right w:val="single" w:color="auto" w:sz="4" w:space="0"/>
            </w:tcBorders>
            <w:noWrap w:val="0"/>
            <w:vAlign w:val="center"/>
          </w:tcPr>
          <w:p>
            <w:pPr>
              <w:rPr>
                <w:rFonts w:hint="default" w:ascii="宋体" w:hAnsi="宋体" w:eastAsia="宋体" w:cs="Times New Roman"/>
                <w:color w:val="auto"/>
                <w:szCs w:val="22"/>
                <w:highlight w:val="none"/>
                <w:lang w:val="en-US" w:eastAsia="zh-CN"/>
              </w:rPr>
            </w:pPr>
            <w:r>
              <w:rPr>
                <w:rFonts w:hint="eastAsia" w:ascii="宋体" w:hAnsi="宋体" w:eastAsia="宋体" w:cs="Times New Roman"/>
                <w:color w:val="auto"/>
                <w:szCs w:val="22"/>
                <w:highlight w:val="none"/>
              </w:rPr>
              <w:t>...</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Times New Roman"/>
                <w:color w:val="auto"/>
                <w:szCs w:val="22"/>
                <w:highlight w:val="none"/>
              </w:rPr>
            </w:pPr>
          </w:p>
        </w:tc>
        <w:tc>
          <w:tcPr>
            <w:tcW w:w="223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Times New Roman"/>
                <w:color w:val="auto"/>
                <w:szCs w:val="22"/>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Times New Roman"/>
                <w:color w:val="auto"/>
                <w:szCs w:val="22"/>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Times New Roman"/>
                <w:color w:val="auto"/>
                <w:szCs w:val="22"/>
                <w:highlight w:val="none"/>
              </w:rPr>
            </w:pPr>
          </w:p>
        </w:tc>
        <w:tc>
          <w:tcPr>
            <w:tcW w:w="247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Times New Roman"/>
                <w:color w:val="auto"/>
                <w:szCs w:val="22"/>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Times New Roman"/>
                <w:color w:val="auto"/>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9813" w:type="dxa"/>
            <w:gridSpan w:val="7"/>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color w:val="auto"/>
              </w:rPr>
            </w:pPr>
            <w:r>
              <w:rPr>
                <w:rFonts w:hint="eastAsia"/>
                <w:color w:val="auto"/>
                <w:lang w:eastAsia="zh-CN"/>
              </w:rPr>
              <w:t>投标总</w:t>
            </w:r>
            <w:r>
              <w:rPr>
                <w:rFonts w:hint="eastAsia"/>
                <w:color w:val="auto"/>
              </w:rPr>
              <w:t>报价（包含税费等所有费用）：（大写）人民币                         （</w:t>
            </w:r>
            <w:r>
              <w:rPr>
                <w:rFonts w:hint="eastAsia"/>
                <w:color w:val="auto"/>
                <w:lang w:eastAsia="zh-CN"/>
              </w:rPr>
              <w:t>小写</w:t>
            </w:r>
            <w:r>
              <w:rPr>
                <w:rFonts w:hint="eastAsia"/>
                <w:color w:val="auto"/>
              </w:rPr>
              <w:t>）</w:t>
            </w:r>
            <w:r>
              <w:rPr>
                <w:rFonts w:hint="eastAsia"/>
                <w:color w:val="auto"/>
                <w:lang w:eastAsia="zh-CN"/>
              </w:rPr>
              <w:t>¥</w:t>
            </w:r>
            <w:r>
              <w:rPr>
                <w:rFonts w:hint="eastAsia"/>
                <w:color w:val="auto"/>
              </w:rPr>
              <w:t xml:space="preserve">  </w:t>
            </w:r>
            <w:r>
              <w:rPr>
                <w:rFonts w:hint="eastAsia"/>
                <w:color w:val="auto"/>
                <w:lang w:val="en-US" w:eastAsia="zh-CN"/>
              </w:rPr>
              <w:t xml:space="preserve">       </w:t>
            </w:r>
            <w:r>
              <w:rPr>
                <w:rFonts w:hint="eastAsia"/>
                <w:color w:val="auto"/>
              </w:rPr>
              <w:t xml:space="preserve">  </w:t>
            </w:r>
          </w:p>
          <w:p>
            <w:pPr>
              <w:keepNext w:val="0"/>
              <w:keepLines w:val="0"/>
              <w:pageBreakBefore w:val="0"/>
              <w:widowControl w:val="0"/>
              <w:kinsoku/>
              <w:wordWrap/>
              <w:overflowPunct/>
              <w:topLinePunct w:val="0"/>
              <w:autoSpaceDE/>
              <w:autoSpaceDN/>
              <w:bidi w:val="0"/>
              <w:adjustRightInd/>
              <w:spacing w:line="360" w:lineRule="auto"/>
              <w:jc w:val="left"/>
              <w:textAlignment w:val="auto"/>
              <w:rPr>
                <w:rFonts w:hint="eastAsia"/>
                <w:color w:val="auto"/>
                <w:lang w:eastAsia="zh-CN"/>
              </w:rPr>
            </w:pPr>
            <w:r>
              <w:rPr>
                <w:rFonts w:hint="eastAsia"/>
                <w:color w:val="auto"/>
                <w:lang w:eastAsia="zh-CN"/>
              </w:rPr>
              <w:t>服务期限：</w:t>
            </w:r>
          </w:p>
          <w:p>
            <w:pPr>
              <w:pStyle w:val="2"/>
              <w:keepNext w:val="0"/>
              <w:keepLines w:val="0"/>
              <w:pageBreakBefore w:val="0"/>
              <w:widowControl w:val="0"/>
              <w:kinsoku/>
              <w:wordWrap/>
              <w:overflowPunct/>
              <w:topLinePunct w:val="0"/>
              <w:autoSpaceDE/>
              <w:autoSpaceDN/>
              <w:bidi w:val="0"/>
              <w:adjustRightInd/>
              <w:spacing w:line="360" w:lineRule="auto"/>
              <w:textAlignment w:val="auto"/>
              <w:rPr>
                <w:rFonts w:hint="eastAsia"/>
                <w:color w:val="auto"/>
              </w:rPr>
            </w:pPr>
            <w:r>
              <w:rPr>
                <w:rFonts w:hint="eastAsia" w:ascii="Times New Roman" w:hAnsi="Times New Roman" w:eastAsia="宋体" w:cs="Times New Roman"/>
                <w:color w:val="auto"/>
                <w:kern w:val="2"/>
                <w:sz w:val="21"/>
                <w:szCs w:val="24"/>
                <w:lang w:val="en-US" w:eastAsia="zh-CN" w:bidi="ar-SA"/>
              </w:rPr>
              <w:t>优惠及其他：</w:t>
            </w:r>
          </w:p>
        </w:tc>
      </w:tr>
    </w:tbl>
    <w:p>
      <w:pPr>
        <w:pStyle w:val="11"/>
        <w:rPr>
          <w:color w:val="auto"/>
        </w:rPr>
      </w:pPr>
    </w:p>
    <w:p>
      <w:pPr>
        <w:snapToGrid w:val="0"/>
        <w:spacing w:before="50" w:after="50" w:line="360" w:lineRule="auto"/>
        <w:ind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 xml:space="preserve">注： </w:t>
      </w:r>
    </w:p>
    <w:p>
      <w:pPr>
        <w:snapToGrid w:val="0"/>
        <w:spacing w:before="50" w:after="50" w:line="360" w:lineRule="auto"/>
        <w:ind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1、 投标人需按本表格式填写，不得自行更改，也不得留空</w:t>
      </w:r>
      <w:r>
        <w:rPr>
          <w:rFonts w:hint="eastAsia" w:ascii="宋体" w:hAnsi="宋体" w:eastAsia="宋体" w:cs="宋体"/>
          <w:color w:val="auto"/>
          <w:kern w:val="0"/>
          <w:sz w:val="24"/>
          <w:szCs w:val="24"/>
          <w:lang w:val="zh-CN"/>
        </w:rPr>
        <w:t>（</w:t>
      </w:r>
      <w:r>
        <w:rPr>
          <w:rFonts w:hint="eastAsia" w:ascii="宋体" w:hAnsi="宋体" w:eastAsia="宋体" w:cs="宋体"/>
          <w:color w:val="auto"/>
          <w:sz w:val="24"/>
          <w:szCs w:val="24"/>
        </w:rPr>
        <w:t>备注</w:t>
      </w:r>
      <w:r>
        <w:rPr>
          <w:rFonts w:hint="eastAsia" w:ascii="宋体" w:hAnsi="宋体" w:eastAsia="宋体" w:cs="宋体"/>
          <w:color w:val="auto"/>
          <w:sz w:val="24"/>
          <w:szCs w:val="24"/>
          <w:lang w:eastAsia="zh-CN"/>
        </w:rPr>
        <w:t>除外</w:t>
      </w:r>
      <w:r>
        <w:rPr>
          <w:rFonts w:hint="eastAsia" w:ascii="宋体" w:hAnsi="宋体" w:eastAsia="宋体" w:cs="宋体"/>
          <w:color w:val="auto"/>
          <w:kern w:val="0"/>
          <w:sz w:val="24"/>
          <w:szCs w:val="24"/>
          <w:lang w:val="zh-CN"/>
        </w:rPr>
        <w:t>）</w:t>
      </w:r>
      <w:r>
        <w:rPr>
          <w:rFonts w:hint="eastAsia" w:ascii="宋体" w:hAnsi="宋体" w:eastAsia="宋体" w:cs="宋体"/>
          <w:color w:val="auto"/>
          <w:kern w:val="0"/>
          <w:sz w:val="24"/>
          <w:highlight w:val="none"/>
          <w:lang w:val="zh-CN"/>
        </w:rPr>
        <w:t>, 如有多分标，按分标分别提供开标一览表，必须加盖投标人有效公章，</w:t>
      </w:r>
      <w:r>
        <w:rPr>
          <w:rFonts w:hint="eastAsia" w:ascii="宋体" w:hAnsi="宋体" w:eastAsia="宋体" w:cs="宋体"/>
          <w:b/>
          <w:color w:val="auto"/>
          <w:kern w:val="0"/>
          <w:sz w:val="24"/>
          <w:highlight w:val="none"/>
          <w:lang w:val="zh-CN"/>
        </w:rPr>
        <w:t>否则其投标作无效标处理。</w:t>
      </w:r>
    </w:p>
    <w:p>
      <w:pPr>
        <w:snapToGrid w:val="0"/>
        <w:spacing w:before="50" w:after="50" w:line="360" w:lineRule="auto"/>
        <w:ind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2、本表内容均不能涂改，</w:t>
      </w:r>
      <w:r>
        <w:rPr>
          <w:rFonts w:hint="eastAsia" w:ascii="宋体" w:hAnsi="宋体" w:eastAsia="宋体" w:cs="宋体"/>
          <w:b/>
          <w:color w:val="auto"/>
          <w:kern w:val="0"/>
          <w:sz w:val="24"/>
          <w:highlight w:val="none"/>
          <w:lang w:val="zh-CN"/>
        </w:rPr>
        <w:t>否则其投标作无效标处理。</w:t>
      </w:r>
    </w:p>
    <w:p>
      <w:pPr>
        <w:snapToGrid w:val="0"/>
        <w:spacing w:before="50" w:after="50" w:line="360" w:lineRule="auto"/>
        <w:ind w:firstLine="480" w:firstLineChars="200"/>
        <w:jc w:val="left"/>
        <w:rPr>
          <w:rFonts w:hint="eastAsia" w:ascii="宋体" w:hAnsi="宋体" w:eastAsia="宋体" w:cs="宋体"/>
          <w:b/>
          <w:color w:val="auto"/>
          <w:kern w:val="0"/>
          <w:sz w:val="24"/>
          <w:highlight w:val="none"/>
          <w:lang w:val="zh-CN"/>
        </w:rPr>
      </w:pPr>
      <w:r>
        <w:rPr>
          <w:rFonts w:hint="eastAsia" w:ascii="宋体" w:hAnsi="宋体" w:eastAsia="宋体" w:cs="宋体"/>
          <w:color w:val="auto"/>
          <w:kern w:val="0"/>
          <w:sz w:val="24"/>
          <w:highlight w:val="none"/>
          <w:lang w:val="zh-CN"/>
        </w:rPr>
        <w:t>3、如为联合体投标，“投标人名称”处必须列明联合体各方名称，并标注联合体牵头人名称，且盖章处须加盖联合体各方公章，</w:t>
      </w:r>
      <w:r>
        <w:rPr>
          <w:rFonts w:hint="eastAsia" w:ascii="宋体" w:hAnsi="宋体" w:eastAsia="宋体" w:cs="宋体"/>
          <w:b/>
          <w:color w:val="auto"/>
          <w:kern w:val="0"/>
          <w:sz w:val="24"/>
          <w:highlight w:val="none"/>
          <w:lang w:val="zh-CN"/>
        </w:rPr>
        <w:t>否则其投标作无效标处理。</w:t>
      </w:r>
    </w:p>
    <w:p>
      <w:pPr>
        <w:snapToGrid w:val="0"/>
        <w:spacing w:line="360" w:lineRule="auto"/>
        <w:ind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4、以上表格要求细分项目及报价，在“具体服务内容”一栏中，填写</w:t>
      </w:r>
      <w:r>
        <w:rPr>
          <w:rFonts w:hint="eastAsia" w:ascii="宋体" w:hAnsi="宋体" w:eastAsia="宋体" w:cs="宋体"/>
          <w:color w:val="auto"/>
          <w:kern w:val="0"/>
          <w:sz w:val="24"/>
          <w:highlight w:val="yellow"/>
          <w:lang w:val="zh-CN"/>
        </w:rPr>
        <w:t>具体服务范围、服务时间、服务标准</w:t>
      </w:r>
      <w:r>
        <w:rPr>
          <w:rFonts w:hint="eastAsia" w:ascii="宋体" w:hAnsi="宋体" w:eastAsia="宋体" w:cs="宋体"/>
          <w:color w:val="auto"/>
          <w:kern w:val="0"/>
          <w:sz w:val="24"/>
          <w:highlight w:val="none"/>
          <w:lang w:val="zh-CN"/>
        </w:rPr>
        <w:t>，</w:t>
      </w:r>
      <w:r>
        <w:rPr>
          <w:rFonts w:hint="eastAsia" w:ascii="宋体" w:hAnsi="宋体" w:eastAsia="宋体" w:cs="宋体"/>
          <w:b/>
          <w:color w:val="auto"/>
          <w:kern w:val="0"/>
          <w:sz w:val="24"/>
          <w:highlight w:val="none"/>
          <w:lang w:val="zh-CN"/>
        </w:rPr>
        <w:t>否则其投标作无效标处理。</w:t>
      </w:r>
    </w:p>
    <w:p>
      <w:pPr>
        <w:snapToGrid w:val="0"/>
        <w:spacing w:line="360" w:lineRule="auto"/>
        <w:ind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5、特别提示：采购代理机构将对项目名称和项目编号，中标</w:t>
      </w:r>
      <w:r>
        <w:rPr>
          <w:rFonts w:hint="eastAsia" w:ascii="宋体" w:hAnsi="宋体" w:eastAsia="宋体" w:cs="宋体"/>
          <w:color w:val="auto"/>
          <w:kern w:val="0"/>
          <w:sz w:val="24"/>
          <w:highlight w:val="none"/>
          <w:lang w:val="en-US" w:eastAsia="zh-CN"/>
        </w:rPr>
        <w:t>人</w:t>
      </w:r>
      <w:r>
        <w:rPr>
          <w:rFonts w:hint="eastAsia" w:ascii="宋体" w:hAnsi="宋体" w:eastAsia="宋体" w:cs="宋体"/>
          <w:color w:val="auto"/>
          <w:kern w:val="0"/>
          <w:sz w:val="24"/>
          <w:highlight w:val="none"/>
          <w:lang w:val="zh-CN"/>
        </w:rPr>
        <w:t>名称、地址和中标金额，主要中标标的的名称、服务范围、服务要求、服务时间、服务标准等予以公示。</w:t>
      </w:r>
    </w:p>
    <w:p>
      <w:pPr>
        <w:snapToGrid w:val="0"/>
        <w:spacing w:line="360" w:lineRule="auto"/>
        <w:ind w:firstLine="480" w:firstLineChars="200"/>
        <w:jc w:val="left"/>
        <w:rPr>
          <w:rFonts w:ascii="宋体" w:hAnsi="宋体" w:cs="宋体"/>
          <w:color w:val="auto"/>
          <w:kern w:val="0"/>
          <w:sz w:val="24"/>
          <w:lang w:val="zh-CN"/>
        </w:rPr>
      </w:pPr>
      <w:r>
        <w:rPr>
          <w:rFonts w:hint="eastAsia" w:ascii="宋体" w:hAnsi="宋体" w:eastAsia="宋体" w:cs="宋体"/>
          <w:color w:val="auto"/>
          <w:kern w:val="0"/>
          <w:sz w:val="24"/>
          <w:szCs w:val="22"/>
          <w:highlight w:val="none"/>
          <w:lang w:val="zh-CN"/>
        </w:rPr>
        <w:t>6、</w:t>
      </w:r>
      <w:r>
        <w:rPr>
          <w:rFonts w:hint="eastAsia" w:ascii="宋体" w:hAnsi="宋体" w:eastAsia="宋体" w:cs="宋体"/>
          <w:color w:val="auto"/>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pStyle w:val="11"/>
        <w:rPr>
          <w:rFonts w:ascii="宋体" w:hAnsi="宋体" w:cs="宋体"/>
          <w:color w:val="auto"/>
          <w:lang w:val="zh-CN"/>
        </w:rPr>
      </w:pPr>
    </w:p>
    <w:p>
      <w:pPr>
        <w:snapToGrid w:val="0"/>
        <w:spacing w:line="360" w:lineRule="auto"/>
        <w:ind w:firstLine="5040" w:firstLineChars="2100"/>
        <w:rPr>
          <w:rFonts w:ascii="宋体" w:hAnsi="宋体" w:cs="宋体"/>
          <w:color w:val="auto"/>
          <w:kern w:val="0"/>
          <w:sz w:val="24"/>
        </w:rPr>
      </w:pPr>
      <w:r>
        <w:rPr>
          <w:rFonts w:hint="eastAsia" w:ascii="宋体" w:hAnsi="宋体" w:cs="宋体"/>
          <w:color w:val="auto"/>
          <w:kern w:val="0"/>
          <w:sz w:val="24"/>
          <w:lang w:val="zh-CN"/>
        </w:rPr>
        <w:t>投标人名称(盖公章)：</w:t>
      </w:r>
    </w:p>
    <w:p>
      <w:pPr>
        <w:snapToGrid w:val="0"/>
        <w:spacing w:line="360" w:lineRule="auto"/>
        <w:ind w:firstLine="5160" w:firstLineChars="2150"/>
        <w:rPr>
          <w:rFonts w:ascii="宋体" w:hAnsi="宋体" w:cs="宋体"/>
          <w:color w:val="auto"/>
          <w:kern w:val="0"/>
          <w:sz w:val="24"/>
          <w:lang w:val="zh-CN"/>
        </w:rPr>
      </w:pPr>
      <w:r>
        <w:rPr>
          <w:rFonts w:hint="eastAsia" w:ascii="宋体" w:hAnsi="宋体" w:cs="宋体"/>
          <w:color w:val="auto"/>
          <w:kern w:val="0"/>
          <w:sz w:val="24"/>
          <w:lang w:val="zh-CN"/>
        </w:rPr>
        <w:t>日期</w:t>
      </w:r>
      <w:r>
        <w:rPr>
          <w:rFonts w:hint="eastAsia" w:ascii="宋体" w:hAnsi="宋体" w:cs="宋体"/>
          <w:color w:val="auto"/>
          <w:kern w:val="0"/>
          <w:sz w:val="24"/>
        </w:rPr>
        <w:t>：</w:t>
      </w:r>
      <w:r>
        <w:rPr>
          <w:rFonts w:hint="eastAsia" w:ascii="宋体" w:hAnsi="宋体" w:cs="宋体"/>
          <w:color w:val="auto"/>
          <w:kern w:val="0"/>
          <w:sz w:val="24"/>
          <w:lang w:val="en-US" w:eastAsia="zh-CN"/>
        </w:rPr>
        <w:t xml:space="preserve">    </w:t>
      </w:r>
      <w:r>
        <w:rPr>
          <w:rFonts w:hint="eastAsia" w:ascii="宋体" w:hAnsi="宋体" w:cs="宋体"/>
          <w:color w:val="auto"/>
          <w:kern w:val="0"/>
          <w:sz w:val="24"/>
        </w:rPr>
        <w:t>年</w:t>
      </w:r>
      <w:r>
        <w:rPr>
          <w:rFonts w:hint="eastAsia" w:ascii="宋体" w:hAnsi="宋体" w:cs="宋体"/>
          <w:color w:val="auto"/>
          <w:kern w:val="0"/>
          <w:sz w:val="24"/>
          <w:lang w:val="en-US" w:eastAsia="zh-CN"/>
        </w:rPr>
        <w:t xml:space="preserve">    </w:t>
      </w:r>
      <w:r>
        <w:rPr>
          <w:rFonts w:hint="eastAsia" w:ascii="宋体" w:hAnsi="宋体" w:cs="宋体"/>
          <w:color w:val="auto"/>
          <w:kern w:val="0"/>
          <w:sz w:val="24"/>
          <w:lang w:val="zh-CN"/>
        </w:rPr>
        <w:t>月</w:t>
      </w:r>
      <w:r>
        <w:rPr>
          <w:rFonts w:hint="eastAsia" w:ascii="宋体" w:hAnsi="宋体" w:cs="宋体"/>
          <w:color w:val="auto"/>
          <w:kern w:val="0"/>
          <w:sz w:val="24"/>
          <w:lang w:val="en-US" w:eastAsia="zh-CN"/>
        </w:rPr>
        <w:t xml:space="preserve">    </w:t>
      </w:r>
      <w:r>
        <w:rPr>
          <w:rFonts w:hint="eastAsia" w:ascii="宋体" w:hAnsi="宋体" w:cs="宋体"/>
          <w:color w:val="auto"/>
          <w:kern w:val="0"/>
          <w:sz w:val="24"/>
          <w:lang w:val="zh-CN"/>
        </w:rPr>
        <w:t>日</w:t>
      </w:r>
    </w:p>
    <w:p>
      <w:pPr>
        <w:rPr>
          <w:rFonts w:ascii="宋体" w:hAnsi="宋体" w:cs="宋体"/>
          <w:color w:val="auto"/>
          <w:sz w:val="30"/>
          <w:szCs w:val="20"/>
        </w:rPr>
      </w:pPr>
      <w:r>
        <w:rPr>
          <w:rFonts w:ascii="宋体" w:hAnsi="宋体" w:cs="宋体"/>
          <w:color w:val="auto"/>
          <w:sz w:val="30"/>
          <w:szCs w:val="20"/>
        </w:rPr>
        <w:br w:type="page"/>
      </w:r>
    </w:p>
    <w:p>
      <w:pPr>
        <w:pStyle w:val="2"/>
        <w:rPr>
          <w:color w:val="auto"/>
        </w:rPr>
      </w:pPr>
    </w:p>
    <w:p>
      <w:pPr>
        <w:pStyle w:val="14"/>
        <w:spacing w:line="360" w:lineRule="auto"/>
        <w:jc w:val="center"/>
        <w:rPr>
          <w:b/>
          <w:color w:val="auto"/>
          <w:sz w:val="30"/>
          <w:szCs w:val="30"/>
        </w:rPr>
      </w:pPr>
      <w:r>
        <w:rPr>
          <w:rFonts w:hint="eastAsia"/>
          <w:b/>
          <w:color w:val="auto"/>
          <w:sz w:val="30"/>
          <w:szCs w:val="30"/>
          <w:lang w:eastAsia="zh-CN"/>
        </w:rPr>
        <w:t>分项报价</w:t>
      </w:r>
      <w:r>
        <w:rPr>
          <w:rFonts w:hint="eastAsia"/>
          <w:b/>
          <w:color w:val="auto"/>
          <w:sz w:val="30"/>
          <w:szCs w:val="30"/>
        </w:rPr>
        <w:t>表</w:t>
      </w:r>
      <w:r>
        <w:rPr>
          <w:rFonts w:hint="eastAsia" w:ascii="仿宋_GB2312" w:hAnsi="仿宋" w:eastAsia="仿宋_GB2312" w:cs="仿宋_GB2312"/>
          <w:b/>
          <w:color w:val="auto"/>
          <w:kern w:val="0"/>
          <w:sz w:val="24"/>
          <w:lang w:val="zh-CN"/>
        </w:rPr>
        <w:t>(单位均为人民币元)</w:t>
      </w:r>
    </w:p>
    <w:p>
      <w:pPr>
        <w:snapToGrid w:val="0"/>
        <w:spacing w:before="50" w:after="50" w:line="360" w:lineRule="auto"/>
        <w:rPr>
          <w:rFonts w:ascii="宋体" w:hAnsi="宋体"/>
          <w:color w:val="auto"/>
          <w:sz w:val="24"/>
        </w:rPr>
      </w:pPr>
      <w:r>
        <w:rPr>
          <w:rFonts w:hint="eastAsia" w:ascii="宋体" w:hAnsi="宋体"/>
          <w:color w:val="auto"/>
          <w:sz w:val="24"/>
        </w:rPr>
        <w:t xml:space="preserve">项目名称：                       </w:t>
      </w:r>
    </w:p>
    <w:p>
      <w:pPr>
        <w:snapToGrid w:val="0"/>
        <w:spacing w:before="50" w:after="50" w:line="360" w:lineRule="auto"/>
        <w:rPr>
          <w:rFonts w:ascii="宋体" w:hAnsi="宋体"/>
          <w:color w:val="auto"/>
          <w:sz w:val="24"/>
        </w:rPr>
      </w:pPr>
      <w:r>
        <w:rPr>
          <w:rFonts w:hint="eastAsia" w:ascii="宋体" w:hAnsi="宋体"/>
          <w:color w:val="auto"/>
          <w:sz w:val="24"/>
        </w:rPr>
        <w:t xml:space="preserve">项目编号：   </w:t>
      </w:r>
    </w:p>
    <w:p>
      <w:pPr>
        <w:snapToGrid w:val="0"/>
        <w:spacing w:before="50" w:after="50" w:line="360" w:lineRule="auto"/>
        <w:rPr>
          <w:rFonts w:hint="eastAsia" w:ascii="宋体" w:hAnsi="宋体" w:cs="宋体"/>
          <w:bCs/>
          <w:color w:val="auto"/>
          <w:sz w:val="24"/>
        </w:rPr>
      </w:pPr>
      <w:r>
        <w:rPr>
          <w:rFonts w:hint="eastAsia" w:ascii="宋体" w:hAnsi="宋体" w:cs="宋体"/>
          <w:bCs/>
          <w:color w:val="auto"/>
          <w:sz w:val="24"/>
        </w:rPr>
        <w:t>所投分标（如有则填写，无分标时填写“无”或者留空）：</w:t>
      </w:r>
    </w:p>
    <w:p>
      <w:pPr>
        <w:pStyle w:val="2"/>
        <w:rPr>
          <w:color w:val="auto"/>
        </w:rPr>
      </w:pPr>
    </w:p>
    <w:tbl>
      <w:tblPr>
        <w:tblStyle w:val="24"/>
        <w:tblW w:w="9845" w:type="dxa"/>
        <w:tblInd w:w="10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56"/>
        <w:gridCol w:w="2677"/>
        <w:gridCol w:w="2257"/>
        <w:gridCol w:w="883"/>
        <w:gridCol w:w="943"/>
        <w:gridCol w:w="1316"/>
        <w:gridCol w:w="1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60" w:hRule="atLeast"/>
        </w:trPr>
        <w:tc>
          <w:tcPr>
            <w:tcW w:w="9845" w:type="dxa"/>
            <w:gridSpan w:val="7"/>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1、病房医技综合楼中央空调设备维保报价清单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序号</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设备名称</w:t>
            </w:r>
          </w:p>
        </w:tc>
        <w:tc>
          <w:tcPr>
            <w:tcW w:w="2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型号规格</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单位</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数量</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年综合单价</w:t>
            </w:r>
          </w:p>
        </w:tc>
        <w:tc>
          <w:tcPr>
            <w:tcW w:w="1113"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一年合价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8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模块式风冷冷水机组</w:t>
            </w:r>
          </w:p>
        </w:tc>
        <w:tc>
          <w:tcPr>
            <w:tcW w:w="2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EKAC500BR1LH</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台</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16</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38"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全热回收模块式风冷冷水机组</w:t>
            </w:r>
          </w:p>
        </w:tc>
        <w:tc>
          <w:tcPr>
            <w:tcW w:w="2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EKAC230BR1SR</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台</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12</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0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模块式水冷冷水机组</w:t>
            </w:r>
          </w:p>
        </w:tc>
        <w:tc>
          <w:tcPr>
            <w:tcW w:w="2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EKWD075CR1</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台</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12</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8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模块式风冷热泵机组</w:t>
            </w:r>
          </w:p>
        </w:tc>
        <w:tc>
          <w:tcPr>
            <w:tcW w:w="2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EKAC460BR1-D</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台</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18</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2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模块式风冷热泵机组</w:t>
            </w:r>
          </w:p>
        </w:tc>
        <w:tc>
          <w:tcPr>
            <w:tcW w:w="2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EKAC460BR1-D</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台</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8</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空调冷冻水泵，对应LS-01~12,</w:t>
            </w:r>
          </w:p>
        </w:tc>
        <w:tc>
          <w:tcPr>
            <w:tcW w:w="2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SLS200-400(I)B</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台</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7</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空调冷却水泵，对应LS-01~12,</w:t>
            </w:r>
          </w:p>
        </w:tc>
        <w:tc>
          <w:tcPr>
            <w:tcW w:w="2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SLS200-315(I)</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台</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8</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空调冷冻水泵，对应K-1~16,</w:t>
            </w:r>
          </w:p>
        </w:tc>
        <w:tc>
          <w:tcPr>
            <w:tcW w:w="2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SLS200-400GB</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台</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9</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空调冷热水泵，对应K-17~28,</w:t>
            </w:r>
          </w:p>
        </w:tc>
        <w:tc>
          <w:tcPr>
            <w:tcW w:w="2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FLGR40</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台</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空调冷热水泵，对应K-17~28,</w:t>
            </w:r>
          </w:p>
        </w:tc>
        <w:tc>
          <w:tcPr>
            <w:tcW w:w="2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SR15-4</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台</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11</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空调冷热水泵，对应K-17~28,</w:t>
            </w:r>
          </w:p>
        </w:tc>
        <w:tc>
          <w:tcPr>
            <w:tcW w:w="2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SR15-7</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台</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12</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空调冷热水泵，对应K-17~28,</w:t>
            </w:r>
          </w:p>
        </w:tc>
        <w:tc>
          <w:tcPr>
            <w:tcW w:w="2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FLGR80-250（1）A</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台</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13</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空调冷冻水泵，对应K-T-1~18</w:t>
            </w:r>
          </w:p>
        </w:tc>
        <w:tc>
          <w:tcPr>
            <w:tcW w:w="2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SLS155-411B</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台</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14</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空调冷冻水泵，对应K-T-19~22,</w:t>
            </w:r>
          </w:p>
        </w:tc>
        <w:tc>
          <w:tcPr>
            <w:tcW w:w="2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SLS55-160</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台</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15</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低噪声方形冷却塔</w:t>
            </w:r>
          </w:p>
        </w:tc>
        <w:tc>
          <w:tcPr>
            <w:tcW w:w="2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YHW-3003VY</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台</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16</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全程水处理器</w:t>
            </w:r>
          </w:p>
        </w:tc>
        <w:tc>
          <w:tcPr>
            <w:tcW w:w="2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SCL-72-300</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台</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17</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全程水处理器</w:t>
            </w:r>
          </w:p>
        </w:tc>
        <w:tc>
          <w:tcPr>
            <w:tcW w:w="2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SCL-51-350</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台</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18</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全程水处理器</w:t>
            </w:r>
          </w:p>
        </w:tc>
        <w:tc>
          <w:tcPr>
            <w:tcW w:w="2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SCL-12-150</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台</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19</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全程水处理器</w:t>
            </w:r>
          </w:p>
        </w:tc>
        <w:tc>
          <w:tcPr>
            <w:tcW w:w="2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SCL-100-350</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台</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6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20</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医用洁净空调机组</w:t>
            </w:r>
          </w:p>
        </w:tc>
        <w:tc>
          <w:tcPr>
            <w:tcW w:w="2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TBC1620CHW</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台</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21</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医用洁净空调机组</w:t>
            </w:r>
          </w:p>
        </w:tc>
        <w:tc>
          <w:tcPr>
            <w:tcW w:w="2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TBC1213CHW</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台</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2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22</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医用洁净空调机组</w:t>
            </w:r>
          </w:p>
        </w:tc>
        <w:tc>
          <w:tcPr>
            <w:tcW w:w="2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TAC0713CHW</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台</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6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23</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医用洁净空调机组</w:t>
            </w:r>
          </w:p>
        </w:tc>
        <w:tc>
          <w:tcPr>
            <w:tcW w:w="2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TAC0814CHW</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台</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25</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24</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深度除湿新风机</w:t>
            </w:r>
          </w:p>
        </w:tc>
        <w:tc>
          <w:tcPr>
            <w:tcW w:w="2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TAC1015BHS</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台</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2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25</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深度除湿新风机</w:t>
            </w:r>
          </w:p>
        </w:tc>
        <w:tc>
          <w:tcPr>
            <w:tcW w:w="2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TAC1116BHS</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台</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26</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组合式空调机组</w:t>
            </w:r>
          </w:p>
        </w:tc>
        <w:tc>
          <w:tcPr>
            <w:tcW w:w="2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TBC0810CHW</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台</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8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27</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风机盘管</w:t>
            </w:r>
          </w:p>
        </w:tc>
        <w:tc>
          <w:tcPr>
            <w:tcW w:w="2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EKCW200YC5</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台</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254</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9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28</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风机盘管</w:t>
            </w:r>
          </w:p>
        </w:tc>
        <w:tc>
          <w:tcPr>
            <w:tcW w:w="2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EKCW300YC5</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台</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209</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9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29</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风机盘管</w:t>
            </w:r>
          </w:p>
        </w:tc>
        <w:tc>
          <w:tcPr>
            <w:tcW w:w="2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EKCW400YC5</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台</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80</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9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30</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风机盘管</w:t>
            </w:r>
          </w:p>
        </w:tc>
        <w:tc>
          <w:tcPr>
            <w:tcW w:w="2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EKCW500YC5</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台</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566</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9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31</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风机盘管</w:t>
            </w:r>
          </w:p>
        </w:tc>
        <w:tc>
          <w:tcPr>
            <w:tcW w:w="2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EKCW600YC5</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台</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178</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9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32</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风机盘管</w:t>
            </w:r>
          </w:p>
        </w:tc>
        <w:tc>
          <w:tcPr>
            <w:tcW w:w="2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EKCW800YC5</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台</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175</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9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33</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风机盘管</w:t>
            </w:r>
          </w:p>
        </w:tc>
        <w:tc>
          <w:tcPr>
            <w:tcW w:w="2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EKCW1000YC5</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台</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60</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9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34</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风机盘管</w:t>
            </w:r>
          </w:p>
        </w:tc>
        <w:tc>
          <w:tcPr>
            <w:tcW w:w="2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EKCW1200YC5</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台</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45</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9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35</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风机盘管</w:t>
            </w:r>
          </w:p>
        </w:tc>
        <w:tc>
          <w:tcPr>
            <w:tcW w:w="2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EKCW1400YC5</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台</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24</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38"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36</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变频多联式空调（热泵）室外机</w:t>
            </w:r>
          </w:p>
        </w:tc>
        <w:tc>
          <w:tcPr>
            <w:tcW w:w="2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W280</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台</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38"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37</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变频多联式空调（热泵）室外机</w:t>
            </w:r>
          </w:p>
        </w:tc>
        <w:tc>
          <w:tcPr>
            <w:tcW w:w="2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W340</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台</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38"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38</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变频多联式空调（热泵）室外机</w:t>
            </w:r>
          </w:p>
        </w:tc>
        <w:tc>
          <w:tcPr>
            <w:tcW w:w="2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W450</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台</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38"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39</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变频多联式空调（热泵）室外机</w:t>
            </w:r>
          </w:p>
        </w:tc>
        <w:tc>
          <w:tcPr>
            <w:tcW w:w="2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W560</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台</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38"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40</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变频多联式空调（热泵）室外机</w:t>
            </w:r>
          </w:p>
        </w:tc>
        <w:tc>
          <w:tcPr>
            <w:tcW w:w="2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W790</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台</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38"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41</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变频多联式空调（热泵）室外机</w:t>
            </w:r>
          </w:p>
        </w:tc>
        <w:tc>
          <w:tcPr>
            <w:tcW w:w="2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W1080</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台</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38"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42</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变频多联式空调（热泵）室外机</w:t>
            </w:r>
          </w:p>
        </w:tc>
        <w:tc>
          <w:tcPr>
            <w:tcW w:w="2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W1140</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台</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38"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43</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变频多联式空调（热泵）室外机</w:t>
            </w:r>
          </w:p>
        </w:tc>
        <w:tc>
          <w:tcPr>
            <w:tcW w:w="2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W2540</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台</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2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44</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多联式空调系统室内机</w:t>
            </w:r>
          </w:p>
        </w:tc>
        <w:tc>
          <w:tcPr>
            <w:tcW w:w="2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EKCC32F1-M</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台</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9</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9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45</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多联式空调系统室内机</w:t>
            </w:r>
          </w:p>
        </w:tc>
        <w:tc>
          <w:tcPr>
            <w:tcW w:w="2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EKCC36F1-M</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台</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20</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9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46</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多联式空调系统室内机</w:t>
            </w:r>
          </w:p>
        </w:tc>
        <w:tc>
          <w:tcPr>
            <w:tcW w:w="2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EKCC45F1-M</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台</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25</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9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47</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多联式空调系统室内机</w:t>
            </w:r>
          </w:p>
        </w:tc>
        <w:tc>
          <w:tcPr>
            <w:tcW w:w="2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EKCC56F1-M</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台</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23</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9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48</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多联式空调系统室内机</w:t>
            </w:r>
          </w:p>
        </w:tc>
        <w:tc>
          <w:tcPr>
            <w:tcW w:w="2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EKCC71F1-M</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台</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28</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9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49</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多联式空调系统室内机</w:t>
            </w:r>
          </w:p>
        </w:tc>
        <w:tc>
          <w:tcPr>
            <w:tcW w:w="2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EKCC80F1-M</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台</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9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50</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多联式空调系统室内机</w:t>
            </w:r>
          </w:p>
        </w:tc>
        <w:tc>
          <w:tcPr>
            <w:tcW w:w="2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EKCC90F1-M</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台</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9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51</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多联式空调系统室内机</w:t>
            </w:r>
          </w:p>
        </w:tc>
        <w:tc>
          <w:tcPr>
            <w:tcW w:w="2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EKCC112F1-M</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台</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19</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9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52</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多联式空调系统室内机</w:t>
            </w:r>
          </w:p>
        </w:tc>
        <w:tc>
          <w:tcPr>
            <w:tcW w:w="2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EKCC140F1-M</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台</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11</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9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53</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全新风室内机</w:t>
            </w:r>
          </w:p>
        </w:tc>
        <w:tc>
          <w:tcPr>
            <w:tcW w:w="2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X28</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台</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49</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38"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54</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直膨式机组室外机</w:t>
            </w:r>
          </w:p>
        </w:tc>
        <w:tc>
          <w:tcPr>
            <w:tcW w:w="2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EKRV100ER1</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台</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55</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直膨式机组室内机</w:t>
            </w:r>
          </w:p>
        </w:tc>
        <w:tc>
          <w:tcPr>
            <w:tcW w:w="2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EKDB280C1</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台</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56</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通风/排风机</w:t>
            </w:r>
          </w:p>
        </w:tc>
        <w:tc>
          <w:tcPr>
            <w:tcW w:w="2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各类</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台</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94</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57</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玻璃钢防腐离心风机</w:t>
            </w:r>
          </w:p>
        </w:tc>
        <w:tc>
          <w:tcPr>
            <w:tcW w:w="2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PF-55</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台</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58</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玻璃钢防腐离心风机</w:t>
            </w:r>
          </w:p>
        </w:tc>
        <w:tc>
          <w:tcPr>
            <w:tcW w:w="2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PF-18</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台</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59</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玻璃钢防腐离心风机</w:t>
            </w:r>
          </w:p>
        </w:tc>
        <w:tc>
          <w:tcPr>
            <w:tcW w:w="2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PF-160</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台</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60</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玻璃钢防腐离心风机</w:t>
            </w:r>
          </w:p>
        </w:tc>
        <w:tc>
          <w:tcPr>
            <w:tcW w:w="2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PF-62</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台</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61</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玻璃钢防腐离心风机</w:t>
            </w:r>
          </w:p>
        </w:tc>
        <w:tc>
          <w:tcPr>
            <w:tcW w:w="2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PF-86</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台</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62</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玻璃钢防腐离心风机</w:t>
            </w:r>
          </w:p>
        </w:tc>
        <w:tc>
          <w:tcPr>
            <w:tcW w:w="2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PF-120</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台</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63</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分体空调</w:t>
            </w:r>
          </w:p>
        </w:tc>
        <w:tc>
          <w:tcPr>
            <w:tcW w:w="2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5匹；KFR-120L</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台</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32</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64</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分体空调</w:t>
            </w:r>
          </w:p>
        </w:tc>
        <w:tc>
          <w:tcPr>
            <w:tcW w:w="2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3匹；KFR-72G</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台</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13</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65</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分体空调</w:t>
            </w:r>
          </w:p>
        </w:tc>
        <w:tc>
          <w:tcPr>
            <w:tcW w:w="2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2匹；KFR-50G</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台</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15</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66</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分体空调</w:t>
            </w:r>
          </w:p>
        </w:tc>
        <w:tc>
          <w:tcPr>
            <w:tcW w:w="2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1.5匹；KFR-35G</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台</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32</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67</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分体空调</w:t>
            </w:r>
          </w:p>
        </w:tc>
        <w:tc>
          <w:tcPr>
            <w:tcW w:w="2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1匹；KFR-26G</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台</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68</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全热交换器</w:t>
            </w:r>
          </w:p>
        </w:tc>
        <w:tc>
          <w:tcPr>
            <w:tcW w:w="2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HRB030</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台</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69</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初效过滤器更换</w:t>
            </w:r>
          </w:p>
        </w:tc>
        <w:tc>
          <w:tcPr>
            <w:tcW w:w="22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490*390*46</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个</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128</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70</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初效过滤器更换</w:t>
            </w:r>
          </w:p>
        </w:tc>
        <w:tc>
          <w:tcPr>
            <w:tcW w:w="22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590*390*46</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个</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143</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71</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初效过滤器更换</w:t>
            </w:r>
          </w:p>
        </w:tc>
        <w:tc>
          <w:tcPr>
            <w:tcW w:w="22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490*490*46</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个</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55</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72</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初效过滤器更换</w:t>
            </w:r>
          </w:p>
        </w:tc>
        <w:tc>
          <w:tcPr>
            <w:tcW w:w="22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590*490*46</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个</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122</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73</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中效过滤器更换</w:t>
            </w:r>
          </w:p>
        </w:tc>
        <w:tc>
          <w:tcPr>
            <w:tcW w:w="22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490*287*381</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个</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48</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74</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中效过滤器更换</w:t>
            </w:r>
          </w:p>
        </w:tc>
        <w:tc>
          <w:tcPr>
            <w:tcW w:w="22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490*490*381</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个</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35</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75</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中效过滤器更换</w:t>
            </w:r>
          </w:p>
        </w:tc>
        <w:tc>
          <w:tcPr>
            <w:tcW w:w="22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590*490*500</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个</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95</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76</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中效过滤器更换</w:t>
            </w:r>
          </w:p>
        </w:tc>
        <w:tc>
          <w:tcPr>
            <w:tcW w:w="22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790*375*400</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个</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20</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77</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中效过滤器更换</w:t>
            </w:r>
          </w:p>
        </w:tc>
        <w:tc>
          <w:tcPr>
            <w:tcW w:w="22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590*287*500</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个</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66</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78</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吊顶式换气扇</w:t>
            </w:r>
          </w:p>
        </w:tc>
        <w:tc>
          <w:tcPr>
            <w:tcW w:w="2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V50</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台</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7</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79</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吊顶式换气扇</w:t>
            </w:r>
          </w:p>
        </w:tc>
        <w:tc>
          <w:tcPr>
            <w:tcW w:w="2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V5</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台</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44</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80</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吊顶式换气扇</w:t>
            </w:r>
          </w:p>
        </w:tc>
        <w:tc>
          <w:tcPr>
            <w:tcW w:w="2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V10</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台</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371</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81</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吊顶式换气扇</w:t>
            </w:r>
          </w:p>
        </w:tc>
        <w:tc>
          <w:tcPr>
            <w:tcW w:w="2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V15</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台</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82</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吊顶式换气扇</w:t>
            </w:r>
          </w:p>
        </w:tc>
        <w:tc>
          <w:tcPr>
            <w:tcW w:w="2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V20</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台</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62</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83</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吊顶式换气扇</w:t>
            </w:r>
          </w:p>
        </w:tc>
        <w:tc>
          <w:tcPr>
            <w:tcW w:w="2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V25</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台</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23</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84</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吊顶式换气扇</w:t>
            </w:r>
          </w:p>
        </w:tc>
        <w:tc>
          <w:tcPr>
            <w:tcW w:w="2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V30</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台</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85</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吊顶式换气扇</w:t>
            </w:r>
          </w:p>
        </w:tc>
        <w:tc>
          <w:tcPr>
            <w:tcW w:w="2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V40</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台</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48</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86</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手术室排风口及滤网清洗</w:t>
            </w:r>
          </w:p>
        </w:tc>
        <w:tc>
          <w:tcPr>
            <w:tcW w:w="2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各类</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个</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292</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87</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手术室空调出风口</w:t>
            </w:r>
          </w:p>
        </w:tc>
        <w:tc>
          <w:tcPr>
            <w:tcW w:w="2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各类</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个</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347</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88</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净化间电动门</w:t>
            </w:r>
          </w:p>
        </w:tc>
        <w:tc>
          <w:tcPr>
            <w:tcW w:w="2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各类</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樘</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30</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89</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净化间医用气体</w:t>
            </w:r>
          </w:p>
        </w:tc>
        <w:tc>
          <w:tcPr>
            <w:tcW w:w="2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各类</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间</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36</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90</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净化自控系统</w:t>
            </w:r>
          </w:p>
        </w:tc>
        <w:tc>
          <w:tcPr>
            <w:tcW w:w="2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各类</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套</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36</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91</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净化数据检测与调整</w:t>
            </w:r>
          </w:p>
        </w:tc>
        <w:tc>
          <w:tcPr>
            <w:tcW w:w="2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各类</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间</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36</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92</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净化间配电系统</w:t>
            </w:r>
          </w:p>
        </w:tc>
        <w:tc>
          <w:tcPr>
            <w:tcW w:w="2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各类</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间</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36</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93</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二氧化碳气体汇流排</w:t>
            </w:r>
          </w:p>
        </w:tc>
        <w:tc>
          <w:tcPr>
            <w:tcW w:w="2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各类</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项</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94</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氮气气体汇流排</w:t>
            </w:r>
          </w:p>
        </w:tc>
        <w:tc>
          <w:tcPr>
            <w:tcW w:w="2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各类</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项</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95</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医疗设备带</w:t>
            </w:r>
          </w:p>
        </w:tc>
        <w:tc>
          <w:tcPr>
            <w:tcW w:w="2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各类</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套</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1650</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96</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太阳能热水系统</w:t>
            </w:r>
          </w:p>
        </w:tc>
        <w:tc>
          <w:tcPr>
            <w:tcW w:w="2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各类</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套</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9" w:hRule="atLeast"/>
        </w:trPr>
        <w:tc>
          <w:tcPr>
            <w:tcW w:w="8732"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bCs/>
                <w:i w:val="0"/>
                <w:iCs w:val="0"/>
                <w:color w:val="auto"/>
                <w:kern w:val="0"/>
                <w:sz w:val="24"/>
                <w:szCs w:val="24"/>
                <w:u w:val="none"/>
                <w:lang w:val="en-US" w:eastAsia="zh-CN" w:bidi="ar"/>
              </w:rPr>
            </w:pPr>
            <w:r>
              <w:rPr>
                <w:rFonts w:hint="eastAsia" w:ascii="宋体" w:hAnsi="宋体" w:eastAsia="宋体" w:cs="宋体"/>
                <w:b/>
                <w:bCs/>
                <w:i w:val="0"/>
                <w:iCs w:val="0"/>
                <w:color w:val="auto"/>
                <w:kern w:val="0"/>
                <w:sz w:val="24"/>
                <w:szCs w:val="24"/>
                <w:u w:val="none"/>
                <w:lang w:val="en-US" w:eastAsia="zh-CN" w:bidi="ar"/>
              </w:rPr>
              <w:t>小计：</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bCs/>
                <w:i w:val="0"/>
                <w:iCs w:val="0"/>
                <w:color w:val="auto"/>
                <w:kern w:val="0"/>
                <w:sz w:val="24"/>
                <w:szCs w:val="24"/>
                <w:u w:val="none"/>
                <w:lang w:val="en-US" w:eastAsia="zh-CN" w:bidi="ar"/>
              </w:rPr>
            </w:pPr>
          </w:p>
        </w:tc>
      </w:tr>
    </w:tbl>
    <w:p>
      <w:pPr>
        <w:pStyle w:val="2"/>
        <w:rPr>
          <w:color w:val="auto"/>
        </w:rPr>
      </w:pPr>
    </w:p>
    <w:p>
      <w:pPr>
        <w:rPr>
          <w:color w:val="auto"/>
        </w:rPr>
      </w:pPr>
    </w:p>
    <w:tbl>
      <w:tblPr>
        <w:tblStyle w:val="24"/>
        <w:tblW w:w="997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94"/>
        <w:gridCol w:w="2753"/>
        <w:gridCol w:w="2296"/>
        <w:gridCol w:w="810"/>
        <w:gridCol w:w="942"/>
        <w:gridCol w:w="1351"/>
        <w:gridCol w:w="11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40" w:hRule="atLeast"/>
        </w:trPr>
        <w:tc>
          <w:tcPr>
            <w:tcW w:w="9978" w:type="dxa"/>
            <w:gridSpan w:val="7"/>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2、医院其他区域中央空调设备维保报价清单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序号</w:t>
            </w:r>
          </w:p>
        </w:tc>
        <w:tc>
          <w:tcPr>
            <w:tcW w:w="2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设备名称</w:t>
            </w:r>
          </w:p>
        </w:tc>
        <w:tc>
          <w:tcPr>
            <w:tcW w:w="2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型号规格</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单位</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数量</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年综合单价</w:t>
            </w:r>
          </w:p>
        </w:tc>
        <w:tc>
          <w:tcPr>
            <w:tcW w:w="1132"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一年合价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2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2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约克冷水机组</w:t>
            </w:r>
          </w:p>
        </w:tc>
        <w:tc>
          <w:tcPr>
            <w:tcW w:w="2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YSFZFZS55CNE/22</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台</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8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w:t>
            </w:r>
          </w:p>
        </w:tc>
        <w:tc>
          <w:tcPr>
            <w:tcW w:w="2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离心式水冷机组</w:t>
            </w:r>
          </w:p>
        </w:tc>
        <w:tc>
          <w:tcPr>
            <w:tcW w:w="2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YKEWEQQ75EOG/XC22BER</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台</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6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w:t>
            </w:r>
          </w:p>
        </w:tc>
        <w:tc>
          <w:tcPr>
            <w:tcW w:w="2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模块式风冷冷水（热泵）机组</w:t>
            </w:r>
          </w:p>
        </w:tc>
        <w:tc>
          <w:tcPr>
            <w:tcW w:w="2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YCAE61RMC-B</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台</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12</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8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w:t>
            </w:r>
          </w:p>
        </w:tc>
        <w:tc>
          <w:tcPr>
            <w:tcW w:w="2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多联式空调主机</w:t>
            </w:r>
          </w:p>
        </w:tc>
        <w:tc>
          <w:tcPr>
            <w:tcW w:w="2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各类</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套</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9</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w:t>
            </w:r>
          </w:p>
        </w:tc>
        <w:tc>
          <w:tcPr>
            <w:tcW w:w="2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空调冷却水泵</w:t>
            </w:r>
          </w:p>
        </w:tc>
        <w:tc>
          <w:tcPr>
            <w:tcW w:w="2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KTZ200-150-315</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台</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w:t>
            </w:r>
          </w:p>
        </w:tc>
        <w:tc>
          <w:tcPr>
            <w:tcW w:w="2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空调冷冻水泵</w:t>
            </w:r>
          </w:p>
        </w:tc>
        <w:tc>
          <w:tcPr>
            <w:tcW w:w="2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KTZ200-150-400B</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台</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7</w:t>
            </w:r>
          </w:p>
        </w:tc>
        <w:tc>
          <w:tcPr>
            <w:tcW w:w="2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空调冷冻水泵</w:t>
            </w:r>
          </w:p>
        </w:tc>
        <w:tc>
          <w:tcPr>
            <w:tcW w:w="2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KTZ200-150-400B</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台</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8</w:t>
            </w:r>
          </w:p>
        </w:tc>
        <w:tc>
          <w:tcPr>
            <w:tcW w:w="2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空调冷却水泵</w:t>
            </w:r>
          </w:p>
        </w:tc>
        <w:tc>
          <w:tcPr>
            <w:tcW w:w="2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KTZ200-150-315</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台</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9</w:t>
            </w:r>
          </w:p>
        </w:tc>
        <w:tc>
          <w:tcPr>
            <w:tcW w:w="2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空调冷热水泵</w:t>
            </w:r>
          </w:p>
        </w:tc>
        <w:tc>
          <w:tcPr>
            <w:tcW w:w="2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Y1-132S1-2</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台</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w:t>
            </w:r>
          </w:p>
        </w:tc>
        <w:tc>
          <w:tcPr>
            <w:tcW w:w="2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空调热水循环水泵</w:t>
            </w:r>
          </w:p>
        </w:tc>
        <w:tc>
          <w:tcPr>
            <w:tcW w:w="2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WO71B080-2</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台</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11</w:t>
            </w:r>
          </w:p>
        </w:tc>
        <w:tc>
          <w:tcPr>
            <w:tcW w:w="2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冷却塔 </w:t>
            </w:r>
          </w:p>
        </w:tc>
        <w:tc>
          <w:tcPr>
            <w:tcW w:w="2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LRCH-500/LRC1-300</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台</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12</w:t>
            </w:r>
          </w:p>
        </w:tc>
        <w:tc>
          <w:tcPr>
            <w:tcW w:w="2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电热水器炉</w:t>
            </w:r>
          </w:p>
        </w:tc>
        <w:tc>
          <w:tcPr>
            <w:tcW w:w="2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CWDR0.42-85/65</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台</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8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13</w:t>
            </w:r>
          </w:p>
        </w:tc>
        <w:tc>
          <w:tcPr>
            <w:tcW w:w="2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新风机</w:t>
            </w:r>
          </w:p>
        </w:tc>
        <w:tc>
          <w:tcPr>
            <w:tcW w:w="2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各类</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台</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33</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6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14</w:t>
            </w:r>
          </w:p>
        </w:tc>
        <w:tc>
          <w:tcPr>
            <w:tcW w:w="2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中央空调末端风机盘管</w:t>
            </w:r>
          </w:p>
        </w:tc>
        <w:tc>
          <w:tcPr>
            <w:tcW w:w="2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TCR300CLH</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台</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98</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2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15</w:t>
            </w:r>
          </w:p>
        </w:tc>
        <w:tc>
          <w:tcPr>
            <w:tcW w:w="2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中央空调末端风机盘管</w:t>
            </w:r>
          </w:p>
        </w:tc>
        <w:tc>
          <w:tcPr>
            <w:tcW w:w="2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TCR400CLH</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台</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113</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16</w:t>
            </w:r>
          </w:p>
        </w:tc>
        <w:tc>
          <w:tcPr>
            <w:tcW w:w="2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中央空调末端风机盘管</w:t>
            </w:r>
          </w:p>
        </w:tc>
        <w:tc>
          <w:tcPr>
            <w:tcW w:w="2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TCR500CLH</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台</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258</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17</w:t>
            </w:r>
          </w:p>
        </w:tc>
        <w:tc>
          <w:tcPr>
            <w:tcW w:w="2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中央空调末端风机盘管</w:t>
            </w:r>
          </w:p>
        </w:tc>
        <w:tc>
          <w:tcPr>
            <w:tcW w:w="2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TCR600CLH</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台</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92</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18</w:t>
            </w:r>
          </w:p>
        </w:tc>
        <w:tc>
          <w:tcPr>
            <w:tcW w:w="2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中央空调末端风机盘管</w:t>
            </w:r>
          </w:p>
        </w:tc>
        <w:tc>
          <w:tcPr>
            <w:tcW w:w="2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TCR800CLH</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台</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103</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19</w:t>
            </w:r>
          </w:p>
        </w:tc>
        <w:tc>
          <w:tcPr>
            <w:tcW w:w="2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中央空调末端风机盘管</w:t>
            </w:r>
          </w:p>
        </w:tc>
        <w:tc>
          <w:tcPr>
            <w:tcW w:w="2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TCR1000CLH</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台</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42</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20</w:t>
            </w:r>
          </w:p>
        </w:tc>
        <w:tc>
          <w:tcPr>
            <w:tcW w:w="2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中央空调末端风机盘管</w:t>
            </w:r>
          </w:p>
        </w:tc>
        <w:tc>
          <w:tcPr>
            <w:tcW w:w="2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TCR1200CLH</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台</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25</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21</w:t>
            </w:r>
          </w:p>
        </w:tc>
        <w:tc>
          <w:tcPr>
            <w:tcW w:w="2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中央空调末端风机盘管</w:t>
            </w:r>
          </w:p>
        </w:tc>
        <w:tc>
          <w:tcPr>
            <w:tcW w:w="2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TCR1400CLH</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台</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19</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22</w:t>
            </w:r>
          </w:p>
        </w:tc>
        <w:tc>
          <w:tcPr>
            <w:tcW w:w="2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分体空调</w:t>
            </w:r>
          </w:p>
        </w:tc>
        <w:tc>
          <w:tcPr>
            <w:tcW w:w="2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5匹</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台</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112</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23</w:t>
            </w:r>
          </w:p>
        </w:tc>
        <w:tc>
          <w:tcPr>
            <w:tcW w:w="2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分体空调</w:t>
            </w:r>
          </w:p>
        </w:tc>
        <w:tc>
          <w:tcPr>
            <w:tcW w:w="2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3匹</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台</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82</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24</w:t>
            </w:r>
          </w:p>
        </w:tc>
        <w:tc>
          <w:tcPr>
            <w:tcW w:w="2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分体空调</w:t>
            </w:r>
          </w:p>
        </w:tc>
        <w:tc>
          <w:tcPr>
            <w:tcW w:w="2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2匹</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台</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235</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25</w:t>
            </w:r>
          </w:p>
        </w:tc>
        <w:tc>
          <w:tcPr>
            <w:tcW w:w="2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分体空调</w:t>
            </w:r>
          </w:p>
        </w:tc>
        <w:tc>
          <w:tcPr>
            <w:tcW w:w="2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1.5匹</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台</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316</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26</w:t>
            </w:r>
          </w:p>
        </w:tc>
        <w:tc>
          <w:tcPr>
            <w:tcW w:w="2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分体空调</w:t>
            </w:r>
          </w:p>
        </w:tc>
        <w:tc>
          <w:tcPr>
            <w:tcW w:w="2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1匹</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台</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25</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27</w:t>
            </w:r>
          </w:p>
        </w:tc>
        <w:tc>
          <w:tcPr>
            <w:tcW w:w="2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净化间新风机组</w:t>
            </w:r>
          </w:p>
        </w:tc>
        <w:tc>
          <w:tcPr>
            <w:tcW w:w="2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各类</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台</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28</w:t>
            </w:r>
          </w:p>
        </w:tc>
        <w:tc>
          <w:tcPr>
            <w:tcW w:w="2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净化空气处理机组</w:t>
            </w:r>
          </w:p>
        </w:tc>
        <w:tc>
          <w:tcPr>
            <w:tcW w:w="2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各类</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台</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17</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29</w:t>
            </w:r>
          </w:p>
        </w:tc>
        <w:tc>
          <w:tcPr>
            <w:tcW w:w="2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初效过滤器更换</w:t>
            </w:r>
          </w:p>
        </w:tc>
        <w:tc>
          <w:tcPr>
            <w:tcW w:w="2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490*390*46</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个</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54</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30</w:t>
            </w:r>
          </w:p>
        </w:tc>
        <w:tc>
          <w:tcPr>
            <w:tcW w:w="2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初效过滤器更换</w:t>
            </w:r>
          </w:p>
        </w:tc>
        <w:tc>
          <w:tcPr>
            <w:tcW w:w="2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590*390*46</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个</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68</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31</w:t>
            </w:r>
          </w:p>
        </w:tc>
        <w:tc>
          <w:tcPr>
            <w:tcW w:w="2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初效过滤器更换</w:t>
            </w:r>
          </w:p>
        </w:tc>
        <w:tc>
          <w:tcPr>
            <w:tcW w:w="2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490*490*46</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个</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22</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32</w:t>
            </w:r>
          </w:p>
        </w:tc>
        <w:tc>
          <w:tcPr>
            <w:tcW w:w="2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初效过滤器更换</w:t>
            </w:r>
          </w:p>
        </w:tc>
        <w:tc>
          <w:tcPr>
            <w:tcW w:w="2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590*490*46</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个</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60</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33</w:t>
            </w:r>
          </w:p>
        </w:tc>
        <w:tc>
          <w:tcPr>
            <w:tcW w:w="2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中效过滤器更换</w:t>
            </w:r>
          </w:p>
        </w:tc>
        <w:tc>
          <w:tcPr>
            <w:tcW w:w="2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490*287*381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个</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23</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34</w:t>
            </w:r>
          </w:p>
        </w:tc>
        <w:tc>
          <w:tcPr>
            <w:tcW w:w="2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中效过滤器更换</w:t>
            </w:r>
          </w:p>
        </w:tc>
        <w:tc>
          <w:tcPr>
            <w:tcW w:w="2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490*490*381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个</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19</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35</w:t>
            </w:r>
          </w:p>
        </w:tc>
        <w:tc>
          <w:tcPr>
            <w:tcW w:w="2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中效过滤器更换</w:t>
            </w:r>
          </w:p>
        </w:tc>
        <w:tc>
          <w:tcPr>
            <w:tcW w:w="2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590*490*500</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个</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44</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36</w:t>
            </w:r>
          </w:p>
        </w:tc>
        <w:tc>
          <w:tcPr>
            <w:tcW w:w="2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中效过滤器更换</w:t>
            </w:r>
          </w:p>
        </w:tc>
        <w:tc>
          <w:tcPr>
            <w:tcW w:w="2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790*375*400</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个</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12</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37</w:t>
            </w:r>
          </w:p>
        </w:tc>
        <w:tc>
          <w:tcPr>
            <w:tcW w:w="2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中效过滤器更换</w:t>
            </w:r>
          </w:p>
        </w:tc>
        <w:tc>
          <w:tcPr>
            <w:tcW w:w="2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590*287*500</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个</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28</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38</w:t>
            </w:r>
          </w:p>
        </w:tc>
        <w:tc>
          <w:tcPr>
            <w:tcW w:w="2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手术室排风口及滤网清洗</w:t>
            </w:r>
          </w:p>
        </w:tc>
        <w:tc>
          <w:tcPr>
            <w:tcW w:w="2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个</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120</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39</w:t>
            </w:r>
          </w:p>
        </w:tc>
        <w:tc>
          <w:tcPr>
            <w:tcW w:w="2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手术室空调出风口</w:t>
            </w:r>
          </w:p>
        </w:tc>
        <w:tc>
          <w:tcPr>
            <w:tcW w:w="2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个</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130</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40</w:t>
            </w:r>
          </w:p>
        </w:tc>
        <w:tc>
          <w:tcPr>
            <w:tcW w:w="2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净化间电动门</w:t>
            </w:r>
          </w:p>
        </w:tc>
        <w:tc>
          <w:tcPr>
            <w:tcW w:w="2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各类</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樘</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20</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41</w:t>
            </w:r>
          </w:p>
        </w:tc>
        <w:tc>
          <w:tcPr>
            <w:tcW w:w="2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净化间医用气体</w:t>
            </w:r>
          </w:p>
        </w:tc>
        <w:tc>
          <w:tcPr>
            <w:tcW w:w="2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各类</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间</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17</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42</w:t>
            </w:r>
          </w:p>
        </w:tc>
        <w:tc>
          <w:tcPr>
            <w:tcW w:w="2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净化自控系统</w:t>
            </w:r>
          </w:p>
        </w:tc>
        <w:tc>
          <w:tcPr>
            <w:tcW w:w="2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各类</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套</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17</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43</w:t>
            </w:r>
          </w:p>
        </w:tc>
        <w:tc>
          <w:tcPr>
            <w:tcW w:w="2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净化数据检测与调整</w:t>
            </w:r>
          </w:p>
        </w:tc>
        <w:tc>
          <w:tcPr>
            <w:tcW w:w="2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17</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44</w:t>
            </w:r>
          </w:p>
        </w:tc>
        <w:tc>
          <w:tcPr>
            <w:tcW w:w="2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净化向配电系统</w:t>
            </w:r>
          </w:p>
        </w:tc>
        <w:tc>
          <w:tcPr>
            <w:tcW w:w="2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各类</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间</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17</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45</w:t>
            </w:r>
          </w:p>
        </w:tc>
        <w:tc>
          <w:tcPr>
            <w:tcW w:w="2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二氧化碳气体汇流排</w:t>
            </w:r>
          </w:p>
        </w:tc>
        <w:tc>
          <w:tcPr>
            <w:tcW w:w="2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各类</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项</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46</w:t>
            </w:r>
          </w:p>
        </w:tc>
        <w:tc>
          <w:tcPr>
            <w:tcW w:w="2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氮气气体汇流排</w:t>
            </w:r>
          </w:p>
        </w:tc>
        <w:tc>
          <w:tcPr>
            <w:tcW w:w="2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各类</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项</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47</w:t>
            </w:r>
          </w:p>
        </w:tc>
        <w:tc>
          <w:tcPr>
            <w:tcW w:w="2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医疗设备带</w:t>
            </w:r>
          </w:p>
        </w:tc>
        <w:tc>
          <w:tcPr>
            <w:tcW w:w="2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各类</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套</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1050</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8846"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bCs/>
                <w:i w:val="0"/>
                <w:iCs w:val="0"/>
                <w:color w:val="auto"/>
                <w:kern w:val="0"/>
                <w:sz w:val="24"/>
                <w:szCs w:val="24"/>
                <w:u w:val="none"/>
                <w:lang w:val="en-US" w:eastAsia="zh-CN" w:bidi="ar"/>
              </w:rPr>
            </w:pPr>
            <w:r>
              <w:rPr>
                <w:rFonts w:hint="eastAsia" w:ascii="宋体" w:hAnsi="宋体" w:eastAsia="宋体" w:cs="宋体"/>
                <w:b/>
                <w:bCs/>
                <w:i w:val="0"/>
                <w:iCs w:val="0"/>
                <w:color w:val="auto"/>
                <w:kern w:val="0"/>
                <w:sz w:val="24"/>
                <w:szCs w:val="24"/>
                <w:u w:val="none"/>
                <w:lang w:val="en-US" w:eastAsia="zh-CN" w:bidi="ar"/>
              </w:rPr>
              <w:t>小计：</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bCs/>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8846"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bCs/>
                <w:i w:val="0"/>
                <w:iCs w:val="0"/>
                <w:color w:val="auto"/>
                <w:kern w:val="0"/>
                <w:sz w:val="24"/>
                <w:szCs w:val="24"/>
                <w:u w:val="none"/>
                <w:lang w:val="en-US" w:eastAsia="zh-CN" w:bidi="ar"/>
              </w:rPr>
            </w:pPr>
            <w:r>
              <w:rPr>
                <w:rFonts w:hint="eastAsia" w:ascii="宋体" w:hAnsi="宋体" w:cs="宋体"/>
                <w:b/>
                <w:bCs/>
                <w:i w:val="0"/>
                <w:iCs w:val="0"/>
                <w:color w:val="auto"/>
                <w:kern w:val="0"/>
                <w:sz w:val="24"/>
                <w:szCs w:val="24"/>
                <w:u w:val="none"/>
                <w:lang w:val="en-US" w:eastAsia="zh-CN" w:bidi="ar"/>
              </w:rPr>
              <w:t>病房医技综合楼和医院其他区域</w:t>
            </w:r>
            <w:r>
              <w:rPr>
                <w:rFonts w:hint="eastAsia" w:ascii="宋体" w:hAnsi="宋体" w:eastAsia="宋体" w:cs="宋体"/>
                <w:b/>
                <w:bCs/>
                <w:i w:val="0"/>
                <w:iCs w:val="0"/>
                <w:color w:val="auto"/>
                <w:kern w:val="0"/>
                <w:sz w:val="24"/>
                <w:szCs w:val="24"/>
                <w:u w:val="none"/>
                <w:lang w:val="en-US" w:eastAsia="zh-CN" w:bidi="ar"/>
              </w:rPr>
              <w:t>一年合计:</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bCs/>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8846"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bCs/>
                <w:i w:val="0"/>
                <w:iCs w:val="0"/>
                <w:color w:val="auto"/>
                <w:kern w:val="0"/>
                <w:sz w:val="24"/>
                <w:szCs w:val="24"/>
                <w:u w:val="none"/>
                <w:lang w:val="en-US" w:eastAsia="zh-CN" w:bidi="ar"/>
              </w:rPr>
            </w:pPr>
            <w:r>
              <w:rPr>
                <w:rFonts w:hint="eastAsia" w:ascii="宋体" w:hAnsi="宋体" w:cs="宋体"/>
                <w:b/>
                <w:bCs/>
                <w:i w:val="0"/>
                <w:iCs w:val="0"/>
                <w:color w:val="auto"/>
                <w:kern w:val="0"/>
                <w:sz w:val="24"/>
                <w:szCs w:val="24"/>
                <w:u w:val="none"/>
                <w:lang w:val="en-US" w:eastAsia="zh-CN" w:bidi="ar"/>
              </w:rPr>
              <w:t>病房医技综合楼和医院其他区域</w:t>
            </w:r>
            <w:r>
              <w:rPr>
                <w:rFonts w:hint="eastAsia" w:ascii="宋体" w:hAnsi="宋体" w:eastAsia="宋体" w:cs="宋体"/>
                <w:b/>
                <w:bCs/>
                <w:i w:val="0"/>
                <w:iCs w:val="0"/>
                <w:color w:val="auto"/>
                <w:kern w:val="0"/>
                <w:sz w:val="24"/>
                <w:szCs w:val="24"/>
                <w:u w:val="none"/>
                <w:lang w:val="en-US" w:eastAsia="zh-CN" w:bidi="ar"/>
              </w:rPr>
              <w:t>两年合计：</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bCs/>
                <w:i w:val="0"/>
                <w:iCs w:val="0"/>
                <w:color w:val="auto"/>
                <w:kern w:val="0"/>
                <w:sz w:val="24"/>
                <w:szCs w:val="24"/>
                <w:u w:val="none"/>
                <w:lang w:val="en-US" w:eastAsia="zh-CN" w:bidi="ar"/>
              </w:rPr>
            </w:pPr>
          </w:p>
        </w:tc>
      </w:tr>
    </w:tbl>
    <w:p>
      <w:pPr>
        <w:rPr>
          <w:color w:val="auto"/>
        </w:rPr>
      </w:pPr>
    </w:p>
    <w:p>
      <w:pPr>
        <w:pStyle w:val="4"/>
        <w:rPr>
          <w:color w:val="auto"/>
        </w:rPr>
      </w:pPr>
    </w:p>
    <w:p>
      <w:pPr>
        <w:snapToGrid w:val="0"/>
        <w:spacing w:line="360" w:lineRule="auto"/>
        <w:ind w:firstLine="5040" w:firstLineChars="2100"/>
        <w:rPr>
          <w:rFonts w:ascii="宋体" w:hAnsi="宋体" w:cs="宋体"/>
          <w:color w:val="auto"/>
          <w:kern w:val="0"/>
          <w:sz w:val="24"/>
        </w:rPr>
      </w:pPr>
      <w:r>
        <w:rPr>
          <w:rFonts w:hint="eastAsia" w:ascii="宋体" w:hAnsi="宋体" w:cs="宋体"/>
          <w:color w:val="auto"/>
          <w:kern w:val="0"/>
          <w:sz w:val="24"/>
          <w:lang w:val="zh-CN"/>
        </w:rPr>
        <w:t>投标人名称(盖公章)：</w:t>
      </w:r>
    </w:p>
    <w:p>
      <w:pPr>
        <w:snapToGrid w:val="0"/>
        <w:spacing w:line="360" w:lineRule="auto"/>
        <w:ind w:firstLine="5160" w:firstLineChars="2150"/>
        <w:rPr>
          <w:rFonts w:ascii="宋体" w:hAnsi="宋体" w:cs="宋体"/>
          <w:color w:val="auto"/>
          <w:kern w:val="0"/>
          <w:sz w:val="24"/>
          <w:lang w:val="zh-CN"/>
        </w:rPr>
      </w:pPr>
      <w:r>
        <w:rPr>
          <w:rFonts w:hint="eastAsia" w:ascii="宋体" w:hAnsi="宋体" w:cs="宋体"/>
          <w:color w:val="auto"/>
          <w:kern w:val="0"/>
          <w:sz w:val="24"/>
          <w:lang w:val="zh-CN"/>
        </w:rPr>
        <w:t>日期</w:t>
      </w:r>
      <w:r>
        <w:rPr>
          <w:rFonts w:hint="eastAsia" w:ascii="宋体" w:hAnsi="宋体" w:cs="宋体"/>
          <w:color w:val="auto"/>
          <w:kern w:val="0"/>
          <w:sz w:val="24"/>
        </w:rPr>
        <w:t>：</w:t>
      </w:r>
      <w:r>
        <w:rPr>
          <w:rFonts w:hint="eastAsia" w:ascii="宋体" w:hAnsi="宋体" w:cs="宋体"/>
          <w:color w:val="auto"/>
          <w:kern w:val="0"/>
          <w:sz w:val="24"/>
          <w:lang w:val="en-US" w:eastAsia="zh-CN"/>
        </w:rPr>
        <w:t xml:space="preserve">    </w:t>
      </w:r>
      <w:r>
        <w:rPr>
          <w:rFonts w:hint="eastAsia" w:ascii="宋体" w:hAnsi="宋体" w:cs="宋体"/>
          <w:color w:val="auto"/>
          <w:kern w:val="0"/>
          <w:sz w:val="24"/>
        </w:rPr>
        <w:t>年</w:t>
      </w:r>
      <w:r>
        <w:rPr>
          <w:rFonts w:hint="eastAsia" w:ascii="宋体" w:hAnsi="宋体" w:cs="宋体"/>
          <w:color w:val="auto"/>
          <w:kern w:val="0"/>
          <w:sz w:val="24"/>
          <w:lang w:val="en-US" w:eastAsia="zh-CN"/>
        </w:rPr>
        <w:t xml:space="preserve">    </w:t>
      </w:r>
      <w:r>
        <w:rPr>
          <w:rFonts w:hint="eastAsia" w:ascii="宋体" w:hAnsi="宋体" w:cs="宋体"/>
          <w:color w:val="auto"/>
          <w:kern w:val="0"/>
          <w:sz w:val="24"/>
          <w:lang w:val="zh-CN"/>
        </w:rPr>
        <w:t>月</w:t>
      </w:r>
      <w:r>
        <w:rPr>
          <w:rFonts w:hint="eastAsia" w:ascii="宋体" w:hAnsi="宋体" w:cs="宋体"/>
          <w:color w:val="auto"/>
          <w:kern w:val="0"/>
          <w:sz w:val="24"/>
          <w:lang w:val="en-US" w:eastAsia="zh-CN"/>
        </w:rPr>
        <w:t xml:space="preserve">    </w:t>
      </w:r>
      <w:r>
        <w:rPr>
          <w:rFonts w:hint="eastAsia" w:ascii="宋体" w:hAnsi="宋体" w:cs="宋体"/>
          <w:color w:val="auto"/>
          <w:kern w:val="0"/>
          <w:sz w:val="24"/>
          <w:lang w:val="zh-CN"/>
        </w:rPr>
        <w:t>日</w:t>
      </w:r>
    </w:p>
    <w:p>
      <w:pPr>
        <w:rPr>
          <w:color w:val="auto"/>
        </w:rPr>
        <w:sectPr>
          <w:pgSz w:w="11905" w:h="16838"/>
          <w:pgMar w:top="1134" w:right="1134" w:bottom="1134" w:left="1134" w:header="850" w:footer="850" w:gutter="0"/>
          <w:cols w:space="0" w:num="1"/>
          <w:titlePg/>
          <w:rtlGutter w:val="0"/>
          <w:docGrid w:linePitch="331" w:charSpace="0"/>
        </w:sectPr>
      </w:pPr>
    </w:p>
    <w:p>
      <w:pPr>
        <w:snapToGrid w:val="0"/>
        <w:spacing w:beforeLines="50" w:after="50"/>
        <w:jc w:val="center"/>
        <w:outlineLvl w:val="1"/>
        <w:rPr>
          <w:rFonts w:ascii="宋体" w:hAnsi="宋体"/>
          <w:b/>
          <w:bCs/>
          <w:color w:val="auto"/>
          <w:sz w:val="28"/>
          <w:szCs w:val="28"/>
        </w:rPr>
      </w:pPr>
      <w:bookmarkStart w:id="404" w:name="_Toc2783"/>
      <w:r>
        <w:rPr>
          <w:rFonts w:hint="eastAsia" w:ascii="宋体" w:hAnsi="宋体"/>
          <w:b/>
          <w:bCs/>
          <w:color w:val="auto"/>
          <w:sz w:val="28"/>
          <w:szCs w:val="28"/>
        </w:rPr>
        <w:t>第五节 其他文书、文件格式</w:t>
      </w:r>
      <w:bookmarkEnd w:id="404"/>
    </w:p>
    <w:p>
      <w:pPr>
        <w:pStyle w:val="14"/>
        <w:jc w:val="center"/>
        <w:rPr>
          <w:rFonts w:ascii="Times New Roman" w:hAnsi="Times New Roman"/>
          <w:b/>
          <w:color w:val="auto"/>
          <w:sz w:val="30"/>
          <w:szCs w:val="30"/>
        </w:rPr>
      </w:pPr>
    </w:p>
    <w:p>
      <w:pPr>
        <w:pStyle w:val="14"/>
        <w:jc w:val="left"/>
        <w:rPr>
          <w:rFonts w:ascii="Times New Roman" w:hAnsi="Times New Roman"/>
          <w:b/>
          <w:color w:val="auto"/>
          <w:sz w:val="30"/>
          <w:szCs w:val="30"/>
        </w:rPr>
      </w:pPr>
      <w:r>
        <w:rPr>
          <w:rFonts w:hint="eastAsia" w:hAnsi="宋体" w:cs="宋体"/>
          <w:b/>
          <w:color w:val="auto"/>
          <w:sz w:val="28"/>
          <w:szCs w:val="28"/>
        </w:rPr>
        <w:t>1.中小企业声明函的格式：</w:t>
      </w:r>
    </w:p>
    <w:p>
      <w:pPr>
        <w:pStyle w:val="14"/>
        <w:jc w:val="center"/>
        <w:rPr>
          <w:rFonts w:ascii="Times New Roman" w:hAnsi="Times New Roman"/>
          <w:b/>
          <w:color w:val="auto"/>
          <w:sz w:val="30"/>
          <w:szCs w:val="30"/>
        </w:rPr>
      </w:pPr>
    </w:p>
    <w:p>
      <w:pPr>
        <w:pStyle w:val="14"/>
        <w:jc w:val="center"/>
        <w:rPr>
          <w:rFonts w:ascii="Times New Roman" w:hAnsi="Times New Roman"/>
          <w:b/>
          <w:color w:val="auto"/>
          <w:sz w:val="30"/>
          <w:szCs w:val="30"/>
        </w:rPr>
      </w:pPr>
      <w:r>
        <w:rPr>
          <w:rFonts w:hint="eastAsia" w:ascii="Times New Roman" w:hAnsi="Times New Roman"/>
          <w:b/>
          <w:color w:val="auto"/>
          <w:sz w:val="30"/>
          <w:szCs w:val="30"/>
        </w:rPr>
        <w:t>中小企业声明函</w:t>
      </w:r>
    </w:p>
    <w:p>
      <w:pPr>
        <w:pStyle w:val="12"/>
        <w:spacing w:line="240" w:lineRule="auto"/>
        <w:ind w:firstLine="404" w:firstLineChars="200"/>
        <w:rPr>
          <w:rFonts w:ascii="Times New Roman" w:hAnsi="宋体"/>
          <w:color w:val="auto"/>
          <w:sz w:val="21"/>
          <w:szCs w:val="21"/>
        </w:rPr>
      </w:pPr>
    </w:p>
    <w:p>
      <w:pPr>
        <w:autoSpaceDE w:val="0"/>
        <w:autoSpaceDN w:val="0"/>
        <w:adjustRightInd w:val="0"/>
        <w:spacing w:line="360" w:lineRule="auto"/>
        <w:ind w:firstLine="424" w:firstLineChars="202"/>
        <w:jc w:val="left"/>
        <w:rPr>
          <w:rFonts w:ascii="宋体" w:hAnsi="宋体" w:cs="宋体"/>
          <w:color w:val="auto"/>
          <w:kern w:val="0"/>
          <w:szCs w:val="21"/>
        </w:rPr>
      </w:pPr>
      <w:r>
        <w:rPr>
          <w:rFonts w:hint="eastAsia" w:ascii="宋体" w:hAnsi="宋体" w:cs="宋体"/>
          <w:color w:val="auto"/>
          <w:kern w:val="0"/>
          <w:szCs w:val="21"/>
        </w:rPr>
        <w:t>本公司（联合体）郑重声明，根据《政府采购促进中小企业发展管理办法》（财库﹝2020﹞46 号）的规定，本公司（联合体）参加</w:t>
      </w:r>
      <w:r>
        <w:rPr>
          <w:rFonts w:hint="eastAsia" w:ascii="宋体" w:hAnsi="宋体" w:cs="宋体"/>
          <w:i/>
          <w:color w:val="auto"/>
          <w:kern w:val="0"/>
          <w:szCs w:val="21"/>
          <w:u w:val="single"/>
        </w:rPr>
        <w:t>（单位名称）</w:t>
      </w:r>
      <w:r>
        <w:rPr>
          <w:rFonts w:hint="eastAsia" w:ascii="宋体" w:hAnsi="宋体" w:cs="宋体"/>
          <w:color w:val="auto"/>
          <w:kern w:val="0"/>
          <w:szCs w:val="21"/>
        </w:rPr>
        <w:t>的</w:t>
      </w:r>
      <w:r>
        <w:rPr>
          <w:rFonts w:hint="eastAsia" w:ascii="宋体" w:hAnsi="宋体" w:cs="宋体"/>
          <w:i/>
          <w:color w:val="auto"/>
          <w:kern w:val="0"/>
          <w:szCs w:val="21"/>
          <w:u w:val="single"/>
        </w:rPr>
        <w:t>（项目名称）</w:t>
      </w:r>
      <w:r>
        <w:rPr>
          <w:rFonts w:hint="eastAsia" w:ascii="宋体" w:hAnsi="宋体" w:cs="宋体"/>
          <w:color w:val="auto"/>
          <w:kern w:val="0"/>
          <w:szCs w:val="21"/>
        </w:rPr>
        <w:t>采购活动，服务全部由符合政策要求的中小企业承接。相关企业（含联合体中的中小企业、签订分包意向协议的中小企业）的具体情况如下：</w:t>
      </w:r>
    </w:p>
    <w:p>
      <w:pPr>
        <w:autoSpaceDE w:val="0"/>
        <w:autoSpaceDN w:val="0"/>
        <w:adjustRightInd w:val="0"/>
        <w:spacing w:line="360" w:lineRule="auto"/>
        <w:ind w:firstLine="424" w:firstLineChars="202"/>
        <w:jc w:val="left"/>
        <w:rPr>
          <w:rFonts w:ascii="宋体" w:hAnsi="宋体" w:cs="宋体"/>
          <w:color w:val="auto"/>
          <w:kern w:val="0"/>
          <w:szCs w:val="21"/>
        </w:rPr>
      </w:pPr>
      <w:r>
        <w:rPr>
          <w:rFonts w:hint="eastAsia" w:ascii="宋体" w:hAnsi="宋体" w:cs="宋体"/>
          <w:color w:val="auto"/>
          <w:kern w:val="0"/>
          <w:szCs w:val="21"/>
        </w:rPr>
        <w:t xml:space="preserve">1. </w:t>
      </w:r>
      <w:r>
        <w:rPr>
          <w:rFonts w:hint="eastAsia" w:ascii="宋体" w:hAnsi="宋体" w:cs="宋体"/>
          <w:i/>
          <w:color w:val="auto"/>
          <w:kern w:val="0"/>
          <w:szCs w:val="21"/>
          <w:u w:val="single"/>
        </w:rPr>
        <w:t>（标的名称）</w:t>
      </w:r>
      <w:r>
        <w:rPr>
          <w:rFonts w:hint="eastAsia" w:ascii="宋体" w:hAnsi="宋体" w:cs="宋体"/>
          <w:color w:val="auto"/>
          <w:kern w:val="0"/>
          <w:szCs w:val="21"/>
        </w:rPr>
        <w:t xml:space="preserve"> ，属于</w:t>
      </w:r>
      <w:r>
        <w:rPr>
          <w:rFonts w:hint="eastAsia" w:ascii="宋体" w:hAnsi="宋体" w:cs="宋体"/>
          <w:i/>
          <w:color w:val="auto"/>
          <w:kern w:val="0"/>
          <w:szCs w:val="21"/>
          <w:u w:val="single"/>
        </w:rPr>
        <w:t>（采购文件中明确的所属行业）</w:t>
      </w:r>
      <w:r>
        <w:rPr>
          <w:rFonts w:hint="eastAsia" w:ascii="宋体" w:hAnsi="宋体" w:cs="宋体"/>
          <w:color w:val="auto"/>
          <w:kern w:val="0"/>
          <w:szCs w:val="21"/>
        </w:rPr>
        <w:t>；承建（承接）企业为</w:t>
      </w:r>
      <w:r>
        <w:rPr>
          <w:rFonts w:hint="eastAsia" w:ascii="宋体" w:hAnsi="宋体" w:cs="宋体"/>
          <w:i/>
          <w:color w:val="auto"/>
          <w:kern w:val="0"/>
          <w:szCs w:val="21"/>
          <w:u w:val="single"/>
        </w:rPr>
        <w:t>（企业名称）</w:t>
      </w:r>
      <w:r>
        <w:rPr>
          <w:rFonts w:hint="eastAsia" w:ascii="宋体" w:hAnsi="宋体" w:cs="宋体"/>
          <w:color w:val="auto"/>
          <w:kern w:val="0"/>
          <w:szCs w:val="21"/>
        </w:rPr>
        <w:t>，从业人员人，营业收入为万元，资产总额为万元，属于</w:t>
      </w:r>
      <w:r>
        <w:rPr>
          <w:rFonts w:hint="eastAsia" w:ascii="宋体" w:hAnsi="宋体" w:cs="宋体"/>
          <w:i/>
          <w:color w:val="auto"/>
          <w:kern w:val="0"/>
          <w:szCs w:val="21"/>
          <w:u w:val="single"/>
        </w:rPr>
        <w:t>（中型企业、小型企业、微型企业）</w:t>
      </w:r>
      <w:r>
        <w:rPr>
          <w:rFonts w:hint="eastAsia" w:ascii="宋体" w:hAnsi="宋体" w:cs="宋体"/>
          <w:color w:val="auto"/>
          <w:kern w:val="0"/>
          <w:szCs w:val="21"/>
        </w:rPr>
        <w:t>；</w:t>
      </w:r>
    </w:p>
    <w:p>
      <w:pPr>
        <w:autoSpaceDE w:val="0"/>
        <w:autoSpaceDN w:val="0"/>
        <w:adjustRightInd w:val="0"/>
        <w:spacing w:line="360" w:lineRule="auto"/>
        <w:ind w:firstLine="424" w:firstLineChars="202"/>
        <w:jc w:val="left"/>
        <w:rPr>
          <w:rFonts w:ascii="宋体" w:hAnsi="宋体" w:cs="宋体"/>
          <w:color w:val="auto"/>
          <w:kern w:val="0"/>
          <w:szCs w:val="21"/>
        </w:rPr>
      </w:pPr>
      <w:r>
        <w:rPr>
          <w:rFonts w:hint="eastAsia" w:ascii="宋体" w:hAnsi="宋体" w:cs="宋体"/>
          <w:color w:val="auto"/>
          <w:kern w:val="0"/>
          <w:szCs w:val="21"/>
        </w:rPr>
        <w:t xml:space="preserve">2. </w:t>
      </w:r>
      <w:r>
        <w:rPr>
          <w:rFonts w:hint="eastAsia" w:ascii="宋体" w:hAnsi="宋体" w:cs="宋体"/>
          <w:i/>
          <w:color w:val="auto"/>
          <w:kern w:val="0"/>
          <w:szCs w:val="21"/>
          <w:u w:val="single"/>
        </w:rPr>
        <w:t>（标的名称）</w:t>
      </w:r>
      <w:r>
        <w:rPr>
          <w:rFonts w:hint="eastAsia" w:ascii="宋体" w:hAnsi="宋体" w:cs="宋体"/>
          <w:color w:val="auto"/>
          <w:kern w:val="0"/>
          <w:szCs w:val="21"/>
        </w:rPr>
        <w:t xml:space="preserve"> ，属于</w:t>
      </w:r>
      <w:r>
        <w:rPr>
          <w:rFonts w:hint="eastAsia" w:ascii="宋体" w:hAnsi="宋体" w:cs="宋体"/>
          <w:i/>
          <w:color w:val="auto"/>
          <w:kern w:val="0"/>
          <w:szCs w:val="21"/>
          <w:u w:val="single"/>
        </w:rPr>
        <w:t>（采购文件中明确的所属行业）</w:t>
      </w:r>
      <w:r>
        <w:rPr>
          <w:rFonts w:hint="eastAsia" w:ascii="宋体" w:hAnsi="宋体" w:cs="宋体"/>
          <w:color w:val="auto"/>
          <w:kern w:val="0"/>
          <w:szCs w:val="21"/>
        </w:rPr>
        <w:t>；承建（承接）企业为</w:t>
      </w:r>
      <w:r>
        <w:rPr>
          <w:rFonts w:hint="eastAsia" w:ascii="宋体" w:hAnsi="宋体" w:cs="宋体"/>
          <w:i/>
          <w:color w:val="auto"/>
          <w:kern w:val="0"/>
          <w:szCs w:val="21"/>
          <w:u w:val="single"/>
        </w:rPr>
        <w:t>（企业名称）</w:t>
      </w:r>
      <w:r>
        <w:rPr>
          <w:rFonts w:hint="eastAsia" w:ascii="宋体" w:hAnsi="宋体" w:cs="宋体"/>
          <w:color w:val="auto"/>
          <w:kern w:val="0"/>
          <w:szCs w:val="21"/>
        </w:rPr>
        <w:t>，从业人员人，营业收入为万元，资产总额为万元，属于</w:t>
      </w:r>
      <w:r>
        <w:rPr>
          <w:rFonts w:hint="eastAsia" w:ascii="宋体" w:hAnsi="宋体" w:cs="宋体"/>
          <w:i/>
          <w:color w:val="auto"/>
          <w:kern w:val="0"/>
          <w:szCs w:val="21"/>
          <w:u w:val="single"/>
        </w:rPr>
        <w:t>（中型企业、小型企业、微型企业）</w:t>
      </w:r>
      <w:r>
        <w:rPr>
          <w:rFonts w:hint="eastAsia" w:ascii="宋体" w:hAnsi="宋体" w:cs="宋体"/>
          <w:color w:val="auto"/>
          <w:kern w:val="0"/>
          <w:szCs w:val="21"/>
        </w:rPr>
        <w:t>；</w:t>
      </w:r>
    </w:p>
    <w:p>
      <w:pPr>
        <w:autoSpaceDE w:val="0"/>
        <w:autoSpaceDN w:val="0"/>
        <w:adjustRightInd w:val="0"/>
        <w:spacing w:line="360" w:lineRule="auto"/>
        <w:ind w:firstLine="424" w:firstLineChars="202"/>
        <w:jc w:val="left"/>
        <w:rPr>
          <w:rFonts w:ascii="宋体" w:hAnsi="宋体" w:cs="宋体"/>
          <w:color w:val="auto"/>
          <w:kern w:val="0"/>
          <w:szCs w:val="21"/>
        </w:rPr>
      </w:pPr>
      <w:r>
        <w:rPr>
          <w:rFonts w:hint="eastAsia" w:ascii="宋体" w:hAnsi="宋体" w:cs="宋体"/>
          <w:color w:val="auto"/>
          <w:kern w:val="0"/>
          <w:szCs w:val="21"/>
        </w:rPr>
        <w:t>……</w:t>
      </w:r>
    </w:p>
    <w:p>
      <w:pPr>
        <w:autoSpaceDE w:val="0"/>
        <w:autoSpaceDN w:val="0"/>
        <w:adjustRightInd w:val="0"/>
        <w:spacing w:line="360" w:lineRule="auto"/>
        <w:ind w:firstLine="424" w:firstLineChars="202"/>
        <w:jc w:val="left"/>
        <w:rPr>
          <w:rFonts w:ascii="宋体" w:hAnsi="宋体" w:cs="宋体"/>
          <w:color w:val="auto"/>
          <w:kern w:val="0"/>
          <w:szCs w:val="21"/>
        </w:rPr>
      </w:pPr>
      <w:r>
        <w:rPr>
          <w:rFonts w:hint="eastAsia" w:ascii="宋体" w:hAnsi="宋体" w:cs="宋体"/>
          <w:color w:val="auto"/>
          <w:kern w:val="0"/>
          <w:szCs w:val="21"/>
        </w:rPr>
        <w:t>以上企业，不属于大企业的分支机构，不存在控股股东为大企业的情形，也不存在与大企业的负责人为同一人的情形。</w:t>
      </w:r>
    </w:p>
    <w:p>
      <w:pPr>
        <w:autoSpaceDE w:val="0"/>
        <w:autoSpaceDN w:val="0"/>
        <w:adjustRightInd w:val="0"/>
        <w:spacing w:line="360" w:lineRule="auto"/>
        <w:ind w:firstLine="424" w:firstLineChars="202"/>
        <w:jc w:val="left"/>
        <w:rPr>
          <w:rFonts w:ascii="宋体" w:hAnsi="宋体" w:cs="宋体"/>
          <w:color w:val="auto"/>
          <w:kern w:val="0"/>
          <w:szCs w:val="21"/>
        </w:rPr>
      </w:pPr>
      <w:r>
        <w:rPr>
          <w:rFonts w:hint="eastAsia" w:ascii="宋体" w:hAnsi="宋体" w:cs="宋体"/>
          <w:color w:val="auto"/>
          <w:kern w:val="0"/>
          <w:szCs w:val="21"/>
        </w:rPr>
        <w:t>本企业对上述声明内容的真实性负责。如有虚假，将依法承担相应责任。</w:t>
      </w:r>
    </w:p>
    <w:p>
      <w:pPr>
        <w:pStyle w:val="14"/>
        <w:spacing w:line="360" w:lineRule="auto"/>
        <w:ind w:firstLine="420" w:firstLineChars="200"/>
        <w:rPr>
          <w:rFonts w:hAnsi="宋体"/>
          <w:color w:val="auto"/>
          <w:szCs w:val="21"/>
        </w:rPr>
      </w:pPr>
    </w:p>
    <w:p>
      <w:pPr>
        <w:pStyle w:val="14"/>
        <w:spacing w:line="360" w:lineRule="auto"/>
        <w:ind w:firstLine="420" w:firstLineChars="200"/>
        <w:rPr>
          <w:rFonts w:hAnsi="宋体" w:cs="宋体"/>
          <w:color w:val="auto"/>
          <w:szCs w:val="21"/>
        </w:rPr>
      </w:pPr>
    </w:p>
    <w:p>
      <w:pPr>
        <w:snapToGrid w:val="0"/>
        <w:spacing w:line="360" w:lineRule="auto"/>
        <w:ind w:firstLine="5040" w:firstLineChars="2100"/>
        <w:rPr>
          <w:rFonts w:ascii="宋体" w:hAnsi="宋体" w:cs="宋体"/>
          <w:color w:val="auto"/>
          <w:kern w:val="0"/>
          <w:sz w:val="24"/>
        </w:rPr>
      </w:pPr>
      <w:r>
        <w:rPr>
          <w:rFonts w:hint="eastAsia" w:ascii="宋体" w:hAnsi="宋体" w:cs="宋体"/>
          <w:color w:val="auto"/>
          <w:kern w:val="0"/>
          <w:sz w:val="24"/>
          <w:lang w:val="zh-CN"/>
        </w:rPr>
        <w:t>投标人名称(盖公章)：</w:t>
      </w:r>
    </w:p>
    <w:p>
      <w:pPr>
        <w:snapToGrid w:val="0"/>
        <w:spacing w:line="360" w:lineRule="auto"/>
        <w:ind w:firstLine="5160" w:firstLineChars="2150"/>
        <w:rPr>
          <w:rFonts w:ascii="宋体" w:hAnsi="宋体" w:cs="宋体"/>
          <w:color w:val="auto"/>
          <w:kern w:val="0"/>
          <w:sz w:val="24"/>
          <w:lang w:val="zh-CN"/>
        </w:rPr>
      </w:pPr>
      <w:r>
        <w:rPr>
          <w:rFonts w:hint="eastAsia" w:ascii="宋体" w:hAnsi="宋体" w:cs="宋体"/>
          <w:color w:val="auto"/>
          <w:kern w:val="0"/>
          <w:sz w:val="24"/>
          <w:lang w:val="zh-CN"/>
        </w:rPr>
        <w:t>日期</w:t>
      </w:r>
      <w:r>
        <w:rPr>
          <w:rFonts w:hint="eastAsia" w:ascii="宋体" w:hAnsi="宋体" w:cs="宋体"/>
          <w:color w:val="auto"/>
          <w:kern w:val="0"/>
          <w:sz w:val="24"/>
        </w:rPr>
        <w:t xml:space="preserve">：  年  </w:t>
      </w:r>
      <w:r>
        <w:rPr>
          <w:rFonts w:hint="eastAsia" w:ascii="宋体" w:hAnsi="宋体" w:cs="宋体"/>
          <w:color w:val="auto"/>
          <w:kern w:val="0"/>
          <w:sz w:val="24"/>
          <w:lang w:val="zh-CN"/>
        </w:rPr>
        <w:t>月日</w:t>
      </w:r>
    </w:p>
    <w:p>
      <w:pPr>
        <w:pStyle w:val="14"/>
        <w:spacing w:line="360" w:lineRule="auto"/>
        <w:ind w:firstLine="420" w:firstLineChars="200"/>
        <w:rPr>
          <w:rFonts w:hAnsi="宋体"/>
          <w:color w:val="auto"/>
          <w:szCs w:val="21"/>
        </w:rPr>
      </w:pPr>
    </w:p>
    <w:p>
      <w:pPr>
        <w:snapToGrid w:val="0"/>
        <w:spacing w:before="50" w:afterLines="50" w:line="360" w:lineRule="auto"/>
        <w:ind w:firstLine="210" w:firstLineChars="100"/>
        <w:jc w:val="left"/>
        <w:rPr>
          <w:rFonts w:ascii="宋体" w:hAnsi="宋体" w:cs="宋体"/>
          <w:color w:val="auto"/>
          <w:szCs w:val="21"/>
        </w:rPr>
      </w:pPr>
      <w:r>
        <w:rPr>
          <w:rFonts w:hint="eastAsia" w:ascii="宋体" w:hAnsi="宋体" w:cs="宋体"/>
          <w:color w:val="auto"/>
          <w:szCs w:val="21"/>
        </w:rPr>
        <w:t>注：</w:t>
      </w:r>
    </w:p>
    <w:p>
      <w:pPr>
        <w:numPr>
          <w:ilvl w:val="0"/>
          <w:numId w:val="6"/>
        </w:numPr>
        <w:snapToGrid w:val="0"/>
        <w:spacing w:before="50" w:afterLines="50" w:line="360" w:lineRule="auto"/>
        <w:jc w:val="left"/>
        <w:rPr>
          <w:rFonts w:ascii="宋体" w:hAnsi="宋体" w:cs="宋体"/>
          <w:color w:val="auto"/>
          <w:szCs w:val="21"/>
        </w:rPr>
      </w:pPr>
      <w:r>
        <w:rPr>
          <w:rFonts w:hint="eastAsia" w:ascii="宋体" w:hAnsi="宋体" w:cs="宋体"/>
          <w:color w:val="auto"/>
          <w:szCs w:val="21"/>
        </w:rPr>
        <w:t>从业人员、营业收入、资产总额填报上一年度数据，无上一年度数据的新成立企业可不填报。</w:t>
      </w:r>
    </w:p>
    <w:p>
      <w:pPr>
        <w:snapToGrid w:val="0"/>
        <w:spacing w:before="50" w:afterLines="50" w:line="360" w:lineRule="auto"/>
        <w:ind w:firstLine="315" w:firstLineChars="150"/>
        <w:jc w:val="left"/>
        <w:rPr>
          <w:rFonts w:ascii="宋体" w:hAnsi="宋体" w:cs="宋体"/>
          <w:color w:val="auto"/>
          <w:szCs w:val="21"/>
        </w:rPr>
      </w:pPr>
      <w:r>
        <w:rPr>
          <w:rFonts w:hint="eastAsia" w:ascii="宋体" w:hAnsi="宋体" w:cs="宋体"/>
          <w:color w:val="auto"/>
          <w:szCs w:val="21"/>
        </w:rPr>
        <w:t>2、请根据自己的真实情况出具《中小企业声明函》。依法享受中小企业扶持政策的，采购人或者采购代理机构在公告中标结果时，同时公告其《中小企业声明函》，接受社会监督。</w:t>
      </w:r>
    </w:p>
    <w:p>
      <w:pPr>
        <w:pStyle w:val="12"/>
        <w:spacing w:line="360" w:lineRule="auto"/>
        <w:ind w:firstLine="406" w:firstLineChars="200"/>
        <w:rPr>
          <w:rFonts w:hAnsi="宋体" w:cs="宋体"/>
          <w:b/>
          <w:bCs/>
          <w:color w:val="auto"/>
          <w:sz w:val="21"/>
          <w:szCs w:val="21"/>
        </w:rPr>
      </w:pPr>
      <w:r>
        <w:rPr>
          <w:rFonts w:hint="eastAsia" w:hAnsi="宋体" w:cs="宋体"/>
          <w:b/>
          <w:bCs/>
          <w:color w:val="auto"/>
          <w:sz w:val="21"/>
          <w:szCs w:val="21"/>
        </w:rPr>
        <w:t>3、本声明函主要供参加政府采购活动的中小企业填写，非中小企业无需填写。</w:t>
      </w:r>
    </w:p>
    <w:p>
      <w:pPr>
        <w:pStyle w:val="12"/>
        <w:spacing w:line="360" w:lineRule="auto"/>
        <w:ind w:firstLine="406" w:firstLineChars="200"/>
        <w:rPr>
          <w:rFonts w:hAnsi="宋体" w:cs="宋体"/>
          <w:b/>
          <w:bCs/>
          <w:color w:val="auto"/>
          <w:sz w:val="21"/>
          <w:szCs w:val="21"/>
        </w:rPr>
      </w:pPr>
      <w:r>
        <w:rPr>
          <w:rFonts w:hint="eastAsia" w:hAnsi="宋体" w:cs="宋体"/>
          <w:b/>
          <w:bCs/>
          <w:color w:val="auto"/>
          <w:sz w:val="21"/>
          <w:szCs w:val="21"/>
        </w:rPr>
        <w:t>4、小型、微型企业提供中型企业提供的服务的，视同为中型企业。</w:t>
      </w:r>
    </w:p>
    <w:p>
      <w:pPr>
        <w:pStyle w:val="2"/>
        <w:rPr>
          <w:rFonts w:ascii="宋体" w:hAnsi="宋体" w:cs="宋体"/>
          <w:b/>
          <w:bCs/>
          <w:color w:val="auto"/>
        </w:rPr>
        <w:sectPr>
          <w:pgSz w:w="11905" w:h="16838"/>
          <w:pgMar w:top="1134" w:right="1134" w:bottom="1134" w:left="1134" w:header="850" w:footer="850" w:gutter="0"/>
          <w:cols w:space="0" w:num="1"/>
          <w:titlePg/>
          <w:rtlGutter w:val="0"/>
          <w:docGrid w:linePitch="331" w:charSpace="0"/>
        </w:sectPr>
      </w:pPr>
    </w:p>
    <w:p>
      <w:pPr>
        <w:jc w:val="left"/>
        <w:rPr>
          <w:rFonts w:ascii="宋体" w:hAnsi="宋体" w:cs="宋体"/>
          <w:b/>
          <w:color w:val="auto"/>
          <w:sz w:val="28"/>
          <w:szCs w:val="28"/>
        </w:rPr>
      </w:pPr>
      <w:r>
        <w:rPr>
          <w:rFonts w:hint="eastAsia" w:ascii="宋体" w:hAnsi="宋体" w:cs="宋体"/>
          <w:b/>
          <w:color w:val="auto"/>
          <w:sz w:val="28"/>
          <w:szCs w:val="28"/>
        </w:rPr>
        <w:t>2.残疾人福利性单位声明函的格式：</w:t>
      </w:r>
    </w:p>
    <w:p>
      <w:pPr>
        <w:jc w:val="left"/>
        <w:rPr>
          <w:rFonts w:hAnsi="宋体" w:cs="宋体"/>
          <w:b/>
          <w:color w:val="auto"/>
          <w:sz w:val="28"/>
          <w:szCs w:val="28"/>
        </w:rPr>
      </w:pPr>
    </w:p>
    <w:p>
      <w:pPr>
        <w:jc w:val="left"/>
        <w:rPr>
          <w:rFonts w:hAnsi="宋体" w:cs="宋体"/>
          <w:b/>
          <w:color w:val="auto"/>
          <w:sz w:val="28"/>
          <w:szCs w:val="28"/>
        </w:rPr>
      </w:pPr>
    </w:p>
    <w:p>
      <w:pPr>
        <w:pStyle w:val="14"/>
        <w:spacing w:line="360" w:lineRule="auto"/>
        <w:jc w:val="center"/>
        <w:rPr>
          <w:b/>
          <w:color w:val="auto"/>
          <w:sz w:val="30"/>
          <w:szCs w:val="30"/>
        </w:rPr>
      </w:pPr>
      <w:r>
        <w:rPr>
          <w:rFonts w:hint="eastAsia"/>
          <w:b/>
          <w:color w:val="auto"/>
          <w:sz w:val="30"/>
          <w:szCs w:val="30"/>
        </w:rPr>
        <w:t>残疾人福利性单位声明函</w:t>
      </w:r>
    </w:p>
    <w:p>
      <w:pPr>
        <w:pStyle w:val="14"/>
        <w:spacing w:line="360" w:lineRule="auto"/>
        <w:jc w:val="center"/>
        <w:rPr>
          <w:b/>
          <w:color w:val="auto"/>
          <w:sz w:val="30"/>
          <w:szCs w:val="30"/>
        </w:rPr>
      </w:pPr>
    </w:p>
    <w:p>
      <w:pPr>
        <w:pStyle w:val="14"/>
        <w:spacing w:line="360" w:lineRule="auto"/>
        <w:jc w:val="left"/>
        <w:rPr>
          <w:rFonts w:hAnsi="宋体" w:cs="宋体"/>
          <w:color w:val="auto"/>
          <w:sz w:val="24"/>
          <w:szCs w:val="24"/>
        </w:rPr>
      </w:pPr>
      <w:r>
        <w:rPr>
          <w:rFonts w:hint="eastAsia" w:hAnsi="宋体" w:cs="宋体"/>
          <w:color w:val="auto"/>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pStyle w:val="14"/>
        <w:spacing w:line="360" w:lineRule="auto"/>
        <w:ind w:firstLine="480" w:firstLineChars="200"/>
        <w:jc w:val="left"/>
        <w:rPr>
          <w:rFonts w:hAnsi="宋体" w:cs="宋体"/>
          <w:color w:val="auto"/>
          <w:sz w:val="24"/>
          <w:szCs w:val="24"/>
        </w:rPr>
      </w:pPr>
      <w:r>
        <w:rPr>
          <w:rFonts w:hint="eastAsia" w:hAnsi="宋体" w:cs="宋体"/>
          <w:color w:val="auto"/>
          <w:sz w:val="24"/>
          <w:szCs w:val="24"/>
        </w:rPr>
        <w:t>本单位对上述声明的真实性负责。如有虚假，将依法承担相应责任。</w:t>
      </w:r>
    </w:p>
    <w:p>
      <w:pPr>
        <w:pStyle w:val="14"/>
        <w:spacing w:line="360" w:lineRule="auto"/>
        <w:jc w:val="left"/>
        <w:rPr>
          <w:rFonts w:hAnsi="宋体" w:cs="宋体"/>
          <w:b/>
          <w:color w:val="auto"/>
          <w:szCs w:val="21"/>
        </w:rPr>
      </w:pPr>
    </w:p>
    <w:p>
      <w:pPr>
        <w:pStyle w:val="14"/>
        <w:spacing w:line="360" w:lineRule="auto"/>
        <w:jc w:val="left"/>
        <w:rPr>
          <w:rFonts w:hAnsi="宋体" w:cs="宋体"/>
          <w:b/>
          <w:color w:val="auto"/>
          <w:szCs w:val="21"/>
        </w:rPr>
      </w:pPr>
    </w:p>
    <w:p>
      <w:pPr>
        <w:snapToGrid w:val="0"/>
        <w:spacing w:line="360" w:lineRule="auto"/>
        <w:ind w:left="5626" w:leftChars="1736" w:hanging="1980" w:hangingChars="825"/>
        <w:rPr>
          <w:rFonts w:ascii="宋体" w:hAnsi="宋体" w:cs="宋体"/>
          <w:color w:val="auto"/>
          <w:kern w:val="0"/>
          <w:sz w:val="24"/>
        </w:rPr>
      </w:pPr>
      <w:r>
        <w:rPr>
          <w:rFonts w:hint="eastAsia" w:ascii="宋体" w:hAnsi="宋体" w:cs="宋体"/>
          <w:color w:val="auto"/>
          <w:kern w:val="0"/>
          <w:sz w:val="24"/>
          <w:lang w:val="zh-CN"/>
        </w:rPr>
        <w:t>投标人名称(盖公章)：</w:t>
      </w:r>
    </w:p>
    <w:p>
      <w:pPr>
        <w:snapToGrid w:val="0"/>
        <w:spacing w:line="360" w:lineRule="auto"/>
        <w:ind w:firstLine="5160" w:firstLineChars="2150"/>
        <w:rPr>
          <w:rFonts w:ascii="宋体" w:hAnsi="宋体" w:cs="宋体"/>
          <w:color w:val="auto"/>
          <w:kern w:val="0"/>
          <w:sz w:val="24"/>
          <w:lang w:val="zh-CN"/>
        </w:rPr>
      </w:pPr>
      <w:r>
        <w:rPr>
          <w:rFonts w:hint="eastAsia" w:ascii="宋体" w:hAnsi="宋体" w:cs="宋体"/>
          <w:color w:val="auto"/>
          <w:kern w:val="0"/>
          <w:sz w:val="24"/>
          <w:lang w:val="zh-CN"/>
        </w:rPr>
        <w:t>日期</w:t>
      </w:r>
      <w:r>
        <w:rPr>
          <w:rFonts w:hint="eastAsia" w:ascii="宋体" w:hAnsi="宋体" w:cs="宋体"/>
          <w:color w:val="auto"/>
          <w:kern w:val="0"/>
          <w:sz w:val="24"/>
        </w:rPr>
        <w:t xml:space="preserve">：  年  </w:t>
      </w:r>
      <w:r>
        <w:rPr>
          <w:rFonts w:hint="eastAsia" w:ascii="宋体" w:hAnsi="宋体" w:cs="宋体"/>
          <w:color w:val="auto"/>
          <w:kern w:val="0"/>
          <w:sz w:val="24"/>
          <w:lang w:val="zh-CN"/>
        </w:rPr>
        <w:t>月日</w:t>
      </w:r>
    </w:p>
    <w:p>
      <w:pPr>
        <w:pStyle w:val="14"/>
        <w:spacing w:line="360" w:lineRule="auto"/>
        <w:ind w:left="5132" w:leftChars="1979" w:hanging="976" w:hangingChars="488"/>
        <w:rPr>
          <w:rFonts w:hAnsi="宋体" w:cs="宋体"/>
          <w:color w:val="auto"/>
          <w:sz w:val="20"/>
        </w:rPr>
      </w:pPr>
    </w:p>
    <w:p>
      <w:pPr>
        <w:spacing w:line="360" w:lineRule="auto"/>
        <w:ind w:right="420" w:firstLine="480" w:firstLineChars="200"/>
        <w:rPr>
          <w:rFonts w:ascii="宋体" w:hAnsi="宋体" w:cs="宋体"/>
          <w:color w:val="auto"/>
          <w:sz w:val="24"/>
        </w:rPr>
      </w:pPr>
    </w:p>
    <w:p>
      <w:pPr>
        <w:spacing w:line="360" w:lineRule="auto"/>
        <w:ind w:right="420" w:firstLine="480" w:firstLineChars="200"/>
        <w:rPr>
          <w:rFonts w:ascii="宋体" w:hAnsi="宋体" w:cs="宋体"/>
          <w:color w:val="auto"/>
          <w:sz w:val="24"/>
        </w:rPr>
      </w:pPr>
    </w:p>
    <w:p>
      <w:pPr>
        <w:spacing w:line="360" w:lineRule="auto"/>
        <w:ind w:right="420" w:firstLine="420" w:firstLineChars="200"/>
        <w:rPr>
          <w:rFonts w:ascii="宋体" w:hAnsi="宋体" w:cs="宋体"/>
          <w:color w:val="auto"/>
          <w:szCs w:val="21"/>
        </w:rPr>
      </w:pPr>
      <w:r>
        <w:rPr>
          <w:rFonts w:hint="eastAsia" w:ascii="宋体" w:hAnsi="宋体" w:cs="宋体"/>
          <w:color w:val="auto"/>
          <w:szCs w:val="21"/>
        </w:rPr>
        <w:t>注：请根据自己的真实情况出具《残疾人福利性单位声明函》。依法享受中小企业扶持政策的，采购人或者采购代理机构在公告中标结果时，同时公告其《残疾人福利性单位声明函》，接受社会监督；根据《关于政府采购支持监狱企业发展有关问题的通知》（财库[2014]68号）的规定，投标人提供由省级以上监狱管理局、戒毒管理局（含新疆生产建设兵团）出具的属于监狱企业证明文件的，视同为小型和微型企业。</w:t>
      </w:r>
    </w:p>
    <w:p>
      <w:pPr>
        <w:widowControl/>
        <w:jc w:val="left"/>
        <w:rPr>
          <w:color w:val="auto"/>
          <w:sz w:val="20"/>
        </w:rPr>
      </w:pPr>
      <w:r>
        <w:rPr>
          <w:color w:val="auto"/>
          <w:sz w:val="20"/>
        </w:rPr>
        <w:br w:type="page"/>
      </w:r>
    </w:p>
    <w:p>
      <w:pPr>
        <w:pStyle w:val="2"/>
        <w:numPr>
          <w:ilvl w:val="0"/>
          <w:numId w:val="4"/>
        </w:numPr>
        <w:ind w:left="142"/>
        <w:rPr>
          <w:rFonts w:ascii="宋体" w:hAnsi="宋体" w:cs="宋体"/>
          <w:color w:val="auto"/>
          <w:kern w:val="0"/>
          <w:sz w:val="28"/>
          <w:szCs w:val="28"/>
        </w:rPr>
      </w:pPr>
      <w:r>
        <w:rPr>
          <w:rFonts w:hint="eastAsia" w:ascii="宋体" w:hAnsi="宋体" w:cs="宋体"/>
          <w:color w:val="auto"/>
          <w:kern w:val="0"/>
          <w:sz w:val="28"/>
          <w:szCs w:val="28"/>
        </w:rPr>
        <w:t>广西壮族自治区政府采购项目合同验收书的格式：</w:t>
      </w:r>
    </w:p>
    <w:p>
      <w:pPr>
        <w:pStyle w:val="2"/>
        <w:rPr>
          <w:rFonts w:ascii="宋体" w:hAnsi="宋体" w:cs="宋体"/>
          <w:color w:val="auto"/>
          <w:kern w:val="0"/>
          <w:sz w:val="28"/>
          <w:szCs w:val="28"/>
        </w:rPr>
      </w:pPr>
    </w:p>
    <w:p>
      <w:pPr>
        <w:spacing w:line="480" w:lineRule="atLeast"/>
        <w:jc w:val="center"/>
        <w:rPr>
          <w:rFonts w:ascii="宋体" w:hAnsi="宋体" w:cs="宋体"/>
          <w:color w:val="auto"/>
          <w:kern w:val="0"/>
          <w:sz w:val="32"/>
          <w:szCs w:val="32"/>
        </w:rPr>
      </w:pPr>
      <w:r>
        <w:rPr>
          <w:rFonts w:hint="eastAsia" w:ascii="宋体" w:hAnsi="宋体" w:cs="宋体"/>
          <w:color w:val="auto"/>
          <w:kern w:val="0"/>
          <w:sz w:val="32"/>
          <w:szCs w:val="32"/>
        </w:rPr>
        <w:t>广西壮族自治区政府采购项目合同验收书</w:t>
      </w:r>
    </w:p>
    <w:p>
      <w:pPr>
        <w:spacing w:line="480" w:lineRule="atLeast"/>
        <w:jc w:val="center"/>
        <w:rPr>
          <w:rFonts w:ascii="宋体" w:hAnsi="宋体" w:cs="宋体"/>
          <w:color w:val="auto"/>
          <w:kern w:val="0"/>
          <w:sz w:val="32"/>
          <w:szCs w:val="32"/>
        </w:rPr>
      </w:pPr>
    </w:p>
    <w:p>
      <w:pPr>
        <w:snapToGrid w:val="0"/>
        <w:spacing w:line="320" w:lineRule="atLeast"/>
        <w:ind w:firstLine="480"/>
        <w:jc w:val="left"/>
        <w:rPr>
          <w:rFonts w:ascii="宋体" w:hAnsi="宋体" w:cs="宋体"/>
          <w:color w:val="auto"/>
          <w:kern w:val="0"/>
          <w:szCs w:val="21"/>
        </w:rPr>
      </w:pPr>
      <w:r>
        <w:rPr>
          <w:rFonts w:hint="eastAsia" w:ascii="宋体" w:hAnsi="宋体" w:cs="宋体"/>
          <w:color w:val="auto"/>
          <w:kern w:val="0"/>
          <w:szCs w:val="21"/>
        </w:rPr>
        <w:t>根据政府采购项目（</w:t>
      </w:r>
      <w:r>
        <w:rPr>
          <w:rFonts w:hint="eastAsia" w:ascii="宋体" w:hAnsi="宋体" w:cs="宋体"/>
          <w:color w:val="auto"/>
          <w:kern w:val="0"/>
          <w:szCs w:val="21"/>
          <w:u w:val="single"/>
        </w:rPr>
        <w:t>采购合同编号：</w:t>
      </w:r>
      <w:r>
        <w:rPr>
          <w:rFonts w:hint="eastAsia" w:ascii="宋体" w:hAnsi="宋体" w:cs="宋体"/>
          <w:color w:val="auto"/>
          <w:kern w:val="0"/>
          <w:szCs w:val="21"/>
          <w:u w:val="single"/>
        </w:rPr>
        <w:softHyphen/>
      </w:r>
      <w:r>
        <w:rPr>
          <w:rFonts w:hint="eastAsia" w:ascii="宋体" w:hAnsi="宋体" w:cs="宋体"/>
          <w:color w:val="auto"/>
          <w:kern w:val="0"/>
          <w:szCs w:val="21"/>
        </w:rPr>
        <w:t>）的约定，我单位对（</w:t>
      </w:r>
      <w:r>
        <w:rPr>
          <w:rFonts w:hint="eastAsia" w:ascii="宋体" w:hAnsi="宋体" w:cs="宋体"/>
          <w:color w:val="auto"/>
          <w:kern w:val="0"/>
          <w:szCs w:val="21"/>
          <w:u w:val="single"/>
        </w:rPr>
        <w:t xml:space="preserve"> 项目名称 </w:t>
      </w:r>
      <w:r>
        <w:rPr>
          <w:rFonts w:hint="eastAsia" w:ascii="宋体" w:hAnsi="宋体" w:cs="宋体"/>
          <w:color w:val="auto"/>
          <w:kern w:val="0"/>
          <w:szCs w:val="21"/>
        </w:rPr>
        <w:t>） 政府采购项目中标（或者成交）投标人（</w:t>
      </w:r>
      <w:r>
        <w:rPr>
          <w:rFonts w:hint="eastAsia" w:ascii="宋体" w:hAnsi="宋体" w:cs="宋体"/>
          <w:color w:val="auto"/>
          <w:kern w:val="0"/>
          <w:szCs w:val="21"/>
          <w:u w:val="single"/>
        </w:rPr>
        <w:t xml:space="preserve"> 公司名称 </w:t>
      </w:r>
      <w:r>
        <w:rPr>
          <w:rFonts w:hint="eastAsia" w:ascii="宋体" w:hAnsi="宋体" w:cs="宋体"/>
          <w:color w:val="auto"/>
          <w:kern w:val="0"/>
          <w:szCs w:val="21"/>
        </w:rPr>
        <w:t>） 提供的货物（或者工程、服务）进行了验收，验收情况如下：</w:t>
      </w:r>
    </w:p>
    <w:tbl>
      <w:tblPr>
        <w:tblStyle w:val="24"/>
        <w:tblW w:w="9371" w:type="dxa"/>
        <w:jc w:val="center"/>
        <w:tblInd w:w="0" w:type="dxa"/>
        <w:tblLayout w:type="fixed"/>
        <w:tblCellMar>
          <w:top w:w="0" w:type="dxa"/>
          <w:left w:w="0" w:type="dxa"/>
          <w:bottom w:w="0" w:type="dxa"/>
          <w:right w:w="0" w:type="dxa"/>
        </w:tblCellMar>
      </w:tblPr>
      <w:tblGrid>
        <w:gridCol w:w="1331"/>
        <w:gridCol w:w="1921"/>
        <w:gridCol w:w="798"/>
        <w:gridCol w:w="102"/>
        <w:gridCol w:w="2002"/>
        <w:gridCol w:w="178"/>
        <w:gridCol w:w="685"/>
        <w:gridCol w:w="2354"/>
      </w:tblGrid>
      <w:tr>
        <w:tblPrEx>
          <w:tblLayout w:type="fixed"/>
          <w:tblCellMar>
            <w:top w:w="0" w:type="dxa"/>
            <w:left w:w="0" w:type="dxa"/>
            <w:bottom w:w="0" w:type="dxa"/>
            <w:right w:w="0" w:type="dxa"/>
          </w:tblCellMar>
        </w:tblPrEx>
        <w:trPr>
          <w:trHeight w:val="497" w:hRule="atLeast"/>
          <w:jc w:val="center"/>
        </w:trPr>
        <w:tc>
          <w:tcPr>
            <w:tcW w:w="3252" w:type="dxa"/>
            <w:gridSpan w:val="2"/>
            <w:tcBorders>
              <w:top w:val="single" w:color="auto" w:sz="8" w:space="0"/>
              <w:left w:val="single" w:color="auto" w:sz="8" w:space="0"/>
              <w:bottom w:val="single" w:color="auto" w:sz="8" w:space="0"/>
              <w:right w:val="single" w:color="auto" w:sz="8" w:space="0"/>
            </w:tcBorders>
            <w:vAlign w:val="center"/>
          </w:tcPr>
          <w:p>
            <w:pPr>
              <w:snapToGrid w:val="0"/>
              <w:spacing w:before="100" w:beforeAutospacing="1" w:after="100" w:afterAutospacing="1" w:line="320" w:lineRule="atLeast"/>
              <w:ind w:firstLine="5"/>
              <w:jc w:val="center"/>
              <w:rPr>
                <w:rFonts w:ascii="宋体" w:hAnsi="宋体" w:cs="宋体"/>
                <w:color w:val="auto"/>
                <w:kern w:val="0"/>
                <w:szCs w:val="21"/>
              </w:rPr>
            </w:pPr>
            <w:r>
              <w:rPr>
                <w:rFonts w:hint="eastAsia" w:ascii="宋体" w:hAnsi="宋体" w:cs="宋体"/>
                <w:color w:val="auto"/>
                <w:kern w:val="0"/>
                <w:szCs w:val="21"/>
              </w:rPr>
              <w:t>验收方式：</w:t>
            </w:r>
          </w:p>
        </w:tc>
        <w:tc>
          <w:tcPr>
            <w:tcW w:w="6119" w:type="dxa"/>
            <w:gridSpan w:val="6"/>
            <w:tcBorders>
              <w:top w:val="single" w:color="auto" w:sz="8" w:space="0"/>
              <w:left w:val="nil"/>
              <w:bottom w:val="single" w:color="auto" w:sz="8" w:space="0"/>
              <w:right w:val="single" w:color="auto" w:sz="8" w:space="0"/>
            </w:tcBorders>
            <w:vAlign w:val="center"/>
          </w:tcPr>
          <w:p>
            <w:pPr>
              <w:snapToGrid w:val="0"/>
              <w:spacing w:before="100" w:beforeAutospacing="1" w:after="100" w:afterAutospacing="1" w:line="320" w:lineRule="atLeast"/>
              <w:ind w:firstLine="480"/>
              <w:jc w:val="center"/>
              <w:rPr>
                <w:rFonts w:ascii="宋体" w:hAnsi="宋体" w:cs="宋体"/>
                <w:color w:val="auto"/>
                <w:kern w:val="0"/>
                <w:szCs w:val="21"/>
              </w:rPr>
            </w:pPr>
            <w:r>
              <w:rPr>
                <w:rFonts w:hint="eastAsia" w:ascii="宋体" w:hAnsi="宋体" w:cs="宋体"/>
                <w:color w:val="auto"/>
                <w:kern w:val="0"/>
                <w:szCs w:val="21"/>
              </w:rPr>
              <w:t>□自行验收 □委托验收</w:t>
            </w:r>
          </w:p>
        </w:tc>
      </w:tr>
      <w:tr>
        <w:tblPrEx>
          <w:tblLayout w:type="fixed"/>
          <w:tblCellMar>
            <w:top w:w="0" w:type="dxa"/>
            <w:left w:w="0" w:type="dxa"/>
            <w:bottom w:w="0" w:type="dxa"/>
            <w:right w:w="0" w:type="dxa"/>
          </w:tblCellMar>
        </w:tblPrEx>
        <w:trPr>
          <w:trHeight w:val="622" w:hRule="atLeast"/>
          <w:jc w:val="center"/>
        </w:trPr>
        <w:tc>
          <w:tcPr>
            <w:tcW w:w="1331" w:type="dxa"/>
            <w:tcBorders>
              <w:top w:val="nil"/>
              <w:left w:val="single" w:color="auto" w:sz="8" w:space="0"/>
              <w:bottom w:val="single" w:color="auto" w:sz="8" w:space="0"/>
              <w:right w:val="single" w:color="auto" w:sz="8" w:space="0"/>
            </w:tcBorders>
            <w:vAlign w:val="center"/>
          </w:tcPr>
          <w:p>
            <w:pPr>
              <w:snapToGrid w:val="0"/>
              <w:spacing w:before="100" w:beforeAutospacing="1" w:after="100" w:afterAutospacing="1" w:line="320" w:lineRule="atLeast"/>
              <w:ind w:firstLine="2"/>
              <w:jc w:val="center"/>
              <w:rPr>
                <w:rFonts w:ascii="宋体" w:hAnsi="宋体" w:cs="宋体"/>
                <w:color w:val="auto"/>
                <w:kern w:val="0"/>
                <w:szCs w:val="21"/>
              </w:rPr>
            </w:pPr>
            <w:r>
              <w:rPr>
                <w:rFonts w:hint="eastAsia" w:ascii="宋体" w:hAnsi="宋体" w:cs="宋体"/>
                <w:color w:val="auto"/>
                <w:kern w:val="0"/>
                <w:szCs w:val="21"/>
              </w:rPr>
              <w:t>序号</w:t>
            </w:r>
          </w:p>
        </w:tc>
        <w:tc>
          <w:tcPr>
            <w:tcW w:w="1921" w:type="dxa"/>
            <w:tcBorders>
              <w:top w:val="nil"/>
              <w:left w:val="nil"/>
              <w:bottom w:val="single" w:color="auto" w:sz="8" w:space="0"/>
              <w:right w:val="single" w:color="auto" w:sz="8" w:space="0"/>
            </w:tcBorders>
            <w:vAlign w:val="center"/>
          </w:tcPr>
          <w:p>
            <w:pPr>
              <w:snapToGrid w:val="0"/>
              <w:spacing w:before="100" w:beforeAutospacing="1" w:after="100" w:afterAutospacing="1" w:line="320" w:lineRule="atLeast"/>
              <w:ind w:firstLine="2"/>
              <w:jc w:val="center"/>
              <w:rPr>
                <w:rFonts w:ascii="宋体" w:hAnsi="宋体" w:cs="宋体"/>
                <w:color w:val="auto"/>
                <w:kern w:val="0"/>
                <w:szCs w:val="21"/>
              </w:rPr>
            </w:pPr>
            <w:r>
              <w:rPr>
                <w:rFonts w:hint="eastAsia" w:ascii="宋体" w:hAnsi="宋体" w:cs="宋体"/>
                <w:color w:val="auto"/>
                <w:kern w:val="0"/>
                <w:szCs w:val="21"/>
              </w:rPr>
              <w:t>名 称</w:t>
            </w:r>
          </w:p>
        </w:tc>
        <w:tc>
          <w:tcPr>
            <w:tcW w:w="2902" w:type="dxa"/>
            <w:gridSpan w:val="3"/>
            <w:tcBorders>
              <w:top w:val="nil"/>
              <w:left w:val="nil"/>
              <w:bottom w:val="single" w:color="auto" w:sz="8" w:space="0"/>
              <w:right w:val="single" w:color="auto" w:sz="8" w:space="0"/>
            </w:tcBorders>
            <w:vAlign w:val="center"/>
          </w:tcPr>
          <w:p>
            <w:pPr>
              <w:snapToGrid w:val="0"/>
              <w:spacing w:before="100" w:beforeAutospacing="1" w:after="100" w:afterAutospacing="1" w:line="320" w:lineRule="atLeast"/>
              <w:ind w:firstLine="2"/>
              <w:jc w:val="center"/>
              <w:rPr>
                <w:rFonts w:ascii="宋体" w:hAnsi="宋体" w:cs="宋体"/>
                <w:color w:val="auto"/>
                <w:kern w:val="0"/>
                <w:szCs w:val="21"/>
              </w:rPr>
            </w:pPr>
            <w:r>
              <w:rPr>
                <w:rFonts w:hint="eastAsia" w:ascii="宋体" w:hAnsi="宋体" w:cs="宋体"/>
                <w:color w:val="auto"/>
                <w:kern w:val="0"/>
                <w:szCs w:val="21"/>
              </w:rPr>
              <w:t>货物型号规格、标准及配置等（或者服务内容、标准）</w:t>
            </w:r>
          </w:p>
        </w:tc>
        <w:tc>
          <w:tcPr>
            <w:tcW w:w="863" w:type="dxa"/>
            <w:gridSpan w:val="2"/>
            <w:tcBorders>
              <w:top w:val="nil"/>
              <w:left w:val="nil"/>
              <w:bottom w:val="single" w:color="auto" w:sz="8" w:space="0"/>
              <w:right w:val="single" w:color="auto" w:sz="8" w:space="0"/>
            </w:tcBorders>
            <w:vAlign w:val="center"/>
          </w:tcPr>
          <w:p>
            <w:pPr>
              <w:snapToGrid w:val="0"/>
              <w:spacing w:before="100" w:beforeAutospacing="1" w:after="100" w:afterAutospacing="1" w:line="320" w:lineRule="atLeast"/>
              <w:jc w:val="center"/>
              <w:rPr>
                <w:rFonts w:ascii="宋体" w:hAnsi="宋体" w:cs="宋体"/>
                <w:color w:val="auto"/>
                <w:kern w:val="0"/>
                <w:szCs w:val="21"/>
              </w:rPr>
            </w:pPr>
            <w:r>
              <w:rPr>
                <w:rFonts w:hint="eastAsia" w:ascii="宋体" w:hAnsi="宋体" w:cs="宋体"/>
                <w:color w:val="auto"/>
                <w:kern w:val="0"/>
                <w:szCs w:val="21"/>
              </w:rPr>
              <w:t>数量</w:t>
            </w:r>
          </w:p>
        </w:tc>
        <w:tc>
          <w:tcPr>
            <w:tcW w:w="2354" w:type="dxa"/>
            <w:tcBorders>
              <w:top w:val="nil"/>
              <w:left w:val="nil"/>
              <w:bottom w:val="single" w:color="auto" w:sz="8" w:space="0"/>
              <w:right w:val="single" w:color="auto" w:sz="8" w:space="0"/>
            </w:tcBorders>
            <w:vAlign w:val="center"/>
          </w:tcPr>
          <w:p>
            <w:pPr>
              <w:snapToGrid w:val="0"/>
              <w:spacing w:before="100" w:beforeAutospacing="1" w:after="100" w:afterAutospacing="1" w:line="320" w:lineRule="atLeast"/>
              <w:ind w:firstLine="2"/>
              <w:jc w:val="center"/>
              <w:rPr>
                <w:rFonts w:ascii="宋体" w:hAnsi="宋体" w:cs="宋体"/>
                <w:color w:val="auto"/>
                <w:kern w:val="0"/>
                <w:szCs w:val="21"/>
              </w:rPr>
            </w:pPr>
            <w:r>
              <w:rPr>
                <w:rFonts w:hint="eastAsia" w:ascii="宋体" w:hAnsi="宋体" w:cs="宋体"/>
                <w:color w:val="auto"/>
                <w:kern w:val="0"/>
                <w:szCs w:val="21"/>
              </w:rPr>
              <w:t>金 额</w:t>
            </w:r>
          </w:p>
        </w:tc>
      </w:tr>
      <w:tr>
        <w:tblPrEx>
          <w:tblLayout w:type="fixed"/>
          <w:tblCellMar>
            <w:top w:w="0" w:type="dxa"/>
            <w:left w:w="0" w:type="dxa"/>
            <w:bottom w:w="0" w:type="dxa"/>
            <w:right w:w="0" w:type="dxa"/>
          </w:tblCellMar>
        </w:tblPrEx>
        <w:trPr>
          <w:trHeight w:val="487" w:hRule="atLeast"/>
          <w:jc w:val="center"/>
        </w:trPr>
        <w:tc>
          <w:tcPr>
            <w:tcW w:w="1331" w:type="dxa"/>
            <w:tcBorders>
              <w:top w:val="nil"/>
              <w:left w:val="single" w:color="auto" w:sz="8" w:space="0"/>
              <w:bottom w:val="single" w:color="auto" w:sz="8" w:space="0"/>
              <w:right w:val="single" w:color="auto" w:sz="8" w:space="0"/>
            </w:tcBorders>
            <w:vAlign w:val="center"/>
          </w:tcPr>
          <w:p>
            <w:pPr>
              <w:spacing w:before="100" w:beforeAutospacing="1" w:after="100" w:afterAutospacing="1" w:line="240" w:lineRule="atLeast"/>
              <w:jc w:val="center"/>
              <w:rPr>
                <w:rFonts w:ascii="宋体" w:hAnsi="宋体" w:cs="宋体"/>
                <w:color w:val="auto"/>
                <w:kern w:val="0"/>
                <w:szCs w:val="21"/>
              </w:rPr>
            </w:pPr>
          </w:p>
        </w:tc>
        <w:tc>
          <w:tcPr>
            <w:tcW w:w="1921" w:type="dxa"/>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宋体" w:hAnsi="宋体" w:cs="宋体"/>
                <w:color w:val="auto"/>
                <w:kern w:val="0"/>
                <w:szCs w:val="21"/>
              </w:rPr>
            </w:pPr>
          </w:p>
        </w:tc>
        <w:tc>
          <w:tcPr>
            <w:tcW w:w="2902" w:type="dxa"/>
            <w:gridSpan w:val="3"/>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宋体" w:hAnsi="宋体" w:cs="宋体"/>
                <w:color w:val="auto"/>
                <w:kern w:val="0"/>
                <w:szCs w:val="21"/>
              </w:rPr>
            </w:pPr>
          </w:p>
        </w:tc>
        <w:tc>
          <w:tcPr>
            <w:tcW w:w="863" w:type="dxa"/>
            <w:gridSpan w:val="2"/>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宋体" w:hAnsi="宋体" w:cs="宋体"/>
                <w:color w:val="auto"/>
                <w:kern w:val="0"/>
                <w:szCs w:val="21"/>
              </w:rPr>
            </w:pPr>
          </w:p>
        </w:tc>
        <w:tc>
          <w:tcPr>
            <w:tcW w:w="2354" w:type="dxa"/>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宋体" w:hAnsi="宋体" w:cs="宋体"/>
                <w:color w:val="auto"/>
                <w:kern w:val="0"/>
                <w:szCs w:val="21"/>
              </w:rPr>
            </w:pPr>
          </w:p>
        </w:tc>
      </w:tr>
      <w:tr>
        <w:tblPrEx>
          <w:tblLayout w:type="fixed"/>
          <w:tblCellMar>
            <w:top w:w="0" w:type="dxa"/>
            <w:left w:w="0" w:type="dxa"/>
            <w:bottom w:w="0" w:type="dxa"/>
            <w:right w:w="0" w:type="dxa"/>
          </w:tblCellMar>
        </w:tblPrEx>
        <w:trPr>
          <w:trHeight w:val="487" w:hRule="atLeast"/>
          <w:jc w:val="center"/>
        </w:trPr>
        <w:tc>
          <w:tcPr>
            <w:tcW w:w="1331" w:type="dxa"/>
            <w:tcBorders>
              <w:top w:val="nil"/>
              <w:left w:val="single" w:color="auto" w:sz="8" w:space="0"/>
              <w:bottom w:val="single" w:color="auto" w:sz="8" w:space="0"/>
              <w:right w:val="single" w:color="auto" w:sz="8" w:space="0"/>
            </w:tcBorders>
            <w:vAlign w:val="center"/>
          </w:tcPr>
          <w:p>
            <w:pPr>
              <w:spacing w:before="100" w:beforeAutospacing="1" w:after="100" w:afterAutospacing="1" w:line="240" w:lineRule="atLeast"/>
              <w:jc w:val="center"/>
              <w:rPr>
                <w:rFonts w:ascii="宋体" w:hAnsi="宋体" w:cs="宋体"/>
                <w:color w:val="auto"/>
                <w:kern w:val="0"/>
                <w:szCs w:val="21"/>
              </w:rPr>
            </w:pPr>
          </w:p>
        </w:tc>
        <w:tc>
          <w:tcPr>
            <w:tcW w:w="1921" w:type="dxa"/>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宋体" w:hAnsi="宋体" w:cs="宋体"/>
                <w:color w:val="auto"/>
                <w:kern w:val="0"/>
                <w:szCs w:val="21"/>
              </w:rPr>
            </w:pPr>
          </w:p>
        </w:tc>
        <w:tc>
          <w:tcPr>
            <w:tcW w:w="2902" w:type="dxa"/>
            <w:gridSpan w:val="3"/>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宋体" w:hAnsi="宋体" w:cs="宋体"/>
                <w:color w:val="auto"/>
                <w:kern w:val="0"/>
                <w:szCs w:val="21"/>
              </w:rPr>
            </w:pPr>
          </w:p>
        </w:tc>
        <w:tc>
          <w:tcPr>
            <w:tcW w:w="863" w:type="dxa"/>
            <w:gridSpan w:val="2"/>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宋体" w:hAnsi="宋体" w:cs="宋体"/>
                <w:color w:val="auto"/>
                <w:kern w:val="0"/>
                <w:szCs w:val="21"/>
              </w:rPr>
            </w:pPr>
          </w:p>
        </w:tc>
        <w:tc>
          <w:tcPr>
            <w:tcW w:w="2354" w:type="dxa"/>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宋体" w:hAnsi="宋体" w:cs="宋体"/>
                <w:color w:val="auto"/>
                <w:kern w:val="0"/>
                <w:szCs w:val="21"/>
              </w:rPr>
            </w:pPr>
          </w:p>
        </w:tc>
      </w:tr>
      <w:tr>
        <w:tblPrEx>
          <w:tblLayout w:type="fixed"/>
          <w:tblCellMar>
            <w:top w:w="0" w:type="dxa"/>
            <w:left w:w="0" w:type="dxa"/>
            <w:bottom w:w="0" w:type="dxa"/>
            <w:right w:w="0" w:type="dxa"/>
          </w:tblCellMar>
        </w:tblPrEx>
        <w:trPr>
          <w:trHeight w:val="487" w:hRule="atLeast"/>
          <w:jc w:val="center"/>
        </w:trPr>
        <w:tc>
          <w:tcPr>
            <w:tcW w:w="1331" w:type="dxa"/>
            <w:tcBorders>
              <w:top w:val="nil"/>
              <w:left w:val="single" w:color="auto" w:sz="8" w:space="0"/>
              <w:bottom w:val="single" w:color="auto" w:sz="8" w:space="0"/>
              <w:right w:val="single" w:color="auto" w:sz="8" w:space="0"/>
            </w:tcBorders>
            <w:vAlign w:val="center"/>
          </w:tcPr>
          <w:p>
            <w:pPr>
              <w:spacing w:before="100" w:beforeAutospacing="1" w:after="100" w:afterAutospacing="1" w:line="240" w:lineRule="atLeast"/>
              <w:jc w:val="center"/>
              <w:rPr>
                <w:rFonts w:ascii="宋体" w:hAnsi="宋体" w:cs="宋体"/>
                <w:color w:val="auto"/>
                <w:kern w:val="0"/>
                <w:szCs w:val="21"/>
              </w:rPr>
            </w:pPr>
          </w:p>
        </w:tc>
        <w:tc>
          <w:tcPr>
            <w:tcW w:w="1921" w:type="dxa"/>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宋体" w:hAnsi="宋体" w:cs="宋体"/>
                <w:color w:val="auto"/>
                <w:kern w:val="0"/>
                <w:szCs w:val="21"/>
              </w:rPr>
            </w:pPr>
          </w:p>
        </w:tc>
        <w:tc>
          <w:tcPr>
            <w:tcW w:w="2902" w:type="dxa"/>
            <w:gridSpan w:val="3"/>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宋体" w:hAnsi="宋体" w:cs="宋体"/>
                <w:color w:val="auto"/>
                <w:kern w:val="0"/>
                <w:szCs w:val="21"/>
              </w:rPr>
            </w:pPr>
          </w:p>
        </w:tc>
        <w:tc>
          <w:tcPr>
            <w:tcW w:w="863" w:type="dxa"/>
            <w:gridSpan w:val="2"/>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宋体" w:hAnsi="宋体" w:cs="宋体"/>
                <w:color w:val="auto"/>
                <w:kern w:val="0"/>
                <w:szCs w:val="21"/>
              </w:rPr>
            </w:pPr>
          </w:p>
        </w:tc>
        <w:tc>
          <w:tcPr>
            <w:tcW w:w="2354" w:type="dxa"/>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宋体" w:hAnsi="宋体" w:cs="宋体"/>
                <w:color w:val="auto"/>
                <w:kern w:val="0"/>
                <w:szCs w:val="21"/>
              </w:rPr>
            </w:pPr>
          </w:p>
        </w:tc>
      </w:tr>
      <w:tr>
        <w:tblPrEx>
          <w:tblLayout w:type="fixed"/>
          <w:tblCellMar>
            <w:top w:w="0" w:type="dxa"/>
            <w:left w:w="0" w:type="dxa"/>
            <w:bottom w:w="0" w:type="dxa"/>
            <w:right w:w="0" w:type="dxa"/>
          </w:tblCellMar>
        </w:tblPrEx>
        <w:trPr>
          <w:trHeight w:val="487" w:hRule="atLeast"/>
          <w:jc w:val="center"/>
        </w:trPr>
        <w:tc>
          <w:tcPr>
            <w:tcW w:w="6154" w:type="dxa"/>
            <w:gridSpan w:val="5"/>
            <w:tcBorders>
              <w:top w:val="nil"/>
              <w:left w:val="single" w:color="auto" w:sz="8" w:space="0"/>
              <w:bottom w:val="single" w:color="auto" w:sz="8" w:space="0"/>
              <w:right w:val="single" w:color="auto" w:sz="8" w:space="0"/>
            </w:tcBorders>
            <w:vAlign w:val="center"/>
          </w:tcPr>
          <w:p>
            <w:pPr>
              <w:snapToGrid w:val="0"/>
              <w:spacing w:before="100" w:beforeAutospacing="1" w:after="100" w:afterAutospacing="1" w:line="320" w:lineRule="atLeast"/>
              <w:ind w:firstLine="5"/>
              <w:jc w:val="center"/>
              <w:rPr>
                <w:rFonts w:ascii="宋体" w:hAnsi="宋体" w:cs="宋体"/>
                <w:color w:val="auto"/>
                <w:kern w:val="0"/>
                <w:szCs w:val="21"/>
              </w:rPr>
            </w:pPr>
            <w:r>
              <w:rPr>
                <w:rFonts w:hint="eastAsia" w:ascii="宋体" w:hAnsi="宋体" w:cs="宋体"/>
                <w:color w:val="auto"/>
                <w:kern w:val="0"/>
                <w:szCs w:val="21"/>
              </w:rPr>
              <w:t>合 计</w:t>
            </w:r>
          </w:p>
        </w:tc>
        <w:tc>
          <w:tcPr>
            <w:tcW w:w="863" w:type="dxa"/>
            <w:gridSpan w:val="2"/>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宋体" w:hAnsi="宋体" w:cs="宋体"/>
                <w:color w:val="auto"/>
                <w:kern w:val="0"/>
                <w:szCs w:val="21"/>
              </w:rPr>
            </w:pPr>
          </w:p>
        </w:tc>
        <w:tc>
          <w:tcPr>
            <w:tcW w:w="2354" w:type="dxa"/>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宋体" w:hAnsi="宋体" w:cs="宋体"/>
                <w:color w:val="auto"/>
                <w:kern w:val="0"/>
                <w:szCs w:val="21"/>
              </w:rPr>
            </w:pPr>
          </w:p>
        </w:tc>
      </w:tr>
      <w:tr>
        <w:tblPrEx>
          <w:tblLayout w:type="fixed"/>
          <w:tblCellMar>
            <w:top w:w="0" w:type="dxa"/>
            <w:left w:w="0" w:type="dxa"/>
            <w:bottom w:w="0" w:type="dxa"/>
            <w:right w:w="0" w:type="dxa"/>
          </w:tblCellMar>
        </w:tblPrEx>
        <w:trPr>
          <w:trHeight w:val="641" w:hRule="atLeast"/>
          <w:jc w:val="center"/>
        </w:trPr>
        <w:tc>
          <w:tcPr>
            <w:tcW w:w="9371" w:type="dxa"/>
            <w:gridSpan w:val="8"/>
            <w:tcBorders>
              <w:top w:val="nil"/>
              <w:left w:val="single" w:color="auto" w:sz="8" w:space="0"/>
              <w:bottom w:val="single" w:color="auto" w:sz="8" w:space="0"/>
              <w:right w:val="single" w:color="auto" w:sz="8" w:space="0"/>
            </w:tcBorders>
            <w:vAlign w:val="center"/>
          </w:tcPr>
          <w:p>
            <w:pPr>
              <w:snapToGrid w:val="0"/>
              <w:spacing w:before="100" w:beforeAutospacing="1" w:after="100" w:afterAutospacing="1" w:line="320" w:lineRule="atLeast"/>
              <w:ind w:firstLine="2"/>
              <w:jc w:val="left"/>
              <w:rPr>
                <w:rFonts w:ascii="宋体" w:hAnsi="宋体" w:cs="宋体"/>
                <w:color w:val="auto"/>
                <w:kern w:val="0"/>
                <w:szCs w:val="21"/>
              </w:rPr>
            </w:pPr>
            <w:r>
              <w:rPr>
                <w:rFonts w:hint="eastAsia" w:ascii="宋体" w:hAnsi="宋体" w:cs="宋体"/>
                <w:color w:val="auto"/>
                <w:kern w:val="0"/>
                <w:szCs w:val="21"/>
              </w:rPr>
              <w:t>合计大写金额： 亿 仟 佰 拾 万 仟 佰 拾 元</w:t>
            </w:r>
          </w:p>
        </w:tc>
      </w:tr>
      <w:tr>
        <w:tblPrEx>
          <w:tblLayout w:type="fixed"/>
          <w:tblCellMar>
            <w:top w:w="0" w:type="dxa"/>
            <w:left w:w="0" w:type="dxa"/>
            <w:bottom w:w="0" w:type="dxa"/>
            <w:right w:w="0" w:type="dxa"/>
          </w:tblCellMar>
        </w:tblPrEx>
        <w:trPr>
          <w:trHeight w:val="641" w:hRule="atLeast"/>
          <w:jc w:val="center"/>
        </w:trPr>
        <w:tc>
          <w:tcPr>
            <w:tcW w:w="1331" w:type="dxa"/>
            <w:tcBorders>
              <w:top w:val="nil"/>
              <w:left w:val="single" w:color="auto" w:sz="8" w:space="0"/>
              <w:bottom w:val="single" w:color="auto" w:sz="8" w:space="0"/>
              <w:right w:val="single" w:color="auto" w:sz="8" w:space="0"/>
            </w:tcBorders>
            <w:vAlign w:val="center"/>
          </w:tcPr>
          <w:p>
            <w:pPr>
              <w:snapToGrid w:val="0"/>
              <w:spacing w:before="100" w:beforeAutospacing="1" w:after="100" w:afterAutospacing="1" w:line="320" w:lineRule="atLeast"/>
              <w:ind w:firstLine="2"/>
              <w:jc w:val="center"/>
              <w:rPr>
                <w:rFonts w:ascii="宋体" w:hAnsi="宋体" w:cs="宋体"/>
                <w:color w:val="auto"/>
                <w:kern w:val="0"/>
                <w:szCs w:val="21"/>
              </w:rPr>
            </w:pPr>
            <w:r>
              <w:rPr>
                <w:rFonts w:hint="eastAsia" w:ascii="宋体" w:hAnsi="宋体" w:cs="宋体"/>
                <w:color w:val="auto"/>
                <w:kern w:val="0"/>
                <w:szCs w:val="21"/>
              </w:rPr>
              <w:t>实际供货日期</w:t>
            </w:r>
          </w:p>
        </w:tc>
        <w:tc>
          <w:tcPr>
            <w:tcW w:w="2719" w:type="dxa"/>
            <w:gridSpan w:val="2"/>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宋体" w:hAnsi="宋体" w:cs="宋体"/>
                <w:color w:val="auto"/>
                <w:kern w:val="0"/>
                <w:szCs w:val="21"/>
              </w:rPr>
            </w:pPr>
          </w:p>
        </w:tc>
        <w:tc>
          <w:tcPr>
            <w:tcW w:w="2282" w:type="dxa"/>
            <w:gridSpan w:val="3"/>
            <w:tcBorders>
              <w:top w:val="nil"/>
              <w:left w:val="nil"/>
              <w:bottom w:val="single" w:color="auto" w:sz="8" w:space="0"/>
              <w:right w:val="single" w:color="auto" w:sz="8" w:space="0"/>
            </w:tcBorders>
            <w:vAlign w:val="center"/>
          </w:tcPr>
          <w:p>
            <w:pPr>
              <w:snapToGrid w:val="0"/>
              <w:spacing w:before="100" w:beforeAutospacing="1" w:after="100" w:afterAutospacing="1" w:line="320" w:lineRule="atLeast"/>
              <w:ind w:firstLine="46"/>
              <w:jc w:val="center"/>
              <w:rPr>
                <w:rFonts w:ascii="宋体" w:hAnsi="宋体" w:cs="宋体"/>
                <w:color w:val="auto"/>
                <w:kern w:val="0"/>
                <w:szCs w:val="21"/>
              </w:rPr>
            </w:pPr>
            <w:r>
              <w:rPr>
                <w:rFonts w:hint="eastAsia" w:ascii="宋体" w:hAnsi="宋体" w:cs="宋体"/>
                <w:color w:val="auto"/>
                <w:kern w:val="0"/>
                <w:szCs w:val="21"/>
              </w:rPr>
              <w:t>合同交货验收日期</w:t>
            </w:r>
          </w:p>
        </w:tc>
        <w:tc>
          <w:tcPr>
            <w:tcW w:w="3039" w:type="dxa"/>
            <w:gridSpan w:val="2"/>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宋体" w:hAnsi="宋体" w:cs="宋体"/>
                <w:color w:val="auto"/>
                <w:kern w:val="0"/>
                <w:szCs w:val="21"/>
              </w:rPr>
            </w:pPr>
          </w:p>
        </w:tc>
      </w:tr>
      <w:tr>
        <w:tblPrEx>
          <w:tblLayout w:type="fixed"/>
          <w:tblCellMar>
            <w:top w:w="0" w:type="dxa"/>
            <w:left w:w="0" w:type="dxa"/>
            <w:bottom w:w="0" w:type="dxa"/>
            <w:right w:w="0" w:type="dxa"/>
          </w:tblCellMar>
        </w:tblPrEx>
        <w:trPr>
          <w:trHeight w:val="394" w:hRule="atLeast"/>
          <w:jc w:val="center"/>
        </w:trPr>
        <w:tc>
          <w:tcPr>
            <w:tcW w:w="1331" w:type="dxa"/>
            <w:tcBorders>
              <w:top w:val="nil"/>
              <w:left w:val="single" w:color="auto" w:sz="8" w:space="0"/>
              <w:bottom w:val="single" w:color="auto" w:sz="8" w:space="0"/>
              <w:right w:val="single" w:color="auto" w:sz="8" w:space="0"/>
            </w:tcBorders>
            <w:vAlign w:val="center"/>
          </w:tcPr>
          <w:p>
            <w:pPr>
              <w:spacing w:before="100" w:beforeAutospacing="1" w:after="100" w:afterAutospacing="1" w:line="240" w:lineRule="atLeast"/>
              <w:jc w:val="center"/>
              <w:rPr>
                <w:rFonts w:ascii="宋体" w:hAnsi="宋体" w:cs="宋体"/>
                <w:color w:val="auto"/>
                <w:kern w:val="0"/>
                <w:szCs w:val="21"/>
              </w:rPr>
            </w:pPr>
          </w:p>
        </w:tc>
        <w:tc>
          <w:tcPr>
            <w:tcW w:w="2719" w:type="dxa"/>
            <w:gridSpan w:val="2"/>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宋体" w:hAnsi="宋体" w:cs="宋体"/>
                <w:color w:val="auto"/>
                <w:kern w:val="0"/>
                <w:szCs w:val="21"/>
              </w:rPr>
            </w:pPr>
          </w:p>
        </w:tc>
        <w:tc>
          <w:tcPr>
            <w:tcW w:w="2282" w:type="dxa"/>
            <w:gridSpan w:val="3"/>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宋体" w:hAnsi="宋体" w:cs="宋体"/>
                <w:color w:val="auto"/>
                <w:kern w:val="0"/>
                <w:szCs w:val="21"/>
              </w:rPr>
            </w:pPr>
          </w:p>
        </w:tc>
        <w:tc>
          <w:tcPr>
            <w:tcW w:w="3039" w:type="dxa"/>
            <w:gridSpan w:val="2"/>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宋体" w:hAnsi="宋体" w:cs="宋体"/>
                <w:color w:val="auto"/>
                <w:kern w:val="0"/>
                <w:szCs w:val="21"/>
              </w:rPr>
            </w:pPr>
          </w:p>
        </w:tc>
      </w:tr>
      <w:tr>
        <w:tblPrEx>
          <w:tblLayout w:type="fixed"/>
          <w:tblCellMar>
            <w:top w:w="0" w:type="dxa"/>
            <w:left w:w="0" w:type="dxa"/>
            <w:bottom w:w="0" w:type="dxa"/>
            <w:right w:w="0" w:type="dxa"/>
          </w:tblCellMar>
        </w:tblPrEx>
        <w:trPr>
          <w:trHeight w:val="693" w:hRule="atLeast"/>
          <w:jc w:val="center"/>
        </w:trPr>
        <w:tc>
          <w:tcPr>
            <w:tcW w:w="133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napToGrid w:val="0"/>
              <w:spacing w:before="100" w:beforeAutospacing="1" w:after="100" w:afterAutospacing="1" w:line="320" w:lineRule="atLeast"/>
              <w:jc w:val="left"/>
              <w:rPr>
                <w:rFonts w:ascii="宋体" w:hAnsi="宋体" w:cs="宋体"/>
                <w:color w:val="auto"/>
                <w:kern w:val="0"/>
                <w:szCs w:val="21"/>
              </w:rPr>
            </w:pPr>
            <w:r>
              <w:rPr>
                <w:rFonts w:hint="eastAsia" w:ascii="宋体" w:hAnsi="宋体" w:cs="宋体"/>
                <w:color w:val="auto"/>
                <w:kern w:val="0"/>
                <w:szCs w:val="21"/>
              </w:rPr>
              <w:t>验收具体内容</w:t>
            </w:r>
          </w:p>
        </w:tc>
        <w:tc>
          <w:tcPr>
            <w:tcW w:w="8040"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before="100" w:beforeAutospacing="1" w:after="100" w:afterAutospacing="1" w:line="320" w:lineRule="atLeast"/>
              <w:jc w:val="left"/>
              <w:rPr>
                <w:rFonts w:ascii="宋体" w:hAnsi="宋体" w:cs="宋体"/>
                <w:color w:val="auto"/>
                <w:kern w:val="0"/>
                <w:szCs w:val="21"/>
              </w:rPr>
            </w:pPr>
            <w:r>
              <w:rPr>
                <w:rFonts w:hint="eastAsia" w:ascii="宋体" w:hAnsi="宋体" w:cs="宋体"/>
                <w:color w:val="auto"/>
                <w:kern w:val="0"/>
                <w:szCs w:val="21"/>
              </w:rPr>
              <w:t>（应按采购合同、采购文件、投标文件及验收方案等进行验收；并核对中标或者成交投标人在安装调试等方面是否违反合同约定或者服务规范要求、提供的质量保证证明材料是否齐全、应有的配件及附件是否达到合同约定等。可附件)</w:t>
            </w:r>
          </w:p>
        </w:tc>
      </w:tr>
      <w:tr>
        <w:tblPrEx>
          <w:tblLayout w:type="fixed"/>
          <w:tblCellMar>
            <w:top w:w="0" w:type="dxa"/>
            <w:left w:w="0" w:type="dxa"/>
            <w:bottom w:w="0" w:type="dxa"/>
            <w:right w:w="0" w:type="dxa"/>
          </w:tblCellMar>
        </w:tblPrEx>
        <w:trPr>
          <w:trHeight w:val="1281" w:hRule="atLeast"/>
          <w:jc w:val="center"/>
        </w:trPr>
        <w:tc>
          <w:tcPr>
            <w:tcW w:w="1331"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320" w:lineRule="atLeast"/>
              <w:jc w:val="left"/>
              <w:rPr>
                <w:rFonts w:ascii="宋体" w:hAnsi="宋体" w:cs="宋体"/>
                <w:color w:val="auto"/>
                <w:kern w:val="0"/>
                <w:szCs w:val="21"/>
              </w:rPr>
            </w:pPr>
            <w:r>
              <w:rPr>
                <w:rFonts w:hint="eastAsia" w:ascii="宋体" w:hAnsi="宋体" w:cs="宋体"/>
                <w:color w:val="auto"/>
                <w:kern w:val="0"/>
                <w:szCs w:val="21"/>
              </w:rPr>
              <w:t>验收小组意见</w:t>
            </w:r>
          </w:p>
        </w:tc>
        <w:tc>
          <w:tcPr>
            <w:tcW w:w="8040" w:type="dxa"/>
            <w:gridSpan w:val="7"/>
            <w:tcBorders>
              <w:top w:val="nil"/>
              <w:left w:val="nil"/>
              <w:bottom w:val="single" w:color="auto" w:sz="8" w:space="0"/>
              <w:right w:val="single" w:color="auto" w:sz="8" w:space="0"/>
            </w:tcBorders>
            <w:vAlign w:val="center"/>
          </w:tcPr>
          <w:p>
            <w:pPr>
              <w:spacing w:before="100" w:beforeAutospacing="1" w:after="100" w:afterAutospacing="1" w:line="320" w:lineRule="atLeast"/>
              <w:jc w:val="left"/>
              <w:rPr>
                <w:rFonts w:ascii="宋体" w:hAnsi="宋体" w:cs="宋体"/>
                <w:color w:val="auto"/>
                <w:kern w:val="0"/>
                <w:szCs w:val="21"/>
              </w:rPr>
            </w:pPr>
            <w:r>
              <w:rPr>
                <w:rFonts w:hint="eastAsia" w:ascii="宋体" w:hAnsi="宋体" w:cs="宋体"/>
                <w:color w:val="auto"/>
                <w:kern w:val="0"/>
                <w:szCs w:val="21"/>
              </w:rPr>
              <w:t>验收结论性意见：</w:t>
            </w:r>
          </w:p>
        </w:tc>
      </w:tr>
      <w:tr>
        <w:tblPrEx>
          <w:tblLayout w:type="fixed"/>
          <w:tblCellMar>
            <w:top w:w="0" w:type="dxa"/>
            <w:left w:w="0" w:type="dxa"/>
            <w:bottom w:w="0" w:type="dxa"/>
            <w:right w:w="0" w:type="dxa"/>
          </w:tblCellMar>
        </w:tblPrEx>
        <w:trPr>
          <w:trHeight w:val="607" w:hRule="atLeast"/>
          <w:jc w:val="center"/>
        </w:trPr>
        <w:tc>
          <w:tcPr>
            <w:tcW w:w="1331" w:type="dxa"/>
            <w:vMerge w:val="continue"/>
            <w:tcBorders>
              <w:top w:val="nil"/>
              <w:left w:val="single" w:color="auto" w:sz="8" w:space="0"/>
              <w:bottom w:val="single" w:color="auto" w:sz="8" w:space="0"/>
              <w:right w:val="single" w:color="auto" w:sz="8" w:space="0"/>
            </w:tcBorders>
            <w:vAlign w:val="center"/>
          </w:tcPr>
          <w:p>
            <w:pPr>
              <w:jc w:val="left"/>
              <w:rPr>
                <w:rFonts w:ascii="宋体" w:hAnsi="宋体" w:cs="宋体"/>
                <w:color w:val="auto"/>
                <w:kern w:val="0"/>
                <w:szCs w:val="21"/>
              </w:rPr>
            </w:pPr>
          </w:p>
        </w:tc>
        <w:tc>
          <w:tcPr>
            <w:tcW w:w="8040" w:type="dxa"/>
            <w:gridSpan w:val="7"/>
            <w:tcBorders>
              <w:top w:val="nil"/>
              <w:left w:val="nil"/>
              <w:bottom w:val="single" w:color="auto" w:sz="8" w:space="0"/>
              <w:right w:val="single" w:color="auto" w:sz="8" w:space="0"/>
            </w:tcBorders>
            <w:vAlign w:val="center"/>
          </w:tcPr>
          <w:p>
            <w:pPr>
              <w:spacing w:before="100" w:beforeAutospacing="1" w:after="100" w:afterAutospacing="1" w:line="320" w:lineRule="atLeast"/>
              <w:ind w:firstLine="96"/>
              <w:jc w:val="left"/>
              <w:rPr>
                <w:rFonts w:ascii="宋体" w:hAnsi="宋体" w:cs="宋体"/>
                <w:color w:val="auto"/>
                <w:kern w:val="0"/>
                <w:szCs w:val="21"/>
              </w:rPr>
            </w:pPr>
            <w:r>
              <w:rPr>
                <w:rFonts w:hint="eastAsia" w:ascii="宋体" w:hAnsi="宋体" w:cs="宋体"/>
                <w:color w:val="auto"/>
                <w:kern w:val="0"/>
                <w:szCs w:val="21"/>
              </w:rPr>
              <w:t>有异议的意见和说明理由：</w:t>
            </w:r>
          </w:p>
          <w:p>
            <w:pPr>
              <w:spacing w:before="100" w:beforeAutospacing="1" w:after="100" w:afterAutospacing="1" w:line="320" w:lineRule="atLeast"/>
              <w:jc w:val="left"/>
              <w:rPr>
                <w:rFonts w:ascii="宋体" w:hAnsi="宋体" w:cs="宋体"/>
                <w:color w:val="auto"/>
                <w:kern w:val="0"/>
                <w:szCs w:val="21"/>
              </w:rPr>
            </w:pPr>
            <w:r>
              <w:rPr>
                <w:rFonts w:hint="eastAsia" w:ascii="宋体" w:hAnsi="宋体" w:cs="宋体"/>
                <w:color w:val="auto"/>
                <w:kern w:val="0"/>
                <w:szCs w:val="21"/>
              </w:rPr>
              <w:t>签字：</w:t>
            </w:r>
          </w:p>
        </w:tc>
      </w:tr>
      <w:tr>
        <w:tblPrEx>
          <w:tblLayout w:type="fixed"/>
          <w:tblCellMar>
            <w:top w:w="0" w:type="dxa"/>
            <w:left w:w="0" w:type="dxa"/>
            <w:bottom w:w="0" w:type="dxa"/>
            <w:right w:w="0" w:type="dxa"/>
          </w:tblCellMar>
        </w:tblPrEx>
        <w:trPr>
          <w:trHeight w:val="507" w:hRule="atLeast"/>
          <w:jc w:val="center"/>
        </w:trPr>
        <w:tc>
          <w:tcPr>
            <w:tcW w:w="9371" w:type="dxa"/>
            <w:gridSpan w:val="8"/>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320" w:lineRule="atLeast"/>
              <w:jc w:val="left"/>
              <w:rPr>
                <w:rFonts w:ascii="宋体" w:hAnsi="宋体" w:cs="宋体"/>
                <w:color w:val="auto"/>
                <w:kern w:val="0"/>
                <w:szCs w:val="21"/>
              </w:rPr>
            </w:pPr>
            <w:r>
              <w:rPr>
                <w:rFonts w:hint="eastAsia" w:ascii="宋体" w:hAnsi="宋体" w:cs="宋体"/>
                <w:color w:val="auto"/>
                <w:kern w:val="0"/>
                <w:szCs w:val="21"/>
              </w:rPr>
              <w:t>验收小组成员签字：</w:t>
            </w:r>
          </w:p>
        </w:tc>
      </w:tr>
      <w:tr>
        <w:tblPrEx>
          <w:tblLayout w:type="fixed"/>
          <w:tblCellMar>
            <w:top w:w="0" w:type="dxa"/>
            <w:left w:w="0" w:type="dxa"/>
            <w:bottom w:w="0" w:type="dxa"/>
            <w:right w:w="0" w:type="dxa"/>
          </w:tblCellMar>
        </w:tblPrEx>
        <w:trPr>
          <w:trHeight w:val="736" w:hRule="atLeast"/>
          <w:jc w:val="center"/>
        </w:trPr>
        <w:tc>
          <w:tcPr>
            <w:tcW w:w="9371" w:type="dxa"/>
            <w:gridSpan w:val="8"/>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320" w:lineRule="atLeast"/>
              <w:jc w:val="left"/>
              <w:rPr>
                <w:rFonts w:ascii="宋体" w:hAnsi="宋体" w:cs="宋体"/>
                <w:color w:val="auto"/>
                <w:kern w:val="0"/>
                <w:szCs w:val="21"/>
              </w:rPr>
            </w:pPr>
            <w:r>
              <w:rPr>
                <w:rFonts w:hint="eastAsia" w:ascii="宋体" w:hAnsi="宋体" w:cs="宋体"/>
                <w:color w:val="auto"/>
                <w:kern w:val="0"/>
                <w:szCs w:val="21"/>
              </w:rPr>
              <w:t>监督人员或者其他相关人员签字：</w:t>
            </w:r>
          </w:p>
          <w:p>
            <w:pPr>
              <w:spacing w:before="100" w:beforeAutospacing="1" w:after="100" w:afterAutospacing="1" w:line="320" w:lineRule="atLeast"/>
              <w:ind w:firstLine="74"/>
              <w:jc w:val="left"/>
              <w:rPr>
                <w:rFonts w:ascii="宋体" w:hAnsi="宋体" w:cs="宋体"/>
                <w:color w:val="auto"/>
                <w:kern w:val="0"/>
                <w:szCs w:val="21"/>
              </w:rPr>
            </w:pPr>
            <w:r>
              <w:rPr>
                <w:rFonts w:hint="eastAsia" w:ascii="宋体" w:hAnsi="宋体" w:cs="宋体"/>
                <w:color w:val="auto"/>
                <w:kern w:val="0"/>
                <w:szCs w:val="21"/>
              </w:rPr>
              <w:t>或者受邀机构的意见（盖章）：</w:t>
            </w:r>
          </w:p>
        </w:tc>
      </w:tr>
      <w:tr>
        <w:tblPrEx>
          <w:tblLayout w:type="fixed"/>
          <w:tblCellMar>
            <w:top w:w="0" w:type="dxa"/>
            <w:left w:w="0" w:type="dxa"/>
            <w:bottom w:w="0" w:type="dxa"/>
            <w:right w:w="0" w:type="dxa"/>
          </w:tblCellMar>
        </w:tblPrEx>
        <w:trPr>
          <w:trHeight w:val="758" w:hRule="atLeast"/>
          <w:jc w:val="center"/>
        </w:trPr>
        <w:tc>
          <w:tcPr>
            <w:tcW w:w="4152" w:type="dxa"/>
            <w:gridSpan w:val="4"/>
            <w:tcBorders>
              <w:top w:val="nil"/>
              <w:left w:val="single" w:color="auto" w:sz="8" w:space="0"/>
              <w:bottom w:val="single" w:color="auto" w:sz="8" w:space="0"/>
              <w:right w:val="nil"/>
            </w:tcBorders>
            <w:tcMar>
              <w:top w:w="0" w:type="dxa"/>
              <w:left w:w="108" w:type="dxa"/>
              <w:bottom w:w="0" w:type="dxa"/>
              <w:right w:w="108" w:type="dxa"/>
            </w:tcMar>
            <w:vAlign w:val="center"/>
          </w:tcPr>
          <w:p>
            <w:pPr>
              <w:spacing w:before="100" w:beforeAutospacing="1" w:after="100" w:afterAutospacing="1" w:line="320" w:lineRule="atLeast"/>
              <w:ind w:firstLine="74"/>
              <w:jc w:val="left"/>
              <w:rPr>
                <w:rFonts w:ascii="宋体" w:hAnsi="宋体" w:cs="宋体"/>
                <w:color w:val="auto"/>
                <w:kern w:val="0"/>
                <w:szCs w:val="21"/>
              </w:rPr>
            </w:pPr>
            <w:r>
              <w:rPr>
                <w:rFonts w:hint="eastAsia" w:ascii="宋体" w:hAnsi="宋体" w:cs="宋体"/>
                <w:color w:val="auto"/>
                <w:kern w:val="0"/>
                <w:szCs w:val="21"/>
              </w:rPr>
              <w:t>中标或者成交人负责人签字或者盖章：</w:t>
            </w:r>
          </w:p>
          <w:p>
            <w:pPr>
              <w:spacing w:before="100" w:beforeAutospacing="1" w:after="100" w:afterAutospacing="1" w:line="320" w:lineRule="atLeast"/>
              <w:jc w:val="left"/>
              <w:rPr>
                <w:rFonts w:ascii="宋体" w:hAnsi="宋体" w:cs="宋体"/>
                <w:color w:val="auto"/>
                <w:kern w:val="0"/>
                <w:szCs w:val="21"/>
              </w:rPr>
            </w:pPr>
            <w:r>
              <w:rPr>
                <w:rFonts w:hint="eastAsia" w:ascii="宋体" w:hAnsi="宋体" w:cs="宋体"/>
                <w:color w:val="auto"/>
                <w:kern w:val="0"/>
                <w:szCs w:val="21"/>
              </w:rPr>
              <w:t>联系电话： 年 月 日</w:t>
            </w:r>
          </w:p>
        </w:tc>
        <w:tc>
          <w:tcPr>
            <w:tcW w:w="5219" w:type="dxa"/>
            <w:gridSpan w:val="4"/>
            <w:tcBorders>
              <w:top w:val="nil"/>
              <w:left w:val="nil"/>
              <w:bottom w:val="single" w:color="auto" w:sz="8" w:space="0"/>
              <w:right w:val="single" w:color="auto" w:sz="8" w:space="0"/>
            </w:tcBorders>
            <w:vAlign w:val="center"/>
          </w:tcPr>
          <w:p>
            <w:pPr>
              <w:spacing w:before="100" w:beforeAutospacing="1" w:after="100" w:afterAutospacing="1" w:line="320" w:lineRule="atLeast"/>
              <w:jc w:val="left"/>
              <w:rPr>
                <w:rFonts w:ascii="宋体" w:hAnsi="宋体" w:cs="宋体"/>
                <w:color w:val="auto"/>
                <w:kern w:val="0"/>
                <w:szCs w:val="21"/>
              </w:rPr>
            </w:pPr>
            <w:r>
              <w:rPr>
                <w:rFonts w:hint="eastAsia" w:ascii="宋体" w:hAnsi="宋体" w:cs="宋体"/>
                <w:color w:val="auto"/>
                <w:kern w:val="0"/>
                <w:szCs w:val="21"/>
              </w:rPr>
              <w:t>采购人或者受托机构的意见（盖章）：</w:t>
            </w:r>
          </w:p>
          <w:p>
            <w:pPr>
              <w:spacing w:before="100" w:beforeAutospacing="1" w:after="100" w:afterAutospacing="1" w:line="320" w:lineRule="atLeast"/>
              <w:jc w:val="left"/>
              <w:rPr>
                <w:rFonts w:ascii="宋体" w:hAnsi="宋体" w:cs="宋体"/>
                <w:color w:val="auto"/>
                <w:kern w:val="0"/>
                <w:szCs w:val="21"/>
              </w:rPr>
            </w:pPr>
            <w:r>
              <w:rPr>
                <w:rFonts w:hint="eastAsia" w:ascii="宋体" w:hAnsi="宋体" w:cs="宋体"/>
                <w:color w:val="auto"/>
                <w:kern w:val="0"/>
                <w:szCs w:val="21"/>
              </w:rPr>
              <w:t>联系电话： 年 月 日</w:t>
            </w:r>
          </w:p>
        </w:tc>
      </w:tr>
    </w:tbl>
    <w:p>
      <w:pPr>
        <w:pStyle w:val="2"/>
        <w:rPr>
          <w:rFonts w:ascii="宋体" w:hAnsi="宋体" w:cs="宋体"/>
          <w:color w:val="auto"/>
          <w:kern w:val="0"/>
          <w:sz w:val="28"/>
          <w:szCs w:val="28"/>
        </w:rPr>
        <w:sectPr>
          <w:pgSz w:w="11905" w:h="16838"/>
          <w:pgMar w:top="1134" w:right="1134" w:bottom="1134" w:left="1134" w:header="850" w:footer="850" w:gutter="0"/>
          <w:cols w:space="0" w:num="1"/>
          <w:titlePg/>
          <w:rtlGutter w:val="0"/>
          <w:docGrid w:linePitch="331" w:charSpace="0"/>
        </w:sectPr>
      </w:pPr>
      <w:r>
        <w:rPr>
          <w:rFonts w:hint="eastAsia" w:ascii="宋体" w:hAnsi="宋体" w:cs="宋体"/>
          <w:color w:val="auto"/>
        </w:rPr>
        <w:br w:type="page"/>
      </w:r>
    </w:p>
    <w:p>
      <w:pPr>
        <w:jc w:val="left"/>
        <w:rPr>
          <w:rFonts w:ascii="宋体" w:hAnsi="宋体" w:cs="宋体"/>
          <w:color w:val="auto"/>
        </w:rPr>
      </w:pPr>
      <w:r>
        <w:rPr>
          <w:rFonts w:hint="eastAsia" w:ascii="宋体" w:hAnsi="宋体" w:cs="宋体"/>
          <w:color w:val="auto"/>
          <w:sz w:val="28"/>
          <w:szCs w:val="28"/>
        </w:rPr>
        <w:t>4.政府采购项目履约保证金退付意见书的格式：</w:t>
      </w:r>
    </w:p>
    <w:p>
      <w:pPr>
        <w:jc w:val="center"/>
        <w:rPr>
          <w:rFonts w:ascii="宋体" w:hAnsi="宋体" w:cs="宋体"/>
          <w:color w:val="auto"/>
          <w:sz w:val="32"/>
          <w:szCs w:val="32"/>
        </w:rPr>
      </w:pPr>
    </w:p>
    <w:p>
      <w:pPr>
        <w:jc w:val="center"/>
        <w:rPr>
          <w:rFonts w:ascii="宋体" w:hAnsi="宋体" w:cs="宋体"/>
          <w:color w:val="auto"/>
          <w:sz w:val="32"/>
          <w:szCs w:val="32"/>
        </w:rPr>
      </w:pPr>
      <w:r>
        <w:rPr>
          <w:rFonts w:hint="eastAsia" w:ascii="宋体" w:hAnsi="宋体" w:cs="宋体"/>
          <w:color w:val="auto"/>
          <w:sz w:val="32"/>
          <w:szCs w:val="32"/>
        </w:rPr>
        <w:t>政府采购项目履约保证金退付意见书（参考）</w:t>
      </w:r>
    </w:p>
    <w:p>
      <w:pPr>
        <w:jc w:val="center"/>
        <w:rPr>
          <w:rFonts w:ascii="宋体" w:hAnsi="宋体" w:cs="宋体"/>
          <w:color w:val="auto"/>
          <w:sz w:val="36"/>
          <w:szCs w:val="36"/>
        </w:rPr>
      </w:pPr>
    </w:p>
    <w:tbl>
      <w:tblPr>
        <w:tblStyle w:val="24"/>
        <w:tblW w:w="94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8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trPr>
        <w:tc>
          <w:tcPr>
            <w:tcW w:w="1008" w:type="dxa"/>
            <w:vMerge w:val="restart"/>
            <w:vAlign w:val="center"/>
          </w:tcPr>
          <w:p>
            <w:pPr>
              <w:jc w:val="center"/>
              <w:rPr>
                <w:rFonts w:ascii="宋体" w:hAnsi="宋体" w:cs="宋体"/>
                <w:color w:val="auto"/>
                <w:sz w:val="24"/>
              </w:rPr>
            </w:pPr>
            <w:r>
              <w:rPr>
                <w:rFonts w:hint="eastAsia" w:ascii="宋体" w:hAnsi="宋体" w:cs="宋体"/>
                <w:color w:val="auto"/>
                <w:sz w:val="24"/>
              </w:rPr>
              <w:t>供</w:t>
            </w:r>
          </w:p>
          <w:p>
            <w:pPr>
              <w:jc w:val="center"/>
              <w:rPr>
                <w:rFonts w:ascii="宋体" w:hAnsi="宋体" w:cs="宋体"/>
                <w:color w:val="auto"/>
                <w:sz w:val="24"/>
              </w:rPr>
            </w:pPr>
            <w:r>
              <w:rPr>
                <w:rFonts w:hint="eastAsia" w:ascii="宋体" w:hAnsi="宋体" w:cs="宋体"/>
                <w:color w:val="auto"/>
                <w:sz w:val="24"/>
              </w:rPr>
              <w:t>应</w:t>
            </w:r>
          </w:p>
          <w:p>
            <w:pPr>
              <w:jc w:val="center"/>
              <w:rPr>
                <w:rFonts w:ascii="宋体" w:hAnsi="宋体" w:cs="宋体"/>
                <w:color w:val="auto"/>
                <w:sz w:val="24"/>
              </w:rPr>
            </w:pPr>
            <w:r>
              <w:rPr>
                <w:rFonts w:hint="eastAsia" w:ascii="宋体" w:hAnsi="宋体" w:cs="宋体"/>
                <w:color w:val="auto"/>
                <w:sz w:val="24"/>
              </w:rPr>
              <w:t>商</w:t>
            </w:r>
          </w:p>
          <w:p>
            <w:pPr>
              <w:jc w:val="center"/>
              <w:rPr>
                <w:rFonts w:ascii="宋体" w:hAnsi="宋体" w:cs="宋体"/>
                <w:color w:val="auto"/>
                <w:sz w:val="24"/>
              </w:rPr>
            </w:pPr>
            <w:r>
              <w:rPr>
                <w:rFonts w:hint="eastAsia" w:ascii="宋体" w:hAnsi="宋体" w:cs="宋体"/>
                <w:color w:val="auto"/>
                <w:sz w:val="24"/>
              </w:rPr>
              <w:t>申</w:t>
            </w:r>
          </w:p>
          <w:p>
            <w:pPr>
              <w:jc w:val="center"/>
              <w:rPr>
                <w:rFonts w:ascii="宋体" w:hAnsi="宋体" w:cs="宋体"/>
                <w:color w:val="auto"/>
                <w:sz w:val="24"/>
              </w:rPr>
            </w:pPr>
            <w:r>
              <w:rPr>
                <w:rFonts w:hint="eastAsia" w:ascii="宋体" w:hAnsi="宋体" w:cs="宋体"/>
                <w:color w:val="auto"/>
                <w:sz w:val="24"/>
              </w:rPr>
              <w:t>请</w:t>
            </w:r>
          </w:p>
        </w:tc>
        <w:tc>
          <w:tcPr>
            <w:tcW w:w="8456" w:type="dxa"/>
            <w:vAlign w:val="center"/>
          </w:tcPr>
          <w:p>
            <w:pPr>
              <w:rPr>
                <w:rFonts w:ascii="宋体" w:hAnsi="宋体" w:cs="宋体"/>
                <w:color w:val="auto"/>
                <w:sz w:val="24"/>
              </w:rPr>
            </w:pPr>
            <w:r>
              <w:rPr>
                <w:rFonts w:hint="eastAsia" w:ascii="宋体" w:hAnsi="宋体" w:cs="宋体"/>
                <w:color w:val="auto"/>
                <w:sz w:val="24"/>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8" w:hRule="atLeast"/>
        </w:trPr>
        <w:tc>
          <w:tcPr>
            <w:tcW w:w="1008" w:type="dxa"/>
            <w:vMerge w:val="continue"/>
            <w:vAlign w:val="center"/>
          </w:tcPr>
          <w:p>
            <w:pPr>
              <w:rPr>
                <w:rFonts w:ascii="宋体" w:hAnsi="宋体" w:cs="宋体"/>
                <w:color w:val="auto"/>
                <w:sz w:val="24"/>
              </w:rPr>
            </w:pPr>
          </w:p>
        </w:tc>
        <w:tc>
          <w:tcPr>
            <w:tcW w:w="8456" w:type="dxa"/>
            <w:vAlign w:val="center"/>
          </w:tcPr>
          <w:p>
            <w:pPr>
              <w:rPr>
                <w:rFonts w:ascii="宋体" w:hAnsi="宋体" w:cs="宋体"/>
                <w:color w:val="auto"/>
                <w:sz w:val="24"/>
              </w:rPr>
            </w:pPr>
            <w:r>
              <w:rPr>
                <w:rFonts w:hint="eastAsia" w:ascii="宋体" w:hAnsi="宋体" w:cs="宋体"/>
                <w:color w:val="auto"/>
                <w:sz w:val="24"/>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08" w:type="dxa"/>
            <w:vMerge w:val="continue"/>
          </w:tcPr>
          <w:p>
            <w:pPr>
              <w:rPr>
                <w:rFonts w:ascii="宋体" w:hAnsi="宋体" w:cs="宋体"/>
                <w:color w:val="auto"/>
                <w:sz w:val="24"/>
              </w:rPr>
            </w:pPr>
          </w:p>
        </w:tc>
        <w:tc>
          <w:tcPr>
            <w:tcW w:w="8456" w:type="dxa"/>
          </w:tcPr>
          <w:p>
            <w:pPr>
              <w:rPr>
                <w:rFonts w:ascii="宋体" w:hAnsi="宋体" w:cs="宋体"/>
                <w:color w:val="auto"/>
                <w:sz w:val="24"/>
              </w:rPr>
            </w:pPr>
          </w:p>
          <w:p>
            <w:pPr>
              <w:spacing w:line="400" w:lineRule="exact"/>
              <w:ind w:firstLine="480" w:firstLineChars="200"/>
              <w:rPr>
                <w:rFonts w:ascii="宋体" w:hAnsi="宋体" w:cs="宋体"/>
                <w:color w:val="auto"/>
                <w:sz w:val="24"/>
              </w:rPr>
            </w:pPr>
            <w:r>
              <w:rPr>
                <w:rFonts w:hint="eastAsia" w:ascii="宋体" w:hAnsi="宋体" w:cs="宋体"/>
                <w:color w:val="auto"/>
                <w:sz w:val="24"/>
              </w:rPr>
              <w:t>该项目已于年月日验收并交付使用。根据合同规定，该项目的履约保证金期限于年月日已满，请将履约保证金（大写）</w:t>
            </w:r>
            <w:r>
              <w:rPr>
                <w:rFonts w:hint="eastAsia" w:ascii="宋体" w:hAnsi="宋体" w:cs="宋体"/>
                <w:color w:val="auto"/>
                <w:sz w:val="24"/>
                <w:u w:val="single"/>
              </w:rPr>
              <w:t xml:space="preserve">人民币                      </w:t>
            </w:r>
            <w:r>
              <w:rPr>
                <w:rFonts w:hint="eastAsia" w:ascii="宋体" w:hAnsi="宋体" w:cs="宋体"/>
                <w:color w:val="auto"/>
                <w:sz w:val="24"/>
              </w:rPr>
              <w:t>（小写）¥退付到达以下账户。</w:t>
            </w:r>
          </w:p>
          <w:p>
            <w:pPr>
              <w:spacing w:line="400" w:lineRule="exact"/>
              <w:ind w:firstLine="705"/>
              <w:rPr>
                <w:rFonts w:ascii="宋体" w:hAnsi="宋体" w:cs="宋体"/>
                <w:color w:val="auto"/>
                <w:sz w:val="24"/>
              </w:rPr>
            </w:pPr>
            <w:r>
              <w:rPr>
                <w:rFonts w:hint="eastAsia" w:ascii="宋体" w:hAnsi="宋体" w:cs="宋体"/>
                <w:color w:val="auto"/>
                <w:sz w:val="24"/>
              </w:rPr>
              <w:t>单位名称：</w:t>
            </w:r>
          </w:p>
          <w:p>
            <w:pPr>
              <w:spacing w:line="400" w:lineRule="exact"/>
              <w:ind w:firstLine="705"/>
              <w:rPr>
                <w:rFonts w:ascii="宋体" w:hAnsi="宋体" w:cs="宋体"/>
                <w:color w:val="auto"/>
                <w:sz w:val="24"/>
              </w:rPr>
            </w:pPr>
            <w:r>
              <w:rPr>
                <w:rFonts w:hint="eastAsia" w:ascii="宋体" w:hAnsi="宋体" w:cs="宋体"/>
                <w:color w:val="auto"/>
                <w:sz w:val="24"/>
              </w:rPr>
              <w:t>开户银行：</w:t>
            </w:r>
          </w:p>
          <w:p>
            <w:pPr>
              <w:spacing w:line="400" w:lineRule="exact"/>
              <w:ind w:firstLine="705"/>
              <w:rPr>
                <w:rFonts w:ascii="宋体" w:hAnsi="宋体" w:cs="宋体"/>
                <w:color w:val="auto"/>
                <w:sz w:val="24"/>
              </w:rPr>
            </w:pPr>
            <w:r>
              <w:rPr>
                <w:rFonts w:hint="eastAsia" w:ascii="宋体" w:hAnsi="宋体" w:cs="宋体"/>
                <w:color w:val="auto"/>
                <w:sz w:val="24"/>
              </w:rPr>
              <w:t>账   号：</w:t>
            </w:r>
          </w:p>
          <w:p>
            <w:pPr>
              <w:spacing w:line="400" w:lineRule="exact"/>
              <w:rPr>
                <w:rFonts w:ascii="宋体" w:hAnsi="宋体" w:cs="宋体"/>
                <w:color w:val="auto"/>
                <w:sz w:val="24"/>
              </w:rPr>
            </w:pPr>
            <w:r>
              <w:rPr>
                <w:rFonts w:hint="eastAsia" w:ascii="宋体" w:hAnsi="宋体" w:cs="宋体"/>
                <w:color w:val="auto"/>
                <w:sz w:val="24"/>
              </w:rPr>
              <w:t>联系人及电话：</w:t>
            </w:r>
          </w:p>
          <w:p>
            <w:pPr>
              <w:spacing w:line="400" w:lineRule="exact"/>
              <w:rPr>
                <w:rFonts w:ascii="宋体" w:hAnsi="宋体" w:cs="宋体"/>
                <w:color w:val="auto"/>
                <w:sz w:val="24"/>
              </w:rPr>
            </w:pPr>
          </w:p>
          <w:p>
            <w:pPr>
              <w:spacing w:line="520" w:lineRule="exact"/>
              <w:jc w:val="center"/>
              <w:rPr>
                <w:rFonts w:ascii="宋体" w:hAnsi="宋体" w:cs="宋体"/>
                <w:color w:val="auto"/>
                <w:sz w:val="24"/>
              </w:rPr>
            </w:pPr>
            <w:r>
              <w:rPr>
                <w:rFonts w:hint="eastAsia" w:ascii="宋体" w:hAnsi="宋体" w:cs="宋体"/>
                <w:color w:val="auto"/>
                <w:sz w:val="24"/>
              </w:rPr>
              <w:t xml:space="preserve">         投标人签章：</w:t>
            </w:r>
          </w:p>
          <w:p>
            <w:pPr>
              <w:spacing w:line="520" w:lineRule="exact"/>
              <w:jc w:val="center"/>
              <w:rPr>
                <w:rFonts w:ascii="宋体" w:hAnsi="宋体" w:cs="宋体"/>
                <w:color w:val="auto"/>
                <w:sz w:val="24"/>
              </w:rPr>
            </w:pPr>
            <w:r>
              <w:rPr>
                <w:rFonts w:hint="eastAsia" w:ascii="宋体" w:hAnsi="宋体" w:cs="宋体"/>
                <w:color w:val="auto"/>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6" w:hRule="atLeast"/>
        </w:trPr>
        <w:tc>
          <w:tcPr>
            <w:tcW w:w="1008" w:type="dxa"/>
            <w:vAlign w:val="center"/>
          </w:tcPr>
          <w:p>
            <w:pPr>
              <w:jc w:val="center"/>
              <w:rPr>
                <w:rFonts w:ascii="宋体" w:hAnsi="宋体" w:cs="宋体"/>
                <w:color w:val="auto"/>
                <w:sz w:val="24"/>
              </w:rPr>
            </w:pPr>
            <w:r>
              <w:rPr>
                <w:rFonts w:hint="eastAsia" w:ascii="宋体" w:hAnsi="宋体" w:cs="宋体"/>
                <w:color w:val="auto"/>
                <w:sz w:val="24"/>
              </w:rPr>
              <w:t>采</w:t>
            </w:r>
          </w:p>
          <w:p>
            <w:pPr>
              <w:jc w:val="center"/>
              <w:rPr>
                <w:rFonts w:ascii="宋体" w:hAnsi="宋体" w:cs="宋体"/>
                <w:color w:val="auto"/>
                <w:sz w:val="24"/>
              </w:rPr>
            </w:pPr>
            <w:r>
              <w:rPr>
                <w:rFonts w:hint="eastAsia" w:ascii="宋体" w:hAnsi="宋体" w:cs="宋体"/>
                <w:color w:val="auto"/>
                <w:sz w:val="24"/>
              </w:rPr>
              <w:t>购</w:t>
            </w:r>
          </w:p>
          <w:p>
            <w:pPr>
              <w:jc w:val="center"/>
              <w:rPr>
                <w:rFonts w:ascii="宋体" w:hAnsi="宋体" w:cs="宋体"/>
                <w:color w:val="auto"/>
                <w:sz w:val="24"/>
              </w:rPr>
            </w:pPr>
            <w:r>
              <w:rPr>
                <w:rFonts w:hint="eastAsia" w:ascii="宋体" w:hAnsi="宋体" w:cs="宋体"/>
                <w:color w:val="auto"/>
                <w:sz w:val="24"/>
              </w:rPr>
              <w:t>人</w:t>
            </w:r>
          </w:p>
          <w:p>
            <w:pPr>
              <w:jc w:val="center"/>
              <w:rPr>
                <w:rFonts w:ascii="宋体" w:hAnsi="宋体" w:cs="宋体"/>
                <w:color w:val="auto"/>
                <w:sz w:val="24"/>
              </w:rPr>
            </w:pPr>
            <w:r>
              <w:rPr>
                <w:rFonts w:hint="eastAsia" w:ascii="宋体" w:hAnsi="宋体" w:cs="宋体"/>
                <w:color w:val="auto"/>
                <w:sz w:val="24"/>
              </w:rPr>
              <w:t>意</w:t>
            </w:r>
          </w:p>
          <w:p>
            <w:pPr>
              <w:jc w:val="center"/>
              <w:rPr>
                <w:rFonts w:ascii="宋体" w:hAnsi="宋体" w:cs="宋体"/>
                <w:color w:val="auto"/>
                <w:sz w:val="24"/>
              </w:rPr>
            </w:pPr>
            <w:r>
              <w:rPr>
                <w:rFonts w:hint="eastAsia" w:ascii="宋体" w:hAnsi="宋体" w:cs="宋体"/>
                <w:color w:val="auto"/>
                <w:sz w:val="24"/>
              </w:rPr>
              <w:t>见</w:t>
            </w:r>
          </w:p>
        </w:tc>
        <w:tc>
          <w:tcPr>
            <w:tcW w:w="8456" w:type="dxa"/>
          </w:tcPr>
          <w:p>
            <w:pPr>
              <w:rPr>
                <w:rFonts w:ascii="宋体" w:hAnsi="宋体" w:cs="宋体"/>
                <w:color w:val="auto"/>
                <w:sz w:val="24"/>
              </w:rPr>
            </w:pPr>
          </w:p>
          <w:p>
            <w:pPr>
              <w:rPr>
                <w:rFonts w:ascii="宋体" w:hAnsi="宋体" w:cs="宋体"/>
                <w:color w:val="auto"/>
                <w:sz w:val="24"/>
              </w:rPr>
            </w:pPr>
            <w:r>
              <w:rPr>
                <w:rFonts w:hint="eastAsia" w:ascii="宋体" w:hAnsi="宋体" w:cs="宋体"/>
                <w:color w:val="auto"/>
                <w:sz w:val="24"/>
              </w:rPr>
              <w:t>退付意见：（是否同意退付履约保证金及退付金额）</w:t>
            </w:r>
          </w:p>
          <w:p>
            <w:pPr>
              <w:rPr>
                <w:rFonts w:ascii="宋体" w:hAnsi="宋体" w:cs="宋体"/>
                <w:color w:val="auto"/>
                <w:sz w:val="24"/>
              </w:rPr>
            </w:pPr>
          </w:p>
          <w:p>
            <w:pPr>
              <w:rPr>
                <w:rFonts w:ascii="宋体" w:hAnsi="宋体" w:cs="宋体"/>
                <w:color w:val="auto"/>
                <w:sz w:val="24"/>
              </w:rPr>
            </w:pPr>
          </w:p>
          <w:p>
            <w:pPr>
              <w:rPr>
                <w:rFonts w:ascii="宋体" w:hAnsi="宋体" w:cs="宋体"/>
                <w:color w:val="auto"/>
                <w:sz w:val="24"/>
              </w:rPr>
            </w:pPr>
          </w:p>
          <w:p>
            <w:pPr>
              <w:rPr>
                <w:rFonts w:ascii="宋体" w:hAnsi="宋体" w:cs="宋体"/>
                <w:color w:val="auto"/>
                <w:sz w:val="24"/>
              </w:rPr>
            </w:pPr>
          </w:p>
          <w:p>
            <w:pPr>
              <w:spacing w:line="520" w:lineRule="exact"/>
              <w:rPr>
                <w:rFonts w:ascii="宋体" w:hAnsi="宋体" w:cs="宋体"/>
                <w:color w:val="auto"/>
                <w:sz w:val="24"/>
              </w:rPr>
            </w:pPr>
            <w:r>
              <w:rPr>
                <w:rFonts w:hint="eastAsia" w:ascii="宋体" w:hAnsi="宋体" w:cs="宋体"/>
                <w:color w:val="auto"/>
                <w:sz w:val="24"/>
              </w:rPr>
              <w:t>联系人及电话：                         采购人签章</w:t>
            </w:r>
          </w:p>
          <w:p>
            <w:pPr>
              <w:spacing w:line="520" w:lineRule="exact"/>
              <w:jc w:val="center"/>
              <w:rPr>
                <w:rFonts w:ascii="宋体" w:hAnsi="宋体" w:cs="宋体"/>
                <w:color w:val="auto"/>
                <w:sz w:val="24"/>
              </w:rPr>
            </w:pPr>
            <w:r>
              <w:rPr>
                <w:rFonts w:hint="eastAsia" w:ascii="宋体" w:hAnsi="宋体" w:cs="宋体"/>
                <w:color w:val="auto"/>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5" w:hRule="atLeast"/>
        </w:trPr>
        <w:tc>
          <w:tcPr>
            <w:tcW w:w="1008" w:type="dxa"/>
            <w:vAlign w:val="center"/>
          </w:tcPr>
          <w:p>
            <w:pPr>
              <w:jc w:val="center"/>
              <w:rPr>
                <w:rFonts w:ascii="宋体" w:hAnsi="宋体" w:cs="宋体"/>
                <w:color w:val="auto"/>
                <w:sz w:val="24"/>
              </w:rPr>
            </w:pPr>
            <w:r>
              <w:rPr>
                <w:rFonts w:hint="eastAsia" w:ascii="宋体" w:hAnsi="宋体" w:cs="宋体"/>
                <w:color w:val="auto"/>
                <w:sz w:val="24"/>
              </w:rPr>
              <w:t>备注</w:t>
            </w:r>
          </w:p>
        </w:tc>
        <w:tc>
          <w:tcPr>
            <w:tcW w:w="8456" w:type="dxa"/>
          </w:tcPr>
          <w:p>
            <w:pPr>
              <w:rPr>
                <w:rFonts w:ascii="宋体" w:hAnsi="宋体" w:cs="宋体"/>
                <w:color w:val="auto"/>
                <w:sz w:val="24"/>
              </w:rPr>
            </w:pPr>
          </w:p>
        </w:tc>
      </w:tr>
    </w:tbl>
    <w:p>
      <w:pPr>
        <w:pStyle w:val="11"/>
        <w:ind w:left="420" w:leftChars="114" w:hanging="181" w:hangingChars="100"/>
        <w:rPr>
          <w:rFonts w:ascii="宋体" w:hAnsi="宋体" w:cs="宋体"/>
          <w:b/>
          <w:bCs/>
          <w:color w:val="auto"/>
          <w:sz w:val="18"/>
        </w:rPr>
      </w:pPr>
      <w:r>
        <w:rPr>
          <w:rFonts w:hint="eastAsia" w:ascii="宋体" w:hAnsi="宋体" w:cs="宋体"/>
          <w:b/>
          <w:bCs/>
          <w:color w:val="auto"/>
          <w:sz w:val="18"/>
        </w:rPr>
        <w:t>注：投标人凭经采购人审批的退付意见书到</w:t>
      </w:r>
      <w:r>
        <w:rPr>
          <w:rFonts w:hint="eastAsia"/>
          <w:b/>
          <w:bCs/>
          <w:color w:val="auto"/>
          <w:sz w:val="18"/>
          <w:szCs w:val="18"/>
        </w:rPr>
        <w:t>履约</w:t>
      </w:r>
      <w:r>
        <w:rPr>
          <w:rFonts w:hint="eastAsia" w:ascii="宋体" w:hAnsi="宋体" w:cs="宋体"/>
          <w:b/>
          <w:bCs/>
          <w:color w:val="auto"/>
          <w:sz w:val="18"/>
        </w:rPr>
        <w:t>保证金收取单位办理履约保证金退付事宜。</w:t>
      </w:r>
    </w:p>
    <w:p>
      <w:pPr>
        <w:pStyle w:val="14"/>
        <w:snapToGrid w:val="0"/>
        <w:spacing w:before="120" w:after="120"/>
        <w:rPr>
          <w:rFonts w:hAnsi="宋体" w:cs="宋体"/>
          <w:color w:val="auto"/>
        </w:rPr>
      </w:pPr>
    </w:p>
    <w:p>
      <w:pPr>
        <w:snapToGrid w:val="0"/>
        <w:spacing w:before="50" w:afterLines="50" w:line="360" w:lineRule="auto"/>
        <w:jc w:val="left"/>
        <w:rPr>
          <w:color w:val="auto"/>
          <w:sz w:val="20"/>
        </w:rPr>
      </w:pPr>
    </w:p>
    <w:p>
      <w:pPr>
        <w:pStyle w:val="14"/>
        <w:tabs>
          <w:tab w:val="left" w:pos="2472"/>
        </w:tabs>
        <w:spacing w:line="460" w:lineRule="exact"/>
        <w:jc w:val="center"/>
        <w:rPr>
          <w:rFonts w:ascii="Times New Roman" w:hAnsi="Times New Roman"/>
          <w:b/>
          <w:color w:val="auto"/>
          <w:sz w:val="36"/>
        </w:rPr>
      </w:pPr>
    </w:p>
    <w:p>
      <w:pPr>
        <w:pStyle w:val="14"/>
        <w:tabs>
          <w:tab w:val="left" w:pos="2472"/>
        </w:tabs>
        <w:spacing w:line="460" w:lineRule="exact"/>
        <w:jc w:val="center"/>
        <w:rPr>
          <w:rFonts w:ascii="Times New Roman" w:hAnsi="Times New Roman"/>
          <w:b/>
          <w:color w:val="auto"/>
          <w:sz w:val="36"/>
        </w:rPr>
      </w:pPr>
    </w:p>
    <w:p>
      <w:pPr>
        <w:pStyle w:val="14"/>
        <w:tabs>
          <w:tab w:val="left" w:pos="2472"/>
        </w:tabs>
        <w:spacing w:line="460" w:lineRule="exact"/>
        <w:jc w:val="center"/>
        <w:rPr>
          <w:rFonts w:ascii="Times New Roman" w:hAnsi="Times New Roman"/>
          <w:b/>
          <w:color w:val="auto"/>
          <w:sz w:val="36"/>
        </w:rPr>
      </w:pPr>
    </w:p>
    <w:p>
      <w:pPr>
        <w:pStyle w:val="14"/>
        <w:tabs>
          <w:tab w:val="left" w:pos="2472"/>
        </w:tabs>
        <w:spacing w:line="460" w:lineRule="exact"/>
        <w:jc w:val="center"/>
        <w:rPr>
          <w:rFonts w:ascii="Times New Roman" w:hAnsi="Times New Roman"/>
          <w:b/>
          <w:color w:val="auto"/>
          <w:sz w:val="36"/>
        </w:rPr>
      </w:pPr>
    </w:p>
    <w:p>
      <w:pPr>
        <w:pStyle w:val="14"/>
        <w:tabs>
          <w:tab w:val="left" w:pos="2472"/>
        </w:tabs>
        <w:spacing w:line="460" w:lineRule="exact"/>
        <w:jc w:val="center"/>
        <w:rPr>
          <w:rFonts w:ascii="Times New Roman" w:hAnsi="Times New Roman"/>
          <w:b/>
          <w:color w:val="auto"/>
          <w:sz w:val="36"/>
        </w:rPr>
      </w:pPr>
    </w:p>
    <w:p>
      <w:pPr>
        <w:pStyle w:val="14"/>
        <w:tabs>
          <w:tab w:val="left" w:pos="2472"/>
        </w:tabs>
        <w:spacing w:line="460" w:lineRule="exact"/>
        <w:jc w:val="center"/>
        <w:rPr>
          <w:rFonts w:ascii="Times New Roman" w:hAnsi="Times New Roman"/>
          <w:b/>
          <w:color w:val="auto"/>
          <w:sz w:val="36"/>
        </w:rPr>
      </w:pPr>
    </w:p>
    <w:p>
      <w:pPr>
        <w:pStyle w:val="14"/>
        <w:tabs>
          <w:tab w:val="left" w:pos="2472"/>
        </w:tabs>
        <w:spacing w:line="460" w:lineRule="exact"/>
        <w:jc w:val="center"/>
        <w:rPr>
          <w:rFonts w:ascii="Times New Roman" w:hAnsi="Times New Roman"/>
          <w:b/>
          <w:color w:val="auto"/>
          <w:sz w:val="36"/>
        </w:rPr>
      </w:pPr>
    </w:p>
    <w:p>
      <w:pPr>
        <w:pStyle w:val="14"/>
        <w:tabs>
          <w:tab w:val="left" w:pos="2472"/>
        </w:tabs>
        <w:spacing w:line="460" w:lineRule="exact"/>
        <w:jc w:val="center"/>
        <w:rPr>
          <w:rFonts w:ascii="Times New Roman" w:hAnsi="Times New Roman"/>
          <w:b/>
          <w:color w:val="auto"/>
          <w:sz w:val="36"/>
        </w:rPr>
      </w:pPr>
    </w:p>
    <w:p>
      <w:pPr>
        <w:pStyle w:val="14"/>
        <w:tabs>
          <w:tab w:val="left" w:pos="2472"/>
        </w:tabs>
        <w:spacing w:line="460" w:lineRule="exact"/>
        <w:jc w:val="center"/>
        <w:rPr>
          <w:rFonts w:ascii="Times New Roman" w:hAnsi="Times New Roman"/>
          <w:b/>
          <w:color w:val="auto"/>
          <w:sz w:val="36"/>
        </w:rPr>
      </w:pPr>
    </w:p>
    <w:p>
      <w:pPr>
        <w:pStyle w:val="14"/>
        <w:tabs>
          <w:tab w:val="left" w:pos="2472"/>
        </w:tabs>
        <w:spacing w:line="460" w:lineRule="exact"/>
        <w:jc w:val="center"/>
        <w:rPr>
          <w:rFonts w:ascii="Times New Roman" w:hAnsi="Times New Roman"/>
          <w:b/>
          <w:color w:val="auto"/>
          <w:sz w:val="36"/>
        </w:rPr>
      </w:pPr>
    </w:p>
    <w:p>
      <w:pPr>
        <w:pStyle w:val="14"/>
        <w:tabs>
          <w:tab w:val="left" w:pos="2472"/>
        </w:tabs>
        <w:spacing w:line="460" w:lineRule="exact"/>
        <w:jc w:val="center"/>
        <w:rPr>
          <w:rFonts w:ascii="Times New Roman" w:hAnsi="Times New Roman"/>
          <w:b/>
          <w:color w:val="auto"/>
          <w:sz w:val="36"/>
        </w:rPr>
      </w:pPr>
    </w:p>
    <w:p>
      <w:pPr>
        <w:pStyle w:val="14"/>
        <w:tabs>
          <w:tab w:val="left" w:pos="2472"/>
        </w:tabs>
        <w:spacing w:line="460" w:lineRule="exact"/>
        <w:jc w:val="center"/>
        <w:outlineLvl w:val="0"/>
        <w:rPr>
          <w:rFonts w:ascii="Times New Roman" w:hAnsi="Times New Roman"/>
          <w:b/>
          <w:color w:val="auto"/>
          <w:sz w:val="36"/>
        </w:rPr>
      </w:pPr>
      <w:bookmarkStart w:id="405" w:name="_Toc6635"/>
      <w:bookmarkStart w:id="406" w:name="_Toc31310"/>
      <w:bookmarkStart w:id="407" w:name="_Toc7254"/>
      <w:bookmarkStart w:id="408" w:name="_Toc17736"/>
      <w:bookmarkStart w:id="409" w:name="_Toc491"/>
      <w:bookmarkStart w:id="410" w:name="_Toc21753"/>
      <w:bookmarkStart w:id="411" w:name="_Toc7244"/>
      <w:bookmarkStart w:id="412" w:name="_Toc11260"/>
      <w:bookmarkStart w:id="413" w:name="_Toc18173"/>
      <w:bookmarkStart w:id="414" w:name="_Toc31429"/>
      <w:bookmarkStart w:id="415" w:name="_Toc25113"/>
      <w:bookmarkStart w:id="416" w:name="_Toc2211"/>
      <w:bookmarkStart w:id="417" w:name="_Toc32028"/>
      <w:r>
        <w:rPr>
          <w:rFonts w:hint="eastAsia" w:ascii="Times New Roman" w:hAnsi="Times New Roman"/>
          <w:b/>
          <w:color w:val="auto"/>
          <w:sz w:val="36"/>
        </w:rPr>
        <w:t>第七章质疑、投诉材料格式</w:t>
      </w:r>
      <w:bookmarkEnd w:id="405"/>
      <w:bookmarkEnd w:id="406"/>
      <w:bookmarkEnd w:id="407"/>
      <w:bookmarkEnd w:id="408"/>
      <w:bookmarkEnd w:id="409"/>
      <w:bookmarkEnd w:id="410"/>
      <w:bookmarkEnd w:id="411"/>
      <w:bookmarkEnd w:id="412"/>
      <w:bookmarkEnd w:id="413"/>
      <w:bookmarkEnd w:id="414"/>
      <w:bookmarkEnd w:id="415"/>
      <w:bookmarkEnd w:id="416"/>
      <w:bookmarkEnd w:id="417"/>
    </w:p>
    <w:p>
      <w:pPr>
        <w:widowControl/>
        <w:spacing w:line="360" w:lineRule="auto"/>
        <w:jc w:val="left"/>
        <w:rPr>
          <w:color w:val="auto"/>
          <w:sz w:val="20"/>
        </w:rPr>
        <w:sectPr>
          <w:pgSz w:w="11905" w:h="16838"/>
          <w:pgMar w:top="1134" w:right="1134" w:bottom="1134" w:left="1134" w:header="850" w:footer="850" w:gutter="0"/>
          <w:cols w:space="0" w:num="1"/>
          <w:titlePg/>
          <w:rtlGutter w:val="0"/>
          <w:docGrid w:linePitch="331" w:charSpace="0"/>
        </w:sectPr>
      </w:pPr>
    </w:p>
    <w:p>
      <w:pPr>
        <w:pStyle w:val="4"/>
        <w:jc w:val="center"/>
        <w:rPr>
          <w:rFonts w:ascii="宋体" w:hAnsi="宋体"/>
          <w:b w:val="0"/>
          <w:bCs w:val="0"/>
          <w:color w:val="auto"/>
        </w:rPr>
      </w:pPr>
      <w:bookmarkStart w:id="418" w:name="_Toc22595"/>
      <w:bookmarkStart w:id="419" w:name="_Toc12016"/>
      <w:bookmarkStart w:id="420" w:name="_Toc22540"/>
      <w:bookmarkStart w:id="421" w:name="_Toc15096"/>
      <w:bookmarkStart w:id="422" w:name="_Toc10944"/>
      <w:bookmarkStart w:id="423" w:name="_Toc17610"/>
      <w:bookmarkStart w:id="424" w:name="_Toc990"/>
      <w:bookmarkStart w:id="425" w:name="_Toc3458"/>
      <w:bookmarkStart w:id="426" w:name="_Toc31800"/>
      <w:bookmarkStart w:id="427" w:name="_Toc25538"/>
      <w:r>
        <w:rPr>
          <w:rFonts w:hint="eastAsia" w:ascii="宋体" w:hAnsi="宋体"/>
          <w:b w:val="0"/>
          <w:bCs w:val="0"/>
          <w:color w:val="auto"/>
        </w:rPr>
        <w:t>第一节 质疑函（格式）</w:t>
      </w:r>
      <w:bookmarkEnd w:id="418"/>
      <w:bookmarkEnd w:id="419"/>
      <w:bookmarkEnd w:id="420"/>
      <w:bookmarkEnd w:id="421"/>
      <w:bookmarkEnd w:id="422"/>
      <w:bookmarkEnd w:id="423"/>
      <w:bookmarkEnd w:id="424"/>
      <w:bookmarkEnd w:id="425"/>
      <w:bookmarkEnd w:id="426"/>
      <w:bookmarkEnd w:id="427"/>
    </w:p>
    <w:p>
      <w:pPr>
        <w:jc w:val="center"/>
        <w:rPr>
          <w:rFonts w:ascii="黑体" w:hAnsi="黑体" w:eastAsia="黑体" w:cs="仿宋"/>
          <w:bCs/>
          <w:color w:val="auto"/>
          <w:sz w:val="32"/>
          <w:szCs w:val="32"/>
        </w:rPr>
      </w:pPr>
      <w:r>
        <w:rPr>
          <w:rFonts w:hint="eastAsia" w:ascii="仿宋" w:hAnsi="仿宋" w:eastAsia="仿宋" w:cs="仿宋"/>
          <w:b/>
          <w:bCs/>
          <w:color w:val="auto"/>
          <w:sz w:val="32"/>
          <w:szCs w:val="32"/>
        </w:rPr>
        <w:t>质疑函</w:t>
      </w:r>
    </w:p>
    <w:p>
      <w:pPr>
        <w:adjustRightInd w:val="0"/>
        <w:snapToGrid w:val="0"/>
        <w:spacing w:beforeLines="100" w:line="360" w:lineRule="auto"/>
        <w:rPr>
          <w:rFonts w:ascii="宋体" w:hAnsi="宋体" w:cs="宋体"/>
          <w:bCs/>
          <w:color w:val="auto"/>
          <w:sz w:val="24"/>
        </w:rPr>
      </w:pPr>
      <w:r>
        <w:rPr>
          <w:rFonts w:hint="eastAsia" w:ascii="宋体" w:hAnsi="宋体" w:cs="宋体"/>
          <w:bCs/>
          <w:color w:val="auto"/>
          <w:sz w:val="24"/>
        </w:rPr>
        <w:t>一、质疑供应商基本信息</w:t>
      </w:r>
    </w:p>
    <w:p>
      <w:pPr>
        <w:adjustRightInd w:val="0"/>
        <w:snapToGrid w:val="0"/>
        <w:spacing w:line="360" w:lineRule="auto"/>
        <w:rPr>
          <w:rFonts w:ascii="宋体" w:hAnsi="宋体" w:cs="宋体"/>
          <w:color w:val="auto"/>
          <w:sz w:val="24"/>
          <w:u w:val="dotted"/>
        </w:rPr>
      </w:pPr>
      <w:r>
        <w:rPr>
          <w:rFonts w:hint="eastAsia" w:ascii="宋体" w:hAnsi="宋体" w:cs="宋体"/>
          <w:color w:val="auto"/>
          <w:sz w:val="24"/>
        </w:rPr>
        <w:t>质疑供应商：</w:t>
      </w:r>
    </w:p>
    <w:p>
      <w:pPr>
        <w:adjustRightInd w:val="0"/>
        <w:snapToGrid w:val="0"/>
        <w:spacing w:line="360" w:lineRule="auto"/>
        <w:rPr>
          <w:rFonts w:ascii="宋体" w:hAnsi="宋体" w:cs="宋体"/>
          <w:color w:val="auto"/>
          <w:sz w:val="24"/>
        </w:rPr>
      </w:pPr>
      <w:r>
        <w:rPr>
          <w:rFonts w:hint="eastAsia" w:ascii="宋体" w:hAnsi="宋体" w:cs="宋体"/>
          <w:color w:val="auto"/>
          <w:sz w:val="24"/>
        </w:rPr>
        <w:t>地址：邮编：</w:t>
      </w:r>
    </w:p>
    <w:p>
      <w:pPr>
        <w:adjustRightInd w:val="0"/>
        <w:snapToGrid w:val="0"/>
        <w:spacing w:line="360" w:lineRule="auto"/>
        <w:rPr>
          <w:rFonts w:ascii="宋体" w:hAnsi="宋体" w:cs="宋体"/>
          <w:color w:val="auto"/>
          <w:sz w:val="24"/>
        </w:rPr>
      </w:pPr>
      <w:r>
        <w:rPr>
          <w:rFonts w:hint="eastAsia" w:ascii="宋体" w:hAnsi="宋体" w:cs="宋体"/>
          <w:color w:val="auto"/>
          <w:sz w:val="24"/>
        </w:rPr>
        <w:t>联系人：联系电话：</w:t>
      </w:r>
    </w:p>
    <w:p>
      <w:pPr>
        <w:adjustRightInd w:val="0"/>
        <w:snapToGrid w:val="0"/>
        <w:spacing w:line="360" w:lineRule="auto"/>
        <w:rPr>
          <w:rFonts w:ascii="宋体" w:hAnsi="宋体" w:cs="宋体"/>
          <w:color w:val="auto"/>
          <w:sz w:val="24"/>
          <w:u w:val="dotted"/>
        </w:rPr>
      </w:pPr>
      <w:r>
        <w:rPr>
          <w:rFonts w:hint="eastAsia" w:ascii="宋体" w:hAnsi="宋体" w:cs="宋体"/>
          <w:color w:val="auto"/>
          <w:sz w:val="24"/>
        </w:rPr>
        <w:t>授权代表：</w:t>
      </w:r>
    </w:p>
    <w:p>
      <w:pPr>
        <w:adjustRightInd w:val="0"/>
        <w:snapToGrid w:val="0"/>
        <w:spacing w:line="360" w:lineRule="auto"/>
        <w:rPr>
          <w:rFonts w:ascii="宋体" w:hAnsi="宋体" w:cs="宋体"/>
          <w:color w:val="auto"/>
          <w:sz w:val="24"/>
        </w:rPr>
      </w:pPr>
      <w:r>
        <w:rPr>
          <w:rFonts w:hint="eastAsia" w:ascii="宋体" w:hAnsi="宋体" w:cs="宋体"/>
          <w:color w:val="auto"/>
          <w:sz w:val="24"/>
        </w:rPr>
        <w:t>联系电话：</w:t>
      </w:r>
    </w:p>
    <w:p>
      <w:pPr>
        <w:adjustRightInd w:val="0"/>
        <w:snapToGrid w:val="0"/>
        <w:spacing w:line="360" w:lineRule="auto"/>
        <w:rPr>
          <w:rFonts w:ascii="宋体" w:hAnsi="宋体" w:cs="宋体"/>
          <w:color w:val="auto"/>
          <w:sz w:val="24"/>
        </w:rPr>
      </w:pPr>
      <w:r>
        <w:rPr>
          <w:rFonts w:hint="eastAsia" w:ascii="宋体" w:hAnsi="宋体" w:cs="宋体"/>
          <w:color w:val="auto"/>
          <w:sz w:val="24"/>
        </w:rPr>
        <w:t>地址： 邮编：</w:t>
      </w:r>
    </w:p>
    <w:p>
      <w:pPr>
        <w:adjustRightInd w:val="0"/>
        <w:snapToGrid w:val="0"/>
        <w:spacing w:line="360" w:lineRule="auto"/>
        <w:rPr>
          <w:rFonts w:ascii="宋体" w:hAnsi="宋体" w:cs="宋体"/>
          <w:bCs/>
          <w:color w:val="auto"/>
          <w:sz w:val="24"/>
        </w:rPr>
      </w:pPr>
      <w:r>
        <w:rPr>
          <w:rFonts w:hint="eastAsia" w:ascii="宋体" w:hAnsi="宋体" w:cs="宋体"/>
          <w:bCs/>
          <w:color w:val="auto"/>
          <w:sz w:val="24"/>
        </w:rPr>
        <w:t>二、质疑项目基本情况</w:t>
      </w:r>
    </w:p>
    <w:p>
      <w:pPr>
        <w:adjustRightInd w:val="0"/>
        <w:snapToGrid w:val="0"/>
        <w:spacing w:line="360" w:lineRule="auto"/>
        <w:rPr>
          <w:rFonts w:ascii="宋体" w:hAnsi="宋体" w:cs="宋体"/>
          <w:color w:val="auto"/>
          <w:sz w:val="24"/>
        </w:rPr>
      </w:pPr>
      <w:r>
        <w:rPr>
          <w:rFonts w:hint="eastAsia" w:ascii="宋体" w:hAnsi="宋体" w:cs="宋体"/>
          <w:color w:val="auto"/>
          <w:sz w:val="24"/>
        </w:rPr>
        <w:t>质疑项目的名称：</w:t>
      </w:r>
    </w:p>
    <w:p>
      <w:pPr>
        <w:adjustRightInd w:val="0"/>
        <w:snapToGrid w:val="0"/>
        <w:spacing w:line="360" w:lineRule="auto"/>
        <w:rPr>
          <w:rFonts w:ascii="宋体" w:hAnsi="宋体" w:cs="宋体"/>
          <w:color w:val="auto"/>
          <w:sz w:val="24"/>
        </w:rPr>
      </w:pPr>
      <w:r>
        <w:rPr>
          <w:rFonts w:hint="eastAsia" w:ascii="宋体" w:hAnsi="宋体" w:cs="宋体"/>
          <w:color w:val="auto"/>
          <w:sz w:val="24"/>
        </w:rPr>
        <w:t>质疑项目的编号：包号：</w:t>
      </w:r>
    </w:p>
    <w:p>
      <w:pPr>
        <w:adjustRightInd w:val="0"/>
        <w:snapToGrid w:val="0"/>
        <w:spacing w:line="360" w:lineRule="auto"/>
        <w:rPr>
          <w:rFonts w:ascii="宋体" w:hAnsi="宋体" w:cs="宋体"/>
          <w:color w:val="auto"/>
          <w:sz w:val="24"/>
          <w:u w:val="dotted"/>
        </w:rPr>
      </w:pPr>
      <w:r>
        <w:rPr>
          <w:rFonts w:hint="eastAsia" w:ascii="宋体" w:hAnsi="宋体" w:cs="宋体"/>
          <w:color w:val="auto"/>
          <w:sz w:val="24"/>
        </w:rPr>
        <w:t>采购人名称：</w:t>
      </w:r>
      <w:bookmarkStart w:id="428" w:name="PO_3000001867_PM026_5"/>
      <w:bookmarkEnd w:id="428"/>
    </w:p>
    <w:p>
      <w:pPr>
        <w:adjustRightInd w:val="0"/>
        <w:snapToGrid w:val="0"/>
        <w:spacing w:line="360" w:lineRule="auto"/>
        <w:rPr>
          <w:rFonts w:ascii="宋体" w:hAnsi="宋体" w:cs="宋体"/>
          <w:color w:val="auto"/>
          <w:sz w:val="24"/>
          <w:lang w:val="zh-CN"/>
        </w:rPr>
      </w:pPr>
      <w:r>
        <w:rPr>
          <w:rFonts w:hint="eastAsia" w:ascii="宋体" w:hAnsi="宋体" w:cs="宋体"/>
          <w:color w:val="auto"/>
          <w:sz w:val="24"/>
          <w:lang w:val="zh-CN"/>
        </w:rPr>
        <w:t>质疑事项：</w:t>
      </w:r>
    </w:p>
    <w:p>
      <w:pPr>
        <w:adjustRightInd w:val="0"/>
        <w:snapToGrid w:val="0"/>
        <w:spacing w:line="360" w:lineRule="auto"/>
        <w:rPr>
          <w:rFonts w:ascii="宋体" w:hAnsi="宋体" w:cs="宋体"/>
          <w:color w:val="auto"/>
          <w:sz w:val="24"/>
          <w:lang w:val="zh-CN"/>
        </w:rPr>
      </w:pPr>
      <w:r>
        <w:rPr>
          <w:rFonts w:hint="eastAsia" w:ascii="宋体" w:hAnsi="宋体" w:cs="宋体"/>
          <w:color w:val="auto"/>
          <w:sz w:val="24"/>
          <w:lang w:val="zh-CN"/>
        </w:rPr>
        <w:t>□采购文件   采购文件获取日期：</w:t>
      </w:r>
    </w:p>
    <w:p>
      <w:pPr>
        <w:adjustRightInd w:val="0"/>
        <w:snapToGrid w:val="0"/>
        <w:spacing w:line="360" w:lineRule="auto"/>
        <w:rPr>
          <w:rFonts w:ascii="宋体" w:hAnsi="宋体" w:cs="宋体"/>
          <w:color w:val="auto"/>
          <w:sz w:val="24"/>
          <w:lang w:val="zh-CN"/>
        </w:rPr>
      </w:pPr>
      <w:r>
        <w:rPr>
          <w:rFonts w:hint="eastAsia" w:ascii="宋体" w:hAnsi="宋体" w:cs="宋体"/>
          <w:color w:val="auto"/>
          <w:sz w:val="24"/>
          <w:lang w:val="zh-CN"/>
        </w:rPr>
        <w:t xml:space="preserve">□采购过程   </w:t>
      </w:r>
    </w:p>
    <w:p>
      <w:pPr>
        <w:adjustRightInd w:val="0"/>
        <w:snapToGrid w:val="0"/>
        <w:spacing w:line="360" w:lineRule="auto"/>
        <w:rPr>
          <w:rFonts w:ascii="宋体" w:hAnsi="宋体" w:cs="宋体"/>
          <w:color w:val="auto"/>
          <w:sz w:val="24"/>
          <w:lang w:val="zh-CN"/>
        </w:rPr>
      </w:pPr>
      <w:r>
        <w:rPr>
          <w:rFonts w:hint="eastAsia" w:ascii="宋体" w:hAnsi="宋体" w:cs="宋体"/>
          <w:color w:val="auto"/>
          <w:sz w:val="24"/>
          <w:lang w:val="zh-CN"/>
        </w:rPr>
        <w:t xml:space="preserve">□中标结果   </w:t>
      </w:r>
    </w:p>
    <w:p>
      <w:pPr>
        <w:adjustRightInd w:val="0"/>
        <w:snapToGrid w:val="0"/>
        <w:spacing w:line="360" w:lineRule="auto"/>
        <w:rPr>
          <w:rFonts w:ascii="宋体" w:hAnsi="宋体" w:cs="宋体"/>
          <w:bCs/>
          <w:color w:val="auto"/>
          <w:sz w:val="24"/>
        </w:rPr>
      </w:pPr>
      <w:r>
        <w:rPr>
          <w:rFonts w:hint="eastAsia" w:ascii="宋体" w:hAnsi="宋体" w:cs="宋体"/>
          <w:bCs/>
          <w:color w:val="auto"/>
          <w:sz w:val="24"/>
        </w:rPr>
        <w:t>三、质疑事项具体内容</w:t>
      </w:r>
    </w:p>
    <w:p>
      <w:pPr>
        <w:adjustRightInd w:val="0"/>
        <w:snapToGrid w:val="0"/>
        <w:spacing w:line="360" w:lineRule="auto"/>
        <w:rPr>
          <w:rFonts w:ascii="宋体" w:hAnsi="宋体" w:cs="宋体"/>
          <w:color w:val="auto"/>
          <w:sz w:val="24"/>
          <w:u w:val="dotted"/>
        </w:rPr>
      </w:pPr>
      <w:r>
        <w:rPr>
          <w:rFonts w:hint="eastAsia" w:ascii="宋体" w:hAnsi="宋体" w:cs="宋体"/>
          <w:color w:val="auto"/>
          <w:sz w:val="24"/>
        </w:rPr>
        <w:t>质疑事项1：</w:t>
      </w:r>
    </w:p>
    <w:p>
      <w:pPr>
        <w:adjustRightInd w:val="0"/>
        <w:snapToGrid w:val="0"/>
        <w:spacing w:line="360" w:lineRule="auto"/>
        <w:rPr>
          <w:rFonts w:ascii="宋体" w:hAnsi="宋体" w:cs="宋体"/>
          <w:color w:val="auto"/>
          <w:sz w:val="24"/>
          <w:u w:val="dotted"/>
        </w:rPr>
      </w:pPr>
      <w:r>
        <w:rPr>
          <w:rFonts w:hint="eastAsia" w:ascii="宋体" w:hAnsi="宋体" w:cs="宋体"/>
          <w:color w:val="auto"/>
          <w:sz w:val="24"/>
        </w:rPr>
        <w:t>事实依据：</w:t>
      </w:r>
    </w:p>
    <w:p>
      <w:pPr>
        <w:adjustRightInd w:val="0"/>
        <w:snapToGrid w:val="0"/>
        <w:spacing w:line="360" w:lineRule="auto"/>
        <w:rPr>
          <w:rFonts w:ascii="宋体" w:hAnsi="宋体" w:cs="宋体"/>
          <w:color w:val="auto"/>
          <w:sz w:val="24"/>
        </w:rPr>
      </w:pPr>
    </w:p>
    <w:p>
      <w:pPr>
        <w:adjustRightInd w:val="0"/>
        <w:snapToGrid w:val="0"/>
        <w:spacing w:line="360" w:lineRule="auto"/>
        <w:rPr>
          <w:rFonts w:ascii="宋体" w:hAnsi="宋体" w:cs="宋体"/>
          <w:color w:val="auto"/>
          <w:sz w:val="24"/>
          <w:u w:val="dotted"/>
        </w:rPr>
      </w:pPr>
      <w:r>
        <w:rPr>
          <w:rFonts w:hint="eastAsia" w:ascii="宋体" w:hAnsi="宋体" w:cs="宋体"/>
          <w:color w:val="auto"/>
          <w:sz w:val="24"/>
        </w:rPr>
        <w:t>法律依据：</w:t>
      </w:r>
    </w:p>
    <w:p>
      <w:pPr>
        <w:adjustRightInd w:val="0"/>
        <w:snapToGrid w:val="0"/>
        <w:spacing w:line="360" w:lineRule="auto"/>
        <w:rPr>
          <w:rFonts w:ascii="宋体" w:hAnsi="宋体" w:cs="宋体"/>
          <w:color w:val="auto"/>
          <w:sz w:val="24"/>
          <w:u w:val="dotted"/>
        </w:rPr>
      </w:pPr>
    </w:p>
    <w:p>
      <w:pPr>
        <w:adjustRightInd w:val="0"/>
        <w:snapToGrid w:val="0"/>
        <w:spacing w:line="360" w:lineRule="auto"/>
        <w:rPr>
          <w:rFonts w:ascii="宋体" w:hAnsi="宋体" w:cs="宋体"/>
          <w:color w:val="auto"/>
          <w:sz w:val="24"/>
          <w:u w:val="dotted"/>
        </w:rPr>
      </w:pPr>
      <w:r>
        <w:rPr>
          <w:rFonts w:hint="eastAsia" w:ascii="宋体" w:hAnsi="宋体" w:cs="宋体"/>
          <w:color w:val="auto"/>
          <w:sz w:val="24"/>
        </w:rPr>
        <w:t>质疑事项2</w:t>
      </w:r>
    </w:p>
    <w:p>
      <w:pPr>
        <w:adjustRightInd w:val="0"/>
        <w:snapToGrid w:val="0"/>
        <w:spacing w:line="360" w:lineRule="auto"/>
        <w:rPr>
          <w:rFonts w:ascii="宋体" w:hAnsi="宋体" w:cs="宋体"/>
          <w:color w:val="auto"/>
          <w:sz w:val="24"/>
        </w:rPr>
      </w:pPr>
      <w:r>
        <w:rPr>
          <w:rFonts w:hint="eastAsia" w:ascii="宋体" w:hAnsi="宋体" w:cs="宋体"/>
          <w:color w:val="auto"/>
          <w:sz w:val="24"/>
        </w:rPr>
        <w:t>……</w:t>
      </w:r>
    </w:p>
    <w:p>
      <w:pPr>
        <w:adjustRightInd w:val="0"/>
        <w:snapToGrid w:val="0"/>
        <w:spacing w:line="360" w:lineRule="auto"/>
        <w:rPr>
          <w:rFonts w:ascii="宋体" w:hAnsi="宋体" w:cs="宋体"/>
          <w:bCs/>
          <w:color w:val="auto"/>
          <w:sz w:val="24"/>
        </w:rPr>
      </w:pPr>
      <w:r>
        <w:rPr>
          <w:rFonts w:hint="eastAsia" w:ascii="宋体" w:hAnsi="宋体" w:cs="宋体"/>
          <w:bCs/>
          <w:color w:val="auto"/>
          <w:sz w:val="24"/>
        </w:rPr>
        <w:t>四、与质疑事项相关的质疑请求</w:t>
      </w:r>
    </w:p>
    <w:p>
      <w:pPr>
        <w:adjustRightInd w:val="0"/>
        <w:snapToGrid w:val="0"/>
        <w:spacing w:line="360" w:lineRule="auto"/>
        <w:rPr>
          <w:rFonts w:ascii="宋体" w:hAnsi="宋体" w:cs="宋体"/>
          <w:color w:val="auto"/>
          <w:sz w:val="24"/>
          <w:u w:val="dotted"/>
        </w:rPr>
      </w:pPr>
      <w:r>
        <w:rPr>
          <w:rFonts w:hint="eastAsia" w:ascii="宋体" w:hAnsi="宋体" w:cs="宋体"/>
          <w:color w:val="auto"/>
          <w:sz w:val="24"/>
        </w:rPr>
        <w:t>请求：</w:t>
      </w:r>
    </w:p>
    <w:p>
      <w:pPr>
        <w:spacing w:line="360" w:lineRule="auto"/>
        <w:rPr>
          <w:rFonts w:ascii="宋体" w:hAnsi="宋体" w:cs="宋体"/>
          <w:color w:val="auto"/>
          <w:sz w:val="24"/>
        </w:rPr>
      </w:pPr>
      <w:r>
        <w:rPr>
          <w:rFonts w:hint="eastAsia" w:ascii="宋体" w:hAnsi="宋体" w:cs="宋体"/>
          <w:color w:val="auto"/>
          <w:sz w:val="24"/>
        </w:rPr>
        <w:t xml:space="preserve">签字(签章)：                   公章：                      </w:t>
      </w:r>
    </w:p>
    <w:p>
      <w:pPr>
        <w:spacing w:line="360" w:lineRule="auto"/>
        <w:rPr>
          <w:rFonts w:ascii="宋体" w:hAnsi="宋体" w:cs="宋体"/>
          <w:color w:val="auto"/>
          <w:sz w:val="24"/>
        </w:rPr>
      </w:pPr>
      <w:r>
        <w:rPr>
          <w:rFonts w:hint="eastAsia" w:ascii="宋体" w:hAnsi="宋体" w:cs="宋体"/>
          <w:color w:val="auto"/>
          <w:sz w:val="24"/>
        </w:rPr>
        <w:t xml:space="preserve">日期：    </w:t>
      </w:r>
    </w:p>
    <w:p>
      <w:pPr>
        <w:spacing w:line="360" w:lineRule="auto"/>
        <w:rPr>
          <w:rFonts w:ascii="宋体" w:hAnsi="宋体" w:cs="宋体"/>
          <w:b/>
          <w:color w:val="auto"/>
          <w:sz w:val="24"/>
        </w:rPr>
      </w:pPr>
      <w:r>
        <w:rPr>
          <w:rFonts w:hint="eastAsia" w:ascii="宋体" w:hAnsi="宋体" w:cs="宋体"/>
          <w:b/>
          <w:color w:val="auto"/>
          <w:sz w:val="24"/>
        </w:rPr>
        <w:t xml:space="preserve">    质疑函制作说明：</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1.供应商提出质疑时，应提交质疑函和必要的证明材料。</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2.质疑供应商若委托代理人进行质疑的，质疑函应按要求列明“授权代表”的有关内容，并在附件中提交由质疑</w:t>
      </w:r>
      <w:r>
        <w:rPr>
          <w:rFonts w:hint="eastAsia" w:ascii="宋体" w:hAnsi="宋体" w:cs="宋体"/>
          <w:color w:val="auto"/>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3.质疑供应商若对项目的某一分包进行质疑，质疑函中应列明具体分包号。</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4.质疑函的质疑事项应具体、明确，并有必要的事实依据和法律依据。</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5.质疑函的质疑请求应与质疑事项相关。</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480" w:firstLineChars="200"/>
        <w:jc w:val="left"/>
        <w:rPr>
          <w:rFonts w:ascii="宋体" w:hAnsi="宋体" w:cs="宋体"/>
          <w:color w:val="auto"/>
          <w:sz w:val="24"/>
        </w:rPr>
      </w:pPr>
    </w:p>
    <w:p>
      <w:pPr>
        <w:widowControl/>
        <w:spacing w:line="360" w:lineRule="auto"/>
        <w:jc w:val="left"/>
        <w:rPr>
          <w:rFonts w:ascii="宋体" w:hAnsi="宋体" w:cs="宋体"/>
          <w:color w:val="auto"/>
          <w:kern w:val="0"/>
          <w:sz w:val="24"/>
        </w:rPr>
        <w:sectPr>
          <w:pgSz w:w="11905" w:h="16838"/>
          <w:pgMar w:top="1134" w:right="1134" w:bottom="1134" w:left="1134" w:header="850" w:footer="850" w:gutter="0"/>
          <w:cols w:space="0" w:num="1"/>
          <w:titlePg/>
          <w:rtlGutter w:val="0"/>
          <w:docGrid w:linePitch="331" w:charSpace="0"/>
        </w:sectPr>
      </w:pPr>
    </w:p>
    <w:p>
      <w:pPr>
        <w:pStyle w:val="4"/>
        <w:jc w:val="center"/>
        <w:rPr>
          <w:rFonts w:ascii="宋体" w:hAnsi="宋体"/>
          <w:b w:val="0"/>
          <w:bCs w:val="0"/>
          <w:color w:val="auto"/>
        </w:rPr>
      </w:pPr>
      <w:bookmarkStart w:id="429" w:name="_Toc31203"/>
      <w:bookmarkStart w:id="430" w:name="_Toc11428"/>
      <w:bookmarkStart w:id="431" w:name="_Toc7549"/>
      <w:bookmarkStart w:id="432" w:name="_Toc24894"/>
      <w:bookmarkStart w:id="433" w:name="_Toc32540"/>
      <w:bookmarkStart w:id="434" w:name="_Toc6551"/>
      <w:bookmarkStart w:id="435" w:name="_Toc24568"/>
      <w:bookmarkStart w:id="436" w:name="_Toc11984"/>
      <w:bookmarkStart w:id="437" w:name="_Toc1896"/>
      <w:bookmarkStart w:id="438" w:name="_Toc8862"/>
      <w:r>
        <w:rPr>
          <w:rFonts w:hint="eastAsia" w:ascii="宋体" w:hAnsi="宋体"/>
          <w:b w:val="0"/>
          <w:bCs w:val="0"/>
          <w:color w:val="auto"/>
        </w:rPr>
        <w:t>第二节 投诉书（格式）</w:t>
      </w:r>
      <w:bookmarkEnd w:id="429"/>
      <w:bookmarkEnd w:id="430"/>
      <w:bookmarkEnd w:id="431"/>
      <w:bookmarkEnd w:id="432"/>
      <w:bookmarkEnd w:id="433"/>
      <w:bookmarkEnd w:id="434"/>
      <w:bookmarkEnd w:id="435"/>
      <w:bookmarkEnd w:id="436"/>
      <w:bookmarkEnd w:id="437"/>
      <w:bookmarkEnd w:id="438"/>
    </w:p>
    <w:p>
      <w:pPr>
        <w:jc w:val="center"/>
        <w:rPr>
          <w:rFonts w:ascii="宋体" w:hAnsi="宋体"/>
          <w:b/>
          <w:color w:val="auto"/>
          <w:sz w:val="44"/>
          <w:szCs w:val="44"/>
        </w:rPr>
      </w:pPr>
      <w:r>
        <w:rPr>
          <w:rFonts w:hint="eastAsia" w:ascii="宋体" w:hAnsi="宋体"/>
          <w:b/>
          <w:color w:val="auto"/>
          <w:sz w:val="32"/>
          <w:szCs w:val="32"/>
        </w:rPr>
        <w:t>投诉书</w:t>
      </w:r>
    </w:p>
    <w:p>
      <w:pPr>
        <w:rPr>
          <w:rFonts w:ascii="黑体" w:hAnsi="黑体" w:eastAsia="黑体"/>
          <w:color w:val="auto"/>
          <w:sz w:val="32"/>
          <w:szCs w:val="32"/>
        </w:rPr>
      </w:pPr>
    </w:p>
    <w:p>
      <w:pPr>
        <w:spacing w:line="360" w:lineRule="auto"/>
        <w:rPr>
          <w:rFonts w:ascii="宋体" w:hAnsi="宋体" w:cs="宋体"/>
          <w:color w:val="auto"/>
          <w:sz w:val="24"/>
        </w:rPr>
      </w:pPr>
      <w:r>
        <w:rPr>
          <w:rFonts w:hint="eastAsia" w:ascii="宋体" w:hAnsi="宋体" w:cs="宋体"/>
          <w:color w:val="auto"/>
          <w:sz w:val="24"/>
        </w:rPr>
        <w:t>一、投诉相关主体基本情况</w:t>
      </w:r>
    </w:p>
    <w:p>
      <w:pPr>
        <w:spacing w:line="360" w:lineRule="auto"/>
        <w:rPr>
          <w:rFonts w:ascii="宋体" w:hAnsi="宋体" w:cs="宋体"/>
          <w:color w:val="auto"/>
          <w:sz w:val="24"/>
          <w:u w:val="dotted"/>
        </w:rPr>
      </w:pPr>
      <w:r>
        <w:rPr>
          <w:rFonts w:hint="eastAsia" w:ascii="宋体" w:hAnsi="宋体" w:cs="宋体"/>
          <w:color w:val="auto"/>
          <w:sz w:val="24"/>
        </w:rPr>
        <w:t>投诉人：</w:t>
      </w:r>
    </w:p>
    <w:p>
      <w:pPr>
        <w:spacing w:line="360" w:lineRule="auto"/>
        <w:rPr>
          <w:rFonts w:ascii="宋体" w:hAnsi="宋体" w:cs="宋体"/>
          <w:color w:val="auto"/>
          <w:sz w:val="24"/>
          <w:u w:val="single"/>
        </w:rPr>
      </w:pPr>
      <w:r>
        <w:rPr>
          <w:rFonts w:hint="eastAsia" w:ascii="宋体" w:hAnsi="宋体" w:cs="宋体"/>
          <w:color w:val="auto"/>
          <w:sz w:val="24"/>
        </w:rPr>
        <w:t>地     址：邮编：</w:t>
      </w:r>
    </w:p>
    <w:p>
      <w:pPr>
        <w:tabs>
          <w:tab w:val="left" w:pos="6510"/>
        </w:tabs>
        <w:spacing w:line="360" w:lineRule="auto"/>
        <w:jc w:val="left"/>
        <w:rPr>
          <w:rFonts w:ascii="宋体" w:hAnsi="宋体" w:cs="宋体"/>
          <w:color w:val="auto"/>
          <w:sz w:val="24"/>
        </w:rPr>
      </w:pPr>
      <w:r>
        <w:rPr>
          <w:rFonts w:hint="eastAsia" w:ascii="宋体" w:hAnsi="宋体" w:cs="宋体"/>
          <w:color w:val="auto"/>
          <w:sz w:val="24"/>
        </w:rPr>
        <w:t>法定代表人/主要负责人：</w:t>
      </w:r>
    </w:p>
    <w:p>
      <w:pPr>
        <w:tabs>
          <w:tab w:val="left" w:pos="6510"/>
        </w:tabs>
        <w:spacing w:line="360" w:lineRule="auto"/>
        <w:rPr>
          <w:rFonts w:ascii="宋体" w:hAnsi="宋体" w:cs="宋体"/>
          <w:color w:val="auto"/>
          <w:sz w:val="24"/>
          <w:u w:val="dotted"/>
        </w:rPr>
      </w:pPr>
      <w:r>
        <w:rPr>
          <w:rFonts w:hint="eastAsia" w:ascii="宋体" w:hAnsi="宋体" w:cs="宋体"/>
          <w:color w:val="auto"/>
          <w:sz w:val="24"/>
        </w:rPr>
        <w:t>联系电话：</w:t>
      </w:r>
    </w:p>
    <w:p>
      <w:pPr>
        <w:spacing w:line="360" w:lineRule="auto"/>
        <w:rPr>
          <w:rFonts w:ascii="宋体" w:hAnsi="宋体" w:cs="宋体"/>
          <w:color w:val="auto"/>
          <w:sz w:val="24"/>
          <w:u w:val="dotted"/>
        </w:rPr>
      </w:pPr>
      <w:r>
        <w:rPr>
          <w:rFonts w:hint="eastAsia" w:ascii="宋体" w:hAnsi="宋体" w:cs="宋体"/>
          <w:color w:val="auto"/>
          <w:sz w:val="24"/>
        </w:rPr>
        <w:t>授权代表：联系电话</w:t>
      </w:r>
      <w:r>
        <w:rPr>
          <w:rFonts w:hint="eastAsia" w:ascii="宋体" w:hAnsi="宋体" w:cs="宋体"/>
          <w:color w:val="auto"/>
          <w:sz w:val="24"/>
          <w:u w:val="dotted"/>
        </w:rPr>
        <w:t xml:space="preserve">：                  </w:t>
      </w:r>
    </w:p>
    <w:p>
      <w:pPr>
        <w:spacing w:line="360" w:lineRule="auto"/>
        <w:rPr>
          <w:rFonts w:ascii="宋体" w:hAnsi="宋体" w:cs="宋体"/>
          <w:color w:val="auto"/>
          <w:sz w:val="24"/>
          <w:u w:val="dotted"/>
        </w:rPr>
      </w:pPr>
      <w:r>
        <w:rPr>
          <w:rFonts w:hint="eastAsia" w:ascii="宋体" w:hAnsi="宋体" w:cs="宋体"/>
          <w:color w:val="auto"/>
          <w:sz w:val="24"/>
        </w:rPr>
        <w:t>地     址：邮编：</w:t>
      </w:r>
    </w:p>
    <w:p>
      <w:pPr>
        <w:spacing w:line="360" w:lineRule="auto"/>
        <w:rPr>
          <w:rFonts w:ascii="宋体" w:hAnsi="宋体" w:cs="宋体"/>
          <w:color w:val="auto"/>
          <w:sz w:val="24"/>
          <w:u w:val="single"/>
        </w:rPr>
      </w:pPr>
      <w:r>
        <w:rPr>
          <w:rFonts w:hint="eastAsia" w:ascii="宋体" w:hAnsi="宋体" w:cs="宋体"/>
          <w:color w:val="auto"/>
          <w:sz w:val="24"/>
        </w:rPr>
        <w:t>被投诉人1：</w:t>
      </w:r>
    </w:p>
    <w:p>
      <w:pPr>
        <w:spacing w:line="360" w:lineRule="auto"/>
        <w:rPr>
          <w:rFonts w:ascii="宋体" w:hAnsi="宋体" w:cs="宋体"/>
          <w:color w:val="auto"/>
          <w:sz w:val="24"/>
          <w:u w:val="single"/>
        </w:rPr>
      </w:pPr>
      <w:r>
        <w:rPr>
          <w:rFonts w:hint="eastAsia" w:ascii="宋体" w:hAnsi="宋体" w:cs="宋体"/>
          <w:color w:val="auto"/>
          <w:sz w:val="24"/>
        </w:rPr>
        <w:t>地     址：邮编：</w:t>
      </w:r>
    </w:p>
    <w:p>
      <w:pPr>
        <w:spacing w:line="360" w:lineRule="auto"/>
        <w:rPr>
          <w:rFonts w:ascii="宋体" w:hAnsi="宋体" w:cs="宋体"/>
          <w:color w:val="auto"/>
          <w:sz w:val="24"/>
          <w:u w:val="single"/>
        </w:rPr>
      </w:pPr>
      <w:r>
        <w:rPr>
          <w:rFonts w:hint="eastAsia" w:ascii="宋体" w:hAnsi="宋体" w:cs="宋体"/>
          <w:color w:val="auto"/>
          <w:sz w:val="24"/>
        </w:rPr>
        <w:t>联系人：联系电话：</w:t>
      </w:r>
    </w:p>
    <w:p>
      <w:pPr>
        <w:spacing w:line="360" w:lineRule="auto"/>
        <w:rPr>
          <w:rFonts w:ascii="宋体" w:hAnsi="宋体" w:cs="宋体"/>
          <w:color w:val="auto"/>
          <w:sz w:val="24"/>
        </w:rPr>
      </w:pPr>
      <w:r>
        <w:rPr>
          <w:rFonts w:hint="eastAsia" w:ascii="宋体" w:hAnsi="宋体" w:cs="宋体"/>
          <w:color w:val="auto"/>
          <w:sz w:val="24"/>
        </w:rPr>
        <w:t>被投诉人2</w:t>
      </w:r>
    </w:p>
    <w:p>
      <w:pPr>
        <w:spacing w:line="360" w:lineRule="auto"/>
        <w:rPr>
          <w:rFonts w:ascii="宋体" w:hAnsi="宋体" w:cs="宋体"/>
          <w:color w:val="auto"/>
          <w:sz w:val="24"/>
          <w:u w:val="dotted"/>
        </w:rPr>
      </w:pPr>
      <w:r>
        <w:rPr>
          <w:rFonts w:hint="eastAsia" w:ascii="宋体" w:hAnsi="宋体" w:cs="宋体"/>
          <w:color w:val="auto"/>
          <w:sz w:val="24"/>
        </w:rPr>
        <w:t>……</w:t>
      </w:r>
    </w:p>
    <w:p>
      <w:pPr>
        <w:spacing w:line="360" w:lineRule="auto"/>
        <w:rPr>
          <w:rFonts w:ascii="宋体" w:hAnsi="宋体" w:cs="宋体"/>
          <w:color w:val="auto"/>
          <w:sz w:val="24"/>
          <w:u w:val="single"/>
        </w:rPr>
      </w:pPr>
      <w:r>
        <w:rPr>
          <w:rFonts w:hint="eastAsia" w:ascii="宋体" w:hAnsi="宋体" w:cs="宋体"/>
          <w:color w:val="auto"/>
          <w:sz w:val="24"/>
        </w:rPr>
        <w:t>相关供应商：</w:t>
      </w:r>
    </w:p>
    <w:p>
      <w:pPr>
        <w:spacing w:line="360" w:lineRule="auto"/>
        <w:rPr>
          <w:rFonts w:ascii="宋体" w:hAnsi="宋体" w:cs="宋体"/>
          <w:color w:val="auto"/>
          <w:sz w:val="24"/>
          <w:u w:val="single"/>
        </w:rPr>
      </w:pPr>
      <w:r>
        <w:rPr>
          <w:rFonts w:hint="eastAsia" w:ascii="宋体" w:hAnsi="宋体" w:cs="宋体"/>
          <w:color w:val="auto"/>
          <w:sz w:val="24"/>
        </w:rPr>
        <w:t>地     址：邮编：</w:t>
      </w:r>
    </w:p>
    <w:p>
      <w:pPr>
        <w:spacing w:line="360" w:lineRule="auto"/>
        <w:rPr>
          <w:rFonts w:ascii="宋体" w:hAnsi="宋体" w:cs="宋体"/>
          <w:color w:val="auto"/>
          <w:sz w:val="24"/>
          <w:u w:val="single"/>
        </w:rPr>
      </w:pPr>
      <w:r>
        <w:rPr>
          <w:rFonts w:hint="eastAsia" w:ascii="宋体" w:hAnsi="宋体" w:cs="宋体"/>
          <w:color w:val="auto"/>
          <w:sz w:val="24"/>
        </w:rPr>
        <w:t>联系人：联系电话：</w:t>
      </w:r>
    </w:p>
    <w:p>
      <w:pPr>
        <w:spacing w:line="360" w:lineRule="auto"/>
        <w:rPr>
          <w:rFonts w:ascii="宋体" w:hAnsi="宋体" w:cs="宋体"/>
          <w:color w:val="auto"/>
          <w:sz w:val="24"/>
        </w:rPr>
      </w:pPr>
      <w:r>
        <w:rPr>
          <w:rFonts w:hint="eastAsia" w:ascii="宋体" w:hAnsi="宋体" w:cs="宋体"/>
          <w:color w:val="auto"/>
          <w:sz w:val="24"/>
        </w:rPr>
        <w:t>二、投诉项目基本情况</w:t>
      </w:r>
    </w:p>
    <w:p>
      <w:pPr>
        <w:spacing w:line="360" w:lineRule="auto"/>
        <w:rPr>
          <w:rFonts w:ascii="宋体" w:hAnsi="宋体" w:cs="宋体"/>
          <w:color w:val="auto"/>
          <w:sz w:val="24"/>
          <w:u w:val="dotted"/>
        </w:rPr>
      </w:pPr>
      <w:r>
        <w:rPr>
          <w:rFonts w:hint="eastAsia" w:ascii="宋体" w:hAnsi="宋体" w:cs="宋体"/>
          <w:color w:val="auto"/>
          <w:sz w:val="24"/>
        </w:rPr>
        <w:t>采购项目名称：</w:t>
      </w:r>
      <w:bookmarkStart w:id="439" w:name="PO_3000001867_PM002_12"/>
      <w:bookmarkEnd w:id="439"/>
    </w:p>
    <w:p>
      <w:pPr>
        <w:spacing w:line="360" w:lineRule="auto"/>
        <w:rPr>
          <w:rFonts w:ascii="宋体" w:hAnsi="宋体" w:cs="宋体"/>
          <w:color w:val="auto"/>
          <w:sz w:val="24"/>
          <w:u w:val="single"/>
        </w:rPr>
      </w:pPr>
      <w:r>
        <w:rPr>
          <w:rFonts w:hint="eastAsia" w:ascii="宋体" w:hAnsi="宋体" w:cs="宋体"/>
          <w:color w:val="auto"/>
          <w:sz w:val="24"/>
        </w:rPr>
        <w:t>采购项目编号：</w:t>
      </w:r>
      <w:bookmarkStart w:id="440" w:name="PO_3000001867_PM001_9"/>
      <w:bookmarkEnd w:id="440"/>
      <w:r>
        <w:rPr>
          <w:rFonts w:hint="eastAsia" w:ascii="宋体" w:hAnsi="宋体" w:cs="宋体"/>
          <w:color w:val="auto"/>
          <w:sz w:val="24"/>
        </w:rPr>
        <w:t>包号：</w:t>
      </w:r>
    </w:p>
    <w:p>
      <w:pPr>
        <w:spacing w:line="360" w:lineRule="auto"/>
        <w:rPr>
          <w:rFonts w:ascii="宋体" w:hAnsi="宋体" w:cs="宋体"/>
          <w:color w:val="auto"/>
          <w:sz w:val="24"/>
        </w:rPr>
      </w:pPr>
      <w:r>
        <w:rPr>
          <w:rFonts w:hint="eastAsia" w:ascii="宋体" w:hAnsi="宋体" w:cs="宋体"/>
          <w:color w:val="auto"/>
          <w:sz w:val="24"/>
        </w:rPr>
        <w:t>采购人名称：</w:t>
      </w:r>
      <w:bookmarkStart w:id="441" w:name="PO_3000001867_PM026_6"/>
      <w:bookmarkEnd w:id="441"/>
    </w:p>
    <w:p>
      <w:pPr>
        <w:spacing w:line="360" w:lineRule="auto"/>
        <w:rPr>
          <w:rFonts w:ascii="宋体" w:hAnsi="宋体" w:cs="宋体"/>
          <w:color w:val="auto"/>
          <w:sz w:val="24"/>
          <w:u w:val="single"/>
        </w:rPr>
      </w:pPr>
      <w:r>
        <w:rPr>
          <w:rFonts w:hint="eastAsia" w:ascii="宋体" w:hAnsi="宋体" w:cs="宋体"/>
          <w:color w:val="auto"/>
          <w:sz w:val="24"/>
        </w:rPr>
        <w:t>代理机构名称：</w:t>
      </w:r>
    </w:p>
    <w:p>
      <w:pPr>
        <w:spacing w:line="360" w:lineRule="auto"/>
        <w:rPr>
          <w:rFonts w:ascii="宋体" w:hAnsi="宋体" w:cs="宋体"/>
          <w:color w:val="auto"/>
          <w:sz w:val="24"/>
          <w:u w:val="dotted"/>
        </w:rPr>
      </w:pPr>
      <w:r>
        <w:rPr>
          <w:rFonts w:hint="eastAsia" w:ascii="宋体" w:hAnsi="宋体" w:cs="宋体"/>
          <w:color w:val="auto"/>
          <w:sz w:val="24"/>
        </w:rPr>
        <w:t>采购文件公告:</w:t>
      </w:r>
      <w:r>
        <w:rPr>
          <w:rFonts w:hint="eastAsia" w:ascii="宋体" w:hAnsi="宋体" w:cs="宋体"/>
          <w:color w:val="auto"/>
          <w:sz w:val="24"/>
          <w:u w:val="dotted"/>
        </w:rPr>
        <w:t xml:space="preserve">是/否 </w:t>
      </w:r>
      <w:r>
        <w:rPr>
          <w:rFonts w:hint="eastAsia" w:ascii="宋体" w:hAnsi="宋体" w:cs="宋体"/>
          <w:color w:val="auto"/>
          <w:sz w:val="24"/>
        </w:rPr>
        <w:t>公告期限：</w:t>
      </w:r>
    </w:p>
    <w:p>
      <w:pPr>
        <w:spacing w:line="360" w:lineRule="auto"/>
        <w:rPr>
          <w:rFonts w:ascii="宋体" w:hAnsi="宋体" w:cs="宋体"/>
          <w:color w:val="auto"/>
          <w:sz w:val="24"/>
          <w:u w:val="single"/>
        </w:rPr>
      </w:pPr>
      <w:r>
        <w:rPr>
          <w:rFonts w:hint="eastAsia" w:ascii="宋体" w:hAnsi="宋体" w:cs="宋体"/>
          <w:color w:val="auto"/>
          <w:sz w:val="24"/>
        </w:rPr>
        <w:t>采购结果公告:</w:t>
      </w:r>
      <w:r>
        <w:rPr>
          <w:rFonts w:hint="eastAsia" w:ascii="宋体" w:hAnsi="宋体" w:cs="宋体"/>
          <w:color w:val="auto"/>
          <w:sz w:val="24"/>
          <w:u w:val="dotted"/>
        </w:rPr>
        <w:t xml:space="preserve">是/否 </w:t>
      </w:r>
      <w:r>
        <w:rPr>
          <w:rFonts w:hint="eastAsia" w:ascii="宋体" w:hAnsi="宋体" w:cs="宋体"/>
          <w:color w:val="auto"/>
          <w:sz w:val="24"/>
        </w:rPr>
        <w:t>公告期限：</w:t>
      </w:r>
    </w:p>
    <w:p>
      <w:pPr>
        <w:spacing w:line="360" w:lineRule="auto"/>
        <w:rPr>
          <w:rFonts w:ascii="宋体" w:hAnsi="宋体" w:cs="宋体"/>
          <w:color w:val="auto"/>
          <w:sz w:val="24"/>
        </w:rPr>
      </w:pPr>
      <w:r>
        <w:rPr>
          <w:rFonts w:hint="eastAsia" w:ascii="宋体" w:hAnsi="宋体" w:cs="宋体"/>
          <w:color w:val="auto"/>
          <w:sz w:val="24"/>
        </w:rPr>
        <w:t>三、质疑基本情况</w:t>
      </w:r>
    </w:p>
    <w:p>
      <w:pPr>
        <w:spacing w:line="360" w:lineRule="auto"/>
        <w:ind w:firstLine="480" w:firstLineChars="200"/>
        <w:rPr>
          <w:rFonts w:ascii="宋体" w:hAnsi="宋体" w:cs="宋体"/>
          <w:color w:val="auto"/>
          <w:sz w:val="24"/>
          <w:u w:val="dotted"/>
        </w:rPr>
      </w:pPr>
      <w:r>
        <w:rPr>
          <w:rFonts w:hint="eastAsia" w:ascii="宋体" w:hAnsi="宋体" w:cs="宋体"/>
          <w:color w:val="auto"/>
          <w:sz w:val="24"/>
        </w:rPr>
        <w:t>投诉人于年月日,向提出质疑，质疑事项为：</w:t>
      </w:r>
    </w:p>
    <w:p>
      <w:pPr>
        <w:spacing w:line="360" w:lineRule="auto"/>
        <w:rPr>
          <w:rFonts w:ascii="宋体" w:hAnsi="宋体" w:cs="宋体"/>
          <w:color w:val="auto"/>
          <w:sz w:val="24"/>
          <w:u w:val="dotted"/>
        </w:rPr>
      </w:pPr>
    </w:p>
    <w:p>
      <w:pPr>
        <w:spacing w:line="360" w:lineRule="auto"/>
        <w:ind w:firstLine="360" w:firstLineChars="150"/>
        <w:rPr>
          <w:rFonts w:ascii="宋体" w:hAnsi="宋体" w:cs="宋体"/>
          <w:color w:val="auto"/>
          <w:sz w:val="24"/>
        </w:rPr>
      </w:pPr>
      <w:r>
        <w:rPr>
          <w:rFonts w:hint="eastAsia" w:ascii="宋体" w:hAnsi="宋体" w:cs="宋体"/>
          <w:color w:val="auto"/>
          <w:sz w:val="24"/>
          <w:u w:val="dotted"/>
        </w:rPr>
        <w:t>采购人/采购代理机构</w:t>
      </w:r>
      <w:r>
        <w:rPr>
          <w:rFonts w:hint="eastAsia" w:ascii="宋体" w:hAnsi="宋体" w:cs="宋体"/>
          <w:color w:val="auto"/>
          <w:sz w:val="24"/>
        </w:rPr>
        <w:t>于年月日,就质疑事项作出了答复/没有在法定期限内作出答复。</w:t>
      </w:r>
    </w:p>
    <w:p>
      <w:pPr>
        <w:spacing w:line="360" w:lineRule="auto"/>
        <w:rPr>
          <w:rFonts w:ascii="宋体" w:hAnsi="宋体" w:cs="宋体"/>
          <w:color w:val="auto"/>
          <w:sz w:val="24"/>
        </w:rPr>
      </w:pPr>
      <w:r>
        <w:rPr>
          <w:rFonts w:hint="eastAsia" w:ascii="宋体" w:hAnsi="宋体" w:cs="宋体"/>
          <w:color w:val="auto"/>
          <w:sz w:val="24"/>
        </w:rPr>
        <w:t>四、投诉事项具体内容</w:t>
      </w:r>
    </w:p>
    <w:p>
      <w:pPr>
        <w:spacing w:line="360" w:lineRule="auto"/>
        <w:rPr>
          <w:rFonts w:ascii="宋体" w:hAnsi="宋体" w:cs="宋体"/>
          <w:color w:val="auto"/>
          <w:sz w:val="24"/>
          <w:u w:val="single"/>
        </w:rPr>
      </w:pPr>
      <w:r>
        <w:rPr>
          <w:rFonts w:hint="eastAsia" w:ascii="宋体" w:hAnsi="宋体" w:cs="宋体"/>
          <w:color w:val="auto"/>
          <w:sz w:val="24"/>
        </w:rPr>
        <w:t>投诉事项 1：</w:t>
      </w:r>
    </w:p>
    <w:p>
      <w:pPr>
        <w:spacing w:line="360" w:lineRule="auto"/>
        <w:rPr>
          <w:rFonts w:ascii="宋体" w:hAnsi="宋体" w:cs="宋体"/>
          <w:color w:val="auto"/>
          <w:sz w:val="24"/>
        </w:rPr>
      </w:pPr>
      <w:r>
        <w:rPr>
          <w:rFonts w:hint="eastAsia" w:ascii="宋体" w:hAnsi="宋体" w:cs="宋体"/>
          <w:color w:val="auto"/>
          <w:sz w:val="24"/>
        </w:rPr>
        <w:t>事实依据：</w:t>
      </w:r>
    </w:p>
    <w:p>
      <w:pPr>
        <w:spacing w:line="360" w:lineRule="auto"/>
        <w:rPr>
          <w:rFonts w:ascii="宋体" w:hAnsi="宋体" w:cs="宋体"/>
          <w:color w:val="auto"/>
          <w:sz w:val="24"/>
          <w:u w:val="dotted"/>
        </w:rPr>
      </w:pPr>
    </w:p>
    <w:p>
      <w:pPr>
        <w:spacing w:line="360" w:lineRule="auto"/>
        <w:rPr>
          <w:rFonts w:ascii="宋体" w:hAnsi="宋体" w:cs="宋体"/>
          <w:color w:val="auto"/>
          <w:sz w:val="24"/>
          <w:u w:val="single"/>
        </w:rPr>
      </w:pPr>
      <w:r>
        <w:rPr>
          <w:rFonts w:hint="eastAsia" w:ascii="宋体" w:hAnsi="宋体" w:cs="宋体"/>
          <w:color w:val="auto"/>
          <w:sz w:val="24"/>
        </w:rPr>
        <w:t>法律依据：</w:t>
      </w:r>
    </w:p>
    <w:p>
      <w:pPr>
        <w:spacing w:line="360" w:lineRule="auto"/>
        <w:rPr>
          <w:rFonts w:ascii="宋体" w:hAnsi="宋体" w:cs="宋体"/>
          <w:color w:val="auto"/>
          <w:sz w:val="24"/>
          <w:u w:val="dotted"/>
        </w:rPr>
      </w:pPr>
    </w:p>
    <w:p>
      <w:pPr>
        <w:spacing w:line="360" w:lineRule="auto"/>
        <w:rPr>
          <w:rFonts w:ascii="宋体" w:hAnsi="宋体" w:cs="宋体"/>
          <w:color w:val="auto"/>
          <w:sz w:val="24"/>
        </w:rPr>
      </w:pPr>
      <w:r>
        <w:rPr>
          <w:rFonts w:hint="eastAsia" w:ascii="宋体" w:hAnsi="宋体" w:cs="宋体"/>
          <w:color w:val="auto"/>
          <w:sz w:val="24"/>
        </w:rPr>
        <w:t>投诉事项2</w:t>
      </w:r>
    </w:p>
    <w:p>
      <w:pPr>
        <w:spacing w:line="360" w:lineRule="auto"/>
        <w:rPr>
          <w:rFonts w:ascii="宋体" w:hAnsi="宋体" w:cs="宋体"/>
          <w:color w:val="auto"/>
          <w:sz w:val="24"/>
          <w:u w:val="dotted"/>
        </w:rPr>
      </w:pPr>
      <w:r>
        <w:rPr>
          <w:rFonts w:hint="eastAsia" w:ascii="宋体" w:hAnsi="宋体" w:cs="宋体"/>
          <w:color w:val="auto"/>
          <w:sz w:val="24"/>
        </w:rPr>
        <w:t>……</w:t>
      </w:r>
    </w:p>
    <w:p>
      <w:pPr>
        <w:spacing w:line="360" w:lineRule="auto"/>
        <w:rPr>
          <w:rFonts w:ascii="宋体" w:hAnsi="宋体" w:cs="宋体"/>
          <w:color w:val="auto"/>
          <w:sz w:val="24"/>
        </w:rPr>
      </w:pPr>
      <w:r>
        <w:rPr>
          <w:rFonts w:hint="eastAsia" w:ascii="宋体" w:hAnsi="宋体" w:cs="宋体"/>
          <w:color w:val="auto"/>
          <w:sz w:val="24"/>
        </w:rPr>
        <w:t>五、与投诉事项相关的投诉请求</w:t>
      </w:r>
    </w:p>
    <w:p>
      <w:pPr>
        <w:spacing w:line="360" w:lineRule="auto"/>
        <w:rPr>
          <w:rFonts w:ascii="宋体" w:hAnsi="宋体" w:cs="宋体"/>
          <w:color w:val="auto"/>
          <w:sz w:val="24"/>
        </w:rPr>
      </w:pPr>
      <w:r>
        <w:rPr>
          <w:rFonts w:hint="eastAsia" w:ascii="宋体" w:hAnsi="宋体" w:cs="宋体"/>
          <w:color w:val="auto"/>
          <w:sz w:val="24"/>
        </w:rPr>
        <w:t>请求：</w:t>
      </w:r>
    </w:p>
    <w:p>
      <w:pPr>
        <w:spacing w:line="360" w:lineRule="auto"/>
        <w:rPr>
          <w:rFonts w:ascii="宋体" w:hAnsi="宋体" w:cs="宋体"/>
          <w:color w:val="auto"/>
          <w:sz w:val="24"/>
          <w:u w:val="single"/>
        </w:rPr>
      </w:pPr>
    </w:p>
    <w:p>
      <w:pPr>
        <w:spacing w:line="360" w:lineRule="auto"/>
        <w:rPr>
          <w:rFonts w:ascii="宋体" w:hAnsi="宋体" w:cs="宋体"/>
          <w:color w:val="auto"/>
          <w:sz w:val="24"/>
        </w:rPr>
      </w:pPr>
      <w:r>
        <w:rPr>
          <w:rFonts w:hint="eastAsia" w:ascii="宋体" w:hAnsi="宋体" w:cs="宋体"/>
          <w:color w:val="auto"/>
          <w:sz w:val="24"/>
        </w:rPr>
        <w:t xml:space="preserve">签字(签章)：                   公章：                      </w:t>
      </w:r>
    </w:p>
    <w:p>
      <w:pPr>
        <w:spacing w:line="360" w:lineRule="auto"/>
        <w:rPr>
          <w:rFonts w:ascii="宋体" w:hAnsi="宋体" w:cs="宋体"/>
          <w:color w:val="auto"/>
          <w:sz w:val="24"/>
        </w:rPr>
      </w:pPr>
      <w:r>
        <w:rPr>
          <w:rFonts w:hint="eastAsia" w:ascii="宋体" w:hAnsi="宋体" w:cs="宋体"/>
          <w:color w:val="auto"/>
          <w:sz w:val="24"/>
        </w:rPr>
        <w:t xml:space="preserve">日期：    </w:t>
      </w:r>
    </w:p>
    <w:p>
      <w:pPr>
        <w:spacing w:line="360" w:lineRule="auto"/>
        <w:rPr>
          <w:rFonts w:ascii="宋体" w:hAnsi="宋体" w:cs="宋体"/>
          <w:b/>
          <w:color w:val="auto"/>
          <w:sz w:val="24"/>
        </w:rPr>
      </w:pPr>
    </w:p>
    <w:p>
      <w:pPr>
        <w:spacing w:line="360" w:lineRule="auto"/>
        <w:rPr>
          <w:rFonts w:ascii="宋体" w:hAnsi="宋体" w:cs="宋体"/>
          <w:b/>
          <w:color w:val="auto"/>
          <w:sz w:val="24"/>
        </w:rPr>
      </w:pPr>
      <w:r>
        <w:rPr>
          <w:rFonts w:hint="eastAsia" w:ascii="宋体" w:hAnsi="宋体" w:cs="宋体"/>
          <w:b/>
          <w:color w:val="auto"/>
          <w:sz w:val="24"/>
        </w:rPr>
        <w:t>投诉书制作说明：</w:t>
      </w:r>
    </w:p>
    <w:p>
      <w:pPr>
        <w:widowControl/>
        <w:spacing w:line="360" w:lineRule="auto"/>
        <w:ind w:firstLine="480" w:firstLineChars="200"/>
        <w:rPr>
          <w:rFonts w:ascii="宋体" w:hAnsi="宋体" w:cs="宋体"/>
          <w:color w:val="auto"/>
          <w:kern w:val="0"/>
          <w:sz w:val="24"/>
        </w:rPr>
      </w:pPr>
      <w:r>
        <w:rPr>
          <w:rFonts w:hint="eastAsia" w:ascii="宋体" w:hAnsi="宋体" w:cs="宋体"/>
          <w:color w:val="auto"/>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color w:val="auto"/>
          <w:kern w:val="0"/>
          <w:sz w:val="24"/>
        </w:rPr>
      </w:pPr>
      <w:r>
        <w:rPr>
          <w:rFonts w:hint="eastAsia" w:ascii="宋体" w:hAnsi="宋体" w:cs="宋体"/>
          <w:color w:val="auto"/>
          <w:sz w:val="24"/>
        </w:rPr>
        <w:t>2.投诉人若委托代理人进行投诉的，投诉书应按照要求列明“授权代表”的有关内容，并在附件中提交由</w:t>
      </w:r>
      <w:r>
        <w:rPr>
          <w:rFonts w:hint="eastAsia" w:ascii="宋体" w:hAnsi="宋体" w:cs="宋体"/>
          <w:color w:val="auto"/>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3.投诉人若对项目的某一分包进行投诉，投诉书应列明具体分包号。</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4.投诉书应简要列明质疑事项，质疑函、质疑答复等作为附件材料提供。</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5.投诉书的投诉事项应具体、明确，并有必要的事实依据和法律依据。</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6.投诉书的投诉请求应与投诉事项相关。</w:t>
      </w:r>
    </w:p>
    <w:p>
      <w:pPr>
        <w:widowControl/>
        <w:spacing w:line="360" w:lineRule="auto"/>
        <w:ind w:firstLine="480" w:firstLineChars="200"/>
        <w:jc w:val="left"/>
        <w:rPr>
          <w:rFonts w:ascii="宋体" w:hAnsi="宋体" w:cs="宋体"/>
          <w:color w:val="auto"/>
          <w:kern w:val="0"/>
          <w:sz w:val="24"/>
        </w:rPr>
      </w:pPr>
      <w:r>
        <w:rPr>
          <w:rFonts w:hint="eastAsia" w:ascii="宋体" w:hAnsi="宋体" w:cs="宋体"/>
          <w:color w:val="auto"/>
          <w:sz w:val="24"/>
        </w:rPr>
        <w:t>7.投诉人为自然人的，投诉书应当由本人签字；投诉人为法人或者其他组织的，投诉书应当由法定代表人、主要负责人，或者其授权代表签字或者盖章，并加盖公章。</w:t>
      </w:r>
    </w:p>
    <w:p>
      <w:pPr>
        <w:rPr>
          <w:color w:val="auto"/>
        </w:rPr>
      </w:pPr>
    </w:p>
    <w:sectPr>
      <w:footerReference r:id="rId16" w:type="first"/>
      <w:headerReference r:id="rId13" w:type="default"/>
      <w:footerReference r:id="rId14" w:type="default"/>
      <w:footerReference r:id="rId15" w:type="even"/>
      <w:pgSz w:w="11905" w:h="16838"/>
      <w:pgMar w:top="1134" w:right="1134" w:bottom="1134" w:left="1134" w:header="850" w:footer="850" w:gutter="0"/>
      <w:cols w:space="0" w:num="1"/>
      <w:titlePg/>
      <w:rtlGutter w:val="0"/>
      <w:docGrid w:linePitch="33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ntury Gothic">
    <w:altName w:val="Segoe Print"/>
    <w:panose1 w:val="020B0502020202020204"/>
    <w:charset w:val="00"/>
    <w:family w:val="swiss"/>
    <w:pitch w:val="default"/>
    <w:sig w:usb0="00000000" w:usb1="00000000" w:usb2="00000000" w:usb3="00000000" w:csb0="2000009F" w:csb1="DFD7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S Gothic">
    <w:panose1 w:val="020B0609070205080204"/>
    <w:charset w:val="80"/>
    <w:family w:val="modern"/>
    <w:pitch w:val="default"/>
    <w:sig w:usb0="E00002FF" w:usb1="6AC7FDFB" w:usb2="00000012" w:usb3="00000000" w:csb0="4002009F" w:csb1="DFD70000"/>
  </w:font>
  <w:font w:name="Helvetica">
    <w:altName w:val="Arial"/>
    <w:panose1 w:val="020B0604020202020204"/>
    <w:charset w:val="00"/>
    <w:family w:val="swiss"/>
    <w:pitch w:val="default"/>
    <w:sig w:usb0="00000000" w:usb1="00000000" w:usb2="00000009" w:usb3="00000000" w:csb0="000001F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jc w:val="both"/>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Style w:val="27"/>
                            </w:rPr>
                          </w:pPr>
                          <w:r>
                            <w:fldChar w:fldCharType="begin"/>
                          </w:r>
                          <w:r>
                            <w:rPr>
                              <w:rStyle w:val="27"/>
                            </w:rPr>
                            <w:instrText xml:space="preserve">PAGE  </w:instrText>
                          </w:r>
                          <w:r>
                            <w:fldChar w:fldCharType="separate"/>
                          </w:r>
                          <w:r>
                            <w:rPr>
                              <w:rStyle w:val="27"/>
                            </w:rPr>
                            <w:t>86</w:t>
                          </w:r>
                          <w:r>
                            <w:fldChar w:fldCharType="end"/>
                          </w:r>
                        </w:p>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KKc1bQVAgAAFQQAAA4AAAAAAAAA&#10;AQAgAAAAHwEAAGRycy9lMm9Eb2MueG1sUEsFBgAAAAAGAAYAWQEAAKYFAAAAAA==&#10;">
              <v:fill on="f" focussize="0,0"/>
              <v:stroke on="f" weight="0.5pt"/>
              <v:imagedata o:title=""/>
              <o:lock v:ext="edit" aspectratio="f"/>
              <v:textbox inset="0mm,0mm,0mm,0mm" style="mso-fit-shape-to-text:t;">
                <w:txbxContent>
                  <w:p>
                    <w:pPr>
                      <w:pStyle w:val="2"/>
                      <w:rPr>
                        <w:rStyle w:val="27"/>
                      </w:rPr>
                    </w:pPr>
                    <w:r>
                      <w:fldChar w:fldCharType="begin"/>
                    </w:r>
                    <w:r>
                      <w:rPr>
                        <w:rStyle w:val="27"/>
                      </w:rPr>
                      <w:instrText xml:space="preserve">PAGE  </w:instrText>
                    </w:r>
                    <w:r>
                      <w:fldChar w:fldCharType="separate"/>
                    </w:r>
                    <w:r>
                      <w:rPr>
                        <w:rStyle w:val="27"/>
                      </w:rPr>
                      <w:t>86</w:t>
                    </w:r>
                    <w:r>
                      <w:fldChar w:fldCharType="end"/>
                    </w:r>
                  </w:p>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t4qQ0VAgAAFQQAAA4AAAAAAAAA&#10;AQAgAAAAHwEAAGRycy9lMm9Eb2MueG1sUEsFBgAAAAAGAAYAWQEAAKY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5</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CZACpVFgIAABUEAAAOAAAAAAAA&#10;AAEAIAAAAB8BAABkcnMvZTJvRG9jLnhtbFBLBQYAAAAABgAGAFkBAACn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center"/>
      <w:rPr>
        <w:sz w:val="18"/>
        <w:szCs w:val="18"/>
      </w:rPr>
    </w:pPr>
    <w:r>
      <w:rPr>
        <w:sz w:val="18"/>
        <w:szCs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5" name="文本框 5"/>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a:effectLst/>
                    </wps:spPr>
                    <wps:txbx>
                      <w:txbxContent>
                        <w:p>
                          <w:pPr>
                            <w:snapToGrid w:val="0"/>
                            <w:jc w:val="left"/>
                            <w:rPr>
                              <w:sz w:val="18"/>
                              <w:szCs w:val="18"/>
                            </w:rPr>
                          </w:pPr>
                          <w:r>
                            <w:rPr>
                              <w:sz w:val="18"/>
                              <w:szCs w:val="18"/>
                            </w:rPr>
                            <w:fldChar w:fldCharType="begin"/>
                          </w:r>
                          <w:r>
                            <w:rPr>
                              <w:sz w:val="18"/>
                              <w:szCs w:val="18"/>
                            </w:rPr>
                            <w:instrText xml:space="preserve"> PAGE  \* MERGEFORMAT </w:instrText>
                          </w:r>
                          <w:r>
                            <w:rPr>
                              <w:sz w:val="18"/>
                              <w:szCs w:val="18"/>
                            </w:rPr>
                            <w:fldChar w:fldCharType="separate"/>
                          </w:r>
                          <w:r>
                            <w:rPr>
                              <w:sz w:val="18"/>
                              <w:szCs w:val="18"/>
                            </w:rPr>
                            <w:t>8</w:t>
                          </w:r>
                          <w:r>
                            <w:rPr>
                              <w:sz w:val="18"/>
                              <w:szCs w:val="1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Q+V+SdAAAAAD&#10;AQAADwAAAAAAAAABACAAAAAiAAAAZHJzL2Rvd25yZXYueG1sUEsBAhQAFAAAAAgAh07iQCKTiwiy&#10;AQAASwMAAA4AAAAAAAAAAQAgAAAAHwEAAGRycy9lMm9Eb2MueG1sUEsFBgAAAAAGAAYAWQEAAEMF&#10;AAAAAA==&#10;">
              <v:fill on="f" focussize="0,0"/>
              <v:stroke on="f"/>
              <v:imagedata o:title=""/>
              <o:lock v:ext="edit" aspectratio="f"/>
              <v:textbox inset="0mm,0mm,0mm,0mm" style="mso-fit-shape-to-text:t;">
                <w:txbxContent>
                  <w:p>
                    <w:pPr>
                      <w:snapToGrid w:val="0"/>
                      <w:jc w:val="left"/>
                      <w:rPr>
                        <w:sz w:val="18"/>
                        <w:szCs w:val="18"/>
                      </w:rPr>
                    </w:pPr>
                    <w:r>
                      <w:rPr>
                        <w:sz w:val="18"/>
                        <w:szCs w:val="18"/>
                      </w:rPr>
                      <w:fldChar w:fldCharType="begin"/>
                    </w:r>
                    <w:r>
                      <w:rPr>
                        <w:sz w:val="18"/>
                        <w:szCs w:val="18"/>
                      </w:rPr>
                      <w:instrText xml:space="preserve"> PAGE  \* MERGEFORMAT </w:instrText>
                    </w:r>
                    <w:r>
                      <w:rPr>
                        <w:sz w:val="18"/>
                        <w:szCs w:val="18"/>
                      </w:rPr>
                      <w:fldChar w:fldCharType="separate"/>
                    </w:r>
                    <w:r>
                      <w:rPr>
                        <w:sz w:val="18"/>
                        <w:szCs w:val="18"/>
                      </w:rPr>
                      <w:t>8</w:t>
                    </w:r>
                    <w:r>
                      <w:rPr>
                        <w:sz w:val="18"/>
                        <w:szCs w:val="18"/>
                      </w:rPr>
                      <w:fldChar w:fldCharType="end"/>
                    </w:r>
                  </w:p>
                </w:txbxContent>
              </v:textbox>
            </v:shape>
          </w:pict>
        </mc:Fallback>
      </mc:AlternateContent>
    </w:r>
  </w:p>
  <w:p>
    <w:pPr>
      <w:snapToGrid w:val="0"/>
      <w:jc w:val="left"/>
      <w:rPr>
        <w:sz w:val="18"/>
        <w:szCs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20"/>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
                          </w:pPr>
                          <w:r>
                            <w:fldChar w:fldCharType="begin"/>
                          </w:r>
                          <w:r>
                            <w:instrText xml:space="preserve"> PAGE  \* MERGEFORMAT </w:instrText>
                          </w:r>
                          <w:r>
                            <w:fldChar w:fldCharType="separate"/>
                          </w:r>
                          <w:r>
                            <w:t>52</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OqXm5zwAAAAUBAAAPAAAA&#10;AAAAAAEAIAAAACIAAABkcnMvZG93bnJldi54bWxQSwECFAAUAAAACACHTuJAp/+gCqwBAABPAwAA&#10;DgAAAAAAAAABACAAAAAeAQAAZHJzL2Uyb0RvYy54bWxQSwUGAAAAAAYABgBZAQAAPAU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52</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jc w:val="center"/>
                          </w:pPr>
                          <w:r>
                            <w:fldChar w:fldCharType="begin"/>
                          </w:r>
                          <w:r>
                            <w:instrText xml:space="preserve"> PAGE   \* MERGEFORMAT </w:instrText>
                          </w:r>
                          <w:r>
                            <w:fldChar w:fldCharType="separate"/>
                          </w:r>
                          <w:r>
                            <w:rPr>
                              <w:lang w:val="zh-CN"/>
                            </w:rPr>
                            <w:t>87</w:t>
                          </w:r>
                          <w:r>
                            <w:rPr>
                              <w:lang w:val="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dBVQXRQCAAAVBAAADgAAAAAAAAAB&#10;ACAAAAAfAQAAZHJzL2Uyb0RvYy54bWxQSwUGAAAAAAYABgBZAQAApQUAAAAA&#10;">
              <v:fill on="f" focussize="0,0"/>
              <v:stroke on="f" weight="0.5pt"/>
              <v:imagedata o:title=""/>
              <o:lock v:ext="edit" aspectratio="f"/>
              <v:textbox inset="0mm,0mm,0mm,0mm" style="mso-fit-shape-to-text:t;">
                <w:txbxContent>
                  <w:p>
                    <w:pPr>
                      <w:pStyle w:val="2"/>
                      <w:jc w:val="center"/>
                    </w:pPr>
                    <w:r>
                      <w:fldChar w:fldCharType="begin"/>
                    </w:r>
                    <w:r>
                      <w:instrText xml:space="preserve"> PAGE   \* MERGEFORMAT </w:instrText>
                    </w:r>
                    <w:r>
                      <w:fldChar w:fldCharType="separate"/>
                    </w:r>
                    <w:r>
                      <w:rPr>
                        <w:lang w:val="zh-CN"/>
                      </w:rPr>
                      <w:t>87</w:t>
                    </w:r>
                    <w:r>
                      <w:rPr>
                        <w:lang w:val="zh-CN"/>
                      </w:rPr>
                      <w:fldChar w:fldCharType="end"/>
                    </w:r>
                  </w:p>
                </w:txbxContent>
              </v:textbox>
            </v:shape>
          </w:pict>
        </mc:Fallback>
      </mc:AlternateContent>
    </w:r>
  </w:p>
  <w:p>
    <w:pPr>
      <w:pStyle w:val="2"/>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27"/>
      </w:rPr>
    </w:pPr>
    <w:r>
      <w:fldChar w:fldCharType="begin"/>
    </w:r>
    <w:r>
      <w:rPr>
        <w:rStyle w:val="27"/>
      </w:rPr>
      <w:instrText xml:space="preserve">PAGE  </w:instrTex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center" w:pos="0"/>
        <w:tab w:val="clear" w:pos="415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E48FAB"/>
    <w:multiLevelType w:val="singleLevel"/>
    <w:tmpl w:val="97E48FAB"/>
    <w:lvl w:ilvl="0" w:tentative="0">
      <w:start w:val="1"/>
      <w:numFmt w:val="chineseCounting"/>
      <w:suff w:val="nothing"/>
      <w:lvlText w:val="（%1）"/>
      <w:lvlJc w:val="left"/>
      <w:rPr>
        <w:rFonts w:hint="eastAsia"/>
      </w:rPr>
    </w:lvl>
  </w:abstractNum>
  <w:abstractNum w:abstractNumId="1">
    <w:nsid w:val="DC3C4FD3"/>
    <w:multiLevelType w:val="singleLevel"/>
    <w:tmpl w:val="DC3C4FD3"/>
    <w:lvl w:ilvl="0" w:tentative="0">
      <w:start w:val="1"/>
      <w:numFmt w:val="decimal"/>
      <w:suff w:val="nothing"/>
      <w:lvlText w:val="（%1）"/>
      <w:lvlJc w:val="left"/>
    </w:lvl>
  </w:abstractNum>
  <w:abstractNum w:abstractNumId="2">
    <w:nsid w:val="00000007"/>
    <w:multiLevelType w:val="multilevel"/>
    <w:tmpl w:val="00000007"/>
    <w:lvl w:ilvl="0" w:tentative="0">
      <w:start w:val="1"/>
      <w:numFmt w:val="decimal"/>
      <w:lvlText w:val="（%1）"/>
      <w:lvlJc w:val="left"/>
      <w:pPr>
        <w:tabs>
          <w:tab w:val="left" w:pos="1140"/>
        </w:tabs>
        <w:ind w:left="1140" w:hanging="720"/>
      </w:pPr>
      <w:rPr>
        <w:rFonts w:ascii="宋体" w:hAnsi="宋体" w:eastAsia="宋体" w:cs="Times New Roman"/>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3">
    <w:nsid w:val="34444808"/>
    <w:multiLevelType w:val="multilevel"/>
    <w:tmpl w:val="34444808"/>
    <w:lvl w:ilvl="0" w:tentative="0">
      <w:start w:val="1"/>
      <w:numFmt w:val="decimal"/>
      <w:lvlText w:val="%1、"/>
      <w:lvlJc w:val="left"/>
      <w:pPr>
        <w:ind w:left="660" w:hanging="360"/>
      </w:pPr>
      <w:rPr>
        <w:rFonts w:hint="default"/>
      </w:rPr>
    </w:lvl>
    <w:lvl w:ilvl="1" w:tentative="0">
      <w:start w:val="1"/>
      <w:numFmt w:val="lowerLetter"/>
      <w:lvlText w:val="%2)"/>
      <w:lvlJc w:val="left"/>
      <w:pPr>
        <w:ind w:left="1140" w:hanging="420"/>
      </w:pPr>
    </w:lvl>
    <w:lvl w:ilvl="2" w:tentative="0">
      <w:start w:val="1"/>
      <w:numFmt w:val="lowerRoman"/>
      <w:lvlText w:val="%3."/>
      <w:lvlJc w:val="right"/>
      <w:pPr>
        <w:ind w:left="1560" w:hanging="420"/>
      </w:pPr>
    </w:lvl>
    <w:lvl w:ilvl="3" w:tentative="0">
      <w:start w:val="1"/>
      <w:numFmt w:val="decimal"/>
      <w:lvlText w:val="%4."/>
      <w:lvlJc w:val="left"/>
      <w:pPr>
        <w:ind w:left="1980" w:hanging="420"/>
      </w:pPr>
    </w:lvl>
    <w:lvl w:ilvl="4" w:tentative="0">
      <w:start w:val="1"/>
      <w:numFmt w:val="lowerLetter"/>
      <w:lvlText w:val="%5)"/>
      <w:lvlJc w:val="left"/>
      <w:pPr>
        <w:ind w:left="2400" w:hanging="420"/>
      </w:pPr>
    </w:lvl>
    <w:lvl w:ilvl="5" w:tentative="0">
      <w:start w:val="1"/>
      <w:numFmt w:val="lowerRoman"/>
      <w:lvlText w:val="%6."/>
      <w:lvlJc w:val="right"/>
      <w:pPr>
        <w:ind w:left="2820" w:hanging="420"/>
      </w:pPr>
    </w:lvl>
    <w:lvl w:ilvl="6" w:tentative="0">
      <w:start w:val="1"/>
      <w:numFmt w:val="decimal"/>
      <w:lvlText w:val="%7."/>
      <w:lvlJc w:val="left"/>
      <w:pPr>
        <w:ind w:left="3240" w:hanging="420"/>
      </w:pPr>
    </w:lvl>
    <w:lvl w:ilvl="7" w:tentative="0">
      <w:start w:val="1"/>
      <w:numFmt w:val="lowerLetter"/>
      <w:lvlText w:val="%8)"/>
      <w:lvlJc w:val="left"/>
      <w:pPr>
        <w:ind w:left="3660" w:hanging="420"/>
      </w:pPr>
    </w:lvl>
    <w:lvl w:ilvl="8" w:tentative="0">
      <w:start w:val="1"/>
      <w:numFmt w:val="lowerRoman"/>
      <w:lvlText w:val="%9."/>
      <w:lvlJc w:val="right"/>
      <w:pPr>
        <w:ind w:left="4080" w:hanging="420"/>
      </w:pPr>
    </w:lvl>
  </w:abstractNum>
  <w:abstractNum w:abstractNumId="4">
    <w:nsid w:val="348E8DD0"/>
    <w:multiLevelType w:val="singleLevel"/>
    <w:tmpl w:val="348E8DD0"/>
    <w:lvl w:ilvl="0" w:tentative="0">
      <w:start w:val="2"/>
      <w:numFmt w:val="decimal"/>
      <w:suff w:val="space"/>
      <w:lvlText w:val="%1."/>
      <w:lvlJc w:val="left"/>
    </w:lvl>
  </w:abstractNum>
  <w:abstractNum w:abstractNumId="5">
    <w:nsid w:val="38272905"/>
    <w:multiLevelType w:val="singleLevel"/>
    <w:tmpl w:val="38272905"/>
    <w:lvl w:ilvl="0" w:tentative="0">
      <w:start w:val="1"/>
      <w:numFmt w:val="decimal"/>
      <w:suff w:val="nothing"/>
      <w:lvlText w:val="%1、"/>
      <w:lvlJc w:val="left"/>
    </w:lvl>
  </w:abstractNum>
  <w:num w:numId="1">
    <w:abstractNumId w:val="5"/>
  </w:num>
  <w:num w:numId="2">
    <w:abstractNumId w:val="1"/>
  </w:num>
  <w:num w:numId="3">
    <w:abstractNumId w:val="0"/>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embedSystemFonts/>
  <w:bordersDoNotSurroundHeader w:val="0"/>
  <w:bordersDoNotSurroundFooter w:val="0"/>
  <w:hideSpellingErrors/>
  <w:documentProtection w:enforcement="0"/>
  <w:defaultTabStop w:val="420"/>
  <w:drawingGridHorizontalSpacing w:val="210"/>
  <w:drawingGridVerticalSpacing w:val="-794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Y2YjQ0YjZkZDRjNTk0Y2JiZTVhOGYyZGZmZjQ1NTAifQ=="/>
  </w:docVars>
  <w:rsids>
    <w:rsidRoot w:val="00364CAD"/>
    <w:rsid w:val="00041746"/>
    <w:rsid w:val="001C543E"/>
    <w:rsid w:val="00203505"/>
    <w:rsid w:val="0029013E"/>
    <w:rsid w:val="00364CAD"/>
    <w:rsid w:val="00420227"/>
    <w:rsid w:val="004B2AC4"/>
    <w:rsid w:val="005902F1"/>
    <w:rsid w:val="006F2E77"/>
    <w:rsid w:val="007E5802"/>
    <w:rsid w:val="00824A9D"/>
    <w:rsid w:val="00850F86"/>
    <w:rsid w:val="008B146C"/>
    <w:rsid w:val="009615A7"/>
    <w:rsid w:val="00984F06"/>
    <w:rsid w:val="009D582E"/>
    <w:rsid w:val="00A03202"/>
    <w:rsid w:val="00BD6724"/>
    <w:rsid w:val="00C621D0"/>
    <w:rsid w:val="00D26508"/>
    <w:rsid w:val="00D47C35"/>
    <w:rsid w:val="00D715B1"/>
    <w:rsid w:val="00D95B39"/>
    <w:rsid w:val="00DB6B5A"/>
    <w:rsid w:val="00DF4C10"/>
    <w:rsid w:val="00ED7479"/>
    <w:rsid w:val="01095920"/>
    <w:rsid w:val="011B02F9"/>
    <w:rsid w:val="011F06AC"/>
    <w:rsid w:val="012A54D2"/>
    <w:rsid w:val="014275A5"/>
    <w:rsid w:val="0170119F"/>
    <w:rsid w:val="017B3F3A"/>
    <w:rsid w:val="01A72EEF"/>
    <w:rsid w:val="01BE6222"/>
    <w:rsid w:val="01C92250"/>
    <w:rsid w:val="02055082"/>
    <w:rsid w:val="029017D2"/>
    <w:rsid w:val="02974B2C"/>
    <w:rsid w:val="02BA5D3C"/>
    <w:rsid w:val="02CC6E30"/>
    <w:rsid w:val="02D92142"/>
    <w:rsid w:val="03127926"/>
    <w:rsid w:val="031B0A55"/>
    <w:rsid w:val="03323B4D"/>
    <w:rsid w:val="03522090"/>
    <w:rsid w:val="035C3D6F"/>
    <w:rsid w:val="0360343D"/>
    <w:rsid w:val="036A4118"/>
    <w:rsid w:val="037B5A38"/>
    <w:rsid w:val="038207AB"/>
    <w:rsid w:val="03E35D44"/>
    <w:rsid w:val="03F84D6E"/>
    <w:rsid w:val="04054EA8"/>
    <w:rsid w:val="041A1364"/>
    <w:rsid w:val="041C7FB9"/>
    <w:rsid w:val="04501F94"/>
    <w:rsid w:val="045D2E23"/>
    <w:rsid w:val="04692E3C"/>
    <w:rsid w:val="047475DC"/>
    <w:rsid w:val="04975296"/>
    <w:rsid w:val="049A7C20"/>
    <w:rsid w:val="04A57753"/>
    <w:rsid w:val="04E34912"/>
    <w:rsid w:val="053C15EE"/>
    <w:rsid w:val="054579FD"/>
    <w:rsid w:val="054D6CFB"/>
    <w:rsid w:val="054F5D32"/>
    <w:rsid w:val="056D44BF"/>
    <w:rsid w:val="05A71B3F"/>
    <w:rsid w:val="05EC04F9"/>
    <w:rsid w:val="05EC368A"/>
    <w:rsid w:val="060A5367"/>
    <w:rsid w:val="061760BE"/>
    <w:rsid w:val="0632251D"/>
    <w:rsid w:val="063B7194"/>
    <w:rsid w:val="06444CC7"/>
    <w:rsid w:val="066F5DC3"/>
    <w:rsid w:val="0676474C"/>
    <w:rsid w:val="068C4871"/>
    <w:rsid w:val="069602FF"/>
    <w:rsid w:val="06AD1D52"/>
    <w:rsid w:val="06BB2083"/>
    <w:rsid w:val="06F62551"/>
    <w:rsid w:val="07040B54"/>
    <w:rsid w:val="07621280"/>
    <w:rsid w:val="07A428E3"/>
    <w:rsid w:val="07CB185D"/>
    <w:rsid w:val="08093A71"/>
    <w:rsid w:val="0828068D"/>
    <w:rsid w:val="085409E1"/>
    <w:rsid w:val="085D760A"/>
    <w:rsid w:val="08F00221"/>
    <w:rsid w:val="08FB6F31"/>
    <w:rsid w:val="090E02CF"/>
    <w:rsid w:val="09280103"/>
    <w:rsid w:val="094F3374"/>
    <w:rsid w:val="09572877"/>
    <w:rsid w:val="097C1490"/>
    <w:rsid w:val="097E2B17"/>
    <w:rsid w:val="09AB0983"/>
    <w:rsid w:val="09CE1116"/>
    <w:rsid w:val="09E076C7"/>
    <w:rsid w:val="09FA206A"/>
    <w:rsid w:val="0A1E7575"/>
    <w:rsid w:val="0A2013A9"/>
    <w:rsid w:val="0A435CEB"/>
    <w:rsid w:val="0A564057"/>
    <w:rsid w:val="0A765A8A"/>
    <w:rsid w:val="0A7751F4"/>
    <w:rsid w:val="0A813285"/>
    <w:rsid w:val="0A9B7E2F"/>
    <w:rsid w:val="0AA572D2"/>
    <w:rsid w:val="0ACE705D"/>
    <w:rsid w:val="0ACF63FC"/>
    <w:rsid w:val="0AD3705F"/>
    <w:rsid w:val="0AF33435"/>
    <w:rsid w:val="0AF837E4"/>
    <w:rsid w:val="0B05035F"/>
    <w:rsid w:val="0B2B22F5"/>
    <w:rsid w:val="0B5140BC"/>
    <w:rsid w:val="0B5A0C8D"/>
    <w:rsid w:val="0B615CFF"/>
    <w:rsid w:val="0B831A63"/>
    <w:rsid w:val="0B8F7AB0"/>
    <w:rsid w:val="0BA95626"/>
    <w:rsid w:val="0BC23C9A"/>
    <w:rsid w:val="0C2506CA"/>
    <w:rsid w:val="0C270720"/>
    <w:rsid w:val="0C463AE2"/>
    <w:rsid w:val="0CBE467B"/>
    <w:rsid w:val="0CFD261A"/>
    <w:rsid w:val="0D401293"/>
    <w:rsid w:val="0D543F47"/>
    <w:rsid w:val="0D9269B0"/>
    <w:rsid w:val="0D957AD2"/>
    <w:rsid w:val="0D992AED"/>
    <w:rsid w:val="0E0F21BC"/>
    <w:rsid w:val="0E1770D6"/>
    <w:rsid w:val="0E2B18D5"/>
    <w:rsid w:val="0E3218E4"/>
    <w:rsid w:val="0E73260E"/>
    <w:rsid w:val="0EA87391"/>
    <w:rsid w:val="0EA91BC1"/>
    <w:rsid w:val="0EBF02BA"/>
    <w:rsid w:val="0EEF6AAD"/>
    <w:rsid w:val="0F17197D"/>
    <w:rsid w:val="0F2509E1"/>
    <w:rsid w:val="0F4946D0"/>
    <w:rsid w:val="0F6B1F01"/>
    <w:rsid w:val="0FB74DC9"/>
    <w:rsid w:val="0FC967F6"/>
    <w:rsid w:val="102F0E28"/>
    <w:rsid w:val="10390118"/>
    <w:rsid w:val="10A25EDA"/>
    <w:rsid w:val="11230F50"/>
    <w:rsid w:val="113A365F"/>
    <w:rsid w:val="11652FD6"/>
    <w:rsid w:val="11B66521"/>
    <w:rsid w:val="11CE05B3"/>
    <w:rsid w:val="11D42897"/>
    <w:rsid w:val="11DD78A9"/>
    <w:rsid w:val="11E44446"/>
    <w:rsid w:val="11F708B2"/>
    <w:rsid w:val="120D6C92"/>
    <w:rsid w:val="12435DC6"/>
    <w:rsid w:val="12534C93"/>
    <w:rsid w:val="129D5818"/>
    <w:rsid w:val="12DE2AB6"/>
    <w:rsid w:val="12E271C4"/>
    <w:rsid w:val="13004370"/>
    <w:rsid w:val="131E0B50"/>
    <w:rsid w:val="133C446F"/>
    <w:rsid w:val="134830F1"/>
    <w:rsid w:val="136968C5"/>
    <w:rsid w:val="13D773DA"/>
    <w:rsid w:val="14172FEE"/>
    <w:rsid w:val="14427A60"/>
    <w:rsid w:val="145646AC"/>
    <w:rsid w:val="14814229"/>
    <w:rsid w:val="1485642A"/>
    <w:rsid w:val="148C55F5"/>
    <w:rsid w:val="1493579A"/>
    <w:rsid w:val="14A02656"/>
    <w:rsid w:val="14BB782F"/>
    <w:rsid w:val="14EF2214"/>
    <w:rsid w:val="150A4BC2"/>
    <w:rsid w:val="15112FB3"/>
    <w:rsid w:val="1517629B"/>
    <w:rsid w:val="15545F12"/>
    <w:rsid w:val="15650047"/>
    <w:rsid w:val="157C0DB9"/>
    <w:rsid w:val="15A71FCF"/>
    <w:rsid w:val="15B42ABF"/>
    <w:rsid w:val="15CE73E7"/>
    <w:rsid w:val="15DA6861"/>
    <w:rsid w:val="1620489B"/>
    <w:rsid w:val="1644072B"/>
    <w:rsid w:val="16521360"/>
    <w:rsid w:val="165803F8"/>
    <w:rsid w:val="16CC463A"/>
    <w:rsid w:val="172A6452"/>
    <w:rsid w:val="174145EF"/>
    <w:rsid w:val="17526FA4"/>
    <w:rsid w:val="17590BF9"/>
    <w:rsid w:val="175918DE"/>
    <w:rsid w:val="176C18A3"/>
    <w:rsid w:val="1795379C"/>
    <w:rsid w:val="17DE3E23"/>
    <w:rsid w:val="18063809"/>
    <w:rsid w:val="184E71FB"/>
    <w:rsid w:val="18817186"/>
    <w:rsid w:val="18A53C2D"/>
    <w:rsid w:val="18B445FB"/>
    <w:rsid w:val="18E66AB2"/>
    <w:rsid w:val="18EB67F8"/>
    <w:rsid w:val="1908178B"/>
    <w:rsid w:val="19097C61"/>
    <w:rsid w:val="19155678"/>
    <w:rsid w:val="19177C6B"/>
    <w:rsid w:val="19397563"/>
    <w:rsid w:val="194F7902"/>
    <w:rsid w:val="19B81747"/>
    <w:rsid w:val="19DC1C4E"/>
    <w:rsid w:val="19FB0679"/>
    <w:rsid w:val="19FF33EE"/>
    <w:rsid w:val="1A673BFA"/>
    <w:rsid w:val="1A70567B"/>
    <w:rsid w:val="1A774458"/>
    <w:rsid w:val="1A846A93"/>
    <w:rsid w:val="1AA22304"/>
    <w:rsid w:val="1ABD34B5"/>
    <w:rsid w:val="1AE86F5D"/>
    <w:rsid w:val="1AF33E60"/>
    <w:rsid w:val="1B0E2484"/>
    <w:rsid w:val="1B1A3D35"/>
    <w:rsid w:val="1B33269F"/>
    <w:rsid w:val="1B5A47CD"/>
    <w:rsid w:val="1B8B4540"/>
    <w:rsid w:val="1B980981"/>
    <w:rsid w:val="1BC83144"/>
    <w:rsid w:val="1C2B1F3C"/>
    <w:rsid w:val="1C890693"/>
    <w:rsid w:val="1C986C96"/>
    <w:rsid w:val="1C9E7D2D"/>
    <w:rsid w:val="1CA43733"/>
    <w:rsid w:val="1CCA5C25"/>
    <w:rsid w:val="1CCF6A17"/>
    <w:rsid w:val="1CE135D7"/>
    <w:rsid w:val="1D216C8C"/>
    <w:rsid w:val="1D864D41"/>
    <w:rsid w:val="1DF1639C"/>
    <w:rsid w:val="1E037DAC"/>
    <w:rsid w:val="1E393C3A"/>
    <w:rsid w:val="1E4C772B"/>
    <w:rsid w:val="1E55723C"/>
    <w:rsid w:val="1E6F6709"/>
    <w:rsid w:val="1E912715"/>
    <w:rsid w:val="1EA4279A"/>
    <w:rsid w:val="1EA700B7"/>
    <w:rsid w:val="1EC105A1"/>
    <w:rsid w:val="1F152A17"/>
    <w:rsid w:val="1F4E3E9E"/>
    <w:rsid w:val="1F6210D9"/>
    <w:rsid w:val="1F640C4B"/>
    <w:rsid w:val="1F7C3BBA"/>
    <w:rsid w:val="1F9A2D26"/>
    <w:rsid w:val="1FC2394D"/>
    <w:rsid w:val="1FCF2A25"/>
    <w:rsid w:val="1FD44AE9"/>
    <w:rsid w:val="1FD93BB1"/>
    <w:rsid w:val="2001314A"/>
    <w:rsid w:val="201C6EBC"/>
    <w:rsid w:val="202A5D19"/>
    <w:rsid w:val="203C71B2"/>
    <w:rsid w:val="204A64FA"/>
    <w:rsid w:val="208D2FA3"/>
    <w:rsid w:val="209640CD"/>
    <w:rsid w:val="20967EE2"/>
    <w:rsid w:val="20D3473E"/>
    <w:rsid w:val="20DD79A8"/>
    <w:rsid w:val="20E029BA"/>
    <w:rsid w:val="20E233A0"/>
    <w:rsid w:val="213D7796"/>
    <w:rsid w:val="215E6B36"/>
    <w:rsid w:val="21AB6CB3"/>
    <w:rsid w:val="21E92535"/>
    <w:rsid w:val="21EA67DF"/>
    <w:rsid w:val="21EF70EC"/>
    <w:rsid w:val="22494C50"/>
    <w:rsid w:val="224A1B04"/>
    <w:rsid w:val="22551944"/>
    <w:rsid w:val="225718E5"/>
    <w:rsid w:val="2265761B"/>
    <w:rsid w:val="226E38C1"/>
    <w:rsid w:val="2279283A"/>
    <w:rsid w:val="227A5108"/>
    <w:rsid w:val="229972C4"/>
    <w:rsid w:val="22AB5DF9"/>
    <w:rsid w:val="22C87A6E"/>
    <w:rsid w:val="22CE4F93"/>
    <w:rsid w:val="22DA3051"/>
    <w:rsid w:val="22DC4C58"/>
    <w:rsid w:val="22E91FFA"/>
    <w:rsid w:val="23017FBB"/>
    <w:rsid w:val="23236BC0"/>
    <w:rsid w:val="233D0899"/>
    <w:rsid w:val="237F36A3"/>
    <w:rsid w:val="23AA7DE4"/>
    <w:rsid w:val="23AD68F9"/>
    <w:rsid w:val="23C31EAF"/>
    <w:rsid w:val="23C46C9C"/>
    <w:rsid w:val="23CD5BEA"/>
    <w:rsid w:val="23D46646"/>
    <w:rsid w:val="23E16DB3"/>
    <w:rsid w:val="23EF07BD"/>
    <w:rsid w:val="242D3833"/>
    <w:rsid w:val="24816B05"/>
    <w:rsid w:val="24941690"/>
    <w:rsid w:val="24C510A7"/>
    <w:rsid w:val="24CF590E"/>
    <w:rsid w:val="24E5168B"/>
    <w:rsid w:val="24FD473D"/>
    <w:rsid w:val="25560CAD"/>
    <w:rsid w:val="25581FF1"/>
    <w:rsid w:val="25665875"/>
    <w:rsid w:val="256A0F3E"/>
    <w:rsid w:val="256C491B"/>
    <w:rsid w:val="2573204F"/>
    <w:rsid w:val="25856C9D"/>
    <w:rsid w:val="258F5A73"/>
    <w:rsid w:val="25DC7BF4"/>
    <w:rsid w:val="25E2566C"/>
    <w:rsid w:val="25F018F1"/>
    <w:rsid w:val="261C4A32"/>
    <w:rsid w:val="26287FC9"/>
    <w:rsid w:val="263317DE"/>
    <w:rsid w:val="267F40B2"/>
    <w:rsid w:val="26A742E8"/>
    <w:rsid w:val="26CF1553"/>
    <w:rsid w:val="26DA0542"/>
    <w:rsid w:val="27007912"/>
    <w:rsid w:val="273259A9"/>
    <w:rsid w:val="27350EF9"/>
    <w:rsid w:val="27380A7A"/>
    <w:rsid w:val="27503865"/>
    <w:rsid w:val="275A5F00"/>
    <w:rsid w:val="276258F6"/>
    <w:rsid w:val="27771DCD"/>
    <w:rsid w:val="27814EF7"/>
    <w:rsid w:val="279A2560"/>
    <w:rsid w:val="27DA7DAA"/>
    <w:rsid w:val="27F23143"/>
    <w:rsid w:val="28063E8E"/>
    <w:rsid w:val="285D49B6"/>
    <w:rsid w:val="28790670"/>
    <w:rsid w:val="289726EE"/>
    <w:rsid w:val="28C8445F"/>
    <w:rsid w:val="29095C9F"/>
    <w:rsid w:val="291B1976"/>
    <w:rsid w:val="292145DB"/>
    <w:rsid w:val="292D12B6"/>
    <w:rsid w:val="297716A4"/>
    <w:rsid w:val="29AB0C3B"/>
    <w:rsid w:val="29B75056"/>
    <w:rsid w:val="29B82726"/>
    <w:rsid w:val="29BB4910"/>
    <w:rsid w:val="29DD3939"/>
    <w:rsid w:val="2A636FF6"/>
    <w:rsid w:val="2A876E3D"/>
    <w:rsid w:val="2A9A6588"/>
    <w:rsid w:val="2B2A7669"/>
    <w:rsid w:val="2B3B1E66"/>
    <w:rsid w:val="2B4F0E68"/>
    <w:rsid w:val="2B4F6B63"/>
    <w:rsid w:val="2B616AED"/>
    <w:rsid w:val="2B770163"/>
    <w:rsid w:val="2B904CA9"/>
    <w:rsid w:val="2B9E3F4D"/>
    <w:rsid w:val="2BCB247B"/>
    <w:rsid w:val="2C123020"/>
    <w:rsid w:val="2C7D12B4"/>
    <w:rsid w:val="2CBF2D5F"/>
    <w:rsid w:val="2CCA7EB6"/>
    <w:rsid w:val="2CE80B1F"/>
    <w:rsid w:val="2CED73A5"/>
    <w:rsid w:val="2D1457DB"/>
    <w:rsid w:val="2D2A70F4"/>
    <w:rsid w:val="2D3347E7"/>
    <w:rsid w:val="2D3B4CA1"/>
    <w:rsid w:val="2D4744ED"/>
    <w:rsid w:val="2D4E237A"/>
    <w:rsid w:val="2D4F38E3"/>
    <w:rsid w:val="2D524C40"/>
    <w:rsid w:val="2D6045A9"/>
    <w:rsid w:val="2D9617F6"/>
    <w:rsid w:val="2D9F1C4A"/>
    <w:rsid w:val="2DBB0A96"/>
    <w:rsid w:val="2DC453CA"/>
    <w:rsid w:val="2DCB0FE4"/>
    <w:rsid w:val="2DDB69E3"/>
    <w:rsid w:val="2DEC5B1F"/>
    <w:rsid w:val="2DF9158A"/>
    <w:rsid w:val="2E195B6E"/>
    <w:rsid w:val="2E277E7A"/>
    <w:rsid w:val="2E556795"/>
    <w:rsid w:val="2E6C4650"/>
    <w:rsid w:val="2F0E6DB4"/>
    <w:rsid w:val="2F1034AA"/>
    <w:rsid w:val="2F3B14B6"/>
    <w:rsid w:val="2F423753"/>
    <w:rsid w:val="2F671334"/>
    <w:rsid w:val="2FAE2881"/>
    <w:rsid w:val="2FB87BD1"/>
    <w:rsid w:val="2FC53A06"/>
    <w:rsid w:val="2FDA629D"/>
    <w:rsid w:val="3034687E"/>
    <w:rsid w:val="305807BF"/>
    <w:rsid w:val="306B5FE8"/>
    <w:rsid w:val="30D81EF7"/>
    <w:rsid w:val="30D93356"/>
    <w:rsid w:val="31350101"/>
    <w:rsid w:val="318D2CFD"/>
    <w:rsid w:val="31932A4F"/>
    <w:rsid w:val="319D5E4B"/>
    <w:rsid w:val="31DD412C"/>
    <w:rsid w:val="31EF7B28"/>
    <w:rsid w:val="32015993"/>
    <w:rsid w:val="322118FB"/>
    <w:rsid w:val="322476CF"/>
    <w:rsid w:val="322B55AE"/>
    <w:rsid w:val="32390A38"/>
    <w:rsid w:val="326C65A7"/>
    <w:rsid w:val="326D5167"/>
    <w:rsid w:val="326E6C1E"/>
    <w:rsid w:val="32AA7462"/>
    <w:rsid w:val="32AD00E0"/>
    <w:rsid w:val="32B51DEC"/>
    <w:rsid w:val="32BB403E"/>
    <w:rsid w:val="32E3590E"/>
    <w:rsid w:val="32FC3D25"/>
    <w:rsid w:val="33136037"/>
    <w:rsid w:val="332B3F69"/>
    <w:rsid w:val="33800A0F"/>
    <w:rsid w:val="338E424C"/>
    <w:rsid w:val="339B377C"/>
    <w:rsid w:val="33A917D3"/>
    <w:rsid w:val="33D57E95"/>
    <w:rsid w:val="33DF3C90"/>
    <w:rsid w:val="34436CAE"/>
    <w:rsid w:val="345631E3"/>
    <w:rsid w:val="34572A71"/>
    <w:rsid w:val="348D05CD"/>
    <w:rsid w:val="349D7A9E"/>
    <w:rsid w:val="34A86470"/>
    <w:rsid w:val="34AE6BFF"/>
    <w:rsid w:val="34BB41E0"/>
    <w:rsid w:val="34BC4B4B"/>
    <w:rsid w:val="3507717E"/>
    <w:rsid w:val="350C2D09"/>
    <w:rsid w:val="3518665E"/>
    <w:rsid w:val="356D74CB"/>
    <w:rsid w:val="3578720D"/>
    <w:rsid w:val="3592350F"/>
    <w:rsid w:val="35BE0F51"/>
    <w:rsid w:val="35D910D2"/>
    <w:rsid w:val="35DE52C2"/>
    <w:rsid w:val="362D1DA6"/>
    <w:rsid w:val="3635774B"/>
    <w:rsid w:val="363B2715"/>
    <w:rsid w:val="3642105E"/>
    <w:rsid w:val="366E1C81"/>
    <w:rsid w:val="366E4460"/>
    <w:rsid w:val="36773E5D"/>
    <w:rsid w:val="36801F8F"/>
    <w:rsid w:val="36AF573D"/>
    <w:rsid w:val="36BB169B"/>
    <w:rsid w:val="36D3565B"/>
    <w:rsid w:val="36E0622F"/>
    <w:rsid w:val="36ED3DEE"/>
    <w:rsid w:val="3720584E"/>
    <w:rsid w:val="375D21A8"/>
    <w:rsid w:val="3764130E"/>
    <w:rsid w:val="3779039B"/>
    <w:rsid w:val="377F4883"/>
    <w:rsid w:val="37A20571"/>
    <w:rsid w:val="37FB3273"/>
    <w:rsid w:val="383967AA"/>
    <w:rsid w:val="386F1159"/>
    <w:rsid w:val="387F5AF8"/>
    <w:rsid w:val="38A14E89"/>
    <w:rsid w:val="38E50D89"/>
    <w:rsid w:val="390D3FC9"/>
    <w:rsid w:val="39455184"/>
    <w:rsid w:val="39726B7C"/>
    <w:rsid w:val="399B6E57"/>
    <w:rsid w:val="39EA3076"/>
    <w:rsid w:val="3A3A40C5"/>
    <w:rsid w:val="3A4535D3"/>
    <w:rsid w:val="3A5E70A9"/>
    <w:rsid w:val="3A971EE4"/>
    <w:rsid w:val="3ACB0889"/>
    <w:rsid w:val="3ADE1AAE"/>
    <w:rsid w:val="3B1C3A03"/>
    <w:rsid w:val="3B4E06DA"/>
    <w:rsid w:val="3B6C49BC"/>
    <w:rsid w:val="3B7A14FC"/>
    <w:rsid w:val="3BA30382"/>
    <w:rsid w:val="3BAA39EE"/>
    <w:rsid w:val="3BAD6C5C"/>
    <w:rsid w:val="3BCA4457"/>
    <w:rsid w:val="3C385735"/>
    <w:rsid w:val="3C3E7D17"/>
    <w:rsid w:val="3C457F4A"/>
    <w:rsid w:val="3C62249B"/>
    <w:rsid w:val="3C6B32E4"/>
    <w:rsid w:val="3C80221C"/>
    <w:rsid w:val="3CBC3E83"/>
    <w:rsid w:val="3D2757A1"/>
    <w:rsid w:val="3D37175C"/>
    <w:rsid w:val="3D445700"/>
    <w:rsid w:val="3DBD339D"/>
    <w:rsid w:val="3E157B2C"/>
    <w:rsid w:val="3E181FBE"/>
    <w:rsid w:val="3E494341"/>
    <w:rsid w:val="3E4F3CEB"/>
    <w:rsid w:val="3E8B7A4C"/>
    <w:rsid w:val="3E9B193A"/>
    <w:rsid w:val="3EB73B4E"/>
    <w:rsid w:val="3EDB2D75"/>
    <w:rsid w:val="3F1B0FC1"/>
    <w:rsid w:val="3F246DEE"/>
    <w:rsid w:val="3F4A0470"/>
    <w:rsid w:val="3F5512BA"/>
    <w:rsid w:val="3F7A053C"/>
    <w:rsid w:val="3F9B2844"/>
    <w:rsid w:val="3F9D1D4A"/>
    <w:rsid w:val="3FD31C10"/>
    <w:rsid w:val="3FD602BE"/>
    <w:rsid w:val="400468BA"/>
    <w:rsid w:val="404A5B85"/>
    <w:rsid w:val="40A97B6A"/>
    <w:rsid w:val="40BD5ADC"/>
    <w:rsid w:val="40D60483"/>
    <w:rsid w:val="40EF446D"/>
    <w:rsid w:val="40F1109D"/>
    <w:rsid w:val="41051ABE"/>
    <w:rsid w:val="41180364"/>
    <w:rsid w:val="41366D43"/>
    <w:rsid w:val="41441443"/>
    <w:rsid w:val="4152018A"/>
    <w:rsid w:val="416C7DBD"/>
    <w:rsid w:val="418530B2"/>
    <w:rsid w:val="41BB55EA"/>
    <w:rsid w:val="41C01C51"/>
    <w:rsid w:val="41D55476"/>
    <w:rsid w:val="41F122DB"/>
    <w:rsid w:val="41F2464B"/>
    <w:rsid w:val="420049FD"/>
    <w:rsid w:val="42177E0D"/>
    <w:rsid w:val="4234381E"/>
    <w:rsid w:val="42832E2D"/>
    <w:rsid w:val="42946D8C"/>
    <w:rsid w:val="42954201"/>
    <w:rsid w:val="429823CB"/>
    <w:rsid w:val="42A178EE"/>
    <w:rsid w:val="42A72FC0"/>
    <w:rsid w:val="42D9753D"/>
    <w:rsid w:val="42FA583B"/>
    <w:rsid w:val="43050FCE"/>
    <w:rsid w:val="431542ED"/>
    <w:rsid w:val="433831AE"/>
    <w:rsid w:val="433B256A"/>
    <w:rsid w:val="43460D6B"/>
    <w:rsid w:val="43B12268"/>
    <w:rsid w:val="43F31EC1"/>
    <w:rsid w:val="43F87FE2"/>
    <w:rsid w:val="43FB1131"/>
    <w:rsid w:val="43FB6C40"/>
    <w:rsid w:val="441A2345"/>
    <w:rsid w:val="44385910"/>
    <w:rsid w:val="443F0DB6"/>
    <w:rsid w:val="4440539A"/>
    <w:rsid w:val="445B0426"/>
    <w:rsid w:val="445C4ECF"/>
    <w:rsid w:val="445E4478"/>
    <w:rsid w:val="447B536C"/>
    <w:rsid w:val="447D5572"/>
    <w:rsid w:val="44D36B5C"/>
    <w:rsid w:val="44D77AAC"/>
    <w:rsid w:val="44E471D7"/>
    <w:rsid w:val="45117A5F"/>
    <w:rsid w:val="457C7FCF"/>
    <w:rsid w:val="458F40E0"/>
    <w:rsid w:val="45D4622A"/>
    <w:rsid w:val="4604620C"/>
    <w:rsid w:val="462E0726"/>
    <w:rsid w:val="466727DF"/>
    <w:rsid w:val="4683709C"/>
    <w:rsid w:val="46AF2877"/>
    <w:rsid w:val="46B4630E"/>
    <w:rsid w:val="46D21D3A"/>
    <w:rsid w:val="46DB2B70"/>
    <w:rsid w:val="471760F8"/>
    <w:rsid w:val="47194F77"/>
    <w:rsid w:val="472B2331"/>
    <w:rsid w:val="473A3B1C"/>
    <w:rsid w:val="47415447"/>
    <w:rsid w:val="47435B56"/>
    <w:rsid w:val="476123B9"/>
    <w:rsid w:val="476D6D49"/>
    <w:rsid w:val="47720309"/>
    <w:rsid w:val="477D269F"/>
    <w:rsid w:val="478009AC"/>
    <w:rsid w:val="478D2CB4"/>
    <w:rsid w:val="47A42B87"/>
    <w:rsid w:val="47B03B4D"/>
    <w:rsid w:val="47C9785B"/>
    <w:rsid w:val="47DA1580"/>
    <w:rsid w:val="47F71956"/>
    <w:rsid w:val="481606C7"/>
    <w:rsid w:val="482B222F"/>
    <w:rsid w:val="482D16EA"/>
    <w:rsid w:val="484A0F00"/>
    <w:rsid w:val="484E4048"/>
    <w:rsid w:val="48787FAC"/>
    <w:rsid w:val="489B2F4B"/>
    <w:rsid w:val="48C0305C"/>
    <w:rsid w:val="48CF07C1"/>
    <w:rsid w:val="48D1046F"/>
    <w:rsid w:val="48E04E04"/>
    <w:rsid w:val="49360D0C"/>
    <w:rsid w:val="493865B5"/>
    <w:rsid w:val="4939782F"/>
    <w:rsid w:val="496C7C8D"/>
    <w:rsid w:val="498469FF"/>
    <w:rsid w:val="49C202BC"/>
    <w:rsid w:val="49F25388"/>
    <w:rsid w:val="4A187D2D"/>
    <w:rsid w:val="4A671107"/>
    <w:rsid w:val="4A7E1F41"/>
    <w:rsid w:val="4AC863B5"/>
    <w:rsid w:val="4ADD6C7C"/>
    <w:rsid w:val="4B410C16"/>
    <w:rsid w:val="4B44380D"/>
    <w:rsid w:val="4B6C573F"/>
    <w:rsid w:val="4B7F5BCC"/>
    <w:rsid w:val="4B8A1D1C"/>
    <w:rsid w:val="4BA94BA1"/>
    <w:rsid w:val="4BB30F42"/>
    <w:rsid w:val="4BCD1321"/>
    <w:rsid w:val="4BE07B8E"/>
    <w:rsid w:val="4BEE18C0"/>
    <w:rsid w:val="4BF33563"/>
    <w:rsid w:val="4BF50CB2"/>
    <w:rsid w:val="4BF74C0A"/>
    <w:rsid w:val="4C10610E"/>
    <w:rsid w:val="4C516396"/>
    <w:rsid w:val="4C6E15BF"/>
    <w:rsid w:val="4C737E6D"/>
    <w:rsid w:val="4CAD25CB"/>
    <w:rsid w:val="4CDF679D"/>
    <w:rsid w:val="4CFE0910"/>
    <w:rsid w:val="4D165162"/>
    <w:rsid w:val="4D170BB5"/>
    <w:rsid w:val="4D1A3A04"/>
    <w:rsid w:val="4D640565"/>
    <w:rsid w:val="4D7213D6"/>
    <w:rsid w:val="4D844549"/>
    <w:rsid w:val="4DB67C3F"/>
    <w:rsid w:val="4DB93C1C"/>
    <w:rsid w:val="4DDC3463"/>
    <w:rsid w:val="4E050942"/>
    <w:rsid w:val="4E2222F9"/>
    <w:rsid w:val="4E274294"/>
    <w:rsid w:val="4E4207B2"/>
    <w:rsid w:val="4E5649B8"/>
    <w:rsid w:val="4E8A3DE2"/>
    <w:rsid w:val="4EC84766"/>
    <w:rsid w:val="4ED133E0"/>
    <w:rsid w:val="4EE1639C"/>
    <w:rsid w:val="4EF13E61"/>
    <w:rsid w:val="4EF94B51"/>
    <w:rsid w:val="4F32333E"/>
    <w:rsid w:val="4F3266D2"/>
    <w:rsid w:val="4F7A5C1F"/>
    <w:rsid w:val="4F8F33DB"/>
    <w:rsid w:val="4F940DFD"/>
    <w:rsid w:val="4F9D2D1D"/>
    <w:rsid w:val="4FF8744B"/>
    <w:rsid w:val="4FFB507E"/>
    <w:rsid w:val="501C5568"/>
    <w:rsid w:val="502707A5"/>
    <w:rsid w:val="503F1F7D"/>
    <w:rsid w:val="504F768C"/>
    <w:rsid w:val="50815D87"/>
    <w:rsid w:val="50875DDA"/>
    <w:rsid w:val="50A67405"/>
    <w:rsid w:val="50A70048"/>
    <w:rsid w:val="50BF7A86"/>
    <w:rsid w:val="50F7462E"/>
    <w:rsid w:val="50FC2C3C"/>
    <w:rsid w:val="510C0643"/>
    <w:rsid w:val="5165451C"/>
    <w:rsid w:val="518F7337"/>
    <w:rsid w:val="51D574B6"/>
    <w:rsid w:val="51D97625"/>
    <w:rsid w:val="52237D21"/>
    <w:rsid w:val="52495D62"/>
    <w:rsid w:val="524B5983"/>
    <w:rsid w:val="52612F1E"/>
    <w:rsid w:val="528E2E9A"/>
    <w:rsid w:val="52A248C9"/>
    <w:rsid w:val="52FA0D18"/>
    <w:rsid w:val="53155C40"/>
    <w:rsid w:val="533E54DE"/>
    <w:rsid w:val="53532AF5"/>
    <w:rsid w:val="5363174A"/>
    <w:rsid w:val="537806AC"/>
    <w:rsid w:val="53781CD0"/>
    <w:rsid w:val="53BE66B0"/>
    <w:rsid w:val="53E429F3"/>
    <w:rsid w:val="53E67D0C"/>
    <w:rsid w:val="53FC7D3D"/>
    <w:rsid w:val="54420CBA"/>
    <w:rsid w:val="544F4B17"/>
    <w:rsid w:val="54597262"/>
    <w:rsid w:val="54690E06"/>
    <w:rsid w:val="547D1B69"/>
    <w:rsid w:val="547D3CA1"/>
    <w:rsid w:val="549A78FD"/>
    <w:rsid w:val="54A71544"/>
    <w:rsid w:val="54E03240"/>
    <w:rsid w:val="54E161E6"/>
    <w:rsid w:val="551560C9"/>
    <w:rsid w:val="554747DA"/>
    <w:rsid w:val="555D40E2"/>
    <w:rsid w:val="55717EF0"/>
    <w:rsid w:val="55A912CE"/>
    <w:rsid w:val="55B94634"/>
    <w:rsid w:val="55BD62FC"/>
    <w:rsid w:val="55CF4789"/>
    <w:rsid w:val="55E24205"/>
    <w:rsid w:val="55FD396D"/>
    <w:rsid w:val="55FF3119"/>
    <w:rsid w:val="56290606"/>
    <w:rsid w:val="562B24F5"/>
    <w:rsid w:val="56960007"/>
    <w:rsid w:val="569C33FD"/>
    <w:rsid w:val="56AD53E1"/>
    <w:rsid w:val="56E17E4B"/>
    <w:rsid w:val="571177FA"/>
    <w:rsid w:val="571A4D54"/>
    <w:rsid w:val="572C50A1"/>
    <w:rsid w:val="574A79DE"/>
    <w:rsid w:val="574E744D"/>
    <w:rsid w:val="57680A38"/>
    <w:rsid w:val="57795C8D"/>
    <w:rsid w:val="578277A0"/>
    <w:rsid w:val="57A31849"/>
    <w:rsid w:val="57D1482F"/>
    <w:rsid w:val="57D26EB7"/>
    <w:rsid w:val="580653FD"/>
    <w:rsid w:val="58075D24"/>
    <w:rsid w:val="580F63AE"/>
    <w:rsid w:val="584C24AE"/>
    <w:rsid w:val="585D2567"/>
    <w:rsid w:val="586B7753"/>
    <w:rsid w:val="58AA581E"/>
    <w:rsid w:val="59043E01"/>
    <w:rsid w:val="595321B2"/>
    <w:rsid w:val="59BB60CF"/>
    <w:rsid w:val="59D34D02"/>
    <w:rsid w:val="59F61659"/>
    <w:rsid w:val="5A4E7262"/>
    <w:rsid w:val="5A632179"/>
    <w:rsid w:val="5A7C75A7"/>
    <w:rsid w:val="5A831B3A"/>
    <w:rsid w:val="5A8B3F51"/>
    <w:rsid w:val="5AA21D68"/>
    <w:rsid w:val="5AB40EDF"/>
    <w:rsid w:val="5ACB37B8"/>
    <w:rsid w:val="5AEE72F1"/>
    <w:rsid w:val="5B9242D5"/>
    <w:rsid w:val="5B9C0A5E"/>
    <w:rsid w:val="5BC209EB"/>
    <w:rsid w:val="5BC24B08"/>
    <w:rsid w:val="5BC46DD7"/>
    <w:rsid w:val="5BD76368"/>
    <w:rsid w:val="5BE34185"/>
    <w:rsid w:val="5BF6728A"/>
    <w:rsid w:val="5C2D2D23"/>
    <w:rsid w:val="5C341BB1"/>
    <w:rsid w:val="5C766F57"/>
    <w:rsid w:val="5C7865A7"/>
    <w:rsid w:val="5CB11B30"/>
    <w:rsid w:val="5D10309F"/>
    <w:rsid w:val="5D2B4B79"/>
    <w:rsid w:val="5D3D543E"/>
    <w:rsid w:val="5D425978"/>
    <w:rsid w:val="5D6F03B3"/>
    <w:rsid w:val="5D8F57D0"/>
    <w:rsid w:val="5DB23302"/>
    <w:rsid w:val="5DB524FD"/>
    <w:rsid w:val="5DBE5856"/>
    <w:rsid w:val="5DC90AF1"/>
    <w:rsid w:val="5E105436"/>
    <w:rsid w:val="5E1F3CF6"/>
    <w:rsid w:val="5E565CA2"/>
    <w:rsid w:val="5E8011B4"/>
    <w:rsid w:val="5E847D30"/>
    <w:rsid w:val="5E8834E7"/>
    <w:rsid w:val="5EAB0D2C"/>
    <w:rsid w:val="5F2416E8"/>
    <w:rsid w:val="5F2B1805"/>
    <w:rsid w:val="5F476193"/>
    <w:rsid w:val="5F4D6DA2"/>
    <w:rsid w:val="5FAE1170"/>
    <w:rsid w:val="5FB76261"/>
    <w:rsid w:val="5FC46DF0"/>
    <w:rsid w:val="5FD924D3"/>
    <w:rsid w:val="600B28A8"/>
    <w:rsid w:val="600F469F"/>
    <w:rsid w:val="603E2332"/>
    <w:rsid w:val="604231D2"/>
    <w:rsid w:val="60573113"/>
    <w:rsid w:val="60771CEC"/>
    <w:rsid w:val="60B116A2"/>
    <w:rsid w:val="60C03693"/>
    <w:rsid w:val="60C201C6"/>
    <w:rsid w:val="60C74A21"/>
    <w:rsid w:val="60E342E4"/>
    <w:rsid w:val="61151723"/>
    <w:rsid w:val="611718D1"/>
    <w:rsid w:val="61337E5C"/>
    <w:rsid w:val="614528AC"/>
    <w:rsid w:val="61765A11"/>
    <w:rsid w:val="617B565A"/>
    <w:rsid w:val="619D6B85"/>
    <w:rsid w:val="61B363CD"/>
    <w:rsid w:val="61ED1794"/>
    <w:rsid w:val="61FB170E"/>
    <w:rsid w:val="62A00E16"/>
    <w:rsid w:val="62B11B7D"/>
    <w:rsid w:val="62CF742C"/>
    <w:rsid w:val="62D14C9E"/>
    <w:rsid w:val="62E11BBE"/>
    <w:rsid w:val="62E5140A"/>
    <w:rsid w:val="63116428"/>
    <w:rsid w:val="632A4E9A"/>
    <w:rsid w:val="633F463B"/>
    <w:rsid w:val="6349445A"/>
    <w:rsid w:val="63950E07"/>
    <w:rsid w:val="639F7DC1"/>
    <w:rsid w:val="63C11BFC"/>
    <w:rsid w:val="63E661C1"/>
    <w:rsid w:val="63F30435"/>
    <w:rsid w:val="64050ABF"/>
    <w:rsid w:val="6424218B"/>
    <w:rsid w:val="642D1CFD"/>
    <w:rsid w:val="64363468"/>
    <w:rsid w:val="6481138B"/>
    <w:rsid w:val="64AB280F"/>
    <w:rsid w:val="64B32E2F"/>
    <w:rsid w:val="64C157D9"/>
    <w:rsid w:val="64D61B4A"/>
    <w:rsid w:val="64E250F2"/>
    <w:rsid w:val="6500469F"/>
    <w:rsid w:val="658D574D"/>
    <w:rsid w:val="6598494A"/>
    <w:rsid w:val="659F6081"/>
    <w:rsid w:val="65A70C8A"/>
    <w:rsid w:val="65A823F2"/>
    <w:rsid w:val="65AD6466"/>
    <w:rsid w:val="65B460C5"/>
    <w:rsid w:val="65ED414E"/>
    <w:rsid w:val="65EF4D81"/>
    <w:rsid w:val="66620E80"/>
    <w:rsid w:val="66890008"/>
    <w:rsid w:val="66B5420B"/>
    <w:rsid w:val="66E55C01"/>
    <w:rsid w:val="66F67E0E"/>
    <w:rsid w:val="670F7889"/>
    <w:rsid w:val="67126567"/>
    <w:rsid w:val="67211260"/>
    <w:rsid w:val="67256946"/>
    <w:rsid w:val="67460997"/>
    <w:rsid w:val="675F0B70"/>
    <w:rsid w:val="676557D9"/>
    <w:rsid w:val="676D705E"/>
    <w:rsid w:val="6793565D"/>
    <w:rsid w:val="67A05B2A"/>
    <w:rsid w:val="67DE2C50"/>
    <w:rsid w:val="67DE7084"/>
    <w:rsid w:val="67F05AFD"/>
    <w:rsid w:val="67F7300E"/>
    <w:rsid w:val="681D13CB"/>
    <w:rsid w:val="68342E8F"/>
    <w:rsid w:val="68483D18"/>
    <w:rsid w:val="684A5A37"/>
    <w:rsid w:val="687D4BDD"/>
    <w:rsid w:val="68882CE8"/>
    <w:rsid w:val="68952F54"/>
    <w:rsid w:val="68A10975"/>
    <w:rsid w:val="68B160F3"/>
    <w:rsid w:val="68DC3EFE"/>
    <w:rsid w:val="69047080"/>
    <w:rsid w:val="69507B39"/>
    <w:rsid w:val="698E0FEB"/>
    <w:rsid w:val="6998799E"/>
    <w:rsid w:val="69C435FB"/>
    <w:rsid w:val="6A2C02A3"/>
    <w:rsid w:val="6A2E0A55"/>
    <w:rsid w:val="6A386990"/>
    <w:rsid w:val="6A3E6267"/>
    <w:rsid w:val="6A8923D3"/>
    <w:rsid w:val="6AC56D58"/>
    <w:rsid w:val="6AC6682F"/>
    <w:rsid w:val="6AD14E1A"/>
    <w:rsid w:val="6ADB3525"/>
    <w:rsid w:val="6B326137"/>
    <w:rsid w:val="6B8723B0"/>
    <w:rsid w:val="6B8754D9"/>
    <w:rsid w:val="6B8B2B72"/>
    <w:rsid w:val="6BA442DD"/>
    <w:rsid w:val="6BB966C6"/>
    <w:rsid w:val="6C3170F0"/>
    <w:rsid w:val="6C9F6852"/>
    <w:rsid w:val="6CA8352E"/>
    <w:rsid w:val="6CB97733"/>
    <w:rsid w:val="6CD725ED"/>
    <w:rsid w:val="6CEA4165"/>
    <w:rsid w:val="6D376AFE"/>
    <w:rsid w:val="6D3B35C4"/>
    <w:rsid w:val="6D4A5BC3"/>
    <w:rsid w:val="6D546223"/>
    <w:rsid w:val="6DE704B1"/>
    <w:rsid w:val="6DEB4FBD"/>
    <w:rsid w:val="6E141A2A"/>
    <w:rsid w:val="6EA05AE1"/>
    <w:rsid w:val="6ECF2622"/>
    <w:rsid w:val="6ED547C4"/>
    <w:rsid w:val="6EE06FEB"/>
    <w:rsid w:val="6F153218"/>
    <w:rsid w:val="6F2319BD"/>
    <w:rsid w:val="6F414062"/>
    <w:rsid w:val="6F76486B"/>
    <w:rsid w:val="6F924A6F"/>
    <w:rsid w:val="6FA67349"/>
    <w:rsid w:val="6FE55BBD"/>
    <w:rsid w:val="706202C3"/>
    <w:rsid w:val="707B47C4"/>
    <w:rsid w:val="709B4B83"/>
    <w:rsid w:val="70B64C12"/>
    <w:rsid w:val="70C11755"/>
    <w:rsid w:val="70C3351A"/>
    <w:rsid w:val="70DD0C77"/>
    <w:rsid w:val="70DD2618"/>
    <w:rsid w:val="70E6544B"/>
    <w:rsid w:val="70ED0986"/>
    <w:rsid w:val="71881060"/>
    <w:rsid w:val="71956F67"/>
    <w:rsid w:val="71AC7120"/>
    <w:rsid w:val="71C1726B"/>
    <w:rsid w:val="71CF0D35"/>
    <w:rsid w:val="71D728C9"/>
    <w:rsid w:val="71E003DD"/>
    <w:rsid w:val="71E13469"/>
    <w:rsid w:val="71F41383"/>
    <w:rsid w:val="71F43F22"/>
    <w:rsid w:val="72021250"/>
    <w:rsid w:val="720F6D7D"/>
    <w:rsid w:val="72472963"/>
    <w:rsid w:val="726532FB"/>
    <w:rsid w:val="72670F93"/>
    <w:rsid w:val="72950198"/>
    <w:rsid w:val="72954F71"/>
    <w:rsid w:val="72BF19FC"/>
    <w:rsid w:val="72EA4658"/>
    <w:rsid w:val="7320375D"/>
    <w:rsid w:val="732359F2"/>
    <w:rsid w:val="73610D05"/>
    <w:rsid w:val="736C23ED"/>
    <w:rsid w:val="742B4973"/>
    <w:rsid w:val="74306915"/>
    <w:rsid w:val="74444F9D"/>
    <w:rsid w:val="74624D35"/>
    <w:rsid w:val="748725BD"/>
    <w:rsid w:val="749F06D0"/>
    <w:rsid w:val="74A01DFE"/>
    <w:rsid w:val="74B00652"/>
    <w:rsid w:val="74BC7265"/>
    <w:rsid w:val="74C6075E"/>
    <w:rsid w:val="74F109DD"/>
    <w:rsid w:val="751210DD"/>
    <w:rsid w:val="753442AC"/>
    <w:rsid w:val="755A26D4"/>
    <w:rsid w:val="75667239"/>
    <w:rsid w:val="756D0B1E"/>
    <w:rsid w:val="75706FDE"/>
    <w:rsid w:val="75A1363B"/>
    <w:rsid w:val="75AB4B37"/>
    <w:rsid w:val="762F10DD"/>
    <w:rsid w:val="76346316"/>
    <w:rsid w:val="767A39B0"/>
    <w:rsid w:val="768E005F"/>
    <w:rsid w:val="76945580"/>
    <w:rsid w:val="769B575F"/>
    <w:rsid w:val="76BE180F"/>
    <w:rsid w:val="76F60429"/>
    <w:rsid w:val="774C11E5"/>
    <w:rsid w:val="77563BDF"/>
    <w:rsid w:val="77766384"/>
    <w:rsid w:val="777E16B3"/>
    <w:rsid w:val="77970501"/>
    <w:rsid w:val="77CE4E49"/>
    <w:rsid w:val="77DD1955"/>
    <w:rsid w:val="78492BFF"/>
    <w:rsid w:val="784A2834"/>
    <w:rsid w:val="785E7A95"/>
    <w:rsid w:val="78986C8F"/>
    <w:rsid w:val="78B26198"/>
    <w:rsid w:val="78C711AF"/>
    <w:rsid w:val="79064ACA"/>
    <w:rsid w:val="79200D68"/>
    <w:rsid w:val="794B1CCF"/>
    <w:rsid w:val="795310F0"/>
    <w:rsid w:val="796D488C"/>
    <w:rsid w:val="799737F5"/>
    <w:rsid w:val="799E4EDF"/>
    <w:rsid w:val="79C40791"/>
    <w:rsid w:val="7A4D6843"/>
    <w:rsid w:val="7A721263"/>
    <w:rsid w:val="7A8C6B77"/>
    <w:rsid w:val="7A9279F6"/>
    <w:rsid w:val="7ACE66DC"/>
    <w:rsid w:val="7B2241A0"/>
    <w:rsid w:val="7B4E5F74"/>
    <w:rsid w:val="7B5B590C"/>
    <w:rsid w:val="7BC21276"/>
    <w:rsid w:val="7BF232D8"/>
    <w:rsid w:val="7C0A10B0"/>
    <w:rsid w:val="7C2521C4"/>
    <w:rsid w:val="7C266A5E"/>
    <w:rsid w:val="7C620CEE"/>
    <w:rsid w:val="7C77265E"/>
    <w:rsid w:val="7C7970C0"/>
    <w:rsid w:val="7CBC0D5A"/>
    <w:rsid w:val="7CC43F8D"/>
    <w:rsid w:val="7CC81220"/>
    <w:rsid w:val="7CD3033B"/>
    <w:rsid w:val="7CDD2498"/>
    <w:rsid w:val="7D0949E8"/>
    <w:rsid w:val="7D1428F3"/>
    <w:rsid w:val="7D1C52E3"/>
    <w:rsid w:val="7D213FD5"/>
    <w:rsid w:val="7D2E060E"/>
    <w:rsid w:val="7D3557A0"/>
    <w:rsid w:val="7D3714E0"/>
    <w:rsid w:val="7D3A2618"/>
    <w:rsid w:val="7D405FDE"/>
    <w:rsid w:val="7D9F232A"/>
    <w:rsid w:val="7DB84B7D"/>
    <w:rsid w:val="7E2719D2"/>
    <w:rsid w:val="7E5706C0"/>
    <w:rsid w:val="7E5D5758"/>
    <w:rsid w:val="7E6416AA"/>
    <w:rsid w:val="7E730C2B"/>
    <w:rsid w:val="7E797FB0"/>
    <w:rsid w:val="7EA1239A"/>
    <w:rsid w:val="7EA57534"/>
    <w:rsid w:val="7EBC184E"/>
    <w:rsid w:val="7EC363D0"/>
    <w:rsid w:val="7EC811B7"/>
    <w:rsid w:val="7EC81A6C"/>
    <w:rsid w:val="7ECF1219"/>
    <w:rsid w:val="7ED9582D"/>
    <w:rsid w:val="7EF31ED3"/>
    <w:rsid w:val="7F21731A"/>
    <w:rsid w:val="7F2F3174"/>
    <w:rsid w:val="7F617BFE"/>
    <w:rsid w:val="7F66149A"/>
    <w:rsid w:val="7F733261"/>
    <w:rsid w:val="7FE07536"/>
    <w:rsid w:val="7FEE63B3"/>
    <w:rsid w:val="7FF155E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b/>
      <w:kern w:val="44"/>
      <w:sz w:val="48"/>
      <w:szCs w:val="48"/>
    </w:rPr>
  </w:style>
  <w:style w:type="paragraph" w:styleId="4">
    <w:name w:val="heading 2"/>
    <w:basedOn w:val="1"/>
    <w:next w:val="1"/>
    <w:semiHidden/>
    <w:unhideWhenUsed/>
    <w:qFormat/>
    <w:uiPriority w:val="0"/>
    <w:pPr>
      <w:keepNext/>
      <w:keepLines/>
      <w:spacing w:before="260" w:after="260" w:line="413" w:lineRule="auto"/>
      <w:outlineLvl w:val="1"/>
    </w:pPr>
    <w:rPr>
      <w:rFonts w:ascii="Arial" w:hAnsi="Arial" w:eastAsia="黑体"/>
      <w:b/>
      <w:bCs/>
      <w:sz w:val="32"/>
      <w:szCs w:val="32"/>
    </w:rPr>
  </w:style>
  <w:style w:type="paragraph" w:styleId="5">
    <w:name w:val="heading 3"/>
    <w:basedOn w:val="1"/>
    <w:next w:val="1"/>
    <w:semiHidden/>
    <w:unhideWhenUsed/>
    <w:qFormat/>
    <w:uiPriority w:val="0"/>
    <w:pPr>
      <w:keepNext/>
      <w:keepLines/>
      <w:spacing w:line="600" w:lineRule="exact"/>
      <w:ind w:firstLine="643" w:firstLineChars="200"/>
      <w:outlineLvl w:val="2"/>
    </w:pPr>
    <w:rPr>
      <w:b/>
      <w:bCs/>
      <w:sz w:val="32"/>
      <w:szCs w:val="32"/>
    </w:rPr>
  </w:style>
  <w:style w:type="paragraph" w:styleId="6">
    <w:name w:val="heading 4"/>
    <w:basedOn w:val="1"/>
    <w:next w:val="1"/>
    <w:qFormat/>
    <w:uiPriority w:val="0"/>
    <w:pPr>
      <w:keepNext/>
      <w:keepLines/>
      <w:spacing w:line="360" w:lineRule="auto"/>
      <w:outlineLvl w:val="3"/>
    </w:pPr>
    <w:rPr>
      <w:rFonts w:ascii="Arial" w:hAnsi="Arial" w:eastAsia="黑体"/>
      <w:b/>
      <w:sz w:val="24"/>
    </w:rPr>
  </w:style>
  <w:style w:type="paragraph" w:styleId="7">
    <w:name w:val="heading 5"/>
    <w:basedOn w:val="1"/>
    <w:next w:val="8"/>
    <w:semiHidden/>
    <w:unhideWhenUsed/>
    <w:qFormat/>
    <w:uiPriority w:val="0"/>
    <w:pPr>
      <w:keepNext/>
      <w:keepLines/>
      <w:spacing w:before="280" w:after="290" w:line="376" w:lineRule="auto"/>
      <w:outlineLvl w:val="4"/>
    </w:pPr>
    <w:rPr>
      <w:b/>
      <w:bCs/>
      <w:sz w:val="28"/>
      <w:szCs w:val="28"/>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szCs w:val="18"/>
    </w:rPr>
  </w:style>
  <w:style w:type="paragraph" w:styleId="8">
    <w:name w:val="Normal Indent"/>
    <w:basedOn w:val="1"/>
    <w:qFormat/>
    <w:uiPriority w:val="0"/>
    <w:pPr>
      <w:ind w:firstLine="420"/>
    </w:pPr>
    <w:rPr>
      <w:szCs w:val="20"/>
    </w:rPr>
  </w:style>
  <w:style w:type="paragraph" w:styleId="9">
    <w:name w:val="index 8"/>
    <w:basedOn w:val="1"/>
    <w:next w:val="1"/>
    <w:qFormat/>
    <w:uiPriority w:val="0"/>
    <w:pPr>
      <w:ind w:left="2940"/>
    </w:pPr>
  </w:style>
  <w:style w:type="paragraph" w:styleId="10">
    <w:name w:val="annotation text"/>
    <w:basedOn w:val="1"/>
    <w:link w:val="45"/>
    <w:qFormat/>
    <w:uiPriority w:val="0"/>
    <w:pPr>
      <w:jc w:val="left"/>
    </w:pPr>
  </w:style>
  <w:style w:type="paragraph" w:styleId="11">
    <w:name w:val="Body Text"/>
    <w:basedOn w:val="1"/>
    <w:next w:val="1"/>
    <w:qFormat/>
    <w:uiPriority w:val="0"/>
    <w:pPr>
      <w:spacing w:after="120"/>
    </w:pPr>
  </w:style>
  <w:style w:type="paragraph" w:styleId="12">
    <w:name w:val="Body Text Indent"/>
    <w:qFormat/>
    <w:uiPriority w:val="0"/>
    <w:pPr>
      <w:widowControl w:val="0"/>
      <w:spacing w:line="200" w:lineRule="exact"/>
      <w:ind w:firstLine="301"/>
      <w:jc w:val="both"/>
    </w:pPr>
    <w:rPr>
      <w:rFonts w:ascii="宋体" w:hAnsi="Courier New" w:eastAsia="宋体" w:cs="Times New Roman"/>
      <w:spacing w:val="-4"/>
      <w:kern w:val="2"/>
      <w:sz w:val="18"/>
      <w:lang w:val="en-US" w:eastAsia="zh-CN" w:bidi="ar-SA"/>
    </w:rPr>
  </w:style>
  <w:style w:type="paragraph" w:styleId="13">
    <w:name w:val="toc 3"/>
    <w:next w:val="1"/>
    <w:qFormat/>
    <w:uiPriority w:val="0"/>
    <w:pPr>
      <w:widowControl w:val="0"/>
    </w:pPr>
    <w:rPr>
      <w:rFonts w:ascii="Calibri" w:hAnsi="Calibri" w:eastAsia="宋体" w:cs="Times New Roman"/>
      <w:smallCaps/>
      <w:kern w:val="2"/>
      <w:sz w:val="22"/>
      <w:szCs w:val="22"/>
      <w:lang w:val="en-US" w:eastAsia="zh-CN" w:bidi="ar-SA"/>
    </w:rPr>
  </w:style>
  <w:style w:type="paragraph" w:styleId="14">
    <w:name w:val="Plain Text"/>
    <w:basedOn w:val="1"/>
    <w:next w:val="9"/>
    <w:qFormat/>
    <w:uiPriority w:val="0"/>
    <w:rPr>
      <w:rFonts w:ascii="宋体" w:hAnsi="Courier New"/>
      <w:szCs w:val="20"/>
    </w:rPr>
  </w:style>
  <w:style w:type="paragraph" w:styleId="15">
    <w:name w:val="Body Text Indent 2"/>
    <w:basedOn w:val="1"/>
    <w:qFormat/>
    <w:uiPriority w:val="0"/>
    <w:pPr>
      <w:adjustRightInd w:val="0"/>
      <w:spacing w:line="360" w:lineRule="auto"/>
      <w:ind w:firstLine="504" w:firstLineChars="210"/>
      <w:jc w:val="left"/>
    </w:pPr>
    <w:rPr>
      <w:rFonts w:hint="eastAsia" w:ascii="Century Gothic" w:hAnsi="Century Gothic"/>
      <w:sz w:val="24"/>
      <w:szCs w:val="20"/>
    </w:rPr>
  </w:style>
  <w:style w:type="paragraph" w:styleId="16">
    <w:name w:val="Balloon Text"/>
    <w:basedOn w:val="1"/>
    <w:link w:val="47"/>
    <w:qFormat/>
    <w:uiPriority w:val="0"/>
    <w:rPr>
      <w:sz w:val="18"/>
      <w:szCs w:val="18"/>
    </w:rPr>
  </w:style>
  <w:style w:type="paragraph" w:styleId="1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8">
    <w:name w:val="toc 1"/>
    <w:next w:val="1"/>
    <w:qFormat/>
    <w:uiPriority w:val="0"/>
    <w:pPr>
      <w:widowControl w:val="0"/>
      <w:spacing w:before="360" w:after="360"/>
    </w:pPr>
    <w:rPr>
      <w:rFonts w:ascii="Calibri" w:hAnsi="Calibri" w:eastAsia="宋体" w:cs="Times New Roman"/>
      <w:b/>
      <w:bCs/>
      <w:caps/>
      <w:kern w:val="2"/>
      <w:sz w:val="22"/>
      <w:szCs w:val="22"/>
      <w:u w:val="single"/>
      <w:lang w:val="en-US" w:eastAsia="zh-CN" w:bidi="ar-SA"/>
    </w:rPr>
  </w:style>
  <w:style w:type="paragraph" w:styleId="19">
    <w:name w:val="List"/>
    <w:basedOn w:val="1"/>
    <w:qFormat/>
    <w:uiPriority w:val="0"/>
    <w:pPr>
      <w:ind w:left="200" w:hanging="200" w:hangingChars="200"/>
    </w:pPr>
    <w:rPr>
      <w:sz w:val="28"/>
    </w:rPr>
  </w:style>
  <w:style w:type="paragraph" w:styleId="20">
    <w:name w:val="toc 2"/>
    <w:next w:val="1"/>
    <w:qFormat/>
    <w:uiPriority w:val="0"/>
    <w:pPr>
      <w:widowControl w:val="0"/>
    </w:pPr>
    <w:rPr>
      <w:rFonts w:ascii="Calibri" w:hAnsi="Calibri" w:eastAsia="宋体" w:cs="Times New Roman"/>
      <w:b/>
      <w:bCs/>
      <w:smallCaps/>
      <w:kern w:val="2"/>
      <w:sz w:val="22"/>
      <w:szCs w:val="22"/>
      <w:lang w:val="en-US" w:eastAsia="zh-CN" w:bidi="ar-SA"/>
    </w:rPr>
  </w:style>
  <w:style w:type="paragraph" w:styleId="21">
    <w:name w:val="index 1"/>
    <w:next w:val="1"/>
    <w:qFormat/>
    <w:uiPriority w:val="0"/>
    <w:pPr>
      <w:widowControl w:val="0"/>
      <w:spacing w:line="400" w:lineRule="exact"/>
      <w:ind w:firstLine="420" w:firstLineChars="200"/>
      <w:jc w:val="both"/>
    </w:pPr>
    <w:rPr>
      <w:rFonts w:ascii="宋体" w:hAnsi="Courier New" w:eastAsia="宋体" w:cs="Times New Roman"/>
      <w:b/>
      <w:kern w:val="2"/>
      <w:sz w:val="21"/>
      <w:lang w:val="en-US" w:eastAsia="zh-CN" w:bidi="ar-SA"/>
    </w:rPr>
  </w:style>
  <w:style w:type="paragraph" w:styleId="22">
    <w:name w:val="annotation subject"/>
    <w:basedOn w:val="10"/>
    <w:next w:val="10"/>
    <w:link w:val="46"/>
    <w:qFormat/>
    <w:uiPriority w:val="0"/>
    <w:rPr>
      <w:b/>
      <w:bCs/>
    </w:rPr>
  </w:style>
  <w:style w:type="paragraph" w:styleId="23">
    <w:name w:val="Body Text First Indent"/>
    <w:basedOn w:val="11"/>
    <w:unhideWhenUsed/>
    <w:qFormat/>
    <w:uiPriority w:val="99"/>
    <w:pPr>
      <w:ind w:firstLine="420" w:firstLineChars="100"/>
    </w:pPr>
    <w:rPr>
      <w:rFonts w:ascii="Calibri" w:hAnsi="Calibri"/>
    </w:rPr>
  </w:style>
  <w:style w:type="table" w:styleId="25">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style>
  <w:style w:type="character" w:styleId="27">
    <w:name w:val="page number"/>
    <w:qFormat/>
    <w:uiPriority w:val="0"/>
  </w:style>
  <w:style w:type="character" w:styleId="28">
    <w:name w:val="FollowedHyperlink"/>
    <w:basedOn w:val="26"/>
    <w:qFormat/>
    <w:uiPriority w:val="0"/>
    <w:rPr>
      <w:rFonts w:hint="eastAsia" w:ascii="微软雅黑" w:hAnsi="微软雅黑" w:eastAsia="微软雅黑" w:cs="微软雅黑"/>
      <w:color w:val="02396F"/>
      <w:u w:val="single"/>
    </w:rPr>
  </w:style>
  <w:style w:type="character" w:styleId="29">
    <w:name w:val="Hyperlink"/>
    <w:qFormat/>
    <w:uiPriority w:val="0"/>
    <w:rPr>
      <w:color w:val="0000FF"/>
      <w:u w:val="single"/>
    </w:rPr>
  </w:style>
  <w:style w:type="character" w:styleId="30">
    <w:name w:val="annotation reference"/>
    <w:qFormat/>
    <w:uiPriority w:val="0"/>
    <w:rPr>
      <w:sz w:val="21"/>
      <w:szCs w:val="21"/>
    </w:rPr>
  </w:style>
  <w:style w:type="character" w:styleId="31">
    <w:name w:val="HTML Sample"/>
    <w:basedOn w:val="26"/>
    <w:qFormat/>
    <w:uiPriority w:val="0"/>
    <w:rPr>
      <w:rFonts w:ascii="Courier New" w:hAnsi="Courier New"/>
    </w:rPr>
  </w:style>
  <w:style w:type="paragraph" w:customStyle="1" w:styleId="32">
    <w:name w:val="表格文字"/>
    <w:next w:val="11"/>
    <w:qFormat/>
    <w:uiPriority w:val="0"/>
    <w:pPr>
      <w:widowControl w:val="0"/>
      <w:adjustRightInd w:val="0"/>
      <w:spacing w:line="420" w:lineRule="atLeast"/>
      <w:textAlignment w:val="baseline"/>
    </w:pPr>
    <w:rPr>
      <w:rFonts w:ascii="Times New Roman" w:hAnsi="Times New Roman" w:eastAsia="宋体" w:cs="Times New Roman"/>
      <w:sz w:val="21"/>
      <w:szCs w:val="24"/>
      <w:lang w:val="en-US" w:eastAsia="zh-CN" w:bidi="ar-SA"/>
    </w:rPr>
  </w:style>
  <w:style w:type="paragraph" w:customStyle="1" w:styleId="33">
    <w:name w:val="Default"/>
    <w:next w:val="34"/>
    <w:qFormat/>
    <w:uiPriority w:val="0"/>
    <w:pPr>
      <w:widowControl w:val="0"/>
      <w:autoSpaceDE w:val="0"/>
      <w:autoSpaceDN w:val="0"/>
      <w:adjustRightInd w:val="0"/>
    </w:pPr>
    <w:rPr>
      <w:rFonts w:ascii="黑体" w:hAnsi="Times New Roman" w:eastAsia="黑体" w:cs="Times New Roman"/>
      <w:lang w:val="en-US" w:eastAsia="zh-CN" w:bidi="ar-SA"/>
    </w:rPr>
  </w:style>
  <w:style w:type="paragraph" w:customStyle="1" w:styleId="34">
    <w:name w:val="正文文字 6"/>
    <w:next w:val="1"/>
    <w:qFormat/>
    <w:uiPriority w:val="0"/>
    <w:pPr>
      <w:widowControl w:val="0"/>
      <w:ind w:left="240"/>
      <w:jc w:val="both"/>
    </w:pPr>
    <w:rPr>
      <w:rFonts w:ascii="宋体" w:hAnsi="Calibri" w:eastAsia="宋体" w:cs="Times New Roman"/>
      <w:b/>
      <w:bCs/>
      <w:kern w:val="2"/>
      <w:sz w:val="32"/>
      <w:szCs w:val="32"/>
      <w:lang w:val="en-US" w:eastAsia="zh-CN" w:bidi="ar-SA"/>
    </w:rPr>
  </w:style>
  <w:style w:type="paragraph" w:customStyle="1" w:styleId="35">
    <w:name w:val="Heading1"/>
    <w:basedOn w:val="1"/>
    <w:next w:val="1"/>
    <w:qFormat/>
    <w:uiPriority w:val="0"/>
    <w:pPr>
      <w:spacing w:before="43"/>
      <w:jc w:val="center"/>
      <w:textAlignment w:val="baseline"/>
    </w:pPr>
    <w:rPr>
      <w:rFonts w:ascii="黑体" w:hAnsi="黑体" w:eastAsia="黑体" w:cs="黑体"/>
      <w:b/>
      <w:bCs/>
      <w:sz w:val="32"/>
      <w:szCs w:val="32"/>
      <w:lang w:val="zh-CN" w:bidi="zh-CN"/>
    </w:rPr>
  </w:style>
  <w:style w:type="character" w:customStyle="1" w:styleId="36">
    <w:name w:val="正文文本 (26) + 间距 0 pt"/>
    <w:qFormat/>
    <w:uiPriority w:val="0"/>
    <w:rPr>
      <w:rFonts w:ascii="宋体" w:hAnsi="宋体" w:eastAsia="宋体" w:cs="宋体"/>
      <w:color w:val="000000"/>
      <w:spacing w:val="0"/>
      <w:w w:val="100"/>
      <w:position w:val="0"/>
      <w:sz w:val="22"/>
      <w:szCs w:val="22"/>
      <w:u w:val="none"/>
      <w:lang w:val="zh-CN" w:eastAsia="zh-CN" w:bidi="zh-CN"/>
    </w:rPr>
  </w:style>
  <w:style w:type="paragraph" w:customStyle="1" w:styleId="37">
    <w:name w:val="正文2"/>
    <w:qFormat/>
    <w:uiPriority w:val="0"/>
    <w:pPr>
      <w:widowControl w:val="0"/>
      <w:adjustRightInd w:val="0"/>
      <w:spacing w:before="156" w:line="360" w:lineRule="auto"/>
      <w:ind w:firstLine="510" w:firstLineChars="200"/>
      <w:jc w:val="both"/>
    </w:pPr>
    <w:rPr>
      <w:rFonts w:ascii="Times New Roman" w:hAnsi="Times New Roman" w:eastAsia="宋体" w:cs="Times New Roman"/>
      <w:kern w:val="2"/>
      <w:sz w:val="24"/>
      <w:lang w:val="en-US" w:eastAsia="zh-CN" w:bidi="ar-SA"/>
    </w:rPr>
  </w:style>
  <w:style w:type="paragraph" w:customStyle="1" w:styleId="38">
    <w:name w:val="正文缩进1"/>
    <w:next w:val="12"/>
    <w:qFormat/>
    <w:uiPriority w:val="0"/>
    <w:pPr>
      <w:widowControl w:val="0"/>
      <w:autoSpaceDE w:val="0"/>
      <w:autoSpaceDN w:val="0"/>
      <w:adjustRightInd w:val="0"/>
      <w:snapToGrid w:val="0"/>
      <w:spacing w:after="120" w:line="360" w:lineRule="auto"/>
      <w:ind w:left="420" w:leftChars="200" w:firstLine="480" w:firstLineChars="200"/>
      <w:jc w:val="both"/>
    </w:pPr>
    <w:rPr>
      <w:rFonts w:ascii="Times New Roman" w:hAnsi="Times New Roman" w:eastAsia="宋体" w:cs="Times New Roman"/>
      <w:kern w:val="2"/>
      <w:sz w:val="24"/>
      <w:szCs w:val="21"/>
      <w:lang w:val="en-US" w:eastAsia="zh-CN" w:bidi="ar-SA"/>
    </w:rPr>
  </w:style>
  <w:style w:type="paragraph" w:customStyle="1" w:styleId="39">
    <w:name w:val="样式5"/>
    <w:qFormat/>
    <w:uiPriority w:val="0"/>
    <w:pPr>
      <w:widowControl w:val="0"/>
      <w:adjustRightInd w:val="0"/>
      <w:spacing w:line="440" w:lineRule="exact"/>
      <w:ind w:left="2" w:firstLine="480" w:firstLineChars="200"/>
      <w:jc w:val="both"/>
    </w:pPr>
    <w:rPr>
      <w:rFonts w:ascii="仿宋_GB2312" w:hAnsi="仿宋" w:eastAsia="仿宋_GB2312" w:cs="Times New Roman"/>
      <w:kern w:val="2"/>
      <w:sz w:val="24"/>
      <w:szCs w:val="24"/>
      <w:lang w:val="en-US" w:eastAsia="zh-CN" w:bidi="ar-SA"/>
    </w:rPr>
  </w:style>
  <w:style w:type="paragraph" w:styleId="40">
    <w:name w:val="List Paragraph"/>
    <w:basedOn w:val="1"/>
    <w:next w:val="1"/>
    <w:qFormat/>
    <w:uiPriority w:val="34"/>
    <w:pPr>
      <w:ind w:firstLine="420" w:firstLineChars="200"/>
    </w:pPr>
  </w:style>
  <w:style w:type="paragraph" w:customStyle="1" w:styleId="41">
    <w:name w:val="正文缩进2"/>
    <w:basedOn w:val="1"/>
    <w:qFormat/>
    <w:uiPriority w:val="0"/>
    <w:pPr>
      <w:adjustRightInd w:val="0"/>
      <w:spacing w:line="360" w:lineRule="atLeast"/>
      <w:ind w:firstLine="482"/>
      <w:textAlignment w:val="baseline"/>
    </w:pPr>
    <w:rPr>
      <w:kern w:val="0"/>
      <w:sz w:val="24"/>
      <w:szCs w:val="20"/>
    </w:rPr>
  </w:style>
  <w:style w:type="paragraph" w:customStyle="1" w:styleId="42">
    <w:name w:val="Table Paragraph"/>
    <w:basedOn w:val="1"/>
    <w:qFormat/>
    <w:uiPriority w:val="1"/>
    <w:rPr>
      <w:rFonts w:ascii="宋体" w:hAnsi="宋体" w:cs="宋体"/>
      <w:lang w:val="zh-CN" w:bidi="zh-CN"/>
    </w:rPr>
  </w:style>
  <w:style w:type="paragraph" w:customStyle="1" w:styleId="43">
    <w:name w:val="纯文本1"/>
    <w:basedOn w:val="1"/>
    <w:next w:val="1"/>
    <w:qFormat/>
    <w:uiPriority w:val="0"/>
    <w:rPr>
      <w:rFonts w:ascii="宋体" w:hAnsi="宋体"/>
      <w:sz w:val="20"/>
      <w:szCs w:val="21"/>
    </w:rPr>
  </w:style>
  <w:style w:type="paragraph" w:customStyle="1" w:styleId="44">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45">
    <w:name w:val="批注文字 Char"/>
    <w:basedOn w:val="26"/>
    <w:link w:val="10"/>
    <w:qFormat/>
    <w:uiPriority w:val="0"/>
    <w:rPr>
      <w:rFonts w:ascii="Times New Roman" w:hAnsi="Times New Roman"/>
      <w:kern w:val="2"/>
      <w:sz w:val="21"/>
      <w:szCs w:val="24"/>
    </w:rPr>
  </w:style>
  <w:style w:type="character" w:customStyle="1" w:styleId="46">
    <w:name w:val="批注主题 Char"/>
    <w:basedOn w:val="45"/>
    <w:link w:val="22"/>
    <w:qFormat/>
    <w:uiPriority w:val="0"/>
    <w:rPr>
      <w:rFonts w:ascii="Times New Roman" w:hAnsi="Times New Roman"/>
      <w:b/>
      <w:bCs/>
      <w:kern w:val="2"/>
      <w:sz w:val="21"/>
      <w:szCs w:val="24"/>
    </w:rPr>
  </w:style>
  <w:style w:type="character" w:customStyle="1" w:styleId="47">
    <w:name w:val="批注框文本 Char"/>
    <w:basedOn w:val="26"/>
    <w:link w:val="16"/>
    <w:qFormat/>
    <w:uiPriority w:val="0"/>
    <w:rPr>
      <w:rFonts w:ascii="Times New Roman" w:hAnsi="Times New Roman" w:eastAsia="宋体" w:cs="Times New Roman"/>
      <w:kern w:val="2"/>
      <w:sz w:val="18"/>
      <w:szCs w:val="18"/>
    </w:rPr>
  </w:style>
  <w:style w:type="character" w:customStyle="1" w:styleId="48">
    <w:name w:val="font11"/>
    <w:basedOn w:val="26"/>
    <w:qFormat/>
    <w:uiPriority w:val="0"/>
    <w:rPr>
      <w:rFonts w:hint="eastAsia" w:ascii="宋体" w:hAnsi="宋体" w:eastAsia="宋体" w:cs="宋体"/>
      <w:b/>
      <w:bCs/>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10.xml"/><Relationship Id="rId15" Type="http://schemas.openxmlformats.org/officeDocument/2006/relationships/footer" Target="footer9.xml"/><Relationship Id="rId14" Type="http://schemas.openxmlformats.org/officeDocument/2006/relationships/footer" Target="footer8.xml"/><Relationship Id="rId13" Type="http://schemas.openxmlformats.org/officeDocument/2006/relationships/header" Target="header4.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1F1A24-20F8-4B65-8E07-B3BE021D82D3}">
  <ds:schemaRefs/>
</ds:datastoreItem>
</file>

<file path=docProps/app.xml><?xml version="1.0" encoding="utf-8"?>
<Properties xmlns="http://schemas.openxmlformats.org/officeDocument/2006/extended-properties" xmlns:vt="http://schemas.openxmlformats.org/officeDocument/2006/docPropsVTypes">
  <Template>Normal</Template>
  <Pages>120</Pages>
  <Words>65499</Words>
  <Characters>72181</Characters>
  <Lines>426</Lines>
  <Paragraphs>120</Paragraphs>
  <TotalTime>11</TotalTime>
  <ScaleCrop>false</ScaleCrop>
  <LinksUpToDate>false</LinksUpToDate>
  <CharactersWithSpaces>73705</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2023-04-27T02:37:00Z</dcterms:created>
  <dc:creator>Administrator</dc:creator>
  <cp:lastModifiedBy>Administrator</cp:lastModifiedBy>
  <dcterms:modified xsi:type="dcterms:W3CDTF">2023-07-04T02:27:31Z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ICV">
    <vt:lpwstr>9BDCD766B1C946DCB6B0A13868EC4F34_13</vt:lpwstr>
  </property>
</Properties>
</file>