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b/>
          <w:color w:val="auto"/>
          <w:sz w:val="72"/>
          <w:szCs w:val="72"/>
          <w:highlight w:val="none"/>
        </w:rPr>
      </w:pPr>
      <w:r>
        <w:rPr>
          <w:rFonts w:ascii="宋体"/>
          <w:b/>
          <w:color w:val="auto"/>
          <w:sz w:val="72"/>
          <w:szCs w:val="72"/>
          <w:highlight w:val="none"/>
        </w:rPr>
        <w:t xml:space="preserve">                                                                                                                                                                                                                                                                                                                                                                                                  </w:t>
      </w:r>
    </w:p>
    <w:p>
      <w:pPr>
        <w:spacing w:line="600" w:lineRule="exact"/>
        <w:jc w:val="center"/>
        <w:rPr>
          <w:rFonts w:ascii="宋体"/>
          <w:b/>
          <w:color w:val="auto"/>
          <w:sz w:val="72"/>
          <w:szCs w:val="72"/>
          <w:highlight w:val="none"/>
        </w:rPr>
      </w:pPr>
    </w:p>
    <w:p>
      <w:pPr>
        <w:spacing w:line="600" w:lineRule="exact"/>
        <w:jc w:val="center"/>
        <w:rPr>
          <w:rFonts w:ascii="宋体"/>
          <w:b/>
          <w:color w:val="auto"/>
          <w:sz w:val="72"/>
          <w:szCs w:val="72"/>
          <w:highlight w:val="none"/>
        </w:rPr>
      </w:pPr>
    </w:p>
    <w:p>
      <w:pPr>
        <w:spacing w:line="600" w:lineRule="exact"/>
        <w:jc w:val="center"/>
        <w:rPr>
          <w:rFonts w:ascii="宋体"/>
          <w:b/>
          <w:color w:val="auto"/>
          <w:sz w:val="72"/>
          <w:szCs w:val="72"/>
          <w:highlight w:val="none"/>
        </w:rPr>
      </w:pPr>
    </w:p>
    <w:p>
      <w:pPr>
        <w:spacing w:line="600" w:lineRule="exact"/>
        <w:jc w:val="center"/>
        <w:rPr>
          <w:rFonts w:ascii="宋体"/>
          <w:b/>
          <w:color w:val="auto"/>
          <w:sz w:val="72"/>
          <w:szCs w:val="72"/>
          <w:highlight w:val="none"/>
        </w:rPr>
      </w:pPr>
    </w:p>
    <w:p>
      <w:pPr>
        <w:spacing w:line="600" w:lineRule="exact"/>
        <w:rPr>
          <w:rFonts w:ascii="宋体"/>
          <w:b/>
          <w:color w:val="auto"/>
          <w:sz w:val="72"/>
          <w:szCs w:val="72"/>
          <w:highlight w:val="none"/>
        </w:rPr>
      </w:pPr>
    </w:p>
    <w:p>
      <w:pPr>
        <w:spacing w:beforeLines="100" w:afterLines="50" w:line="600" w:lineRule="exact"/>
        <w:jc w:val="center"/>
        <w:rPr>
          <w:rFonts w:ascii="宋体"/>
          <w:b/>
          <w:color w:val="auto"/>
          <w:sz w:val="72"/>
          <w:szCs w:val="72"/>
          <w:highlight w:val="none"/>
        </w:rPr>
      </w:pPr>
      <w:r>
        <w:rPr>
          <w:rFonts w:hint="eastAsia" w:ascii="宋体" w:hAnsi="宋体"/>
          <w:b/>
          <w:color w:val="auto"/>
          <w:sz w:val="72"/>
          <w:szCs w:val="72"/>
          <w:highlight w:val="none"/>
        </w:rPr>
        <w:t>竞争性谈判文件</w:t>
      </w:r>
    </w:p>
    <w:p>
      <w:pPr>
        <w:spacing w:beforeLines="100" w:afterLines="50" w:line="600" w:lineRule="exact"/>
        <w:jc w:val="center"/>
        <w:rPr>
          <w:rFonts w:ascii="宋体"/>
          <w:b/>
          <w:color w:val="auto"/>
          <w:sz w:val="72"/>
          <w:szCs w:val="72"/>
          <w:highlight w:val="none"/>
        </w:rPr>
      </w:pPr>
    </w:p>
    <w:p>
      <w:pPr>
        <w:spacing w:beforeLines="100" w:afterLines="50" w:line="600" w:lineRule="exact"/>
        <w:jc w:val="center"/>
        <w:rPr>
          <w:rFonts w:ascii="宋体"/>
          <w:b/>
          <w:color w:val="auto"/>
          <w:sz w:val="72"/>
          <w:szCs w:val="72"/>
          <w:highlight w:val="none"/>
        </w:rPr>
      </w:pPr>
    </w:p>
    <w:p>
      <w:pPr>
        <w:spacing w:beforeLines="100" w:afterLines="50" w:line="600" w:lineRule="exact"/>
        <w:rPr>
          <w:rFonts w:ascii="宋体"/>
          <w:b/>
          <w:color w:val="auto"/>
          <w:sz w:val="72"/>
          <w:szCs w:val="72"/>
          <w:highlight w:val="none"/>
        </w:rPr>
      </w:pPr>
    </w:p>
    <w:p>
      <w:pPr>
        <w:spacing w:beforeLines="100" w:afterLines="50" w:line="600" w:lineRule="exact"/>
        <w:rPr>
          <w:rFonts w:ascii="宋体"/>
          <w:b/>
          <w:color w:val="auto"/>
          <w:sz w:val="72"/>
          <w:szCs w:val="7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项目编号：QZZC2020-J1-210055-GXWD</w:t>
      </w:r>
    </w:p>
    <w:p>
      <w:pPr>
        <w:spacing w:line="400" w:lineRule="exact"/>
        <w:ind w:left="2828" w:leftChars="608" w:right="224" w:rightChars="107" w:hanging="1552" w:hangingChars="485"/>
        <w:jc w:val="center"/>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项目名称：疾控中心新址节能冷库设备采购</w:t>
      </w:r>
    </w:p>
    <w:p>
      <w:pPr>
        <w:spacing w:line="400" w:lineRule="exact"/>
        <w:ind w:left="546" w:leftChars="260" w:right="224" w:rightChars="107" w:firstLine="470" w:firstLineChars="147"/>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备案编号：LSZC2020-J1-08602-001</w:t>
      </w:r>
    </w:p>
    <w:p>
      <w:pPr>
        <w:spacing w:line="400" w:lineRule="exact"/>
        <w:ind w:left="2828" w:leftChars="608" w:right="224" w:rightChars="107" w:hanging="1552" w:hangingChars="485"/>
        <w:jc w:val="center"/>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采购单位：灵山县疾病预防控制中心</w:t>
      </w:r>
    </w:p>
    <w:p>
      <w:pPr>
        <w:spacing w:line="400" w:lineRule="exact"/>
        <w:ind w:left="2828" w:leftChars="608" w:right="224" w:rightChars="107" w:hanging="1552" w:hangingChars="485"/>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采购代理机构：广西万盯卯招标咨询有限公司</w:t>
      </w:r>
    </w:p>
    <w:p>
      <w:pPr>
        <w:spacing w:line="400" w:lineRule="exact"/>
        <w:ind w:right="224" w:rightChars="107"/>
        <w:rPr>
          <w:rFonts w:ascii="宋体"/>
          <w:b/>
          <w:color w:val="auto"/>
          <w:sz w:val="32"/>
          <w:szCs w:val="32"/>
          <w:highlight w:val="none"/>
        </w:rPr>
      </w:pPr>
    </w:p>
    <w:p>
      <w:pPr>
        <w:spacing w:line="400" w:lineRule="exact"/>
        <w:jc w:val="center"/>
        <w:rPr>
          <w:rFonts w:ascii="宋体"/>
          <w:b/>
          <w:color w:val="auto"/>
          <w:sz w:val="44"/>
          <w:szCs w:val="44"/>
          <w:highlight w:val="none"/>
        </w:rPr>
      </w:pPr>
    </w:p>
    <w:p>
      <w:pPr>
        <w:spacing w:line="400" w:lineRule="exact"/>
        <w:ind w:right="224" w:rightChars="107" w:firstLine="944" w:firstLineChars="295"/>
        <w:jc w:val="center"/>
        <w:rPr>
          <w:rFonts w:ascii="宋体"/>
          <w:b/>
          <w:color w:val="auto"/>
          <w:sz w:val="32"/>
          <w:szCs w:val="32"/>
          <w:highlight w:val="none"/>
        </w:rPr>
        <w:sectPr>
          <w:headerReference r:id="rId4" w:type="first"/>
          <w:headerReference r:id="rId3" w:type="default"/>
          <w:pgSz w:w="11906" w:h="16838"/>
          <w:pgMar w:top="1418" w:right="1134" w:bottom="1134" w:left="1134" w:header="992" w:footer="992" w:gutter="0"/>
          <w:cols w:space="720" w:num="1"/>
          <w:titlePg/>
          <w:docGrid w:type="linesAndChars" w:linePitch="312" w:charSpace="0"/>
        </w:sectPr>
      </w:pPr>
      <w:r>
        <w:rPr>
          <w:rFonts w:ascii="宋体" w:hAnsi="宋体"/>
          <w:b/>
          <w:color w:val="auto"/>
          <w:sz w:val="32"/>
          <w:szCs w:val="32"/>
          <w:highlight w:val="none"/>
        </w:rPr>
        <w:t>20</w:t>
      </w:r>
      <w:r>
        <w:rPr>
          <w:rFonts w:hint="eastAsia" w:ascii="宋体" w:hAnsi="宋体"/>
          <w:b/>
          <w:color w:val="auto"/>
          <w:sz w:val="32"/>
          <w:szCs w:val="32"/>
          <w:highlight w:val="none"/>
        </w:rPr>
        <w:t>20年8月</w:t>
      </w:r>
    </w:p>
    <w:p>
      <w:pPr>
        <w:spacing w:line="400" w:lineRule="exact"/>
        <w:jc w:val="center"/>
        <w:rPr>
          <w:rFonts w:ascii="宋体" w:hAnsi="宋体"/>
          <w:b/>
          <w:color w:val="auto"/>
          <w:sz w:val="44"/>
          <w:szCs w:val="44"/>
          <w:highlight w:val="none"/>
        </w:rPr>
      </w:pPr>
    </w:p>
    <w:p>
      <w:pPr>
        <w:spacing w:line="400" w:lineRule="exact"/>
        <w:jc w:val="center"/>
        <w:rPr>
          <w:rFonts w:ascii="宋体"/>
          <w:b/>
          <w:color w:val="auto"/>
          <w:sz w:val="44"/>
          <w:szCs w:val="44"/>
          <w:highlight w:val="none"/>
        </w:rPr>
      </w:pPr>
      <w:r>
        <w:rPr>
          <w:rFonts w:hint="eastAsia" w:ascii="宋体" w:hAnsi="宋体"/>
          <w:b/>
          <w:color w:val="auto"/>
          <w:sz w:val="44"/>
          <w:szCs w:val="44"/>
          <w:highlight w:val="none"/>
        </w:rPr>
        <w:t>目</w:t>
      </w:r>
      <w:r>
        <w:rPr>
          <w:rFonts w:ascii="宋体" w:hAnsi="宋体"/>
          <w:b/>
          <w:color w:val="auto"/>
          <w:sz w:val="44"/>
          <w:szCs w:val="44"/>
          <w:highlight w:val="none"/>
        </w:rPr>
        <w:t xml:space="preserve">   </w:t>
      </w:r>
      <w:r>
        <w:rPr>
          <w:rFonts w:hint="eastAsia" w:ascii="宋体" w:hAnsi="宋体"/>
          <w:b/>
          <w:color w:val="auto"/>
          <w:sz w:val="44"/>
          <w:szCs w:val="44"/>
          <w:highlight w:val="none"/>
        </w:rPr>
        <w:t>录</w:t>
      </w:r>
    </w:p>
    <w:p>
      <w:pPr>
        <w:spacing w:line="400" w:lineRule="exact"/>
        <w:jc w:val="center"/>
        <w:rPr>
          <w:rFonts w:ascii="宋体"/>
          <w:b/>
          <w:color w:val="auto"/>
          <w:sz w:val="28"/>
          <w:szCs w:val="28"/>
          <w:highlight w:val="none"/>
        </w:rPr>
      </w:pPr>
    </w:p>
    <w:p>
      <w:pPr>
        <w:spacing w:line="400" w:lineRule="exact"/>
        <w:jc w:val="center"/>
        <w:rPr>
          <w:rFonts w:ascii="宋体"/>
          <w:b/>
          <w:color w:val="auto"/>
          <w:sz w:val="28"/>
          <w:szCs w:val="28"/>
          <w:highlight w:val="none"/>
        </w:rPr>
      </w:pPr>
    </w:p>
    <w:p>
      <w:pPr>
        <w:pStyle w:val="19"/>
        <w:tabs>
          <w:tab w:val="right" w:leader="dot" w:pos="9639"/>
          <w:tab w:val="clear" w:pos="8296"/>
        </w:tabs>
        <w:ind w:left="0" w:leftChars="0"/>
        <w:rPr>
          <w:rFonts w:ascii="宋体"/>
          <w:color w:val="auto"/>
          <w:sz w:val="28"/>
          <w:szCs w:val="28"/>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TOC \o "1-3" \h \z \u</w:instrText>
      </w:r>
      <w:r>
        <w:rPr>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"_Toc496610485" </w:instrText>
      </w:r>
      <w:r>
        <w:rPr>
          <w:color w:val="auto"/>
          <w:highlight w:val="none"/>
        </w:rPr>
        <w:fldChar w:fldCharType="separate"/>
      </w:r>
      <w:r>
        <w:rPr>
          <w:rStyle w:val="29"/>
          <w:rFonts w:hint="eastAsia" w:ascii="宋体" w:hAnsi="宋体"/>
          <w:color w:val="auto"/>
          <w:sz w:val="28"/>
          <w:szCs w:val="28"/>
          <w:highlight w:val="none"/>
        </w:rPr>
        <w:t>第一章谈判公告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_Toc496610485 \h </w:instrText>
      </w:r>
      <w:r>
        <w:rPr>
          <w:rFonts w:ascii="宋体" w:hAnsi="宋体"/>
          <w:color w:val="auto"/>
          <w:sz w:val="28"/>
          <w:szCs w:val="28"/>
          <w:highlight w:val="none"/>
        </w:rPr>
        <w:fldChar w:fldCharType="separate"/>
      </w:r>
      <w:r>
        <w:rPr>
          <w:rFonts w:ascii="宋体" w:hAnsi="宋体"/>
          <w:color w:val="auto"/>
          <w:sz w:val="28"/>
          <w:szCs w:val="28"/>
          <w:highlight w:val="none"/>
        </w:rPr>
        <w:t>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"_Toc496610486" </w:instrText>
      </w:r>
      <w:r>
        <w:rPr>
          <w:color w:val="auto"/>
          <w:highlight w:val="none"/>
        </w:rPr>
        <w:fldChar w:fldCharType="separate"/>
      </w:r>
      <w:r>
        <w:rPr>
          <w:rStyle w:val="29"/>
          <w:rFonts w:hint="eastAsia" w:ascii="宋体" w:hAnsi="宋体"/>
          <w:color w:val="auto"/>
          <w:sz w:val="28"/>
          <w:szCs w:val="28"/>
          <w:highlight w:val="none"/>
        </w:rPr>
        <w:t>第二章供应商须知</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_Toc496610486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"_Toc496610487" </w:instrText>
      </w:r>
      <w:r>
        <w:rPr>
          <w:color w:val="auto"/>
          <w:highlight w:val="none"/>
        </w:rPr>
        <w:fldChar w:fldCharType="separate"/>
      </w:r>
      <w:r>
        <w:rPr>
          <w:rStyle w:val="29"/>
          <w:rFonts w:hint="eastAsia" w:ascii="宋体" w:hAnsi="宋体"/>
          <w:color w:val="auto"/>
          <w:sz w:val="28"/>
          <w:szCs w:val="28"/>
          <w:highlight w:val="none"/>
        </w:rPr>
        <w:t>一、总　则</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_Toc496610487 \h </w:instrText>
      </w:r>
      <w:r>
        <w:rPr>
          <w:rFonts w:ascii="宋体" w:hAnsi="宋体"/>
          <w:color w:val="auto"/>
          <w:sz w:val="28"/>
          <w:szCs w:val="28"/>
          <w:highlight w:val="none"/>
        </w:rPr>
        <w:fldChar w:fldCharType="separate"/>
      </w:r>
      <w:r>
        <w:rPr>
          <w:rFonts w:ascii="宋体" w:hAnsi="宋体"/>
          <w:color w:val="auto"/>
          <w:sz w:val="28"/>
          <w:szCs w:val="28"/>
          <w:highlight w:val="none"/>
        </w:rPr>
        <w:t>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"_Toc496610488" </w:instrText>
      </w:r>
      <w:r>
        <w:rPr>
          <w:color w:val="auto"/>
          <w:highlight w:val="none"/>
        </w:rPr>
        <w:fldChar w:fldCharType="separate"/>
      </w:r>
      <w:r>
        <w:rPr>
          <w:rStyle w:val="29"/>
          <w:rFonts w:hint="eastAsia" w:ascii="宋体" w:hAnsi="宋体"/>
          <w:color w:val="auto"/>
          <w:sz w:val="28"/>
          <w:szCs w:val="28"/>
          <w:highlight w:val="none"/>
        </w:rPr>
        <w:t>二、响应文件的编制</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_Toc496610488 \h </w:instrText>
      </w:r>
      <w:r>
        <w:rPr>
          <w:rFonts w:ascii="宋体" w:hAnsi="宋体"/>
          <w:color w:val="auto"/>
          <w:sz w:val="28"/>
          <w:szCs w:val="28"/>
          <w:highlight w:val="none"/>
        </w:rPr>
        <w:fldChar w:fldCharType="separate"/>
      </w:r>
      <w:r>
        <w:rPr>
          <w:rFonts w:ascii="宋体" w:hAnsi="宋体"/>
          <w:color w:val="auto"/>
          <w:sz w:val="28"/>
          <w:szCs w:val="28"/>
          <w:highlight w:val="none"/>
        </w:rPr>
        <w:t>10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"_Toc496610489" </w:instrText>
      </w:r>
      <w:r>
        <w:rPr>
          <w:color w:val="auto"/>
          <w:highlight w:val="none"/>
        </w:rPr>
        <w:fldChar w:fldCharType="separate"/>
      </w:r>
      <w:r>
        <w:rPr>
          <w:rStyle w:val="29"/>
          <w:rFonts w:hint="eastAsia" w:ascii="宋体" w:hAnsi="宋体"/>
          <w:color w:val="auto"/>
          <w:sz w:val="28"/>
          <w:szCs w:val="28"/>
          <w:highlight w:val="none"/>
        </w:rPr>
        <w:t>三、谈判报价要求</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_Toc496610489 \h </w:instrText>
      </w:r>
      <w:r>
        <w:rPr>
          <w:rFonts w:ascii="宋体" w:hAnsi="宋体"/>
          <w:color w:val="auto"/>
          <w:sz w:val="28"/>
          <w:szCs w:val="28"/>
          <w:highlight w:val="none"/>
        </w:rPr>
        <w:fldChar w:fldCharType="separate"/>
      </w:r>
      <w:r>
        <w:rPr>
          <w:rFonts w:ascii="宋体" w:hAnsi="宋体"/>
          <w:color w:val="auto"/>
          <w:sz w:val="28"/>
          <w:szCs w:val="28"/>
          <w:highlight w:val="none"/>
        </w:rPr>
        <w:t>10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"_Toc496610490" </w:instrText>
      </w:r>
      <w:r>
        <w:rPr>
          <w:color w:val="auto"/>
          <w:highlight w:val="none"/>
        </w:rPr>
        <w:fldChar w:fldCharType="separate"/>
      </w:r>
      <w:r>
        <w:rPr>
          <w:rStyle w:val="29"/>
          <w:rFonts w:hint="eastAsia" w:ascii="宋体" w:hAnsi="宋体"/>
          <w:color w:val="auto"/>
          <w:sz w:val="28"/>
          <w:szCs w:val="28"/>
          <w:highlight w:val="none"/>
        </w:rPr>
        <w:t>四、响应文件的份数、封装和递交</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_Toc496610490 \h </w:instrText>
      </w:r>
      <w:r>
        <w:rPr>
          <w:rFonts w:ascii="宋体" w:hAnsi="宋体"/>
          <w:color w:val="auto"/>
          <w:sz w:val="28"/>
          <w:szCs w:val="28"/>
          <w:highlight w:val="none"/>
        </w:rPr>
        <w:fldChar w:fldCharType="separate"/>
      </w:r>
      <w:r>
        <w:rPr>
          <w:rFonts w:ascii="宋体" w:hAnsi="宋体"/>
          <w:color w:val="auto"/>
          <w:sz w:val="28"/>
          <w:szCs w:val="28"/>
          <w:highlight w:val="none"/>
        </w:rPr>
        <w:t>10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"_Toc496610491" </w:instrText>
      </w:r>
      <w:r>
        <w:rPr>
          <w:color w:val="auto"/>
          <w:highlight w:val="none"/>
        </w:rPr>
        <w:fldChar w:fldCharType="separate"/>
      </w:r>
      <w:r>
        <w:rPr>
          <w:rStyle w:val="29"/>
          <w:rFonts w:hint="eastAsia" w:ascii="宋体" w:hAnsi="宋体"/>
          <w:color w:val="auto"/>
          <w:sz w:val="28"/>
          <w:szCs w:val="28"/>
          <w:highlight w:val="none"/>
        </w:rPr>
        <w:t>五、谈判小组成立</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_Toc496610491 \h </w:instrText>
      </w:r>
      <w:r>
        <w:rPr>
          <w:rFonts w:ascii="宋体" w:hAnsi="宋体"/>
          <w:color w:val="auto"/>
          <w:sz w:val="28"/>
          <w:szCs w:val="28"/>
          <w:highlight w:val="none"/>
        </w:rPr>
        <w:fldChar w:fldCharType="separate"/>
      </w:r>
      <w:r>
        <w:rPr>
          <w:rFonts w:ascii="宋体" w:hAnsi="宋体"/>
          <w:color w:val="auto"/>
          <w:sz w:val="28"/>
          <w:szCs w:val="28"/>
          <w:highlight w:val="none"/>
        </w:rPr>
        <w:t>11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"_Toc496610492" </w:instrText>
      </w:r>
      <w:r>
        <w:rPr>
          <w:color w:val="auto"/>
          <w:highlight w:val="none"/>
        </w:rPr>
        <w:fldChar w:fldCharType="separate"/>
      </w:r>
      <w:r>
        <w:rPr>
          <w:rStyle w:val="29"/>
          <w:rFonts w:hint="eastAsia" w:ascii="宋体" w:hAnsi="宋体"/>
          <w:color w:val="auto"/>
          <w:sz w:val="28"/>
          <w:szCs w:val="28"/>
          <w:highlight w:val="none"/>
        </w:rPr>
        <w:t>六、响应文件评审程序</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_Toc496610492 \h </w:instrText>
      </w:r>
      <w:r>
        <w:rPr>
          <w:rFonts w:ascii="宋体" w:hAnsi="宋体"/>
          <w:color w:val="auto"/>
          <w:sz w:val="28"/>
          <w:szCs w:val="28"/>
          <w:highlight w:val="none"/>
        </w:rPr>
        <w:fldChar w:fldCharType="separate"/>
      </w:r>
      <w:r>
        <w:rPr>
          <w:rFonts w:ascii="宋体" w:hAnsi="宋体"/>
          <w:color w:val="auto"/>
          <w:sz w:val="28"/>
          <w:szCs w:val="28"/>
          <w:highlight w:val="none"/>
        </w:rPr>
        <w:t>11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"_Toc496610493" </w:instrText>
      </w:r>
      <w:r>
        <w:rPr>
          <w:color w:val="auto"/>
          <w:highlight w:val="none"/>
        </w:rPr>
        <w:fldChar w:fldCharType="separate"/>
      </w:r>
      <w:r>
        <w:rPr>
          <w:rStyle w:val="29"/>
          <w:rFonts w:hint="eastAsia" w:ascii="宋体" w:hAnsi="宋体"/>
          <w:color w:val="auto"/>
          <w:sz w:val="28"/>
          <w:szCs w:val="28"/>
          <w:highlight w:val="none"/>
        </w:rPr>
        <w:t>七、确定成交供应商办法及结果公告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_Toc496610493 \h </w:instrText>
      </w:r>
      <w:r>
        <w:rPr>
          <w:rFonts w:ascii="宋体" w:hAnsi="宋体"/>
          <w:color w:val="auto"/>
          <w:sz w:val="28"/>
          <w:szCs w:val="28"/>
          <w:highlight w:val="none"/>
        </w:rPr>
        <w:fldChar w:fldCharType="separate"/>
      </w:r>
      <w:r>
        <w:rPr>
          <w:rFonts w:ascii="宋体" w:hAnsi="宋体"/>
          <w:color w:val="auto"/>
          <w:sz w:val="28"/>
          <w:szCs w:val="28"/>
          <w:highlight w:val="none"/>
        </w:rPr>
        <w:t>14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"_Toc496610494" </w:instrText>
      </w:r>
      <w:r>
        <w:rPr>
          <w:color w:val="auto"/>
          <w:highlight w:val="none"/>
        </w:rPr>
        <w:fldChar w:fldCharType="separate"/>
      </w:r>
      <w:r>
        <w:rPr>
          <w:rStyle w:val="29"/>
          <w:rFonts w:hint="eastAsia" w:ascii="宋体" w:hAnsi="宋体"/>
          <w:color w:val="auto"/>
          <w:sz w:val="28"/>
          <w:szCs w:val="28"/>
          <w:highlight w:val="none"/>
        </w:rPr>
        <w:t>八、履约保证金</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_Toc496610494 \h </w:instrText>
      </w:r>
      <w:r>
        <w:rPr>
          <w:rFonts w:ascii="宋体" w:hAnsi="宋体"/>
          <w:color w:val="auto"/>
          <w:sz w:val="28"/>
          <w:szCs w:val="28"/>
          <w:highlight w:val="none"/>
        </w:rPr>
        <w:fldChar w:fldCharType="separate"/>
      </w:r>
      <w:r>
        <w:rPr>
          <w:rFonts w:ascii="宋体" w:hAnsi="宋体"/>
          <w:color w:val="auto"/>
          <w:sz w:val="28"/>
          <w:szCs w:val="28"/>
          <w:highlight w:val="none"/>
        </w:rPr>
        <w:t>14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"_Toc496610495" </w:instrText>
      </w:r>
      <w:r>
        <w:rPr>
          <w:color w:val="auto"/>
          <w:highlight w:val="none"/>
        </w:rPr>
        <w:fldChar w:fldCharType="separate"/>
      </w:r>
      <w:r>
        <w:rPr>
          <w:rStyle w:val="29"/>
          <w:rFonts w:hint="eastAsia" w:ascii="宋体" w:hAnsi="宋体"/>
          <w:color w:val="auto"/>
          <w:sz w:val="28"/>
          <w:szCs w:val="28"/>
          <w:highlight w:val="none"/>
        </w:rPr>
        <w:t>九、签订合同</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_Toc496610495 \h </w:instrText>
      </w:r>
      <w:r>
        <w:rPr>
          <w:rFonts w:ascii="宋体" w:hAnsi="宋体"/>
          <w:color w:val="auto"/>
          <w:sz w:val="28"/>
          <w:szCs w:val="28"/>
          <w:highlight w:val="none"/>
        </w:rPr>
        <w:fldChar w:fldCharType="separate"/>
      </w:r>
      <w:r>
        <w:rPr>
          <w:rFonts w:ascii="宋体" w:hAnsi="宋体"/>
          <w:color w:val="auto"/>
          <w:sz w:val="28"/>
          <w:szCs w:val="28"/>
          <w:highlight w:val="none"/>
        </w:rPr>
        <w:t>14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"_Toc496610496" </w:instrText>
      </w:r>
      <w:r>
        <w:rPr>
          <w:color w:val="auto"/>
          <w:highlight w:val="none"/>
        </w:rPr>
        <w:fldChar w:fldCharType="separate"/>
      </w:r>
      <w:r>
        <w:rPr>
          <w:rStyle w:val="29"/>
          <w:rFonts w:hint="eastAsia" w:ascii="宋体" w:hAnsi="宋体"/>
          <w:color w:val="auto"/>
          <w:sz w:val="28"/>
          <w:szCs w:val="28"/>
          <w:highlight w:val="none"/>
        </w:rPr>
        <w:t>十、政府采购合同公告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_Toc496610496 \h </w:instrText>
      </w:r>
      <w:r>
        <w:rPr>
          <w:rFonts w:ascii="宋体" w:hAnsi="宋体"/>
          <w:color w:val="auto"/>
          <w:sz w:val="28"/>
          <w:szCs w:val="28"/>
          <w:highlight w:val="none"/>
        </w:rPr>
        <w:fldChar w:fldCharType="separate"/>
      </w:r>
      <w:r>
        <w:rPr>
          <w:rFonts w:ascii="宋体" w:hAnsi="宋体"/>
          <w:color w:val="auto"/>
          <w:sz w:val="28"/>
          <w:szCs w:val="28"/>
          <w:highlight w:val="none"/>
        </w:rPr>
        <w:t>14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"_Toc496610497" </w:instrText>
      </w:r>
      <w:r>
        <w:rPr>
          <w:color w:val="auto"/>
          <w:highlight w:val="none"/>
        </w:rPr>
        <w:fldChar w:fldCharType="separate"/>
      </w:r>
      <w:r>
        <w:rPr>
          <w:rStyle w:val="29"/>
          <w:rFonts w:hint="eastAsia" w:ascii="宋体" w:hAnsi="宋体"/>
          <w:color w:val="auto"/>
          <w:sz w:val="28"/>
          <w:szCs w:val="28"/>
          <w:highlight w:val="none"/>
        </w:rPr>
        <w:t>十一、适用法律</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_Toc496610497 \h </w:instrText>
      </w:r>
      <w:r>
        <w:rPr>
          <w:rFonts w:ascii="宋体" w:hAnsi="宋体"/>
          <w:color w:val="auto"/>
          <w:sz w:val="28"/>
          <w:szCs w:val="28"/>
          <w:highlight w:val="none"/>
        </w:rPr>
        <w:fldChar w:fldCharType="separate"/>
      </w:r>
      <w:r>
        <w:rPr>
          <w:rFonts w:ascii="宋体" w:hAnsi="宋体"/>
          <w:color w:val="auto"/>
          <w:sz w:val="28"/>
          <w:szCs w:val="28"/>
          <w:highlight w:val="none"/>
        </w:rPr>
        <w:t>14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"_Toc496610498" </w:instrText>
      </w:r>
      <w:r>
        <w:rPr>
          <w:color w:val="auto"/>
          <w:highlight w:val="none"/>
        </w:rPr>
        <w:fldChar w:fldCharType="separate"/>
      </w:r>
      <w:r>
        <w:rPr>
          <w:rStyle w:val="29"/>
          <w:rFonts w:hint="eastAsia" w:ascii="宋体" w:hAnsi="宋体"/>
          <w:color w:val="auto"/>
          <w:sz w:val="28"/>
          <w:szCs w:val="28"/>
          <w:highlight w:val="none"/>
        </w:rPr>
        <w:t>十二、其它内容</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_Toc496610498 \h </w:instrText>
      </w:r>
      <w:r>
        <w:rPr>
          <w:rFonts w:ascii="宋体" w:hAnsi="宋体"/>
          <w:color w:val="auto"/>
          <w:sz w:val="28"/>
          <w:szCs w:val="28"/>
          <w:highlight w:val="none"/>
        </w:rPr>
        <w:fldChar w:fldCharType="separate"/>
      </w:r>
      <w:r>
        <w:rPr>
          <w:rFonts w:ascii="宋体" w:hAnsi="宋体"/>
          <w:color w:val="auto"/>
          <w:sz w:val="28"/>
          <w:szCs w:val="28"/>
          <w:highlight w:val="none"/>
        </w:rPr>
        <w:t>15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"_Toc496610499" </w:instrText>
      </w:r>
      <w:r>
        <w:rPr>
          <w:color w:val="auto"/>
          <w:highlight w:val="none"/>
        </w:rPr>
        <w:fldChar w:fldCharType="separate"/>
      </w:r>
      <w:r>
        <w:rPr>
          <w:rStyle w:val="29"/>
          <w:rFonts w:hint="eastAsia" w:ascii="宋体" w:hAnsi="宋体"/>
          <w:color w:val="auto"/>
          <w:sz w:val="28"/>
          <w:szCs w:val="28"/>
          <w:highlight w:val="none"/>
        </w:rPr>
        <w:t>第三章项目需求</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_Toc496610499 \h </w:instrText>
      </w:r>
      <w:r>
        <w:rPr>
          <w:rFonts w:ascii="宋体" w:hAnsi="宋体"/>
          <w:color w:val="auto"/>
          <w:sz w:val="28"/>
          <w:szCs w:val="28"/>
          <w:highlight w:val="none"/>
        </w:rPr>
        <w:fldChar w:fldCharType="separate"/>
      </w:r>
      <w:r>
        <w:rPr>
          <w:rFonts w:ascii="宋体" w:hAnsi="宋体"/>
          <w:color w:val="auto"/>
          <w:sz w:val="28"/>
          <w:szCs w:val="28"/>
          <w:highlight w:val="none"/>
        </w:rPr>
        <w:t>18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"_Toc496610500" </w:instrText>
      </w:r>
      <w:r>
        <w:rPr>
          <w:color w:val="auto"/>
          <w:highlight w:val="none"/>
        </w:rPr>
        <w:fldChar w:fldCharType="separate"/>
      </w:r>
      <w:r>
        <w:rPr>
          <w:rStyle w:val="29"/>
          <w:rFonts w:hint="eastAsia" w:ascii="宋体" w:hAnsi="宋体"/>
          <w:color w:val="auto"/>
          <w:sz w:val="28"/>
          <w:szCs w:val="28"/>
          <w:highlight w:val="none"/>
        </w:rPr>
        <w:t>第四章响应文件格式</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_Toc496610500 \h </w:instrText>
      </w:r>
      <w:r>
        <w:rPr>
          <w:rFonts w:ascii="宋体" w:hAnsi="宋体"/>
          <w:color w:val="auto"/>
          <w:sz w:val="28"/>
          <w:szCs w:val="28"/>
          <w:highlight w:val="none"/>
        </w:rPr>
        <w:fldChar w:fldCharType="separate"/>
      </w:r>
      <w:r>
        <w:rPr>
          <w:rFonts w:ascii="宋体" w:hAnsi="宋体"/>
          <w:color w:val="auto"/>
          <w:sz w:val="28"/>
          <w:szCs w:val="28"/>
          <w:highlight w:val="none"/>
        </w:rPr>
        <w:t>23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"_Toc496610501" </w:instrText>
      </w:r>
      <w:r>
        <w:rPr>
          <w:color w:val="auto"/>
          <w:highlight w:val="none"/>
        </w:rPr>
        <w:fldChar w:fldCharType="separate"/>
      </w:r>
      <w:r>
        <w:rPr>
          <w:rStyle w:val="29"/>
          <w:rFonts w:hint="eastAsia" w:ascii="宋体" w:hAnsi="宋体"/>
          <w:color w:val="auto"/>
          <w:sz w:val="28"/>
          <w:szCs w:val="28"/>
          <w:highlight w:val="none"/>
        </w:rPr>
        <w:t>第五章合同主要条款</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_Toc496610501 \h </w:instrText>
      </w:r>
      <w:r>
        <w:rPr>
          <w:rFonts w:ascii="宋体" w:hAnsi="宋体"/>
          <w:color w:val="auto"/>
          <w:sz w:val="28"/>
          <w:szCs w:val="28"/>
          <w:highlight w:val="none"/>
        </w:rPr>
        <w:fldChar w:fldCharType="separate"/>
      </w:r>
      <w:r>
        <w:rPr>
          <w:rFonts w:ascii="宋体" w:hAnsi="宋体"/>
          <w:color w:val="auto"/>
          <w:sz w:val="28"/>
          <w:szCs w:val="28"/>
          <w:highlight w:val="none"/>
        </w:rPr>
        <w:t>40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spacing w:line="360" w:lineRule="auto"/>
        <w:ind w:left="391" w:hanging="389" w:hangingChars="139"/>
        <w:jc w:val="left"/>
        <w:rPr>
          <w:rFonts w:ascii="宋体"/>
          <w:b/>
          <w:color w:val="auto"/>
          <w:sz w:val="30"/>
          <w:szCs w:val="30"/>
          <w:highlight w:val="none"/>
        </w:rPr>
      </w:pPr>
      <w:r>
        <w:rPr>
          <w:rFonts w:ascii="宋体" w:hAnsi="宋体"/>
          <w:b/>
          <w:color w:val="auto"/>
          <w:sz w:val="28"/>
          <w:szCs w:val="28"/>
          <w:highlight w:val="none"/>
        </w:rPr>
        <w:fldChar w:fldCharType="end"/>
      </w:r>
    </w:p>
    <w:p>
      <w:pPr>
        <w:spacing w:line="400" w:lineRule="exact"/>
        <w:jc w:val="left"/>
        <w:rPr>
          <w:rFonts w:ascii="宋体"/>
          <w:b/>
          <w:color w:val="auto"/>
          <w:sz w:val="32"/>
          <w:szCs w:val="32"/>
          <w:highlight w:val="none"/>
        </w:rPr>
      </w:pPr>
    </w:p>
    <w:p>
      <w:pPr>
        <w:spacing w:line="400" w:lineRule="exact"/>
        <w:jc w:val="center"/>
        <w:rPr>
          <w:rFonts w:ascii="宋体"/>
          <w:b/>
          <w:color w:val="auto"/>
          <w:sz w:val="32"/>
          <w:szCs w:val="32"/>
          <w:highlight w:val="none"/>
        </w:rPr>
      </w:pPr>
    </w:p>
    <w:p>
      <w:pPr>
        <w:spacing w:line="400" w:lineRule="exact"/>
        <w:jc w:val="center"/>
        <w:rPr>
          <w:rFonts w:ascii="宋体"/>
          <w:b/>
          <w:color w:val="auto"/>
          <w:sz w:val="32"/>
          <w:szCs w:val="32"/>
          <w:highlight w:val="none"/>
        </w:rPr>
      </w:pPr>
    </w:p>
    <w:p>
      <w:pPr>
        <w:pStyle w:val="4"/>
        <w:jc w:val="center"/>
        <w:rPr>
          <w:color w:val="auto"/>
          <w:highlight w:val="none"/>
        </w:rPr>
      </w:pPr>
      <w:bookmarkStart w:id="0" w:name="_Toc496610485"/>
      <w:r>
        <w:rPr>
          <w:rFonts w:hint="eastAsia"/>
          <w:color w:val="auto"/>
          <w:highlight w:val="none"/>
        </w:rPr>
        <w:t>第一章谈判公告</w:t>
      </w:r>
      <w:bookmarkEnd w:id="0"/>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4" w:type="dxa"/>
          </w:tcPr>
          <w:p>
            <w:pPr>
              <w:snapToGrid w:val="0"/>
              <w:spacing w:line="400" w:lineRule="exact"/>
              <w:rPr>
                <w:rFonts w:ascii="宋体" w:hAnsi="宋体" w:cs="宋体"/>
                <w:color w:val="auto"/>
                <w:highlight w:val="none"/>
              </w:rPr>
            </w:pPr>
            <w:bookmarkStart w:id="1" w:name="OLE_LINK1"/>
            <w:r>
              <w:rPr>
                <w:rFonts w:hint="eastAsia" w:ascii="宋体" w:hAnsi="宋体" w:cs="宋体"/>
                <w:color w:val="auto"/>
                <w:highlight w:val="none"/>
              </w:rPr>
              <w:t>项目概况：</w:t>
            </w:r>
          </w:p>
          <w:p>
            <w:pPr>
              <w:pStyle w:val="67"/>
              <w:spacing w:line="400" w:lineRule="exact"/>
              <w:ind w:firstLine="420"/>
              <w:rPr>
                <w:rFonts w:ascii="宋体" w:hAnsi="宋体" w:cs="宋体"/>
                <w:color w:val="auto"/>
                <w:highlight w:val="none"/>
                <w:lang w:val="en-US"/>
              </w:rPr>
            </w:pPr>
            <w:r>
              <w:rPr>
                <w:rFonts w:hint="eastAsia" w:ascii="宋体" w:hAnsi="宋体" w:cs="宋体"/>
                <w:bCs/>
                <w:color w:val="auto"/>
                <w:kern w:val="0"/>
                <w:szCs w:val="21"/>
                <w:highlight w:val="none"/>
                <w:lang w:val="en-US"/>
              </w:rPr>
              <w:t>疾控中心新址节能冷库设备采购项目</w:t>
            </w:r>
            <w:r>
              <w:rPr>
                <w:rFonts w:hint="eastAsia" w:ascii="宋体" w:hAnsi="宋体" w:cs="宋体"/>
                <w:bCs/>
                <w:color w:val="auto"/>
                <w:kern w:val="0"/>
                <w:szCs w:val="21"/>
                <w:highlight w:val="none"/>
              </w:rPr>
              <w:t>（项目编号</w:t>
            </w:r>
            <w:r>
              <w:rPr>
                <w:rFonts w:hint="eastAsia" w:ascii="宋体" w:hAnsi="宋体" w:cs="宋体"/>
                <w:bCs/>
                <w:color w:val="auto"/>
                <w:kern w:val="0"/>
                <w:szCs w:val="21"/>
                <w:highlight w:val="none"/>
              </w:rPr>
              <w:t>：QZZC2020-J1-210055-GXWD</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rPr>
              <w:t>的潜在供应商应在</w:t>
            </w:r>
            <w:r>
              <w:rPr>
                <w:rFonts w:ascii="宋体" w:hAnsi="宋体" w:cs="宋体"/>
                <w:bCs/>
                <w:color w:val="auto"/>
                <w:kern w:val="0"/>
                <w:szCs w:val="21"/>
                <w:highlight w:val="none"/>
                <w:u w:val="single"/>
                <w:lang w:val="en-US"/>
              </w:rPr>
              <w:t>广西万盯卯招标咨询有限公司</w:t>
            </w:r>
            <w:r>
              <w:rPr>
                <w:rFonts w:hint="eastAsia" w:ascii="宋体" w:hAnsi="宋体" w:cs="宋体"/>
                <w:bCs/>
                <w:color w:val="auto"/>
                <w:kern w:val="0"/>
                <w:szCs w:val="21"/>
                <w:highlight w:val="none"/>
                <w:u w:val="single"/>
                <w:lang w:val="en-US"/>
              </w:rPr>
              <w:t>（</w:t>
            </w:r>
            <w:r>
              <w:rPr>
                <w:rFonts w:ascii="宋体" w:hAnsi="宋体" w:cs="宋体"/>
                <w:bCs/>
                <w:color w:val="auto"/>
                <w:kern w:val="0"/>
                <w:szCs w:val="21"/>
                <w:highlight w:val="none"/>
                <w:u w:val="single"/>
                <w:lang w:val="en-US"/>
              </w:rPr>
              <w:t>南宁市仙葫大道西184号B区2号楼</w:t>
            </w:r>
            <w:r>
              <w:rPr>
                <w:rFonts w:hint="eastAsia" w:ascii="宋体" w:hAnsi="宋体" w:cs="宋体"/>
                <w:bCs/>
                <w:color w:val="auto"/>
                <w:kern w:val="0"/>
                <w:szCs w:val="21"/>
                <w:highlight w:val="none"/>
                <w:u w:val="single"/>
                <w:lang w:val="en-US"/>
              </w:rPr>
              <w:t>）</w:t>
            </w:r>
            <w:r>
              <w:rPr>
                <w:rFonts w:hint="eastAsia" w:ascii="宋体" w:hAnsi="宋体" w:cs="宋体"/>
                <w:bCs/>
                <w:color w:val="auto"/>
                <w:kern w:val="0"/>
                <w:szCs w:val="21"/>
                <w:highlight w:val="none"/>
                <w:lang w:val="en-US"/>
              </w:rPr>
              <w:t>获取招标文件</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并于2020年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0 分（北京时间）前提交响应文件。</w:t>
            </w:r>
          </w:p>
        </w:tc>
      </w:tr>
    </w:tbl>
    <w:p>
      <w:pPr>
        <w:widowControl/>
        <w:spacing w:line="380" w:lineRule="atLeast"/>
        <w:rPr>
          <w:rFonts w:ascii="宋体" w:hAnsi="宋体"/>
          <w:b/>
          <w:bCs/>
          <w:color w:val="auto"/>
          <w:kern w:val="0"/>
          <w:szCs w:val="21"/>
          <w:highlight w:val="none"/>
        </w:rPr>
      </w:pPr>
      <w:r>
        <w:rPr>
          <w:rFonts w:hint="eastAsia" w:ascii="宋体" w:hAnsi="宋体"/>
          <w:b/>
          <w:bCs/>
          <w:color w:val="auto"/>
          <w:kern w:val="0"/>
          <w:szCs w:val="21"/>
          <w:highlight w:val="none"/>
        </w:rPr>
        <w:t>一、项目基本情况</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1、项目编号：</w:t>
      </w:r>
      <w:r>
        <w:rPr>
          <w:rFonts w:hint="eastAsia" w:ascii="宋体" w:hAnsi="宋体" w:cs="宋体"/>
          <w:color w:val="auto"/>
          <w:kern w:val="0"/>
          <w:szCs w:val="21"/>
          <w:highlight w:val="none"/>
        </w:rPr>
        <w:t xml:space="preserve"> QZZC2020-J1-210055-GXWD</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2、计划编号：LSZC2020-J1-08602-001</w:t>
      </w:r>
    </w:p>
    <w:p>
      <w:pPr>
        <w:snapToGrid w:val="0"/>
        <w:spacing w:line="400" w:lineRule="exact"/>
        <w:ind w:firstLine="420" w:firstLineChars="200"/>
        <w:rPr>
          <w:rFonts w:ascii="宋体" w:hAnsi="宋体" w:cs="宋体"/>
          <w:color w:val="auto"/>
          <w:kern w:val="48"/>
          <w:szCs w:val="21"/>
          <w:highlight w:val="none"/>
        </w:rPr>
      </w:pPr>
      <w:r>
        <w:rPr>
          <w:rFonts w:hint="eastAsia" w:ascii="宋体" w:hAnsi="宋体" w:cs="宋体"/>
          <w:color w:val="auto"/>
          <w:kern w:val="0"/>
          <w:szCs w:val="21"/>
          <w:highlight w:val="none"/>
        </w:rPr>
        <w:t>3、项目名称：</w:t>
      </w:r>
      <w:r>
        <w:rPr>
          <w:rFonts w:hint="eastAsia" w:ascii="宋体" w:hAnsi="宋体" w:cs="宋体"/>
          <w:color w:val="auto"/>
          <w:kern w:val="48"/>
          <w:szCs w:val="21"/>
          <w:highlight w:val="none"/>
        </w:rPr>
        <w:t>疾控中心新址节能冷库设备采购</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4、采购方式：竞争性谈判</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5、预算金额：人民币（大写</w:t>
      </w:r>
      <w:r>
        <w:rPr>
          <w:rFonts w:hint="eastAsia" w:ascii="宋体" w:hAnsi="宋体" w:cs="宋体"/>
          <w:color w:val="auto"/>
          <w:kern w:val="0"/>
          <w:szCs w:val="21"/>
          <w:highlight w:val="none"/>
        </w:rPr>
        <w:t>）</w:t>
      </w: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 552721 \* CHINESENUM2</w:instrText>
      </w:r>
      <w:r>
        <w:rPr>
          <w:rFonts w:ascii="宋体" w:hAnsi="宋体" w:cs="宋体"/>
          <w:color w:val="auto"/>
          <w:kern w:val="0"/>
          <w:szCs w:val="21"/>
          <w:highlight w:val="none"/>
        </w:rPr>
        <w:instrText xml:space="preserve"> </w:instrText>
      </w:r>
      <w:r>
        <w:rPr>
          <w:rFonts w:ascii="宋体" w:hAnsi="宋体" w:cs="宋体"/>
          <w:color w:val="auto"/>
          <w:kern w:val="0"/>
          <w:szCs w:val="21"/>
          <w:highlight w:val="none"/>
        </w:rPr>
        <w:fldChar w:fldCharType="separate"/>
      </w:r>
      <w:r>
        <w:rPr>
          <w:rFonts w:hint="eastAsia" w:ascii="宋体" w:hAnsi="宋体" w:cs="宋体"/>
          <w:color w:val="auto"/>
          <w:kern w:val="0"/>
          <w:szCs w:val="21"/>
          <w:highlight w:val="none"/>
        </w:rPr>
        <w:t>伍拾伍万贰仟柒佰贰拾壹</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rPr>
        <w:t>元整（￥552721.00）</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6、最高限价：与预算金额一致</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7、采购需求：（包括但不限于标的的名称、数量、简要技术需求或服务要求等）</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812"/>
        <w:gridCol w:w="6421"/>
        <w:gridCol w:w="71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标项</w:t>
            </w:r>
          </w:p>
        </w:tc>
        <w:tc>
          <w:tcPr>
            <w:tcW w:w="812"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6421"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标的内容</w:t>
            </w:r>
          </w:p>
        </w:tc>
        <w:tc>
          <w:tcPr>
            <w:tcW w:w="712"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787"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无</w:t>
            </w:r>
          </w:p>
        </w:tc>
        <w:tc>
          <w:tcPr>
            <w:tcW w:w="812"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421" w:type="dxa"/>
            <w:vAlign w:val="center"/>
          </w:tcPr>
          <w:p>
            <w:pPr>
              <w:snapToGrid w:val="0"/>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节能冷库设备，</w:t>
            </w:r>
            <w:r>
              <w:rPr>
                <w:rFonts w:hint="eastAsia" w:ascii="宋体" w:hAnsi="宋体" w:cs="宋体"/>
                <w:color w:val="auto"/>
                <w:kern w:val="0"/>
                <w:szCs w:val="21"/>
                <w:highlight w:val="none"/>
              </w:rPr>
              <w:t>如需进一步了解详细内容，详见采购文件。</w:t>
            </w:r>
          </w:p>
        </w:tc>
        <w:tc>
          <w:tcPr>
            <w:tcW w:w="712"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87"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bl>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8、合同履行期限：自合同签订之日起20日内</w:t>
      </w:r>
      <w:r>
        <w:rPr>
          <w:rFonts w:hint="eastAsia" w:ascii="宋体" w:hAnsi="宋体" w:cs="宋体"/>
          <w:color w:val="auto"/>
          <w:highlight w:val="none"/>
        </w:rPr>
        <w:t>。</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9、本项目不接受联合体投标，</w:t>
      </w:r>
      <w:r>
        <w:rPr>
          <w:rFonts w:hint="eastAsia" w:ascii="宋体" w:hAnsi="宋体" w:cs="宋体"/>
          <w:bCs/>
          <w:color w:val="auto"/>
          <w:szCs w:val="21"/>
          <w:highlight w:val="none"/>
        </w:rPr>
        <w:t>且不得转包、分包。</w:t>
      </w:r>
    </w:p>
    <w:p>
      <w:pPr>
        <w:widowControl/>
        <w:spacing w:line="380" w:lineRule="atLeast"/>
        <w:rPr>
          <w:rFonts w:ascii="宋体" w:hAnsi="宋体"/>
          <w:b/>
          <w:bCs/>
          <w:color w:val="auto"/>
          <w:kern w:val="0"/>
          <w:szCs w:val="21"/>
          <w:highlight w:val="none"/>
        </w:rPr>
      </w:pPr>
      <w:r>
        <w:rPr>
          <w:rFonts w:hint="eastAsia" w:ascii="宋体" w:hAnsi="宋体"/>
          <w:b/>
          <w:bCs/>
          <w:color w:val="auto"/>
          <w:kern w:val="0"/>
          <w:szCs w:val="21"/>
          <w:highlight w:val="none"/>
        </w:rPr>
        <w:t>二、申请人的资格要求</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满足《中华人民共和国政府采购法》第二十二条规定，</w:t>
      </w:r>
      <w:r>
        <w:rPr>
          <w:rFonts w:ascii="宋体" w:hAnsi="宋体" w:cs="宋体"/>
          <w:color w:val="auto"/>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kern w:val="0"/>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①政府采购促进中小企业发展；②政府采购促进残疾人就业政策；③政府采购支持监狱企业发展；④节能产品、环境标志产品依据品目清单和认证证书实施政府优先采购和强制采购（财库〔2019〕9号）。</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3、本项目的特定资格要求：</w:t>
      </w:r>
      <w:r>
        <w:rPr>
          <w:rFonts w:hint="eastAsia"/>
          <w:color w:val="auto"/>
          <w:spacing w:val="6"/>
          <w:kern w:val="48"/>
          <w:highlight w:val="none"/>
        </w:rPr>
        <w:t>具有建筑机电安装工程专业承包叁级或以上资质</w:t>
      </w:r>
      <w:r>
        <w:rPr>
          <w:rFonts w:hint="eastAsia" w:ascii="宋体" w:hAnsi="宋体" w:cs="宋体"/>
          <w:color w:val="auto"/>
          <w:kern w:val="0"/>
          <w:szCs w:val="21"/>
          <w:highlight w:val="none"/>
        </w:rPr>
        <w:t>。</w:t>
      </w:r>
    </w:p>
    <w:p>
      <w:pPr>
        <w:widowControl/>
        <w:spacing w:line="380" w:lineRule="atLeast"/>
        <w:rPr>
          <w:rFonts w:ascii="宋体" w:hAnsi="宋体"/>
          <w:b/>
          <w:bCs/>
          <w:color w:val="auto"/>
          <w:kern w:val="0"/>
          <w:szCs w:val="21"/>
          <w:highlight w:val="none"/>
        </w:rPr>
      </w:pPr>
      <w:r>
        <w:rPr>
          <w:rFonts w:hint="eastAsia" w:ascii="宋体" w:hAnsi="宋体"/>
          <w:b/>
          <w:bCs/>
          <w:color w:val="auto"/>
          <w:kern w:val="0"/>
          <w:szCs w:val="21"/>
          <w:highlight w:val="none"/>
        </w:rPr>
        <w:t>三、获取招标文件</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1、时间： 202</w:t>
      </w:r>
      <w:r>
        <w:rPr>
          <w:rFonts w:hint="eastAsia" w:ascii="宋体" w:hAnsi="宋体" w:cs="宋体"/>
          <w:color w:val="auto"/>
          <w:kern w:val="0"/>
          <w:szCs w:val="21"/>
          <w:highlight w:val="none"/>
        </w:rPr>
        <w:t>0 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日至 2020年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日，每天上午8：30至12：00，下午15：00至17：30（北京时间，法定节假日除外）</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2、地点：</w:t>
      </w:r>
      <w:r>
        <w:rPr>
          <w:rFonts w:ascii="宋体" w:hAnsi="宋体" w:cs="宋体"/>
          <w:color w:val="auto"/>
          <w:kern w:val="0"/>
          <w:szCs w:val="21"/>
          <w:highlight w:val="none"/>
        </w:rPr>
        <w:t>广西万盯卯招标咨询有限公司</w:t>
      </w:r>
      <w:r>
        <w:rPr>
          <w:rFonts w:hint="eastAsia" w:ascii="宋体" w:hAnsi="宋体" w:cs="宋体"/>
          <w:color w:val="auto"/>
          <w:kern w:val="0"/>
          <w:szCs w:val="21"/>
          <w:highlight w:val="none"/>
        </w:rPr>
        <w:t>（</w:t>
      </w:r>
      <w:r>
        <w:rPr>
          <w:rFonts w:ascii="宋体" w:hAnsi="宋体" w:cs="宋体"/>
          <w:color w:val="auto"/>
          <w:kern w:val="0"/>
          <w:szCs w:val="21"/>
          <w:highlight w:val="none"/>
        </w:rPr>
        <w:t>南宁市仙葫大道西184号B区2号楼</w:t>
      </w:r>
      <w:r>
        <w:rPr>
          <w:rFonts w:hint="eastAsia" w:ascii="宋体" w:hAnsi="宋体" w:cs="宋体"/>
          <w:color w:val="auto"/>
          <w:kern w:val="0"/>
          <w:szCs w:val="21"/>
          <w:highlight w:val="none"/>
        </w:rPr>
        <w:t>）</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方式：必须由企业法定代表人或被授权人携带（1）有效的营业执照副本内页复印件，（2）谈判供应商资格要求具有的证书或证明材料复印件，（3）企业法定代表人有效的身份证正反面复印件，（4）有效的企业法定代表人授权委托书原件及被授权人有效的身份证正反面复印件（委托代理时必须提供，且是竞标单位的在职正式职工，提供近三个月内任意一个月的社保证明材料复印件）。以上材料属复印件的均需加盖竞标人单位公章，且要求提供复印件的均需携带原件(法定代表人身份证除外)以供核对。</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4、售价：招标文件工本费每本 250 元，售后不退。依据《国家税务总局关于增值税发票开具有关问题的公告》国家税务总局公告2017年第16号的规定，投标人在索取发票时，请提供纳税人识别号或统一社会信用代码。</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开户名称：广西万盯卯招标咨询有限公司</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开户银行：南宁市邕宁区农村信用合作联社仙葫信用社</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银行账号：187512010116245407</w:t>
      </w:r>
      <w:bookmarkStart w:id="128" w:name="_GoBack"/>
      <w:bookmarkEnd w:id="128"/>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为配合采购人执行政府采购项目及备案，未在政采云注册的供应商请在获取招标文件后登录政采云平台（网址：http://www.zcygov.cn）进行注册，如在操作过程中遇到问题或需技术支持，请致电政采云客服热线：400-881-7190。</w:t>
      </w:r>
    </w:p>
    <w:p>
      <w:pPr>
        <w:widowControl/>
        <w:spacing w:line="380" w:lineRule="atLeast"/>
        <w:rPr>
          <w:rFonts w:ascii="宋体" w:hAnsi="宋体"/>
          <w:b/>
          <w:bCs/>
          <w:color w:val="auto"/>
          <w:kern w:val="0"/>
          <w:szCs w:val="21"/>
          <w:highlight w:val="none"/>
        </w:rPr>
      </w:pPr>
      <w:r>
        <w:rPr>
          <w:rFonts w:hint="eastAsia" w:ascii="宋体" w:hAnsi="宋体"/>
          <w:b/>
          <w:bCs/>
          <w:color w:val="auto"/>
          <w:kern w:val="0"/>
          <w:szCs w:val="21"/>
          <w:highlight w:val="none"/>
        </w:rPr>
        <w:t>四、提交投标文件截止时间、开标时间和地点</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bCs/>
          <w:color w:val="auto"/>
          <w:kern w:val="0"/>
          <w:szCs w:val="21"/>
          <w:highlight w:val="none"/>
        </w:rPr>
        <w:t>2020年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0 分</w:t>
      </w:r>
      <w:r>
        <w:rPr>
          <w:rFonts w:hint="eastAsia" w:ascii="宋体" w:hAnsi="宋体" w:cs="宋体"/>
          <w:color w:val="auto"/>
          <w:kern w:val="0"/>
          <w:szCs w:val="21"/>
          <w:highlight w:val="none"/>
        </w:rPr>
        <w:t>（北京时间），竞标人请于竞标文件提交截止时间前将竞标文件密封递交，逾期送达或未密封的将予以拒收，竞标人可以由法定代表人（负责人）或委托代理人出席开标会。</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地点：钦州高新技术产业开发区B1地块河东公寓36号楼B3号商铺1-2层。</w:t>
      </w:r>
    </w:p>
    <w:p>
      <w:pPr>
        <w:widowControl/>
        <w:spacing w:line="380" w:lineRule="atLeast"/>
        <w:rPr>
          <w:rFonts w:ascii="宋体" w:hAnsi="宋体"/>
          <w:b/>
          <w:bCs/>
          <w:color w:val="auto"/>
          <w:kern w:val="0"/>
          <w:szCs w:val="21"/>
          <w:highlight w:val="none"/>
        </w:rPr>
      </w:pPr>
      <w:r>
        <w:rPr>
          <w:rFonts w:hint="eastAsia" w:ascii="宋体" w:hAnsi="宋体"/>
          <w:b/>
          <w:bCs/>
          <w:color w:val="auto"/>
          <w:kern w:val="0"/>
          <w:szCs w:val="21"/>
          <w:highlight w:val="none"/>
        </w:rPr>
        <w:t>五、公告期限</w:t>
      </w:r>
    </w:p>
    <w:p>
      <w:pPr>
        <w:snapToGrid w:val="0"/>
        <w:spacing w:line="400" w:lineRule="exact"/>
        <w:ind w:firstLine="420" w:firstLineChars="200"/>
        <w:rPr>
          <w:color w:val="auto"/>
          <w:kern w:val="0"/>
          <w:szCs w:val="21"/>
          <w:highlight w:val="none"/>
        </w:rPr>
      </w:pPr>
      <w:r>
        <w:rPr>
          <w:rFonts w:hint="eastAsia" w:ascii="宋体" w:hAnsi="宋体" w:cs="宋体"/>
          <w:color w:val="auto"/>
          <w:kern w:val="0"/>
          <w:szCs w:val="21"/>
          <w:highlight w:val="none"/>
        </w:rPr>
        <w:t>自本公告发布之日起3个工作日。</w:t>
      </w:r>
    </w:p>
    <w:p>
      <w:pPr>
        <w:widowControl/>
        <w:spacing w:line="380" w:lineRule="atLeast"/>
        <w:rPr>
          <w:rFonts w:ascii="宋体" w:hAnsi="宋体"/>
          <w:b/>
          <w:bCs/>
          <w:color w:val="auto"/>
          <w:kern w:val="0"/>
          <w:szCs w:val="21"/>
          <w:highlight w:val="none"/>
        </w:rPr>
      </w:pPr>
      <w:r>
        <w:rPr>
          <w:rFonts w:hint="eastAsia" w:ascii="宋体" w:hAnsi="宋体"/>
          <w:b/>
          <w:bCs/>
          <w:color w:val="auto"/>
          <w:kern w:val="0"/>
          <w:szCs w:val="21"/>
          <w:highlight w:val="none"/>
        </w:rPr>
        <w:t>六、其他补充事宜</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投标保证金（人民币）：10000.00 元。（必须足额交纳）</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投标人应于投标截止时间前将投标保证金以电汇、转账、汇票等非现金形式交至以下账户。（财务室电话：0771-5583316）</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开户名称：广西万盯卯招标咨询有限公司</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开户银行：南宁市邕宁区农村信用合作联社仙葫信用社</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银行账号：187512010116245407</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投标保证金退付联系人：广西万盯卯招标咨询有限公司  联系电话：0771-5583316</w:t>
      </w:r>
    </w:p>
    <w:p>
      <w:pPr>
        <w:widowControl/>
        <w:spacing w:line="380" w:lineRule="atLeast"/>
        <w:rPr>
          <w:rFonts w:ascii="宋体" w:hAnsi="宋体" w:cs="宋体"/>
          <w:color w:val="auto"/>
          <w:kern w:val="0"/>
          <w:szCs w:val="21"/>
          <w:highlight w:val="none"/>
        </w:rPr>
      </w:pPr>
      <w:r>
        <w:rPr>
          <w:rFonts w:hint="eastAsia" w:ascii="宋体" w:hAnsi="宋体"/>
          <w:b/>
          <w:bCs/>
          <w:color w:val="auto"/>
          <w:kern w:val="0"/>
          <w:szCs w:val="21"/>
          <w:highlight w:val="none"/>
        </w:rPr>
        <w:t>七、对本次招标提出询问，请按以下方式联系。</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称：灵山县疾病预防控制中心</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址：钦州市灵山县人民路21号</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联系人及联系方式： 韦其宏，13471708585</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称：广西万盯卯招标咨询有限公司</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址：南宁市仙葫大道西184号B区2号楼</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 0771-5841135（项目部）、5583316（财务部）  传真号码：0771-5841135</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项目联系人：张麟</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话：0771-5841135</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4、监管部门信息</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监督部门：灵山县财政局</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电话：0777-6428581</w:t>
      </w:r>
    </w:p>
    <w:p>
      <w:pPr>
        <w:widowControl/>
        <w:spacing w:line="380" w:lineRule="atLeast"/>
        <w:rPr>
          <w:color w:val="auto"/>
          <w:kern w:val="0"/>
          <w:szCs w:val="21"/>
          <w:highlight w:val="none"/>
        </w:rPr>
      </w:pPr>
      <w:r>
        <w:rPr>
          <w:rFonts w:hint="eastAsia" w:ascii="宋体" w:hAnsi="宋体"/>
          <w:b/>
          <w:bCs/>
          <w:color w:val="auto"/>
          <w:kern w:val="0"/>
          <w:szCs w:val="21"/>
          <w:highlight w:val="none"/>
        </w:rPr>
        <w:t>八、公告网址</w:t>
      </w:r>
    </w:p>
    <w:p>
      <w:pPr>
        <w:snapToGrid w:val="0"/>
        <w:spacing w:line="400" w:lineRule="exact"/>
        <w:ind w:firstLine="420" w:firstLineChars="200"/>
        <w:rPr>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中国政府采购网（www.ccgp.gov.cn）、广西壮族自治区政府采购网（zfcg.gxzf.gov.cn）、灵山县人民政府网（www.gxls.gov.cn）</w:t>
      </w:r>
    </w:p>
    <w:p>
      <w:pPr>
        <w:spacing w:line="360" w:lineRule="exact"/>
        <w:rPr>
          <w:rFonts w:ascii="宋体" w:hAnsi="宋体"/>
          <w:color w:val="auto"/>
          <w:szCs w:val="21"/>
          <w:highlight w:val="none"/>
        </w:rPr>
      </w:pPr>
    </w:p>
    <w:p>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广西万盯卯招标咨询有限公司</w:t>
      </w:r>
    </w:p>
    <w:p>
      <w:pPr>
        <w:rPr>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rPr>
        <w:t>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5</w:t>
      </w:r>
      <w:r>
        <w:rPr>
          <w:rFonts w:hint="eastAsia" w:ascii="宋体" w:hAnsi="宋体"/>
          <w:color w:val="auto"/>
          <w:szCs w:val="21"/>
          <w:highlight w:val="none"/>
        </w:rPr>
        <w:t>日</w:t>
      </w:r>
      <w:bookmarkEnd w:id="1"/>
    </w:p>
    <w:p>
      <w:pPr>
        <w:wordWrap w:val="0"/>
        <w:spacing w:line="340" w:lineRule="exact"/>
        <w:ind w:firstLine="495"/>
        <w:jc w:val="right"/>
        <w:rPr>
          <w:rFonts w:ascii="宋体"/>
          <w:color w:val="auto"/>
          <w:szCs w:val="21"/>
          <w:highlight w:val="none"/>
        </w:rPr>
      </w:pPr>
    </w:p>
    <w:p>
      <w:pPr>
        <w:jc w:val="center"/>
        <w:rPr>
          <w:color w:val="auto"/>
          <w:sz w:val="32"/>
          <w:szCs w:val="32"/>
          <w:highlight w:val="none"/>
        </w:rPr>
      </w:pPr>
      <w:r>
        <w:rPr>
          <w:color w:val="auto"/>
          <w:highlight w:val="none"/>
        </w:rPr>
        <w:br w:type="page"/>
      </w:r>
      <w:bookmarkStart w:id="2" w:name="_Toc496610486"/>
      <w:r>
        <w:rPr>
          <w:rFonts w:hint="eastAsia"/>
          <w:color w:val="auto"/>
          <w:sz w:val="32"/>
          <w:szCs w:val="32"/>
          <w:highlight w:val="none"/>
        </w:rPr>
        <w:t>第二章供应商须知</w:t>
      </w:r>
      <w:bookmarkEnd w:id="2"/>
    </w:p>
    <w:p>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b/>
          <w:color w:val="auto"/>
          <w:sz w:val="32"/>
          <w:szCs w:val="32"/>
          <w:highlight w:val="none"/>
        </w:rPr>
      </w:pPr>
    </w:p>
    <w:tbl>
      <w:tblPr>
        <w:tblStyle w:val="24"/>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exact"/>
              <w:jc w:val="center"/>
              <w:rPr>
                <w:rFonts w:ascii="宋体"/>
                <w:b/>
                <w:color w:val="auto"/>
                <w:szCs w:val="21"/>
                <w:highlight w:val="none"/>
              </w:rPr>
            </w:pPr>
            <w:r>
              <w:rPr>
                <w:rFonts w:hint="eastAsia" w:ascii="宋体" w:hAnsi="宋体"/>
                <w:b/>
                <w:color w:val="auto"/>
                <w:szCs w:val="21"/>
                <w:highlight w:val="none"/>
              </w:rPr>
              <w:t>序号</w:t>
            </w:r>
          </w:p>
        </w:tc>
        <w:tc>
          <w:tcPr>
            <w:tcW w:w="992" w:type="dxa"/>
          </w:tcPr>
          <w:p>
            <w:pPr>
              <w:spacing w:line="360" w:lineRule="exact"/>
              <w:jc w:val="center"/>
              <w:rPr>
                <w:rFonts w:ascii="宋体"/>
                <w:b/>
                <w:color w:val="auto"/>
                <w:szCs w:val="21"/>
                <w:highlight w:val="none"/>
              </w:rPr>
            </w:pPr>
            <w:r>
              <w:rPr>
                <w:rFonts w:hint="eastAsia" w:ascii="宋体" w:hAnsi="宋体"/>
                <w:b/>
                <w:color w:val="auto"/>
                <w:szCs w:val="21"/>
                <w:highlight w:val="none"/>
              </w:rPr>
              <w:t>条款号</w:t>
            </w:r>
          </w:p>
        </w:tc>
        <w:tc>
          <w:tcPr>
            <w:tcW w:w="8080" w:type="dxa"/>
          </w:tcPr>
          <w:p>
            <w:pPr>
              <w:spacing w:line="360" w:lineRule="exact"/>
              <w:jc w:val="center"/>
              <w:rPr>
                <w:rFonts w:asci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1.1</w:t>
            </w:r>
          </w:p>
        </w:tc>
        <w:tc>
          <w:tcPr>
            <w:tcW w:w="8080" w:type="dxa"/>
            <w:vAlign w:val="center"/>
          </w:tcPr>
          <w:p>
            <w:pPr>
              <w:spacing w:line="360" w:lineRule="exact"/>
              <w:ind w:left="1025" w:hanging="1024" w:hangingChars="488"/>
              <w:rPr>
                <w:rFonts w:ascii="宋体"/>
                <w:color w:val="auto"/>
                <w:szCs w:val="21"/>
                <w:highlight w:val="none"/>
                <w:u w:val="single"/>
              </w:rPr>
            </w:pPr>
            <w:r>
              <w:rPr>
                <w:rFonts w:hint="eastAsia" w:ascii="宋体" w:hAnsi="宋体"/>
                <w:color w:val="auto"/>
                <w:szCs w:val="21"/>
                <w:highlight w:val="none"/>
              </w:rPr>
              <w:t>项目名称：疾控中心新址节能冷库设备采购</w:t>
            </w:r>
          </w:p>
          <w:p>
            <w:pPr>
              <w:spacing w:line="360" w:lineRule="exact"/>
              <w:ind w:left="1025" w:hanging="1024" w:hangingChars="488"/>
              <w:rPr>
                <w:rFonts w:ascii="宋体"/>
                <w:color w:val="auto"/>
                <w:szCs w:val="21"/>
                <w:highlight w:val="none"/>
              </w:rPr>
            </w:pPr>
            <w:r>
              <w:rPr>
                <w:rFonts w:hint="eastAsia" w:ascii="宋体" w:hAnsi="宋体"/>
                <w:color w:val="auto"/>
                <w:szCs w:val="21"/>
                <w:highlight w:val="none"/>
              </w:rPr>
              <w:t>项目编号：QZZC2020-J1-210055-GXWD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3</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供应商的基本条件</w:t>
            </w:r>
          </w:p>
          <w:p>
            <w:pPr>
              <w:widowControl/>
              <w:spacing w:line="380" w:lineRule="atLeast"/>
              <w:rPr>
                <w:rFonts w:ascii="宋体" w:hAnsi="宋体" w:cs="宋体"/>
                <w:color w:val="auto"/>
                <w:szCs w:val="21"/>
                <w:highlight w:val="none"/>
                <w:u w:val="single"/>
              </w:rPr>
            </w:pPr>
            <w:r>
              <w:rPr>
                <w:rFonts w:ascii="宋体" w:hAnsi="宋体"/>
                <w:color w:val="auto"/>
                <w:szCs w:val="21"/>
                <w:highlight w:val="none"/>
              </w:rPr>
              <w:t>3.1</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供应商资格：按第一章谈判公告“二、申请人的资格要求”规定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pPr>
              <w:spacing w:line="360" w:lineRule="exact"/>
              <w:rPr>
                <w:rFonts w:asci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u w:val="single"/>
              </w:rPr>
              <w:t>其他：无</w:t>
            </w:r>
            <w:r>
              <w:rPr>
                <w:rFonts w:ascii="宋体" w:hAnsi="宋体"/>
                <w:color w:val="auto"/>
                <w:szCs w:val="21"/>
                <w:highlight w:val="none"/>
                <w:u w:val="single"/>
              </w:rPr>
              <w:t xml:space="preserve">  </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4.2</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成交服务费：本项目的成交服务费，按第</w:t>
            </w:r>
            <w:r>
              <w:rPr>
                <w:rFonts w:ascii="宋体" w:hAnsi="宋体"/>
                <w:color w:val="auto"/>
                <w:szCs w:val="21"/>
                <w:highlight w:val="none"/>
              </w:rPr>
              <w:t>19.1</w:t>
            </w:r>
            <w:r>
              <w:rPr>
                <w:rFonts w:hint="eastAsia" w:ascii="宋体" w:hAnsi="宋体"/>
                <w:color w:val="auto"/>
                <w:szCs w:val="21"/>
                <w:highlight w:val="none"/>
              </w:rPr>
              <w:t>款规定“货物类”标准采用差额定率累进计费方式计算，由成交单位在签订合同前，一次性向采购代理机构支付</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6.6.1</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价格文件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r>
              <w:rPr>
                <w:rFonts w:hint="eastAsia" w:ascii="宋体" w:hAnsi="宋体"/>
                <w:color w:val="auto"/>
                <w:szCs w:val="21"/>
                <w:highlight w:val="none"/>
              </w:rPr>
              <w:t>：</w:t>
            </w:r>
          </w:p>
          <w:p>
            <w:pPr>
              <w:spacing w:line="36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）谈判报价表；（附件二）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6.6.2</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商务技术文件（应该有的必须提供</w:t>
            </w:r>
            <w:r>
              <w:rPr>
                <w:rFonts w:ascii="宋体"/>
                <w:color w:val="auto"/>
                <w:szCs w:val="21"/>
                <w:highlight w:val="none"/>
              </w:rPr>
              <w:t>,</w:t>
            </w:r>
            <w:r>
              <w:rPr>
                <w:rFonts w:hint="eastAsia" w:ascii="宋体" w:hAnsi="宋体"/>
                <w:color w:val="auto"/>
                <w:szCs w:val="21"/>
                <w:highlight w:val="none"/>
              </w:rPr>
              <w:t>如未提供</w:t>
            </w:r>
            <w:r>
              <w:rPr>
                <w:rFonts w:ascii="宋体"/>
                <w:color w:val="auto"/>
                <w:szCs w:val="21"/>
                <w:highlight w:val="none"/>
              </w:rPr>
              <w:t>,</w:t>
            </w:r>
            <w:r>
              <w:rPr>
                <w:rFonts w:hint="eastAsia" w:ascii="宋体" w:hAnsi="宋体"/>
                <w:color w:val="auto"/>
                <w:szCs w:val="21"/>
                <w:highlight w:val="none"/>
              </w:rPr>
              <w:t>评审小组有权拒绝其响应文件）</w:t>
            </w:r>
            <w:r>
              <w:rPr>
                <w:rFonts w:ascii="宋体" w:hAnsi="宋体"/>
                <w:color w:val="auto"/>
                <w:szCs w:val="21"/>
                <w:highlight w:val="none"/>
              </w:rPr>
              <w:t xml:space="preserve"> </w:t>
            </w:r>
          </w:p>
          <w:p>
            <w:pPr>
              <w:spacing w:line="360" w:lineRule="exact"/>
              <w:rPr>
                <w:rFonts w:ascii="宋体"/>
                <w:color w:val="auto"/>
                <w:szCs w:val="21"/>
                <w:highlight w:val="none"/>
              </w:rPr>
            </w:pPr>
            <w:r>
              <w:rPr>
                <w:rFonts w:hint="eastAsia" w:ascii="宋体" w:hAnsi="宋体"/>
                <w:color w:val="auto"/>
                <w:szCs w:val="21"/>
                <w:highlight w:val="none"/>
              </w:rPr>
              <w:t>一、资格审查</w:t>
            </w:r>
          </w:p>
          <w:p>
            <w:pPr>
              <w:spacing w:line="360" w:lineRule="exact"/>
              <w:rPr>
                <w:rFonts w:ascii="宋体" w:hAnsi="宋体"/>
                <w:color w:val="auto"/>
                <w:szCs w:val="21"/>
                <w:highlight w:val="none"/>
              </w:rPr>
            </w:pPr>
            <w:r>
              <w:rPr>
                <w:rFonts w:hint="eastAsia" w:ascii="宋体" w:hAnsi="宋体"/>
                <w:color w:val="auto"/>
                <w:szCs w:val="21"/>
                <w:highlight w:val="none"/>
              </w:rPr>
              <w:t>（1）有效的“营业执照”正本或副本复印件(要求包含本次采购货物的经营范围），对于有经营资质要求的，必须同时提供有效的经营资质证书副本内页复印件。</w:t>
            </w:r>
            <w:r>
              <w:rPr>
                <w:rFonts w:hint="eastAsia" w:ascii="宋体" w:hAnsi="宋体"/>
                <w:b/>
                <w:color w:val="auto"/>
                <w:szCs w:val="21"/>
                <w:highlight w:val="none"/>
              </w:rPr>
              <w:t>[必须提供，否则竞标无效]</w:t>
            </w:r>
          </w:p>
          <w:p>
            <w:pPr>
              <w:spacing w:line="360" w:lineRule="exact"/>
              <w:rPr>
                <w:rFonts w:ascii="宋体" w:hAnsi="宋体"/>
                <w:color w:val="auto"/>
                <w:szCs w:val="21"/>
                <w:highlight w:val="none"/>
              </w:rPr>
            </w:pPr>
            <w:r>
              <w:rPr>
                <w:rFonts w:hint="eastAsia" w:ascii="宋体" w:hAnsi="宋体"/>
                <w:color w:val="auto"/>
                <w:szCs w:val="21"/>
                <w:highlight w:val="none"/>
              </w:rPr>
              <w:t>（2）供应商股东及出资信息表。</w:t>
            </w:r>
            <w:r>
              <w:rPr>
                <w:rFonts w:hint="eastAsia" w:ascii="宋体" w:hAnsi="宋体"/>
                <w:b/>
                <w:color w:val="auto"/>
                <w:szCs w:val="21"/>
                <w:highlight w:val="none"/>
              </w:rPr>
              <w:t>[必须提供，否则竞标无效]</w:t>
            </w:r>
          </w:p>
          <w:p>
            <w:pPr>
              <w:spacing w:line="360" w:lineRule="exact"/>
              <w:rPr>
                <w:rFonts w:ascii="宋体" w:hAnsi="宋体"/>
                <w:color w:val="auto"/>
                <w:szCs w:val="21"/>
                <w:highlight w:val="none"/>
              </w:rPr>
            </w:pPr>
            <w:r>
              <w:rPr>
                <w:rFonts w:hint="eastAsia" w:ascii="宋体" w:hAnsi="宋体"/>
                <w:color w:val="auto"/>
                <w:szCs w:val="21"/>
                <w:highlight w:val="none"/>
              </w:rPr>
              <w:t>（3）供应商2018或2019年度财务报表复印件【①如无经会计师事务所审计的财务报表，则需提交本公司出具的财务报表；②2020年新近成立的公司可根据其成立的时间提交财务报表；③账务报表至少包含资产负债表、利润表、现金流量表，以上未按要求提供材料的，将取消其投标资格】。</w:t>
            </w:r>
            <w:r>
              <w:rPr>
                <w:rFonts w:hint="eastAsia" w:ascii="宋体" w:hAnsi="宋体"/>
                <w:b/>
                <w:color w:val="auto"/>
                <w:szCs w:val="21"/>
                <w:highlight w:val="none"/>
              </w:rPr>
              <w:t>[必须提供，否则竞标无效]</w:t>
            </w:r>
          </w:p>
          <w:p>
            <w:pPr>
              <w:spacing w:line="360" w:lineRule="exact"/>
              <w:rPr>
                <w:rFonts w:ascii="宋体" w:hAnsi="宋体"/>
                <w:color w:val="auto"/>
                <w:szCs w:val="21"/>
                <w:highlight w:val="none"/>
              </w:rPr>
            </w:pPr>
            <w:r>
              <w:rPr>
                <w:rFonts w:hint="eastAsia" w:ascii="宋体" w:hAnsi="宋体"/>
                <w:color w:val="auto"/>
                <w:szCs w:val="21"/>
                <w:highlight w:val="none"/>
              </w:rPr>
              <w:t>（4）竞标截止之日前六个月内供应商任意一个月依法缴纳税收的相关证明，可以是：缴费的银行单据，或供应商所在地主管税务部门出具的有效证明等复印件；依法免税的应提供供应商所在地主管税务部门出具相应的文件证明复印件，社会团体、协会不须提供。</w:t>
            </w:r>
            <w:r>
              <w:rPr>
                <w:rFonts w:hint="eastAsia" w:ascii="宋体" w:hAnsi="宋体"/>
                <w:b/>
                <w:color w:val="auto"/>
                <w:szCs w:val="21"/>
                <w:highlight w:val="none"/>
              </w:rPr>
              <w:t>[必须提供，否则竞标无效]</w:t>
            </w:r>
          </w:p>
          <w:p>
            <w:pPr>
              <w:spacing w:line="360" w:lineRule="exact"/>
              <w:rPr>
                <w:rFonts w:ascii="宋体" w:hAnsi="宋体"/>
                <w:color w:val="auto"/>
                <w:szCs w:val="21"/>
                <w:highlight w:val="none"/>
              </w:rPr>
            </w:pPr>
            <w:r>
              <w:rPr>
                <w:rFonts w:hint="eastAsia" w:ascii="宋体" w:hAnsi="宋体"/>
                <w:color w:val="auto"/>
                <w:szCs w:val="21"/>
                <w:highlight w:val="none"/>
              </w:rPr>
              <w:t>（5）竞标截止之日前六个月内供应商任意一个月依法缴纳社会保险费的相关证明，可以是：缴费的银行单据，或供应商所在社保机构出具的有效证明等复印件；不需要缴纳社会保险金的应提供供应商所在社保机构出具相应的文件证明复印件，社会团体、协会不须提供。</w:t>
            </w:r>
            <w:r>
              <w:rPr>
                <w:rFonts w:hint="eastAsia" w:ascii="宋体" w:hAnsi="宋体"/>
                <w:b/>
                <w:color w:val="auto"/>
                <w:szCs w:val="21"/>
                <w:highlight w:val="none"/>
              </w:rPr>
              <w:t>[必须提供，否则竞标无效]</w:t>
            </w:r>
          </w:p>
          <w:p>
            <w:pPr>
              <w:spacing w:line="360" w:lineRule="exact"/>
              <w:rPr>
                <w:rFonts w:ascii="宋体"/>
                <w:color w:val="auto"/>
                <w:szCs w:val="21"/>
                <w:highlight w:val="none"/>
              </w:rPr>
            </w:pPr>
            <w:r>
              <w:rPr>
                <w:rFonts w:hint="eastAsia" w:ascii="宋体" w:hAnsi="宋体"/>
                <w:color w:val="auto"/>
                <w:szCs w:val="21"/>
                <w:highlight w:val="none"/>
              </w:rPr>
              <w:t>（6）参加政府采购活动前三年内，在经营活动中没有重大违法记录的书面声明(格式见附件) 。</w:t>
            </w:r>
            <w:r>
              <w:rPr>
                <w:rFonts w:hint="eastAsia" w:ascii="宋体" w:hAnsi="宋体"/>
                <w:b/>
                <w:color w:val="auto"/>
                <w:szCs w:val="21"/>
                <w:highlight w:val="none"/>
              </w:rPr>
              <w:t>[必须提供，否则竞标无效]</w:t>
            </w:r>
          </w:p>
          <w:p>
            <w:pPr>
              <w:spacing w:line="360" w:lineRule="exact"/>
              <w:rPr>
                <w:rFonts w:ascii="宋体"/>
                <w:color w:val="auto"/>
                <w:szCs w:val="21"/>
                <w:highlight w:val="none"/>
              </w:rPr>
            </w:pPr>
            <w:r>
              <w:rPr>
                <w:rFonts w:hint="eastAsia" w:ascii="宋体" w:hAnsi="宋体"/>
                <w:color w:val="auto"/>
                <w:szCs w:val="21"/>
                <w:highlight w:val="none"/>
              </w:rPr>
              <w:t>二、符合性审查</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）谈判书及竞标声明书。</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）谈判保证金交纳证明材料。</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）供货清单。（格式见附件）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）技术响应、偏离情况说明表。</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）商务响应表。</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）法定代表人身份证明书</w:t>
            </w:r>
            <w:r>
              <w:rPr>
                <w:rFonts w:hint="eastAsia" w:ascii="宋体" w:hAnsi="宋体"/>
                <w:b/>
                <w:color w:val="auto"/>
                <w:szCs w:val="21"/>
                <w:highlight w:val="none"/>
              </w:rPr>
              <w:t>（必须提供）</w:t>
            </w:r>
            <w:r>
              <w:rPr>
                <w:rFonts w:hint="eastAsia" w:ascii="宋体" w:hAnsi="宋体"/>
                <w:color w:val="auto"/>
                <w:szCs w:val="21"/>
                <w:highlight w:val="none"/>
              </w:rPr>
              <w:t>，法定代表人授权委托书及被授权人有效身份证正反面复印件。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）根据“采购项目技术规格、参数及要求”中的要求提供的技术方案、服务方案或证明文件等</w:t>
            </w:r>
            <w:r>
              <w:rPr>
                <w:rFonts w:hint="eastAsia" w:ascii="宋体" w:hAnsi="宋体"/>
                <w:b/>
                <w:color w:val="auto"/>
                <w:szCs w:val="21"/>
                <w:highlight w:val="none"/>
              </w:rPr>
              <w:t>（要求必须提供的必须提供）</w:t>
            </w:r>
            <w:r>
              <w:rPr>
                <w:rFonts w:hint="eastAsia" w:ascii="宋体" w:hAnsi="宋体"/>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三、技术文件</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）货物制造检测标准、货物认证、检测报告、鉴定证书等。</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）生产、销售许可证（如国家实行强制性要求的）。</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）产品获奖证书。</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）货物名称、型号、规格、数量、性能、内部配置、使用原材料，引进新技术、新工艺、新材料的等情况。</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）货物制造、检验、验收执行的标准。</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）质量保证措施。</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）产品样本、使用保养说明书、图纸等技术资料。</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）提供切实可行的优惠承诺。</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）供应商认为需要提供的有关资料（包括小微企业、残疾人企业、监狱企业等，如属于小型、微型企业的，须提供工商注册地工业和信息化等部门出具的相关证明材料）。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6.7</w:t>
            </w:r>
          </w:p>
        </w:tc>
        <w:tc>
          <w:tcPr>
            <w:tcW w:w="8080" w:type="dxa"/>
            <w:vAlign w:val="center"/>
          </w:tcPr>
          <w:p>
            <w:pPr>
              <w:snapToGrid w:val="0"/>
              <w:spacing w:line="360" w:lineRule="exact"/>
              <w:jc w:val="left"/>
              <w:rPr>
                <w:rFonts w:ascii="宋体" w:cs="Courier New"/>
                <w:color w:val="auto"/>
                <w:szCs w:val="21"/>
                <w:highlight w:val="none"/>
              </w:rPr>
            </w:pPr>
            <w:r>
              <w:rPr>
                <w:rFonts w:hint="eastAsia" w:ascii="宋体" w:hAnsi="宋体" w:cs="Courier New"/>
                <w:color w:val="auto"/>
                <w:szCs w:val="21"/>
                <w:highlight w:val="none"/>
              </w:rPr>
              <w:t>响应文件</w:t>
            </w:r>
            <w:r>
              <w:rPr>
                <w:rFonts w:hint="eastAsia" w:ascii="宋体" w:hAnsi="宋体" w:cs="Courier New"/>
                <w:color w:val="auto"/>
                <w:szCs w:val="21"/>
                <w:highlight w:val="none"/>
              </w:rPr>
              <w:t>电子版。供应商在递交响应文件时，同时递交响应文件电子版。</w:t>
            </w:r>
          </w:p>
          <w:p>
            <w:pPr>
              <w:snapToGrid w:val="0"/>
              <w:spacing w:line="360" w:lineRule="exact"/>
              <w:jc w:val="left"/>
              <w:rPr>
                <w:rFonts w:ascii="宋体" w:cs="Courier New"/>
                <w:color w:val="auto"/>
                <w:szCs w:val="21"/>
                <w:highlight w:val="none"/>
              </w:rPr>
            </w:pPr>
            <w:r>
              <w:rPr>
                <w:rFonts w:ascii="宋体" w:hAnsi="宋体" w:cs="Courier New"/>
                <w:color w:val="auto"/>
                <w:szCs w:val="21"/>
                <w:highlight w:val="none"/>
              </w:rPr>
              <w:t>1</w:t>
            </w:r>
            <w:r>
              <w:rPr>
                <w:rFonts w:hint="eastAsia" w:ascii="宋体" w:hAnsi="宋体" w:cs="Courier New"/>
                <w:color w:val="auto"/>
                <w:szCs w:val="21"/>
                <w:highlight w:val="none"/>
              </w:rPr>
              <w:t>、响应文件电子版内容：报价表（必须包括竞标产品的名称、规格型号、数量、单价），技术响应表，售后服务。</w:t>
            </w:r>
          </w:p>
          <w:p>
            <w:pPr>
              <w:snapToGrid w:val="0"/>
              <w:spacing w:line="360" w:lineRule="exact"/>
              <w:jc w:val="left"/>
              <w:rPr>
                <w:rFonts w:ascii="宋体" w:cs="Courier New"/>
                <w:color w:val="auto"/>
                <w:szCs w:val="21"/>
                <w:highlight w:val="none"/>
              </w:rPr>
            </w:pPr>
            <w:r>
              <w:rPr>
                <w:rFonts w:ascii="宋体" w:hAnsi="宋体" w:cs="Courier New"/>
                <w:color w:val="auto"/>
                <w:szCs w:val="21"/>
                <w:highlight w:val="none"/>
              </w:rPr>
              <w:t>2</w:t>
            </w:r>
            <w:r>
              <w:rPr>
                <w:rFonts w:hint="eastAsia" w:ascii="宋体" w:hAnsi="宋体" w:cs="Courier New"/>
                <w:color w:val="auto"/>
                <w:szCs w:val="21"/>
                <w:highlight w:val="none"/>
              </w:rPr>
              <w:t>、响应文件电子版份数：</w:t>
            </w:r>
            <w:r>
              <w:rPr>
                <w:rFonts w:ascii="宋体" w:hAnsi="宋体" w:cs="Courier New"/>
                <w:color w:val="auto"/>
                <w:szCs w:val="21"/>
                <w:highlight w:val="none"/>
              </w:rPr>
              <w:t>1</w:t>
            </w:r>
            <w:r>
              <w:rPr>
                <w:rFonts w:hint="eastAsia" w:ascii="宋体" w:hAnsi="宋体" w:cs="Courier New"/>
                <w:color w:val="auto"/>
                <w:szCs w:val="21"/>
                <w:highlight w:val="none"/>
              </w:rPr>
              <w:t>份。</w:t>
            </w:r>
          </w:p>
          <w:p>
            <w:pPr>
              <w:snapToGrid w:val="0"/>
              <w:spacing w:line="360" w:lineRule="exact"/>
              <w:jc w:val="left"/>
              <w:rPr>
                <w:rFonts w:ascii="宋体" w:cs="Courier New"/>
                <w:color w:val="auto"/>
                <w:szCs w:val="21"/>
                <w:highlight w:val="none"/>
              </w:rPr>
            </w:pPr>
            <w:r>
              <w:rPr>
                <w:rFonts w:ascii="宋体" w:hAnsi="宋体" w:cs="Courier New"/>
                <w:color w:val="auto"/>
                <w:szCs w:val="21"/>
                <w:highlight w:val="none"/>
              </w:rPr>
              <w:t>3</w:t>
            </w:r>
            <w:r>
              <w:rPr>
                <w:rFonts w:hint="eastAsia" w:ascii="宋体" w:hAnsi="宋体" w:cs="Courier New"/>
                <w:color w:val="auto"/>
                <w:szCs w:val="21"/>
                <w:highlight w:val="none"/>
              </w:rPr>
              <w:t>、响应文件电子版形式：可编辑的</w:t>
            </w:r>
            <w:r>
              <w:rPr>
                <w:rFonts w:ascii="宋体" w:hAnsi="宋体" w:cs="Courier New"/>
                <w:color w:val="auto"/>
                <w:szCs w:val="21"/>
                <w:highlight w:val="none"/>
              </w:rPr>
              <w:t>word</w:t>
            </w:r>
            <w:r>
              <w:rPr>
                <w:rFonts w:hint="eastAsia" w:ascii="宋体" w:hAnsi="宋体" w:cs="Courier New"/>
                <w:color w:val="auto"/>
                <w:szCs w:val="21"/>
                <w:highlight w:val="none"/>
              </w:rPr>
              <w:t>文档格式。</w:t>
            </w:r>
          </w:p>
          <w:p>
            <w:pPr>
              <w:snapToGrid w:val="0"/>
              <w:spacing w:line="360" w:lineRule="exact"/>
              <w:jc w:val="left"/>
              <w:rPr>
                <w:rFonts w:ascii="宋体"/>
                <w:color w:val="auto"/>
                <w:szCs w:val="21"/>
                <w:highlight w:val="none"/>
              </w:rPr>
            </w:pPr>
            <w:r>
              <w:rPr>
                <w:rFonts w:ascii="宋体" w:hAnsi="宋体" w:cs="Courier New"/>
                <w:color w:val="auto"/>
                <w:szCs w:val="21"/>
                <w:highlight w:val="none"/>
              </w:rPr>
              <w:t>4</w:t>
            </w:r>
            <w:r>
              <w:rPr>
                <w:rFonts w:hint="eastAsia" w:ascii="宋体" w:hAnsi="宋体" w:cs="Courier New"/>
                <w:color w:val="auto"/>
                <w:szCs w:val="21"/>
                <w:highlight w:val="none"/>
              </w:rPr>
              <w:t>、响应文件电子版密封方式：将响应文件电子版光盘与纸质版响应文件一并装入响应文件袋中。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6.8</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响应文件有效期：自响应文件提交截止之日起至政府采购合同签订之日止。</w:t>
            </w:r>
          </w:p>
          <w:p>
            <w:pPr>
              <w:pStyle w:val="6"/>
              <w:widowControl w:val="0"/>
              <w:tabs>
                <w:tab w:val="clear" w:pos="454"/>
              </w:tabs>
              <w:snapToGrid w:val="0"/>
              <w:spacing w:afterLines="0" w:line="360" w:lineRule="exact"/>
              <w:ind w:left="0" w:firstLine="420" w:firstLineChars="200"/>
              <w:rPr>
                <w:rFonts w:ascii="宋体"/>
                <w:color w:val="auto"/>
                <w:sz w:val="21"/>
                <w:szCs w:val="21"/>
                <w:highlight w:val="none"/>
              </w:rPr>
            </w:pPr>
            <w:bookmarkStart w:id="3" w:name="_Toc254970540"/>
            <w:bookmarkStart w:id="4" w:name="_Toc254970681"/>
            <w:r>
              <w:rPr>
                <w:rFonts w:ascii="宋体" w:hAnsi="宋体"/>
                <w:color w:val="auto"/>
                <w:sz w:val="21"/>
                <w:szCs w:val="21"/>
                <w:highlight w:val="none"/>
              </w:rPr>
              <w:t>1</w:t>
            </w:r>
            <w:r>
              <w:rPr>
                <w:rFonts w:hint="eastAsia" w:ascii="宋体" w:hAnsi="宋体"/>
                <w:color w:val="auto"/>
                <w:sz w:val="21"/>
                <w:szCs w:val="21"/>
                <w:highlight w:val="none"/>
              </w:rPr>
              <w:t>、未成交的响应文件有效期内均应保持有效。</w:t>
            </w:r>
            <w:bookmarkEnd w:id="3"/>
            <w:bookmarkEnd w:id="4"/>
          </w:p>
          <w:p>
            <w:pPr>
              <w:pStyle w:val="6"/>
              <w:widowControl w:val="0"/>
              <w:tabs>
                <w:tab w:val="clear" w:pos="454"/>
              </w:tabs>
              <w:snapToGrid w:val="0"/>
              <w:spacing w:afterLines="0" w:line="360" w:lineRule="exact"/>
              <w:ind w:left="0" w:firstLine="420" w:firstLineChars="200"/>
              <w:rPr>
                <w:rFonts w:ascii="宋体"/>
                <w:color w:val="auto"/>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、成交供应商的响应文件有效期自响应文件提交截止之日起至合同履行完毕止均应保持有效。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6.9</w:t>
            </w:r>
          </w:p>
        </w:tc>
        <w:tc>
          <w:tcPr>
            <w:tcW w:w="8080" w:type="dxa"/>
            <w:vAlign w:val="center"/>
          </w:tcPr>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谈判保证金金额：</w:t>
            </w:r>
            <w:r>
              <w:rPr>
                <w:rFonts w:hint="eastAsia" w:ascii="宋体" w:hAnsi="宋体"/>
                <w:color w:val="auto"/>
                <w:szCs w:val="21"/>
                <w:highlight w:val="none"/>
                <w:u w:val="single"/>
              </w:rPr>
              <w:t>按谈判公告</w:t>
            </w:r>
            <w:r>
              <w:rPr>
                <w:rFonts w:hint="eastAsia" w:ascii="宋体" w:hAnsi="宋体"/>
                <w:color w:val="auto"/>
                <w:szCs w:val="21"/>
                <w:highlight w:val="none"/>
              </w:rPr>
              <w:t>（须足额交纳）</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谈判保证金应在响应文件有效期内保持有效。</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谈判保证金交纳方式：以转账或电汇形式。</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谈判保证金必须从供应商银行账户转出并于响应文件递交截止时间前到达指定银行账户【开户名称：广西万盯卯招标咨询有限公司，开户银行：</w:t>
            </w:r>
            <w:r>
              <w:rPr>
                <w:rFonts w:hint="eastAsia" w:ascii="宋体" w:hAnsi="宋体" w:cs="宋体"/>
                <w:color w:val="auto"/>
                <w:szCs w:val="21"/>
                <w:highlight w:val="none"/>
              </w:rPr>
              <w:t>南宁市邕宁区农村信用合作联社仙葫信用社</w:t>
            </w:r>
            <w:r>
              <w:rPr>
                <w:rFonts w:hint="eastAsia" w:ascii="宋体" w:hAnsi="宋体"/>
                <w:color w:val="auto"/>
                <w:szCs w:val="21"/>
                <w:highlight w:val="none"/>
              </w:rPr>
              <w:t>，银行账号：</w:t>
            </w:r>
            <w:r>
              <w:rPr>
                <w:rFonts w:ascii="宋体" w:hAnsi="宋体"/>
                <w:color w:val="auto"/>
                <w:szCs w:val="21"/>
                <w:highlight w:val="none"/>
              </w:rPr>
              <w:t>1875 1201 0116 2454 07</w:t>
            </w:r>
            <w:r>
              <w:rPr>
                <w:rFonts w:hint="eastAsia" w:ascii="宋体" w:hAnsi="宋体"/>
                <w:color w:val="auto"/>
                <w:szCs w:val="21"/>
                <w:highlight w:val="none"/>
              </w:rPr>
              <w:t>】，否则视为无效谈判保证金。本项目不接受现金形式或从个人账户转出的谈判保证金。</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供应商为联合体的，可以由联合体中的一方或者多方共同交纳保证金，其交纳的保证金对联合体各方均具有约束力。</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注：</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、谈判保证金的退还均以转账形式退回到供应商银行账户。</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未成交供应商的谈判保证金在成交通知书发出后五个工作日内退还。</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成交供应商的谈判保证金在成交供应商与采购人签订合同并送合同给代理机构存档后五个工作日内退还。</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、有下列情形之一的，谈判保证金的不退还。</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供应商在提交响应文件截止时间后撤回响应文件的；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供应商在响应文件中提供虚假材料的；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除因不可抗力或谈判文件认可的情形以外，成交供应商不与采购人签订合同的；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供应商与采购人、其他供应商或者采购代理机构恶意串通的；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2.5</w:t>
            </w:r>
            <w:r>
              <w:rPr>
                <w:rFonts w:hint="eastAsia" w:ascii="宋体" w:hAnsi="宋体"/>
                <w:color w:val="auto"/>
                <w:szCs w:val="21"/>
                <w:highlight w:val="none"/>
              </w:rPr>
              <w:t>法律法规规定的其他情形。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8.1</w:t>
            </w:r>
          </w:p>
        </w:tc>
        <w:tc>
          <w:tcPr>
            <w:tcW w:w="8080" w:type="dxa"/>
            <w:vAlign w:val="center"/>
          </w:tcPr>
          <w:p>
            <w:pPr>
              <w:tabs>
                <w:tab w:val="left" w:pos="525"/>
              </w:tabs>
              <w:snapToGrid w:val="0"/>
              <w:spacing w:line="360" w:lineRule="exact"/>
              <w:jc w:val="left"/>
              <w:rPr>
                <w:rFonts w:ascii="宋体"/>
                <w:color w:val="auto"/>
                <w:szCs w:val="21"/>
                <w:highlight w:val="none"/>
              </w:rPr>
            </w:pPr>
            <w:r>
              <w:rPr>
                <w:rFonts w:hint="eastAsia" w:ascii="宋体" w:hAnsi="宋体"/>
                <w:color w:val="auto"/>
                <w:szCs w:val="21"/>
                <w:highlight w:val="none"/>
              </w:rPr>
              <w:t>竞标报价：供应商必须就所竞项目的全部内容作完整唯一报价，漏项报价的或有选择的或有条件的报价，其响应文件将视为无效。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9.1</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响应文件份数：正本一份、副本四份。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10.1</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响应文件递交截止时间：2020年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10.2</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响应文件递交地址：钦州高新技术产业开发区B1地块河东公寓36号楼B3号商铺1-2层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谈判时间：2020年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 分</w:t>
            </w:r>
            <w:r>
              <w:rPr>
                <w:rFonts w:hint="eastAsia" w:ascii="宋体" w:hAnsi="宋体"/>
                <w:color w:val="auto"/>
                <w:szCs w:val="21"/>
                <w:highlight w:val="none"/>
              </w:rPr>
              <w:t>截标后（具体时间由采购代理机构另行通知）</w:t>
            </w:r>
          </w:p>
          <w:p>
            <w:pPr>
              <w:spacing w:line="360" w:lineRule="exact"/>
              <w:rPr>
                <w:rFonts w:ascii="宋体"/>
                <w:color w:val="auto"/>
                <w:szCs w:val="21"/>
                <w:highlight w:val="none"/>
              </w:rPr>
            </w:pPr>
            <w:r>
              <w:rPr>
                <w:rFonts w:hint="eastAsia" w:ascii="宋体" w:hAnsi="宋体"/>
                <w:color w:val="auto"/>
                <w:szCs w:val="21"/>
                <w:highlight w:val="none"/>
              </w:rPr>
              <w:t>谈判地点：钦州高新技术产业开发区B1地块河东公寓36号楼B3号商铺1-2层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13.2</w:t>
            </w:r>
          </w:p>
        </w:tc>
        <w:tc>
          <w:tcPr>
            <w:tcW w:w="8080" w:type="dxa"/>
            <w:vAlign w:val="center"/>
          </w:tcPr>
          <w:p>
            <w:pPr>
              <w:snapToGrid w:val="0"/>
              <w:spacing w:line="360" w:lineRule="exact"/>
              <w:rPr>
                <w:rFonts w:ascii="宋体"/>
                <w:b/>
                <w:color w:val="auto"/>
                <w:szCs w:val="21"/>
                <w:highlight w:val="none"/>
              </w:rPr>
            </w:pPr>
            <w:r>
              <w:rPr>
                <w:rFonts w:hint="eastAsia" w:ascii="宋体" w:hAnsi="宋体"/>
                <w:b/>
                <w:color w:val="auto"/>
                <w:szCs w:val="21"/>
                <w:highlight w:val="none"/>
              </w:rPr>
              <w:t>在对供应商资格审查时进行信用查询</w:t>
            </w:r>
          </w:p>
          <w:p>
            <w:pPr>
              <w:snapToGrid w:val="0"/>
              <w:spacing w:line="360" w:lineRule="exact"/>
              <w:rPr>
                <w:color w:val="auto"/>
                <w:highlight w:val="none"/>
              </w:rPr>
            </w:pP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color w:val="auto"/>
                <w:highlight w:val="none"/>
              </w:rPr>
              <w:t>www.ccgp.gov.cn</w:t>
            </w:r>
            <w:r>
              <w:rPr>
                <w:rStyle w:val="29"/>
                <w:color w:val="auto"/>
                <w:highlight w:val="none"/>
              </w:rPr>
              <w:fldChar w:fldCharType="end"/>
            </w:r>
            <w:r>
              <w:rPr>
                <w:color w:val="auto"/>
                <w:highlight w:val="none"/>
              </w:rPr>
              <w:t>)</w:t>
            </w:r>
            <w:r>
              <w:rPr>
                <w:rFonts w:hint="eastAsia"/>
                <w:color w:val="auto"/>
                <w:highlight w:val="none"/>
              </w:rPr>
              <w:t>等</w:t>
            </w:r>
          </w:p>
          <w:p>
            <w:pPr>
              <w:snapToGrid w:val="0"/>
              <w:spacing w:line="360" w:lineRule="exact"/>
              <w:rPr>
                <w:color w:val="auto"/>
                <w:highlight w:val="none"/>
              </w:rPr>
            </w:pPr>
            <w:r>
              <w:rPr>
                <w:rFonts w:hint="eastAsia"/>
                <w:color w:val="auto"/>
                <w:highlight w:val="none"/>
              </w:rPr>
              <w:t>查询起止时间：</w:t>
            </w:r>
            <w:r>
              <w:rPr>
                <w:rFonts w:hint="eastAsia" w:ascii="宋体" w:hAnsi="宋体"/>
                <w:color w:val="auto"/>
                <w:szCs w:val="21"/>
                <w:highlight w:val="none"/>
              </w:rPr>
              <w:t>2017年1月1日至响应文件递交截止时间</w:t>
            </w:r>
          </w:p>
          <w:p>
            <w:pPr>
              <w:snapToGrid w:val="0"/>
              <w:spacing w:line="360" w:lineRule="exact"/>
              <w:rPr>
                <w:color w:val="auto"/>
                <w:highlight w:val="none"/>
              </w:rPr>
            </w:pPr>
            <w:r>
              <w:rPr>
                <w:rFonts w:hint="eastAsia"/>
                <w:color w:val="auto"/>
                <w:highlight w:val="none"/>
              </w:rPr>
              <w:t>查询记录和证据留存方式：在查询网站中直接打印查询记录，打印材料作为评审资料保存。</w:t>
            </w:r>
          </w:p>
          <w:p>
            <w:pPr>
              <w:spacing w:line="360" w:lineRule="exact"/>
              <w:rPr>
                <w:rFonts w:ascii="宋体"/>
                <w:color w:val="auto"/>
                <w:szCs w:val="21"/>
                <w:highlight w:val="none"/>
              </w:rPr>
            </w:pPr>
            <w:r>
              <w:rPr>
                <w:rFonts w:hint="eastAsia"/>
                <w:color w:val="auto"/>
                <w:highlight w:val="none"/>
              </w:rPr>
              <w:t>信用信息使用规则：对在“信用中国”网站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olor w:val="auto"/>
                <w:szCs w:val="21"/>
                <w:highlight w:val="none"/>
              </w:rPr>
              <w:t>资格审查不通过，</w:t>
            </w:r>
            <w:r>
              <w:rPr>
                <w:rFonts w:hint="eastAsia"/>
                <w:color w:val="auto"/>
                <w:highlight w:val="none"/>
              </w:rPr>
              <w:t>不得参与政府采购活动。</w:t>
            </w:r>
            <w:r>
              <w:rPr>
                <w:rFonts w:hint="eastAsia" w:ascii="Helvetica" w:hAnsi="Helvetica" w:cs="Helvetica"/>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14.2</w:t>
            </w:r>
          </w:p>
        </w:tc>
        <w:tc>
          <w:tcPr>
            <w:tcW w:w="8080" w:type="dxa"/>
            <w:vAlign w:val="center"/>
          </w:tcPr>
          <w:p>
            <w:pPr>
              <w:spacing w:line="360" w:lineRule="exact"/>
              <w:ind w:firstLine="420" w:firstLineChars="200"/>
              <w:rPr>
                <w:rFonts w:ascii="宋体"/>
                <w:color w:val="auto"/>
                <w:szCs w:val="21"/>
                <w:highlight w:val="none"/>
              </w:rPr>
            </w:pPr>
            <w:r>
              <w:rPr>
                <w:rFonts w:hint="eastAsia" w:ascii="宋体" w:hAnsi="宋体" w:cs="Courier New"/>
                <w:color w:val="auto"/>
                <w:szCs w:val="21"/>
                <w:highlight w:val="none"/>
              </w:rPr>
              <w:t>根据《中华人民共和国政府采购法实施条例》第四十三条及《政府采购非招标采购方式管理办法》（财政部</w:t>
            </w:r>
            <w:r>
              <w:rPr>
                <w:rFonts w:ascii="宋体" w:hAnsi="宋体" w:cs="Courier New"/>
                <w:color w:val="auto"/>
                <w:szCs w:val="21"/>
                <w:highlight w:val="none"/>
              </w:rPr>
              <w:t>74</w:t>
            </w:r>
            <w:r>
              <w:rPr>
                <w:rFonts w:hint="eastAsia" w:ascii="宋体" w:hAnsi="宋体" w:cs="Courier New"/>
                <w:color w:val="auto"/>
                <w:szCs w:val="21"/>
                <w:highlight w:val="none"/>
              </w:rPr>
              <w:t>号）第十八条规定，成交结果公告内容包括成交供应商名称、地址和中标金额，主要成交标的的名称、规格型号、数量、单价、服务要求。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15.1</w:t>
            </w:r>
          </w:p>
        </w:tc>
        <w:tc>
          <w:tcPr>
            <w:tcW w:w="8080" w:type="dxa"/>
            <w:vAlign w:val="center"/>
          </w:tcPr>
          <w:p>
            <w:pPr>
              <w:autoSpaceDE w:val="0"/>
              <w:autoSpaceDN w:val="0"/>
              <w:snapToGrid w:val="0"/>
              <w:spacing w:line="360" w:lineRule="exact"/>
              <w:textAlignment w:val="bottom"/>
              <w:rPr>
                <w:rFonts w:hAnsi="宋体"/>
                <w:color w:val="auto"/>
                <w:highlight w:val="none"/>
              </w:rPr>
            </w:pPr>
            <w:r>
              <w:rPr>
                <w:rFonts w:hint="eastAsia" w:hAnsi="宋体"/>
                <w:color w:val="auto"/>
                <w:highlight w:val="none"/>
              </w:rPr>
              <w:t>履约保证金金额：无。</w:t>
            </w:r>
          </w:p>
          <w:p>
            <w:pPr>
              <w:autoSpaceDE w:val="0"/>
              <w:autoSpaceDN w:val="0"/>
              <w:snapToGrid w:val="0"/>
              <w:spacing w:line="360" w:lineRule="exact"/>
              <w:textAlignment w:val="bottom"/>
              <w:rPr>
                <w:rFonts w:ascii="宋体"/>
                <w:color w:val="auto"/>
                <w:szCs w:val="21"/>
                <w:highlight w:val="none"/>
              </w:rPr>
            </w:pPr>
            <w:r>
              <w:rPr>
                <w:rFonts w:hint="eastAsia" w:ascii="宋体" w:hAnsi="宋体"/>
                <w:color w:val="auto"/>
                <w:szCs w:val="21"/>
                <w:highlight w:val="none"/>
              </w:rPr>
              <w:t>履约保证金递交方式：转账或电汇形式。</w:t>
            </w:r>
          </w:p>
          <w:p>
            <w:pPr>
              <w:autoSpaceDE w:val="0"/>
              <w:autoSpaceDN w:val="0"/>
              <w:snapToGrid w:val="0"/>
              <w:spacing w:line="360" w:lineRule="exact"/>
              <w:textAlignment w:val="bottom"/>
              <w:rPr>
                <w:rFonts w:ascii="宋体"/>
                <w:color w:val="auto"/>
                <w:szCs w:val="21"/>
                <w:highlight w:val="none"/>
              </w:rPr>
            </w:pPr>
            <w:r>
              <w:rPr>
                <w:rFonts w:hint="eastAsia" w:ascii="宋体" w:hAnsi="宋体"/>
                <w:color w:val="auto"/>
                <w:szCs w:val="21"/>
                <w:highlight w:val="none"/>
              </w:rPr>
              <w:t>保证金指定账户：无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16.1</w:t>
            </w:r>
          </w:p>
        </w:tc>
        <w:tc>
          <w:tcPr>
            <w:tcW w:w="8080" w:type="dxa"/>
            <w:vAlign w:val="center"/>
          </w:tcPr>
          <w:p>
            <w:pPr>
              <w:autoSpaceDE w:val="0"/>
              <w:autoSpaceDN w:val="0"/>
              <w:snapToGrid w:val="0"/>
              <w:spacing w:line="360" w:lineRule="exact"/>
              <w:textAlignment w:val="bottom"/>
              <w:rPr>
                <w:rFonts w:ascii="宋体"/>
                <w:color w:val="auto"/>
                <w:szCs w:val="21"/>
                <w:highlight w:val="none"/>
              </w:rPr>
            </w:pPr>
            <w:r>
              <w:rPr>
                <w:rFonts w:hint="eastAsia" w:ascii="宋体" w:hAnsi="宋体"/>
                <w:color w:val="auto"/>
                <w:szCs w:val="21"/>
                <w:highlight w:val="none"/>
              </w:rPr>
              <w:t>签订合同携带的资格证件：营业执照副本原件、单位授权委托书及被授权人身份证原件等其它资格证件。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17</w:t>
            </w:r>
          </w:p>
        </w:tc>
        <w:tc>
          <w:tcPr>
            <w:tcW w:w="8080" w:type="dxa"/>
            <w:vAlign w:val="center"/>
          </w:tcPr>
          <w:p>
            <w:pPr>
              <w:pStyle w:val="13"/>
              <w:snapToGrid w:val="0"/>
              <w:spacing w:line="360" w:lineRule="exact"/>
              <w:rPr>
                <w:rFonts w:hAnsi="宋体" w:cs="Courier New"/>
                <w:color w:val="auto"/>
                <w:kern w:val="2"/>
                <w:sz w:val="21"/>
                <w:highlight w:val="none"/>
              </w:rPr>
            </w:pPr>
            <w:r>
              <w:rPr>
                <w:rFonts w:hint="eastAsia" w:hAnsi="宋体" w:cs="Courier New"/>
                <w:color w:val="auto"/>
                <w:kern w:val="2"/>
                <w:sz w:val="21"/>
                <w:highlight w:val="none"/>
              </w:rPr>
              <w:t>政府采购合同公告。</w:t>
            </w:r>
          </w:p>
          <w:p>
            <w:pPr>
              <w:autoSpaceDE w:val="0"/>
              <w:autoSpaceDN w:val="0"/>
              <w:snapToGrid w:val="0"/>
              <w:spacing w:line="360" w:lineRule="exact"/>
              <w:ind w:firstLine="420" w:firstLineChars="200"/>
              <w:textAlignment w:val="bottom"/>
              <w:rPr>
                <w:rFonts w:hAnsi="宋体"/>
                <w:color w:val="auto"/>
                <w:highlight w:val="none"/>
              </w:rPr>
            </w:pPr>
            <w:r>
              <w:rPr>
                <w:rFonts w:hint="eastAsia" w:hAnsi="宋体"/>
                <w:color w:val="auto"/>
                <w:highlight w:val="none"/>
              </w:rPr>
              <w:t>根据</w:t>
            </w:r>
            <w:r>
              <w:rPr>
                <w:rFonts w:hint="eastAsia" w:ascii="宋体" w:hAnsi="宋体" w:cs="Courier New"/>
                <w:color w:val="auto"/>
                <w:highlight w:val="none"/>
              </w:rPr>
              <w:t>《中华人民共和国政府采购法实施条例》第五十条</w:t>
            </w:r>
            <w:r>
              <w:rPr>
                <w:rFonts w:hint="eastAsia" w:hAnsi="宋体"/>
                <w:color w:val="auto"/>
                <w:highlight w:val="none"/>
              </w:rPr>
              <w:t>规定，采购人应当自政府采购合同签订之日起</w:t>
            </w:r>
            <w:r>
              <w:rPr>
                <w:rFonts w:hAnsi="宋体"/>
                <w:color w:val="auto"/>
                <w:highlight w:val="none"/>
              </w:rPr>
              <w:t>2</w:t>
            </w:r>
            <w:r>
              <w:rPr>
                <w:rFonts w:hint="eastAsia" w:hAnsi="宋体"/>
                <w:color w:val="auto"/>
                <w:highlight w:val="none"/>
              </w:rPr>
              <w:t>个工作日内，将政府采购合同在省级以上人民政府财政部门指定的媒体上公告，</w:t>
            </w:r>
            <w:r>
              <w:rPr>
                <w:rFonts w:hint="eastAsia" w:ascii="宋体" w:hAnsi="宋体" w:cs="Courier New"/>
                <w:color w:val="auto"/>
                <w:highlight w:val="none"/>
              </w:rPr>
              <w:t>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p>
        </w:tc>
        <w:tc>
          <w:tcPr>
            <w:tcW w:w="8080" w:type="dxa"/>
            <w:vAlign w:val="center"/>
          </w:tcPr>
          <w:p>
            <w:pPr>
              <w:autoSpaceDE w:val="0"/>
              <w:autoSpaceDN w:val="0"/>
              <w:snapToGrid w:val="0"/>
              <w:spacing w:line="360" w:lineRule="exact"/>
              <w:ind w:firstLine="420" w:firstLineChars="200"/>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、本文件中描述供应商的</w:t>
            </w:r>
            <w:r>
              <w:rPr>
                <w:rFonts w:hint="eastAsia" w:ascii="宋体" w:cs="宋体"/>
                <w:color w:val="auto"/>
                <w:szCs w:val="21"/>
                <w:highlight w:val="none"/>
              </w:rPr>
              <w:t>“</w:t>
            </w:r>
            <w:r>
              <w:rPr>
                <w:rFonts w:hint="eastAsia" w:ascii="宋体" w:hAnsi="宋体" w:cs="宋体"/>
                <w:color w:val="auto"/>
                <w:szCs w:val="21"/>
                <w:highlight w:val="none"/>
              </w:rPr>
              <w:t>公章</w:t>
            </w:r>
            <w:r>
              <w:rPr>
                <w:rFonts w:hint="eastAsia" w:ascii="宋体" w:cs="宋体"/>
                <w:color w:val="auto"/>
                <w:szCs w:val="21"/>
                <w:highlight w:val="none"/>
              </w:rPr>
              <w:t>”</w:t>
            </w:r>
            <w:r>
              <w:rPr>
                <w:rFonts w:hint="eastAsia" w:ascii="宋体" w:hAnsi="宋体" w:cs="宋体"/>
                <w:color w:val="auto"/>
                <w:szCs w:val="21"/>
                <w:highlight w:val="none"/>
              </w:rPr>
              <w:t>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autoSpaceDE w:val="0"/>
              <w:autoSpaceDN w:val="0"/>
              <w:snapToGrid w:val="0"/>
              <w:spacing w:line="360" w:lineRule="exact"/>
              <w:ind w:firstLine="420" w:firstLineChars="200"/>
              <w:textAlignment w:val="bottom"/>
              <w:rPr>
                <w:rFonts w:ascii="宋体" w:cs="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宋体"/>
                <w:color w:val="auto"/>
                <w:szCs w:val="21"/>
                <w:highlight w:val="none"/>
              </w:rPr>
              <w:t>本文件中描述供应商的</w:t>
            </w:r>
            <w:r>
              <w:rPr>
                <w:rFonts w:hint="eastAsia" w:ascii="宋体" w:cs="宋体"/>
                <w:color w:val="auto"/>
                <w:szCs w:val="21"/>
                <w:highlight w:val="none"/>
              </w:rPr>
              <w:t>“</w:t>
            </w:r>
            <w:r>
              <w:rPr>
                <w:rFonts w:hint="eastAsia" w:ascii="宋体" w:hAnsi="宋体" w:cs="宋体"/>
                <w:color w:val="auto"/>
                <w:szCs w:val="21"/>
                <w:highlight w:val="none"/>
              </w:rPr>
              <w:t>签字</w:t>
            </w:r>
            <w:r>
              <w:rPr>
                <w:rFonts w:hint="eastAsia" w:ascii="宋体" w:cs="宋体"/>
                <w:color w:val="auto"/>
                <w:szCs w:val="21"/>
                <w:highlight w:val="none"/>
              </w:rPr>
              <w:t>”</w:t>
            </w:r>
            <w:r>
              <w:rPr>
                <w:rFonts w:hint="eastAsia" w:ascii="宋体" w:hAnsi="宋体" w:cs="宋体"/>
                <w:color w:val="auto"/>
                <w:szCs w:val="21"/>
                <w:highlight w:val="none"/>
              </w:rPr>
              <w:t>是指供应商的法定代表人或被授权人亲自在文件规定签署处亲笔写上个人的名字的行为，私章、签字章、印鉴、影印等其它形式均不能代替亲笔签字。</w:t>
            </w:r>
          </w:p>
        </w:tc>
      </w:tr>
    </w:tbl>
    <w:p>
      <w:pPr>
        <w:spacing w:line="400" w:lineRule="exact"/>
        <w:jc w:val="center"/>
        <w:rPr>
          <w:rFonts w:ascii="宋体"/>
          <w:b/>
          <w:color w:val="auto"/>
          <w:sz w:val="32"/>
          <w:szCs w:val="32"/>
          <w:highlight w:val="none"/>
        </w:rPr>
      </w:pPr>
    </w:p>
    <w:p>
      <w:pPr>
        <w:spacing w:line="400" w:lineRule="exact"/>
        <w:jc w:val="center"/>
        <w:rPr>
          <w:rFonts w:ascii="宋体"/>
          <w:b/>
          <w:color w:val="auto"/>
          <w:sz w:val="32"/>
          <w:szCs w:val="32"/>
          <w:highlight w:val="none"/>
        </w:rPr>
      </w:pPr>
      <w:r>
        <w:rPr>
          <w:rFonts w:ascii="宋体"/>
          <w:b/>
          <w:color w:val="auto"/>
          <w:sz w:val="32"/>
          <w:szCs w:val="32"/>
          <w:highlight w:val="none"/>
        </w:rPr>
        <w:br w:type="page"/>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pPr>
        <w:pStyle w:val="3"/>
        <w:spacing w:before="0" w:after="0" w:line="500" w:lineRule="exact"/>
        <w:rPr>
          <w:color w:val="auto"/>
          <w:sz w:val="21"/>
          <w:szCs w:val="21"/>
          <w:highlight w:val="none"/>
        </w:rPr>
      </w:pPr>
      <w:bookmarkStart w:id="5" w:name="_Toc496610487"/>
      <w:r>
        <w:rPr>
          <w:rFonts w:hint="eastAsia"/>
          <w:color w:val="auto"/>
          <w:sz w:val="21"/>
          <w:szCs w:val="21"/>
          <w:highlight w:val="none"/>
        </w:rPr>
        <w:t>一、总　则</w:t>
      </w:r>
      <w:bookmarkEnd w:id="5"/>
    </w:p>
    <w:p>
      <w:pPr>
        <w:spacing w:line="360" w:lineRule="exact"/>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适用范围</w:t>
      </w:r>
    </w:p>
    <w:p>
      <w:pPr>
        <w:spacing w:line="360" w:lineRule="exact"/>
        <w:ind w:left="420" w:hanging="420"/>
        <w:rPr>
          <w:rFonts w:ascii="宋体"/>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本文件仅适用于本文件中所叙述的货物、服务类政府采购项目。</w:t>
      </w:r>
    </w:p>
    <w:p>
      <w:pPr>
        <w:spacing w:line="360" w:lineRule="exact"/>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定义</w:t>
      </w:r>
    </w:p>
    <w:p>
      <w:pPr>
        <w:spacing w:line="360" w:lineRule="exact"/>
        <w:rPr>
          <w:rFonts w:asci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“采购人”是指：依法进行采购的国家机关、事业单位、团体组织。</w:t>
      </w:r>
    </w:p>
    <w:p>
      <w:pPr>
        <w:spacing w:line="360" w:lineRule="exact"/>
        <w:rPr>
          <w:rFonts w:ascii="宋体"/>
          <w:color w:val="auto"/>
          <w:szCs w:val="21"/>
          <w:highlight w:val="none"/>
          <w:u w:val="single"/>
        </w:rPr>
      </w:pPr>
      <w:r>
        <w:rPr>
          <w:rFonts w:ascii="宋体" w:hAnsi="宋体"/>
          <w:color w:val="auto"/>
          <w:szCs w:val="21"/>
          <w:highlight w:val="none"/>
        </w:rPr>
        <w:t>2.2</w:t>
      </w:r>
      <w:r>
        <w:rPr>
          <w:rFonts w:hint="eastAsia" w:ascii="宋体" w:hAnsi="宋体"/>
          <w:color w:val="auto"/>
          <w:szCs w:val="21"/>
          <w:highlight w:val="none"/>
        </w:rPr>
        <w:t>“采购代理机构”是指：</w:t>
      </w:r>
      <w:r>
        <w:rPr>
          <w:rFonts w:hint="eastAsia" w:ascii="宋体" w:hAnsi="宋体"/>
          <w:color w:val="auto"/>
          <w:szCs w:val="21"/>
          <w:highlight w:val="none"/>
          <w:u w:val="single"/>
        </w:rPr>
        <w:t>广西万盯卯招标咨询有限公司。</w:t>
      </w:r>
    </w:p>
    <w:p>
      <w:pPr>
        <w:spacing w:line="360" w:lineRule="exact"/>
        <w:rPr>
          <w:rFonts w:asci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“供应商”是指响应本文件要求，参加谈判的法人或者其他组织。如果该供应商在本次谈判中成交</w:t>
      </w:r>
      <w:r>
        <w:rPr>
          <w:rFonts w:ascii="宋体"/>
          <w:color w:val="auto"/>
          <w:szCs w:val="21"/>
          <w:highlight w:val="none"/>
        </w:rPr>
        <w:t>,</w:t>
      </w:r>
      <w:r>
        <w:rPr>
          <w:rFonts w:hint="eastAsia" w:ascii="宋体" w:hAnsi="宋体"/>
          <w:color w:val="auto"/>
          <w:szCs w:val="21"/>
          <w:highlight w:val="none"/>
        </w:rPr>
        <w:t>即成为“成交供应商”。</w:t>
      </w:r>
    </w:p>
    <w:p>
      <w:pPr>
        <w:spacing w:line="360" w:lineRule="exact"/>
        <w:ind w:left="420" w:hanging="420"/>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“货物”是指各种形态和种类的物品，包括原材料、燃料、设备、产品等。</w:t>
      </w:r>
    </w:p>
    <w:p>
      <w:pPr>
        <w:spacing w:line="360" w:lineRule="exact"/>
        <w:ind w:left="420" w:hanging="420"/>
        <w:rPr>
          <w:rFonts w:ascii="宋体"/>
          <w:color w:val="auto"/>
          <w:szCs w:val="21"/>
          <w:highlight w:val="none"/>
        </w:rPr>
      </w:pPr>
      <w:r>
        <w:rPr>
          <w:rFonts w:ascii="宋体" w:hAnsi="宋体"/>
          <w:color w:val="auto"/>
          <w:szCs w:val="21"/>
          <w:highlight w:val="none"/>
        </w:rPr>
        <w:t>2.5</w:t>
      </w:r>
      <w:r>
        <w:rPr>
          <w:rFonts w:hint="eastAsia" w:ascii="宋体" w:hAnsi="宋体"/>
          <w:color w:val="auto"/>
          <w:szCs w:val="21"/>
          <w:highlight w:val="none"/>
        </w:rPr>
        <w:t>“服务”是指除货物和工程以外的其他政府采购对象。</w:t>
      </w:r>
    </w:p>
    <w:p>
      <w:pPr>
        <w:spacing w:line="360" w:lineRule="exact"/>
        <w:ind w:left="420" w:hanging="420"/>
        <w:rPr>
          <w:rFonts w:ascii="宋体"/>
          <w:color w:val="auto"/>
          <w:szCs w:val="21"/>
          <w:highlight w:val="none"/>
        </w:rPr>
      </w:pPr>
      <w:r>
        <w:rPr>
          <w:rFonts w:ascii="宋体" w:hAnsi="宋体"/>
          <w:color w:val="auto"/>
          <w:szCs w:val="21"/>
          <w:highlight w:val="none"/>
        </w:rPr>
        <w:t>2.6</w:t>
      </w:r>
      <w:r>
        <w:rPr>
          <w:rFonts w:hint="eastAsia" w:ascii="宋体" w:hAnsi="宋体"/>
          <w:color w:val="auto"/>
          <w:szCs w:val="21"/>
          <w:highlight w:val="none"/>
        </w:rPr>
        <w:t>“响应文件”是指：供应商根据本文件要求，编制包含报价、技术和服务等所有内容的文件。</w:t>
      </w:r>
    </w:p>
    <w:p>
      <w:pPr>
        <w:spacing w:line="360" w:lineRule="exact"/>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供应商的基本条件：详见须知前附表。</w:t>
      </w:r>
    </w:p>
    <w:p>
      <w:pPr>
        <w:spacing w:line="360" w:lineRule="exact"/>
        <w:rPr>
          <w:rFonts w:asci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rPr>
        <w:t>谈判费用、代理服务费、谈判文件的澄清和修改</w:t>
      </w:r>
    </w:p>
    <w:p>
      <w:pPr>
        <w:spacing w:line="360" w:lineRule="exact"/>
        <w:rPr>
          <w:rFonts w:asci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谈判费用：供应商应自行承担所有与编写和提交响应文件有关的费用，不论谈判结果如何，采购人和采购代理机构在任何情况下无义务和责任承担此类费用。</w:t>
      </w:r>
    </w:p>
    <w:p>
      <w:pPr>
        <w:spacing w:line="360" w:lineRule="exact"/>
        <w:ind w:left="420" w:hanging="420"/>
        <w:rPr>
          <w:rFonts w:asci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代理服务费：本项目的代理服务费按须知</w:t>
      </w:r>
      <w:r>
        <w:rPr>
          <w:rFonts w:hint="eastAsia" w:ascii="宋体"/>
          <w:bCs/>
          <w:color w:val="auto"/>
          <w:szCs w:val="20"/>
          <w:highlight w:val="none"/>
        </w:rPr>
        <w:t>前附表</w:t>
      </w:r>
      <w:r>
        <w:rPr>
          <w:rFonts w:hint="eastAsia" w:ascii="宋体" w:hAnsi="宋体"/>
          <w:color w:val="auto"/>
          <w:szCs w:val="21"/>
          <w:highlight w:val="none"/>
        </w:rPr>
        <w:t>的规定执行，</w:t>
      </w:r>
      <w:r>
        <w:rPr>
          <w:rFonts w:hint="eastAsia" w:ascii="宋体" w:hAnsi="宋体"/>
          <w:color w:val="auto"/>
          <w:szCs w:val="21"/>
          <w:highlight w:val="none"/>
          <w:u w:val="single"/>
        </w:rPr>
        <w:t>由成交单位向采购代理机构支付</w:t>
      </w:r>
      <w:r>
        <w:rPr>
          <w:rFonts w:hint="eastAsia" w:ascii="宋体" w:hAnsi="宋体"/>
          <w:color w:val="auto"/>
          <w:szCs w:val="21"/>
          <w:highlight w:val="none"/>
        </w:rPr>
        <w:t>。</w:t>
      </w:r>
    </w:p>
    <w:p>
      <w:pPr>
        <w:spacing w:line="360" w:lineRule="exact"/>
        <w:ind w:left="420" w:hanging="420"/>
        <w:rPr>
          <w:rFonts w:asci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谈判文件的澄清和修改：</w:t>
      </w:r>
    </w:p>
    <w:p>
      <w:pPr>
        <w:spacing w:line="360" w:lineRule="exact"/>
        <w:rPr>
          <w:rFonts w:asci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供应商应认真阅读谈判文件的采购需求，如发现需求中有误或要求不合理的，供应商必须在提交首次响应文件截止之日前，以书面形式向采购人、采购代理机构提出。</w:t>
      </w:r>
    </w:p>
    <w:p>
      <w:pPr>
        <w:spacing w:line="360" w:lineRule="exact"/>
        <w:rPr>
          <w:rFonts w:asci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olor w:val="auto"/>
          <w:szCs w:val="21"/>
          <w:highlight w:val="none"/>
        </w:rPr>
        <w:t>3</w:t>
      </w:r>
      <w:r>
        <w:rPr>
          <w:rFonts w:hint="eastAsia" w:ascii="宋体" w:hAnsi="宋体"/>
          <w:color w:val="auto"/>
          <w:szCs w:val="21"/>
          <w:highlight w:val="none"/>
        </w:rPr>
        <w:t>个工作日前，以书面形式通知所有接收谈判文件的供应商，不足</w:t>
      </w:r>
      <w:r>
        <w:rPr>
          <w:rFonts w:ascii="宋体" w:hAnsi="宋体"/>
          <w:color w:val="auto"/>
          <w:szCs w:val="21"/>
          <w:highlight w:val="none"/>
        </w:rPr>
        <w:t>3</w:t>
      </w:r>
      <w:r>
        <w:rPr>
          <w:rFonts w:hint="eastAsia" w:ascii="宋体" w:hAnsi="宋体"/>
          <w:color w:val="auto"/>
          <w:szCs w:val="21"/>
          <w:highlight w:val="none"/>
        </w:rPr>
        <w:t>个工作日的，应当顺延提交首次响应文件截止之日。</w:t>
      </w:r>
    </w:p>
    <w:p>
      <w:pPr>
        <w:spacing w:line="360" w:lineRule="exact"/>
        <w:rPr>
          <w:rFonts w:asci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联合体竞标</w:t>
      </w:r>
    </w:p>
    <w:p>
      <w:pPr>
        <w:spacing w:line="360" w:lineRule="exact"/>
        <w:rPr>
          <w:rFonts w:asci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联合体竞标要求</w:t>
      </w:r>
      <w:r>
        <w:rPr>
          <w:rFonts w:ascii="宋体" w:hAnsi="宋体"/>
          <w:color w:val="auto"/>
          <w:szCs w:val="21"/>
          <w:highlight w:val="none"/>
        </w:rPr>
        <w:t>:</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）两个以上供应商可以组成一个竞标联合体，以一个供应商的身份竞标。联合体竞标的，须提供《联合体竞标协议》（格式见附件）。</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）以联合体形式参加投标的，联合体各方均应当符合“具有独立承担民事责任的能力”的条件。本项目有特殊要求规定供应商特定条件的，联合体各方中至少应当有一方符合谈判文件规定的特定条件。</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）竞标联合体的业绩和信誉按联合体主体方（或牵头方）计算。</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）竞标联合体供应商的相同资质按最低的一方计算。</w:t>
      </w:r>
    </w:p>
    <w:p>
      <w:pPr>
        <w:spacing w:line="360" w:lineRule="exact"/>
        <w:rPr>
          <w:rFonts w:asci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color w:val="auto"/>
          <w:szCs w:val="21"/>
          <w:highlight w:val="none"/>
        </w:rPr>
        <w:t>30%</w:t>
      </w:r>
      <w:r>
        <w:rPr>
          <w:rFonts w:hint="eastAsia" w:ascii="宋体" w:hAnsi="宋体"/>
          <w:color w:val="auto"/>
          <w:szCs w:val="21"/>
          <w:highlight w:val="none"/>
        </w:rPr>
        <w:t>以上的，可给予联合体</w:t>
      </w:r>
      <w:r>
        <w:rPr>
          <w:rFonts w:ascii="宋体" w:hAnsi="宋体"/>
          <w:color w:val="auto"/>
          <w:szCs w:val="21"/>
          <w:highlight w:val="none"/>
        </w:rPr>
        <w:t>2%-3%</w:t>
      </w:r>
      <w:r>
        <w:rPr>
          <w:rFonts w:hint="eastAsia" w:ascii="宋体" w:hAnsi="宋体"/>
          <w:color w:val="auto"/>
          <w:szCs w:val="21"/>
          <w:highlight w:val="none"/>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3"/>
        <w:spacing w:before="0" w:after="0" w:line="500" w:lineRule="exact"/>
        <w:rPr>
          <w:color w:val="auto"/>
          <w:sz w:val="21"/>
          <w:szCs w:val="21"/>
          <w:highlight w:val="none"/>
        </w:rPr>
      </w:pPr>
      <w:bookmarkStart w:id="6" w:name="_Toc496610488"/>
      <w:r>
        <w:rPr>
          <w:rFonts w:hint="eastAsia"/>
          <w:color w:val="auto"/>
          <w:sz w:val="21"/>
          <w:szCs w:val="21"/>
          <w:highlight w:val="none"/>
        </w:rPr>
        <w:t>二、响应文件的编制</w:t>
      </w:r>
      <w:bookmarkEnd w:id="6"/>
    </w:p>
    <w:p>
      <w:pPr>
        <w:spacing w:line="360" w:lineRule="exact"/>
        <w:rPr>
          <w:rFonts w:asci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响应文件编制基本要求</w:t>
      </w:r>
    </w:p>
    <w:p>
      <w:pPr>
        <w:spacing w:line="360" w:lineRule="exact"/>
        <w:ind w:left="420" w:hanging="420"/>
        <w:rPr>
          <w:rFonts w:asci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供应商对响应文件的编制应按要求装订和封装。</w:t>
      </w:r>
    </w:p>
    <w:p>
      <w:pPr>
        <w:spacing w:line="360" w:lineRule="exact"/>
        <w:rPr>
          <w:rFonts w:ascii="宋体"/>
          <w:color w:val="auto"/>
          <w:szCs w:val="21"/>
          <w:highlight w:val="none"/>
        </w:rPr>
      </w:pPr>
      <w:r>
        <w:rPr>
          <w:rFonts w:ascii="宋体" w:hAnsi="宋体"/>
          <w:color w:val="auto"/>
          <w:szCs w:val="21"/>
          <w:highlight w:val="none"/>
        </w:rPr>
        <w:t>6.2</w:t>
      </w:r>
      <w:r>
        <w:rPr>
          <w:rFonts w:hint="eastAsia" w:ascii="宋体" w:hAnsi="宋体"/>
          <w:color w:val="auto"/>
          <w:szCs w:val="21"/>
          <w:highlight w:val="none"/>
        </w:rPr>
        <w:t>供应商提交的响应文件以及供应商与</w:t>
      </w:r>
      <w:r>
        <w:rPr>
          <w:rFonts w:hint="eastAsia" w:ascii="宋体" w:hAnsi="宋体"/>
          <w:color w:val="auto"/>
          <w:szCs w:val="21"/>
          <w:highlight w:val="none"/>
          <w:u w:val="single"/>
        </w:rPr>
        <w:t>采购代理机构</w:t>
      </w:r>
      <w:r>
        <w:rPr>
          <w:rFonts w:hint="eastAsia" w:ascii="宋体" w:hAnsi="宋体"/>
          <w:color w:val="auto"/>
          <w:szCs w:val="21"/>
          <w:highlight w:val="none"/>
        </w:rPr>
        <w:t>和采购人就有关谈判的所有来往函电均应使用中文件，供应商提交的支持文件和印刷的文献可以使用别的语言，但其相应内容必须附有中文翻译文本，在解释响应文件时以翻译文本为主。</w:t>
      </w:r>
    </w:p>
    <w:p>
      <w:pPr>
        <w:spacing w:line="360" w:lineRule="exact"/>
        <w:rPr>
          <w:rFonts w:ascii="宋体"/>
          <w:color w:val="auto"/>
          <w:szCs w:val="21"/>
          <w:highlight w:val="none"/>
        </w:rPr>
      </w:pPr>
      <w:r>
        <w:rPr>
          <w:rFonts w:ascii="宋体" w:hAnsi="宋体"/>
          <w:color w:val="auto"/>
          <w:szCs w:val="21"/>
          <w:highlight w:val="none"/>
        </w:rPr>
        <w:t>6.3</w:t>
      </w:r>
      <w:r>
        <w:rPr>
          <w:rFonts w:hint="eastAsia" w:ascii="宋体" w:hAnsi="宋体"/>
          <w:color w:val="auto"/>
          <w:szCs w:val="21"/>
          <w:highlight w:val="none"/>
        </w:rPr>
        <w:t>供应商应认真阅读、并充分理解本文件的全部内容（包括所有的补充、修改内容），承诺并履行本文件中各项条款规定及要求。</w:t>
      </w:r>
    </w:p>
    <w:p>
      <w:pPr>
        <w:spacing w:line="360" w:lineRule="exact"/>
        <w:ind w:left="420" w:hanging="420"/>
        <w:rPr>
          <w:rFonts w:ascii="宋体"/>
          <w:color w:val="auto"/>
          <w:szCs w:val="21"/>
          <w:highlight w:val="none"/>
        </w:rPr>
      </w:pPr>
      <w:r>
        <w:rPr>
          <w:rFonts w:ascii="宋体" w:hAnsi="宋体"/>
          <w:color w:val="auto"/>
          <w:szCs w:val="21"/>
          <w:highlight w:val="none"/>
        </w:rPr>
        <w:t>6.4</w:t>
      </w:r>
      <w:r>
        <w:rPr>
          <w:rFonts w:hint="eastAsia" w:ascii="宋体" w:hAnsi="宋体"/>
          <w:color w:val="auto"/>
          <w:szCs w:val="21"/>
          <w:highlight w:val="none"/>
        </w:rPr>
        <w:t>响应文件必须按本文件的全部内容，包括所有的补充通知及附件进行编制。</w:t>
      </w:r>
    </w:p>
    <w:p>
      <w:pPr>
        <w:spacing w:line="360" w:lineRule="exact"/>
        <w:rPr>
          <w:rFonts w:ascii="宋体"/>
          <w:color w:val="auto"/>
          <w:szCs w:val="21"/>
          <w:highlight w:val="none"/>
        </w:rPr>
      </w:pPr>
      <w:r>
        <w:rPr>
          <w:rFonts w:ascii="宋体" w:hAnsi="宋体"/>
          <w:color w:val="auto"/>
          <w:szCs w:val="21"/>
          <w:highlight w:val="none"/>
        </w:rPr>
        <w:t>6.5</w:t>
      </w:r>
      <w:r>
        <w:rPr>
          <w:rFonts w:hint="eastAsia" w:ascii="宋体" w:hAnsi="宋体"/>
          <w:color w:val="auto"/>
          <w:szCs w:val="21"/>
          <w:highlight w:val="none"/>
        </w:rPr>
        <w:t>如因供应商只填写和提供了本文件要求的部分内容和附件，而给评审造成困难，其可能导致的结果和责任由供应商自行承担。</w:t>
      </w:r>
    </w:p>
    <w:p>
      <w:pPr>
        <w:spacing w:line="360" w:lineRule="exact"/>
        <w:rPr>
          <w:rFonts w:ascii="宋体"/>
          <w:color w:val="auto"/>
          <w:szCs w:val="21"/>
          <w:highlight w:val="none"/>
        </w:rPr>
      </w:pPr>
      <w:r>
        <w:rPr>
          <w:rFonts w:ascii="宋体" w:hAnsi="宋体"/>
          <w:color w:val="auto"/>
          <w:szCs w:val="21"/>
          <w:highlight w:val="none"/>
        </w:rPr>
        <w:t>6.6</w:t>
      </w:r>
      <w:r>
        <w:rPr>
          <w:rFonts w:hint="eastAsia" w:ascii="宋体" w:hAnsi="宋体"/>
          <w:color w:val="auto"/>
          <w:szCs w:val="21"/>
          <w:highlight w:val="none"/>
        </w:rPr>
        <w:t>响应文件的组成。</w:t>
      </w:r>
    </w:p>
    <w:p>
      <w:pPr>
        <w:spacing w:line="360" w:lineRule="exact"/>
        <w:rPr>
          <w:rFonts w:ascii="宋体"/>
          <w:color w:val="auto"/>
          <w:szCs w:val="21"/>
          <w:highlight w:val="none"/>
        </w:rPr>
      </w:pPr>
      <w:r>
        <w:rPr>
          <w:rFonts w:hint="eastAsia" w:ascii="宋体" w:hAnsi="宋体"/>
          <w:color w:val="auto"/>
          <w:szCs w:val="21"/>
          <w:highlight w:val="none"/>
        </w:rPr>
        <w:t>响应文件应分为价格文件和商务技术文件两个部分组成。</w:t>
      </w:r>
    </w:p>
    <w:p>
      <w:pPr>
        <w:spacing w:line="360" w:lineRule="exact"/>
        <w:rPr>
          <w:rFonts w:ascii="宋体"/>
          <w:color w:val="auto"/>
          <w:szCs w:val="21"/>
          <w:highlight w:val="none"/>
        </w:rPr>
      </w:pPr>
      <w:r>
        <w:rPr>
          <w:rFonts w:ascii="宋体" w:hAnsi="宋体"/>
          <w:color w:val="auto"/>
          <w:szCs w:val="21"/>
          <w:highlight w:val="none"/>
        </w:rPr>
        <w:t>6.6.1</w:t>
      </w:r>
      <w:r>
        <w:rPr>
          <w:rFonts w:hint="eastAsia" w:ascii="宋体" w:hAnsi="宋体"/>
          <w:color w:val="auto"/>
          <w:szCs w:val="21"/>
          <w:highlight w:val="none"/>
        </w:rPr>
        <w:t>价格文件：详见须知前附表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 xml:space="preserve">6.6.2 </w:t>
      </w:r>
      <w:r>
        <w:rPr>
          <w:rFonts w:hint="eastAsia" w:ascii="宋体" w:hAnsi="宋体"/>
          <w:color w:val="auto"/>
          <w:szCs w:val="21"/>
          <w:highlight w:val="none"/>
        </w:rPr>
        <w:t>商务技术文件：详见须知前附表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6.7</w:t>
      </w:r>
      <w:r>
        <w:rPr>
          <w:rFonts w:hint="eastAsia" w:ascii="宋体" w:hAnsi="宋体"/>
          <w:color w:val="auto"/>
          <w:szCs w:val="21"/>
          <w:highlight w:val="none"/>
        </w:rPr>
        <w:t>响应文件电子版：详见须知前附表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6.8</w:t>
      </w:r>
      <w:r>
        <w:rPr>
          <w:rFonts w:hint="eastAsia" w:ascii="宋体" w:hAnsi="宋体"/>
          <w:color w:val="auto"/>
          <w:szCs w:val="21"/>
          <w:highlight w:val="none"/>
        </w:rPr>
        <w:t>响应文件有效期：详见须知前附表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6.9</w:t>
      </w:r>
      <w:r>
        <w:rPr>
          <w:rFonts w:hint="eastAsia" w:ascii="宋体" w:hAnsi="宋体"/>
          <w:color w:val="auto"/>
          <w:szCs w:val="21"/>
          <w:highlight w:val="none"/>
        </w:rPr>
        <w:t>谈判保证金：详见须知前附表</w:t>
      </w:r>
    </w:p>
    <w:p>
      <w:pPr>
        <w:spacing w:line="360" w:lineRule="exact"/>
        <w:rPr>
          <w:rFonts w:asci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计量单位</w:t>
      </w:r>
    </w:p>
    <w:p>
      <w:pPr>
        <w:spacing w:line="360" w:lineRule="exact"/>
        <w:ind w:left="420" w:hanging="420"/>
        <w:rPr>
          <w:rFonts w:asci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除技术要求中另有规定外，本文件所要求使用的计量单位均应采用国家法定计量单位。</w:t>
      </w:r>
    </w:p>
    <w:p>
      <w:pPr>
        <w:pStyle w:val="3"/>
        <w:spacing w:before="0" w:after="0" w:line="500" w:lineRule="exact"/>
        <w:rPr>
          <w:color w:val="auto"/>
          <w:sz w:val="21"/>
          <w:szCs w:val="21"/>
          <w:highlight w:val="none"/>
        </w:rPr>
      </w:pPr>
      <w:bookmarkStart w:id="7" w:name="_Toc496610489"/>
      <w:r>
        <w:rPr>
          <w:rFonts w:hint="eastAsia"/>
          <w:color w:val="auto"/>
          <w:sz w:val="21"/>
          <w:szCs w:val="21"/>
          <w:highlight w:val="none"/>
        </w:rPr>
        <w:t>三、谈判报价要求</w:t>
      </w:r>
      <w:bookmarkEnd w:id="7"/>
    </w:p>
    <w:p>
      <w:pPr>
        <w:spacing w:line="360" w:lineRule="exact"/>
        <w:rPr>
          <w:rFonts w:ascii="宋体"/>
          <w:color w:val="auto"/>
          <w:szCs w:val="21"/>
          <w:highlight w:val="none"/>
        </w:rPr>
      </w:pPr>
      <w:r>
        <w:rPr>
          <w:rFonts w:ascii="宋体" w:hAnsi="宋体"/>
          <w:color w:val="auto"/>
          <w:szCs w:val="21"/>
          <w:highlight w:val="none"/>
        </w:rPr>
        <w:t>8.1</w:t>
      </w:r>
      <w:r>
        <w:rPr>
          <w:rFonts w:hint="eastAsia" w:ascii="宋体" w:hAnsi="宋体"/>
          <w:color w:val="auto"/>
          <w:szCs w:val="21"/>
          <w:highlight w:val="none"/>
        </w:rPr>
        <w:t>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hanging="420"/>
        <w:rPr>
          <w:rFonts w:ascii="宋体"/>
          <w:color w:val="auto"/>
          <w:szCs w:val="21"/>
          <w:highlight w:val="none"/>
        </w:rPr>
      </w:pPr>
      <w:r>
        <w:rPr>
          <w:rFonts w:ascii="宋体" w:hAnsi="宋体"/>
          <w:color w:val="auto"/>
          <w:szCs w:val="21"/>
          <w:highlight w:val="none"/>
        </w:rPr>
        <w:t>8.2</w:t>
      </w:r>
      <w:r>
        <w:rPr>
          <w:rFonts w:hint="eastAsia" w:ascii="宋体" w:hAnsi="宋体"/>
          <w:color w:val="auto"/>
          <w:szCs w:val="21"/>
          <w:highlight w:val="none"/>
        </w:rPr>
        <w:t>成交供应商负责本项目所需货物的制造、运输、售后服务等全部工作。</w:t>
      </w:r>
    </w:p>
    <w:p>
      <w:pPr>
        <w:pStyle w:val="3"/>
        <w:spacing w:before="0" w:after="0" w:line="500" w:lineRule="exact"/>
        <w:rPr>
          <w:color w:val="auto"/>
          <w:sz w:val="21"/>
          <w:szCs w:val="21"/>
          <w:highlight w:val="none"/>
        </w:rPr>
      </w:pPr>
      <w:bookmarkStart w:id="8" w:name="_Toc496610490"/>
      <w:r>
        <w:rPr>
          <w:rFonts w:hint="eastAsia"/>
          <w:color w:val="auto"/>
          <w:sz w:val="21"/>
          <w:szCs w:val="21"/>
          <w:highlight w:val="none"/>
        </w:rPr>
        <w:t>四、响应文件的份数、封装和递交</w:t>
      </w:r>
      <w:bookmarkEnd w:id="8"/>
    </w:p>
    <w:p>
      <w:pPr>
        <w:spacing w:line="360" w:lineRule="exact"/>
        <w:ind w:left="420" w:hanging="420"/>
        <w:rPr>
          <w:rFonts w:ascii="宋体"/>
          <w:color w:val="auto"/>
          <w:szCs w:val="21"/>
          <w:highlight w:val="none"/>
        </w:rPr>
      </w:pPr>
      <w:r>
        <w:rPr>
          <w:rFonts w:ascii="宋体" w:hAnsi="宋体"/>
          <w:color w:val="auto"/>
          <w:szCs w:val="21"/>
          <w:highlight w:val="none"/>
        </w:rPr>
        <w:t xml:space="preserve">9. </w:t>
      </w:r>
      <w:r>
        <w:rPr>
          <w:rFonts w:hint="eastAsia" w:ascii="宋体" w:hAnsi="宋体"/>
          <w:color w:val="auto"/>
          <w:szCs w:val="21"/>
          <w:highlight w:val="none"/>
        </w:rPr>
        <w:t>响应文件的份数和封装</w:t>
      </w:r>
    </w:p>
    <w:p>
      <w:pPr>
        <w:spacing w:line="360" w:lineRule="exact"/>
        <w:rPr>
          <w:rFonts w:ascii="宋体"/>
          <w:color w:val="auto"/>
          <w:szCs w:val="21"/>
          <w:highlight w:val="none"/>
        </w:rPr>
      </w:pPr>
      <w:r>
        <w:rPr>
          <w:rFonts w:ascii="宋体" w:hAnsi="宋体"/>
          <w:color w:val="auto"/>
          <w:szCs w:val="21"/>
          <w:highlight w:val="none"/>
        </w:rPr>
        <w:t>9.1</w:t>
      </w:r>
      <w:r>
        <w:rPr>
          <w:rFonts w:hint="eastAsia" w:ascii="宋体" w:hAnsi="宋体"/>
          <w:color w:val="auto"/>
          <w:szCs w:val="21"/>
          <w:highlight w:val="none"/>
        </w:rPr>
        <w:t>供应商应将响应文件按“价格文件”和“商务技术文件”顺序编制并装订成册，响应文件的正、副本全部</w:t>
      </w:r>
      <w:r>
        <w:rPr>
          <w:rFonts w:hint="eastAsia"/>
          <w:color w:val="auto"/>
          <w:highlight w:val="none"/>
        </w:rPr>
        <w:t>装入一个文件袋</w:t>
      </w:r>
      <w:r>
        <w:rPr>
          <w:rFonts w:hint="eastAsia" w:ascii="宋体" w:hAnsi="宋体"/>
          <w:color w:val="auto"/>
          <w:szCs w:val="21"/>
          <w:highlight w:val="none"/>
        </w:rPr>
        <w:t>（盒、箱）</w:t>
      </w:r>
      <w:r>
        <w:rPr>
          <w:rFonts w:hint="eastAsia"/>
          <w:color w:val="auto"/>
          <w:highlight w:val="none"/>
        </w:rPr>
        <w:t>中并加以密封，封口处必须加盖供应商单位公章以示密封。</w:t>
      </w:r>
    </w:p>
    <w:p>
      <w:pPr>
        <w:spacing w:line="360" w:lineRule="exact"/>
        <w:ind w:left="420" w:hanging="420"/>
        <w:rPr>
          <w:rFonts w:asci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响应文件的信封上应写明：</w:t>
      </w:r>
    </w:p>
    <w:p>
      <w:pPr>
        <w:spacing w:line="360" w:lineRule="exact"/>
        <w:ind w:left="42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）竞争性谈判项目编号；</w:t>
      </w:r>
    </w:p>
    <w:p>
      <w:pPr>
        <w:spacing w:line="360" w:lineRule="exact"/>
        <w:ind w:left="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）竞争性谈判项目名称；</w:t>
      </w:r>
    </w:p>
    <w:p>
      <w:pPr>
        <w:spacing w:line="360" w:lineRule="exact"/>
        <w:ind w:left="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）包号及谈判货物、服务名称；</w:t>
      </w:r>
    </w:p>
    <w:p>
      <w:pPr>
        <w:spacing w:line="360" w:lineRule="exact"/>
        <w:ind w:left="42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）供应商名称。</w:t>
      </w:r>
    </w:p>
    <w:p>
      <w:pPr>
        <w:spacing w:line="360" w:lineRule="exact"/>
        <w:ind w:left="420" w:hanging="420"/>
        <w:rPr>
          <w:rFonts w:asci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未按规定密封或标记的响应文件将被拒绝接收，由此造成的后果由供应商承担。</w:t>
      </w:r>
    </w:p>
    <w:p>
      <w:pPr>
        <w:spacing w:line="360" w:lineRule="exact"/>
        <w:rPr>
          <w:rFonts w:ascii="宋体"/>
          <w:color w:val="auto"/>
          <w:szCs w:val="21"/>
          <w:highlight w:val="none"/>
        </w:rPr>
      </w:pPr>
      <w:r>
        <w:rPr>
          <w:rFonts w:ascii="宋体" w:hAnsi="宋体"/>
          <w:color w:val="auto"/>
          <w:szCs w:val="21"/>
          <w:highlight w:val="none"/>
        </w:rPr>
        <w:t xml:space="preserve">10. </w:t>
      </w:r>
      <w:r>
        <w:rPr>
          <w:rFonts w:hint="eastAsia" w:ascii="宋体" w:hAnsi="宋体"/>
          <w:color w:val="auto"/>
          <w:szCs w:val="21"/>
          <w:highlight w:val="none"/>
        </w:rPr>
        <w:t>响应文件的递交</w:t>
      </w:r>
    </w:p>
    <w:p>
      <w:pPr>
        <w:spacing w:line="360" w:lineRule="exact"/>
        <w:ind w:left="420" w:hanging="420"/>
        <w:rPr>
          <w:rFonts w:ascii="宋体"/>
          <w:color w:val="auto"/>
          <w:szCs w:val="21"/>
          <w:highlight w:val="none"/>
        </w:rPr>
      </w:pPr>
      <w:r>
        <w:rPr>
          <w:rFonts w:ascii="宋体" w:hAnsi="宋体"/>
          <w:color w:val="auto"/>
          <w:szCs w:val="21"/>
          <w:highlight w:val="none"/>
        </w:rPr>
        <w:t>10.1</w:t>
      </w:r>
      <w:r>
        <w:rPr>
          <w:rFonts w:hint="eastAsia" w:ascii="宋体" w:hAnsi="宋体"/>
          <w:color w:val="auto"/>
          <w:szCs w:val="21"/>
          <w:highlight w:val="none"/>
        </w:rPr>
        <w:t>响应文件应于竞争性谈判文件中规定的时间前递交到指定地点位置。</w:t>
      </w:r>
    </w:p>
    <w:p>
      <w:pPr>
        <w:spacing w:line="360" w:lineRule="exact"/>
        <w:ind w:left="420" w:hanging="420"/>
        <w:rPr>
          <w:rFonts w:ascii="宋体"/>
          <w:color w:val="auto"/>
          <w:szCs w:val="21"/>
          <w:highlight w:val="none"/>
        </w:rPr>
      </w:pPr>
      <w:r>
        <w:rPr>
          <w:rFonts w:ascii="宋体" w:hAnsi="宋体"/>
          <w:color w:val="auto"/>
          <w:szCs w:val="21"/>
          <w:highlight w:val="none"/>
        </w:rPr>
        <w:t>10.2</w:t>
      </w:r>
      <w:r>
        <w:rPr>
          <w:rFonts w:hint="eastAsia"/>
          <w:color w:val="auto"/>
          <w:szCs w:val="21"/>
          <w:highlight w:val="none"/>
        </w:rPr>
        <w:t>递交响应文件的地点：见“供应商须知前附表”。</w:t>
      </w:r>
    </w:p>
    <w:p>
      <w:pPr>
        <w:spacing w:line="360" w:lineRule="exact"/>
        <w:rPr>
          <w:rFonts w:ascii="宋体"/>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迟交的响应文件</w:t>
      </w:r>
    </w:p>
    <w:p>
      <w:pPr>
        <w:spacing w:line="360" w:lineRule="exact"/>
        <w:rPr>
          <w:rFonts w:ascii="宋体"/>
          <w:color w:val="auto"/>
          <w:szCs w:val="21"/>
          <w:highlight w:val="none"/>
        </w:rPr>
      </w:pPr>
      <w:r>
        <w:rPr>
          <w:rFonts w:hint="eastAsia" w:ascii="宋体" w:hAnsi="宋体"/>
          <w:color w:val="auto"/>
          <w:szCs w:val="21"/>
          <w:highlight w:val="none"/>
        </w:rPr>
        <w:t>按《中华人民共和国政府采购法》的规定，</w:t>
      </w:r>
      <w:r>
        <w:rPr>
          <w:rFonts w:hint="eastAsia"/>
          <w:color w:val="auto"/>
          <w:szCs w:val="21"/>
          <w:highlight w:val="none"/>
        </w:rPr>
        <w:t>逾期送达的或者未送达指定地点的响应文件，采购代理机构拒绝接收。</w:t>
      </w:r>
    </w:p>
    <w:p>
      <w:pPr>
        <w:pStyle w:val="3"/>
        <w:spacing w:before="0" w:after="0" w:line="500" w:lineRule="exact"/>
        <w:rPr>
          <w:color w:val="auto"/>
          <w:sz w:val="21"/>
          <w:szCs w:val="21"/>
          <w:highlight w:val="none"/>
        </w:rPr>
      </w:pPr>
      <w:bookmarkStart w:id="9" w:name="_Toc496610491"/>
      <w:r>
        <w:rPr>
          <w:rFonts w:hint="eastAsia"/>
          <w:color w:val="auto"/>
          <w:sz w:val="21"/>
          <w:szCs w:val="21"/>
          <w:highlight w:val="none"/>
        </w:rPr>
        <w:t>五、谈判小组成立</w:t>
      </w:r>
      <w:bookmarkEnd w:id="9"/>
    </w:p>
    <w:p>
      <w:pPr>
        <w:spacing w:line="360" w:lineRule="exact"/>
        <w:rPr>
          <w:color w:val="auto"/>
          <w:szCs w:val="21"/>
          <w:highlight w:val="none"/>
        </w:rPr>
      </w:pPr>
      <w:r>
        <w:rPr>
          <w:rFonts w:ascii="宋体" w:hAnsi="宋体"/>
          <w:color w:val="auto"/>
          <w:szCs w:val="21"/>
          <w:highlight w:val="none"/>
        </w:rPr>
        <w:t>12.1</w:t>
      </w:r>
      <w:r>
        <w:rPr>
          <w:rFonts w:hint="eastAsia"/>
          <w:color w:val="auto"/>
          <w:szCs w:val="21"/>
          <w:highlight w:val="none"/>
        </w:rPr>
        <w:t>竞争性谈判小组成立：谈判小组由采购人代表和评审专家共</w:t>
      </w:r>
      <w:r>
        <w:rPr>
          <w:color w:val="auto"/>
          <w:szCs w:val="21"/>
          <w:highlight w:val="none"/>
        </w:rPr>
        <w:t>3</w:t>
      </w:r>
      <w:r>
        <w:rPr>
          <w:rFonts w:hint="eastAsia"/>
          <w:color w:val="auto"/>
          <w:szCs w:val="21"/>
          <w:highlight w:val="none"/>
        </w:rPr>
        <w:t>人及以上单数组成，其中评审专家人数不得少于竞争性谈判小组成员总数的</w:t>
      </w:r>
      <w:r>
        <w:rPr>
          <w:color w:val="auto"/>
          <w:szCs w:val="21"/>
          <w:highlight w:val="none"/>
        </w:rPr>
        <w:t>2/3</w:t>
      </w:r>
      <w:r>
        <w:rPr>
          <w:rFonts w:hint="eastAsia"/>
          <w:color w:val="auto"/>
          <w:szCs w:val="21"/>
          <w:highlight w:val="none"/>
        </w:rPr>
        <w:t>。采购人不得以评审专家身份参加本部门或本单位采购项目的评审。采购代理机构人员不得参加本机构代理的采购项目的评审。</w:t>
      </w:r>
    </w:p>
    <w:p>
      <w:pPr>
        <w:spacing w:line="360" w:lineRule="exact"/>
        <w:ind w:firstLine="420" w:firstLineChars="200"/>
        <w:rPr>
          <w:color w:val="auto"/>
          <w:szCs w:val="21"/>
          <w:highlight w:val="none"/>
        </w:rPr>
      </w:pPr>
      <w:r>
        <w:rPr>
          <w:rFonts w:hint="eastAsia"/>
          <w:color w:val="auto"/>
          <w:szCs w:val="21"/>
          <w:highlight w:val="none"/>
        </w:rPr>
        <w:t>达到公开招标数额标准的货物或者服务采购项目，或者达到招标规模标准的政府采购工程，竞争性谈判小组应当由</w:t>
      </w:r>
      <w:r>
        <w:rPr>
          <w:color w:val="auto"/>
          <w:szCs w:val="21"/>
          <w:highlight w:val="none"/>
        </w:rPr>
        <w:t>5</w:t>
      </w:r>
      <w:r>
        <w:rPr>
          <w:rFonts w:hint="eastAsia"/>
          <w:color w:val="auto"/>
          <w:szCs w:val="21"/>
          <w:highlight w:val="none"/>
        </w:rPr>
        <w:t>人及以上单数组成。</w:t>
      </w:r>
    </w:p>
    <w:p>
      <w:pPr>
        <w:spacing w:line="360" w:lineRule="exact"/>
        <w:ind w:firstLine="420" w:firstLineChars="200"/>
        <w:rPr>
          <w:color w:val="auto"/>
          <w:szCs w:val="21"/>
          <w:highlight w:val="none"/>
        </w:rPr>
      </w:pPr>
      <w:r>
        <w:rPr>
          <w:rFonts w:hint="eastAsia"/>
          <w:color w:val="auto"/>
          <w:szCs w:val="21"/>
          <w:highlight w:val="none"/>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color w:val="auto"/>
          <w:szCs w:val="21"/>
          <w:highlight w:val="none"/>
        </w:rPr>
        <w:t>1</w:t>
      </w:r>
      <w:r>
        <w:rPr>
          <w:rFonts w:hint="eastAsia"/>
          <w:color w:val="auto"/>
          <w:szCs w:val="21"/>
          <w:highlight w:val="none"/>
        </w:rPr>
        <w:t>名法律专家。</w:t>
      </w:r>
    </w:p>
    <w:p>
      <w:pPr>
        <w:spacing w:line="360" w:lineRule="exact"/>
        <w:ind w:left="420" w:hanging="420"/>
        <w:rPr>
          <w:color w:val="auto"/>
          <w:szCs w:val="21"/>
          <w:highlight w:val="none"/>
        </w:rPr>
      </w:pPr>
      <w:r>
        <w:rPr>
          <w:rFonts w:ascii="宋体" w:hAnsi="宋体"/>
          <w:color w:val="auto"/>
          <w:szCs w:val="21"/>
          <w:highlight w:val="none"/>
        </w:rPr>
        <w:t>12.2</w:t>
      </w:r>
      <w:r>
        <w:rPr>
          <w:rFonts w:hint="eastAsia"/>
          <w:color w:val="auto"/>
          <w:szCs w:val="21"/>
          <w:highlight w:val="none"/>
        </w:rPr>
        <w:t>竞争性谈判小组在采购活动过程中应当履行下列职责：</w:t>
      </w:r>
    </w:p>
    <w:p>
      <w:pPr>
        <w:spacing w:line="360" w:lineRule="exact"/>
        <w:ind w:left="420"/>
        <w:rPr>
          <w:rFonts w:ascii="宋体"/>
          <w:color w:val="auto"/>
          <w:szCs w:val="21"/>
          <w:highlight w:val="none"/>
        </w:rPr>
      </w:pPr>
      <w:r>
        <w:rPr>
          <w:color w:val="auto"/>
          <w:szCs w:val="21"/>
          <w:highlight w:val="none"/>
        </w:rPr>
        <w:t>1</w:t>
      </w:r>
      <w:r>
        <w:rPr>
          <w:rFonts w:hint="eastAsia"/>
          <w:color w:val="auto"/>
          <w:szCs w:val="21"/>
          <w:highlight w:val="none"/>
        </w:rPr>
        <w:t>）确</w:t>
      </w:r>
      <w:r>
        <w:rPr>
          <w:rFonts w:hint="eastAsia" w:ascii="宋体" w:hAnsi="宋体"/>
          <w:color w:val="auto"/>
          <w:szCs w:val="21"/>
          <w:highlight w:val="none"/>
        </w:rPr>
        <w:t>认谈判文件；</w:t>
      </w:r>
      <w:r>
        <w:rPr>
          <w:rFonts w:ascii="宋体" w:hAnsi="宋体"/>
          <w:color w:val="auto"/>
          <w:szCs w:val="21"/>
          <w:highlight w:val="none"/>
        </w:rPr>
        <w:t xml:space="preserve"> </w:t>
      </w:r>
    </w:p>
    <w:p>
      <w:pPr>
        <w:spacing w:line="360" w:lineRule="exact"/>
        <w:ind w:left="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）从符合相应资格条件的供应商名单中确定不少于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家的供应商参加谈判；</w:t>
      </w:r>
    </w:p>
    <w:p>
      <w:pPr>
        <w:spacing w:line="360" w:lineRule="exact"/>
        <w:ind w:left="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）审查供应商的响应文件并作出评价；</w:t>
      </w:r>
    </w:p>
    <w:p>
      <w:pPr>
        <w:spacing w:line="360" w:lineRule="exact"/>
        <w:ind w:left="42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）要求供应商解释或者澄清其响应文件；</w:t>
      </w:r>
    </w:p>
    <w:p>
      <w:pPr>
        <w:spacing w:line="360" w:lineRule="exact"/>
        <w:ind w:left="42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）编写评审报告；</w:t>
      </w:r>
      <w:r>
        <w:rPr>
          <w:rFonts w:ascii="宋体" w:hAnsi="宋体"/>
          <w:color w:val="auto"/>
          <w:szCs w:val="21"/>
          <w:highlight w:val="none"/>
        </w:rPr>
        <w:t xml:space="preserve"> </w:t>
      </w:r>
    </w:p>
    <w:p>
      <w:pPr>
        <w:spacing w:line="360" w:lineRule="exact"/>
        <w:ind w:left="42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）告知采购人、采购代理机构在评审过程中发现的供应商的违法违规行为。</w:t>
      </w:r>
    </w:p>
    <w:p>
      <w:pPr>
        <w:spacing w:line="360" w:lineRule="exact"/>
        <w:ind w:left="420" w:hanging="420"/>
        <w:rPr>
          <w:rFonts w:ascii="宋体"/>
          <w:color w:val="auto"/>
          <w:szCs w:val="21"/>
          <w:highlight w:val="none"/>
        </w:rPr>
      </w:pPr>
      <w:r>
        <w:rPr>
          <w:rFonts w:ascii="宋体" w:hAnsi="宋体"/>
          <w:color w:val="auto"/>
          <w:szCs w:val="21"/>
          <w:highlight w:val="none"/>
        </w:rPr>
        <w:t>12.3</w:t>
      </w:r>
      <w:r>
        <w:rPr>
          <w:rFonts w:hint="eastAsia"/>
          <w:color w:val="auto"/>
          <w:szCs w:val="21"/>
          <w:highlight w:val="none"/>
        </w:rPr>
        <w:t>竞争性</w:t>
      </w:r>
      <w:r>
        <w:rPr>
          <w:rFonts w:hint="eastAsia" w:ascii="宋体" w:hAnsi="宋体"/>
          <w:color w:val="auto"/>
          <w:szCs w:val="21"/>
          <w:highlight w:val="none"/>
        </w:rPr>
        <w:t>谈判小组成员应当履行下列义务：</w:t>
      </w:r>
    </w:p>
    <w:p>
      <w:pPr>
        <w:spacing w:line="360" w:lineRule="exact"/>
        <w:ind w:left="42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）遵纪守法，客观、公正、廉洁地履行职责；</w:t>
      </w:r>
    </w:p>
    <w:p>
      <w:pPr>
        <w:spacing w:line="360" w:lineRule="exact"/>
        <w:ind w:left="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）根据采购文件的规定独立进行评审，对个人的评审意见承担法律责任；</w:t>
      </w:r>
    </w:p>
    <w:p>
      <w:pPr>
        <w:spacing w:line="360" w:lineRule="exact"/>
        <w:ind w:left="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）参与评审报告的起草；</w:t>
      </w:r>
    </w:p>
    <w:p>
      <w:pPr>
        <w:spacing w:line="360" w:lineRule="exact"/>
        <w:ind w:left="42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）配合采购人、采购代理机构答复供应商提出的质疑；</w:t>
      </w:r>
    </w:p>
    <w:p>
      <w:pPr>
        <w:spacing w:line="360" w:lineRule="exact"/>
        <w:ind w:left="420"/>
        <w:rPr>
          <w:color w:val="auto"/>
          <w:szCs w:val="21"/>
          <w:highlight w:val="none"/>
        </w:rPr>
      </w:pPr>
      <w:r>
        <w:rPr>
          <w:rFonts w:ascii="宋体" w:hAnsi="宋体"/>
          <w:color w:val="auto"/>
          <w:szCs w:val="21"/>
          <w:highlight w:val="none"/>
        </w:rPr>
        <w:t>5</w:t>
      </w:r>
      <w:r>
        <w:rPr>
          <w:rFonts w:hint="eastAsia" w:ascii="宋体" w:hAnsi="宋体"/>
          <w:color w:val="auto"/>
          <w:szCs w:val="21"/>
          <w:highlight w:val="none"/>
        </w:rPr>
        <w:t>）配合财</w:t>
      </w:r>
      <w:r>
        <w:rPr>
          <w:rFonts w:hint="eastAsia"/>
          <w:color w:val="auto"/>
          <w:szCs w:val="21"/>
          <w:highlight w:val="none"/>
        </w:rPr>
        <w:t>政部门的投诉处理和监督检查工作。</w:t>
      </w:r>
    </w:p>
    <w:p>
      <w:pPr>
        <w:pStyle w:val="3"/>
        <w:spacing w:before="0" w:after="0" w:line="500" w:lineRule="exact"/>
        <w:rPr>
          <w:color w:val="auto"/>
          <w:sz w:val="21"/>
          <w:szCs w:val="21"/>
          <w:highlight w:val="none"/>
        </w:rPr>
      </w:pPr>
      <w:bookmarkStart w:id="10" w:name="_Toc496610492"/>
      <w:r>
        <w:rPr>
          <w:rFonts w:hint="eastAsia"/>
          <w:color w:val="auto"/>
          <w:sz w:val="21"/>
          <w:szCs w:val="21"/>
          <w:highlight w:val="none"/>
        </w:rPr>
        <w:t>六、响应文件评审程序</w:t>
      </w:r>
      <w:bookmarkEnd w:id="10"/>
    </w:p>
    <w:p>
      <w:pPr>
        <w:spacing w:line="360" w:lineRule="exact"/>
        <w:rPr>
          <w:rFonts w:ascii="宋体"/>
          <w:color w:val="auto"/>
          <w:szCs w:val="21"/>
          <w:highlight w:val="none"/>
        </w:rPr>
      </w:pPr>
      <w:r>
        <w:rPr>
          <w:rFonts w:ascii="宋体" w:hAnsi="宋体" w:cs="宋体"/>
          <w:color w:val="auto"/>
          <w:kern w:val="0"/>
          <w:szCs w:val="21"/>
          <w:highlight w:val="none"/>
        </w:rPr>
        <w:t>13.1</w:t>
      </w:r>
      <w:r>
        <w:rPr>
          <w:rFonts w:hint="eastAsia" w:ascii="宋体" w:hAnsi="宋体"/>
          <w:color w:val="auto"/>
          <w:szCs w:val="21"/>
          <w:highlight w:val="none"/>
        </w:rPr>
        <w:t>谈判小组确认竞争性谈判文件。</w:t>
      </w:r>
    </w:p>
    <w:p>
      <w:pPr>
        <w:spacing w:line="360" w:lineRule="exact"/>
        <w:rPr>
          <w:rFonts w:asci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谈判小组对供应商资格条件及响应文件进行评审，并从符合竞争性谈判文件规定的相应资格条件的供应商名单中确定不少于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谈判。公开招标的货物、服务采购项目，招标过程中提交响应文件或者经评审实质性响应招标文件要求的供应商只有两家时，采购人、采购代理机构按照《政府采购非招标采购方式管理办法》（财政部</w:t>
      </w:r>
      <w:r>
        <w:rPr>
          <w:rFonts w:ascii="宋体" w:hAnsi="宋体"/>
          <w:color w:val="auto"/>
          <w:szCs w:val="21"/>
          <w:highlight w:val="none"/>
        </w:rPr>
        <w:t>74</w:t>
      </w:r>
      <w:r>
        <w:rPr>
          <w:rFonts w:hint="eastAsia" w:ascii="宋体" w:hAnsi="宋体"/>
          <w:color w:val="auto"/>
          <w:szCs w:val="21"/>
          <w:highlight w:val="none"/>
        </w:rPr>
        <w:t>号令）第四条经本级财政部门批准后可以与该两家供应商进行竞争性谈判采购。</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资格条件不符合的供应商或未实质性响应谈判文件的响应文件按无效响应处理，谈判小组应当告知有关供应商。</w:t>
      </w:r>
    </w:p>
    <w:p>
      <w:pPr>
        <w:spacing w:line="360" w:lineRule="exact"/>
        <w:rPr>
          <w:rFonts w:ascii="宋体" w:cs="宋体"/>
          <w:color w:val="auto"/>
          <w:kern w:val="0"/>
          <w:szCs w:val="21"/>
          <w:highlight w:val="none"/>
        </w:rPr>
      </w:pPr>
      <w:r>
        <w:rPr>
          <w:rFonts w:ascii="宋体" w:hAnsi="宋体" w:cs="宋体"/>
          <w:color w:val="auto"/>
          <w:kern w:val="0"/>
          <w:szCs w:val="21"/>
          <w:highlight w:val="none"/>
        </w:rPr>
        <w:t>13.3</w:t>
      </w:r>
      <w:r>
        <w:rPr>
          <w:rFonts w:hint="eastAsia" w:ascii="宋体" w:hAnsi="宋体" w:cs="宋体"/>
          <w:color w:val="auto"/>
          <w:kern w:val="0"/>
          <w:szCs w:val="21"/>
          <w:highlight w:val="none"/>
        </w:rPr>
        <w:t>谈判</w:t>
      </w:r>
    </w:p>
    <w:p>
      <w:pPr>
        <w:spacing w:line="36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谈判小组按已确定的</w:t>
      </w:r>
      <w:r>
        <w:rPr>
          <w:rFonts w:hint="eastAsia" w:ascii="宋体" w:hAnsi="宋体"/>
          <w:color w:val="auto"/>
          <w:szCs w:val="21"/>
          <w:highlight w:val="none"/>
        </w:rPr>
        <w:t>谈判顺序，谈判小组所有成员应当集中与单一供应商分别进行谈判，并给予所有参加谈判的供应商平等的谈判机会。</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对谈判文件作出的实质性变动是谈判文件的有效组成部分，谈判小组应当及时以书面形式同时通知所有参加谈判的供应商。</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谈判中，谈判的任何一方不得透露与谈判有关的其他供应商的技术资料、价格和其他信息。</w:t>
      </w:r>
    </w:p>
    <w:p>
      <w:pPr>
        <w:widowControl/>
        <w:tabs>
          <w:tab w:val="left" w:pos="540"/>
        </w:tabs>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采购代理机构对谈判过程和重要谈判内容进行记录，谈判双方在记录上签字确认。</w:t>
      </w:r>
    </w:p>
    <w:p>
      <w:pPr>
        <w:widowControl/>
        <w:tabs>
          <w:tab w:val="left" w:pos="540"/>
        </w:tabs>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谈判小组一致确定响应供应商符合谈判文件要求的，按谈判文件设定的方法和标准确定成交候选人。第一轮谈判谈判小组未能确定成交候选人的，对谈判文件修正后进行第二轮谈判，以此类推。</w:t>
      </w:r>
    </w:p>
    <w:p>
      <w:pPr>
        <w:widowControl/>
        <w:tabs>
          <w:tab w:val="left" w:pos="540"/>
        </w:tabs>
        <w:spacing w:line="360" w:lineRule="exact"/>
        <w:jc w:val="left"/>
        <w:rPr>
          <w:rFonts w:asci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最后报价</w:t>
      </w:r>
    </w:p>
    <w:p>
      <w:pPr>
        <w:spacing w:line="360" w:lineRule="exact"/>
        <w:ind w:firstLine="420" w:firstLineChars="200"/>
        <w:rPr>
          <w:rFonts w:ascii="宋体"/>
          <w:color w:val="auto"/>
          <w:szCs w:val="21"/>
          <w:highlight w:val="none"/>
        </w:rPr>
      </w:pPr>
      <w:r>
        <w:rPr>
          <w:rFonts w:ascii="宋体" w:hAnsi="宋体"/>
          <w:color w:val="auto"/>
          <w:szCs w:val="21"/>
          <w:highlight w:val="none"/>
        </w:rPr>
        <w:t>13.4.1</w:t>
      </w:r>
      <w:r>
        <w:rPr>
          <w:rFonts w:hint="eastAsia" w:ascii="宋体" w:hAnsi="宋体"/>
          <w:color w:val="auto"/>
          <w:szCs w:val="21"/>
          <w:highlight w:val="none"/>
        </w:rPr>
        <w:t>谈判文件能够详细列明采购标的的技术、服务要求的，谈判结束后，谈判小组应当要求所有继续参加谈判的供应商在规定时间内密封提交最后报价，提交最后报价的供应商不得少于</w:t>
      </w:r>
      <w:r>
        <w:rPr>
          <w:rFonts w:ascii="宋体" w:hAnsi="宋体"/>
          <w:color w:val="auto"/>
          <w:szCs w:val="21"/>
          <w:highlight w:val="none"/>
        </w:rPr>
        <w:t>3</w:t>
      </w:r>
      <w:r>
        <w:rPr>
          <w:rFonts w:hint="eastAsia" w:ascii="宋体" w:hAnsi="宋体"/>
          <w:color w:val="auto"/>
          <w:szCs w:val="21"/>
          <w:highlight w:val="none"/>
        </w:rPr>
        <w:t>家。</w:t>
      </w:r>
    </w:p>
    <w:p>
      <w:pPr>
        <w:spacing w:line="360" w:lineRule="exact"/>
        <w:ind w:firstLine="420" w:firstLineChars="200"/>
        <w:rPr>
          <w:rFonts w:ascii="宋体"/>
          <w:color w:val="auto"/>
          <w:szCs w:val="21"/>
          <w:highlight w:val="none"/>
        </w:rPr>
      </w:pPr>
      <w:r>
        <w:rPr>
          <w:rFonts w:ascii="宋体" w:hAnsi="宋体"/>
          <w:color w:val="auto"/>
          <w:szCs w:val="21"/>
          <w:highlight w:val="none"/>
        </w:rPr>
        <w:t>13.4.2</w:t>
      </w:r>
      <w:r>
        <w:rPr>
          <w:rFonts w:hint="eastAsia" w:ascii="宋体" w:hAnsi="宋体"/>
          <w:color w:val="auto"/>
          <w:szCs w:val="21"/>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家以上供应商的设计方案或者解决方案，并要求其在规定时间内密封提交最后报价。</w:t>
      </w:r>
    </w:p>
    <w:p>
      <w:pPr>
        <w:spacing w:line="360" w:lineRule="exact"/>
        <w:ind w:firstLine="420" w:firstLineChars="200"/>
        <w:rPr>
          <w:rFonts w:ascii="宋体"/>
          <w:color w:val="auto"/>
          <w:szCs w:val="21"/>
          <w:highlight w:val="none"/>
        </w:rPr>
      </w:pPr>
      <w:r>
        <w:rPr>
          <w:rFonts w:ascii="宋体" w:hAnsi="宋体"/>
          <w:color w:val="auto"/>
          <w:szCs w:val="21"/>
          <w:highlight w:val="none"/>
        </w:rPr>
        <w:t>13.4.3</w:t>
      </w:r>
      <w:r>
        <w:rPr>
          <w:rFonts w:hint="eastAsia" w:ascii="宋体" w:hAnsi="宋体"/>
          <w:color w:val="auto"/>
          <w:szCs w:val="21"/>
          <w:highlight w:val="none"/>
        </w:rPr>
        <w:t>最后报价是供应商响应文件的有效组成部分。</w:t>
      </w:r>
    </w:p>
    <w:p>
      <w:pPr>
        <w:spacing w:line="360" w:lineRule="exact"/>
        <w:ind w:firstLine="420" w:firstLineChars="200"/>
        <w:rPr>
          <w:rFonts w:ascii="宋体"/>
          <w:color w:val="auto"/>
          <w:szCs w:val="21"/>
          <w:highlight w:val="none"/>
        </w:rPr>
      </w:pPr>
      <w:r>
        <w:rPr>
          <w:rFonts w:ascii="宋体" w:hAnsi="宋体"/>
          <w:color w:val="auto"/>
          <w:szCs w:val="21"/>
          <w:highlight w:val="none"/>
        </w:rPr>
        <w:t xml:space="preserve">13.4.4 </w:t>
      </w:r>
      <w:r>
        <w:rPr>
          <w:rFonts w:hint="eastAsia" w:ascii="宋体" w:hAnsi="宋体"/>
          <w:color w:val="auto"/>
          <w:szCs w:val="21"/>
          <w:highlight w:val="none"/>
        </w:rPr>
        <w:t>已经提交响应文件的供应商，在提交最后报价之前，可以根据谈判情况退出谈判。采购人、采购代理机构将退还退出谈判的供应商的保证金。</w:t>
      </w:r>
    </w:p>
    <w:p>
      <w:pPr>
        <w:spacing w:line="360" w:lineRule="exact"/>
        <w:ind w:firstLine="420" w:firstLineChars="200"/>
        <w:rPr>
          <w:rFonts w:ascii="宋体"/>
          <w:color w:val="auto"/>
          <w:szCs w:val="21"/>
          <w:highlight w:val="none"/>
        </w:rPr>
      </w:pPr>
      <w:r>
        <w:rPr>
          <w:rFonts w:ascii="宋体" w:hAnsi="宋体"/>
          <w:color w:val="auto"/>
          <w:szCs w:val="21"/>
          <w:highlight w:val="none"/>
        </w:rPr>
        <w:t>13.4.5</w:t>
      </w:r>
      <w:r>
        <w:rPr>
          <w:rFonts w:hint="eastAsia"/>
          <w:color w:val="auto"/>
          <w:highlight w:val="none"/>
        </w:rPr>
        <w:t>小型和微型企业最终报价扣除计算。</w:t>
      </w:r>
    </w:p>
    <w:p>
      <w:pPr>
        <w:spacing w:line="400" w:lineRule="exact"/>
        <w:ind w:firstLine="420" w:firstLineChars="200"/>
        <w:rPr>
          <w:color w:val="auto"/>
          <w:highlight w:val="none"/>
        </w:rPr>
      </w:pPr>
      <w:r>
        <w:rPr>
          <w:rFonts w:hint="eastAsia"/>
          <w:color w:val="auto"/>
          <w:highlight w:val="none"/>
        </w:rPr>
        <w:t>按照《政府采购促进中小企业发展暂行办法》（财库</w:t>
      </w:r>
      <w:r>
        <w:rPr>
          <w:color w:val="auto"/>
          <w:highlight w:val="none"/>
        </w:rPr>
        <w:t>[2011]181</w:t>
      </w:r>
      <w:r>
        <w:rPr>
          <w:rFonts w:hint="eastAsia"/>
          <w:color w:val="auto"/>
          <w:highlight w:val="none"/>
        </w:rPr>
        <w:t>号），对小型和微型企业产品的最后报价给予</w:t>
      </w:r>
      <w:r>
        <w:rPr>
          <w:color w:val="auto"/>
          <w:highlight w:val="none"/>
        </w:rPr>
        <w:t>6%</w:t>
      </w:r>
      <w:r>
        <w:rPr>
          <w:rFonts w:hint="eastAsia"/>
          <w:color w:val="auto"/>
          <w:highlight w:val="none"/>
        </w:rPr>
        <w:t>的扣除，扣除后的价格为评标报价，即评标报价</w:t>
      </w:r>
      <w:r>
        <w:rPr>
          <w:color w:val="auto"/>
          <w:highlight w:val="none"/>
        </w:rPr>
        <w:t>=</w:t>
      </w:r>
      <w:r>
        <w:rPr>
          <w:rFonts w:hint="eastAsia"/>
          <w:color w:val="auto"/>
          <w:highlight w:val="none"/>
        </w:rPr>
        <w:t>最终报价×（</w:t>
      </w:r>
      <w:r>
        <w:rPr>
          <w:color w:val="auto"/>
          <w:highlight w:val="none"/>
        </w:rPr>
        <w:t>1-6%</w:t>
      </w:r>
      <w:r>
        <w:rPr>
          <w:rFonts w:hint="eastAsia"/>
          <w:color w:val="auto"/>
          <w:highlight w:val="none"/>
        </w:rPr>
        <w:t>）；大中型企业与小型、微型企业组成联合体竞标，其中小型、微型企业的协议合同金额占到联合体协议合同总金额</w:t>
      </w:r>
      <w:r>
        <w:rPr>
          <w:color w:val="auto"/>
          <w:highlight w:val="none"/>
        </w:rPr>
        <w:t>30%</w:t>
      </w:r>
      <w:r>
        <w:rPr>
          <w:rFonts w:hint="eastAsia"/>
          <w:color w:val="auto"/>
          <w:highlight w:val="none"/>
        </w:rPr>
        <w:t>以上的，联合体最终报价给予</w:t>
      </w:r>
      <w:r>
        <w:rPr>
          <w:color w:val="auto"/>
          <w:highlight w:val="none"/>
        </w:rPr>
        <w:t>2%</w:t>
      </w:r>
      <w:r>
        <w:rPr>
          <w:rFonts w:hint="eastAsia"/>
          <w:color w:val="auto"/>
          <w:highlight w:val="none"/>
        </w:rPr>
        <w:t>的扣除，扣除后的价格为评标报价，即评标报价</w:t>
      </w:r>
      <w:r>
        <w:rPr>
          <w:color w:val="auto"/>
          <w:highlight w:val="none"/>
        </w:rPr>
        <w:t>=</w:t>
      </w:r>
      <w:r>
        <w:rPr>
          <w:rFonts w:hint="eastAsia"/>
          <w:color w:val="auto"/>
          <w:highlight w:val="none"/>
        </w:rPr>
        <w:t>投标价×（</w:t>
      </w:r>
      <w:r>
        <w:rPr>
          <w:color w:val="auto"/>
          <w:highlight w:val="none"/>
        </w:rPr>
        <w:t>1-2%</w:t>
      </w:r>
      <w:r>
        <w:rPr>
          <w:rFonts w:hint="eastAsia"/>
          <w:color w:val="auto"/>
          <w:highlight w:val="none"/>
        </w:rPr>
        <w:t>）；除上述情况外，评标报价</w:t>
      </w:r>
      <w:r>
        <w:rPr>
          <w:color w:val="auto"/>
          <w:highlight w:val="none"/>
        </w:rPr>
        <w:t>=</w:t>
      </w:r>
      <w:r>
        <w:rPr>
          <w:rFonts w:hint="eastAsia"/>
          <w:color w:val="auto"/>
          <w:highlight w:val="none"/>
        </w:rPr>
        <w:t>最终报价。</w:t>
      </w:r>
    </w:p>
    <w:p>
      <w:pPr>
        <w:spacing w:line="400" w:lineRule="exact"/>
        <w:ind w:firstLine="420" w:firstLineChars="200"/>
        <w:rPr>
          <w:color w:val="auto"/>
          <w:highlight w:val="none"/>
        </w:rPr>
      </w:pPr>
      <w:r>
        <w:rPr>
          <w:rFonts w:hint="eastAsia"/>
          <w:color w:val="auto"/>
          <w:highlight w:val="none"/>
        </w:rPr>
        <w:t>按照《财政部、司法部关于政府采购支持监狱企业发展有关问题的通知》（财库〔</w:t>
      </w:r>
      <w:r>
        <w:rPr>
          <w:color w:val="auto"/>
          <w:highlight w:val="none"/>
        </w:rPr>
        <w:t>2014</w:t>
      </w:r>
      <w:r>
        <w:rPr>
          <w:rFonts w:hint="eastAsia"/>
          <w:color w:val="auto"/>
          <w:highlight w:val="none"/>
        </w:rPr>
        <w:t>〕</w:t>
      </w:r>
      <w:r>
        <w:rPr>
          <w:color w:val="auto"/>
          <w:highlight w:val="none"/>
        </w:rPr>
        <w:t>68</w:t>
      </w:r>
      <w:r>
        <w:rPr>
          <w:rFonts w:hint="eastAsia"/>
          <w:color w:val="auto"/>
          <w:highlight w:val="none"/>
        </w:rPr>
        <w:t>号）之规定，监狱企业视同小型、微型企业，享受预留份额、评审中价格扣除等政府采购政策。</w:t>
      </w:r>
    </w:p>
    <w:p>
      <w:pPr>
        <w:spacing w:line="360" w:lineRule="exact"/>
        <w:ind w:firstLine="420" w:firstLineChars="200"/>
        <w:rPr>
          <w:color w:val="auto"/>
          <w:highlight w:val="none"/>
        </w:rPr>
      </w:pPr>
      <w:r>
        <w:rPr>
          <w:rFonts w:hint="eastAsia"/>
          <w:color w:val="auto"/>
          <w:highlight w:val="none"/>
        </w:rPr>
        <w:t>按照《关于促进残疾人就业政府采购政策的通知》（财库〔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号）的规定，残疾人福利性单位视同小型、微型企业，享受预留份额、评审中价格扣除等促进中小企业发展的政府采购政策。残疾人福利性单位属于小型、微型企业的，不重复享受政策。</w:t>
      </w:r>
    </w:p>
    <w:p>
      <w:pPr>
        <w:spacing w:line="360" w:lineRule="exact"/>
        <w:ind w:firstLine="420" w:firstLineChars="200"/>
        <w:rPr>
          <w:rFonts w:ascii="宋体"/>
          <w:color w:val="auto"/>
          <w:szCs w:val="21"/>
          <w:highlight w:val="none"/>
        </w:rPr>
      </w:pPr>
      <w:r>
        <w:rPr>
          <w:rFonts w:ascii="宋体" w:hAnsi="宋体"/>
          <w:color w:val="auto"/>
          <w:szCs w:val="21"/>
          <w:highlight w:val="none"/>
        </w:rPr>
        <w:t>13.4.6</w:t>
      </w:r>
      <w:r>
        <w:rPr>
          <w:rFonts w:hint="eastAsia" w:ascii="宋体" w:hAnsi="宋体"/>
          <w:color w:val="auto"/>
          <w:szCs w:val="21"/>
          <w:highlight w:val="none"/>
        </w:rPr>
        <w:t>谈判小组应当从质量和服务均能满足谈判文件实质性响应要求的供应商中，按照</w:t>
      </w:r>
      <w:r>
        <w:rPr>
          <w:rFonts w:hint="eastAsia"/>
          <w:color w:val="auto"/>
          <w:highlight w:val="none"/>
        </w:rPr>
        <w:t>最终报价</w:t>
      </w:r>
      <w:r>
        <w:rPr>
          <w:color w:val="auto"/>
          <w:highlight w:val="none"/>
        </w:rPr>
        <w:t>/</w:t>
      </w:r>
      <w:r>
        <w:rPr>
          <w:rFonts w:hint="eastAsia" w:ascii="宋体" w:hAnsi="宋体"/>
          <w:color w:val="auto"/>
          <w:szCs w:val="21"/>
          <w:highlight w:val="none"/>
        </w:rPr>
        <w:t>评标报价由低到高的顺序提出</w:t>
      </w:r>
      <w:r>
        <w:rPr>
          <w:rFonts w:ascii="宋体" w:hAnsi="宋体"/>
          <w:color w:val="auto"/>
          <w:szCs w:val="21"/>
          <w:highlight w:val="none"/>
        </w:rPr>
        <w:t>3</w:t>
      </w:r>
      <w:r>
        <w:rPr>
          <w:rFonts w:hint="eastAsia" w:ascii="宋体" w:hAnsi="宋体"/>
          <w:color w:val="auto"/>
          <w:szCs w:val="21"/>
          <w:highlight w:val="none"/>
        </w:rPr>
        <w:t>名以上成交候选人（报价相同时，依次按节能环保产品优先、技术指标高优先、质量保证期长优先、交货期短优先、故障响应时间短优先的顺序排列）</w:t>
      </w:r>
      <w:r>
        <w:rPr>
          <w:rFonts w:ascii="宋体"/>
          <w:color w:val="auto"/>
          <w:szCs w:val="21"/>
          <w:highlight w:val="none"/>
        </w:rPr>
        <w:t>,</w:t>
      </w:r>
      <w:r>
        <w:rPr>
          <w:rFonts w:hint="eastAsia" w:ascii="宋体" w:hAnsi="宋体"/>
          <w:color w:val="auto"/>
          <w:szCs w:val="21"/>
          <w:highlight w:val="none"/>
        </w:rPr>
        <w:t>并编写评审报告。</w:t>
      </w:r>
    </w:p>
    <w:p>
      <w:pPr>
        <w:spacing w:line="360" w:lineRule="exact"/>
        <w:rPr>
          <w:rFonts w:ascii="宋体"/>
          <w:color w:val="auto"/>
          <w:szCs w:val="21"/>
          <w:highlight w:val="none"/>
        </w:rPr>
      </w:pPr>
      <w:r>
        <w:rPr>
          <w:rFonts w:ascii="宋体" w:hAnsi="宋体"/>
          <w:color w:val="auto"/>
          <w:szCs w:val="21"/>
          <w:highlight w:val="none"/>
        </w:rPr>
        <w:t>13.5</w:t>
      </w:r>
      <w:r>
        <w:rPr>
          <w:rFonts w:hint="eastAsia" w:ascii="宋体" w:hAnsi="宋体"/>
          <w:color w:val="auto"/>
          <w:szCs w:val="21"/>
          <w:highlight w:val="none"/>
        </w:rPr>
        <w:t>响应供应商的报价均超过了政府采购预算，采购人不能支付的，谈判活动终止；终止后，采购人需要采取调整采购预算或项目配置标准等，或采取其他采购方式的，应当在采购活动开始前获得财政部门批准。</w:t>
      </w:r>
    </w:p>
    <w:p>
      <w:pPr>
        <w:spacing w:line="360" w:lineRule="exact"/>
        <w:rPr>
          <w:rFonts w:ascii="宋体"/>
          <w:b/>
          <w:bCs/>
          <w:color w:val="auto"/>
          <w:szCs w:val="21"/>
          <w:highlight w:val="none"/>
        </w:rPr>
      </w:pPr>
      <w:r>
        <w:rPr>
          <w:rFonts w:ascii="宋体" w:hAnsi="宋体"/>
          <w:b/>
          <w:color w:val="auto"/>
          <w:szCs w:val="21"/>
          <w:highlight w:val="none"/>
        </w:rPr>
        <w:t>13.6</w:t>
      </w:r>
      <w:r>
        <w:rPr>
          <w:rFonts w:hint="eastAsia" w:ascii="宋体" w:hAnsi="宋体"/>
          <w:b/>
          <w:bCs/>
          <w:color w:val="auto"/>
          <w:szCs w:val="21"/>
          <w:highlight w:val="none"/>
        </w:rPr>
        <w:t>在谈判过程中出现法律法规和谈判文件均没有明确规定的情形时，由谈判小组现场协商解决，协商不一致的，由全体谈判小组投票表决，以得票率二分之一以上专家的意见为准。</w:t>
      </w:r>
    </w:p>
    <w:p>
      <w:pPr>
        <w:widowControl/>
        <w:tabs>
          <w:tab w:val="left" w:pos="540"/>
        </w:tabs>
        <w:spacing w:line="360" w:lineRule="exact"/>
        <w:jc w:val="left"/>
        <w:rPr>
          <w:rFonts w:ascii="宋体"/>
          <w:color w:val="auto"/>
          <w:szCs w:val="21"/>
          <w:highlight w:val="none"/>
        </w:rPr>
      </w:pPr>
      <w:r>
        <w:rPr>
          <w:rFonts w:ascii="宋体" w:hAnsi="宋体"/>
          <w:b/>
          <w:bCs/>
          <w:color w:val="auto"/>
          <w:szCs w:val="21"/>
          <w:highlight w:val="none"/>
        </w:rPr>
        <w:t>13.7</w:t>
      </w:r>
      <w:r>
        <w:rPr>
          <w:rFonts w:hint="eastAsia" w:ascii="宋体" w:hAnsi="宋体"/>
          <w:color w:val="auto"/>
          <w:szCs w:val="21"/>
          <w:highlight w:val="none"/>
        </w:rPr>
        <w:t>特别说明：</w:t>
      </w:r>
    </w:p>
    <w:p>
      <w:pPr>
        <w:pStyle w:val="13"/>
        <w:snapToGrid w:val="0"/>
        <w:spacing w:line="360" w:lineRule="exact"/>
        <w:ind w:left="2" w:leftChars="1"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1</w:t>
      </w:r>
      <w:r>
        <w:rPr>
          <w:rFonts w:hint="eastAsia" w:hAnsi="宋体"/>
          <w:color w:val="auto"/>
          <w:sz w:val="21"/>
          <w:highlight w:val="none"/>
        </w:rPr>
        <w:t>）出现下列情形之一的，在评审过程中，取其中通过资格审查、符合性审查且报价最低的参加评审；当报价相同时，则由采购人自主选择确定一个参加评审的供应商，其他投标无效：</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①提供相同品牌产品的不同供应商参加单一产品的同一合同项下的政府采购活动的。</w:t>
      </w:r>
    </w:p>
    <w:p>
      <w:pPr>
        <w:widowControl/>
        <w:spacing w:line="360" w:lineRule="exact"/>
        <w:ind w:firstLine="525" w:firstLineChars="250"/>
        <w:jc w:val="left"/>
        <w:rPr>
          <w:rFonts w:ascii="宋体"/>
          <w:color w:val="auto"/>
          <w:kern w:val="0"/>
          <w:szCs w:val="21"/>
          <w:highlight w:val="none"/>
        </w:rPr>
      </w:pPr>
      <w:r>
        <w:rPr>
          <w:rFonts w:hint="eastAsia" w:hAnsi="宋体"/>
          <w:color w:val="auto"/>
          <w:highlight w:val="none"/>
        </w:rPr>
        <w:t>②</w:t>
      </w:r>
      <w:r>
        <w:rPr>
          <w:rFonts w:hint="eastAsia" w:ascii="宋体" w:hAnsi="宋体"/>
          <w:color w:val="auto"/>
          <w:kern w:val="0"/>
          <w:szCs w:val="21"/>
          <w:highlight w:val="none"/>
        </w:rPr>
        <w:t>非单一产品采购项目中，多家供应商提供的核心产品品牌相同的。核心产品的名称应当在招标文件中载明。</w:t>
      </w:r>
    </w:p>
    <w:p>
      <w:pPr>
        <w:widowControl/>
        <w:spacing w:line="36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）供应商竞标所使用的资格、信誉、荣誉、业绩与企业认证必须为其组织所拥有。供应商竞标所使用的采购项目实施人员必须为组织员工（或必须为本法人或控股公司正式员工）。</w:t>
      </w:r>
    </w:p>
    <w:p>
      <w:pPr>
        <w:widowControl/>
        <w:spacing w:line="36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）供应商应仔细阅读竞争性谈判文件的所有内容，按照竞争性谈判文件的要求提交响应文件，并对所提供的全部资料的真实性承担法律责任。</w:t>
      </w:r>
    </w:p>
    <w:p>
      <w:pPr>
        <w:widowControl/>
        <w:spacing w:line="360" w:lineRule="exact"/>
        <w:ind w:firstLine="420" w:firstLineChars="200"/>
        <w:jc w:val="left"/>
        <w:rPr>
          <w:rFonts w:ascii="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）供应商在竞标活动中提供任何虚假材料</w:t>
      </w:r>
      <w:r>
        <w:rPr>
          <w:rFonts w:ascii="宋体" w:cs="宋体"/>
          <w:color w:val="auto"/>
          <w:kern w:val="0"/>
          <w:szCs w:val="21"/>
          <w:highlight w:val="none"/>
        </w:rPr>
        <w:t>,</w:t>
      </w:r>
      <w:r>
        <w:rPr>
          <w:rFonts w:hint="eastAsia" w:ascii="宋体" w:hAnsi="宋体" w:cs="宋体"/>
          <w:color w:val="auto"/>
          <w:kern w:val="0"/>
          <w:szCs w:val="21"/>
          <w:highlight w:val="none"/>
        </w:rPr>
        <w:t>其竞标无效，并报监管部门查处；中标后发现的</w:t>
      </w:r>
      <w:r>
        <w:rPr>
          <w:rFonts w:ascii="宋体" w:cs="宋体"/>
          <w:color w:val="auto"/>
          <w:kern w:val="0"/>
          <w:szCs w:val="21"/>
          <w:highlight w:val="none"/>
        </w:rPr>
        <w:t>,</w:t>
      </w:r>
      <w:r>
        <w:rPr>
          <w:rFonts w:hint="eastAsia" w:ascii="宋体" w:hAnsi="宋体" w:cs="宋体"/>
          <w:color w:val="auto"/>
          <w:kern w:val="0"/>
          <w:szCs w:val="21"/>
          <w:highlight w:val="none"/>
        </w:rPr>
        <w:t>成交供应商须依照《中华人民共和国消费者权益保护法》第</w:t>
      </w:r>
      <w:r>
        <w:rPr>
          <w:rFonts w:ascii="宋体" w:hAnsi="宋体" w:cs="宋体"/>
          <w:color w:val="auto"/>
          <w:kern w:val="0"/>
          <w:szCs w:val="21"/>
          <w:highlight w:val="none"/>
        </w:rPr>
        <w:t>55</w:t>
      </w:r>
      <w:r>
        <w:rPr>
          <w:rFonts w:hint="eastAsia" w:ascii="宋体" w:hAnsi="宋体" w:cs="宋体"/>
          <w:color w:val="auto"/>
          <w:kern w:val="0"/>
          <w:szCs w:val="21"/>
          <w:highlight w:val="none"/>
        </w:rPr>
        <w:t>条之规定</w:t>
      </w:r>
      <w:r>
        <w:rPr>
          <w:rFonts w:ascii="宋体" w:hAnsi="宋体" w:cs="宋体"/>
          <w:color w:val="auto"/>
          <w:kern w:val="0"/>
          <w:szCs w:val="21"/>
          <w:highlight w:val="none"/>
        </w:rPr>
        <w:t>3</w:t>
      </w:r>
      <w:r>
        <w:rPr>
          <w:rFonts w:hint="eastAsia" w:ascii="宋体" w:hAnsi="宋体" w:cs="宋体"/>
          <w:color w:val="auto"/>
          <w:kern w:val="0"/>
          <w:szCs w:val="21"/>
          <w:highlight w:val="none"/>
        </w:rPr>
        <w:t>倍赔偿采购人，且民事赔偿并不免除违法供应商的行政与</w:t>
      </w:r>
      <w:r>
        <w:rPr>
          <w:rFonts w:hint="eastAsia" w:ascii="宋体" w:hAnsi="宋体"/>
          <w:color w:val="auto"/>
          <w:szCs w:val="21"/>
          <w:highlight w:val="none"/>
        </w:rPr>
        <w:t>刑事责任。</w:t>
      </w:r>
    </w:p>
    <w:p>
      <w:pPr>
        <w:pStyle w:val="13"/>
        <w:snapToGrid w:val="0"/>
        <w:spacing w:line="360" w:lineRule="exact"/>
        <w:ind w:left="2" w:leftChars="1"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）有下列情形之一的视为供应商相互串通投标，响应文件将被视为无效：</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①不同供应商的响应文件由同一单位或者个人编制；或不同供应商报名的</w:t>
      </w:r>
      <w:r>
        <w:rPr>
          <w:rFonts w:hAnsi="宋体"/>
          <w:color w:val="auto"/>
          <w:sz w:val="21"/>
          <w:highlight w:val="none"/>
        </w:rPr>
        <w:t>IP</w:t>
      </w:r>
      <w:r>
        <w:rPr>
          <w:rFonts w:hint="eastAsia" w:hAnsi="宋体"/>
          <w:color w:val="auto"/>
          <w:sz w:val="21"/>
          <w:highlight w:val="none"/>
        </w:rPr>
        <w:t>地址一致的；</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②不同供应商委托同一单位或者个人办理竞标事宜；</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③不同的供应商的响应文件载明的项目管理员为同一个人；</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④不同供应商的响应文件异常一致或报价呈规律性差异；</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⑤不同供应商的响应文件相互混装；</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⑥不同供应商的保证金从同一单位或者个人账户转出。</w:t>
      </w:r>
    </w:p>
    <w:p>
      <w:pPr>
        <w:pStyle w:val="13"/>
        <w:snapToGrid w:val="0"/>
        <w:spacing w:line="360" w:lineRule="exact"/>
        <w:ind w:left="2" w:leftChars="1"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6</w:t>
      </w:r>
      <w:r>
        <w:rPr>
          <w:rFonts w:hint="eastAsia" w:hAnsi="宋体"/>
          <w:color w:val="auto"/>
          <w:sz w:val="21"/>
          <w:highlight w:val="none"/>
        </w:rPr>
        <w:t>）供应商有下列情形之一的，属于恶意串通行为：</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①供应商直接或者间接从采购人或者采购代理机构处获得其他供应商的相关信息并修改其响应文件：</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②供应商按照采购人或者采购代理机构的授意撤换、修改响应文件；</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③供应商之间协商报价、技术方案等响应文件的实质性内容；</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④属于同一集团、协会、商会等组织成员的供应商按照该组织要求协同参加政府采购活动；</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⑤供应商之间事先约定一致抬高或者压低报价</w:t>
      </w:r>
      <w:r>
        <w:rPr>
          <w:rFonts w:hAnsi="宋体"/>
          <w:color w:val="auto"/>
          <w:sz w:val="21"/>
          <w:highlight w:val="none"/>
        </w:rPr>
        <w:t>,</w:t>
      </w:r>
      <w:r>
        <w:rPr>
          <w:rFonts w:hint="eastAsia" w:hAnsi="宋体"/>
          <w:color w:val="auto"/>
          <w:sz w:val="21"/>
          <w:highlight w:val="none"/>
        </w:rPr>
        <w:t>或者在采购项目中事先约定轮流以高价位或者低价位成交</w:t>
      </w:r>
      <w:r>
        <w:rPr>
          <w:rFonts w:hAnsi="宋体"/>
          <w:color w:val="auto"/>
          <w:sz w:val="21"/>
          <w:highlight w:val="none"/>
        </w:rPr>
        <w:t>,</w:t>
      </w:r>
      <w:r>
        <w:rPr>
          <w:rFonts w:hint="eastAsia" w:hAnsi="宋体"/>
          <w:color w:val="auto"/>
          <w:sz w:val="21"/>
          <w:highlight w:val="none"/>
        </w:rPr>
        <w:t>或者事先约定由某一特定供应商成交</w:t>
      </w:r>
      <w:r>
        <w:rPr>
          <w:rFonts w:hAnsi="宋体"/>
          <w:color w:val="auto"/>
          <w:sz w:val="21"/>
          <w:highlight w:val="none"/>
        </w:rPr>
        <w:t>,</w:t>
      </w:r>
      <w:r>
        <w:rPr>
          <w:rFonts w:hint="eastAsia" w:hAnsi="宋体"/>
          <w:color w:val="auto"/>
          <w:sz w:val="21"/>
          <w:highlight w:val="none"/>
        </w:rPr>
        <w:t>然后再参加竞标；</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⑥供应商之间商定部分供应商放弃参加政府采购活动或者放弃成交；</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⑦供应商与采购人或者采购代理机构之间、供应商相互之间，为谋求特定供应商成交或者排斥其他供应商的其他串通行为。</w:t>
      </w:r>
    </w:p>
    <w:p>
      <w:pPr>
        <w:pStyle w:val="13"/>
        <w:snapToGrid w:val="0"/>
        <w:spacing w:line="360" w:lineRule="exact"/>
        <w:ind w:left="2" w:leftChars="1"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7</w:t>
      </w:r>
      <w:r>
        <w:rPr>
          <w:rFonts w:hint="eastAsia" w:hAnsi="宋体"/>
          <w:color w:val="auto"/>
          <w:sz w:val="21"/>
          <w:highlight w:val="none"/>
        </w:rPr>
        <w:t>）关联供应商不得参加同一合同项下政府采购活动，否则响应文件将被视为无效：</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①单位负责人为同一人或者存在直接控股、管理关系的不同的供应商，不得参加同一合同项下的政府采购活动；</w:t>
      </w:r>
    </w:p>
    <w:p>
      <w:pPr>
        <w:pStyle w:val="13"/>
        <w:snapToGrid w:val="0"/>
        <w:spacing w:line="360" w:lineRule="exact"/>
        <w:ind w:left="2" w:leftChars="1" w:firstLine="525" w:firstLineChars="250"/>
        <w:rPr>
          <w:rFonts w:hAnsi="宋体"/>
          <w:color w:val="auto"/>
          <w:sz w:val="21"/>
          <w:highlight w:val="none"/>
        </w:rPr>
      </w:pPr>
      <w:r>
        <w:rPr>
          <w:rFonts w:hint="eastAsia" w:hAnsi="宋体"/>
          <w:color w:val="auto"/>
          <w:sz w:val="21"/>
          <w:highlight w:val="none"/>
        </w:rPr>
        <w:t>②生产厂商授权给供应商后自己不得参加同一合同项下的政府采购活动；生产厂商对同一品牌同一型号的货物，仅能委托一个代理商参加竞标。</w:t>
      </w:r>
    </w:p>
    <w:p>
      <w:pPr>
        <w:pStyle w:val="3"/>
        <w:spacing w:before="0" w:after="0" w:line="500" w:lineRule="exact"/>
        <w:rPr>
          <w:color w:val="auto"/>
          <w:sz w:val="21"/>
          <w:szCs w:val="21"/>
          <w:highlight w:val="none"/>
        </w:rPr>
      </w:pPr>
      <w:bookmarkStart w:id="11" w:name="_Toc496610493"/>
      <w:r>
        <w:rPr>
          <w:rFonts w:hint="eastAsia"/>
          <w:color w:val="auto"/>
          <w:sz w:val="21"/>
          <w:szCs w:val="21"/>
          <w:highlight w:val="none"/>
        </w:rPr>
        <w:t>七、确定成交供应商办法及结果公告</w:t>
      </w:r>
      <w:bookmarkEnd w:id="11"/>
    </w:p>
    <w:p>
      <w:pPr>
        <w:spacing w:line="360" w:lineRule="exact"/>
        <w:rPr>
          <w:rFonts w:ascii="宋体"/>
          <w:color w:val="auto"/>
          <w:szCs w:val="21"/>
          <w:highlight w:val="none"/>
        </w:rPr>
      </w:pPr>
      <w:r>
        <w:rPr>
          <w:rFonts w:ascii="宋体" w:hAnsi="宋体"/>
          <w:color w:val="auto"/>
          <w:szCs w:val="21"/>
          <w:highlight w:val="none"/>
        </w:rPr>
        <w:t>14.1</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个工作日内将评审报告送采购人确认。采购人应当在收到评审报告后</w:t>
      </w:r>
      <w:r>
        <w:rPr>
          <w:rFonts w:ascii="宋体" w:hAnsi="宋体" w:cs="宋体"/>
          <w:color w:val="auto"/>
          <w:kern w:val="0"/>
          <w:szCs w:val="21"/>
          <w:highlight w:val="none"/>
        </w:rPr>
        <w:t>5</w:t>
      </w:r>
      <w:r>
        <w:rPr>
          <w:rFonts w:hint="eastAsia" w:ascii="宋体" w:hAnsi="宋体" w:cs="宋体"/>
          <w:color w:val="auto"/>
          <w:kern w:val="0"/>
          <w:szCs w:val="21"/>
          <w:highlight w:val="none"/>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pacing w:line="360" w:lineRule="exact"/>
        <w:rPr>
          <w:rFonts w:asci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olor w:val="auto"/>
          <w:szCs w:val="21"/>
          <w:highlight w:val="none"/>
        </w:rPr>
        <w:t>供应商确定后</w:t>
      </w:r>
      <w:r>
        <w:rPr>
          <w:rFonts w:ascii="宋体" w:hAnsi="宋体"/>
          <w:color w:val="auto"/>
          <w:szCs w:val="21"/>
          <w:highlight w:val="none"/>
        </w:rPr>
        <w:t>2</w:t>
      </w:r>
      <w:r>
        <w:rPr>
          <w:rFonts w:hint="eastAsia" w:ascii="宋体" w:hAnsi="宋体"/>
          <w:color w:val="auto"/>
          <w:szCs w:val="21"/>
          <w:highlight w:val="none"/>
        </w:rPr>
        <w:t>个工作日内，在省级以上财政部门指定的媒体上公告成交结果，同时向成交供应商发出成交通知书。</w:t>
      </w:r>
      <w:r>
        <w:rPr>
          <w:rFonts w:hint="eastAsia" w:ascii="宋体" w:hAnsi="宋体" w:cs="Courier New"/>
          <w:color w:val="auto"/>
          <w:szCs w:val="21"/>
          <w:highlight w:val="none"/>
        </w:rPr>
        <w:t>采购人或采购代理发出成交通知书前，应当对成交供应商信用进行查询，对</w:t>
      </w:r>
      <w:r>
        <w:rPr>
          <w:rFonts w:hint="eastAsia" w:ascii="宋体" w:hAnsi="宋体"/>
          <w:color w:val="auto"/>
          <w:szCs w:val="21"/>
          <w:highlight w:val="none"/>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360" w:lineRule="exact"/>
        <w:ind w:firstLine="426"/>
        <w:rPr>
          <w:rFonts w:ascii="宋体"/>
          <w:color w:val="auto"/>
          <w:szCs w:val="21"/>
          <w:highlight w:val="none"/>
        </w:rPr>
      </w:pPr>
      <w:r>
        <w:rPr>
          <w:rFonts w:hint="eastAsia" w:ascii="宋体" w:hAnsi="宋体"/>
          <w:color w:val="auto"/>
          <w:szCs w:val="21"/>
          <w:highlight w:val="none"/>
        </w:rPr>
        <w:t>排名第二的成交候选人因前款规定的同样原因被取消成交资格的，采购人可以确定排名第三的成交候选人为成交人。</w:t>
      </w:r>
    </w:p>
    <w:p>
      <w:pPr>
        <w:spacing w:line="360" w:lineRule="exact"/>
        <w:ind w:firstLine="426"/>
        <w:rPr>
          <w:rFonts w:ascii="宋体"/>
          <w:color w:val="auto"/>
          <w:szCs w:val="21"/>
          <w:highlight w:val="none"/>
        </w:rPr>
      </w:pPr>
      <w:r>
        <w:rPr>
          <w:rFonts w:hint="eastAsia" w:ascii="宋体" w:hAnsi="宋体"/>
          <w:color w:val="auto"/>
          <w:szCs w:val="21"/>
          <w:highlight w:val="none"/>
        </w:rPr>
        <w:t>以上信息查询记录及相关证据与采购文件一并保存。</w:t>
      </w:r>
    </w:p>
    <w:p>
      <w:pPr>
        <w:pStyle w:val="3"/>
        <w:spacing w:before="0" w:after="0" w:line="500" w:lineRule="exact"/>
        <w:rPr>
          <w:color w:val="auto"/>
          <w:sz w:val="21"/>
          <w:szCs w:val="21"/>
          <w:highlight w:val="none"/>
        </w:rPr>
      </w:pPr>
      <w:bookmarkStart w:id="12" w:name="_Toc496610494"/>
      <w:r>
        <w:rPr>
          <w:rFonts w:hint="eastAsia"/>
          <w:color w:val="auto"/>
          <w:sz w:val="21"/>
          <w:szCs w:val="21"/>
          <w:highlight w:val="none"/>
        </w:rPr>
        <w:t>八、履约保证金</w:t>
      </w:r>
      <w:bookmarkEnd w:id="12"/>
    </w:p>
    <w:p>
      <w:pPr>
        <w:spacing w:line="360" w:lineRule="exact"/>
        <w:ind w:left="420" w:hanging="420"/>
        <w:rPr>
          <w:rFonts w:asci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成交供应商须于签订合同前按本须知前附表规定的金额直接缴入指定账户。否则</w:t>
      </w:r>
      <w:r>
        <w:rPr>
          <w:rFonts w:ascii="宋体"/>
          <w:color w:val="auto"/>
          <w:szCs w:val="21"/>
          <w:highlight w:val="none"/>
        </w:rPr>
        <w:t>,</w:t>
      </w:r>
      <w:r>
        <w:rPr>
          <w:rFonts w:hint="eastAsia" w:ascii="宋体" w:hAnsi="宋体"/>
          <w:color w:val="auto"/>
          <w:szCs w:val="21"/>
          <w:highlight w:val="none"/>
        </w:rPr>
        <w:t>不予签订合同。</w:t>
      </w:r>
    </w:p>
    <w:p>
      <w:pPr>
        <w:spacing w:line="360" w:lineRule="exact"/>
        <w:rPr>
          <w:rFonts w:ascii="宋体"/>
          <w:color w:val="auto"/>
          <w:szCs w:val="21"/>
          <w:highlight w:val="none"/>
        </w:rPr>
      </w:pPr>
      <w:r>
        <w:rPr>
          <w:rFonts w:ascii="宋体" w:hAnsi="宋体"/>
          <w:color w:val="auto"/>
          <w:szCs w:val="21"/>
          <w:highlight w:val="none"/>
        </w:rPr>
        <w:t>15.2</w:t>
      </w:r>
      <w:r>
        <w:rPr>
          <w:rFonts w:hint="eastAsia" w:ascii="宋体" w:hAnsi="宋体"/>
          <w:color w:val="auto"/>
          <w:szCs w:val="21"/>
          <w:highlight w:val="none"/>
        </w:rPr>
        <w:t>签订合同后，如成交供应商不按双方签订的合同规定履约，则没收其全部履约保证金，履约保证金不足以赔偿损失的，按实际损失赔偿。</w:t>
      </w:r>
    </w:p>
    <w:p>
      <w:pPr>
        <w:spacing w:line="360" w:lineRule="exact"/>
        <w:rPr>
          <w:rFonts w:ascii="宋体"/>
          <w:color w:val="auto"/>
          <w:szCs w:val="21"/>
          <w:highlight w:val="none"/>
        </w:rPr>
      </w:pPr>
      <w:r>
        <w:rPr>
          <w:rFonts w:ascii="宋体" w:hAnsi="宋体"/>
          <w:color w:val="auto"/>
          <w:szCs w:val="21"/>
          <w:highlight w:val="none"/>
        </w:rPr>
        <w:t>15.3</w:t>
      </w:r>
      <w:r>
        <w:rPr>
          <w:rFonts w:hint="eastAsia" w:ascii="宋体" w:hAnsi="宋体"/>
          <w:color w:val="auto"/>
          <w:szCs w:val="21"/>
          <w:highlight w:val="none"/>
        </w:rPr>
        <w:t>履约保证金在成交供应商按合同约定交货验收合格后，</w:t>
      </w:r>
      <w:r>
        <w:rPr>
          <w:rFonts w:hint="eastAsia" w:hAnsi="宋体"/>
          <w:color w:val="auto"/>
          <w:highlight w:val="none"/>
        </w:rPr>
        <w:t>由供应商向指定账户人提供《政府采购项目履约保证金退付意见书》及《</w:t>
      </w:r>
      <w:r>
        <w:rPr>
          <w:rFonts w:hint="eastAsia" w:ascii="宋体" w:hAnsi="宋体" w:cs="Courier New"/>
          <w:color w:val="auto"/>
          <w:szCs w:val="21"/>
          <w:highlight w:val="none"/>
        </w:rPr>
        <w:t>政府采购项目合同验收报告</w:t>
      </w:r>
      <w:r>
        <w:rPr>
          <w:rFonts w:hint="eastAsia" w:hAnsi="宋体"/>
          <w:color w:val="auto"/>
          <w:highlight w:val="none"/>
        </w:rPr>
        <w:t>》（详见附件），指定账户人在收到合格材料后</w:t>
      </w:r>
      <w:r>
        <w:rPr>
          <w:rFonts w:hAnsi="宋体"/>
          <w:color w:val="auto"/>
          <w:highlight w:val="none"/>
        </w:rPr>
        <w:t>5</w:t>
      </w:r>
      <w:r>
        <w:rPr>
          <w:rFonts w:hint="eastAsia" w:hAnsi="宋体"/>
          <w:color w:val="auto"/>
          <w:highlight w:val="none"/>
        </w:rPr>
        <w:t>个工作日内以银行转帐方式如数退还（不计利息）。</w:t>
      </w:r>
    </w:p>
    <w:p>
      <w:pPr>
        <w:spacing w:line="360" w:lineRule="exact"/>
        <w:rPr>
          <w:rFonts w:ascii="宋体"/>
          <w:b/>
          <w:color w:val="auto"/>
          <w:szCs w:val="21"/>
          <w:highlight w:val="none"/>
        </w:rPr>
      </w:pPr>
      <w:r>
        <w:rPr>
          <w:rFonts w:ascii="宋体" w:hAnsi="宋体"/>
          <w:color w:val="auto"/>
          <w:szCs w:val="21"/>
          <w:highlight w:val="none"/>
        </w:rPr>
        <w:t>15.4</w:t>
      </w:r>
      <w:r>
        <w:rPr>
          <w:rFonts w:hint="eastAsia" w:ascii="宋体" w:hAnsi="宋体"/>
          <w:color w:val="auto"/>
          <w:szCs w:val="21"/>
          <w:highlight w:val="none"/>
        </w:rPr>
        <w:t>在履约保证金退还日期前，若成交供应商的开户名称、开户银行、帐号有变动的，请以书面形式</w:t>
      </w:r>
      <w:r>
        <w:rPr>
          <w:rFonts w:hint="eastAsia" w:hAnsi="宋体"/>
          <w:color w:val="auto"/>
          <w:highlight w:val="none"/>
        </w:rPr>
        <w:t>通知指定账户人，否则由此产生的后果由成交供应商自负。</w:t>
      </w:r>
    </w:p>
    <w:p>
      <w:pPr>
        <w:pStyle w:val="3"/>
        <w:spacing w:before="0" w:after="0" w:line="500" w:lineRule="exact"/>
        <w:rPr>
          <w:color w:val="auto"/>
          <w:sz w:val="21"/>
          <w:szCs w:val="21"/>
          <w:highlight w:val="none"/>
        </w:rPr>
      </w:pPr>
      <w:bookmarkStart w:id="13" w:name="_Toc496610495"/>
      <w:r>
        <w:rPr>
          <w:rFonts w:hint="eastAsia"/>
          <w:color w:val="auto"/>
          <w:sz w:val="21"/>
          <w:szCs w:val="21"/>
          <w:highlight w:val="none"/>
        </w:rPr>
        <w:t>九、签订合同</w:t>
      </w:r>
      <w:bookmarkEnd w:id="13"/>
    </w:p>
    <w:p>
      <w:pPr>
        <w:spacing w:line="360" w:lineRule="exact"/>
        <w:rPr>
          <w:rFonts w:hAnsi="宋体"/>
          <w:color w:val="auto"/>
          <w:highlight w:val="none"/>
        </w:rPr>
      </w:pPr>
      <w:r>
        <w:rPr>
          <w:rFonts w:ascii="宋体" w:hAnsi="宋体"/>
          <w:color w:val="auto"/>
          <w:szCs w:val="21"/>
          <w:highlight w:val="none"/>
        </w:rPr>
        <w:t>16.1</w:t>
      </w:r>
      <w:r>
        <w:rPr>
          <w:rFonts w:hint="eastAsia" w:ascii="宋体" w:hAnsi="宋体"/>
          <w:color w:val="auto"/>
          <w:szCs w:val="21"/>
          <w:highlight w:val="none"/>
        </w:rPr>
        <w:t>成交供应商在收到成交通知书后，</w:t>
      </w:r>
      <w:r>
        <w:rPr>
          <w:rFonts w:hint="eastAsia" w:hAnsi="宋体"/>
          <w:color w:val="auto"/>
          <w:highlight w:val="none"/>
        </w:rPr>
        <w:t>按须知前附表规定向采购人出示相关资格证件，经采购人核验合格后方可签订合同。</w:t>
      </w:r>
    </w:p>
    <w:p>
      <w:pPr>
        <w:spacing w:line="360" w:lineRule="exact"/>
        <w:ind w:left="420" w:hanging="420"/>
        <w:rPr>
          <w:rFonts w:ascii="宋体"/>
          <w:color w:val="auto"/>
          <w:szCs w:val="21"/>
          <w:highlight w:val="none"/>
        </w:rPr>
      </w:pPr>
      <w:r>
        <w:rPr>
          <w:rFonts w:ascii="宋体" w:hAnsi="宋体"/>
          <w:color w:val="auto"/>
          <w:szCs w:val="21"/>
          <w:highlight w:val="none"/>
        </w:rPr>
        <w:t xml:space="preserve">16.2 </w:t>
      </w:r>
      <w:r>
        <w:rPr>
          <w:rFonts w:hint="eastAsia" w:hAnsi="宋体"/>
          <w:color w:val="auto"/>
          <w:highlight w:val="none"/>
        </w:rPr>
        <w:t>签订合同时间：按成交通知书规定的时间、地点与</w:t>
      </w:r>
      <w:r>
        <w:rPr>
          <w:rFonts w:hint="eastAsia" w:ascii="宋体" w:hAnsi="宋体"/>
          <w:color w:val="auto"/>
          <w:szCs w:val="21"/>
          <w:highlight w:val="none"/>
        </w:rPr>
        <w:t>与采购人签订政府采购合同。</w:t>
      </w:r>
    </w:p>
    <w:p>
      <w:pPr>
        <w:spacing w:line="360" w:lineRule="exact"/>
        <w:rPr>
          <w:rFonts w:ascii="宋体"/>
          <w:color w:val="auto"/>
          <w:szCs w:val="21"/>
          <w:highlight w:val="none"/>
        </w:rPr>
      </w:pPr>
      <w:r>
        <w:rPr>
          <w:rFonts w:ascii="宋体" w:hAnsi="宋体"/>
          <w:color w:val="auto"/>
          <w:szCs w:val="21"/>
          <w:highlight w:val="none"/>
        </w:rPr>
        <w:t>16.3</w:t>
      </w:r>
      <w:r>
        <w:rPr>
          <w:rFonts w:hint="eastAsia" w:ascii="宋体" w:hAnsi="宋体"/>
          <w:color w:val="auto"/>
          <w:szCs w:val="21"/>
          <w:highlight w:val="none"/>
        </w:rPr>
        <w:t>成交供应商拒绝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p>
    <w:p>
      <w:pPr>
        <w:pStyle w:val="3"/>
        <w:spacing w:before="0" w:after="0" w:line="500" w:lineRule="exact"/>
        <w:rPr>
          <w:color w:val="auto"/>
          <w:sz w:val="21"/>
          <w:szCs w:val="21"/>
          <w:highlight w:val="none"/>
        </w:rPr>
      </w:pPr>
      <w:bookmarkStart w:id="14" w:name="_Toc496610496"/>
      <w:r>
        <w:rPr>
          <w:rFonts w:hint="eastAsia"/>
          <w:color w:val="auto"/>
          <w:sz w:val="21"/>
          <w:szCs w:val="21"/>
          <w:highlight w:val="none"/>
        </w:rPr>
        <w:t>十、政府采购合同公告</w:t>
      </w:r>
      <w:bookmarkEnd w:id="14"/>
    </w:p>
    <w:p>
      <w:pPr>
        <w:spacing w:line="360" w:lineRule="exact"/>
        <w:rPr>
          <w:rFonts w:ascii="宋体"/>
          <w:b/>
          <w:color w:val="auto"/>
          <w:szCs w:val="21"/>
          <w:highlight w:val="none"/>
        </w:rPr>
      </w:pPr>
      <w:r>
        <w:rPr>
          <w:rFonts w:ascii="宋体" w:hAnsi="宋体"/>
          <w:color w:val="auto"/>
          <w:szCs w:val="21"/>
          <w:highlight w:val="none"/>
        </w:rPr>
        <w:t>17.</w:t>
      </w:r>
      <w:r>
        <w:rPr>
          <w:rFonts w:hint="eastAsia" w:hAnsi="宋体"/>
          <w:color w:val="auto"/>
          <w:highlight w:val="none"/>
        </w:rPr>
        <w:t>根据</w:t>
      </w:r>
      <w:r>
        <w:rPr>
          <w:rFonts w:hint="eastAsia" w:ascii="宋体" w:hAnsi="宋体" w:cs="Courier New"/>
          <w:color w:val="auto"/>
          <w:highlight w:val="none"/>
        </w:rPr>
        <w:t>《中华人民共和国政府采购法实施条例》第五十条</w:t>
      </w:r>
      <w:r>
        <w:rPr>
          <w:rFonts w:hint="eastAsia" w:hAnsi="宋体"/>
          <w:color w:val="auto"/>
          <w:highlight w:val="none"/>
        </w:rPr>
        <w:t>规定，采购人应当自政府采购合同签订之日起</w:t>
      </w:r>
      <w:r>
        <w:rPr>
          <w:rFonts w:hAnsi="宋体"/>
          <w:color w:val="auto"/>
          <w:highlight w:val="none"/>
        </w:rPr>
        <w:t>2</w:t>
      </w:r>
      <w:r>
        <w:rPr>
          <w:rFonts w:hint="eastAsia" w:hAnsi="宋体"/>
          <w:color w:val="auto"/>
          <w:highlight w:val="none"/>
        </w:rPr>
        <w:t>个工作日内，将政府采购合同在省级以上人民政府财政部门指定的媒体上公告，</w:t>
      </w:r>
      <w:r>
        <w:rPr>
          <w:rFonts w:hint="eastAsia" w:ascii="宋体" w:hAnsi="宋体" w:cs="Courier New"/>
          <w:color w:val="auto"/>
          <w:highlight w:val="none"/>
        </w:rPr>
        <w:t>但政府采购合同中涉及国家秘密、商业秘密的内容除外。</w:t>
      </w:r>
    </w:p>
    <w:p>
      <w:pPr>
        <w:pStyle w:val="3"/>
        <w:spacing w:before="0" w:after="0" w:line="500" w:lineRule="exact"/>
        <w:rPr>
          <w:color w:val="auto"/>
          <w:sz w:val="21"/>
          <w:szCs w:val="21"/>
          <w:highlight w:val="none"/>
        </w:rPr>
      </w:pPr>
      <w:bookmarkStart w:id="15" w:name="_Toc496610497"/>
      <w:r>
        <w:rPr>
          <w:rFonts w:hint="eastAsia"/>
          <w:color w:val="auto"/>
          <w:sz w:val="21"/>
          <w:szCs w:val="21"/>
          <w:highlight w:val="none"/>
        </w:rPr>
        <w:t>十一、适用法律</w:t>
      </w:r>
      <w:bookmarkEnd w:id="15"/>
    </w:p>
    <w:p>
      <w:pPr>
        <w:tabs>
          <w:tab w:val="left" w:pos="2835"/>
        </w:tabs>
        <w:spacing w:line="360" w:lineRule="exact"/>
        <w:rPr>
          <w:rFonts w:ascii="宋体"/>
          <w:color w:val="auto"/>
          <w:szCs w:val="21"/>
          <w:highlight w:val="none"/>
        </w:rPr>
      </w:pPr>
      <w:r>
        <w:rPr>
          <w:rFonts w:ascii="宋体" w:hAnsi="宋体"/>
          <w:color w:val="auto"/>
          <w:szCs w:val="21"/>
          <w:highlight w:val="none"/>
        </w:rPr>
        <w:t xml:space="preserve">18. </w:t>
      </w:r>
      <w:r>
        <w:rPr>
          <w:rFonts w:hint="eastAsia" w:ascii="宋体" w:hAnsi="宋体"/>
          <w:color w:val="auto"/>
          <w:szCs w:val="21"/>
          <w:highlight w:val="none"/>
        </w:rPr>
        <w:t>采购当事人的一切活动均适用于《中华人民共和国政府采购法》、《中华人民共和国政府采购法实施条例》、《政府采购非招标采购方式管理办法》及相关规定。</w:t>
      </w:r>
    </w:p>
    <w:p>
      <w:pPr>
        <w:tabs>
          <w:tab w:val="left" w:pos="2835"/>
        </w:tabs>
        <w:spacing w:line="360" w:lineRule="exact"/>
        <w:rPr>
          <w:rFonts w:ascii="宋体"/>
          <w:color w:val="auto"/>
          <w:szCs w:val="21"/>
          <w:highlight w:val="none"/>
        </w:rPr>
      </w:pPr>
      <w:r>
        <w:rPr>
          <w:rFonts w:hint="eastAsia" w:ascii="宋体" w:hAnsi="宋体"/>
          <w:color w:val="auto"/>
          <w:szCs w:val="21"/>
          <w:highlight w:val="none"/>
        </w:rPr>
        <w:t>最终谈判结束后，谈判小组不得再与供应商进行任何形式的商谈。</w:t>
      </w:r>
    </w:p>
    <w:p>
      <w:pPr>
        <w:pStyle w:val="3"/>
        <w:spacing w:before="0" w:after="0" w:line="500" w:lineRule="exact"/>
        <w:rPr>
          <w:color w:val="auto"/>
          <w:sz w:val="21"/>
          <w:szCs w:val="21"/>
          <w:highlight w:val="none"/>
        </w:rPr>
      </w:pPr>
      <w:bookmarkStart w:id="16" w:name="_Toc496610498"/>
      <w:r>
        <w:rPr>
          <w:rFonts w:hint="eastAsia"/>
          <w:color w:val="auto"/>
          <w:sz w:val="21"/>
          <w:szCs w:val="21"/>
          <w:highlight w:val="none"/>
        </w:rPr>
        <w:t>十二、其它内容</w:t>
      </w:r>
      <w:bookmarkEnd w:id="16"/>
    </w:p>
    <w:p>
      <w:pPr>
        <w:tabs>
          <w:tab w:val="left" w:pos="2835"/>
        </w:tabs>
        <w:spacing w:line="360" w:lineRule="exact"/>
        <w:rPr>
          <w:rFonts w:ascii="宋体"/>
          <w:b/>
          <w:color w:val="auto"/>
          <w:szCs w:val="21"/>
          <w:highlight w:val="none"/>
        </w:rPr>
      </w:pPr>
      <w:r>
        <w:rPr>
          <w:rFonts w:ascii="宋体" w:hAnsi="宋体"/>
          <w:color w:val="auto"/>
          <w:szCs w:val="21"/>
          <w:highlight w:val="none"/>
        </w:rPr>
        <w:t xml:space="preserve">19. </w:t>
      </w:r>
      <w:r>
        <w:rPr>
          <w:rFonts w:hint="eastAsia" w:ascii="宋体" w:hAnsi="宋体"/>
          <w:bCs/>
          <w:color w:val="auto"/>
          <w:szCs w:val="21"/>
          <w:highlight w:val="none"/>
        </w:rPr>
        <w:t>招标</w:t>
      </w:r>
      <w:r>
        <w:rPr>
          <w:rFonts w:hint="eastAsia" w:ascii="宋体" w:hAnsi="宋体"/>
          <w:color w:val="auto"/>
          <w:szCs w:val="21"/>
          <w:highlight w:val="none"/>
        </w:rPr>
        <w:t>代理服务费：本项目的成交服务费，按第</w:t>
      </w:r>
      <w:r>
        <w:rPr>
          <w:rFonts w:ascii="宋体" w:hAnsi="宋体"/>
          <w:color w:val="auto"/>
          <w:szCs w:val="21"/>
          <w:highlight w:val="none"/>
        </w:rPr>
        <w:t>19.1</w:t>
      </w:r>
      <w:r>
        <w:rPr>
          <w:rFonts w:hint="eastAsia" w:ascii="宋体" w:hAnsi="宋体"/>
          <w:color w:val="auto"/>
          <w:szCs w:val="21"/>
          <w:highlight w:val="none"/>
        </w:rPr>
        <w:t>款规定“货物类”标准采用差额定率累进计费方式计算，由成交单位在签订合同前，一次性向采购代理机构支付。</w:t>
      </w:r>
    </w:p>
    <w:p>
      <w:pPr>
        <w:tabs>
          <w:tab w:val="left" w:pos="2835"/>
        </w:tabs>
        <w:spacing w:line="360" w:lineRule="exact"/>
        <w:rPr>
          <w:color w:val="auto"/>
          <w:highlight w:val="none"/>
        </w:rPr>
      </w:pPr>
      <w:r>
        <w:rPr>
          <w:rFonts w:ascii="宋体" w:hAnsi="宋体"/>
          <w:color w:val="auto"/>
          <w:szCs w:val="21"/>
          <w:highlight w:val="none"/>
        </w:rPr>
        <w:t>19.1</w:t>
      </w:r>
      <w:r>
        <w:rPr>
          <w:rFonts w:hint="eastAsia" w:ascii="宋体"/>
          <w:bCs/>
          <w:color w:val="auto"/>
          <w:szCs w:val="20"/>
          <w:highlight w:val="none"/>
        </w:rPr>
        <w:t>招标</w:t>
      </w:r>
      <w:r>
        <w:rPr>
          <w:rFonts w:hint="eastAsia" w:hAnsi="宋体"/>
          <w:color w:val="auto"/>
          <w:highlight w:val="none"/>
        </w:rPr>
        <w:t>代理服务收费标准：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1787"/>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309" w:type="dxa"/>
            <w:tcBorders>
              <w:tl2br w:val="single" w:color="auto" w:sz="4" w:space="0"/>
            </w:tcBorders>
          </w:tcPr>
          <w:p>
            <w:pPr>
              <w:spacing w:line="36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费率</w:t>
            </w:r>
          </w:p>
          <w:p>
            <w:pPr>
              <w:spacing w:line="360" w:lineRule="exact"/>
              <w:rPr>
                <w:rFonts w:ascii="宋体"/>
                <w:color w:val="auto"/>
                <w:szCs w:val="21"/>
                <w:highlight w:val="none"/>
              </w:rPr>
            </w:pPr>
            <w:r>
              <w:rPr>
                <w:rFonts w:hint="eastAsia" w:ascii="宋体" w:hAnsi="宋体"/>
                <w:color w:val="auto"/>
                <w:szCs w:val="21"/>
                <w:highlight w:val="none"/>
              </w:rPr>
              <w:t>成交金额</w:t>
            </w:r>
          </w:p>
        </w:tc>
        <w:tc>
          <w:tcPr>
            <w:tcW w:w="1787" w:type="dxa"/>
            <w:vAlign w:val="center"/>
          </w:tcPr>
          <w:p>
            <w:pPr>
              <w:spacing w:line="360" w:lineRule="exact"/>
              <w:ind w:firstLine="105" w:firstLineChars="50"/>
              <w:jc w:val="center"/>
              <w:rPr>
                <w:rFonts w:ascii="宋体"/>
                <w:color w:val="auto"/>
                <w:szCs w:val="21"/>
                <w:highlight w:val="none"/>
              </w:rPr>
            </w:pPr>
            <w:r>
              <w:rPr>
                <w:rFonts w:hint="eastAsia" w:ascii="宋体" w:hAnsi="宋体"/>
                <w:color w:val="auto"/>
                <w:szCs w:val="21"/>
                <w:highlight w:val="none"/>
              </w:rPr>
              <w:t>货物招标</w:t>
            </w:r>
          </w:p>
        </w:tc>
        <w:tc>
          <w:tcPr>
            <w:tcW w:w="1701" w:type="dxa"/>
            <w:vAlign w:val="center"/>
          </w:tcPr>
          <w:p>
            <w:pPr>
              <w:spacing w:line="360" w:lineRule="exact"/>
              <w:jc w:val="center"/>
              <w:rPr>
                <w:rFonts w:ascii="宋体"/>
                <w:color w:val="auto"/>
                <w:szCs w:val="21"/>
                <w:highlight w:val="none"/>
              </w:rPr>
            </w:pPr>
            <w:r>
              <w:rPr>
                <w:rFonts w:hint="eastAsia" w:ascii="宋体" w:hAnsi="宋体"/>
                <w:color w:val="auto"/>
                <w:szCs w:val="21"/>
                <w:highlight w:val="none"/>
              </w:rPr>
              <w:t>服务招标</w:t>
            </w:r>
          </w:p>
        </w:tc>
        <w:tc>
          <w:tcPr>
            <w:tcW w:w="1842" w:type="dxa"/>
            <w:vAlign w:val="center"/>
          </w:tcPr>
          <w:p>
            <w:pPr>
              <w:spacing w:line="360" w:lineRule="exact"/>
              <w:jc w:val="center"/>
              <w:rPr>
                <w:rFonts w:asci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万元以下</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500</w:t>
            </w:r>
            <w:r>
              <w:rPr>
                <w:rFonts w:hint="eastAsia" w:ascii="宋体" w:hAnsi="宋体"/>
                <w:color w:val="auto"/>
                <w:szCs w:val="21"/>
                <w:highlight w:val="none"/>
              </w:rPr>
              <w:t>万元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1.1%</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0.8%</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w:t>
            </w:r>
            <w:r>
              <w:rPr>
                <w:rFonts w:ascii="宋体" w:hAnsi="宋体"/>
                <w:color w:val="auto"/>
                <w:szCs w:val="21"/>
                <w:highlight w:val="none"/>
              </w:rPr>
              <w:t>1000</w:t>
            </w:r>
            <w:r>
              <w:rPr>
                <w:rFonts w:hint="eastAsia" w:ascii="宋体" w:hAnsi="宋体"/>
                <w:color w:val="auto"/>
                <w:szCs w:val="21"/>
                <w:highlight w:val="none"/>
              </w:rPr>
              <w:t>万元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0.8%</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0.45%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1000</w:t>
            </w:r>
            <w:r>
              <w:rPr>
                <w:rFonts w:hint="eastAsia" w:ascii="宋体" w:hAnsi="宋体"/>
                <w:color w:val="auto"/>
                <w:szCs w:val="21"/>
                <w:highlight w:val="none"/>
              </w:rPr>
              <w:t>～</w:t>
            </w:r>
            <w:r>
              <w:rPr>
                <w:rFonts w:ascii="宋体" w:hAnsi="宋体"/>
                <w:color w:val="auto"/>
                <w:szCs w:val="21"/>
                <w:highlight w:val="none"/>
              </w:rPr>
              <w:t>5000</w:t>
            </w:r>
            <w:r>
              <w:rPr>
                <w:rFonts w:hint="eastAsia" w:ascii="宋体" w:hAnsi="宋体"/>
                <w:color w:val="auto"/>
                <w:szCs w:val="21"/>
                <w:highlight w:val="none"/>
              </w:rPr>
              <w:t>万元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0.25%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5000</w:t>
            </w:r>
            <w:r>
              <w:rPr>
                <w:rFonts w:hint="eastAsia" w:ascii="宋体" w:hAnsi="宋体"/>
                <w:color w:val="auto"/>
                <w:szCs w:val="21"/>
                <w:highlight w:val="none"/>
              </w:rPr>
              <w:t>万元～</w:t>
            </w:r>
            <w:r>
              <w:rPr>
                <w:rFonts w:ascii="宋体" w:hAnsi="宋体"/>
                <w:color w:val="auto"/>
                <w:szCs w:val="21"/>
                <w:highlight w:val="none"/>
              </w:rPr>
              <w:t>1</w:t>
            </w:r>
            <w:r>
              <w:rPr>
                <w:rFonts w:hint="eastAsia" w:ascii="宋体" w:hAnsi="宋体"/>
                <w:color w:val="auto"/>
                <w:szCs w:val="21"/>
                <w:highlight w:val="none"/>
              </w:rPr>
              <w:t>亿元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0.25%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0.1%</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亿元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亿元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0.035%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0.035%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50</w:t>
            </w:r>
            <w:r>
              <w:rPr>
                <w:rFonts w:hint="eastAsia" w:ascii="宋体" w:hAnsi="宋体"/>
                <w:color w:val="auto"/>
                <w:szCs w:val="21"/>
                <w:highlight w:val="none"/>
              </w:rPr>
              <w:t>亿元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0.008%</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0.008%</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50</w:t>
            </w:r>
            <w:r>
              <w:rPr>
                <w:rFonts w:hint="eastAsia" w:ascii="宋体" w:hAnsi="宋体"/>
                <w:color w:val="auto"/>
                <w:szCs w:val="21"/>
                <w:highlight w:val="none"/>
              </w:rPr>
              <w:t>～</w:t>
            </w:r>
            <w:r>
              <w:rPr>
                <w:rFonts w:ascii="宋体" w:hAnsi="宋体"/>
                <w:color w:val="auto"/>
                <w:szCs w:val="21"/>
                <w:highlight w:val="none"/>
              </w:rPr>
              <w:t>100</w:t>
            </w:r>
            <w:r>
              <w:rPr>
                <w:rFonts w:hint="eastAsia" w:ascii="宋体" w:hAnsi="宋体"/>
                <w:color w:val="auto"/>
                <w:szCs w:val="21"/>
                <w:highlight w:val="none"/>
              </w:rPr>
              <w:t>亿元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0.006%</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0.006%</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亿以上</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0.004%</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0.004%</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0.004%</w:t>
            </w:r>
          </w:p>
        </w:tc>
      </w:tr>
    </w:tbl>
    <w:p>
      <w:pPr>
        <w:pStyle w:val="13"/>
        <w:snapToGrid w:val="0"/>
        <w:spacing w:before="120" w:after="120" w:line="360" w:lineRule="exact"/>
        <w:rPr>
          <w:rFonts w:hAnsi="宋体"/>
          <w:color w:val="auto"/>
          <w:sz w:val="21"/>
          <w:highlight w:val="none"/>
        </w:rPr>
      </w:pPr>
      <w:r>
        <w:rPr>
          <w:rFonts w:hint="eastAsia" w:hAnsi="宋体"/>
          <w:color w:val="auto"/>
          <w:sz w:val="21"/>
          <w:highlight w:val="none"/>
        </w:rPr>
        <w:t>注</w:t>
      </w:r>
      <w:r>
        <w:rPr>
          <w:rFonts w:hAnsi="宋体"/>
          <w:color w:val="auto"/>
          <w:sz w:val="21"/>
          <w:highlight w:val="none"/>
        </w:rPr>
        <w:t>:</w:t>
      </w:r>
      <w:r>
        <w:rPr>
          <w:rFonts w:hint="eastAsia" w:hAnsi="宋体"/>
          <w:color w:val="auto"/>
          <w:sz w:val="21"/>
          <w:highlight w:val="none"/>
        </w:rPr>
        <w:t>招标代理服务收费按差额定率累进法计算。</w:t>
      </w:r>
    </w:p>
    <w:p>
      <w:pPr>
        <w:tabs>
          <w:tab w:val="left" w:pos="2835"/>
        </w:tabs>
        <w:spacing w:line="360" w:lineRule="exact"/>
        <w:rPr>
          <w:rFonts w:asci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采购代理机构的银行账户：</w:t>
      </w:r>
    </w:p>
    <w:p>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账户名称：广西万盯卯招标咨询有限公司</w:t>
      </w:r>
    </w:p>
    <w:p>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开户银行：南宁市邕宁区农村信用合作联社仙葫信用社</w:t>
      </w:r>
    </w:p>
    <w:p>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银行账号：</w:t>
      </w:r>
      <w:r>
        <w:rPr>
          <w:rFonts w:hAnsi="宋体"/>
          <w:color w:val="auto"/>
          <w:sz w:val="21"/>
          <w:highlight w:val="none"/>
        </w:rPr>
        <w:t>1875 1201 0116 2454 07</w:t>
      </w:r>
    </w:p>
    <w:p>
      <w:pPr>
        <w:spacing w:line="360" w:lineRule="exact"/>
        <w:ind w:left="420" w:hanging="420"/>
        <w:rPr>
          <w:rFonts w:ascii="宋体"/>
          <w:bCs/>
          <w:color w:val="auto"/>
          <w:szCs w:val="21"/>
          <w:highlight w:val="none"/>
        </w:rPr>
      </w:pPr>
      <w:r>
        <w:rPr>
          <w:rFonts w:ascii="宋体" w:hAnsi="宋体"/>
          <w:color w:val="auto"/>
          <w:szCs w:val="21"/>
          <w:highlight w:val="none"/>
        </w:rPr>
        <w:t xml:space="preserve">20. </w:t>
      </w:r>
      <w:r>
        <w:rPr>
          <w:rFonts w:hint="eastAsia" w:ascii="宋体" w:hAnsi="宋体"/>
          <w:color w:val="auto"/>
          <w:szCs w:val="21"/>
          <w:highlight w:val="none"/>
        </w:rPr>
        <w:t>询问、质疑和投诉</w:t>
      </w:r>
    </w:p>
    <w:p>
      <w:pPr>
        <w:spacing w:line="360" w:lineRule="exact"/>
        <w:ind w:left="420" w:hanging="420"/>
        <w:rPr>
          <w:rFonts w:ascii="宋体"/>
          <w:color w:val="auto"/>
          <w:szCs w:val="21"/>
          <w:highlight w:val="none"/>
        </w:rPr>
      </w:pPr>
      <w:r>
        <w:rPr>
          <w:rFonts w:ascii="宋体" w:hAnsi="宋体"/>
          <w:color w:val="auto"/>
          <w:szCs w:val="21"/>
          <w:highlight w:val="none"/>
        </w:rPr>
        <w:t>20.1</w:t>
      </w:r>
      <w:r>
        <w:rPr>
          <w:rFonts w:hint="eastAsia" w:ascii="宋体" w:hAnsi="宋体"/>
          <w:color w:val="auto"/>
          <w:szCs w:val="21"/>
          <w:highlight w:val="none"/>
        </w:rPr>
        <w:t>供应商对政府采购活动事项有疑问的，可以向采购人、采购代理机构提出询问。</w:t>
      </w:r>
    </w:p>
    <w:p>
      <w:pPr>
        <w:spacing w:line="360" w:lineRule="exact"/>
        <w:rPr>
          <w:rFonts w:asci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60" w:lineRule="exact"/>
        <w:ind w:left="417" w:leftChars="150" w:hanging="102" w:hangingChars="49"/>
        <w:rPr>
          <w:rFonts w:ascii="宋体"/>
          <w:color w:val="auto"/>
          <w:szCs w:val="21"/>
          <w:highlight w:val="none"/>
        </w:rPr>
      </w:pPr>
      <w:r>
        <w:rPr>
          <w:rFonts w:hint="eastAsia" w:ascii="宋体" w:hAnsi="宋体"/>
          <w:color w:val="auto"/>
          <w:szCs w:val="21"/>
          <w:highlight w:val="none"/>
        </w:rPr>
        <w:t>（一）对可以质疑的采购文件提出质疑的，为收到采购文件之日；</w:t>
      </w:r>
    </w:p>
    <w:p>
      <w:pPr>
        <w:spacing w:line="360" w:lineRule="exact"/>
        <w:ind w:left="417" w:leftChars="150" w:hanging="102" w:hangingChars="49"/>
        <w:rPr>
          <w:rFonts w:ascii="宋体"/>
          <w:color w:val="auto"/>
          <w:szCs w:val="21"/>
          <w:highlight w:val="none"/>
        </w:rPr>
      </w:pPr>
      <w:r>
        <w:rPr>
          <w:rFonts w:hint="eastAsia" w:ascii="宋体" w:hAnsi="宋体"/>
          <w:color w:val="auto"/>
          <w:szCs w:val="21"/>
          <w:highlight w:val="none"/>
        </w:rPr>
        <w:t>（二）对采购过程提出质疑的，为各采购程序环节结束之日；</w:t>
      </w:r>
    </w:p>
    <w:p>
      <w:pPr>
        <w:spacing w:line="360" w:lineRule="exact"/>
        <w:ind w:left="417" w:leftChars="150" w:hanging="102" w:hangingChars="49"/>
        <w:rPr>
          <w:rFonts w:ascii="宋体"/>
          <w:color w:val="auto"/>
          <w:szCs w:val="21"/>
          <w:highlight w:val="none"/>
        </w:rPr>
      </w:pPr>
      <w:r>
        <w:rPr>
          <w:rFonts w:hint="eastAsia" w:ascii="宋体" w:hAnsi="宋体"/>
          <w:color w:val="auto"/>
          <w:szCs w:val="21"/>
          <w:highlight w:val="none"/>
        </w:rPr>
        <w:t>（三）对成交结果提出质疑的，为成交结果公告期限届满之日。</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供应商对招标采购单位的质疑答复不满意或者招标采购单位未在规定时间内作出答复的，可以在答复期满后十五个工作日内向同级采购监管部门投诉。</w:t>
      </w:r>
    </w:p>
    <w:p>
      <w:pPr>
        <w:spacing w:line="360" w:lineRule="exact"/>
        <w:rPr>
          <w:rFonts w:ascii="宋体"/>
          <w:b/>
          <w:color w:val="auto"/>
          <w:szCs w:val="21"/>
          <w:highlight w:val="none"/>
        </w:rPr>
      </w:pPr>
      <w:r>
        <w:rPr>
          <w:rFonts w:ascii="宋体" w:hAnsi="宋体"/>
          <w:color w:val="auto"/>
          <w:szCs w:val="21"/>
          <w:highlight w:val="none"/>
        </w:rPr>
        <w:t>20.3</w:t>
      </w:r>
      <w:r>
        <w:rPr>
          <w:rFonts w:hint="eastAsia" w:ascii="宋体" w:hAnsi="宋体"/>
          <w:color w:val="auto"/>
          <w:szCs w:val="21"/>
          <w:highlight w:val="none"/>
        </w:rPr>
        <w:t>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13"/>
        <w:snapToGrid w:val="0"/>
        <w:rPr>
          <w:rFonts w:hAnsi="宋体"/>
          <w:color w:val="auto"/>
          <w:highlight w:val="none"/>
        </w:rPr>
      </w:pPr>
      <w:r>
        <w:rPr>
          <w:rFonts w:hAnsi="宋体"/>
          <w:b/>
          <w:color w:val="auto"/>
          <w:highlight w:val="none"/>
        </w:rPr>
        <w:br w:type="page"/>
      </w:r>
      <w:r>
        <w:rPr>
          <w:rFonts w:hint="eastAsia" w:hAnsi="宋体"/>
          <w:b/>
          <w:color w:val="auto"/>
          <w:highlight w:val="none"/>
        </w:rPr>
        <w:t>附件</w:t>
      </w:r>
      <w:r>
        <w:rPr>
          <w:rFonts w:hAnsi="宋体"/>
          <w:b/>
          <w:color w:val="auto"/>
          <w:highlight w:val="none"/>
        </w:rPr>
        <w:t>1</w:t>
      </w:r>
      <w:r>
        <w:rPr>
          <w:rFonts w:hint="eastAsia" w:hAnsi="宋体"/>
          <w:b/>
          <w:color w:val="auto"/>
          <w:highlight w:val="none"/>
        </w:rPr>
        <w:t>：</w:t>
      </w:r>
    </w:p>
    <w:p>
      <w:pPr>
        <w:widowControl/>
        <w:shd w:val="clear" w:color="auto" w:fill="FFFFFF"/>
        <w:spacing w:line="480" w:lineRule="atLeast"/>
        <w:jc w:val="center"/>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广西壮族自治区政府采购项目合同验收书（格式）</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u w:val="single"/>
        </w:rPr>
        <w:t>项目名称</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政府采购项目中标（或成交）供应商（</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u w:val="single"/>
        </w:rPr>
        <w:t>公司名称</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提供的货物（或工程、服务）进行了验收，验收情况如下：</w:t>
      </w:r>
    </w:p>
    <w:tbl>
      <w:tblPr>
        <w:tblStyle w:val="24"/>
        <w:tblW w:w="9639" w:type="dxa"/>
        <w:jc w:val="center"/>
        <w:tblLayout w:type="fixed"/>
        <w:tblCellMar>
          <w:top w:w="0" w:type="dxa"/>
          <w:left w:w="0" w:type="dxa"/>
          <w:bottom w:w="0" w:type="dxa"/>
          <w:right w:w="0" w:type="dxa"/>
        </w:tblCellMar>
      </w:tblPr>
      <w:tblGrid>
        <w:gridCol w:w="1519"/>
        <w:gridCol w:w="2193"/>
        <w:gridCol w:w="910"/>
        <w:gridCol w:w="116"/>
        <w:gridCol w:w="2286"/>
        <w:gridCol w:w="202"/>
        <w:gridCol w:w="783"/>
        <w:gridCol w:w="1630"/>
      </w:tblGrid>
      <w:tr>
        <w:tblPrEx>
          <w:tblCellMar>
            <w:top w:w="0" w:type="dxa"/>
            <w:left w:w="0" w:type="dxa"/>
            <w:bottom w:w="0" w:type="dxa"/>
            <w:right w:w="0" w:type="dxa"/>
          </w:tblCellMar>
        </w:tblPrEx>
        <w:trPr>
          <w:trHeight w:val="522"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w:t>
            </w:r>
            <w:r>
              <w:rPr>
                <w:rFonts w:hint="eastAsia" w:ascii="Verdana" w:hAnsi="Verdana" w:cs="宋体"/>
                <w:color w:val="auto"/>
                <w:kern w:val="0"/>
                <w:szCs w:val="21"/>
                <w:highlight w:val="none"/>
              </w:rPr>
              <w:t>自行验收</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54"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金额</w:t>
            </w:r>
          </w:p>
        </w:tc>
      </w:tr>
      <w:tr>
        <w:tblPrEx>
          <w:tblCellMar>
            <w:top w:w="0" w:type="dxa"/>
            <w:left w:w="0" w:type="dxa"/>
            <w:bottom w:w="0" w:type="dxa"/>
            <w:right w:w="0" w:type="dxa"/>
          </w:tblCellMar>
        </w:tblPrEx>
        <w:trPr>
          <w:trHeight w:val="512"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74"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hint="eastAsia" w:ascii="Verdana" w:hAnsi="Verdana" w:cs="宋体"/>
                <w:color w:val="auto"/>
                <w:kern w:val="0"/>
                <w:szCs w:val="21"/>
                <w:highlight w:val="none"/>
              </w:rPr>
              <w:t>合计大写金额：仟佰拾万仟佰拾元</w:t>
            </w:r>
          </w:p>
        </w:tc>
      </w:tr>
      <w:tr>
        <w:tblPrEx>
          <w:tblCellMar>
            <w:top w:w="0" w:type="dxa"/>
            <w:left w:w="0" w:type="dxa"/>
            <w:bottom w:w="0" w:type="dxa"/>
            <w:right w:w="0" w:type="dxa"/>
          </w:tblCellMar>
        </w:tblPrEx>
        <w:trPr>
          <w:trHeight w:val="674"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实际供货日期</w:t>
            </w:r>
          </w:p>
        </w:tc>
        <w:tc>
          <w:tcPr>
            <w:tcW w:w="310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rPr>
              <w:t>合同交货验收日期</w:t>
            </w:r>
          </w:p>
        </w:tc>
        <w:tc>
          <w:tcPr>
            <w:tcW w:w="24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1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10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728"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color w:val="auto"/>
                <w:kern w:val="0"/>
                <w:szCs w:val="21"/>
                <w:highlight w:val="none"/>
              </w:rPr>
              <w:t>)</w:t>
            </w:r>
          </w:p>
        </w:tc>
      </w:tr>
      <w:tr>
        <w:tblPrEx>
          <w:tblCellMar>
            <w:top w:w="0" w:type="dxa"/>
            <w:left w:w="0" w:type="dxa"/>
            <w:bottom w:w="0" w:type="dxa"/>
            <w:right w:w="0" w:type="dxa"/>
          </w:tblCellMar>
        </w:tblPrEx>
        <w:trPr>
          <w:trHeight w:val="1347"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39"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Verdana" w:hAnsi="Verdana" w:cs="宋体"/>
                <w:color w:val="auto"/>
                <w:kern w:val="0"/>
                <w:szCs w:val="21"/>
                <w:highlight w:val="none"/>
              </w:rPr>
            </w:pPr>
            <w:r>
              <w:rPr>
                <w:rFonts w:hint="eastAsia" w:ascii="Verdana" w:hAnsi="Verdana" w:cs="宋体"/>
                <w:color w:val="auto"/>
                <w:kern w:val="0"/>
                <w:szCs w:val="21"/>
                <w:highlight w:val="none"/>
              </w:rPr>
              <w:t>有异议的意见和说明理由：</w:t>
            </w:r>
          </w:p>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签字：</w:t>
            </w:r>
          </w:p>
        </w:tc>
      </w:tr>
      <w:tr>
        <w:tblPrEx>
          <w:tblCellMar>
            <w:top w:w="0" w:type="dxa"/>
            <w:left w:w="0" w:type="dxa"/>
            <w:bottom w:w="0" w:type="dxa"/>
            <w:right w:w="0" w:type="dxa"/>
          </w:tblCellMar>
        </w:tblPrEx>
        <w:trPr>
          <w:trHeight w:val="534"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74"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或受邀机构的意见（盖章）：</w:t>
            </w:r>
          </w:p>
        </w:tc>
      </w:tr>
      <w:tr>
        <w:tblPrEx>
          <w:tblCellMar>
            <w:top w:w="0" w:type="dxa"/>
            <w:left w:w="0" w:type="dxa"/>
            <w:bottom w:w="0" w:type="dxa"/>
            <w:right w:w="0" w:type="dxa"/>
          </w:tblCellMar>
        </w:tblPrEx>
        <w:trPr>
          <w:trHeight w:val="797" w:hRule="atLeast"/>
          <w:jc w:val="center"/>
        </w:trPr>
        <w:tc>
          <w:tcPr>
            <w:tcW w:w="4738"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联系电话：年月日</w:t>
            </w:r>
          </w:p>
        </w:tc>
        <w:tc>
          <w:tcPr>
            <w:tcW w:w="4901"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采购人或受托机构的意见（盖章）：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联系电话：年月日</w:t>
            </w:r>
          </w:p>
        </w:tc>
      </w:tr>
    </w:tbl>
    <w:p>
      <w:pPr>
        <w:pStyle w:val="13"/>
        <w:snapToGrid w:val="0"/>
        <w:rPr>
          <w:rFonts w:hAnsi="宋体"/>
          <w:b/>
          <w:color w:val="auto"/>
          <w:highlight w:val="none"/>
        </w:rPr>
      </w:pPr>
      <w:r>
        <w:rPr>
          <w:rFonts w:hAnsi="宋体"/>
          <w:color w:val="auto"/>
          <w:highlight w:val="none"/>
        </w:rPr>
        <w:br w:type="page"/>
      </w:r>
      <w:r>
        <w:rPr>
          <w:rFonts w:hint="eastAsia" w:hAnsi="宋体"/>
          <w:b/>
          <w:color w:val="auto"/>
          <w:highlight w:val="none"/>
        </w:rPr>
        <w:t>附件</w:t>
      </w:r>
      <w:r>
        <w:rPr>
          <w:rFonts w:hAnsi="宋体"/>
          <w:b/>
          <w:color w:val="auto"/>
          <w:highlight w:val="none"/>
        </w:rPr>
        <w:t>2</w:t>
      </w:r>
      <w:r>
        <w:rPr>
          <w:rFonts w:hint="eastAsia" w:hAnsi="宋体"/>
          <w:b/>
          <w:color w:val="auto"/>
          <w:highlight w:val="none"/>
        </w:rPr>
        <w:t>：</w:t>
      </w: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政府采购项目履约保证金退付意见书</w:t>
      </w:r>
    </w:p>
    <w:p>
      <w:pPr>
        <w:jc w:val="center"/>
        <w:rPr>
          <w:rFonts w:ascii="黑体" w:hAnsi="黑体" w:eastAsia="黑体"/>
          <w:color w:val="auto"/>
          <w:sz w:val="36"/>
          <w:szCs w:val="36"/>
          <w:highlight w:val="none"/>
        </w:rPr>
      </w:pPr>
    </w:p>
    <w:tbl>
      <w:tblPr>
        <w:tblStyle w:val="24"/>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24" w:type="dxa"/>
            <w:vMerge w:val="restart"/>
            <w:vAlign w:val="center"/>
          </w:tcPr>
          <w:p>
            <w:pPr>
              <w:jc w:val="center"/>
              <w:rPr>
                <w:color w:val="auto"/>
                <w:szCs w:val="21"/>
                <w:highlight w:val="none"/>
              </w:rPr>
            </w:pPr>
            <w:r>
              <w:rPr>
                <w:rFonts w:hint="eastAsia"/>
                <w:color w:val="auto"/>
                <w:szCs w:val="21"/>
                <w:highlight w:val="none"/>
              </w:rPr>
              <w:t>供</w:t>
            </w:r>
          </w:p>
          <w:p>
            <w:pPr>
              <w:jc w:val="center"/>
              <w:rPr>
                <w:color w:val="auto"/>
                <w:szCs w:val="21"/>
                <w:highlight w:val="none"/>
              </w:rPr>
            </w:pPr>
            <w:r>
              <w:rPr>
                <w:rFonts w:hint="eastAsia"/>
                <w:color w:val="auto"/>
                <w:szCs w:val="21"/>
                <w:highlight w:val="none"/>
              </w:rPr>
              <w:t>应</w:t>
            </w:r>
          </w:p>
          <w:p>
            <w:pPr>
              <w:jc w:val="center"/>
              <w:rPr>
                <w:color w:val="auto"/>
                <w:szCs w:val="21"/>
                <w:highlight w:val="none"/>
              </w:rPr>
            </w:pPr>
            <w:r>
              <w:rPr>
                <w:rFonts w:hint="eastAsia"/>
                <w:color w:val="auto"/>
                <w:szCs w:val="21"/>
                <w:highlight w:val="none"/>
              </w:rPr>
              <w:t>商</w:t>
            </w:r>
          </w:p>
          <w:p>
            <w:pPr>
              <w:jc w:val="center"/>
              <w:rPr>
                <w:color w:val="auto"/>
                <w:szCs w:val="21"/>
                <w:highlight w:val="none"/>
              </w:rPr>
            </w:pPr>
            <w:r>
              <w:rPr>
                <w:rFonts w:hint="eastAsia"/>
                <w:color w:val="auto"/>
                <w:szCs w:val="21"/>
                <w:highlight w:val="none"/>
              </w:rPr>
              <w:t>申</w:t>
            </w:r>
          </w:p>
          <w:p>
            <w:pPr>
              <w:jc w:val="center"/>
              <w:rPr>
                <w:color w:val="auto"/>
                <w:szCs w:val="21"/>
                <w:highlight w:val="none"/>
              </w:rPr>
            </w:pPr>
            <w:r>
              <w:rPr>
                <w:rFonts w:hint="eastAsia"/>
                <w:color w:val="auto"/>
                <w:szCs w:val="21"/>
                <w:highlight w:val="none"/>
              </w:rPr>
              <w:t>请</w:t>
            </w:r>
          </w:p>
        </w:tc>
        <w:tc>
          <w:tcPr>
            <w:tcW w:w="8840" w:type="dxa"/>
            <w:vAlign w:val="center"/>
          </w:tcPr>
          <w:p>
            <w:pPr>
              <w:rPr>
                <w:color w:val="auto"/>
                <w:szCs w:val="21"/>
                <w:highlight w:val="none"/>
              </w:rPr>
            </w:pPr>
            <w:r>
              <w:rPr>
                <w:rFonts w:hint="eastAsia"/>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24" w:type="dxa"/>
            <w:vMerge w:val="continue"/>
            <w:vAlign w:val="center"/>
          </w:tcPr>
          <w:p>
            <w:pPr>
              <w:rPr>
                <w:color w:val="auto"/>
                <w:szCs w:val="21"/>
                <w:highlight w:val="none"/>
              </w:rPr>
            </w:pPr>
          </w:p>
        </w:tc>
        <w:tc>
          <w:tcPr>
            <w:tcW w:w="8840" w:type="dxa"/>
            <w:vAlign w:val="center"/>
          </w:tcPr>
          <w:p>
            <w:pPr>
              <w:rPr>
                <w:color w:val="auto"/>
                <w:szCs w:val="21"/>
                <w:highlight w:val="none"/>
              </w:rPr>
            </w:pPr>
            <w:r>
              <w:rPr>
                <w:rFonts w:hint="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824" w:type="dxa"/>
            <w:vMerge w:val="continue"/>
          </w:tcPr>
          <w:p>
            <w:pPr>
              <w:rPr>
                <w:color w:val="auto"/>
                <w:szCs w:val="21"/>
                <w:highlight w:val="none"/>
              </w:rPr>
            </w:pPr>
          </w:p>
        </w:tc>
        <w:tc>
          <w:tcPr>
            <w:tcW w:w="8840" w:type="dxa"/>
          </w:tcPr>
          <w:p>
            <w:pPr>
              <w:rPr>
                <w:color w:val="auto"/>
                <w:szCs w:val="21"/>
                <w:highlight w:val="none"/>
              </w:rPr>
            </w:pPr>
          </w:p>
          <w:p>
            <w:pPr>
              <w:ind w:firstLine="420" w:firstLineChars="200"/>
              <w:rPr>
                <w:color w:val="auto"/>
                <w:szCs w:val="21"/>
                <w:highlight w:val="none"/>
              </w:rPr>
            </w:pPr>
            <w:r>
              <w:rPr>
                <w:rFonts w:hint="eastAsia"/>
                <w:color w:val="auto"/>
                <w:szCs w:val="21"/>
                <w:highlight w:val="none"/>
              </w:rPr>
              <w:t>该项目已于年月日验收并交付使用。根据合同规定，该项目的履约保证金期限于年月日已满，请将履约保证金</w:t>
            </w:r>
          </w:p>
          <w:p>
            <w:pPr>
              <w:rPr>
                <w:color w:val="auto"/>
                <w:szCs w:val="21"/>
                <w:highlight w:val="none"/>
              </w:rPr>
            </w:pPr>
            <w:r>
              <w:rPr>
                <w:rFonts w:hint="eastAsia"/>
                <w:color w:val="auto"/>
                <w:szCs w:val="21"/>
                <w:highlight w:val="none"/>
              </w:rPr>
              <w:t>（大写）￥（小写）退付到达以下帐户。</w:t>
            </w:r>
          </w:p>
          <w:p>
            <w:pPr>
              <w:ind w:firstLine="705"/>
              <w:rPr>
                <w:color w:val="auto"/>
                <w:szCs w:val="21"/>
                <w:highlight w:val="none"/>
              </w:rPr>
            </w:pPr>
            <w:r>
              <w:rPr>
                <w:rFonts w:hint="eastAsia"/>
                <w:color w:val="auto"/>
                <w:szCs w:val="21"/>
                <w:highlight w:val="none"/>
              </w:rPr>
              <w:t>单位名称：</w:t>
            </w:r>
          </w:p>
          <w:p>
            <w:pPr>
              <w:ind w:firstLine="705"/>
              <w:rPr>
                <w:color w:val="auto"/>
                <w:szCs w:val="21"/>
                <w:highlight w:val="none"/>
              </w:rPr>
            </w:pPr>
            <w:r>
              <w:rPr>
                <w:rFonts w:hint="eastAsia"/>
                <w:color w:val="auto"/>
                <w:szCs w:val="21"/>
                <w:highlight w:val="none"/>
              </w:rPr>
              <w:t>开户银行：</w:t>
            </w:r>
          </w:p>
          <w:p>
            <w:pPr>
              <w:ind w:firstLine="705"/>
              <w:rPr>
                <w:color w:val="auto"/>
                <w:szCs w:val="21"/>
                <w:highlight w:val="none"/>
              </w:rPr>
            </w:pPr>
            <w:r>
              <w:rPr>
                <w:rFonts w:hint="eastAsia"/>
                <w:color w:val="auto"/>
                <w:szCs w:val="21"/>
                <w:highlight w:val="none"/>
              </w:rPr>
              <w:t>帐号：</w:t>
            </w:r>
          </w:p>
          <w:p>
            <w:pPr>
              <w:rPr>
                <w:color w:val="auto"/>
                <w:szCs w:val="21"/>
                <w:highlight w:val="none"/>
              </w:rPr>
            </w:pPr>
            <w:r>
              <w:rPr>
                <w:rFonts w:hint="eastAsia"/>
                <w:color w:val="auto"/>
                <w:szCs w:val="21"/>
                <w:highlight w:val="none"/>
              </w:rPr>
              <w:t>联系人及电话：</w:t>
            </w:r>
          </w:p>
          <w:p>
            <w:pPr>
              <w:rPr>
                <w:color w:val="auto"/>
                <w:szCs w:val="21"/>
                <w:highlight w:val="none"/>
              </w:rPr>
            </w:pPr>
          </w:p>
          <w:p>
            <w:pPr>
              <w:jc w:val="center"/>
              <w:rPr>
                <w:color w:val="auto"/>
                <w:szCs w:val="21"/>
                <w:highlight w:val="none"/>
              </w:rPr>
            </w:pPr>
            <w:r>
              <w:rPr>
                <w:rFonts w:hint="eastAsia"/>
                <w:color w:val="auto"/>
                <w:szCs w:val="21"/>
                <w:highlight w:val="none"/>
              </w:rPr>
              <w:t>供应商签章：</w:t>
            </w:r>
          </w:p>
          <w:p>
            <w:pPr>
              <w:jc w:val="center"/>
              <w:rPr>
                <w:color w:val="auto"/>
                <w:szCs w:val="21"/>
                <w:highlight w:val="none"/>
              </w:rPr>
            </w:pPr>
            <w:r>
              <w:rPr>
                <w:rFonts w:hint="eastAsia"/>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24" w:type="dxa"/>
            <w:vAlign w:val="center"/>
          </w:tcPr>
          <w:p>
            <w:pPr>
              <w:jc w:val="center"/>
              <w:rPr>
                <w:color w:val="auto"/>
                <w:szCs w:val="21"/>
                <w:highlight w:val="none"/>
              </w:rPr>
            </w:pPr>
            <w:r>
              <w:rPr>
                <w:rFonts w:hint="eastAsia"/>
                <w:color w:val="auto"/>
                <w:szCs w:val="21"/>
                <w:highlight w:val="none"/>
              </w:rPr>
              <w:t>采</w:t>
            </w:r>
          </w:p>
          <w:p>
            <w:pPr>
              <w:jc w:val="center"/>
              <w:rPr>
                <w:color w:val="auto"/>
                <w:szCs w:val="21"/>
                <w:highlight w:val="none"/>
              </w:rPr>
            </w:pPr>
            <w:r>
              <w:rPr>
                <w:rFonts w:hint="eastAsia"/>
                <w:color w:val="auto"/>
                <w:szCs w:val="21"/>
                <w:highlight w:val="none"/>
              </w:rPr>
              <w:t>购</w:t>
            </w:r>
          </w:p>
          <w:p>
            <w:pPr>
              <w:jc w:val="center"/>
              <w:rPr>
                <w:color w:val="auto"/>
                <w:szCs w:val="21"/>
                <w:highlight w:val="none"/>
              </w:rPr>
            </w:pPr>
            <w:r>
              <w:rPr>
                <w:rFonts w:hint="eastAsia"/>
                <w:color w:val="auto"/>
                <w:szCs w:val="21"/>
                <w:highlight w:val="none"/>
              </w:rPr>
              <w:t>单</w:t>
            </w:r>
          </w:p>
          <w:p>
            <w:pPr>
              <w:jc w:val="center"/>
              <w:rPr>
                <w:color w:val="auto"/>
                <w:szCs w:val="21"/>
                <w:highlight w:val="none"/>
              </w:rPr>
            </w:pPr>
            <w:r>
              <w:rPr>
                <w:rFonts w:hint="eastAsia"/>
                <w:color w:val="auto"/>
                <w:szCs w:val="21"/>
                <w:highlight w:val="none"/>
              </w:rPr>
              <w:t>位</w:t>
            </w:r>
          </w:p>
          <w:p>
            <w:pPr>
              <w:jc w:val="center"/>
              <w:rPr>
                <w:color w:val="auto"/>
                <w:szCs w:val="21"/>
                <w:highlight w:val="none"/>
              </w:rPr>
            </w:pPr>
            <w:r>
              <w:rPr>
                <w:rFonts w:hint="eastAsia"/>
                <w:color w:val="auto"/>
                <w:szCs w:val="21"/>
                <w:highlight w:val="none"/>
              </w:rPr>
              <w:t>意</w:t>
            </w:r>
          </w:p>
          <w:p>
            <w:pPr>
              <w:jc w:val="center"/>
              <w:rPr>
                <w:color w:val="auto"/>
                <w:szCs w:val="21"/>
                <w:highlight w:val="none"/>
              </w:rPr>
            </w:pPr>
            <w:r>
              <w:rPr>
                <w:rFonts w:hint="eastAsia"/>
                <w:color w:val="auto"/>
                <w:szCs w:val="21"/>
                <w:highlight w:val="none"/>
              </w:rPr>
              <w:t>见</w:t>
            </w:r>
          </w:p>
        </w:tc>
        <w:tc>
          <w:tcPr>
            <w:tcW w:w="8840" w:type="dxa"/>
          </w:tcPr>
          <w:p>
            <w:pPr>
              <w:rPr>
                <w:color w:val="auto"/>
                <w:szCs w:val="21"/>
                <w:highlight w:val="none"/>
              </w:rPr>
            </w:pPr>
          </w:p>
          <w:p>
            <w:pPr>
              <w:rPr>
                <w:color w:val="auto"/>
                <w:szCs w:val="21"/>
                <w:highlight w:val="none"/>
              </w:rPr>
            </w:pPr>
            <w:r>
              <w:rPr>
                <w:rFonts w:hint="eastAsia"/>
                <w:color w:val="auto"/>
                <w:szCs w:val="21"/>
                <w:highlight w:val="none"/>
              </w:rPr>
              <w:t>退付意见：是否同意退付履约保证金及退付金额：</w:t>
            </w:r>
          </w:p>
          <w:p>
            <w:pPr>
              <w:rPr>
                <w:color w:val="auto"/>
                <w:szCs w:val="21"/>
                <w:highlight w:val="none"/>
              </w:rPr>
            </w:pPr>
          </w:p>
          <w:p>
            <w:pPr>
              <w:rPr>
                <w:color w:val="auto"/>
                <w:szCs w:val="21"/>
                <w:highlight w:val="none"/>
              </w:rPr>
            </w:pPr>
          </w:p>
          <w:p>
            <w:pPr>
              <w:rPr>
                <w:color w:val="auto"/>
                <w:szCs w:val="21"/>
                <w:highlight w:val="none"/>
              </w:rPr>
            </w:pPr>
            <w:r>
              <w:rPr>
                <w:rFonts w:hint="eastAsia"/>
                <w:color w:val="auto"/>
                <w:szCs w:val="21"/>
                <w:highlight w:val="none"/>
              </w:rPr>
              <w:t>联系人及电话：采购单位签章</w:t>
            </w:r>
          </w:p>
          <w:p>
            <w:pPr>
              <w:jc w:val="center"/>
              <w:rPr>
                <w:color w:val="auto"/>
                <w:szCs w:val="21"/>
                <w:highlight w:val="none"/>
              </w:rPr>
            </w:pPr>
            <w:r>
              <w:rPr>
                <w:rFonts w:hint="eastAsia"/>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24" w:type="dxa"/>
            <w:vAlign w:val="center"/>
          </w:tcPr>
          <w:p>
            <w:pPr>
              <w:jc w:val="center"/>
              <w:rPr>
                <w:color w:val="auto"/>
                <w:szCs w:val="21"/>
                <w:highlight w:val="none"/>
              </w:rPr>
            </w:pPr>
            <w:r>
              <w:rPr>
                <w:rFonts w:hint="eastAsia"/>
                <w:color w:val="auto"/>
                <w:szCs w:val="21"/>
                <w:highlight w:val="none"/>
              </w:rPr>
              <w:t>财</w:t>
            </w:r>
          </w:p>
          <w:p>
            <w:pPr>
              <w:jc w:val="center"/>
              <w:rPr>
                <w:color w:val="auto"/>
                <w:szCs w:val="21"/>
                <w:highlight w:val="none"/>
              </w:rPr>
            </w:pPr>
            <w:r>
              <w:rPr>
                <w:rFonts w:hint="eastAsia"/>
                <w:color w:val="auto"/>
                <w:szCs w:val="21"/>
                <w:highlight w:val="none"/>
              </w:rPr>
              <w:t>务</w:t>
            </w:r>
          </w:p>
          <w:p>
            <w:pPr>
              <w:jc w:val="center"/>
              <w:rPr>
                <w:color w:val="auto"/>
                <w:szCs w:val="21"/>
                <w:highlight w:val="none"/>
              </w:rPr>
            </w:pPr>
            <w:r>
              <w:rPr>
                <w:rFonts w:hint="eastAsia"/>
                <w:color w:val="auto"/>
                <w:szCs w:val="21"/>
                <w:highlight w:val="none"/>
              </w:rPr>
              <w:t>部</w:t>
            </w:r>
          </w:p>
          <w:p>
            <w:pPr>
              <w:jc w:val="center"/>
              <w:rPr>
                <w:color w:val="auto"/>
                <w:szCs w:val="21"/>
                <w:highlight w:val="none"/>
              </w:rPr>
            </w:pPr>
            <w:r>
              <w:rPr>
                <w:rFonts w:hint="eastAsia"/>
                <w:color w:val="auto"/>
                <w:szCs w:val="21"/>
                <w:highlight w:val="none"/>
              </w:rPr>
              <w:t>门</w:t>
            </w:r>
          </w:p>
          <w:p>
            <w:pPr>
              <w:jc w:val="center"/>
              <w:rPr>
                <w:color w:val="auto"/>
                <w:szCs w:val="21"/>
                <w:highlight w:val="none"/>
              </w:rPr>
            </w:pPr>
            <w:r>
              <w:rPr>
                <w:rFonts w:hint="eastAsia"/>
                <w:color w:val="auto"/>
                <w:szCs w:val="21"/>
                <w:highlight w:val="none"/>
              </w:rPr>
              <w:t>意</w:t>
            </w:r>
          </w:p>
          <w:p>
            <w:pPr>
              <w:jc w:val="center"/>
              <w:rPr>
                <w:color w:val="auto"/>
                <w:szCs w:val="21"/>
                <w:highlight w:val="none"/>
              </w:rPr>
            </w:pPr>
            <w:r>
              <w:rPr>
                <w:rFonts w:hint="eastAsia"/>
                <w:color w:val="auto"/>
                <w:szCs w:val="21"/>
                <w:highlight w:val="none"/>
              </w:rPr>
              <w:t>见</w:t>
            </w:r>
          </w:p>
        </w:tc>
        <w:tc>
          <w:tcPr>
            <w:tcW w:w="8840" w:type="dxa"/>
          </w:tcPr>
          <w:p>
            <w:pPr>
              <w:rPr>
                <w:color w:val="auto"/>
                <w:szCs w:val="21"/>
                <w:highlight w:val="none"/>
              </w:rPr>
            </w:pPr>
            <w:r>
              <w:rPr>
                <w:rFonts w:hint="eastAsia"/>
                <w:color w:val="auto"/>
                <w:szCs w:val="21"/>
                <w:highlight w:val="none"/>
              </w:rPr>
              <w:t>此表于年月日收到。</w:t>
            </w:r>
          </w:p>
          <w:p>
            <w:pPr>
              <w:rPr>
                <w:color w:val="auto"/>
                <w:szCs w:val="21"/>
                <w:highlight w:val="none"/>
              </w:rPr>
            </w:pPr>
          </w:p>
          <w:p>
            <w:pPr>
              <w:rPr>
                <w:color w:val="auto"/>
                <w:szCs w:val="21"/>
                <w:highlight w:val="none"/>
              </w:rPr>
            </w:pPr>
            <w:r>
              <w:rPr>
                <w:rFonts w:hint="eastAsia"/>
                <w:color w:val="auto"/>
                <w:szCs w:val="21"/>
                <w:highlight w:val="none"/>
              </w:rPr>
              <w:t>会计审核：</w:t>
            </w:r>
          </w:p>
          <w:p>
            <w:pPr>
              <w:rPr>
                <w:color w:val="auto"/>
                <w:szCs w:val="21"/>
                <w:highlight w:val="none"/>
              </w:rPr>
            </w:pPr>
          </w:p>
          <w:p>
            <w:pPr>
              <w:rPr>
                <w:color w:val="auto"/>
                <w:szCs w:val="21"/>
                <w:highlight w:val="none"/>
              </w:rPr>
            </w:pPr>
            <w:r>
              <w:rPr>
                <w:rFonts w:hint="eastAsia"/>
                <w:color w:val="auto"/>
                <w:szCs w:val="21"/>
                <w:highlight w:val="none"/>
              </w:rPr>
              <w:t>财务负责人审核：</w:t>
            </w:r>
          </w:p>
          <w:p>
            <w:pPr>
              <w:rPr>
                <w:color w:val="auto"/>
                <w:szCs w:val="21"/>
                <w:highlight w:val="none"/>
              </w:rPr>
            </w:pPr>
          </w:p>
          <w:p>
            <w:pPr>
              <w:rPr>
                <w:color w:val="auto"/>
                <w:szCs w:val="21"/>
                <w:highlight w:val="none"/>
              </w:rPr>
            </w:pPr>
            <w:r>
              <w:rPr>
                <w:rFonts w:hint="eastAsia"/>
                <w:color w:val="auto"/>
                <w:szCs w:val="21"/>
                <w:highlight w:val="none"/>
              </w:rPr>
              <w:t>单位负责人签字：</w:t>
            </w:r>
          </w:p>
          <w:p>
            <w:pPr>
              <w:rPr>
                <w:color w:val="auto"/>
                <w:szCs w:val="21"/>
                <w:highlight w:val="none"/>
              </w:rPr>
            </w:pPr>
          </w:p>
          <w:p>
            <w:pPr>
              <w:rPr>
                <w:color w:val="auto"/>
                <w:szCs w:val="21"/>
                <w:highlight w:val="none"/>
              </w:rPr>
            </w:pPr>
            <w:r>
              <w:rPr>
                <w:rFonts w:hint="eastAsia"/>
                <w:color w:val="auto"/>
                <w:szCs w:val="21"/>
                <w:highlight w:val="none"/>
              </w:rPr>
              <w:t>出纳办理转帐日期：</w:t>
            </w:r>
          </w:p>
        </w:tc>
      </w:tr>
    </w:tbl>
    <w:p>
      <w:pPr>
        <w:pStyle w:val="10"/>
        <w:ind w:left="419" w:leftChars="114" w:hanging="180" w:hangingChars="100"/>
        <w:rPr>
          <w:rFonts w:ascii="宋体"/>
          <w:b/>
          <w:bCs/>
          <w:color w:val="auto"/>
          <w:sz w:val="18"/>
          <w:highlight w:val="none"/>
        </w:rPr>
      </w:pPr>
      <w:r>
        <w:rPr>
          <w:rFonts w:hint="eastAsia" w:ascii="宋体"/>
          <w:b/>
          <w:bCs/>
          <w:color w:val="auto"/>
          <w:sz w:val="18"/>
          <w:highlight w:val="none"/>
        </w:rPr>
        <w:t>注：供应商凭经采购单位审批的退付意见书到指定账户人财务部办理履约保证金退付事宜。</w:t>
      </w:r>
    </w:p>
    <w:p>
      <w:pPr>
        <w:pStyle w:val="13"/>
        <w:snapToGrid w:val="0"/>
        <w:spacing w:before="120" w:after="120"/>
        <w:rPr>
          <w:rFonts w:hAnsi="宋体"/>
          <w:color w:val="auto"/>
          <w:highlight w:val="none"/>
        </w:rPr>
      </w:pPr>
    </w:p>
    <w:p>
      <w:pPr>
        <w:jc w:val="left"/>
        <w:rPr>
          <w:rFonts w:hAnsi="宋体"/>
          <w:b/>
          <w:color w:val="auto"/>
          <w:sz w:val="32"/>
          <w:szCs w:val="32"/>
          <w:highlight w:val="none"/>
        </w:rPr>
      </w:pPr>
    </w:p>
    <w:p>
      <w:pPr>
        <w:pStyle w:val="4"/>
        <w:jc w:val="center"/>
        <w:rPr>
          <w:color w:val="auto"/>
          <w:highlight w:val="none"/>
        </w:rPr>
      </w:pPr>
      <w:bookmarkStart w:id="17" w:name="_Toc496610499"/>
      <w:r>
        <w:rPr>
          <w:rFonts w:hint="eastAsia"/>
          <w:color w:val="auto"/>
          <w:highlight w:val="none"/>
        </w:rPr>
        <w:t>第三章项目需求</w:t>
      </w:r>
      <w:bookmarkEnd w:id="17"/>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采购项目技术规格、参数及要求</w:t>
      </w:r>
    </w:p>
    <w:p>
      <w:pPr>
        <w:spacing w:line="420" w:lineRule="exact"/>
        <w:jc w:val="left"/>
        <w:rPr>
          <w:rFonts w:ascii="宋体"/>
          <w:b/>
          <w:color w:val="auto"/>
          <w:highlight w:val="none"/>
        </w:rPr>
      </w:pPr>
      <w:r>
        <w:rPr>
          <w:rFonts w:hint="eastAsia" w:ascii="宋体" w:hAnsi="宋体"/>
          <w:b/>
          <w:color w:val="auto"/>
          <w:highlight w:val="none"/>
        </w:rPr>
        <w:t>说明：</w:t>
      </w:r>
    </w:p>
    <w:p>
      <w:pPr>
        <w:spacing w:line="360" w:lineRule="exact"/>
        <w:ind w:firstLine="424" w:firstLineChars="202"/>
        <w:jc w:val="left"/>
        <w:rPr>
          <w:rFonts w:ascii="宋体"/>
          <w:color w:val="auto"/>
          <w:highlight w:val="none"/>
        </w:rPr>
      </w:pPr>
      <w:r>
        <w:rPr>
          <w:rFonts w:ascii="宋体" w:hAnsi="宋体"/>
          <w:color w:val="auto"/>
          <w:highlight w:val="none"/>
        </w:rPr>
        <w:t>1</w:t>
      </w:r>
      <w:r>
        <w:rPr>
          <w:rFonts w:hint="eastAsia" w:ascii="宋体" w:hAnsi="宋体"/>
          <w:color w:val="auto"/>
          <w:highlight w:val="none"/>
        </w:rPr>
        <w:t>、本谈判文件所称中小企业必须符合《政府采购促进中小企业发展暂行办法》第二条规定。</w:t>
      </w:r>
    </w:p>
    <w:p>
      <w:pPr>
        <w:spacing w:line="360" w:lineRule="exact"/>
        <w:ind w:firstLine="424" w:firstLineChars="202"/>
        <w:jc w:val="left"/>
        <w:rPr>
          <w:rFonts w:ascii="宋体"/>
          <w:color w:val="auto"/>
          <w:highlight w:val="none"/>
        </w:rPr>
      </w:pPr>
      <w:r>
        <w:rPr>
          <w:rFonts w:ascii="宋体" w:hAnsi="宋体"/>
          <w:color w:val="auto"/>
          <w:highlight w:val="none"/>
        </w:rPr>
        <w:t>2</w:t>
      </w:r>
      <w:r>
        <w:rPr>
          <w:rFonts w:hint="eastAsia" w:ascii="宋体" w:hAnsi="宋体"/>
          <w:color w:val="auto"/>
          <w:highlight w:val="none"/>
        </w:rPr>
        <w:t>、小型和微型企业产品的价格给予</w:t>
      </w:r>
      <w:r>
        <w:rPr>
          <w:rFonts w:ascii="宋体" w:hAnsi="宋体"/>
          <w:color w:val="auto"/>
          <w:highlight w:val="none"/>
        </w:rPr>
        <w:t>6%-10%</w:t>
      </w:r>
      <w:r>
        <w:rPr>
          <w:rFonts w:hint="eastAsia" w:ascii="宋体" w:hAnsi="宋体"/>
          <w:color w:val="auto"/>
          <w:highlight w:val="none"/>
        </w:rPr>
        <w:t>的扣除，用扣除后的价格参与评审，具体扣除比例请以第六章《评定标准》的规定为准。</w:t>
      </w:r>
    </w:p>
    <w:p>
      <w:pPr>
        <w:spacing w:line="360" w:lineRule="exact"/>
        <w:ind w:firstLine="424" w:firstLineChars="202"/>
        <w:jc w:val="left"/>
        <w:rPr>
          <w:rFonts w:ascii="宋体"/>
          <w:color w:val="auto"/>
          <w:highlight w:val="none"/>
        </w:rPr>
      </w:pPr>
      <w:r>
        <w:rPr>
          <w:rFonts w:ascii="宋体" w:hAnsi="宋体"/>
          <w:color w:val="auto"/>
          <w:highlight w:val="none"/>
        </w:rPr>
        <w:t>3</w:t>
      </w:r>
      <w:r>
        <w:rPr>
          <w:rFonts w:hint="eastAsia" w:ascii="宋体" w:hAnsi="宋体"/>
          <w:color w:val="auto"/>
          <w:highlight w:val="none"/>
        </w:rPr>
        <w:t>、小型、微型企业提供中型企业制造的货物的，视同为中型企业。</w:t>
      </w:r>
    </w:p>
    <w:p>
      <w:pPr>
        <w:spacing w:line="360" w:lineRule="exact"/>
        <w:ind w:firstLine="424" w:firstLineChars="202"/>
        <w:jc w:val="left"/>
        <w:rPr>
          <w:rFonts w:ascii="宋体"/>
          <w:color w:val="auto"/>
          <w:highlight w:val="none"/>
        </w:rPr>
      </w:pPr>
      <w:r>
        <w:rPr>
          <w:rFonts w:ascii="宋体" w:hAnsi="宋体"/>
          <w:color w:val="auto"/>
          <w:highlight w:val="none"/>
        </w:rPr>
        <w:t>4</w:t>
      </w:r>
      <w:r>
        <w:rPr>
          <w:rFonts w:hint="eastAsia" w:ascii="宋体" w:hAnsi="宋体"/>
          <w:color w:val="auto"/>
          <w:highlight w:val="none"/>
        </w:rPr>
        <w:t>、小型、微型企业提供大型企业制造的货物的，视同为大型企业。</w:t>
      </w:r>
    </w:p>
    <w:p>
      <w:pPr>
        <w:spacing w:line="360" w:lineRule="exact"/>
        <w:ind w:firstLine="420" w:firstLineChars="200"/>
        <w:rPr>
          <w:rFonts w:ascii="宋体"/>
          <w:snapToGrid w:val="0"/>
          <w:color w:val="auto"/>
          <w:kern w:val="0"/>
          <w:highlight w:val="none"/>
        </w:rPr>
      </w:pPr>
      <w:bookmarkStart w:id="18" w:name="_Toc254970631"/>
      <w:bookmarkStart w:id="19" w:name="_Toc254970490"/>
      <w:r>
        <w:rPr>
          <w:rFonts w:ascii="宋体" w:hAnsi="宋体"/>
          <w:snapToGrid w:val="0"/>
          <w:color w:val="auto"/>
          <w:kern w:val="0"/>
          <w:szCs w:val="21"/>
          <w:highlight w:val="none"/>
        </w:rPr>
        <w:t>5</w:t>
      </w:r>
      <w:r>
        <w:rPr>
          <w:rFonts w:hint="eastAsia" w:ascii="宋体" w:hAnsi="宋体"/>
          <w:snapToGrid w:val="0"/>
          <w:color w:val="auto"/>
          <w:kern w:val="0"/>
          <w:szCs w:val="21"/>
          <w:highlight w:val="none"/>
        </w:rPr>
        <w:t>、</w:t>
      </w:r>
      <w:r>
        <w:rPr>
          <w:rFonts w:hint="eastAsia" w:ascii="宋体" w:hAnsi="宋体"/>
          <w:snapToGrid w:val="0"/>
          <w:color w:val="auto"/>
          <w:kern w:val="0"/>
          <w:highlight w:val="none"/>
        </w:rPr>
        <w:t>本需求中的技术参数及其性能配置要求仅起参考作用，谈判供应商可选用其他技术参数及性能配置替代，但这些替代的技术参数要实质上相当于或优于谈判文件技术参数及性能配置要求。</w:t>
      </w:r>
    </w:p>
    <w:p>
      <w:pPr>
        <w:spacing w:line="360" w:lineRule="exact"/>
        <w:ind w:firstLine="420" w:firstLineChars="200"/>
        <w:rPr>
          <w:rFonts w:ascii="宋体"/>
          <w:snapToGrid w:val="0"/>
          <w:color w:val="auto"/>
          <w:kern w:val="0"/>
          <w:highlight w:val="none"/>
        </w:rPr>
      </w:pPr>
      <w:r>
        <w:rPr>
          <w:rFonts w:ascii="宋体" w:hAnsi="宋体"/>
          <w:snapToGrid w:val="0"/>
          <w:color w:val="auto"/>
          <w:kern w:val="0"/>
          <w:highlight w:val="none"/>
        </w:rPr>
        <w:t>6</w:t>
      </w:r>
      <w:r>
        <w:rPr>
          <w:rFonts w:hint="eastAsia" w:ascii="宋体" w:hAnsi="宋体"/>
          <w:snapToGrid w:val="0"/>
          <w:color w:val="auto"/>
          <w:kern w:val="0"/>
          <w:highlight w:val="none"/>
        </w:rPr>
        <w:t>、本需求中技术参数及配置不明确或有误的，请以详细正确的技术参数及配置同时填写竞标报价表和技术响应表。</w:t>
      </w:r>
    </w:p>
    <w:p>
      <w:pPr>
        <w:spacing w:line="360" w:lineRule="exact"/>
        <w:ind w:firstLine="420" w:firstLineChars="200"/>
        <w:rPr>
          <w:rFonts w:ascii="宋体"/>
          <w:snapToGrid w:val="0"/>
          <w:color w:val="auto"/>
          <w:kern w:val="0"/>
          <w:highlight w:val="none"/>
        </w:rPr>
      </w:pPr>
      <w:r>
        <w:rPr>
          <w:rFonts w:ascii="宋体" w:hAnsi="宋体"/>
          <w:snapToGrid w:val="0"/>
          <w:color w:val="auto"/>
          <w:kern w:val="0"/>
          <w:highlight w:val="none"/>
        </w:rPr>
        <w:t>7</w:t>
      </w:r>
      <w:r>
        <w:rPr>
          <w:rFonts w:hint="eastAsia" w:ascii="宋体" w:hAnsi="宋体"/>
          <w:snapToGrid w:val="0"/>
          <w:color w:val="auto"/>
          <w:kern w:val="0"/>
          <w:highlight w:val="none"/>
        </w:rPr>
        <w:t>、凡在“技术参数及性能配置要求”中表述为“标配”或“标准配置”的设备，谈判供应商应在竞标报价表中将其标配参数详细列明，否则该竞标无效。</w:t>
      </w:r>
    </w:p>
    <w:p>
      <w:pPr>
        <w:spacing w:line="360" w:lineRule="exact"/>
        <w:ind w:firstLine="420" w:firstLineChars="200"/>
        <w:rPr>
          <w:rFonts w:ascii="宋体"/>
          <w:bCs/>
          <w:snapToGrid w:val="0"/>
          <w:color w:val="auto"/>
          <w:kern w:val="0"/>
          <w:highlight w:val="none"/>
        </w:rPr>
      </w:pPr>
      <w:r>
        <w:rPr>
          <w:rFonts w:ascii="宋体" w:hAnsi="宋体"/>
          <w:snapToGrid w:val="0"/>
          <w:color w:val="auto"/>
          <w:kern w:val="0"/>
          <w:highlight w:val="none"/>
        </w:rPr>
        <w:t>8</w:t>
      </w:r>
      <w:r>
        <w:rPr>
          <w:rFonts w:hint="eastAsia" w:ascii="宋体" w:hAnsi="宋体"/>
          <w:snapToGrid w:val="0"/>
          <w:color w:val="auto"/>
          <w:kern w:val="0"/>
          <w:highlight w:val="none"/>
        </w:rPr>
        <w:t>、</w:t>
      </w:r>
      <w:r>
        <w:rPr>
          <w:rFonts w:hint="eastAsia" w:ascii="宋体" w:hAnsi="宋体"/>
          <w:bCs/>
          <w:snapToGrid w:val="0"/>
          <w:color w:val="auto"/>
          <w:kern w:val="0"/>
          <w:highlight w:val="none"/>
        </w:rPr>
        <w:t>谈判时，若谈判小组认为采购产品某个技术参数为某唯一品牌所特有，则该参数将不作为实质性响应条件。</w:t>
      </w:r>
    </w:p>
    <w:p>
      <w:pPr>
        <w:spacing w:line="360" w:lineRule="exact"/>
        <w:ind w:firstLine="420" w:firstLineChars="200"/>
        <w:rPr>
          <w:rFonts w:asci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、投标产品的生产厂商，应遵循《中华人民共和国产品质量法》的规定，依法承担产品质量责任。</w:t>
      </w:r>
    </w:p>
    <w:p>
      <w:pPr>
        <w:spacing w:line="360" w:lineRule="exact"/>
        <w:ind w:firstLine="424" w:firstLineChars="202"/>
        <w:jc w:val="left"/>
        <w:rPr>
          <w:rFonts w:asci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谈判供应商提供的投标产品不允许侵犯任何第三人知识产权（包括专利权、商标权等），否则谈判供应商应独立承担相应法律责任。采购人在使用其投标产品时，不受第三方提出的侵犯其专利权、商标权等知识产权的诉讼。</w:t>
      </w:r>
    </w:p>
    <w:p>
      <w:pPr>
        <w:pStyle w:val="62"/>
        <w:widowControl w:val="0"/>
        <w:pBdr>
          <w:left w:val="none" w:color="auto" w:sz="0" w:space="0"/>
          <w:bottom w:val="none" w:color="auto" w:sz="0" w:space="0"/>
          <w:right w:val="none" w:color="auto" w:sz="0" w:space="0"/>
        </w:pBdr>
        <w:adjustRightInd w:val="0"/>
        <w:snapToGrid w:val="0"/>
        <w:spacing w:before="0" w:beforeAutospacing="0" w:after="0" w:afterAutospacing="0" w:line="360" w:lineRule="exact"/>
        <w:ind w:firstLine="420" w:firstLineChars="200"/>
        <w:jc w:val="left"/>
        <w:rPr>
          <w:rFonts w:ascii="宋体" w:cs="宋体"/>
          <w:b/>
          <w:color w:val="auto"/>
          <w:highlight w:val="none"/>
        </w:rPr>
      </w:pPr>
      <w:r>
        <w:rPr>
          <w:rFonts w:ascii="宋体" w:hAnsi="宋体"/>
          <w:b/>
          <w:snapToGrid w:val="0"/>
          <w:color w:val="auto"/>
          <w:highlight w:val="none"/>
        </w:rPr>
        <w:t>11</w:t>
      </w:r>
      <w:r>
        <w:rPr>
          <w:rFonts w:hint="eastAsia" w:ascii="宋体" w:hAnsi="宋体"/>
          <w:b/>
          <w:snapToGrid w:val="0"/>
          <w:color w:val="auto"/>
          <w:highlight w:val="none"/>
        </w:rPr>
        <w:t>、</w:t>
      </w:r>
      <w:r>
        <w:rPr>
          <w:rFonts w:hint="eastAsia" w:ascii="宋体" w:hAnsi="宋体" w:cs="宋体"/>
          <w:b/>
          <w:color w:val="auto"/>
          <w:highlight w:val="none"/>
        </w:rPr>
        <w:t>标注“▲”的为主要技术条款要求，必须满足，否则为不实质性响应采购文件要求，评审时响应文件将被作为无效文件处理；一般技术参数、性能指标或者辅助功能项目发生负偏离达</w:t>
      </w:r>
      <w:r>
        <w:rPr>
          <w:rFonts w:ascii="宋体" w:hAnsi="宋体" w:cs="宋体"/>
          <w:b/>
          <w:color w:val="auto"/>
          <w:highlight w:val="none"/>
          <w:u w:val="single"/>
        </w:rPr>
        <w:t xml:space="preserve"> 3 </w:t>
      </w:r>
      <w:r>
        <w:rPr>
          <w:rFonts w:hint="eastAsia" w:ascii="宋体" w:hAnsi="宋体" w:cs="宋体"/>
          <w:b/>
          <w:color w:val="auto"/>
          <w:highlight w:val="none"/>
        </w:rPr>
        <w:t>项数（含）以上的，视为不实质性响应采购文件要求，评审时响应文件将被作为无效文件处理。</w:t>
      </w:r>
    </w:p>
    <w:p>
      <w:pPr>
        <w:spacing w:line="380" w:lineRule="exact"/>
        <w:ind w:firstLine="424" w:firstLineChars="202"/>
        <w:jc w:val="left"/>
        <w:rPr>
          <w:rFonts w:ascii="宋体" w:cs="宋体"/>
          <w:b/>
          <w:color w:val="auto"/>
          <w:highlight w:val="none"/>
        </w:rPr>
      </w:pPr>
      <w:r>
        <w:rPr>
          <w:rFonts w:ascii="宋体" w:hAnsi="宋体" w:cs="宋体"/>
          <w:b/>
          <w:color w:val="auto"/>
          <w:highlight w:val="none"/>
        </w:rPr>
        <w:t>12</w:t>
      </w:r>
      <w:r>
        <w:rPr>
          <w:rFonts w:hint="eastAsia" w:ascii="宋体" w:hAnsi="宋体" w:cs="宋体"/>
          <w:b/>
          <w:color w:val="auto"/>
          <w:highlight w:val="none"/>
        </w:rPr>
        <w:t>、经谈判小组评审，商务或技术文件不实质性响应采购文件要求的，评审时响应文件将被作为无效文件处理。</w:t>
      </w:r>
    </w:p>
    <w:p>
      <w:pPr>
        <w:spacing w:line="380" w:lineRule="exact"/>
        <w:ind w:firstLine="424" w:firstLineChars="202"/>
        <w:jc w:val="left"/>
        <w:rPr>
          <w:rFonts w:ascii="宋体" w:cs="宋体"/>
          <w:b/>
          <w:color w:val="auto"/>
          <w:highlight w:val="none"/>
        </w:rPr>
      </w:pPr>
      <w:r>
        <w:rPr>
          <w:rFonts w:ascii="宋体" w:hAnsi="宋体" w:cs="宋体"/>
          <w:b/>
          <w:color w:val="auto"/>
          <w:highlight w:val="none"/>
        </w:rPr>
        <w:t>13</w:t>
      </w:r>
      <w:r>
        <w:rPr>
          <w:rFonts w:hint="eastAsia" w:ascii="宋体" w:hAnsi="宋体" w:cs="宋体"/>
          <w:b/>
          <w:color w:val="auto"/>
          <w:highlight w:val="none"/>
        </w:rPr>
        <w:t>、核心产品品牌相同的，视为提供同品牌产品。提供同品牌产品的不同谈判供应商参加同一分标投标的，以其中通过资格及符合性审查且报价最低的参加评标，报价相同的，由采购人自主选择确定一个参加评标，其他投标无效。</w:t>
      </w:r>
      <w:bookmarkEnd w:id="18"/>
      <w:bookmarkEnd w:id="19"/>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hint="eastAsia" w:ascii="宋体" w:cs="宋体"/>
          <w:b/>
          <w:color w:val="auto"/>
          <w:highlight w:val="none"/>
        </w:rPr>
      </w:pPr>
    </w:p>
    <w:p>
      <w:pPr>
        <w:pStyle w:val="2"/>
        <w:ind w:firstLine="0"/>
        <w:rPr>
          <w:b/>
          <w:color w:val="auto"/>
          <w:highlight w:val="none"/>
        </w:rPr>
      </w:pPr>
      <w:r>
        <w:rPr>
          <w:rFonts w:hint="eastAsia"/>
          <w:b/>
          <w:color w:val="auto"/>
          <w:highlight w:val="none"/>
        </w:rPr>
        <w:t>节能冷库设备1套</w:t>
      </w:r>
    </w:p>
    <w:tbl>
      <w:tblPr>
        <w:tblStyle w:val="24"/>
        <w:tblW w:w="105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8"/>
        <w:gridCol w:w="1993"/>
        <w:gridCol w:w="991"/>
        <w:gridCol w:w="69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一、项目要求及技术要求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参考品牌及型号规格：无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功能目标要求：详见《技术参数及性能配置要求》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技术指标：详见《技术参数及性能配置要求》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为落实政府采购政策需满足的要求：无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规范标准：执行现行的强制执行的国家、行业、地方标准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服务标准、服务期限、服务效率</w:t>
            </w:r>
            <w:r>
              <w:rPr>
                <w:rFonts w:ascii="宋体" w:hAnsi="宋体"/>
                <w:color w:val="auto"/>
                <w:szCs w:val="21"/>
                <w:highlight w:val="none"/>
              </w:rPr>
              <w:t>:</w:t>
            </w:r>
            <w:r>
              <w:rPr>
                <w:rFonts w:hint="eastAsia" w:ascii="宋体" w:hAnsi="宋体"/>
                <w:color w:val="auto"/>
                <w:szCs w:val="21"/>
                <w:highlight w:val="none"/>
              </w:rPr>
              <w:t>详见《商务要求表》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525" w:type="dxa"/>
            <w:gridSpan w:val="4"/>
            <w:tcBorders>
              <w:top w:val="single" w:color="auto" w:sz="4" w:space="0"/>
              <w:bottom w:val="single" w:color="auto" w:sz="4" w:space="0"/>
            </w:tcBorders>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验收标准、验收方法及方案：详见《广西壮族自治区政府采购合同》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618" w:type="dxa"/>
            <w:tcBorders>
              <w:top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9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6923" w:type="dxa"/>
            <w:tcBorders>
              <w:top w:val="single" w:color="auto" w:sz="4" w:space="0"/>
              <w:left w:val="single" w:color="auto" w:sz="4" w:space="0"/>
              <w:bottom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25" w:type="dxa"/>
            <w:gridSpan w:val="4"/>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一、库体外尺寸：(4.75+4.75)m(L)*7.2m(W)x2.5m(H)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150mm聚胺脂双面304（0.6mm厚）不锈钢板</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173m2</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1、双面不锈钢PU板，不锈钢厚度为0.6mm；容重40±2KG/m³；高密度、凹凸型、双压筋、双覆膜、B2级阻燃</w:t>
            </w:r>
          </w:p>
          <w:p>
            <w:pPr>
              <w:spacing w:line="360" w:lineRule="exact"/>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提供板材达到B2级（或以上）阻燃检测报告复印件，否则竞标无效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150mm聚胺脂内面压花铝（1.0mm厚）彩钢底板</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70m2</w:t>
            </w:r>
          </w:p>
        </w:tc>
        <w:tc>
          <w:tcPr>
            <w:tcW w:w="6923" w:type="dxa"/>
            <w:vAlign w:val="center"/>
          </w:tcPr>
          <w:p>
            <w:pPr>
              <w:spacing w:line="360" w:lineRule="exact"/>
              <w:jc w:val="left"/>
              <w:rPr>
                <w:rFonts w:ascii="宋体" w:hAnsi="宋体"/>
                <w:color w:val="auto"/>
                <w:szCs w:val="21"/>
                <w:highlight w:val="none"/>
              </w:rPr>
            </w:pPr>
            <w:r>
              <w:rPr>
                <w:rFonts w:hint="eastAsia" w:ascii="宋体" w:hAnsi="宋体" w:cs="宋体"/>
                <w:color w:val="auto"/>
                <w:kern w:val="0"/>
                <w:szCs w:val="21"/>
                <w:highlight w:val="none"/>
              </w:rPr>
              <w:t>内面防滑压花铝PU板，压花铝厚度为3.1mm；容重40±2KG/m³；高密度、凹凸型、双压筋、双覆膜,、B2级阻燃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标准304不锈钢回归门（含防水装置；</w:t>
            </w:r>
            <w:r>
              <w:rPr>
                <w:rFonts w:hint="eastAsia" w:ascii="宋体" w:hAnsi="宋体"/>
                <w:color w:val="auto"/>
                <w:szCs w:val="21"/>
                <w:highlight w:val="none"/>
              </w:rPr>
              <w:br w:type="textWrapping"/>
            </w:r>
            <w:r>
              <w:rPr>
                <w:rFonts w:hint="eastAsia" w:ascii="宋体" w:hAnsi="宋体"/>
                <w:color w:val="auto"/>
                <w:szCs w:val="21"/>
                <w:highlight w:val="none"/>
              </w:rPr>
              <w:t>门洞尺寸：1800*800）</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2套</w:t>
            </w:r>
          </w:p>
        </w:tc>
        <w:tc>
          <w:tcPr>
            <w:tcW w:w="6923" w:type="dxa"/>
            <w:vAlign w:val="center"/>
          </w:tcPr>
          <w:p>
            <w:pPr>
              <w:numPr>
                <w:ilvl w:val="0"/>
                <w:numId w:val="2"/>
              </w:numPr>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双面不锈钢PU板，不锈钢厚度为0.6mm；容重40±2KG/m³</w:t>
            </w:r>
          </w:p>
          <w:p>
            <w:pPr>
              <w:spacing w:line="360" w:lineRule="exact"/>
              <w:jc w:val="left"/>
              <w:rPr>
                <w:rFonts w:ascii="宋体" w:hAnsi="宋体"/>
                <w:color w:val="auto"/>
                <w:szCs w:val="21"/>
                <w:highlight w:val="none"/>
              </w:rPr>
            </w:pPr>
            <w:r>
              <w:rPr>
                <w:rFonts w:hint="eastAsia" w:ascii="宋体" w:hAnsi="宋体" w:cs="宋体"/>
                <w:color w:val="auto"/>
                <w:kern w:val="0"/>
                <w:szCs w:val="21"/>
                <w:highlight w:val="none"/>
              </w:rPr>
              <w:t>2、高密度、凹凸型、双压筋、双覆膜、B2级阻燃高强度、原装成套门框、全自动回归门、门锁报警功能、配发热丝及平衡窗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发热丝</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s="宋体"/>
                <w:color w:val="auto"/>
                <w:szCs w:val="21"/>
                <w:highlight w:val="none"/>
              </w:rPr>
              <w:t>直接镶入在门框中；除霜功能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平衡窗</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2套</w:t>
            </w:r>
          </w:p>
        </w:tc>
        <w:tc>
          <w:tcPr>
            <w:tcW w:w="6923" w:type="dxa"/>
            <w:vAlign w:val="center"/>
          </w:tcPr>
          <w:p>
            <w:pPr>
              <w:spacing w:line="360" w:lineRule="exact"/>
              <w:jc w:val="left"/>
              <w:rPr>
                <w:rFonts w:ascii="宋体" w:hAnsi="宋体"/>
                <w:color w:val="auto"/>
                <w:szCs w:val="21"/>
                <w:highlight w:val="none"/>
              </w:rPr>
            </w:pPr>
            <w:r>
              <w:rPr>
                <w:rFonts w:hint="eastAsia" w:ascii="宋体" w:hAnsi="宋体" w:cs="宋体"/>
                <w:color w:val="auto"/>
                <w:szCs w:val="21"/>
                <w:highlight w:val="none"/>
              </w:rPr>
              <w:t>直接镶入在门框中；平衡冷库内外压力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25" w:type="dxa"/>
            <w:gridSpan w:val="4"/>
            <w:vAlign w:val="center"/>
          </w:tcPr>
          <w:p>
            <w:pPr>
              <w:spacing w:line="360" w:lineRule="exact"/>
              <w:rPr>
                <w:rFonts w:ascii="宋体" w:hAnsi="宋体"/>
                <w:color w:val="auto"/>
                <w:szCs w:val="21"/>
                <w:highlight w:val="none"/>
              </w:rPr>
            </w:pPr>
            <w:r>
              <w:rPr>
                <w:rFonts w:hint="eastAsia" w:ascii="宋体" w:hAnsi="宋体"/>
                <w:b/>
                <w:bCs/>
                <w:color w:val="auto"/>
                <w:szCs w:val="21"/>
                <w:highlight w:val="none"/>
              </w:rPr>
              <w:t>二、冷藏库：机组配套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5HP压缩机（380V）</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4台</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5匹压缩机，工作电压为380V/50HZ；全封闭式机组，进风温度35°C，温差10读C，冷凝温度在50°C时，散热量为不低于15KW；功率为4.12KW，配有EMERSON阀件；配足连接铜管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冷凝器</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4台</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进风温度35°C，温差10读C，冷凝温度在50°C时，散热量为不低于15KW；双电机，电机功率210W，六级静音电机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过滤器</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4个</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与压缩机为同一厂家配套；口径φ12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电磁阀</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4套</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口径φ12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储液瓶</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4套</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口径φ12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高低压控制器</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4套</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显示系统压力数值，压力低于或高于临界值，自动保护设备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膨胀阀</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4套</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同压缩机为同一厂家配套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蒸发器DD-30㎡（不锈钢）</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4套</w:t>
            </w:r>
          </w:p>
        </w:tc>
        <w:tc>
          <w:tcPr>
            <w:tcW w:w="692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不锈钢外壳，内螺纹铜管；制冷量为6.0KW；工作电压为380V/50HZ；噪音69分贝以下；射程为12米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25" w:type="dxa"/>
            <w:gridSpan w:val="4"/>
            <w:vAlign w:val="center"/>
          </w:tcPr>
          <w:p>
            <w:pPr>
              <w:spacing w:line="360" w:lineRule="exact"/>
              <w:jc w:val="left"/>
              <w:rPr>
                <w:rFonts w:ascii="宋体" w:hAnsi="宋体"/>
                <w:b/>
                <w:color w:val="auto"/>
                <w:szCs w:val="21"/>
                <w:highlight w:val="none"/>
              </w:rPr>
            </w:pPr>
            <w:r>
              <w:rPr>
                <w:rFonts w:hint="eastAsia" w:ascii="宋体" w:hAnsi="宋体"/>
                <w:b/>
                <w:color w:val="auto"/>
                <w:szCs w:val="21"/>
                <w:highlight w:val="none"/>
              </w:rPr>
              <w:t>三、冷藏库：管道工艺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连接铜管</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口径φ12/φ22.配足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环保雪种</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纯度99.99%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25" w:type="dxa"/>
            <w:gridSpan w:val="4"/>
            <w:vAlign w:val="center"/>
          </w:tcPr>
          <w:p>
            <w:pPr>
              <w:spacing w:line="360" w:lineRule="exact"/>
              <w:jc w:val="left"/>
              <w:rPr>
                <w:rFonts w:ascii="宋体" w:hAnsi="宋体"/>
                <w:b/>
                <w:color w:val="auto"/>
                <w:szCs w:val="21"/>
                <w:highlight w:val="none"/>
              </w:rPr>
            </w:pPr>
            <w:r>
              <w:rPr>
                <w:rFonts w:hint="eastAsia" w:ascii="宋体" w:hAnsi="宋体"/>
                <w:b/>
                <w:color w:val="auto"/>
                <w:szCs w:val="21"/>
                <w:highlight w:val="none"/>
              </w:rPr>
              <w:t>四、冷藏库：控制系统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科技电脑控制箱（远程监控）</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2套</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1、温度精确至0.1°C，同时启动、轮流启动等控制方式</w:t>
            </w:r>
          </w:p>
          <w:p>
            <w:pPr>
              <w:spacing w:line="360" w:lineRule="exact"/>
              <w:jc w:val="left"/>
              <w:rPr>
                <w:rFonts w:ascii="宋体" w:hAnsi="宋体"/>
                <w:color w:val="auto"/>
                <w:szCs w:val="21"/>
                <w:highlight w:val="none"/>
              </w:rPr>
            </w:pPr>
            <w:r>
              <w:rPr>
                <w:rFonts w:hint="eastAsia" w:ascii="宋体" w:hAnsi="宋体"/>
                <w:color w:val="auto"/>
                <w:szCs w:val="21"/>
                <w:highlight w:val="none"/>
              </w:rPr>
              <w:t>▲2、具有远程控制，读取数据，储存数据功能；储存时间为叁年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电力控制系统</w:t>
            </w:r>
          </w:p>
          <w:p>
            <w:pPr>
              <w:spacing w:line="360" w:lineRule="exact"/>
              <w:jc w:val="center"/>
              <w:rPr>
                <w:rFonts w:ascii="宋体" w:hAnsi="宋体"/>
                <w:color w:val="auto"/>
                <w:szCs w:val="21"/>
                <w:highlight w:val="none"/>
              </w:rPr>
            </w:pPr>
            <w:r>
              <w:rPr>
                <w:rFonts w:hint="eastAsia" w:ascii="宋体" w:hAnsi="宋体"/>
                <w:color w:val="auto"/>
                <w:szCs w:val="21"/>
                <w:highlight w:val="none"/>
              </w:rPr>
              <w:t>380V智慧断路器</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1套</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一、设备要求：</w:t>
            </w:r>
          </w:p>
          <w:p>
            <w:pPr>
              <w:spacing w:line="360" w:lineRule="exact"/>
              <w:jc w:val="left"/>
              <w:rPr>
                <w:rFonts w:ascii="宋体" w:hAnsi="宋体"/>
                <w:color w:val="auto"/>
                <w:szCs w:val="21"/>
                <w:highlight w:val="none"/>
              </w:rPr>
            </w:pPr>
            <w:r>
              <w:rPr>
                <w:rFonts w:hint="eastAsia" w:ascii="宋体" w:hAnsi="宋体"/>
                <w:color w:val="auto"/>
                <w:szCs w:val="21"/>
                <w:highlight w:val="none"/>
              </w:rPr>
              <w:t>1、采用高等级灭弧装置：13片稳定可靠的灭弧栅，可有效灭弧，预防电气火灾</w:t>
            </w:r>
          </w:p>
          <w:p>
            <w:pPr>
              <w:spacing w:line="360" w:lineRule="exact"/>
              <w:jc w:val="left"/>
              <w:rPr>
                <w:rFonts w:ascii="宋体" w:hAnsi="宋体"/>
                <w:color w:val="auto"/>
                <w:szCs w:val="21"/>
                <w:highlight w:val="none"/>
              </w:rPr>
            </w:pPr>
            <w:r>
              <w:rPr>
                <w:rFonts w:hint="eastAsia" w:ascii="宋体" w:hAnsi="宋体"/>
                <w:color w:val="auto"/>
                <w:szCs w:val="21"/>
                <w:highlight w:val="none"/>
              </w:rPr>
              <w:t>2、瞬间电流分断能力：大于或等于6KA</w:t>
            </w:r>
          </w:p>
          <w:p>
            <w:pPr>
              <w:spacing w:line="360" w:lineRule="exact"/>
              <w:jc w:val="left"/>
              <w:rPr>
                <w:rFonts w:ascii="宋体" w:hAnsi="宋体"/>
                <w:color w:val="auto"/>
                <w:szCs w:val="21"/>
                <w:highlight w:val="none"/>
              </w:rPr>
            </w:pPr>
            <w:r>
              <w:rPr>
                <w:rFonts w:hint="eastAsia" w:ascii="宋体" w:hAnsi="宋体"/>
                <w:color w:val="auto"/>
                <w:szCs w:val="21"/>
                <w:highlight w:val="none"/>
              </w:rPr>
              <w:t>3、外壳防火等级：智能断路器外壳采用PA66+玻璃纤维等高规格防火阻燃材料、防火等级达到V0级</w:t>
            </w:r>
          </w:p>
          <w:p>
            <w:pPr>
              <w:spacing w:line="360" w:lineRule="exact"/>
              <w:jc w:val="left"/>
              <w:rPr>
                <w:rFonts w:ascii="宋体" w:hAnsi="宋体"/>
                <w:color w:val="auto"/>
                <w:szCs w:val="21"/>
                <w:highlight w:val="none"/>
              </w:rPr>
            </w:pPr>
            <w:r>
              <w:rPr>
                <w:rFonts w:hint="eastAsia" w:ascii="宋体" w:hAnsi="宋体"/>
                <w:color w:val="auto"/>
                <w:szCs w:val="21"/>
                <w:highlight w:val="none"/>
              </w:rPr>
              <w:t>5、计量精度：智能断路器电量计量误差不超过3%</w:t>
            </w:r>
          </w:p>
          <w:p>
            <w:pPr>
              <w:spacing w:line="360" w:lineRule="exact"/>
              <w:jc w:val="left"/>
              <w:rPr>
                <w:rFonts w:ascii="宋体" w:hAnsi="宋体"/>
                <w:color w:val="auto"/>
                <w:szCs w:val="21"/>
                <w:highlight w:val="none"/>
              </w:rPr>
            </w:pPr>
            <w:r>
              <w:rPr>
                <w:rFonts w:hint="eastAsia" w:ascii="宋体" w:hAnsi="宋体"/>
                <w:color w:val="auto"/>
                <w:szCs w:val="21"/>
                <w:highlight w:val="none"/>
              </w:rPr>
              <w:t>6、电源模组工作电压：AC100～265V（超宽电压工作范围），输出电压：DC12V</w:t>
            </w:r>
          </w:p>
          <w:p>
            <w:pPr>
              <w:spacing w:line="360" w:lineRule="exact"/>
              <w:jc w:val="left"/>
              <w:rPr>
                <w:rFonts w:ascii="宋体" w:hAnsi="宋体"/>
                <w:color w:val="auto"/>
                <w:szCs w:val="21"/>
                <w:highlight w:val="none"/>
              </w:rPr>
            </w:pPr>
            <w:r>
              <w:rPr>
                <w:rFonts w:hint="eastAsia" w:ascii="宋体" w:hAnsi="宋体"/>
                <w:color w:val="auto"/>
                <w:szCs w:val="21"/>
                <w:highlight w:val="none"/>
              </w:rPr>
              <w:t>7、智能开关额定短路电流：6-10倍额定电流值</w:t>
            </w:r>
          </w:p>
          <w:p>
            <w:pPr>
              <w:spacing w:line="360" w:lineRule="exact"/>
              <w:jc w:val="left"/>
              <w:rPr>
                <w:rFonts w:ascii="宋体" w:hAnsi="宋体"/>
                <w:color w:val="auto"/>
                <w:szCs w:val="21"/>
                <w:highlight w:val="none"/>
              </w:rPr>
            </w:pPr>
            <w:r>
              <w:rPr>
                <w:rFonts w:hint="eastAsia" w:ascii="宋体" w:hAnsi="宋体"/>
                <w:color w:val="auto"/>
                <w:szCs w:val="21"/>
                <w:highlight w:val="none"/>
              </w:rPr>
              <w:t>8、保护动作时间：≤40Ms</w:t>
            </w:r>
          </w:p>
          <w:p>
            <w:pPr>
              <w:spacing w:line="360" w:lineRule="exact"/>
              <w:jc w:val="left"/>
              <w:rPr>
                <w:rFonts w:ascii="宋体" w:hAnsi="宋体"/>
                <w:color w:val="auto"/>
                <w:szCs w:val="21"/>
                <w:highlight w:val="none"/>
              </w:rPr>
            </w:pPr>
            <w:r>
              <w:rPr>
                <w:rFonts w:hint="eastAsia" w:ascii="宋体" w:hAnsi="宋体"/>
                <w:color w:val="auto"/>
                <w:szCs w:val="21"/>
                <w:highlight w:val="none"/>
              </w:rPr>
              <w:t>9、工作电压：DC12V（智能控制部分工作电压）</w:t>
            </w:r>
          </w:p>
          <w:p>
            <w:pPr>
              <w:spacing w:line="360" w:lineRule="exact"/>
              <w:jc w:val="left"/>
              <w:rPr>
                <w:rFonts w:ascii="宋体" w:hAnsi="宋体"/>
                <w:color w:val="auto"/>
                <w:szCs w:val="21"/>
                <w:highlight w:val="none"/>
              </w:rPr>
            </w:pPr>
            <w:r>
              <w:rPr>
                <w:rFonts w:hint="eastAsia" w:ascii="宋体" w:hAnsi="宋体"/>
                <w:color w:val="auto"/>
                <w:szCs w:val="21"/>
                <w:highlight w:val="none"/>
              </w:rPr>
              <w:t>10、智能开关漏电动作电流：≤30mA；保护动作时间：≤40mS；（只针对带漏电保护断路器型号）</w:t>
            </w:r>
          </w:p>
          <w:p>
            <w:pPr>
              <w:spacing w:line="360" w:lineRule="exact"/>
              <w:jc w:val="left"/>
              <w:rPr>
                <w:rFonts w:ascii="宋体" w:hAnsi="宋体"/>
                <w:color w:val="auto"/>
                <w:szCs w:val="21"/>
                <w:highlight w:val="none"/>
              </w:rPr>
            </w:pPr>
            <w:r>
              <w:rPr>
                <w:rFonts w:hint="eastAsia" w:ascii="宋体" w:hAnsi="宋体"/>
                <w:color w:val="auto"/>
                <w:szCs w:val="21"/>
                <w:highlight w:val="none"/>
              </w:rPr>
              <w:t>11、 智能开关过流过载保护：超过额定电流5%的状态下，11秒断路；超过额定电流35%的状态下，5秒断路；超过额定电流100%的状态下，1秒断路</w:t>
            </w:r>
          </w:p>
          <w:p>
            <w:pPr>
              <w:spacing w:line="360" w:lineRule="exact"/>
              <w:jc w:val="left"/>
              <w:rPr>
                <w:rFonts w:ascii="宋体" w:hAnsi="宋体"/>
                <w:color w:val="auto"/>
                <w:szCs w:val="21"/>
                <w:highlight w:val="none"/>
              </w:rPr>
            </w:pPr>
            <w:r>
              <w:rPr>
                <w:rFonts w:hint="eastAsia" w:ascii="宋体" w:hAnsi="宋体"/>
                <w:color w:val="auto"/>
                <w:szCs w:val="21"/>
                <w:highlight w:val="none"/>
              </w:rPr>
              <w:t>12、 过压欠压保护：加载电压超出430V预警，超过456V断路；电压低于320V报警 , 过压保护动作时间: 10S</w:t>
            </w:r>
          </w:p>
          <w:p>
            <w:pPr>
              <w:spacing w:line="360" w:lineRule="exact"/>
              <w:jc w:val="left"/>
              <w:rPr>
                <w:rFonts w:ascii="宋体" w:hAnsi="宋体"/>
                <w:color w:val="auto"/>
                <w:szCs w:val="21"/>
                <w:highlight w:val="none"/>
              </w:rPr>
            </w:pPr>
            <w:r>
              <w:rPr>
                <w:rFonts w:hint="eastAsia" w:ascii="宋体" w:hAnsi="宋体"/>
                <w:color w:val="auto"/>
                <w:szCs w:val="21"/>
                <w:highlight w:val="none"/>
              </w:rPr>
              <w:t>13、漏电自检功能：可设置漏电保护功能每月自动检测。（只针对带漏电保护断路器型号）</w:t>
            </w:r>
          </w:p>
          <w:p>
            <w:pPr>
              <w:spacing w:line="360" w:lineRule="exact"/>
              <w:jc w:val="left"/>
              <w:rPr>
                <w:rFonts w:ascii="宋体" w:hAnsi="宋体"/>
                <w:color w:val="auto"/>
                <w:szCs w:val="21"/>
                <w:highlight w:val="none"/>
              </w:rPr>
            </w:pPr>
            <w:r>
              <w:rPr>
                <w:rFonts w:hint="eastAsia" w:ascii="宋体" w:hAnsi="宋体"/>
                <w:color w:val="auto"/>
                <w:szCs w:val="21"/>
                <w:highlight w:val="none"/>
              </w:rPr>
              <w:t>14、定时控制功能：智能断路器内置时钟芯片，脱网状态下可保证时间的精准性，真正实现各线路定时开关变得轻松、准确</w:t>
            </w:r>
          </w:p>
          <w:p>
            <w:pPr>
              <w:spacing w:line="360" w:lineRule="exact"/>
              <w:jc w:val="left"/>
              <w:rPr>
                <w:rFonts w:ascii="宋体" w:hAnsi="宋体"/>
                <w:color w:val="auto"/>
                <w:szCs w:val="21"/>
                <w:highlight w:val="none"/>
              </w:rPr>
            </w:pPr>
            <w:r>
              <w:rPr>
                <w:rFonts w:hint="eastAsia" w:ascii="宋体" w:hAnsi="宋体"/>
                <w:color w:val="auto"/>
                <w:szCs w:val="21"/>
                <w:highlight w:val="none"/>
              </w:rPr>
              <w:t>二、设备参数要求：</w:t>
            </w:r>
          </w:p>
          <w:p>
            <w:pPr>
              <w:spacing w:line="360" w:lineRule="exact"/>
              <w:jc w:val="left"/>
              <w:rPr>
                <w:rFonts w:ascii="宋体" w:hAnsi="宋体"/>
                <w:color w:val="auto"/>
                <w:szCs w:val="21"/>
                <w:highlight w:val="none"/>
              </w:rPr>
            </w:pPr>
            <w:r>
              <w:rPr>
                <w:rFonts w:hint="eastAsia" w:ascii="宋体" w:hAnsi="宋体"/>
                <w:color w:val="auto"/>
                <w:szCs w:val="21"/>
                <w:highlight w:val="none"/>
              </w:rPr>
              <w:t>1、4P智慧断路器</w:t>
            </w:r>
          </w:p>
          <w:p>
            <w:pPr>
              <w:spacing w:line="360" w:lineRule="exact"/>
              <w:jc w:val="left"/>
              <w:rPr>
                <w:rFonts w:ascii="宋体" w:hAnsi="宋体"/>
                <w:color w:val="auto"/>
                <w:szCs w:val="21"/>
                <w:highlight w:val="none"/>
              </w:rPr>
            </w:pPr>
            <w:r>
              <w:rPr>
                <w:rFonts w:hint="eastAsia" w:ascii="宋体" w:hAnsi="宋体"/>
                <w:color w:val="auto"/>
                <w:szCs w:val="21"/>
                <w:highlight w:val="none"/>
              </w:rPr>
              <w:t>2、额定电流：80A/63A/32A/AC380V</w:t>
            </w:r>
            <w:r>
              <w:rPr>
                <w:rFonts w:hint="eastAsia" w:ascii="宋体" w:hAnsi="宋体"/>
                <w:color w:val="auto"/>
                <w:szCs w:val="21"/>
                <w:highlight w:val="none"/>
              </w:rPr>
              <w:br w:type="textWrapping"/>
            </w:r>
            <w:r>
              <w:rPr>
                <w:rFonts w:hint="eastAsia" w:ascii="宋体" w:hAnsi="宋体"/>
                <w:color w:val="auto"/>
                <w:szCs w:val="21"/>
                <w:highlight w:val="none"/>
              </w:rPr>
              <w:t>3、漏电保护：线路漏电电流达到30mA时，断路器0.1s断电保护(仅限带漏保断路器)</w:t>
            </w:r>
            <w:r>
              <w:rPr>
                <w:rFonts w:hint="eastAsia" w:ascii="宋体" w:hAnsi="宋体"/>
                <w:color w:val="auto"/>
                <w:szCs w:val="21"/>
                <w:highlight w:val="none"/>
              </w:rPr>
              <w:br w:type="textWrapping"/>
            </w:r>
            <w:r>
              <w:rPr>
                <w:rFonts w:hint="eastAsia" w:ascii="宋体" w:hAnsi="宋体"/>
                <w:color w:val="auto"/>
                <w:szCs w:val="21"/>
                <w:highlight w:val="none"/>
              </w:rPr>
              <w:t>4、短路保护：线路短路时，断路器0.04s断电保护</w:t>
            </w:r>
            <w:r>
              <w:rPr>
                <w:rFonts w:hint="eastAsia" w:ascii="宋体" w:hAnsi="宋体"/>
                <w:color w:val="auto"/>
                <w:szCs w:val="21"/>
                <w:highlight w:val="none"/>
              </w:rPr>
              <w:br w:type="textWrapping"/>
            </w:r>
            <w:r>
              <w:rPr>
                <w:rFonts w:hint="eastAsia" w:ascii="宋体" w:hAnsi="宋体"/>
                <w:color w:val="auto"/>
                <w:szCs w:val="21"/>
                <w:highlight w:val="none"/>
              </w:rPr>
              <w:t>5、功率限定：达到限定功率，5s后断路</w:t>
            </w:r>
            <w:r>
              <w:rPr>
                <w:rFonts w:hint="eastAsia" w:ascii="宋体" w:hAnsi="宋体"/>
                <w:color w:val="auto"/>
                <w:szCs w:val="21"/>
                <w:highlight w:val="none"/>
              </w:rPr>
              <w:br w:type="textWrapping"/>
            </w:r>
            <w:r>
              <w:rPr>
                <w:rFonts w:hint="eastAsia" w:ascii="宋体" w:hAnsi="宋体"/>
                <w:color w:val="auto"/>
                <w:szCs w:val="21"/>
                <w:highlight w:val="none"/>
              </w:rPr>
              <w:t>6、自动送电：漏电检测断电5s后自动送电(仅限带漏保断路器)</w:t>
            </w:r>
            <w:r>
              <w:rPr>
                <w:rFonts w:hint="eastAsia" w:ascii="宋体" w:hAnsi="宋体"/>
                <w:color w:val="auto"/>
                <w:szCs w:val="21"/>
                <w:highlight w:val="none"/>
              </w:rPr>
              <w:br w:type="textWrapping"/>
            </w:r>
            <w:r>
              <w:rPr>
                <w:rFonts w:hint="eastAsia" w:ascii="宋体" w:hAnsi="宋体"/>
                <w:color w:val="auto"/>
                <w:szCs w:val="21"/>
                <w:highlight w:val="none"/>
              </w:rPr>
              <w:t>7、过压（欠压）保护：入户电压超过456V，10S内断电保护。超过430V预警，低于320V告警</w:t>
            </w:r>
            <w:r>
              <w:rPr>
                <w:rFonts w:hint="eastAsia" w:ascii="宋体" w:hAnsi="宋体"/>
                <w:color w:val="auto"/>
                <w:szCs w:val="21"/>
                <w:highlight w:val="none"/>
              </w:rPr>
              <w:br w:type="textWrapping"/>
            </w:r>
            <w:r>
              <w:rPr>
                <w:rFonts w:hint="eastAsia" w:ascii="宋体" w:hAnsi="宋体"/>
                <w:color w:val="auto"/>
                <w:szCs w:val="21"/>
                <w:highlight w:val="none"/>
              </w:rPr>
              <w:t>8、打火报警</w:t>
            </w:r>
            <w:r>
              <w:rPr>
                <w:rFonts w:hint="eastAsia" w:ascii="宋体" w:hAnsi="宋体"/>
                <w:color w:val="auto"/>
                <w:szCs w:val="21"/>
                <w:highlight w:val="none"/>
              </w:rPr>
              <w:br w:type="textWrapping"/>
            </w:r>
            <w:r>
              <w:rPr>
                <w:rFonts w:hint="eastAsia" w:ascii="宋体" w:hAnsi="宋体"/>
                <w:color w:val="auto"/>
                <w:szCs w:val="21"/>
                <w:highlight w:val="none"/>
              </w:rPr>
              <w:t>9漏电保护功能自动检测：可设置漏电保护功能每月自动检测(仅限带漏保断路器)</w:t>
            </w:r>
            <w:r>
              <w:rPr>
                <w:rFonts w:hint="eastAsia" w:ascii="宋体" w:hAnsi="宋体"/>
                <w:color w:val="auto"/>
                <w:szCs w:val="21"/>
                <w:highlight w:val="none"/>
              </w:rPr>
              <w:br w:type="textWrapping"/>
            </w:r>
            <w:r>
              <w:rPr>
                <w:rFonts w:hint="eastAsia" w:ascii="宋体" w:hAnsi="宋体"/>
                <w:color w:val="auto"/>
                <w:szCs w:val="21"/>
                <w:highlight w:val="none"/>
              </w:rPr>
              <w:t>10、手自一体控制：手机遥控，可以按键自动控制，也可通过手动推杆控制通断</w:t>
            </w:r>
            <w:r>
              <w:rPr>
                <w:rFonts w:hint="eastAsia" w:ascii="宋体" w:hAnsi="宋体"/>
                <w:color w:val="auto"/>
                <w:szCs w:val="21"/>
                <w:highlight w:val="none"/>
              </w:rPr>
              <w:br w:type="textWrapping"/>
            </w:r>
            <w:r>
              <w:rPr>
                <w:rFonts w:hint="eastAsia" w:ascii="宋体" w:hAnsi="宋体"/>
                <w:color w:val="auto"/>
                <w:szCs w:val="21"/>
                <w:highlight w:val="none"/>
              </w:rPr>
              <w:t>11、工作电压：AC300V~460V</w:t>
            </w:r>
            <w:r>
              <w:rPr>
                <w:rFonts w:hint="eastAsia" w:ascii="宋体" w:hAnsi="宋体"/>
                <w:color w:val="auto"/>
                <w:szCs w:val="21"/>
                <w:highlight w:val="none"/>
              </w:rPr>
              <w:br w:type="textWrapping"/>
            </w:r>
            <w:r>
              <w:rPr>
                <w:rFonts w:hint="eastAsia" w:ascii="宋体" w:hAnsi="宋体"/>
                <w:color w:val="auto"/>
                <w:szCs w:val="21"/>
                <w:highlight w:val="none"/>
              </w:rPr>
              <w:t>12、周围空气温度：-5℃~45℃</w:t>
            </w:r>
          </w:p>
          <w:p>
            <w:pPr>
              <w:spacing w:line="360" w:lineRule="exact"/>
              <w:jc w:val="left"/>
              <w:rPr>
                <w:rFonts w:ascii="宋体" w:hAnsi="宋体"/>
                <w:color w:val="auto"/>
                <w:szCs w:val="21"/>
                <w:highlight w:val="none"/>
              </w:rPr>
            </w:pPr>
            <w:r>
              <w:rPr>
                <w:rFonts w:hint="eastAsia" w:ascii="宋体" w:hAnsi="宋体"/>
                <w:color w:val="auto"/>
                <w:szCs w:val="21"/>
                <w:highlight w:val="none"/>
              </w:rPr>
              <w:t>▲13、 提供国家强制性CCC认证证书扫描件，否则竞标无效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控制导线及配件</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国标电线电缆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冷冻防潮防冻灯</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4盏</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20W，3C认证；防爆LED灯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25" w:type="dxa"/>
            <w:gridSpan w:val="4"/>
            <w:vAlign w:val="center"/>
          </w:tcPr>
          <w:p>
            <w:pPr>
              <w:spacing w:line="360" w:lineRule="exact"/>
              <w:rPr>
                <w:rFonts w:ascii="宋体" w:hAnsi="宋体"/>
                <w:b/>
                <w:color w:val="auto"/>
                <w:szCs w:val="21"/>
                <w:highlight w:val="none"/>
              </w:rPr>
            </w:pPr>
            <w:r>
              <w:rPr>
                <w:rFonts w:hint="eastAsia" w:ascii="宋体" w:hAnsi="宋体"/>
                <w:b/>
                <w:color w:val="auto"/>
                <w:szCs w:val="21"/>
                <w:highlight w:val="none"/>
              </w:rPr>
              <w:t>五、冷藏库:其它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五金杂件</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含油漆、焊条、角铁、丝杆、螺母垫片等杂件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排水系统</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联塑管道,DN=25;含保温及管件配件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玻璃胶+发泡剂</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冷库专业胶；无毒，快干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综合运输费</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路运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99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机组安装费</w:t>
            </w:r>
          </w:p>
        </w:tc>
        <w:tc>
          <w:tcPr>
            <w:tcW w:w="99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6923" w:type="dxa"/>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包含冷库材料装卸，冷库现场组装及调试及人员的差率费、人工费用及施工人员保险费用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525" w:type="dxa"/>
            <w:gridSpan w:val="4"/>
            <w:vAlign w:val="center"/>
          </w:tcPr>
          <w:p>
            <w:pPr>
              <w:spacing w:line="360" w:lineRule="exact"/>
              <w:rPr>
                <w:rFonts w:ascii="宋体" w:hAnsi="宋体"/>
                <w:b/>
                <w:color w:val="auto"/>
                <w:szCs w:val="21"/>
                <w:highlight w:val="none"/>
              </w:rPr>
            </w:pPr>
            <w:bookmarkStart w:id="20" w:name="_Toc417902277"/>
            <w:r>
              <w:rPr>
                <w:rFonts w:hint="eastAsia" w:ascii="宋体" w:hAnsi="宋体"/>
                <w:b/>
                <w:color w:val="auto"/>
                <w:szCs w:val="21"/>
                <w:highlight w:val="none"/>
              </w:rPr>
              <w:t>二、商务最低要求表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5" w:type="dxa"/>
            <w:gridSpan w:val="4"/>
            <w:vAlign w:val="center"/>
          </w:tcPr>
          <w:p>
            <w:pPr>
              <w:spacing w:line="360" w:lineRule="exact"/>
              <w:rPr>
                <w:rFonts w:ascii="宋体" w:hAnsi="宋体"/>
                <w:color w:val="auto"/>
                <w:szCs w:val="21"/>
                <w:highlight w:val="none"/>
              </w:rPr>
            </w:pPr>
            <w:r>
              <w:rPr>
                <w:rFonts w:hint="eastAsia" w:ascii="宋体" w:hAnsi="宋体"/>
                <w:color w:val="auto"/>
                <w:szCs w:val="21"/>
                <w:highlight w:val="none"/>
              </w:rPr>
              <w:t>一、合同签订期：自成交通知书发出之日起 7 个工作日内。</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二、交货期：自合同签订之日起20日内。</w:t>
            </w:r>
          </w:p>
          <w:p>
            <w:pPr>
              <w:spacing w:line="360" w:lineRule="exact"/>
              <w:rPr>
                <w:rFonts w:ascii="宋体" w:hAnsi="宋体"/>
                <w:color w:val="auto"/>
                <w:szCs w:val="21"/>
                <w:highlight w:val="none"/>
              </w:rPr>
            </w:pPr>
            <w:r>
              <w:rPr>
                <w:rFonts w:hint="eastAsia" w:ascii="宋体" w:hAnsi="宋体"/>
                <w:color w:val="auto"/>
                <w:szCs w:val="21"/>
                <w:highlight w:val="none"/>
              </w:rPr>
              <w:t>三、交货地点：采购人指定地点。</w:t>
            </w:r>
          </w:p>
          <w:p>
            <w:pPr>
              <w:spacing w:line="360" w:lineRule="exact"/>
              <w:rPr>
                <w:rFonts w:ascii="宋体" w:hAnsi="宋体"/>
                <w:color w:val="auto"/>
                <w:szCs w:val="21"/>
                <w:highlight w:val="none"/>
              </w:rPr>
            </w:pPr>
            <w:r>
              <w:rPr>
                <w:rFonts w:hint="eastAsia" w:ascii="宋体" w:hAnsi="宋体"/>
                <w:color w:val="auto"/>
                <w:szCs w:val="21"/>
                <w:highlight w:val="none"/>
              </w:rPr>
              <w:t>四、交货方式：现场交货</w:t>
            </w:r>
          </w:p>
          <w:p>
            <w:pPr>
              <w:spacing w:line="360" w:lineRule="exact"/>
              <w:rPr>
                <w:rFonts w:ascii="宋体" w:hAnsi="宋体"/>
                <w:color w:val="auto"/>
                <w:szCs w:val="21"/>
                <w:highlight w:val="none"/>
              </w:rPr>
            </w:pPr>
            <w:r>
              <w:rPr>
                <w:rFonts w:hint="eastAsia" w:ascii="宋体" w:hAnsi="宋体"/>
                <w:color w:val="auto"/>
                <w:szCs w:val="21"/>
                <w:highlight w:val="none"/>
              </w:rPr>
              <w:t>五、售后服务要求：</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1、质保期：1 年（自安装并验收合格之日起计)。 产品是通过厂家合法渠道全新原装未经使用的产品，符合国家相关质量检测标准，全部货物、工程质保期1年（包括全部货物、辅助安装材料及全部施工工程）, 质保期内所有货物及工程免费上门保修、施工，质保期从项目验收合格之日起开始计算。</w:t>
            </w:r>
          </w:p>
          <w:p>
            <w:pPr>
              <w:spacing w:line="360" w:lineRule="exact"/>
              <w:rPr>
                <w:rFonts w:ascii="宋体" w:hAnsi="宋体"/>
                <w:color w:val="auto"/>
                <w:szCs w:val="21"/>
                <w:highlight w:val="none"/>
              </w:rPr>
            </w:pPr>
            <w:r>
              <w:rPr>
                <w:rFonts w:hint="eastAsia" w:ascii="宋体" w:hAnsi="宋体"/>
                <w:color w:val="auto"/>
                <w:szCs w:val="21"/>
                <w:highlight w:val="none"/>
              </w:rPr>
              <w:t>2、免费送货上门、安装、调试，免费培训使用人员和维护人员。</w:t>
            </w:r>
          </w:p>
          <w:p>
            <w:pPr>
              <w:spacing w:line="360" w:lineRule="exact"/>
              <w:rPr>
                <w:rFonts w:ascii="宋体" w:hAnsi="宋体"/>
                <w:color w:val="auto"/>
                <w:szCs w:val="21"/>
                <w:highlight w:val="none"/>
              </w:rPr>
            </w:pPr>
            <w:r>
              <w:rPr>
                <w:rFonts w:hint="eastAsia" w:ascii="宋体" w:hAnsi="宋体"/>
                <w:color w:val="auto"/>
                <w:szCs w:val="21"/>
                <w:highlight w:val="none"/>
              </w:rPr>
              <w:t>3、质保期内免费维修、更换配件。质保期满后只收取维修的材料成本费。</w:t>
            </w:r>
          </w:p>
          <w:p>
            <w:pPr>
              <w:spacing w:line="360" w:lineRule="exact"/>
              <w:rPr>
                <w:rFonts w:ascii="宋体" w:hAnsi="宋体"/>
                <w:color w:val="auto"/>
                <w:szCs w:val="21"/>
                <w:highlight w:val="none"/>
              </w:rPr>
            </w:pPr>
            <w:r>
              <w:rPr>
                <w:rFonts w:hint="eastAsia" w:ascii="宋体" w:hAnsi="宋体"/>
                <w:color w:val="auto"/>
                <w:szCs w:val="21"/>
                <w:highlight w:val="none"/>
              </w:rPr>
              <w:t>4、接到故障通知后2小时内到达现场维修。设备如果出现特殊情况在24小时内不能解决，供应商须提供与原设备技术参数要求相同或高于原设备技术参数要求的备用产品，以保证使用方的正常工作。</w:t>
            </w:r>
          </w:p>
          <w:p>
            <w:pPr>
              <w:spacing w:line="360" w:lineRule="exact"/>
              <w:rPr>
                <w:rFonts w:ascii="宋体" w:hAnsi="宋体"/>
                <w:color w:val="auto"/>
                <w:szCs w:val="21"/>
                <w:highlight w:val="none"/>
              </w:rPr>
            </w:pPr>
            <w:r>
              <w:rPr>
                <w:rFonts w:hint="eastAsia" w:ascii="宋体" w:hAnsi="宋体"/>
                <w:color w:val="auto"/>
                <w:szCs w:val="21"/>
                <w:highlight w:val="none"/>
              </w:rPr>
              <w:t>六、其他要求：</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1、报价为采购人指定地点的现场交货价，包括：</w:t>
            </w:r>
          </w:p>
          <w:p>
            <w:pPr>
              <w:spacing w:line="360" w:lineRule="exact"/>
              <w:rPr>
                <w:rFonts w:ascii="宋体" w:hAnsi="宋体"/>
                <w:color w:val="auto"/>
                <w:szCs w:val="21"/>
                <w:highlight w:val="none"/>
              </w:rPr>
            </w:pPr>
            <w:r>
              <w:rPr>
                <w:rFonts w:hint="eastAsia" w:ascii="宋体" w:hAnsi="宋体"/>
                <w:color w:val="auto"/>
                <w:szCs w:val="21"/>
                <w:highlight w:val="none"/>
              </w:rPr>
              <w:t>（1）货物的价格；</w:t>
            </w:r>
          </w:p>
          <w:p>
            <w:pPr>
              <w:spacing w:line="360" w:lineRule="exact"/>
              <w:rPr>
                <w:rFonts w:ascii="宋体" w:hAnsi="宋体"/>
                <w:color w:val="auto"/>
                <w:szCs w:val="21"/>
                <w:highlight w:val="none"/>
              </w:rPr>
            </w:pPr>
            <w:r>
              <w:rPr>
                <w:rFonts w:hint="eastAsia" w:ascii="宋体" w:hAnsi="宋体"/>
                <w:color w:val="auto"/>
                <w:szCs w:val="21"/>
                <w:highlight w:val="none"/>
              </w:rPr>
              <w:t>（2）货物的标准附件、备品备件、专用工具的价格；</w:t>
            </w:r>
          </w:p>
          <w:p>
            <w:pPr>
              <w:spacing w:line="360" w:lineRule="exact"/>
              <w:rPr>
                <w:rFonts w:ascii="宋体" w:hAnsi="宋体"/>
                <w:color w:val="auto"/>
                <w:szCs w:val="21"/>
                <w:highlight w:val="none"/>
              </w:rPr>
            </w:pPr>
            <w:r>
              <w:rPr>
                <w:rFonts w:hint="eastAsia" w:ascii="宋体" w:hAnsi="宋体"/>
                <w:color w:val="auto"/>
                <w:szCs w:val="21"/>
                <w:highlight w:val="none"/>
              </w:rPr>
              <w:t>（3）运输、装卸、调试、培训、技术支持、售后服务等费用；</w:t>
            </w:r>
          </w:p>
          <w:p>
            <w:pPr>
              <w:spacing w:line="360" w:lineRule="exact"/>
              <w:rPr>
                <w:rFonts w:ascii="宋体" w:hAnsi="宋体"/>
                <w:color w:val="auto"/>
                <w:szCs w:val="21"/>
                <w:highlight w:val="none"/>
              </w:rPr>
            </w:pPr>
            <w:r>
              <w:rPr>
                <w:rFonts w:hint="eastAsia" w:ascii="宋体" w:hAnsi="宋体"/>
                <w:color w:val="auto"/>
                <w:szCs w:val="21"/>
                <w:highlight w:val="none"/>
              </w:rPr>
              <w:t>（4）必要的保险费用和各项税费；</w:t>
            </w:r>
          </w:p>
          <w:p>
            <w:pPr>
              <w:spacing w:line="360" w:lineRule="exact"/>
              <w:rPr>
                <w:rFonts w:ascii="宋体" w:hAnsi="宋体"/>
                <w:color w:val="auto"/>
                <w:szCs w:val="21"/>
                <w:highlight w:val="none"/>
              </w:rPr>
            </w:pPr>
            <w:r>
              <w:rPr>
                <w:rFonts w:hint="eastAsia" w:ascii="宋体" w:hAnsi="宋体"/>
                <w:color w:val="auto"/>
                <w:szCs w:val="21"/>
                <w:highlight w:val="none"/>
              </w:rPr>
              <w:t>（5）安装费用、安装调试所需的材料费及人工费。</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2、签订合同后提供采购文件要求的资质及检测报告原件，由采购单位核查；如成交人提供虚假材料，按违约处理。采购人追究成交人责任。</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 xml:space="preserve">3、付款方式：本项目无预付款，项目安装验收完毕后30日内支付合同金额总价的97%，剩余合同金额总价的3%作为质量保证金，质保期满后采购人返还全部质量保证金(不计利息)。 </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4、提供设计图纸，否则竞标无效。</w:t>
            </w:r>
          </w:p>
        </w:tc>
      </w:tr>
    </w:tbl>
    <w:p>
      <w:pPr>
        <w:rPr>
          <w:b/>
          <w:color w:val="auto"/>
          <w:highlight w:val="none"/>
        </w:rPr>
      </w:pPr>
    </w:p>
    <w:p>
      <w:pPr>
        <w:pStyle w:val="4"/>
        <w:jc w:val="center"/>
        <w:rPr>
          <w:color w:val="auto"/>
          <w:highlight w:val="none"/>
        </w:rPr>
      </w:pPr>
      <w:bookmarkStart w:id="21" w:name="_Toc496610500"/>
      <w:r>
        <w:rPr>
          <w:color w:val="auto"/>
          <w:highlight w:val="none"/>
        </w:rPr>
        <w:br w:type="page"/>
      </w:r>
    </w:p>
    <w:p>
      <w:pP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r>
        <w:rPr>
          <w:color w:val="auto"/>
          <w:highlight w:val="none"/>
        </w:rPr>
        <w:t xml:space="preserve"> </w:t>
      </w:r>
    </w:p>
    <w:bookmarkEnd w:id="21"/>
    <w:p>
      <w:pPr>
        <w:pStyle w:val="3"/>
        <w:jc w:val="center"/>
        <w:rPr>
          <w:rFonts w:ascii="宋体"/>
          <w:color w:val="auto"/>
          <w:highlight w:val="none"/>
        </w:rPr>
      </w:pPr>
      <w:r>
        <w:rPr>
          <w:rFonts w:hint="eastAsia" w:ascii="宋体" w:hAnsi="宋体"/>
          <w:color w:val="auto"/>
          <w:highlight w:val="none"/>
        </w:rPr>
        <w:t>第四章</w:t>
      </w:r>
      <w:r>
        <w:rPr>
          <w:rFonts w:ascii="宋体" w:hAnsi="宋体"/>
          <w:color w:val="auto"/>
          <w:highlight w:val="none"/>
        </w:rPr>
        <w:t xml:space="preserve">  </w:t>
      </w:r>
      <w:r>
        <w:rPr>
          <w:rFonts w:hint="eastAsia" w:ascii="宋体" w:hAnsi="宋体"/>
          <w:color w:val="auto"/>
          <w:highlight w:val="none"/>
        </w:rPr>
        <w:t>竞争性谈判响应文件格式</w:t>
      </w:r>
    </w:p>
    <w:p>
      <w:pPr>
        <w:widowControl/>
        <w:jc w:val="left"/>
        <w:rPr>
          <w:rFonts w:ascii="宋体"/>
          <w:b/>
          <w:color w:val="auto"/>
          <w:szCs w:val="21"/>
          <w:highlight w:val="none"/>
        </w:rPr>
      </w:pPr>
      <w:r>
        <w:rPr>
          <w:rFonts w:ascii="宋体"/>
          <w:b/>
          <w:color w:val="auto"/>
          <w:sz w:val="32"/>
          <w:szCs w:val="32"/>
          <w:highlight w:val="none"/>
        </w:rPr>
        <w:br w:type="page"/>
      </w:r>
      <w:r>
        <w:rPr>
          <w:rFonts w:hint="eastAsia" w:ascii="宋体" w:hAnsi="宋体"/>
          <w:b/>
          <w:color w:val="auto"/>
          <w:szCs w:val="21"/>
          <w:highlight w:val="none"/>
        </w:rPr>
        <w:t>一、竞争性谈判响应文件外包装封面格式：</w:t>
      </w: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52"/>
          <w:szCs w:val="52"/>
          <w:highlight w:val="none"/>
        </w:rPr>
      </w:pPr>
      <w:r>
        <w:rPr>
          <w:rFonts w:hint="eastAsia" w:ascii="宋体" w:hAnsi="宋体"/>
          <w:b/>
          <w:color w:val="auto"/>
          <w:sz w:val="52"/>
          <w:szCs w:val="52"/>
          <w:highlight w:val="none"/>
        </w:rPr>
        <w:t>竞</w:t>
      </w:r>
      <w:r>
        <w:rPr>
          <w:rFonts w:ascii="宋体" w:hAnsi="宋体"/>
          <w:b/>
          <w:color w:val="auto"/>
          <w:sz w:val="52"/>
          <w:szCs w:val="52"/>
          <w:highlight w:val="none"/>
        </w:rPr>
        <w:t xml:space="preserve"> </w:t>
      </w:r>
      <w:r>
        <w:rPr>
          <w:rFonts w:hint="eastAsia" w:ascii="宋体" w:hAnsi="宋体"/>
          <w:b/>
          <w:color w:val="auto"/>
          <w:sz w:val="52"/>
          <w:szCs w:val="52"/>
          <w:highlight w:val="none"/>
        </w:rPr>
        <w:t>争</w:t>
      </w:r>
      <w:r>
        <w:rPr>
          <w:rFonts w:ascii="宋体" w:hAnsi="宋体"/>
          <w:b/>
          <w:color w:val="auto"/>
          <w:sz w:val="52"/>
          <w:szCs w:val="52"/>
          <w:highlight w:val="none"/>
        </w:rPr>
        <w:t xml:space="preserve"> </w:t>
      </w:r>
      <w:r>
        <w:rPr>
          <w:rFonts w:hint="eastAsia" w:ascii="宋体" w:hAnsi="宋体"/>
          <w:b/>
          <w:color w:val="auto"/>
          <w:sz w:val="52"/>
          <w:szCs w:val="52"/>
          <w:highlight w:val="none"/>
        </w:rPr>
        <w:t>性</w:t>
      </w:r>
      <w:r>
        <w:rPr>
          <w:rFonts w:ascii="宋体" w:hAnsi="宋体"/>
          <w:b/>
          <w:color w:val="auto"/>
          <w:sz w:val="52"/>
          <w:szCs w:val="52"/>
          <w:highlight w:val="none"/>
        </w:rPr>
        <w:t xml:space="preserve"> </w:t>
      </w:r>
      <w:r>
        <w:rPr>
          <w:rFonts w:hint="eastAsia" w:ascii="宋体" w:hAnsi="宋体"/>
          <w:b/>
          <w:color w:val="auto"/>
          <w:sz w:val="52"/>
          <w:szCs w:val="52"/>
          <w:highlight w:val="none"/>
        </w:rPr>
        <w:t>谈</w:t>
      </w:r>
      <w:r>
        <w:rPr>
          <w:rFonts w:ascii="宋体" w:hAnsi="宋体"/>
          <w:b/>
          <w:color w:val="auto"/>
          <w:sz w:val="52"/>
          <w:szCs w:val="52"/>
          <w:highlight w:val="none"/>
        </w:rPr>
        <w:t xml:space="preserve"> </w:t>
      </w:r>
      <w:r>
        <w:rPr>
          <w:rFonts w:hint="eastAsia" w:ascii="宋体" w:hAnsi="宋体"/>
          <w:b/>
          <w:color w:val="auto"/>
          <w:sz w:val="52"/>
          <w:szCs w:val="52"/>
          <w:highlight w:val="none"/>
        </w:rPr>
        <w:t>判</w:t>
      </w:r>
      <w:r>
        <w:rPr>
          <w:rFonts w:ascii="宋体" w:hAnsi="宋体"/>
          <w:b/>
          <w:color w:val="auto"/>
          <w:sz w:val="52"/>
          <w:szCs w:val="52"/>
          <w:highlight w:val="none"/>
        </w:rPr>
        <w:t xml:space="preserve"> </w:t>
      </w:r>
      <w:r>
        <w:rPr>
          <w:rFonts w:hint="eastAsia" w:ascii="宋体" w:hAnsi="宋体"/>
          <w:b/>
          <w:color w:val="auto"/>
          <w:sz w:val="52"/>
          <w:szCs w:val="52"/>
          <w:highlight w:val="none"/>
        </w:rPr>
        <w:t>响</w:t>
      </w:r>
      <w:r>
        <w:rPr>
          <w:rFonts w:ascii="宋体" w:hAnsi="宋体"/>
          <w:b/>
          <w:color w:val="auto"/>
          <w:sz w:val="52"/>
          <w:szCs w:val="52"/>
          <w:highlight w:val="none"/>
        </w:rPr>
        <w:t xml:space="preserve"> </w:t>
      </w:r>
      <w:r>
        <w:rPr>
          <w:rFonts w:hint="eastAsia" w:ascii="宋体" w:hAnsi="宋体"/>
          <w:b/>
          <w:color w:val="auto"/>
          <w:sz w:val="52"/>
          <w:szCs w:val="52"/>
          <w:highlight w:val="none"/>
        </w:rPr>
        <w:t>应</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pPr>
        <w:spacing w:line="480" w:lineRule="auto"/>
        <w:jc w:val="center"/>
        <w:rPr>
          <w:rFonts w:ascii="宋体"/>
          <w:color w:val="auto"/>
          <w:szCs w:val="21"/>
          <w:highlight w:val="none"/>
        </w:rPr>
      </w:pPr>
    </w:p>
    <w:p>
      <w:pPr>
        <w:spacing w:line="480" w:lineRule="auto"/>
        <w:jc w:val="center"/>
        <w:rPr>
          <w:rFonts w:ascii="宋体"/>
          <w:b/>
          <w:color w:val="auto"/>
          <w:sz w:val="36"/>
          <w:szCs w:val="36"/>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ind w:left="898" w:leftChars="428"/>
        <w:rPr>
          <w:rFonts w:ascii="宋体"/>
          <w:color w:val="auto"/>
          <w:sz w:val="32"/>
          <w:szCs w:val="32"/>
          <w:highlight w:val="none"/>
          <w:u w:val="single"/>
        </w:rPr>
      </w:pPr>
      <w:r>
        <w:rPr>
          <w:rFonts w:hint="eastAsia" w:ascii="宋体" w:hAnsi="宋体"/>
          <w:color w:val="auto"/>
          <w:sz w:val="32"/>
          <w:szCs w:val="32"/>
          <w:highlight w:val="none"/>
        </w:rPr>
        <w:t>项目名称：</w:t>
      </w:r>
      <w:r>
        <w:rPr>
          <w:rFonts w:ascii="宋体" w:hAnsi="宋体"/>
          <w:color w:val="auto"/>
          <w:sz w:val="32"/>
          <w:szCs w:val="32"/>
          <w:highlight w:val="none"/>
          <w:u w:val="single"/>
        </w:rPr>
        <w:t xml:space="preserve">                                 </w:t>
      </w:r>
    </w:p>
    <w:p>
      <w:pPr>
        <w:spacing w:line="480" w:lineRule="auto"/>
        <w:ind w:left="898" w:leftChars="428"/>
        <w:rPr>
          <w:rFonts w:ascii="宋体"/>
          <w:color w:val="auto"/>
          <w:sz w:val="32"/>
          <w:szCs w:val="32"/>
          <w:highlight w:val="none"/>
        </w:rPr>
      </w:pPr>
      <w:r>
        <w:rPr>
          <w:rFonts w:hint="eastAsia" w:ascii="宋体" w:hAnsi="宋体"/>
          <w:color w:val="auto"/>
          <w:sz w:val="32"/>
          <w:szCs w:val="32"/>
          <w:highlight w:val="none"/>
        </w:rPr>
        <w:t>项目编号：</w:t>
      </w:r>
      <w:r>
        <w:rPr>
          <w:rFonts w:ascii="宋体" w:hAnsi="宋体"/>
          <w:color w:val="auto"/>
          <w:sz w:val="32"/>
          <w:szCs w:val="32"/>
          <w:highlight w:val="none"/>
          <w:u w:val="single"/>
        </w:rPr>
        <w:t xml:space="preserve">                                 </w:t>
      </w:r>
    </w:p>
    <w:p>
      <w:pPr>
        <w:spacing w:line="480" w:lineRule="auto"/>
        <w:ind w:left="898" w:leftChars="428"/>
        <w:rPr>
          <w:rFonts w:ascii="宋体"/>
          <w:color w:val="auto"/>
          <w:sz w:val="32"/>
          <w:szCs w:val="32"/>
          <w:highlight w:val="none"/>
        </w:rPr>
      </w:pPr>
      <w:r>
        <w:rPr>
          <w:rFonts w:hint="eastAsia" w:ascii="宋体" w:hAnsi="宋体"/>
          <w:color w:val="auto"/>
          <w:sz w:val="32"/>
          <w:szCs w:val="32"/>
          <w:highlight w:val="none"/>
        </w:rPr>
        <w:t>所竞分标号：</w:t>
      </w:r>
      <w:r>
        <w:rPr>
          <w:rFonts w:ascii="宋体" w:hAnsi="宋体"/>
          <w:color w:val="auto"/>
          <w:sz w:val="32"/>
          <w:szCs w:val="32"/>
          <w:highlight w:val="none"/>
          <w:u w:val="single"/>
        </w:rPr>
        <w:t xml:space="preserve">                               </w:t>
      </w:r>
    </w:p>
    <w:p>
      <w:pPr>
        <w:spacing w:line="480" w:lineRule="auto"/>
        <w:ind w:left="898" w:leftChars="428"/>
        <w:rPr>
          <w:rFonts w:ascii="宋体"/>
          <w:color w:val="auto"/>
          <w:sz w:val="32"/>
          <w:szCs w:val="32"/>
          <w:highlight w:val="none"/>
        </w:rPr>
      </w:pPr>
      <w:r>
        <w:rPr>
          <w:rFonts w:hint="eastAsia" w:ascii="宋体" w:hAnsi="宋体"/>
          <w:color w:val="auto"/>
          <w:sz w:val="32"/>
          <w:szCs w:val="32"/>
          <w:highlight w:val="none"/>
        </w:rPr>
        <w:t>谈判供应商名称：</w:t>
      </w:r>
      <w:r>
        <w:rPr>
          <w:rFonts w:ascii="宋体" w:hAnsi="宋体"/>
          <w:color w:val="auto"/>
          <w:sz w:val="32"/>
          <w:szCs w:val="32"/>
          <w:highlight w:val="none"/>
          <w:u w:val="single"/>
        </w:rPr>
        <w:t xml:space="preserve">                           </w:t>
      </w: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ind w:right="210"/>
        <w:jc w:val="center"/>
        <w:rPr>
          <w:rFonts w:ascii="宋体"/>
          <w:color w:val="auto"/>
          <w:sz w:val="32"/>
          <w:szCs w:val="32"/>
          <w:highlight w:val="none"/>
        </w:rPr>
      </w:pPr>
      <w:r>
        <w:rPr>
          <w:rFonts w:hint="eastAsia" w:ascii="宋体" w:hAnsi="宋体"/>
          <w:bCs/>
          <w:color w:val="auto"/>
          <w:sz w:val="32"/>
          <w:szCs w:val="32"/>
          <w:highlight w:val="none"/>
        </w:rPr>
        <w:t>（截标时才能开启）</w:t>
      </w:r>
    </w:p>
    <w:p>
      <w:pPr>
        <w:spacing w:line="240" w:lineRule="atLeast"/>
        <w:rPr>
          <w:rFonts w:ascii="宋体"/>
          <w:color w:val="auto"/>
          <w:sz w:val="28"/>
          <w:szCs w:val="28"/>
          <w:highlight w:val="none"/>
        </w:rPr>
      </w:pPr>
      <w:r>
        <w:rPr>
          <w:rFonts w:ascii="宋体"/>
          <w:color w:val="auto"/>
          <w:sz w:val="28"/>
          <w:szCs w:val="28"/>
          <w:highlight w:val="none"/>
        </w:rPr>
        <w:br w:type="page"/>
      </w:r>
      <w:r>
        <w:rPr>
          <w:rFonts w:hint="eastAsia" w:ascii="宋体" w:hAnsi="宋体"/>
          <w:b/>
          <w:color w:val="auto"/>
          <w:szCs w:val="21"/>
          <w:highlight w:val="none"/>
        </w:rPr>
        <w:t>二、竞争性谈判响应文件封面格式：</w:t>
      </w:r>
    </w:p>
    <w:p>
      <w:pPr>
        <w:spacing w:line="240" w:lineRule="atLeast"/>
        <w:jc w:val="right"/>
        <w:rPr>
          <w:rFonts w:ascii="宋体"/>
          <w:b/>
          <w:color w:val="auto"/>
          <w:sz w:val="32"/>
          <w:szCs w:val="32"/>
          <w:highlight w:val="none"/>
        </w:rPr>
      </w:pPr>
      <w:r>
        <w:rPr>
          <w:rFonts w:hint="eastAsia" w:ascii="宋体" w:hAnsi="宋体"/>
          <w:b/>
          <w:color w:val="auto"/>
          <w:sz w:val="32"/>
          <w:szCs w:val="32"/>
          <w:highlight w:val="none"/>
          <w:u w:val="single"/>
        </w:rPr>
        <w:t>正</w:t>
      </w:r>
      <w:r>
        <w:rPr>
          <w:rFonts w:ascii="宋体" w:hAnsi="宋体"/>
          <w:b/>
          <w:color w:val="auto"/>
          <w:sz w:val="32"/>
          <w:szCs w:val="32"/>
          <w:highlight w:val="none"/>
          <w:u w:val="single"/>
        </w:rPr>
        <w:t>/</w:t>
      </w:r>
      <w:r>
        <w:rPr>
          <w:rFonts w:hint="eastAsia" w:ascii="宋体" w:hAnsi="宋体"/>
          <w:b/>
          <w:color w:val="auto"/>
          <w:sz w:val="32"/>
          <w:szCs w:val="32"/>
          <w:highlight w:val="none"/>
          <w:u w:val="single"/>
        </w:rPr>
        <w:t>副</w:t>
      </w:r>
      <w:r>
        <w:rPr>
          <w:rFonts w:hint="eastAsia" w:ascii="宋体" w:hAnsi="宋体"/>
          <w:b/>
          <w:color w:val="auto"/>
          <w:sz w:val="32"/>
          <w:szCs w:val="32"/>
          <w:highlight w:val="none"/>
        </w:rPr>
        <w:t>本</w:t>
      </w: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52"/>
          <w:szCs w:val="52"/>
          <w:highlight w:val="none"/>
        </w:rPr>
      </w:pPr>
      <w:r>
        <w:rPr>
          <w:rFonts w:hint="eastAsia" w:ascii="宋体" w:hAnsi="宋体"/>
          <w:b/>
          <w:color w:val="auto"/>
          <w:sz w:val="52"/>
          <w:szCs w:val="52"/>
          <w:highlight w:val="none"/>
        </w:rPr>
        <w:t>竞</w:t>
      </w:r>
      <w:r>
        <w:rPr>
          <w:rFonts w:ascii="宋体" w:hAnsi="宋体"/>
          <w:b/>
          <w:color w:val="auto"/>
          <w:sz w:val="52"/>
          <w:szCs w:val="52"/>
          <w:highlight w:val="none"/>
        </w:rPr>
        <w:t xml:space="preserve"> </w:t>
      </w:r>
      <w:r>
        <w:rPr>
          <w:rFonts w:hint="eastAsia" w:ascii="宋体" w:hAnsi="宋体"/>
          <w:b/>
          <w:color w:val="auto"/>
          <w:sz w:val="52"/>
          <w:szCs w:val="52"/>
          <w:highlight w:val="none"/>
        </w:rPr>
        <w:t>争</w:t>
      </w:r>
      <w:r>
        <w:rPr>
          <w:rFonts w:ascii="宋体" w:hAnsi="宋体"/>
          <w:b/>
          <w:color w:val="auto"/>
          <w:sz w:val="52"/>
          <w:szCs w:val="52"/>
          <w:highlight w:val="none"/>
        </w:rPr>
        <w:t xml:space="preserve"> </w:t>
      </w:r>
      <w:r>
        <w:rPr>
          <w:rFonts w:hint="eastAsia" w:ascii="宋体" w:hAnsi="宋体"/>
          <w:b/>
          <w:color w:val="auto"/>
          <w:sz w:val="52"/>
          <w:szCs w:val="52"/>
          <w:highlight w:val="none"/>
        </w:rPr>
        <w:t>性</w:t>
      </w:r>
      <w:r>
        <w:rPr>
          <w:rFonts w:ascii="宋体" w:hAnsi="宋体"/>
          <w:b/>
          <w:color w:val="auto"/>
          <w:sz w:val="52"/>
          <w:szCs w:val="52"/>
          <w:highlight w:val="none"/>
        </w:rPr>
        <w:t xml:space="preserve"> </w:t>
      </w:r>
      <w:r>
        <w:rPr>
          <w:rFonts w:hint="eastAsia" w:ascii="宋体" w:hAnsi="宋体"/>
          <w:b/>
          <w:color w:val="auto"/>
          <w:sz w:val="52"/>
          <w:szCs w:val="52"/>
          <w:highlight w:val="none"/>
        </w:rPr>
        <w:t>谈</w:t>
      </w:r>
      <w:r>
        <w:rPr>
          <w:rFonts w:ascii="宋体" w:hAnsi="宋体"/>
          <w:b/>
          <w:color w:val="auto"/>
          <w:sz w:val="52"/>
          <w:szCs w:val="52"/>
          <w:highlight w:val="none"/>
        </w:rPr>
        <w:t xml:space="preserve"> </w:t>
      </w:r>
      <w:r>
        <w:rPr>
          <w:rFonts w:hint="eastAsia" w:ascii="宋体" w:hAnsi="宋体"/>
          <w:b/>
          <w:color w:val="auto"/>
          <w:sz w:val="52"/>
          <w:szCs w:val="52"/>
          <w:highlight w:val="none"/>
        </w:rPr>
        <w:t>判</w:t>
      </w:r>
      <w:r>
        <w:rPr>
          <w:rFonts w:ascii="宋体" w:hAnsi="宋体"/>
          <w:b/>
          <w:color w:val="auto"/>
          <w:sz w:val="52"/>
          <w:szCs w:val="52"/>
          <w:highlight w:val="none"/>
        </w:rPr>
        <w:t xml:space="preserve"> </w:t>
      </w:r>
      <w:r>
        <w:rPr>
          <w:rFonts w:hint="eastAsia" w:ascii="宋体" w:hAnsi="宋体"/>
          <w:b/>
          <w:color w:val="auto"/>
          <w:sz w:val="52"/>
          <w:szCs w:val="52"/>
          <w:highlight w:val="none"/>
        </w:rPr>
        <w:t>响</w:t>
      </w:r>
      <w:r>
        <w:rPr>
          <w:rFonts w:ascii="宋体" w:hAnsi="宋体"/>
          <w:b/>
          <w:color w:val="auto"/>
          <w:sz w:val="52"/>
          <w:szCs w:val="52"/>
          <w:highlight w:val="none"/>
        </w:rPr>
        <w:t xml:space="preserve"> </w:t>
      </w:r>
      <w:r>
        <w:rPr>
          <w:rFonts w:hint="eastAsia" w:ascii="宋体" w:hAnsi="宋体"/>
          <w:b/>
          <w:color w:val="auto"/>
          <w:sz w:val="52"/>
          <w:szCs w:val="52"/>
          <w:highlight w:val="none"/>
        </w:rPr>
        <w:t>应</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pPr>
        <w:spacing w:line="480" w:lineRule="auto"/>
        <w:jc w:val="center"/>
        <w:rPr>
          <w:rFonts w:ascii="宋体"/>
          <w:color w:val="auto"/>
          <w:szCs w:val="21"/>
          <w:highlight w:val="none"/>
        </w:rPr>
      </w:pPr>
    </w:p>
    <w:p>
      <w:pPr>
        <w:spacing w:line="480" w:lineRule="auto"/>
        <w:jc w:val="center"/>
        <w:rPr>
          <w:rFonts w:ascii="宋体"/>
          <w:b/>
          <w:color w:val="auto"/>
          <w:sz w:val="36"/>
          <w:szCs w:val="36"/>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ind w:left="898" w:leftChars="428" w:firstLine="640" w:firstLineChars="200"/>
        <w:rPr>
          <w:rFonts w:ascii="宋体"/>
          <w:color w:val="auto"/>
          <w:sz w:val="32"/>
          <w:szCs w:val="32"/>
          <w:highlight w:val="none"/>
          <w:u w:val="single"/>
        </w:rPr>
      </w:pPr>
      <w:r>
        <w:rPr>
          <w:rFonts w:hint="eastAsia" w:ascii="宋体" w:hAnsi="宋体"/>
          <w:color w:val="auto"/>
          <w:sz w:val="32"/>
          <w:szCs w:val="32"/>
          <w:highlight w:val="none"/>
        </w:rPr>
        <w:t>项目名称：</w:t>
      </w:r>
      <w:r>
        <w:rPr>
          <w:rFonts w:ascii="宋体" w:hAnsi="宋体"/>
          <w:color w:val="auto"/>
          <w:sz w:val="32"/>
          <w:szCs w:val="32"/>
          <w:highlight w:val="none"/>
          <w:u w:val="single"/>
        </w:rPr>
        <w:t xml:space="preserve">                           </w:t>
      </w:r>
    </w:p>
    <w:p>
      <w:pPr>
        <w:spacing w:line="480" w:lineRule="auto"/>
        <w:ind w:left="898" w:leftChars="428" w:firstLine="640" w:firstLineChars="200"/>
        <w:rPr>
          <w:rFonts w:ascii="宋体"/>
          <w:color w:val="auto"/>
          <w:sz w:val="32"/>
          <w:szCs w:val="32"/>
          <w:highlight w:val="none"/>
        </w:rPr>
      </w:pPr>
      <w:r>
        <w:rPr>
          <w:rFonts w:hint="eastAsia" w:ascii="宋体" w:hAnsi="宋体"/>
          <w:color w:val="auto"/>
          <w:sz w:val="32"/>
          <w:szCs w:val="32"/>
          <w:highlight w:val="none"/>
        </w:rPr>
        <w:t>项目编号：</w:t>
      </w:r>
      <w:r>
        <w:rPr>
          <w:rFonts w:ascii="宋体" w:hAnsi="宋体"/>
          <w:color w:val="auto"/>
          <w:sz w:val="32"/>
          <w:szCs w:val="32"/>
          <w:highlight w:val="none"/>
          <w:u w:val="single"/>
        </w:rPr>
        <w:t xml:space="preserve">                           </w:t>
      </w:r>
    </w:p>
    <w:p>
      <w:pPr>
        <w:spacing w:line="480" w:lineRule="auto"/>
        <w:ind w:left="898" w:leftChars="428" w:firstLine="640" w:firstLineChars="200"/>
        <w:rPr>
          <w:rFonts w:ascii="宋体"/>
          <w:color w:val="auto"/>
          <w:sz w:val="32"/>
          <w:szCs w:val="32"/>
          <w:highlight w:val="none"/>
        </w:rPr>
      </w:pPr>
      <w:r>
        <w:rPr>
          <w:rFonts w:hint="eastAsia" w:ascii="宋体" w:hAnsi="宋体"/>
          <w:color w:val="auto"/>
          <w:sz w:val="32"/>
          <w:szCs w:val="32"/>
          <w:highlight w:val="none"/>
        </w:rPr>
        <w:t>所竞分标号：</w:t>
      </w:r>
      <w:r>
        <w:rPr>
          <w:rFonts w:ascii="宋体" w:hAnsi="宋体"/>
          <w:color w:val="auto"/>
          <w:sz w:val="32"/>
          <w:szCs w:val="32"/>
          <w:highlight w:val="none"/>
          <w:u w:val="single"/>
        </w:rPr>
        <w:t xml:space="preserve">                         </w:t>
      </w: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r>
        <w:rPr>
          <w:rFonts w:hint="eastAsia" w:ascii="宋体" w:hAnsi="宋体"/>
          <w:color w:val="auto"/>
          <w:sz w:val="32"/>
          <w:szCs w:val="32"/>
          <w:highlight w:val="none"/>
        </w:rPr>
        <w:t>（谈判供应商名称）</w:t>
      </w:r>
    </w:p>
    <w:p>
      <w:pPr>
        <w:spacing w:line="480" w:lineRule="auto"/>
        <w:jc w:val="center"/>
        <w:rPr>
          <w:rFonts w:ascii="宋体"/>
          <w:color w:val="auto"/>
          <w:sz w:val="32"/>
          <w:szCs w:val="32"/>
          <w:highlight w:val="none"/>
        </w:rPr>
      </w:pPr>
      <w:r>
        <w:rPr>
          <w:rFonts w:hint="eastAsia" w:ascii="宋体" w:hAnsi="宋体"/>
          <w:color w:val="auto"/>
          <w:sz w:val="32"/>
          <w:szCs w:val="32"/>
          <w:highlight w:val="none"/>
        </w:rPr>
        <w:t>年</w:t>
      </w:r>
      <w:r>
        <w:rPr>
          <w:rFonts w:ascii="宋体" w:hAnsi="宋体"/>
          <w:color w:val="auto"/>
          <w:sz w:val="32"/>
          <w:szCs w:val="32"/>
          <w:highlight w:val="none"/>
        </w:rPr>
        <w:t xml:space="preserve">    </w:t>
      </w:r>
      <w:r>
        <w:rPr>
          <w:rFonts w:hint="eastAsia" w:ascii="宋体" w:hAnsi="宋体"/>
          <w:color w:val="auto"/>
          <w:sz w:val="32"/>
          <w:szCs w:val="32"/>
          <w:highlight w:val="none"/>
        </w:rPr>
        <w:t>月</w:t>
      </w:r>
      <w:r>
        <w:rPr>
          <w:rFonts w:ascii="宋体" w:hAnsi="宋体"/>
          <w:color w:val="auto"/>
          <w:sz w:val="32"/>
          <w:szCs w:val="32"/>
          <w:highlight w:val="none"/>
        </w:rPr>
        <w:t xml:space="preserve">    </w:t>
      </w:r>
      <w:r>
        <w:rPr>
          <w:rFonts w:hint="eastAsia" w:ascii="宋体" w:hAnsi="宋体"/>
          <w:color w:val="auto"/>
          <w:sz w:val="32"/>
          <w:szCs w:val="32"/>
          <w:highlight w:val="none"/>
        </w:rPr>
        <w:t>日</w:t>
      </w:r>
    </w:p>
    <w:p>
      <w:pPr>
        <w:widowControl/>
        <w:jc w:val="left"/>
        <w:rPr>
          <w:rFonts w:ascii="宋体"/>
          <w:b/>
          <w:color w:val="auto"/>
          <w:szCs w:val="21"/>
          <w:highlight w:val="none"/>
        </w:rPr>
      </w:pPr>
      <w:r>
        <w:rPr>
          <w:rFonts w:hAnsi="宋体"/>
          <w:b/>
          <w:color w:val="auto"/>
          <w:sz w:val="44"/>
          <w:szCs w:val="44"/>
          <w:highlight w:val="none"/>
        </w:rPr>
        <w:br w:type="page"/>
      </w:r>
      <w:r>
        <w:rPr>
          <w:rFonts w:hint="eastAsia" w:ascii="宋体" w:hAnsi="宋体"/>
          <w:b/>
          <w:color w:val="auto"/>
          <w:szCs w:val="21"/>
          <w:highlight w:val="none"/>
        </w:rPr>
        <w:t>附件一</w:t>
      </w:r>
      <w:r>
        <w:rPr>
          <w:rFonts w:ascii="宋体" w:hAnsi="宋体"/>
          <w:b/>
          <w:color w:val="auto"/>
          <w:szCs w:val="21"/>
          <w:highlight w:val="none"/>
        </w:rPr>
        <w:t xml:space="preserve"> </w:t>
      </w:r>
    </w:p>
    <w:p>
      <w:pPr>
        <w:spacing w:line="320" w:lineRule="exact"/>
        <w:rPr>
          <w:rFonts w:ascii="宋体"/>
          <w:color w:val="auto"/>
          <w:szCs w:val="21"/>
          <w:highlight w:val="none"/>
        </w:rPr>
      </w:pPr>
    </w:p>
    <w:p>
      <w:pPr>
        <w:spacing w:line="320" w:lineRule="exact"/>
        <w:jc w:val="center"/>
        <w:rPr>
          <w:rFonts w:ascii="宋体"/>
          <w:b/>
          <w:color w:val="auto"/>
          <w:sz w:val="32"/>
          <w:szCs w:val="32"/>
          <w:highlight w:val="none"/>
        </w:rPr>
      </w:pPr>
      <w:r>
        <w:rPr>
          <w:rFonts w:hint="eastAsia" w:ascii="宋体" w:hAnsi="宋体"/>
          <w:b/>
          <w:color w:val="auto"/>
          <w:sz w:val="32"/>
          <w:szCs w:val="32"/>
          <w:highlight w:val="none"/>
        </w:rPr>
        <w:t>谈</w:t>
      </w:r>
      <w:r>
        <w:rPr>
          <w:rFonts w:ascii="宋体" w:hAnsi="宋体"/>
          <w:b/>
          <w:color w:val="auto"/>
          <w:sz w:val="32"/>
          <w:szCs w:val="32"/>
          <w:highlight w:val="none"/>
        </w:rPr>
        <w:t xml:space="preserve">  </w:t>
      </w:r>
      <w:r>
        <w:rPr>
          <w:rFonts w:hint="eastAsia" w:ascii="宋体" w:hAnsi="宋体"/>
          <w:b/>
          <w:color w:val="auto"/>
          <w:sz w:val="32"/>
          <w:szCs w:val="32"/>
          <w:highlight w:val="none"/>
        </w:rPr>
        <w:t>判</w:t>
      </w:r>
      <w:r>
        <w:rPr>
          <w:rFonts w:ascii="宋体" w:hAnsi="宋体"/>
          <w:b/>
          <w:color w:val="auto"/>
          <w:sz w:val="32"/>
          <w:szCs w:val="32"/>
          <w:highlight w:val="none"/>
        </w:rPr>
        <w:t xml:space="preserve">  </w:t>
      </w:r>
      <w:r>
        <w:rPr>
          <w:rFonts w:hint="eastAsia" w:ascii="宋体" w:hAnsi="宋体"/>
          <w:b/>
          <w:color w:val="auto"/>
          <w:sz w:val="32"/>
          <w:szCs w:val="32"/>
          <w:highlight w:val="none"/>
        </w:rPr>
        <w:t>书</w:t>
      </w:r>
    </w:p>
    <w:p>
      <w:pPr>
        <w:spacing w:line="320" w:lineRule="exact"/>
        <w:jc w:val="center"/>
        <w:rPr>
          <w:rFonts w:ascii="宋体"/>
          <w:b/>
          <w:color w:val="auto"/>
          <w:sz w:val="32"/>
          <w:szCs w:val="32"/>
          <w:highlight w:val="none"/>
        </w:rPr>
      </w:pPr>
    </w:p>
    <w:p>
      <w:pPr>
        <w:pStyle w:val="13"/>
        <w:spacing w:line="400" w:lineRule="exact"/>
        <w:rPr>
          <w:rFonts w:hAnsi="宋体"/>
          <w:color w:val="auto"/>
          <w:sz w:val="21"/>
          <w:highlight w:val="none"/>
        </w:rPr>
      </w:pPr>
      <w:r>
        <w:rPr>
          <w:rFonts w:hint="eastAsia" w:hAnsi="宋体"/>
          <w:color w:val="auto"/>
          <w:sz w:val="21"/>
          <w:highlight w:val="none"/>
          <w:u w:val="single"/>
        </w:rPr>
        <w:t>广西万盯卯招标咨询有限公司</w:t>
      </w:r>
      <w:r>
        <w:rPr>
          <w:rFonts w:hint="eastAsia" w:hAnsi="宋体"/>
          <w:color w:val="auto"/>
          <w:sz w:val="21"/>
          <w:highlight w:val="none"/>
        </w:rPr>
        <w:t>：</w:t>
      </w:r>
    </w:p>
    <w:p>
      <w:pPr>
        <w:pStyle w:val="13"/>
        <w:spacing w:line="400" w:lineRule="exact"/>
        <w:ind w:firstLine="480"/>
        <w:rPr>
          <w:rFonts w:hAnsi="宋体"/>
          <w:color w:val="auto"/>
          <w:sz w:val="21"/>
          <w:highlight w:val="none"/>
        </w:rPr>
      </w:pPr>
      <w:r>
        <w:rPr>
          <w:rFonts w:hint="eastAsia" w:hAnsi="宋体"/>
          <w:color w:val="auto"/>
          <w:sz w:val="21"/>
          <w:highlight w:val="none"/>
        </w:rPr>
        <w:t>依据贵方</w:t>
      </w:r>
      <w:r>
        <w:rPr>
          <w:rFonts w:hint="eastAsia" w:hAnsi="宋体"/>
          <w:color w:val="auto"/>
          <w:sz w:val="21"/>
          <w:highlight w:val="none"/>
          <w:u w:val="single"/>
        </w:rPr>
        <w:t>（项目名称</w:t>
      </w:r>
      <w:r>
        <w:rPr>
          <w:rFonts w:hAnsi="宋体"/>
          <w:color w:val="auto"/>
          <w:sz w:val="21"/>
          <w:highlight w:val="none"/>
          <w:u w:val="single"/>
        </w:rPr>
        <w:t>/</w:t>
      </w:r>
      <w:r>
        <w:rPr>
          <w:rFonts w:hint="eastAsia" w:hAnsi="宋体"/>
          <w:color w:val="auto"/>
          <w:sz w:val="21"/>
          <w:highlight w:val="none"/>
          <w:u w:val="single"/>
        </w:rPr>
        <w:t>文件编号）</w:t>
      </w:r>
      <w:r>
        <w:rPr>
          <w:rFonts w:hint="eastAsia" w:hAnsi="宋体"/>
          <w:color w:val="auto"/>
          <w:sz w:val="21"/>
          <w:highlight w:val="none"/>
        </w:rPr>
        <w:t>项目政府采购的谈判邀请，我方</w:t>
      </w:r>
      <w:r>
        <w:rPr>
          <w:rFonts w:hint="eastAsia" w:hAnsi="宋体"/>
          <w:color w:val="auto"/>
          <w:sz w:val="21"/>
          <w:highlight w:val="none"/>
          <w:u w:val="single"/>
        </w:rPr>
        <w:t>（姓名和职务）</w:t>
      </w:r>
      <w:r>
        <w:rPr>
          <w:rFonts w:hint="eastAsia" w:hAnsi="宋体"/>
          <w:color w:val="auto"/>
          <w:sz w:val="21"/>
          <w:highlight w:val="none"/>
        </w:rPr>
        <w:t>经正式授权并代表供应商</w:t>
      </w:r>
      <w:r>
        <w:rPr>
          <w:rFonts w:hint="eastAsia" w:hAnsi="宋体"/>
          <w:color w:val="auto"/>
          <w:sz w:val="21"/>
          <w:highlight w:val="none"/>
          <w:u w:val="single"/>
        </w:rPr>
        <w:t>（供应商名称、地址）</w:t>
      </w:r>
      <w:r>
        <w:rPr>
          <w:rFonts w:hint="eastAsia" w:hAnsi="宋体"/>
          <w:color w:val="auto"/>
          <w:sz w:val="21"/>
          <w:highlight w:val="none"/>
        </w:rPr>
        <w:t>提交下述响应文件正本一份，副本份。</w:t>
      </w:r>
    </w:p>
    <w:p>
      <w:pPr>
        <w:pStyle w:val="13"/>
        <w:spacing w:line="400" w:lineRule="exact"/>
        <w:ind w:firstLine="480"/>
        <w:rPr>
          <w:rFonts w:hAnsi="宋体"/>
          <w:color w:val="auto"/>
          <w:sz w:val="21"/>
          <w:highlight w:val="none"/>
        </w:rPr>
      </w:pPr>
      <w:r>
        <w:rPr>
          <w:rFonts w:hAnsi="宋体"/>
          <w:color w:val="auto"/>
          <w:sz w:val="21"/>
          <w:highlight w:val="none"/>
        </w:rPr>
        <w:t xml:space="preserve">1. </w:t>
      </w:r>
      <w:r>
        <w:rPr>
          <w:rFonts w:hint="eastAsia" w:hAnsi="宋体"/>
          <w:color w:val="auto"/>
          <w:sz w:val="21"/>
          <w:highlight w:val="none"/>
        </w:rPr>
        <w:t>报价表；</w:t>
      </w:r>
    </w:p>
    <w:p>
      <w:pPr>
        <w:pStyle w:val="13"/>
        <w:spacing w:line="400" w:lineRule="exact"/>
        <w:ind w:firstLine="480"/>
        <w:rPr>
          <w:rFonts w:hAnsi="宋体"/>
          <w:color w:val="auto"/>
          <w:sz w:val="21"/>
          <w:highlight w:val="none"/>
        </w:rPr>
      </w:pPr>
      <w:r>
        <w:rPr>
          <w:rFonts w:hAnsi="宋体"/>
          <w:color w:val="auto"/>
          <w:sz w:val="21"/>
          <w:highlight w:val="none"/>
        </w:rPr>
        <w:t xml:space="preserve">2. </w:t>
      </w:r>
      <w:r>
        <w:rPr>
          <w:rFonts w:hint="eastAsia" w:hAnsi="宋体"/>
          <w:color w:val="auto"/>
          <w:sz w:val="21"/>
          <w:highlight w:val="none"/>
        </w:rPr>
        <w:t>分项报价表；</w:t>
      </w:r>
    </w:p>
    <w:p>
      <w:pPr>
        <w:pStyle w:val="13"/>
        <w:spacing w:line="400" w:lineRule="exact"/>
        <w:ind w:firstLine="480"/>
        <w:rPr>
          <w:rFonts w:hAnsi="宋体"/>
          <w:color w:val="auto"/>
          <w:sz w:val="21"/>
          <w:highlight w:val="none"/>
        </w:rPr>
      </w:pPr>
      <w:r>
        <w:rPr>
          <w:rFonts w:hAnsi="宋体"/>
          <w:color w:val="auto"/>
          <w:sz w:val="21"/>
          <w:highlight w:val="none"/>
        </w:rPr>
        <w:t xml:space="preserve">3. </w:t>
      </w:r>
      <w:r>
        <w:rPr>
          <w:rFonts w:hint="eastAsia" w:hAnsi="宋体"/>
          <w:color w:val="auto"/>
          <w:sz w:val="21"/>
          <w:highlight w:val="none"/>
        </w:rPr>
        <w:t>供货清单；</w:t>
      </w:r>
    </w:p>
    <w:p>
      <w:pPr>
        <w:pStyle w:val="13"/>
        <w:spacing w:line="400" w:lineRule="exact"/>
        <w:ind w:firstLine="480"/>
        <w:rPr>
          <w:rFonts w:hAnsi="宋体"/>
          <w:color w:val="auto"/>
          <w:sz w:val="21"/>
          <w:highlight w:val="none"/>
        </w:rPr>
      </w:pPr>
      <w:r>
        <w:rPr>
          <w:rFonts w:hAnsi="宋体"/>
          <w:color w:val="auto"/>
          <w:sz w:val="21"/>
          <w:highlight w:val="none"/>
        </w:rPr>
        <w:t xml:space="preserve">4. </w:t>
      </w:r>
      <w:r>
        <w:rPr>
          <w:rFonts w:hint="eastAsia" w:hAnsi="宋体"/>
          <w:color w:val="auto"/>
          <w:sz w:val="21"/>
          <w:highlight w:val="none"/>
        </w:rPr>
        <w:t>技术规格响应、偏离情况说明表；</w:t>
      </w:r>
    </w:p>
    <w:p>
      <w:pPr>
        <w:pStyle w:val="13"/>
        <w:spacing w:line="400" w:lineRule="exact"/>
        <w:ind w:firstLine="480"/>
        <w:rPr>
          <w:rFonts w:hAnsi="宋体"/>
          <w:color w:val="auto"/>
          <w:sz w:val="21"/>
          <w:highlight w:val="none"/>
        </w:rPr>
      </w:pPr>
      <w:r>
        <w:rPr>
          <w:rFonts w:hAnsi="宋体"/>
          <w:color w:val="auto"/>
          <w:sz w:val="21"/>
          <w:highlight w:val="none"/>
        </w:rPr>
        <w:t xml:space="preserve">5. </w:t>
      </w:r>
      <w:r>
        <w:rPr>
          <w:rFonts w:hint="eastAsia" w:hAnsi="宋体"/>
          <w:color w:val="auto"/>
          <w:sz w:val="21"/>
          <w:highlight w:val="none"/>
        </w:rPr>
        <w:t>按竞争性谈判文件谈判须知和技术规格要求提供的有关文件；</w:t>
      </w:r>
    </w:p>
    <w:p>
      <w:pPr>
        <w:pStyle w:val="13"/>
        <w:spacing w:line="400" w:lineRule="exact"/>
        <w:ind w:firstLine="480"/>
        <w:rPr>
          <w:rFonts w:hAnsi="宋体"/>
          <w:color w:val="auto"/>
          <w:sz w:val="21"/>
          <w:highlight w:val="none"/>
        </w:rPr>
      </w:pPr>
      <w:r>
        <w:rPr>
          <w:rFonts w:hAnsi="宋体"/>
          <w:color w:val="auto"/>
          <w:sz w:val="21"/>
          <w:highlight w:val="none"/>
        </w:rPr>
        <w:t xml:space="preserve">6. </w:t>
      </w:r>
      <w:r>
        <w:rPr>
          <w:rFonts w:hint="eastAsia" w:hAnsi="宋体"/>
          <w:color w:val="auto"/>
          <w:sz w:val="21"/>
          <w:highlight w:val="none"/>
        </w:rPr>
        <w:t>售后服务承诺；</w:t>
      </w:r>
    </w:p>
    <w:p>
      <w:pPr>
        <w:pStyle w:val="13"/>
        <w:spacing w:line="400" w:lineRule="exact"/>
        <w:ind w:firstLine="480"/>
        <w:rPr>
          <w:rFonts w:hAnsi="宋体"/>
          <w:color w:val="auto"/>
          <w:sz w:val="21"/>
          <w:highlight w:val="none"/>
        </w:rPr>
      </w:pPr>
      <w:r>
        <w:rPr>
          <w:rFonts w:hAnsi="宋体"/>
          <w:color w:val="auto"/>
          <w:sz w:val="21"/>
          <w:highlight w:val="none"/>
        </w:rPr>
        <w:t xml:space="preserve">7. </w:t>
      </w:r>
      <w:r>
        <w:rPr>
          <w:rFonts w:hint="eastAsia" w:hAnsi="宋体"/>
          <w:color w:val="auto"/>
          <w:sz w:val="21"/>
          <w:highlight w:val="none"/>
        </w:rPr>
        <w:t>资格证明文件；</w:t>
      </w:r>
    </w:p>
    <w:p>
      <w:pPr>
        <w:pStyle w:val="13"/>
        <w:spacing w:line="400" w:lineRule="exact"/>
        <w:ind w:firstLine="480"/>
        <w:rPr>
          <w:rFonts w:hAnsi="宋体"/>
          <w:color w:val="auto"/>
          <w:sz w:val="21"/>
          <w:highlight w:val="none"/>
        </w:rPr>
      </w:pPr>
      <w:r>
        <w:rPr>
          <w:rFonts w:hint="eastAsia" w:hAnsi="宋体"/>
          <w:color w:val="auto"/>
          <w:sz w:val="21"/>
          <w:highlight w:val="none"/>
        </w:rPr>
        <w:t>在此，授权代表宣布同意如下：</w:t>
      </w:r>
    </w:p>
    <w:p>
      <w:pPr>
        <w:pStyle w:val="13"/>
        <w:spacing w:line="400" w:lineRule="exact"/>
        <w:ind w:firstLine="480"/>
        <w:rPr>
          <w:rFonts w:hAnsi="宋体"/>
          <w:color w:val="auto"/>
          <w:sz w:val="21"/>
          <w:highlight w:val="none"/>
        </w:rPr>
      </w:pPr>
      <w:r>
        <w:rPr>
          <w:rFonts w:hAnsi="宋体"/>
          <w:color w:val="auto"/>
          <w:sz w:val="21"/>
          <w:highlight w:val="none"/>
        </w:rPr>
        <w:t xml:space="preserve">1. </w:t>
      </w:r>
      <w:r>
        <w:rPr>
          <w:rFonts w:hint="eastAsia" w:hAnsi="宋体"/>
          <w:color w:val="auto"/>
          <w:sz w:val="21"/>
          <w:highlight w:val="none"/>
        </w:rPr>
        <w:t>将按竞争性谈判文件的约定履行合同责任和义务；</w:t>
      </w:r>
    </w:p>
    <w:p>
      <w:pPr>
        <w:pStyle w:val="13"/>
        <w:spacing w:line="400" w:lineRule="exact"/>
        <w:ind w:left="840" w:hanging="360"/>
        <w:rPr>
          <w:rFonts w:hAnsi="宋体"/>
          <w:color w:val="auto"/>
          <w:sz w:val="21"/>
          <w:highlight w:val="none"/>
        </w:rPr>
      </w:pPr>
      <w:r>
        <w:rPr>
          <w:rFonts w:hAnsi="宋体"/>
          <w:color w:val="auto"/>
          <w:sz w:val="21"/>
          <w:highlight w:val="none"/>
        </w:rPr>
        <w:t xml:space="preserve">2. </w:t>
      </w:r>
      <w:r>
        <w:rPr>
          <w:rFonts w:hint="eastAsia" w:hAnsi="宋体"/>
          <w:color w:val="auto"/>
          <w:sz w:val="21"/>
          <w:highlight w:val="none"/>
        </w:rPr>
        <w:t>已详细审查全部竞争性谈判文件，包括</w:t>
      </w:r>
      <w:r>
        <w:rPr>
          <w:rFonts w:hint="eastAsia" w:hAnsi="宋体"/>
          <w:color w:val="auto"/>
          <w:sz w:val="21"/>
          <w:highlight w:val="none"/>
          <w:u w:val="single"/>
        </w:rPr>
        <w:t>（补遗文件）（如果有的话）</w:t>
      </w:r>
      <w:r>
        <w:rPr>
          <w:rFonts w:hint="eastAsia" w:hAnsi="宋体"/>
          <w:color w:val="auto"/>
          <w:sz w:val="21"/>
          <w:highlight w:val="none"/>
        </w:rPr>
        <w:t>；我们完全理解并同意放弃对这方面有不明及误解的权利；</w:t>
      </w:r>
    </w:p>
    <w:p>
      <w:pPr>
        <w:pStyle w:val="13"/>
        <w:spacing w:line="400" w:lineRule="exact"/>
        <w:ind w:left="840" w:hanging="360"/>
        <w:rPr>
          <w:rFonts w:hAnsi="宋体"/>
          <w:color w:val="auto"/>
          <w:sz w:val="21"/>
          <w:highlight w:val="none"/>
        </w:rPr>
      </w:pPr>
      <w:r>
        <w:rPr>
          <w:rFonts w:hAnsi="宋体"/>
          <w:color w:val="auto"/>
          <w:sz w:val="21"/>
          <w:highlight w:val="none"/>
        </w:rPr>
        <w:t xml:space="preserve">3. </w:t>
      </w:r>
      <w:r>
        <w:rPr>
          <w:rFonts w:hint="eastAsia" w:hAnsi="宋体"/>
          <w:color w:val="auto"/>
          <w:sz w:val="21"/>
          <w:highlight w:val="none"/>
        </w:rPr>
        <w:t>同意提供按照贵方可能要求的与其谈判有关的一切数据或资料；</w:t>
      </w:r>
    </w:p>
    <w:p>
      <w:pPr>
        <w:pStyle w:val="13"/>
        <w:spacing w:line="400" w:lineRule="exact"/>
        <w:ind w:left="840" w:hanging="360"/>
        <w:rPr>
          <w:rFonts w:hAnsi="宋体"/>
          <w:color w:val="auto"/>
          <w:sz w:val="21"/>
          <w:highlight w:val="none"/>
          <w:u w:val="single"/>
        </w:rPr>
      </w:pPr>
      <w:r>
        <w:rPr>
          <w:rFonts w:hAnsi="宋体"/>
          <w:color w:val="auto"/>
          <w:sz w:val="21"/>
          <w:highlight w:val="none"/>
        </w:rPr>
        <w:t xml:space="preserve">4. </w:t>
      </w:r>
      <w:r>
        <w:rPr>
          <w:rFonts w:hint="eastAsia" w:hAnsi="宋体"/>
          <w:color w:val="auto"/>
          <w:sz w:val="21"/>
          <w:highlight w:val="none"/>
        </w:rPr>
        <w:t>与本谈判有关的一切正式往来信函请寄：邮政编号：</w:t>
      </w:r>
    </w:p>
    <w:p>
      <w:pPr>
        <w:pStyle w:val="13"/>
        <w:spacing w:line="400" w:lineRule="exact"/>
        <w:ind w:firstLine="840"/>
        <w:rPr>
          <w:rFonts w:hAnsi="宋体"/>
          <w:color w:val="auto"/>
          <w:sz w:val="21"/>
          <w:highlight w:val="none"/>
        </w:rPr>
      </w:pPr>
      <w:r>
        <w:rPr>
          <w:rFonts w:hint="eastAsia" w:hAnsi="宋体"/>
          <w:color w:val="auto"/>
          <w:sz w:val="21"/>
          <w:highlight w:val="none"/>
        </w:rPr>
        <w:t>电话</w:t>
      </w:r>
      <w:r>
        <w:rPr>
          <w:rFonts w:hAnsi="宋体"/>
          <w:color w:val="auto"/>
          <w:sz w:val="21"/>
          <w:highlight w:val="none"/>
        </w:rPr>
        <w:t>/</w:t>
      </w:r>
      <w:r>
        <w:rPr>
          <w:rFonts w:hint="eastAsia" w:hAnsi="宋体"/>
          <w:color w:val="auto"/>
          <w:sz w:val="21"/>
          <w:highlight w:val="none"/>
        </w:rPr>
        <w:t>传真：</w:t>
      </w:r>
      <w:r>
        <w:rPr>
          <w:rFonts w:hAnsi="宋体"/>
          <w:color w:val="auto"/>
          <w:sz w:val="21"/>
          <w:highlight w:val="none"/>
        </w:rPr>
        <w:t xml:space="preserve"> </w:t>
      </w:r>
      <w:r>
        <w:rPr>
          <w:rFonts w:hint="eastAsia" w:hAnsi="宋体"/>
          <w:color w:val="auto"/>
          <w:sz w:val="21"/>
          <w:highlight w:val="none"/>
        </w:rPr>
        <w:t>电子函件：</w:t>
      </w:r>
    </w:p>
    <w:p>
      <w:pPr>
        <w:pStyle w:val="13"/>
        <w:spacing w:line="400" w:lineRule="exact"/>
        <w:ind w:firstLine="840"/>
        <w:rPr>
          <w:rFonts w:hAnsi="宋体"/>
          <w:color w:val="auto"/>
          <w:sz w:val="21"/>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pStyle w:val="13"/>
        <w:spacing w:line="400" w:lineRule="exact"/>
        <w:ind w:firstLine="840"/>
        <w:rPr>
          <w:rFonts w:hAnsi="宋体"/>
          <w:color w:val="auto"/>
          <w:sz w:val="21"/>
          <w:highlight w:val="none"/>
        </w:rPr>
      </w:pPr>
    </w:p>
    <w:p>
      <w:pPr>
        <w:pStyle w:val="13"/>
        <w:spacing w:line="400" w:lineRule="exact"/>
        <w:ind w:firstLine="840"/>
        <w:rPr>
          <w:rFonts w:hAnsi="宋体"/>
          <w:color w:val="auto"/>
          <w:sz w:val="21"/>
          <w:highlight w:val="none"/>
        </w:rPr>
      </w:pPr>
      <w:r>
        <w:rPr>
          <w:rFonts w:hint="eastAsia" w:hAnsi="宋体"/>
          <w:color w:val="auto"/>
          <w:sz w:val="21"/>
          <w:highlight w:val="none"/>
        </w:rPr>
        <w:t>开户银行：</w:t>
      </w:r>
      <w:r>
        <w:rPr>
          <w:rFonts w:hAnsi="宋体"/>
          <w:color w:val="auto"/>
          <w:sz w:val="21"/>
          <w:highlight w:val="none"/>
        </w:rPr>
        <w:t xml:space="preserve">  </w:t>
      </w:r>
      <w:r>
        <w:rPr>
          <w:rFonts w:hint="eastAsia" w:hAnsi="宋体"/>
          <w:color w:val="auto"/>
          <w:sz w:val="21"/>
          <w:highlight w:val="none"/>
        </w:rPr>
        <w:t>帐号</w:t>
      </w:r>
      <w:r>
        <w:rPr>
          <w:rFonts w:hAnsi="宋体"/>
          <w:color w:val="auto"/>
          <w:sz w:val="21"/>
          <w:highlight w:val="none"/>
        </w:rPr>
        <w:t>/</w:t>
      </w:r>
      <w:r>
        <w:rPr>
          <w:rFonts w:hint="eastAsia" w:hAnsi="宋体"/>
          <w:color w:val="auto"/>
          <w:sz w:val="21"/>
          <w:highlight w:val="none"/>
        </w:rPr>
        <w:t>行号：</w:t>
      </w:r>
    </w:p>
    <w:p>
      <w:pPr>
        <w:spacing w:line="40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20" w:lineRule="exact"/>
        <w:jc w:val="center"/>
        <w:rPr>
          <w:rFonts w:ascii="宋体"/>
          <w:color w:val="auto"/>
          <w:szCs w:val="21"/>
          <w:highlight w:val="none"/>
        </w:rPr>
      </w:pPr>
      <w:r>
        <w:rPr>
          <w:rFonts w:ascii="宋体"/>
          <w:color w:val="auto"/>
          <w:szCs w:val="21"/>
          <w:highlight w:val="none"/>
        </w:rPr>
        <w:br w:type="page"/>
      </w:r>
    </w:p>
    <w:p>
      <w:pPr>
        <w:spacing w:line="320" w:lineRule="exact"/>
        <w:jc w:val="center"/>
        <w:rPr>
          <w:rFonts w:ascii="宋体"/>
          <w:b/>
          <w:color w:val="auto"/>
          <w:sz w:val="32"/>
          <w:szCs w:val="32"/>
          <w:highlight w:val="none"/>
        </w:rPr>
      </w:pPr>
      <w:r>
        <w:rPr>
          <w:rFonts w:hint="eastAsia" w:ascii="宋体" w:hAnsi="宋体"/>
          <w:b/>
          <w:color w:val="auto"/>
          <w:sz w:val="32"/>
          <w:szCs w:val="32"/>
          <w:highlight w:val="none"/>
        </w:rPr>
        <w:t>竞标声明书</w:t>
      </w:r>
    </w:p>
    <w:p>
      <w:pPr>
        <w:spacing w:line="320" w:lineRule="exact"/>
        <w:jc w:val="center"/>
        <w:rPr>
          <w:rFonts w:ascii="宋体"/>
          <w:color w:val="auto"/>
          <w:sz w:val="24"/>
          <w:szCs w:val="20"/>
          <w:highlight w:val="none"/>
        </w:rPr>
      </w:pPr>
    </w:p>
    <w:p>
      <w:pPr>
        <w:snapToGrid w:val="0"/>
        <w:spacing w:beforeLines="50" w:after="50" w:line="32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广西万盯卯招标咨询有限公司</w:t>
      </w:r>
      <w:r>
        <w:rPr>
          <w:rFonts w:hint="eastAsia" w:ascii="宋体" w:hAnsi="宋体"/>
          <w:color w:val="auto"/>
          <w:szCs w:val="21"/>
          <w:highlight w:val="none"/>
        </w:rPr>
        <w:t>：</w:t>
      </w:r>
    </w:p>
    <w:p>
      <w:pPr>
        <w:snapToGrid w:val="0"/>
        <w:spacing w:beforeLines="50" w:after="50" w:line="320" w:lineRule="exact"/>
        <w:ind w:firstLine="630" w:firstLineChars="300"/>
        <w:rPr>
          <w:rFonts w:ascii="宋体"/>
          <w:color w:val="auto"/>
          <w:szCs w:val="21"/>
          <w:highlight w:val="none"/>
        </w:rPr>
      </w:pPr>
      <w:r>
        <w:rPr>
          <w:rFonts w:ascii="宋体" w:hAnsi="宋体"/>
          <w:color w:val="auto"/>
          <w:szCs w:val="21"/>
          <w:highlight w:val="none"/>
        </w:rPr>
        <w:t>_______</w:t>
      </w:r>
      <w:r>
        <w:rPr>
          <w:rFonts w:hint="eastAsia" w:ascii="宋体" w:hAnsi="宋体"/>
          <w:color w:val="auto"/>
          <w:szCs w:val="21"/>
          <w:highlight w:val="none"/>
        </w:rPr>
        <w:t>（供应商名称）系中华人民共和国合法企业，经营地址。</w:t>
      </w:r>
    </w:p>
    <w:p>
      <w:pPr>
        <w:snapToGrid w:val="0"/>
        <w:spacing w:beforeLines="50" w:line="320" w:lineRule="exact"/>
        <w:ind w:firstLine="420" w:firstLineChars="200"/>
        <w:rPr>
          <w:rFonts w:asci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rPr>
        <w:t>（供应商名称）的法定代表人，我方愿意参加贵方组织的</w:t>
      </w:r>
      <w:r>
        <w:rPr>
          <w:rFonts w:ascii="宋体" w:hAnsi="宋体"/>
          <w:color w:val="auto"/>
          <w:szCs w:val="21"/>
          <w:highlight w:val="none"/>
          <w:u w:val="single"/>
        </w:rPr>
        <w:t xml:space="preserve">        </w:t>
      </w:r>
      <w:r>
        <w:rPr>
          <w:rFonts w:hint="eastAsia" w:ascii="宋体" w:hAnsi="宋体"/>
          <w:color w:val="auto"/>
          <w:szCs w:val="21"/>
          <w:highlight w:val="none"/>
        </w:rPr>
        <w:t>项目的竞标，为便于贵方公正、择优地确定成交供应商及其竞标产品和服务，我方就本次竞标有关事项郑重声明如下：</w:t>
      </w:r>
    </w:p>
    <w:p>
      <w:pPr>
        <w:snapToGrid w:val="0"/>
        <w:spacing w:line="32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我方向贵方提交的所有响应文件、资料都是准确的和真实的。</w:t>
      </w:r>
    </w:p>
    <w:p>
      <w:pPr>
        <w:snapToGrid w:val="0"/>
        <w:spacing w:beforeLines="50" w:line="32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我方不是采购人的附属机构；在获知本项目采购信息后，与采购人聘请的为此项目提供咨询服务的公司及其附属机构没有任何联系。</w:t>
      </w:r>
    </w:p>
    <w:p>
      <w:pPr>
        <w:snapToGrid w:val="0"/>
        <w:spacing w:beforeLines="50" w:line="32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我方此次向贵方提供的产品名称为：；规格型号：；该型号产品我方有现货可供，并已于年月生产完工或向</w:t>
      </w:r>
      <w:r>
        <w:rPr>
          <w:rFonts w:hint="eastAsia" w:ascii="宋体" w:hAnsi="宋体"/>
          <w:color w:val="auto"/>
          <w:szCs w:val="21"/>
          <w:highlight w:val="none"/>
          <w:u w:val="single"/>
        </w:rPr>
        <w:t>　　</w:t>
      </w:r>
      <w:r>
        <w:rPr>
          <w:rFonts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需在中标后向订购］。</w:t>
      </w:r>
    </w:p>
    <w:p>
      <w:pPr>
        <w:snapToGrid w:val="0"/>
        <w:spacing w:beforeLines="50" w:line="32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我方诚意提请贵方关注：近期有关该型号产品的生产、供货、售后服务以及性能等方面的重大决策和事项有：</w:t>
      </w:r>
    </w:p>
    <w:p>
      <w:pPr>
        <w:snapToGrid w:val="0"/>
        <w:spacing w:beforeLines="50" w:line="320" w:lineRule="exact"/>
        <w:ind w:firstLine="420" w:firstLineChars="200"/>
        <w:rPr>
          <w:rFonts w:ascii="宋体"/>
          <w:color w:val="auto"/>
          <w:szCs w:val="21"/>
          <w:highlight w:val="none"/>
          <w:u w:val="single"/>
        </w:rPr>
      </w:pPr>
      <w:r>
        <w:rPr>
          <w:rFonts w:hint="eastAsia" w:ascii="宋体" w:hAnsi="宋体"/>
          <w:color w:val="auto"/>
          <w:szCs w:val="21"/>
          <w:highlight w:val="none"/>
          <w:u w:val="single"/>
        </w:rPr>
        <w:t>　　　　　　　　　　　　　　　　　　　　　　　　　　　</w:t>
      </w:r>
    </w:p>
    <w:p>
      <w:pPr>
        <w:snapToGrid w:val="0"/>
        <w:spacing w:beforeLines="50" w:line="320" w:lineRule="exact"/>
        <w:ind w:firstLine="420" w:firstLineChars="200"/>
        <w:rPr>
          <w:rFonts w:ascii="宋体"/>
          <w:color w:val="auto"/>
          <w:szCs w:val="21"/>
          <w:highlight w:val="none"/>
        </w:rPr>
      </w:pPr>
      <w:r>
        <w:rPr>
          <w:rFonts w:hint="eastAsia" w:ascii="宋体" w:hAnsi="宋体"/>
          <w:color w:val="auto"/>
          <w:szCs w:val="21"/>
          <w:highlight w:val="none"/>
          <w:u w:val="single"/>
        </w:rPr>
        <w:t>　　　　　　　　　　　　　　　　　　　　　　　　　　　</w:t>
      </w:r>
    </w:p>
    <w:p>
      <w:pPr>
        <w:pStyle w:val="11"/>
        <w:snapToGrid w:val="0"/>
        <w:spacing w:line="320" w:lineRule="exact"/>
        <w:ind w:firstLine="420" w:firstLineChars="200"/>
        <w:rPr>
          <w:rFonts w:ascii="宋体" w:eastAsia="宋体"/>
          <w:color w:val="auto"/>
          <w:sz w:val="21"/>
          <w:szCs w:val="21"/>
          <w:highlight w:val="none"/>
          <w:u w:val="single"/>
        </w:rPr>
      </w:pPr>
      <w:r>
        <w:rPr>
          <w:rFonts w:ascii="宋体" w:hAnsi="宋体" w:eastAsia="宋体"/>
          <w:color w:val="auto"/>
          <w:sz w:val="21"/>
          <w:szCs w:val="21"/>
          <w:highlight w:val="none"/>
        </w:rPr>
        <w:t xml:space="preserve">5. </w:t>
      </w:r>
      <w:r>
        <w:rPr>
          <w:rFonts w:hint="eastAsia" w:ascii="宋体" w:hAnsi="宋体" w:eastAsia="宋体"/>
          <w:color w:val="auto"/>
          <w:sz w:val="21"/>
          <w:szCs w:val="21"/>
          <w:highlight w:val="none"/>
        </w:rPr>
        <w:t>以上事项如有虚假或隐瞒，我方愿意承担一切后果，并不再寻求任何旨在减轻或免除法律责任的辩解。</w:t>
      </w:r>
    </w:p>
    <w:p>
      <w:pPr>
        <w:spacing w:line="320" w:lineRule="exact"/>
        <w:ind w:firstLine="420" w:firstLineChars="200"/>
        <w:rPr>
          <w:rFonts w:asci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rPr>
          <w:rFonts w:ascii="宋体"/>
          <w:color w:val="auto"/>
          <w:szCs w:val="21"/>
          <w:highlight w:val="none"/>
        </w:rPr>
      </w:pPr>
      <w:r>
        <w:rPr>
          <w:rFonts w:hint="eastAsia" w:ascii="宋体" w:hAnsi="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olor w:val="auto"/>
          <w:szCs w:val="21"/>
          <w:highlight w:val="none"/>
        </w:rPr>
        <w:t>未</w:t>
      </w:r>
      <w:r>
        <w:rPr>
          <w:rFonts w:hint="eastAsia" w:ascii="宋体" w:hAnsi="宋体" w:cs="宋体"/>
          <w:color w:val="auto"/>
          <w:kern w:val="0"/>
          <w:szCs w:val="21"/>
          <w:highlight w:val="none"/>
        </w:rPr>
        <w:t>涉及商业秘密；</w:t>
      </w:r>
    </w:p>
    <w:p>
      <w:pPr>
        <w:spacing w:line="320" w:lineRule="exact"/>
        <w:ind w:firstLine="420" w:firstLineChars="200"/>
        <w:rPr>
          <w:rFonts w:ascii="宋体"/>
          <w:color w:val="auto"/>
          <w:szCs w:val="21"/>
          <w:highlight w:val="none"/>
          <w:u w:val="single"/>
        </w:rPr>
      </w:pPr>
      <w:r>
        <w:rPr>
          <w:rFonts w:hint="eastAsia" w:ascii="宋体" w:hAnsi="宋体"/>
          <w:color w:val="auto"/>
          <w:szCs w:val="21"/>
          <w:highlight w:val="none"/>
        </w:rPr>
        <w:t>□我方本次响应文件</w:t>
      </w:r>
      <w:r>
        <w:rPr>
          <w:rFonts w:hint="eastAsia" w:ascii="宋体" w:hAnsi="宋体" w:cs="宋体"/>
          <w:color w:val="auto"/>
          <w:kern w:val="0"/>
          <w:szCs w:val="21"/>
          <w:highlight w:val="none"/>
        </w:rPr>
        <w:t>涉及商业秘密的内容有：；</w:t>
      </w:r>
    </w:p>
    <w:p>
      <w:pPr>
        <w:snapToGrid w:val="0"/>
        <w:spacing w:line="320" w:lineRule="exact"/>
        <w:ind w:firstLine="420" w:firstLineChars="200"/>
        <w:rPr>
          <w:rFonts w:asci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48"/>
        <w:snapToGrid w:val="0"/>
        <w:spacing w:beforeLines="50" w:line="320" w:lineRule="exact"/>
        <w:ind w:firstLine="200"/>
        <w:rPr>
          <w:rFonts w:ascii="宋体"/>
          <w:color w:val="auto"/>
          <w:sz w:val="21"/>
          <w:szCs w:val="21"/>
          <w:highlight w:val="none"/>
        </w:rPr>
      </w:pPr>
    </w:p>
    <w:p>
      <w:pPr>
        <w:snapToGrid w:val="0"/>
        <w:spacing w:beforeLines="50" w:line="320" w:lineRule="exact"/>
        <w:ind w:right="480" w:firstLine="4792" w:firstLineChars="2282"/>
        <w:rPr>
          <w:rFonts w:ascii="宋体"/>
          <w:color w:val="auto"/>
          <w:szCs w:val="21"/>
          <w:highlight w:val="none"/>
          <w:u w:val="single"/>
        </w:rPr>
      </w:pPr>
      <w:r>
        <w:rPr>
          <w:rFonts w:hint="eastAsia" w:ascii="宋体" w:hAnsi="宋体"/>
          <w:color w:val="auto"/>
          <w:szCs w:val="21"/>
          <w:highlight w:val="none"/>
        </w:rPr>
        <w:t>法定代表人签字：</w:t>
      </w:r>
    </w:p>
    <w:p>
      <w:pPr>
        <w:snapToGrid w:val="0"/>
        <w:spacing w:beforeLines="50" w:after="50" w:line="320" w:lineRule="exact"/>
        <w:ind w:right="480" w:firstLine="4830" w:firstLineChars="2300"/>
        <w:rPr>
          <w:rFonts w:ascii="宋体"/>
          <w:color w:val="auto"/>
          <w:szCs w:val="21"/>
          <w:highlight w:val="none"/>
        </w:rPr>
      </w:pPr>
      <w:r>
        <w:rPr>
          <w:rFonts w:hint="eastAsia" w:ascii="宋体" w:hAnsi="宋体"/>
          <w:color w:val="auto"/>
          <w:szCs w:val="21"/>
          <w:highlight w:val="none"/>
        </w:rPr>
        <w:t>供应商公章：</w:t>
      </w:r>
    </w:p>
    <w:p>
      <w:pPr>
        <w:snapToGrid w:val="0"/>
        <w:spacing w:beforeLines="50" w:after="50" w:line="320" w:lineRule="exact"/>
        <w:ind w:right="480" w:firstLine="210" w:firstLineChars="100"/>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360" w:lineRule="exact"/>
        <w:rPr>
          <w:rFonts w:ascii="宋体"/>
          <w:color w:val="auto"/>
          <w:szCs w:val="21"/>
          <w:highlight w:val="none"/>
        </w:rPr>
      </w:pPr>
    </w:p>
    <w:p>
      <w:pPr>
        <w:spacing w:line="360" w:lineRule="exact"/>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附件二</w:t>
      </w:r>
      <w:r>
        <w:rPr>
          <w:rFonts w:ascii="宋体" w:hAnsi="宋体"/>
          <w:b/>
          <w:color w:val="auto"/>
          <w:szCs w:val="21"/>
          <w:highlight w:val="none"/>
        </w:rPr>
        <w:t xml:space="preserve">             </w:t>
      </w:r>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报</w:t>
      </w:r>
      <w:r>
        <w:rPr>
          <w:rFonts w:ascii="宋体" w:hAnsi="宋体"/>
          <w:b/>
          <w:color w:val="auto"/>
          <w:sz w:val="32"/>
          <w:szCs w:val="32"/>
          <w:highlight w:val="none"/>
        </w:rPr>
        <w:t xml:space="preserve">  </w:t>
      </w:r>
      <w:r>
        <w:rPr>
          <w:rFonts w:hint="eastAsia" w:ascii="宋体" w:hAnsi="宋体"/>
          <w:b/>
          <w:color w:val="auto"/>
          <w:sz w:val="32"/>
          <w:szCs w:val="32"/>
          <w:highlight w:val="none"/>
        </w:rPr>
        <w:t>价</w:t>
      </w:r>
      <w:r>
        <w:rPr>
          <w:rFonts w:ascii="宋体" w:hAnsi="宋体"/>
          <w:b/>
          <w:color w:val="auto"/>
          <w:sz w:val="32"/>
          <w:szCs w:val="32"/>
          <w:highlight w:val="none"/>
        </w:rPr>
        <w:t xml:space="preserve">  </w:t>
      </w:r>
      <w:r>
        <w:rPr>
          <w:rFonts w:hint="eastAsia" w:ascii="宋体" w:hAnsi="宋体"/>
          <w:b/>
          <w:color w:val="auto"/>
          <w:sz w:val="32"/>
          <w:szCs w:val="32"/>
          <w:highlight w:val="none"/>
        </w:rPr>
        <w:t>表</w:t>
      </w:r>
    </w:p>
    <w:p>
      <w:pPr>
        <w:spacing w:line="300" w:lineRule="auto"/>
        <w:jc w:val="center"/>
        <w:rPr>
          <w:rFonts w:ascii="宋体"/>
          <w:b/>
          <w:color w:val="auto"/>
          <w:sz w:val="32"/>
          <w:szCs w:val="32"/>
          <w:highlight w:val="none"/>
        </w:rPr>
      </w:pPr>
    </w:p>
    <w:p>
      <w:pPr>
        <w:spacing w:line="300" w:lineRule="auto"/>
        <w:rPr>
          <w:rFonts w:ascii="宋体"/>
          <w:color w:val="auto"/>
          <w:szCs w:val="21"/>
          <w:highlight w:val="none"/>
          <w:u w:val="single"/>
        </w:rPr>
      </w:pPr>
      <w:r>
        <w:rPr>
          <w:rFonts w:hint="eastAsia" w:ascii="宋体" w:hAnsi="宋体"/>
          <w:color w:val="auto"/>
          <w:szCs w:val="21"/>
          <w:highlight w:val="none"/>
        </w:rPr>
        <w:t>采购项目编号</w:t>
      </w:r>
      <w:r>
        <w:rPr>
          <w:rFonts w:ascii="宋体" w:hAnsi="宋体"/>
          <w:color w:val="auto"/>
          <w:szCs w:val="21"/>
          <w:highlight w:val="none"/>
        </w:rPr>
        <w:t>:</w:t>
      </w:r>
    </w:p>
    <w:p>
      <w:pPr>
        <w:spacing w:line="300" w:lineRule="auto"/>
        <w:rPr>
          <w:rFonts w:ascii="宋体"/>
          <w:color w:val="auto"/>
          <w:szCs w:val="21"/>
          <w:highlight w:val="none"/>
        </w:rPr>
      </w:pPr>
      <w:r>
        <w:rPr>
          <w:rFonts w:hint="eastAsia" w:ascii="宋体" w:hAnsi="宋体"/>
          <w:color w:val="auto"/>
          <w:szCs w:val="21"/>
          <w:highlight w:val="none"/>
        </w:rPr>
        <w:t>采购项目名称</w:t>
      </w:r>
      <w:r>
        <w:rPr>
          <w:rFonts w:ascii="宋体" w:hAnsi="宋体"/>
          <w:color w:val="auto"/>
          <w:szCs w:val="21"/>
          <w:highlight w:val="none"/>
        </w:rPr>
        <w:t>:</w:t>
      </w:r>
    </w:p>
    <w:tbl>
      <w:tblPr>
        <w:tblStyle w:val="24"/>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64"/>
        <w:gridCol w:w="1060"/>
        <w:gridCol w:w="1607"/>
        <w:gridCol w:w="1910"/>
        <w:gridCol w:w="1056"/>
        <w:gridCol w:w="95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9"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序号</w:t>
            </w:r>
          </w:p>
        </w:tc>
        <w:tc>
          <w:tcPr>
            <w:tcW w:w="1364"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货物名称</w:t>
            </w:r>
          </w:p>
        </w:tc>
        <w:tc>
          <w:tcPr>
            <w:tcW w:w="1060"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数量①</w:t>
            </w:r>
          </w:p>
        </w:tc>
        <w:tc>
          <w:tcPr>
            <w:tcW w:w="1607"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品牌及规格型号、生产厂家及国别</w:t>
            </w:r>
          </w:p>
        </w:tc>
        <w:tc>
          <w:tcPr>
            <w:tcW w:w="1910"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技术参数及性能配置</w:t>
            </w:r>
          </w:p>
        </w:tc>
        <w:tc>
          <w:tcPr>
            <w:tcW w:w="1056"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质保期</w:t>
            </w:r>
          </w:p>
        </w:tc>
        <w:tc>
          <w:tcPr>
            <w:tcW w:w="957"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单价（元）</w:t>
            </w:r>
          </w:p>
          <w:p>
            <w:pPr>
              <w:spacing w:line="300" w:lineRule="auto"/>
              <w:jc w:val="center"/>
              <w:rPr>
                <w:rFonts w:ascii="宋体"/>
                <w:color w:val="auto"/>
                <w:szCs w:val="21"/>
                <w:highlight w:val="none"/>
              </w:rPr>
            </w:pPr>
            <w:r>
              <w:rPr>
                <w:rFonts w:hint="eastAsia" w:ascii="宋体" w:hAnsi="宋体"/>
                <w:color w:val="auto"/>
                <w:szCs w:val="21"/>
                <w:highlight w:val="none"/>
              </w:rPr>
              <w:t>②</w:t>
            </w:r>
          </w:p>
        </w:tc>
        <w:tc>
          <w:tcPr>
            <w:tcW w:w="1419" w:type="dxa"/>
            <w:vAlign w:val="center"/>
          </w:tcPr>
          <w:p>
            <w:pPr>
              <w:spacing w:line="300" w:lineRule="auto"/>
              <w:rPr>
                <w:rFonts w:ascii="宋体"/>
                <w:color w:val="auto"/>
                <w:szCs w:val="21"/>
                <w:highlight w:val="none"/>
              </w:rPr>
            </w:pPr>
            <w:r>
              <w:rPr>
                <w:rFonts w:hint="eastAsia" w:ascii="宋体" w:hAnsi="宋体"/>
                <w:color w:val="auto"/>
                <w:szCs w:val="21"/>
                <w:highlight w:val="none"/>
              </w:rPr>
              <w:t>单项合价（元）</w:t>
            </w:r>
          </w:p>
          <w:p>
            <w:pPr>
              <w:spacing w:line="300" w:lineRule="auto"/>
              <w:rPr>
                <w:rFonts w:ascii="宋体"/>
                <w:color w:val="auto"/>
                <w:szCs w:val="21"/>
                <w:highlight w:val="none"/>
              </w:rPr>
            </w:pPr>
            <w:r>
              <w:rPr>
                <w:rFonts w:hint="eastAsia" w:ascii="宋体" w:hAnsi="宋体"/>
                <w:color w:val="auto"/>
                <w:szCs w:val="21"/>
                <w:highlight w:val="none"/>
              </w:rPr>
              <w:t>③</w:t>
            </w:r>
            <w:r>
              <w:rPr>
                <w:rFonts w:ascii="宋体" w:hAnsi="宋体"/>
                <w:color w:val="auto"/>
                <w:szCs w:val="21"/>
                <w:highlight w:val="none"/>
              </w:rPr>
              <w:t>=</w:t>
            </w:r>
            <w:r>
              <w:rPr>
                <w:rFonts w:hint="eastAsia" w:ascii="宋体" w:hAnsi="宋体"/>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9" w:type="dxa"/>
            <w:vAlign w:val="center"/>
          </w:tcPr>
          <w:p>
            <w:pPr>
              <w:spacing w:line="300" w:lineRule="auto"/>
              <w:jc w:val="center"/>
              <w:rPr>
                <w:rFonts w:ascii="宋体"/>
                <w:color w:val="auto"/>
                <w:szCs w:val="21"/>
                <w:highlight w:val="none"/>
              </w:rPr>
            </w:pPr>
            <w:r>
              <w:rPr>
                <w:rFonts w:ascii="宋体" w:hAnsi="宋体"/>
                <w:color w:val="auto"/>
                <w:szCs w:val="21"/>
                <w:highlight w:val="none"/>
              </w:rPr>
              <w:t>1</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9" w:type="dxa"/>
            <w:vAlign w:val="center"/>
          </w:tcPr>
          <w:p>
            <w:pPr>
              <w:spacing w:line="300" w:lineRule="auto"/>
              <w:jc w:val="center"/>
              <w:rPr>
                <w:rFonts w:ascii="宋体"/>
                <w:color w:val="auto"/>
                <w:szCs w:val="21"/>
                <w:highlight w:val="none"/>
              </w:rPr>
            </w:pPr>
            <w:r>
              <w:rPr>
                <w:rFonts w:ascii="宋体" w:hAnsi="宋体"/>
                <w:color w:val="auto"/>
                <w:szCs w:val="21"/>
                <w:highlight w:val="none"/>
              </w:rPr>
              <w:t>2</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pPr>
              <w:spacing w:line="300" w:lineRule="auto"/>
              <w:jc w:val="center"/>
              <w:rPr>
                <w:rFonts w:ascii="宋体"/>
                <w:color w:val="auto"/>
                <w:szCs w:val="21"/>
                <w:highlight w:val="none"/>
              </w:rPr>
            </w:pPr>
            <w:r>
              <w:rPr>
                <w:rFonts w:ascii="宋体" w:hAnsi="宋体"/>
                <w:color w:val="auto"/>
                <w:szCs w:val="21"/>
                <w:highlight w:val="none"/>
              </w:rPr>
              <w:t>N</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92" w:type="dxa"/>
            <w:gridSpan w:val="8"/>
            <w:vAlign w:val="center"/>
          </w:tcPr>
          <w:p>
            <w:pPr>
              <w:spacing w:line="300" w:lineRule="auto"/>
              <w:rPr>
                <w:rFonts w:ascii="宋体"/>
                <w:color w:val="auto"/>
                <w:szCs w:val="21"/>
                <w:highlight w:val="none"/>
              </w:rPr>
            </w:pPr>
            <w:r>
              <w:rPr>
                <w:rFonts w:hint="eastAsia" w:ascii="宋体" w:hAnsi="宋体"/>
                <w:color w:val="auto"/>
                <w:szCs w:val="21"/>
                <w:highlight w:val="none"/>
              </w:rPr>
              <w:t>总报价（含其他优惠条件）：人民币</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92" w:type="dxa"/>
            <w:gridSpan w:val="8"/>
            <w:vAlign w:val="center"/>
          </w:tcPr>
          <w:p>
            <w:pPr>
              <w:spacing w:line="300" w:lineRule="auto"/>
              <w:rPr>
                <w:rFonts w:ascii="宋体"/>
                <w:color w:val="auto"/>
                <w:szCs w:val="21"/>
                <w:highlight w:val="none"/>
              </w:rPr>
            </w:pPr>
            <w:r>
              <w:rPr>
                <w:rFonts w:hint="eastAsia" w:ascii="宋体" w:hAnsi="宋体"/>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92" w:type="dxa"/>
            <w:gridSpan w:val="8"/>
            <w:vAlign w:val="center"/>
          </w:tcPr>
          <w:p>
            <w:pPr>
              <w:spacing w:line="300" w:lineRule="auto"/>
              <w:rPr>
                <w:rFonts w:ascii="宋体"/>
                <w:color w:val="auto"/>
                <w:szCs w:val="21"/>
                <w:highlight w:val="none"/>
              </w:rPr>
            </w:pPr>
            <w:r>
              <w:rPr>
                <w:rFonts w:hint="eastAsia" w:ascii="宋体" w:hAnsi="宋体"/>
                <w:color w:val="auto"/>
                <w:szCs w:val="21"/>
                <w:highlight w:val="none"/>
              </w:rPr>
              <w:t>交货地点：</w:t>
            </w:r>
          </w:p>
        </w:tc>
      </w:tr>
    </w:tbl>
    <w:p>
      <w:pPr>
        <w:spacing w:line="300" w:lineRule="auto"/>
        <w:rPr>
          <w:rFonts w:ascii="宋体"/>
          <w:color w:val="auto"/>
          <w:szCs w:val="21"/>
          <w:highlight w:val="none"/>
        </w:rPr>
      </w:pPr>
      <w:r>
        <w:rPr>
          <w:rFonts w:hint="eastAsia" w:ascii="宋体" w:hAnsi="宋体"/>
          <w:color w:val="auto"/>
          <w:szCs w:val="21"/>
          <w:highlight w:val="none"/>
        </w:rPr>
        <w:t>注：所有价格均用人民币表示，单位为元，精确到小数点后两位数。</w:t>
      </w:r>
    </w:p>
    <w:p>
      <w:pPr>
        <w:pStyle w:val="13"/>
        <w:spacing w:line="300" w:lineRule="auto"/>
        <w:rPr>
          <w:rFonts w:hAnsi="宋体"/>
          <w:color w:val="auto"/>
          <w:highlight w:val="none"/>
        </w:rPr>
      </w:pPr>
    </w:p>
    <w:p>
      <w:pPr>
        <w:pStyle w:val="13"/>
        <w:spacing w:line="300" w:lineRule="auto"/>
        <w:rPr>
          <w:rFonts w:hAnsi="宋体"/>
          <w:color w:val="auto"/>
          <w:sz w:val="21"/>
          <w:highlight w:val="none"/>
          <w:u w:val="single"/>
        </w:rPr>
      </w:pPr>
      <w:r>
        <w:rPr>
          <w:rFonts w:hint="eastAsia" w:hAnsi="宋体"/>
          <w:color w:val="auto"/>
          <w:sz w:val="21"/>
          <w:highlight w:val="none"/>
        </w:rPr>
        <w:t>法定代表人或被授权人（签字）</w:t>
      </w:r>
      <w:r>
        <w:rPr>
          <w:rFonts w:hAnsi="宋体"/>
          <w:color w:val="auto"/>
          <w:sz w:val="21"/>
          <w:highlight w:val="none"/>
        </w:rPr>
        <w:t>:</w:t>
      </w:r>
    </w:p>
    <w:p>
      <w:pPr>
        <w:pStyle w:val="13"/>
        <w:spacing w:line="300" w:lineRule="auto"/>
        <w:rPr>
          <w:rFonts w:hAnsi="宋体"/>
          <w:color w:val="auto"/>
          <w:sz w:val="21"/>
          <w:highlight w:val="none"/>
          <w:u w:val="single"/>
        </w:rPr>
      </w:pPr>
      <w:r>
        <w:rPr>
          <w:rFonts w:hint="eastAsia" w:hAnsi="宋体"/>
          <w:color w:val="auto"/>
          <w:sz w:val="21"/>
          <w:highlight w:val="none"/>
        </w:rPr>
        <w:t>供应商名称（签公章）：</w:t>
      </w:r>
    </w:p>
    <w:p>
      <w:pPr>
        <w:pStyle w:val="13"/>
        <w:spacing w:line="300" w:lineRule="auto"/>
        <w:rPr>
          <w:rFonts w:hAnsi="宋体"/>
          <w:color w:val="auto"/>
          <w:highlight w:val="none"/>
          <w:u w:val="single"/>
        </w:rPr>
      </w:pPr>
      <w:r>
        <w:rPr>
          <w:rFonts w:hint="eastAsia" w:hAnsi="宋体"/>
          <w:color w:val="auto"/>
          <w:sz w:val="21"/>
          <w:highlight w:val="none"/>
        </w:rPr>
        <w:t>报价时间：年月日</w:t>
      </w:r>
      <w:r>
        <w:rPr>
          <w:rFonts w:hAnsi="宋体"/>
          <w:color w:val="auto"/>
          <w:highlight w:val="none"/>
        </w:rPr>
        <w:t xml:space="preserve"> </w:t>
      </w: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附件三</w:t>
      </w:r>
      <w:r>
        <w:rPr>
          <w:rFonts w:ascii="宋体" w:hAnsi="宋体"/>
          <w:b/>
          <w:color w:val="auto"/>
          <w:szCs w:val="21"/>
          <w:highlight w:val="none"/>
        </w:rPr>
        <w:t xml:space="preserve"> </w:t>
      </w:r>
    </w:p>
    <w:p>
      <w:pPr>
        <w:adjustRightInd w:val="0"/>
        <w:snapToGrid w:val="0"/>
        <w:spacing w:line="300" w:lineRule="auto"/>
        <w:ind w:left="-88" w:leftChars="-42"/>
        <w:jc w:val="center"/>
        <w:rPr>
          <w:rFonts w:ascii="宋体"/>
          <w:b/>
          <w:color w:val="auto"/>
          <w:sz w:val="32"/>
          <w:szCs w:val="32"/>
          <w:highlight w:val="none"/>
        </w:rPr>
      </w:pPr>
      <w:r>
        <w:rPr>
          <w:rFonts w:hint="eastAsia" w:ascii="宋体" w:hAnsi="宋体"/>
          <w:b/>
          <w:color w:val="auto"/>
          <w:sz w:val="32"/>
          <w:szCs w:val="32"/>
          <w:highlight w:val="none"/>
        </w:rPr>
        <w:t>供</w:t>
      </w:r>
      <w:r>
        <w:rPr>
          <w:rFonts w:ascii="宋体" w:hAnsi="宋体"/>
          <w:b/>
          <w:color w:val="auto"/>
          <w:sz w:val="32"/>
          <w:szCs w:val="32"/>
          <w:highlight w:val="none"/>
        </w:rPr>
        <w:t xml:space="preserve">  </w:t>
      </w:r>
      <w:r>
        <w:rPr>
          <w:rFonts w:hint="eastAsia" w:ascii="宋体" w:hAnsi="宋体"/>
          <w:b/>
          <w:color w:val="auto"/>
          <w:sz w:val="32"/>
          <w:szCs w:val="32"/>
          <w:highlight w:val="none"/>
        </w:rPr>
        <w:t>货</w:t>
      </w:r>
      <w:r>
        <w:rPr>
          <w:rFonts w:ascii="宋体" w:hAnsi="宋体"/>
          <w:b/>
          <w:color w:val="auto"/>
          <w:sz w:val="32"/>
          <w:szCs w:val="32"/>
          <w:highlight w:val="none"/>
        </w:rPr>
        <w:t xml:space="preserve">  </w:t>
      </w:r>
      <w:r>
        <w:rPr>
          <w:rFonts w:hint="eastAsia" w:ascii="宋体" w:hAnsi="宋体"/>
          <w:b/>
          <w:color w:val="auto"/>
          <w:sz w:val="32"/>
          <w:szCs w:val="32"/>
          <w:highlight w:val="none"/>
        </w:rPr>
        <w:t>清</w:t>
      </w:r>
      <w:r>
        <w:rPr>
          <w:rFonts w:ascii="宋体" w:hAnsi="宋体"/>
          <w:b/>
          <w:color w:val="auto"/>
          <w:sz w:val="32"/>
          <w:szCs w:val="32"/>
          <w:highlight w:val="none"/>
        </w:rPr>
        <w:t xml:space="preserve">  </w:t>
      </w:r>
      <w:r>
        <w:rPr>
          <w:rFonts w:hint="eastAsia" w:ascii="宋体" w:hAnsi="宋体"/>
          <w:b/>
          <w:color w:val="auto"/>
          <w:sz w:val="32"/>
          <w:szCs w:val="32"/>
          <w:highlight w:val="none"/>
        </w:rPr>
        <w:t>单</w:t>
      </w:r>
    </w:p>
    <w:p>
      <w:pPr>
        <w:spacing w:line="300" w:lineRule="auto"/>
        <w:rPr>
          <w:rFonts w:ascii="宋体"/>
          <w:color w:val="auto"/>
          <w:szCs w:val="21"/>
          <w:highlight w:val="none"/>
        </w:rPr>
      </w:pPr>
    </w:p>
    <w:p>
      <w:pPr>
        <w:spacing w:line="300" w:lineRule="auto"/>
        <w:rPr>
          <w:rFonts w:ascii="宋体"/>
          <w:color w:val="auto"/>
          <w:szCs w:val="21"/>
          <w:highlight w:val="none"/>
        </w:rPr>
      </w:pPr>
      <w:r>
        <w:rPr>
          <w:rFonts w:hint="eastAsia" w:ascii="宋体" w:hAnsi="宋体"/>
          <w:color w:val="auto"/>
          <w:szCs w:val="21"/>
          <w:highlight w:val="none"/>
        </w:rPr>
        <w:t>采购项目编号</w:t>
      </w:r>
      <w:r>
        <w:rPr>
          <w:rFonts w:ascii="宋体" w:hAnsi="宋体"/>
          <w:color w:val="auto"/>
          <w:szCs w:val="21"/>
          <w:highlight w:val="none"/>
        </w:rPr>
        <w:t>:</w:t>
      </w:r>
    </w:p>
    <w:p>
      <w:pPr>
        <w:spacing w:line="300" w:lineRule="auto"/>
        <w:rPr>
          <w:rFonts w:ascii="宋体"/>
          <w:color w:val="auto"/>
          <w:szCs w:val="21"/>
          <w:highlight w:val="none"/>
        </w:rPr>
      </w:pPr>
      <w:r>
        <w:rPr>
          <w:rFonts w:hint="eastAsia" w:ascii="宋体" w:hAnsi="宋体"/>
          <w:color w:val="auto"/>
          <w:szCs w:val="21"/>
          <w:highlight w:val="none"/>
        </w:rPr>
        <w:t>采购项目名称</w:t>
      </w:r>
      <w:r>
        <w:rPr>
          <w:rFonts w:ascii="宋体" w:hAnsi="宋体"/>
          <w:color w:val="auto"/>
          <w:szCs w:val="21"/>
          <w:highlight w:val="none"/>
        </w:rPr>
        <w:t>:</w:t>
      </w:r>
    </w:p>
    <w:p>
      <w:pPr>
        <w:spacing w:line="300" w:lineRule="auto"/>
        <w:rPr>
          <w:rFonts w:ascii="宋体"/>
          <w:color w:val="auto"/>
          <w:szCs w:val="21"/>
          <w:highlight w:val="none"/>
          <w:u w:val="single"/>
        </w:rPr>
      </w:pPr>
      <w:r>
        <w:rPr>
          <w:rFonts w:hint="eastAsia" w:ascii="宋体" w:hAnsi="宋体"/>
          <w:color w:val="auto"/>
          <w:szCs w:val="21"/>
          <w:highlight w:val="none"/>
        </w:rPr>
        <w:t>分标号：</w:t>
      </w:r>
      <w:r>
        <w:rPr>
          <w:rFonts w:hint="eastAsia" w:ascii="宋体" w:hAnsi="宋体"/>
          <w:color w:val="auto"/>
          <w:szCs w:val="21"/>
          <w:highlight w:val="none"/>
          <w:u w:val="single"/>
        </w:rPr>
        <w:t>（如有）</w:t>
      </w:r>
    </w:p>
    <w:tbl>
      <w:tblPr>
        <w:tblStyle w:val="24"/>
        <w:tblW w:w="98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8"/>
        <w:gridCol w:w="2539"/>
        <w:gridCol w:w="3953"/>
        <w:gridCol w:w="2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498" w:type="dxa"/>
            <w:tcBorders>
              <w:top w:val="single" w:color="auto" w:sz="4" w:space="0"/>
            </w:tcBorders>
            <w:vAlign w:val="center"/>
          </w:tcPr>
          <w:p>
            <w:pPr>
              <w:adjustRightInd w:val="0"/>
              <w:snapToGrid w:val="0"/>
              <w:spacing w:line="300" w:lineRule="auto"/>
              <w:ind w:left="-88" w:leftChars="-42"/>
              <w:jc w:val="center"/>
              <w:rPr>
                <w:rFonts w:ascii="宋体"/>
                <w:color w:val="auto"/>
                <w:szCs w:val="21"/>
                <w:highlight w:val="none"/>
              </w:rPr>
            </w:pPr>
            <w:r>
              <w:rPr>
                <w:rFonts w:hint="eastAsia" w:ascii="宋体" w:hAnsi="宋体"/>
                <w:color w:val="auto"/>
                <w:szCs w:val="21"/>
                <w:highlight w:val="none"/>
              </w:rPr>
              <w:t>序号</w:t>
            </w:r>
          </w:p>
        </w:tc>
        <w:tc>
          <w:tcPr>
            <w:tcW w:w="2539" w:type="dxa"/>
            <w:tcBorders>
              <w:top w:val="single" w:color="auto" w:sz="4" w:space="0"/>
            </w:tcBorders>
            <w:vAlign w:val="center"/>
          </w:tcPr>
          <w:p>
            <w:pPr>
              <w:adjustRightInd w:val="0"/>
              <w:snapToGrid w:val="0"/>
              <w:spacing w:line="300" w:lineRule="auto"/>
              <w:ind w:left="-88" w:leftChars="-42"/>
              <w:jc w:val="center"/>
              <w:rPr>
                <w:rFonts w:ascii="宋体"/>
                <w:color w:val="auto"/>
                <w:szCs w:val="21"/>
                <w:highlight w:val="none"/>
              </w:rPr>
            </w:pPr>
            <w:r>
              <w:rPr>
                <w:rFonts w:hint="eastAsia" w:ascii="宋体" w:hAnsi="宋体"/>
                <w:color w:val="auto"/>
                <w:szCs w:val="21"/>
                <w:highlight w:val="none"/>
              </w:rPr>
              <w:t>货物名称</w:t>
            </w:r>
          </w:p>
        </w:tc>
        <w:tc>
          <w:tcPr>
            <w:tcW w:w="3953" w:type="dxa"/>
            <w:tcBorders>
              <w:top w:val="single" w:color="auto" w:sz="4" w:space="0"/>
            </w:tcBorders>
            <w:vAlign w:val="center"/>
          </w:tcPr>
          <w:p>
            <w:pPr>
              <w:adjustRightInd w:val="0"/>
              <w:snapToGrid w:val="0"/>
              <w:spacing w:line="300" w:lineRule="auto"/>
              <w:jc w:val="center"/>
              <w:rPr>
                <w:rFonts w:ascii="宋体"/>
                <w:color w:val="auto"/>
                <w:szCs w:val="21"/>
                <w:highlight w:val="none"/>
              </w:rPr>
            </w:pPr>
            <w:r>
              <w:rPr>
                <w:rFonts w:hint="eastAsia" w:ascii="宋体" w:hAnsi="宋体"/>
                <w:color w:val="auto"/>
                <w:szCs w:val="21"/>
                <w:highlight w:val="none"/>
              </w:rPr>
              <w:t>品牌及规格型号</w:t>
            </w:r>
          </w:p>
        </w:tc>
        <w:tc>
          <w:tcPr>
            <w:tcW w:w="2858" w:type="dxa"/>
            <w:tcBorders>
              <w:top w:val="single" w:color="auto" w:sz="4" w:space="0"/>
            </w:tcBorders>
            <w:vAlign w:val="center"/>
          </w:tcPr>
          <w:p>
            <w:pPr>
              <w:adjustRightInd w:val="0"/>
              <w:snapToGrid w:val="0"/>
              <w:spacing w:line="300" w:lineRule="auto"/>
              <w:jc w:val="center"/>
              <w:rPr>
                <w:rFonts w:ascii="宋体"/>
                <w:color w:val="auto"/>
                <w:szCs w:val="21"/>
                <w:highlight w:val="none"/>
              </w:rPr>
            </w:pPr>
            <w:r>
              <w:rPr>
                <w:rFonts w:hint="eastAsia" w:ascii="宋体" w:hAnsi="宋体"/>
                <w:color w:val="auto"/>
                <w:szCs w:val="21"/>
                <w:highlight w:val="none"/>
              </w:rPr>
              <w:t>数</w:t>
            </w:r>
            <w:r>
              <w:rPr>
                <w:rFonts w:ascii="宋体" w:hAnsi="宋体"/>
                <w:color w:val="auto"/>
                <w:szCs w:val="21"/>
                <w:highlight w:val="none"/>
              </w:rPr>
              <w:t xml:space="preserve">  </w:t>
            </w:r>
            <w:r>
              <w:rPr>
                <w:rFonts w:hint="eastAsia" w:ascii="宋体" w:hAnsi="宋体"/>
                <w:color w:val="auto"/>
                <w:szCs w:val="21"/>
                <w:highlight w:val="none"/>
              </w:rPr>
              <w:t>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1</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2</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3</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4</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5</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tcBorders>
              <w:bottom w:val="single" w:color="auto" w:sz="4" w:space="0"/>
            </w:tcBorders>
            <w:vAlign w:val="center"/>
          </w:tcPr>
          <w:p>
            <w:pPr>
              <w:adjustRightInd w:val="0"/>
              <w:snapToGrid w:val="0"/>
              <w:spacing w:line="300" w:lineRule="auto"/>
              <w:ind w:left="-88" w:leftChars="-42"/>
              <w:jc w:val="center"/>
              <w:rPr>
                <w:rFonts w:ascii="宋体"/>
                <w:color w:val="auto"/>
                <w:szCs w:val="21"/>
                <w:highlight w:val="none"/>
              </w:rPr>
            </w:pPr>
            <w:r>
              <w:rPr>
                <w:rFonts w:hint="eastAsia" w:ascii="宋体" w:hAnsi="宋体"/>
                <w:color w:val="auto"/>
                <w:szCs w:val="21"/>
                <w:highlight w:val="none"/>
              </w:rPr>
              <w:t>…</w:t>
            </w:r>
          </w:p>
        </w:tc>
        <w:tc>
          <w:tcPr>
            <w:tcW w:w="2539" w:type="dxa"/>
            <w:tcBorders>
              <w:bottom w:val="single" w:color="auto" w:sz="4" w:space="0"/>
            </w:tcBorders>
            <w:vAlign w:val="center"/>
          </w:tcPr>
          <w:p>
            <w:pPr>
              <w:adjustRightInd w:val="0"/>
              <w:snapToGrid w:val="0"/>
              <w:spacing w:line="300" w:lineRule="auto"/>
              <w:ind w:left="-88" w:leftChars="-42"/>
              <w:jc w:val="center"/>
              <w:rPr>
                <w:rFonts w:ascii="宋体"/>
                <w:color w:val="auto"/>
                <w:szCs w:val="21"/>
                <w:highlight w:val="none"/>
              </w:rPr>
            </w:pPr>
          </w:p>
        </w:tc>
        <w:tc>
          <w:tcPr>
            <w:tcW w:w="3953" w:type="dxa"/>
            <w:tcBorders>
              <w:bottom w:val="single" w:color="auto" w:sz="4" w:space="0"/>
            </w:tcBorders>
            <w:vAlign w:val="center"/>
          </w:tcPr>
          <w:p>
            <w:pPr>
              <w:adjustRightInd w:val="0"/>
              <w:snapToGrid w:val="0"/>
              <w:spacing w:line="300" w:lineRule="auto"/>
              <w:jc w:val="center"/>
              <w:rPr>
                <w:rFonts w:ascii="宋体"/>
                <w:color w:val="auto"/>
                <w:szCs w:val="21"/>
                <w:highlight w:val="none"/>
              </w:rPr>
            </w:pPr>
          </w:p>
        </w:tc>
        <w:tc>
          <w:tcPr>
            <w:tcW w:w="2858" w:type="dxa"/>
            <w:tcBorders>
              <w:bottom w:val="single" w:color="auto" w:sz="4" w:space="0"/>
            </w:tcBorders>
            <w:vAlign w:val="center"/>
          </w:tcPr>
          <w:p>
            <w:pPr>
              <w:adjustRightInd w:val="0"/>
              <w:snapToGrid w:val="0"/>
              <w:spacing w:line="300" w:lineRule="auto"/>
              <w:jc w:val="center"/>
              <w:rPr>
                <w:rFonts w:ascii="宋体"/>
                <w:color w:val="auto"/>
                <w:szCs w:val="21"/>
                <w:highlight w:val="none"/>
              </w:rPr>
            </w:pPr>
          </w:p>
        </w:tc>
      </w:tr>
    </w:tbl>
    <w:p>
      <w:pPr>
        <w:tabs>
          <w:tab w:val="left" w:pos="1065"/>
        </w:tabs>
        <w:adjustRightInd w:val="0"/>
        <w:snapToGrid w:val="0"/>
        <w:spacing w:line="300" w:lineRule="auto"/>
        <w:rPr>
          <w:rFonts w:ascii="宋体"/>
          <w:color w:val="auto"/>
          <w:szCs w:val="21"/>
          <w:highlight w:val="none"/>
        </w:rPr>
      </w:pPr>
      <w:r>
        <w:rPr>
          <w:rFonts w:ascii="宋体"/>
          <w:color w:val="auto"/>
          <w:szCs w:val="21"/>
          <w:highlight w:val="none"/>
        </w:rPr>
        <w:tab/>
      </w:r>
    </w:p>
    <w:p>
      <w:pPr>
        <w:adjustRightInd w:val="0"/>
        <w:snapToGrid w:val="0"/>
        <w:spacing w:line="300" w:lineRule="auto"/>
        <w:ind w:left="993" w:hanging="993"/>
        <w:rPr>
          <w:rFonts w:ascii="宋体"/>
          <w:color w:val="auto"/>
          <w:szCs w:val="21"/>
          <w:highlight w:val="none"/>
        </w:rPr>
      </w:pPr>
      <w:r>
        <w:rPr>
          <w:rFonts w:hint="eastAsia" w:ascii="宋体" w:hAnsi="宋体"/>
          <w:color w:val="auto"/>
          <w:szCs w:val="21"/>
          <w:highlight w:val="none"/>
        </w:rPr>
        <w:t>说明：</w:t>
      </w:r>
      <w:r>
        <w:rPr>
          <w:rFonts w:ascii="宋体" w:hAnsi="宋体"/>
          <w:color w:val="auto"/>
          <w:szCs w:val="21"/>
          <w:highlight w:val="none"/>
        </w:rPr>
        <w:t>1</w:t>
      </w:r>
      <w:r>
        <w:rPr>
          <w:rFonts w:hint="eastAsia" w:ascii="宋体" w:hAnsi="宋体"/>
          <w:color w:val="auto"/>
          <w:szCs w:val="21"/>
          <w:highlight w:val="none"/>
        </w:rPr>
        <w:t>、提供所投设备详细的供货范围，包括主机、主要配件及生产厂家、软件系统、备品备件等。</w:t>
      </w:r>
    </w:p>
    <w:p>
      <w:pPr>
        <w:spacing w:line="300" w:lineRule="auto"/>
        <w:ind w:firstLine="630" w:firstLineChars="3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、各项货物详细技术性能应另页描述。</w:t>
      </w:r>
    </w:p>
    <w:p>
      <w:pPr>
        <w:adjustRightInd w:val="0"/>
        <w:snapToGrid w:val="0"/>
        <w:spacing w:line="300" w:lineRule="auto"/>
        <w:rPr>
          <w:rFonts w:ascii="宋体"/>
          <w:color w:val="auto"/>
          <w:szCs w:val="21"/>
          <w:highlight w:val="none"/>
        </w:rPr>
      </w:pPr>
    </w:p>
    <w:p>
      <w:pPr>
        <w:adjustRightInd w:val="0"/>
        <w:snapToGrid w:val="0"/>
        <w:spacing w:line="300" w:lineRule="auto"/>
        <w:rPr>
          <w:rFonts w:ascii="宋体"/>
          <w:color w:val="auto"/>
          <w:szCs w:val="21"/>
          <w:highlight w:val="none"/>
        </w:rPr>
      </w:pPr>
    </w:p>
    <w:p>
      <w:pPr>
        <w:adjustRightInd w:val="0"/>
        <w:snapToGrid w:val="0"/>
        <w:spacing w:line="300" w:lineRule="auto"/>
        <w:ind w:firstLine="1470" w:firstLineChars="700"/>
        <w:rPr>
          <w:rFonts w:ascii="宋体"/>
          <w:color w:val="auto"/>
          <w:szCs w:val="21"/>
          <w:highlight w:val="none"/>
          <w:u w:val="single"/>
        </w:rPr>
      </w:pPr>
      <w:r>
        <w:rPr>
          <w:rFonts w:hint="eastAsia" w:ascii="宋体" w:hAnsi="宋体"/>
          <w:color w:val="auto"/>
          <w:szCs w:val="21"/>
          <w:highlight w:val="none"/>
        </w:rPr>
        <w:t>法定代表人或被授权人签字：</w:t>
      </w:r>
    </w:p>
    <w:p>
      <w:pPr>
        <w:pStyle w:val="13"/>
        <w:spacing w:line="300" w:lineRule="auto"/>
        <w:ind w:firstLine="4935" w:firstLineChars="2350"/>
        <w:rPr>
          <w:rFonts w:hAnsi="宋体"/>
          <w:color w:val="auto"/>
          <w:sz w:val="21"/>
          <w:highlight w:val="none"/>
          <w:u w:val="single"/>
        </w:rPr>
      </w:pPr>
      <w:r>
        <w:rPr>
          <w:rFonts w:hint="eastAsia" w:hAnsi="宋体"/>
          <w:color w:val="auto"/>
          <w:sz w:val="21"/>
          <w:highlight w:val="none"/>
        </w:rPr>
        <w:t>年月日</w:t>
      </w: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spacing w:line="300" w:lineRule="auto"/>
        <w:rPr>
          <w:rFonts w:ascii="宋体"/>
          <w:b/>
          <w:color w:val="auto"/>
          <w:szCs w:val="21"/>
          <w:highlight w:val="none"/>
        </w:rPr>
      </w:pPr>
    </w:p>
    <w:p>
      <w:pPr>
        <w:spacing w:line="300" w:lineRule="auto"/>
        <w:rPr>
          <w:rFonts w:ascii="宋体"/>
          <w:b/>
          <w:color w:val="auto"/>
          <w:szCs w:val="21"/>
          <w:highlight w:val="none"/>
        </w:rPr>
      </w:pPr>
    </w:p>
    <w:p>
      <w:pPr>
        <w:spacing w:line="300" w:lineRule="auto"/>
        <w:rPr>
          <w:rFonts w:ascii="宋体"/>
          <w:b/>
          <w:color w:val="auto"/>
          <w:szCs w:val="21"/>
          <w:highlight w:val="none"/>
        </w:rPr>
      </w:pPr>
    </w:p>
    <w:p>
      <w:pPr>
        <w:spacing w:line="300" w:lineRule="auto"/>
        <w:rPr>
          <w:rFonts w:ascii="宋体"/>
          <w:b/>
          <w:color w:val="auto"/>
          <w:szCs w:val="21"/>
          <w:highlight w:val="none"/>
        </w:rPr>
      </w:pPr>
      <w:r>
        <w:rPr>
          <w:rFonts w:hint="eastAsia" w:ascii="宋体" w:hAnsi="宋体"/>
          <w:b/>
          <w:color w:val="auto"/>
          <w:szCs w:val="21"/>
          <w:highlight w:val="none"/>
        </w:rPr>
        <w:t>附件四</w:t>
      </w:r>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技术响应、偏离情况说明表</w:t>
      </w:r>
    </w:p>
    <w:p>
      <w:pPr>
        <w:spacing w:line="300" w:lineRule="auto"/>
        <w:rPr>
          <w:rFonts w:ascii="宋体"/>
          <w:color w:val="auto"/>
          <w:szCs w:val="21"/>
          <w:highlight w:val="none"/>
        </w:rPr>
      </w:pPr>
    </w:p>
    <w:p>
      <w:pPr>
        <w:spacing w:line="300" w:lineRule="auto"/>
        <w:rPr>
          <w:rFonts w:ascii="宋体"/>
          <w:color w:val="auto"/>
          <w:szCs w:val="21"/>
          <w:highlight w:val="none"/>
          <w:u w:val="single"/>
        </w:rPr>
      </w:pPr>
      <w:r>
        <w:rPr>
          <w:rFonts w:hint="eastAsia" w:ascii="宋体" w:hAnsi="宋体"/>
          <w:color w:val="auto"/>
          <w:szCs w:val="21"/>
          <w:highlight w:val="none"/>
        </w:rPr>
        <w:t>采购项目编号</w:t>
      </w:r>
      <w:r>
        <w:rPr>
          <w:rFonts w:ascii="宋体" w:hAnsi="宋体"/>
          <w:color w:val="auto"/>
          <w:szCs w:val="21"/>
          <w:highlight w:val="none"/>
        </w:rPr>
        <w:t>:</w:t>
      </w:r>
    </w:p>
    <w:p>
      <w:pPr>
        <w:spacing w:line="300" w:lineRule="auto"/>
        <w:rPr>
          <w:rFonts w:ascii="宋体"/>
          <w:color w:val="auto"/>
          <w:szCs w:val="21"/>
          <w:highlight w:val="none"/>
        </w:rPr>
      </w:pPr>
      <w:r>
        <w:rPr>
          <w:rFonts w:hint="eastAsia" w:ascii="宋体" w:hAnsi="宋体"/>
          <w:color w:val="auto"/>
          <w:szCs w:val="21"/>
          <w:highlight w:val="none"/>
        </w:rPr>
        <w:t>采购项目名称</w:t>
      </w:r>
      <w:r>
        <w:rPr>
          <w:rFonts w:ascii="宋体" w:hAnsi="宋体"/>
          <w:color w:val="auto"/>
          <w:szCs w:val="21"/>
          <w:highlight w:val="none"/>
        </w:rPr>
        <w:t>:</w:t>
      </w:r>
    </w:p>
    <w:p>
      <w:pPr>
        <w:spacing w:line="300" w:lineRule="auto"/>
        <w:rPr>
          <w:rFonts w:ascii="宋体"/>
          <w:color w:val="auto"/>
          <w:szCs w:val="21"/>
          <w:highlight w:val="none"/>
          <w:u w:val="single"/>
        </w:rPr>
      </w:pPr>
      <w:r>
        <w:rPr>
          <w:rFonts w:hint="eastAsia" w:ascii="宋体" w:hAnsi="宋体"/>
          <w:color w:val="auto"/>
          <w:szCs w:val="21"/>
          <w:highlight w:val="none"/>
        </w:rPr>
        <w:t>分标号：</w:t>
      </w:r>
      <w:r>
        <w:rPr>
          <w:rFonts w:ascii="宋体" w:hAnsi="宋体"/>
          <w:color w:val="auto"/>
          <w:szCs w:val="21"/>
          <w:highlight w:val="none"/>
          <w:u w:val="single"/>
        </w:rPr>
        <w:t xml:space="preserve"> </w:t>
      </w:r>
      <w:r>
        <w:rPr>
          <w:rFonts w:hint="eastAsia" w:ascii="宋体" w:hAnsi="宋体"/>
          <w:color w:val="auto"/>
          <w:szCs w:val="21"/>
          <w:highlight w:val="none"/>
          <w:u w:val="single"/>
        </w:rPr>
        <w:t>（如有）</w:t>
      </w:r>
      <w:r>
        <w:rPr>
          <w:rFonts w:ascii="宋体" w:hAnsi="宋体"/>
          <w:color w:val="auto"/>
          <w:szCs w:val="21"/>
          <w:highlight w:val="none"/>
          <w:u w:val="single"/>
        </w:rPr>
        <w:t xml:space="preserve"> </w:t>
      </w:r>
    </w:p>
    <w:tbl>
      <w:tblPr>
        <w:tblStyle w:val="24"/>
        <w:tblW w:w="969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2925"/>
        <w:gridCol w:w="2870"/>
        <w:gridCol w:w="1721"/>
        <w:gridCol w:w="1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22" w:name="_Toc373333689"/>
            <w:bookmarkStart w:id="23" w:name="_Toc383699906"/>
            <w:bookmarkStart w:id="24" w:name="_Toc173066401"/>
            <w:bookmarkStart w:id="25" w:name="_Toc173211900"/>
            <w:bookmarkStart w:id="26" w:name="_Toc254970588"/>
            <w:bookmarkStart w:id="27" w:name="_Toc254970729"/>
            <w:bookmarkStart w:id="28" w:name="_Toc295404981"/>
            <w:bookmarkStart w:id="29" w:name="_Toc297193185"/>
            <w:bookmarkStart w:id="30" w:name="_Toc301781611"/>
            <w:r>
              <w:rPr>
                <w:rFonts w:hint="eastAsia" w:ascii="宋体" w:hAnsi="宋体" w:eastAsia="宋体"/>
                <w:color w:val="auto"/>
                <w:kern w:val="2"/>
                <w:sz w:val="21"/>
                <w:szCs w:val="21"/>
                <w:highlight w:val="none"/>
              </w:rPr>
              <w:t>序号</w:t>
            </w:r>
            <w:bookmarkEnd w:id="22"/>
            <w:bookmarkEnd w:id="23"/>
            <w:bookmarkEnd w:id="24"/>
            <w:bookmarkEnd w:id="25"/>
            <w:bookmarkEnd w:id="26"/>
            <w:bookmarkEnd w:id="27"/>
            <w:bookmarkEnd w:id="28"/>
            <w:bookmarkEnd w:id="29"/>
            <w:bookmarkEnd w:id="30"/>
          </w:p>
        </w:tc>
        <w:tc>
          <w:tcPr>
            <w:tcW w:w="2925"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31" w:name="_Toc173066402"/>
            <w:bookmarkStart w:id="32" w:name="_Toc173211901"/>
            <w:bookmarkStart w:id="33" w:name="_Toc254970589"/>
            <w:bookmarkStart w:id="34" w:name="_Toc254970730"/>
            <w:bookmarkStart w:id="35" w:name="_Toc295404982"/>
            <w:bookmarkStart w:id="36" w:name="_Toc297193186"/>
            <w:bookmarkStart w:id="37" w:name="_Toc301781612"/>
            <w:bookmarkStart w:id="38" w:name="_Toc373333690"/>
            <w:bookmarkStart w:id="39" w:name="_Toc383699907"/>
            <w:r>
              <w:rPr>
                <w:rFonts w:hint="eastAsia" w:ascii="宋体" w:hAnsi="宋体" w:eastAsia="宋体"/>
                <w:color w:val="auto"/>
                <w:kern w:val="2"/>
                <w:sz w:val="21"/>
                <w:szCs w:val="21"/>
                <w:highlight w:val="none"/>
              </w:rPr>
              <w:t>竞争性谈判文件要求</w:t>
            </w:r>
            <w:bookmarkEnd w:id="31"/>
            <w:bookmarkEnd w:id="32"/>
            <w:bookmarkEnd w:id="33"/>
            <w:bookmarkEnd w:id="34"/>
            <w:bookmarkEnd w:id="35"/>
            <w:bookmarkEnd w:id="36"/>
            <w:bookmarkEnd w:id="37"/>
            <w:bookmarkEnd w:id="38"/>
            <w:bookmarkEnd w:id="39"/>
          </w:p>
        </w:tc>
        <w:tc>
          <w:tcPr>
            <w:tcW w:w="2870"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40" w:name="_Toc173211902"/>
            <w:bookmarkStart w:id="41" w:name="_Toc254970590"/>
            <w:bookmarkStart w:id="42" w:name="_Toc254970731"/>
            <w:bookmarkStart w:id="43" w:name="_Toc295404983"/>
            <w:bookmarkStart w:id="44" w:name="_Toc297193187"/>
            <w:bookmarkStart w:id="45" w:name="_Toc301781613"/>
            <w:bookmarkStart w:id="46" w:name="_Toc373333691"/>
            <w:bookmarkStart w:id="47" w:name="_Toc383699908"/>
            <w:bookmarkStart w:id="48" w:name="_Toc173066403"/>
            <w:r>
              <w:rPr>
                <w:rFonts w:hint="eastAsia" w:ascii="宋体" w:hAnsi="宋体" w:eastAsia="宋体"/>
                <w:color w:val="auto"/>
                <w:kern w:val="2"/>
                <w:sz w:val="21"/>
                <w:szCs w:val="21"/>
                <w:highlight w:val="none"/>
              </w:rPr>
              <w:t>响应文件具体响应</w:t>
            </w:r>
            <w:bookmarkEnd w:id="40"/>
            <w:bookmarkEnd w:id="41"/>
            <w:bookmarkEnd w:id="42"/>
            <w:bookmarkEnd w:id="43"/>
            <w:bookmarkEnd w:id="44"/>
            <w:bookmarkEnd w:id="45"/>
            <w:bookmarkEnd w:id="46"/>
            <w:bookmarkEnd w:id="47"/>
            <w:bookmarkEnd w:id="48"/>
          </w:p>
        </w:tc>
        <w:tc>
          <w:tcPr>
            <w:tcW w:w="1721"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49" w:name="_Toc254970591"/>
            <w:bookmarkStart w:id="50" w:name="_Toc254970732"/>
            <w:bookmarkStart w:id="51" w:name="_Toc295404984"/>
            <w:bookmarkStart w:id="52" w:name="_Toc297193188"/>
            <w:bookmarkStart w:id="53" w:name="_Toc301781614"/>
            <w:bookmarkStart w:id="54" w:name="_Toc373333692"/>
            <w:bookmarkStart w:id="55" w:name="_Toc383699909"/>
            <w:bookmarkStart w:id="56" w:name="_Toc173066404"/>
            <w:bookmarkStart w:id="57" w:name="_Toc173211903"/>
            <w:r>
              <w:rPr>
                <w:rFonts w:hint="eastAsia" w:ascii="宋体" w:hAnsi="宋体" w:eastAsia="宋体"/>
                <w:color w:val="auto"/>
                <w:kern w:val="2"/>
                <w:sz w:val="21"/>
                <w:szCs w:val="21"/>
                <w:highlight w:val="none"/>
              </w:rPr>
              <w:t>响应</w:t>
            </w:r>
            <w:r>
              <w:rPr>
                <w:rFonts w:ascii="宋体" w:hAnsi="宋体" w:eastAsia="宋体"/>
                <w:color w:val="auto"/>
                <w:kern w:val="2"/>
                <w:sz w:val="21"/>
                <w:szCs w:val="21"/>
                <w:highlight w:val="none"/>
              </w:rPr>
              <w:t>/</w:t>
            </w:r>
            <w:r>
              <w:rPr>
                <w:rFonts w:hint="eastAsia" w:ascii="宋体" w:hAnsi="宋体" w:eastAsia="宋体"/>
                <w:color w:val="auto"/>
                <w:kern w:val="2"/>
                <w:sz w:val="21"/>
                <w:szCs w:val="21"/>
                <w:highlight w:val="none"/>
              </w:rPr>
              <w:t>偏离</w:t>
            </w:r>
            <w:bookmarkEnd w:id="49"/>
            <w:bookmarkEnd w:id="50"/>
            <w:bookmarkEnd w:id="51"/>
            <w:bookmarkEnd w:id="52"/>
            <w:bookmarkEnd w:id="53"/>
            <w:bookmarkEnd w:id="54"/>
            <w:bookmarkEnd w:id="55"/>
            <w:bookmarkEnd w:id="56"/>
            <w:bookmarkEnd w:id="57"/>
          </w:p>
        </w:tc>
        <w:tc>
          <w:tcPr>
            <w:tcW w:w="1417"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58" w:name="_Toc295404985"/>
            <w:bookmarkStart w:id="59" w:name="_Toc297193189"/>
            <w:bookmarkStart w:id="60" w:name="_Toc173066405"/>
            <w:bookmarkStart w:id="61" w:name="_Toc173211904"/>
            <w:bookmarkStart w:id="62" w:name="_Toc254970592"/>
            <w:bookmarkStart w:id="63" w:name="_Toc254970733"/>
            <w:bookmarkStart w:id="64" w:name="_Toc301781615"/>
            <w:bookmarkStart w:id="65" w:name="_Toc373333693"/>
            <w:bookmarkStart w:id="66" w:name="_Toc383699910"/>
            <w:r>
              <w:rPr>
                <w:rFonts w:hint="eastAsia" w:ascii="宋体" w:hAnsi="宋体" w:eastAsia="宋体"/>
                <w:color w:val="auto"/>
                <w:kern w:val="2"/>
                <w:sz w:val="21"/>
                <w:szCs w:val="21"/>
                <w:highlight w:val="none"/>
              </w:rPr>
              <w:t>说明</w:t>
            </w:r>
            <w:bookmarkEnd w:id="58"/>
            <w:bookmarkEnd w:id="59"/>
            <w:bookmarkEnd w:id="60"/>
            <w:bookmarkEnd w:id="61"/>
            <w:bookmarkEnd w:id="62"/>
            <w:bookmarkEnd w:id="63"/>
            <w:bookmarkEnd w:id="64"/>
            <w:bookmarkEnd w:id="65"/>
            <w:bookmarkEnd w:id="6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67" w:name="_Toc383699911"/>
            <w:bookmarkStart w:id="68" w:name="_Toc173066406"/>
            <w:bookmarkStart w:id="69" w:name="_Toc173211905"/>
            <w:bookmarkStart w:id="70" w:name="_Toc254970593"/>
            <w:bookmarkStart w:id="71" w:name="_Toc254970734"/>
            <w:bookmarkStart w:id="72" w:name="_Toc295404986"/>
            <w:bookmarkStart w:id="73" w:name="_Toc297193190"/>
            <w:bookmarkStart w:id="74" w:name="_Toc301781616"/>
            <w:bookmarkStart w:id="75" w:name="_Toc373333694"/>
            <w:r>
              <w:rPr>
                <w:rFonts w:ascii="宋体" w:hAnsi="宋体" w:eastAsia="宋体"/>
                <w:color w:val="auto"/>
                <w:kern w:val="2"/>
                <w:sz w:val="21"/>
                <w:szCs w:val="21"/>
                <w:highlight w:val="none"/>
              </w:rPr>
              <w:t>1</w:t>
            </w:r>
            <w:bookmarkEnd w:id="67"/>
            <w:bookmarkEnd w:id="68"/>
            <w:bookmarkEnd w:id="69"/>
            <w:bookmarkEnd w:id="70"/>
            <w:bookmarkEnd w:id="71"/>
            <w:bookmarkEnd w:id="72"/>
            <w:bookmarkEnd w:id="73"/>
            <w:bookmarkEnd w:id="74"/>
            <w:bookmarkEnd w:id="75"/>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76" w:name="_Toc301781617"/>
            <w:bookmarkStart w:id="77" w:name="_Toc373333695"/>
            <w:bookmarkStart w:id="78" w:name="_Toc383699912"/>
            <w:bookmarkStart w:id="79" w:name="_Toc173066407"/>
            <w:bookmarkStart w:id="80" w:name="_Toc173211906"/>
            <w:bookmarkStart w:id="81" w:name="_Toc254970594"/>
            <w:bookmarkStart w:id="82" w:name="_Toc254970735"/>
            <w:bookmarkStart w:id="83" w:name="_Toc295404987"/>
            <w:bookmarkStart w:id="84" w:name="_Toc297193191"/>
            <w:r>
              <w:rPr>
                <w:rFonts w:ascii="宋体" w:hAnsi="宋体" w:eastAsia="宋体"/>
                <w:color w:val="auto"/>
                <w:kern w:val="2"/>
                <w:sz w:val="21"/>
                <w:szCs w:val="21"/>
                <w:highlight w:val="none"/>
              </w:rPr>
              <w:t>2</w:t>
            </w:r>
            <w:bookmarkEnd w:id="76"/>
            <w:bookmarkEnd w:id="77"/>
            <w:bookmarkEnd w:id="78"/>
            <w:bookmarkEnd w:id="79"/>
            <w:bookmarkEnd w:id="80"/>
            <w:bookmarkEnd w:id="81"/>
            <w:bookmarkEnd w:id="82"/>
            <w:bookmarkEnd w:id="83"/>
            <w:bookmarkEnd w:id="84"/>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85" w:name="_Toc383699913"/>
            <w:bookmarkStart w:id="86" w:name="_Toc373333696"/>
            <w:bookmarkStart w:id="87" w:name="_Toc301781618"/>
            <w:bookmarkStart w:id="88" w:name="_Toc297193192"/>
            <w:bookmarkStart w:id="89" w:name="_Toc295404988"/>
            <w:bookmarkStart w:id="90" w:name="_Toc254970736"/>
            <w:bookmarkStart w:id="91" w:name="_Toc254970595"/>
            <w:bookmarkStart w:id="92" w:name="_Toc173211907"/>
            <w:bookmarkStart w:id="93" w:name="_Toc173066408"/>
            <w:r>
              <w:rPr>
                <w:rFonts w:ascii="宋体" w:hAnsi="宋体" w:eastAsia="宋体"/>
                <w:color w:val="auto"/>
                <w:kern w:val="2"/>
                <w:sz w:val="21"/>
                <w:szCs w:val="21"/>
                <w:highlight w:val="none"/>
              </w:rPr>
              <w:t>3</w:t>
            </w:r>
            <w:bookmarkEnd w:id="85"/>
            <w:bookmarkEnd w:id="86"/>
            <w:bookmarkEnd w:id="87"/>
            <w:bookmarkEnd w:id="88"/>
            <w:bookmarkEnd w:id="89"/>
            <w:bookmarkEnd w:id="90"/>
            <w:bookmarkEnd w:id="91"/>
            <w:bookmarkEnd w:id="92"/>
            <w:bookmarkEnd w:id="93"/>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94" w:name="_Toc297193193"/>
            <w:bookmarkStart w:id="95" w:name="_Toc295404989"/>
            <w:bookmarkStart w:id="96" w:name="_Toc254970737"/>
            <w:bookmarkStart w:id="97" w:name="_Toc254970596"/>
            <w:bookmarkStart w:id="98" w:name="_Toc173211908"/>
            <w:bookmarkStart w:id="99" w:name="_Toc173066409"/>
            <w:bookmarkStart w:id="100" w:name="_Toc383699914"/>
            <w:bookmarkStart w:id="101" w:name="_Toc373333697"/>
            <w:bookmarkStart w:id="102" w:name="_Toc301781619"/>
            <w:r>
              <w:rPr>
                <w:rFonts w:ascii="宋体" w:hAnsi="宋体" w:eastAsia="宋体"/>
                <w:color w:val="auto"/>
                <w:kern w:val="2"/>
                <w:sz w:val="21"/>
                <w:szCs w:val="21"/>
                <w:highlight w:val="none"/>
              </w:rPr>
              <w:t>4</w:t>
            </w:r>
            <w:bookmarkEnd w:id="94"/>
            <w:bookmarkEnd w:id="95"/>
            <w:bookmarkEnd w:id="96"/>
            <w:bookmarkEnd w:id="97"/>
            <w:bookmarkEnd w:id="98"/>
            <w:bookmarkEnd w:id="99"/>
            <w:bookmarkEnd w:id="100"/>
            <w:bookmarkEnd w:id="101"/>
            <w:bookmarkEnd w:id="102"/>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103" w:name="_Toc383699915"/>
            <w:bookmarkStart w:id="104" w:name="_Toc373333698"/>
            <w:bookmarkStart w:id="105" w:name="_Toc301781620"/>
            <w:bookmarkStart w:id="106" w:name="_Toc297193194"/>
            <w:bookmarkStart w:id="107" w:name="_Toc295404990"/>
            <w:bookmarkStart w:id="108" w:name="_Toc254970738"/>
            <w:bookmarkStart w:id="109" w:name="_Toc254970597"/>
            <w:bookmarkStart w:id="110" w:name="_Toc173066410"/>
            <w:bookmarkStart w:id="111" w:name="_Toc173211909"/>
            <w:r>
              <w:rPr>
                <w:rFonts w:ascii="宋体" w:hAnsi="宋体" w:eastAsia="宋体"/>
                <w:color w:val="auto"/>
                <w:kern w:val="2"/>
                <w:sz w:val="21"/>
                <w:szCs w:val="21"/>
                <w:highlight w:val="none"/>
              </w:rPr>
              <w:t>5</w:t>
            </w:r>
            <w:bookmarkEnd w:id="103"/>
            <w:bookmarkEnd w:id="104"/>
            <w:bookmarkEnd w:id="105"/>
            <w:bookmarkEnd w:id="106"/>
            <w:bookmarkEnd w:id="107"/>
            <w:bookmarkEnd w:id="108"/>
            <w:bookmarkEnd w:id="109"/>
            <w:bookmarkEnd w:id="110"/>
            <w:bookmarkEnd w:id="111"/>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759" w:type="dxa"/>
            <w:tcBorders>
              <w:bottom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112" w:name="_Toc173066415"/>
            <w:bookmarkStart w:id="113" w:name="_Toc254970602"/>
            <w:bookmarkStart w:id="114" w:name="_Toc173211914"/>
            <w:bookmarkStart w:id="115" w:name="_Toc373333699"/>
            <w:bookmarkStart w:id="116" w:name="_Toc383699916"/>
            <w:bookmarkStart w:id="117" w:name="_Toc301781621"/>
            <w:bookmarkStart w:id="118" w:name="_Toc297193195"/>
            <w:bookmarkStart w:id="119" w:name="_Toc295404991"/>
            <w:bookmarkStart w:id="120" w:name="_Toc254970743"/>
            <w:r>
              <w:rPr>
                <w:rFonts w:hint="eastAsia" w:ascii="宋体" w:hAnsi="宋体" w:eastAsia="宋体"/>
                <w:color w:val="auto"/>
                <w:kern w:val="2"/>
                <w:sz w:val="21"/>
                <w:szCs w:val="21"/>
                <w:highlight w:val="none"/>
              </w:rPr>
              <w:t>…</w:t>
            </w:r>
            <w:bookmarkEnd w:id="112"/>
            <w:bookmarkEnd w:id="113"/>
            <w:bookmarkEnd w:id="114"/>
            <w:bookmarkEnd w:id="115"/>
            <w:bookmarkEnd w:id="116"/>
            <w:bookmarkEnd w:id="117"/>
            <w:bookmarkEnd w:id="118"/>
            <w:bookmarkEnd w:id="119"/>
            <w:bookmarkEnd w:id="120"/>
          </w:p>
        </w:tc>
        <w:tc>
          <w:tcPr>
            <w:tcW w:w="2925" w:type="dxa"/>
            <w:tcBorders>
              <w:bottom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tcBorders>
              <w:bottom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tcBorders>
              <w:bottom w:val="single" w:color="auto" w:sz="4" w:space="0"/>
              <w:right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tcBorders>
              <w:left w:val="single" w:color="auto" w:sz="4" w:space="0"/>
              <w:bottom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r>
    </w:tbl>
    <w:p>
      <w:pPr>
        <w:adjustRightInd w:val="0"/>
        <w:snapToGrid w:val="0"/>
        <w:spacing w:line="300" w:lineRule="auto"/>
        <w:rPr>
          <w:rFonts w:ascii="宋体"/>
          <w:color w:val="auto"/>
          <w:szCs w:val="21"/>
          <w:highlight w:val="none"/>
        </w:rPr>
      </w:pPr>
    </w:p>
    <w:p>
      <w:pPr>
        <w:pStyle w:val="11"/>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说明：应对照竞争性谈判文件“第三章</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谈判采购技术规格、参数及要求”的“技术参数要求”，逐条说明所提供货物和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pPr>
        <w:pStyle w:val="13"/>
        <w:spacing w:line="300" w:lineRule="auto"/>
        <w:rPr>
          <w:rFonts w:hAnsi="宋体"/>
          <w:color w:val="auto"/>
          <w:highlight w:val="none"/>
        </w:rPr>
      </w:pPr>
    </w:p>
    <w:p>
      <w:pPr>
        <w:pStyle w:val="13"/>
        <w:spacing w:line="300" w:lineRule="auto"/>
        <w:ind w:firstLine="1470" w:firstLineChars="700"/>
        <w:rPr>
          <w:rFonts w:hAnsi="宋体"/>
          <w:color w:val="auto"/>
          <w:sz w:val="21"/>
          <w:highlight w:val="none"/>
        </w:rPr>
      </w:pPr>
    </w:p>
    <w:p>
      <w:pPr>
        <w:pStyle w:val="13"/>
        <w:spacing w:line="300" w:lineRule="auto"/>
        <w:ind w:firstLine="1470" w:firstLineChars="700"/>
        <w:rPr>
          <w:rFonts w:hAnsi="宋体"/>
          <w:color w:val="auto"/>
          <w:sz w:val="21"/>
          <w:highlight w:val="none"/>
        </w:rPr>
      </w:pPr>
      <w:r>
        <w:rPr>
          <w:rFonts w:hint="eastAsia" w:hAnsi="宋体"/>
          <w:color w:val="auto"/>
          <w:sz w:val="21"/>
          <w:highlight w:val="none"/>
        </w:rPr>
        <w:t>法定代表人或被授权人签字</w:t>
      </w:r>
      <w:r>
        <w:rPr>
          <w:rFonts w:hAnsi="宋体"/>
          <w:color w:val="auto"/>
          <w:sz w:val="21"/>
          <w:highlight w:val="none"/>
        </w:rPr>
        <w:t>:</w:t>
      </w:r>
    </w:p>
    <w:p>
      <w:pPr>
        <w:pStyle w:val="13"/>
        <w:spacing w:line="300" w:lineRule="auto"/>
        <w:ind w:firstLine="4935" w:firstLineChars="2350"/>
        <w:rPr>
          <w:rFonts w:hAnsi="宋体"/>
          <w:color w:val="auto"/>
          <w:sz w:val="21"/>
          <w:highlight w:val="none"/>
          <w:u w:val="single"/>
        </w:rPr>
      </w:pPr>
      <w:r>
        <w:rPr>
          <w:rFonts w:hint="eastAsia" w:hAnsi="宋体"/>
          <w:color w:val="auto"/>
          <w:sz w:val="21"/>
          <w:highlight w:val="none"/>
        </w:rPr>
        <w:t>年月日</w:t>
      </w: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jc w:val="left"/>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附件五</w:t>
      </w:r>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商务响应表格式</w:t>
      </w:r>
    </w:p>
    <w:p>
      <w:pPr>
        <w:snapToGrid w:val="0"/>
        <w:spacing w:before="50"/>
        <w:jc w:val="left"/>
        <w:rPr>
          <w:rFonts w:ascii="宋体"/>
          <w:color w:val="auto"/>
          <w:sz w:val="24"/>
          <w:szCs w:val="20"/>
          <w:highlight w:val="none"/>
          <w:u w:val="single"/>
        </w:rPr>
      </w:pPr>
      <w:r>
        <w:rPr>
          <w:rFonts w:hint="eastAsia" w:ascii="宋体" w:hAnsi="宋体"/>
          <w:color w:val="auto"/>
          <w:sz w:val="24"/>
          <w:highlight w:val="none"/>
        </w:rPr>
        <w:t>分标：</w:t>
      </w:r>
      <w:r>
        <w:rPr>
          <w:rFonts w:hint="eastAsia" w:ascii="宋体" w:hAnsi="宋体"/>
          <w:color w:val="auto"/>
          <w:szCs w:val="21"/>
          <w:highlight w:val="none"/>
          <w:u w:val="single"/>
        </w:rPr>
        <w:t>（如有）</w:t>
      </w:r>
    </w:p>
    <w:tbl>
      <w:tblPr>
        <w:tblStyle w:val="24"/>
        <w:tblW w:w="97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352"/>
        <w:gridCol w:w="1568"/>
        <w:gridCol w:w="3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09" w:type="dxa"/>
            <w:tcBorders>
              <w:top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项目</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采购文件要求</w:t>
            </w: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是否响应</w:t>
            </w: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09" w:type="dxa"/>
            <w:tcBorders>
              <w:top w:val="single" w:color="auto" w:sz="4" w:space="0"/>
              <w:bottom w:val="single" w:color="auto" w:sz="4" w:space="0"/>
              <w:right w:val="single" w:color="auto" w:sz="4" w:space="0"/>
            </w:tcBorders>
            <w:vAlign w:val="center"/>
          </w:tcPr>
          <w:p>
            <w:pPr>
              <w:spacing w:line="340" w:lineRule="exact"/>
              <w:jc w:val="center"/>
              <w:rPr>
                <w:rFonts w:ascii="宋体"/>
                <w:color w:val="auto"/>
                <w:szCs w:val="21"/>
                <w:highlight w:val="none"/>
              </w:rPr>
            </w:pPr>
            <w:r>
              <w:rPr>
                <w:rFonts w:hint="eastAsia" w:ascii="宋体" w:hAnsi="宋体"/>
                <w:color w:val="auto"/>
                <w:szCs w:val="21"/>
                <w:highlight w:val="none"/>
              </w:rPr>
              <w:t>一、合同签订期</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809" w:type="dxa"/>
            <w:tcBorders>
              <w:top w:val="single" w:color="auto" w:sz="4" w:space="0"/>
              <w:bottom w:val="single" w:color="auto" w:sz="4" w:space="0"/>
              <w:right w:val="single" w:color="auto" w:sz="4" w:space="0"/>
            </w:tcBorders>
            <w:vAlign w:val="center"/>
          </w:tcPr>
          <w:p>
            <w:pPr>
              <w:spacing w:line="340" w:lineRule="exact"/>
              <w:jc w:val="center"/>
              <w:rPr>
                <w:rFonts w:ascii="宋体"/>
                <w:color w:val="auto"/>
                <w:szCs w:val="21"/>
                <w:highlight w:val="none"/>
              </w:rPr>
            </w:pPr>
            <w:r>
              <w:rPr>
                <w:rFonts w:hint="eastAsia" w:ascii="宋体" w:hAnsi="宋体"/>
                <w:color w:val="auto"/>
                <w:szCs w:val="21"/>
                <w:highlight w:val="none"/>
              </w:rPr>
              <w:t>二、交货期</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809" w:type="dxa"/>
            <w:tcBorders>
              <w:top w:val="single" w:color="auto" w:sz="4" w:space="0"/>
              <w:bottom w:val="single" w:color="auto" w:sz="4" w:space="0"/>
              <w:right w:val="single" w:color="auto" w:sz="4" w:space="0"/>
            </w:tcBorders>
            <w:vAlign w:val="center"/>
          </w:tcPr>
          <w:p>
            <w:pPr>
              <w:snapToGrid w:val="0"/>
              <w:spacing w:line="340" w:lineRule="exact"/>
              <w:jc w:val="center"/>
              <w:rPr>
                <w:rFonts w:ascii="宋体"/>
                <w:color w:val="auto"/>
                <w:szCs w:val="21"/>
                <w:highlight w:val="none"/>
              </w:rPr>
            </w:pPr>
            <w:r>
              <w:rPr>
                <w:rFonts w:hint="eastAsia" w:ascii="宋体"/>
                <w:color w:val="auto"/>
                <w:szCs w:val="21"/>
                <w:highlight w:val="none"/>
              </w:rPr>
              <w:t>三、交货地点</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olor w:val="auto"/>
                <w:sz w:val="24"/>
                <w:szCs w:val="20"/>
                <w:highlight w:val="none"/>
                <w:u w:val="singl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ind w:left="43"/>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09" w:type="dxa"/>
            <w:tcBorders>
              <w:top w:val="single" w:color="auto" w:sz="4" w:space="0"/>
              <w:bottom w:val="single" w:color="auto" w:sz="4" w:space="0"/>
              <w:right w:val="single" w:color="auto" w:sz="4" w:space="0"/>
            </w:tcBorders>
            <w:vAlign w:val="center"/>
          </w:tcPr>
          <w:p>
            <w:pPr>
              <w:spacing w:line="340" w:lineRule="exact"/>
              <w:jc w:val="center"/>
              <w:rPr>
                <w:rFonts w:ascii="宋体"/>
                <w:color w:val="auto"/>
                <w:szCs w:val="21"/>
                <w:highlight w:val="none"/>
              </w:rPr>
            </w:pPr>
            <w:r>
              <w:rPr>
                <w:rFonts w:hint="eastAsia" w:ascii="宋体"/>
                <w:color w:val="auto"/>
                <w:szCs w:val="21"/>
                <w:highlight w:val="none"/>
              </w:rPr>
              <w:t>四、交货方式</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09" w:type="dxa"/>
            <w:tcBorders>
              <w:top w:val="single" w:color="auto" w:sz="4" w:space="0"/>
              <w:bottom w:val="single" w:color="auto" w:sz="4" w:space="0"/>
              <w:right w:val="single" w:color="auto" w:sz="4" w:space="0"/>
            </w:tcBorders>
            <w:vAlign w:val="center"/>
          </w:tcPr>
          <w:p>
            <w:pPr>
              <w:spacing w:line="340" w:lineRule="exact"/>
              <w:jc w:val="center"/>
              <w:rPr>
                <w:rFonts w:ascii="宋体"/>
                <w:color w:val="auto"/>
                <w:szCs w:val="21"/>
                <w:highlight w:val="none"/>
              </w:rPr>
            </w:pPr>
            <w:r>
              <w:rPr>
                <w:rFonts w:hint="eastAsia" w:ascii="宋体"/>
                <w:color w:val="auto"/>
                <w:szCs w:val="21"/>
                <w:highlight w:val="none"/>
              </w:rPr>
              <w:t>五、售后服务要求</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09" w:type="dxa"/>
            <w:tcBorders>
              <w:top w:val="single" w:color="auto" w:sz="4" w:space="0"/>
              <w:bottom w:val="single" w:color="auto" w:sz="4" w:space="0"/>
              <w:right w:val="single" w:color="auto" w:sz="4" w:space="0"/>
            </w:tcBorders>
            <w:vAlign w:val="center"/>
          </w:tcPr>
          <w:p>
            <w:pPr>
              <w:spacing w:line="340" w:lineRule="exact"/>
              <w:jc w:val="center"/>
              <w:rPr>
                <w:rFonts w:ascii="宋体"/>
                <w:color w:val="auto"/>
                <w:szCs w:val="21"/>
                <w:highlight w:val="none"/>
              </w:rPr>
            </w:pPr>
            <w:r>
              <w:rPr>
                <w:rFonts w:hint="eastAsia" w:ascii="宋体"/>
                <w:color w:val="auto"/>
                <w:szCs w:val="21"/>
                <w:highlight w:val="none"/>
              </w:rPr>
              <w:t>六、其他要求</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09" w:type="dxa"/>
            <w:tcBorders>
              <w:top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bl>
    <w:p>
      <w:pPr>
        <w:spacing w:line="300" w:lineRule="auto"/>
        <w:rPr>
          <w:rFonts w:ascii="宋体"/>
          <w:color w:val="auto"/>
          <w:szCs w:val="21"/>
          <w:highlight w:val="none"/>
        </w:rPr>
      </w:pPr>
    </w:p>
    <w:p>
      <w:pPr>
        <w:widowControl/>
        <w:spacing w:line="480" w:lineRule="auto"/>
        <w:jc w:val="left"/>
        <w:rPr>
          <w:rFonts w:ascii="宋体"/>
          <w:color w:val="auto"/>
          <w:szCs w:val="21"/>
          <w:highlight w:val="none"/>
        </w:rPr>
      </w:pPr>
      <w:r>
        <w:rPr>
          <w:rFonts w:hint="eastAsia" w:ascii="宋体" w:hAnsi="宋体"/>
          <w:color w:val="auto"/>
          <w:szCs w:val="21"/>
          <w:highlight w:val="none"/>
        </w:rPr>
        <w:t>说明：应对照竞争性谈判文件“第三章</w:t>
      </w:r>
      <w:r>
        <w:rPr>
          <w:rFonts w:ascii="宋体" w:hAnsi="宋体"/>
          <w:color w:val="auto"/>
          <w:szCs w:val="21"/>
          <w:highlight w:val="none"/>
        </w:rPr>
        <w:t xml:space="preserve"> </w:t>
      </w:r>
      <w:r>
        <w:rPr>
          <w:rFonts w:hint="eastAsia" w:ascii="宋体" w:hAnsi="宋体"/>
          <w:color w:val="auto"/>
          <w:szCs w:val="21"/>
          <w:highlight w:val="none"/>
        </w:rPr>
        <w:t>谈判采购技术规格、参数及要求”中的“</w:t>
      </w:r>
      <w:r>
        <w:rPr>
          <w:rFonts w:hint="eastAsia" w:ascii="宋体" w:hAnsi="宋体" w:cs="宋体"/>
          <w:color w:val="auto"/>
          <w:kern w:val="0"/>
          <w:sz w:val="24"/>
          <w:highlight w:val="none"/>
        </w:rPr>
        <w:t>▲</w:t>
      </w:r>
      <w:r>
        <w:rPr>
          <w:rFonts w:hint="eastAsia" w:ascii="宋体" w:hAnsi="宋体"/>
          <w:color w:val="auto"/>
          <w:szCs w:val="21"/>
          <w:highlight w:val="none"/>
        </w:rPr>
        <w:t>二、商务最低要求表</w:t>
      </w:r>
      <w:r>
        <w:rPr>
          <w:rFonts w:ascii="宋体" w:hAnsi="宋体"/>
          <w:color w:val="auto"/>
          <w:szCs w:val="21"/>
          <w:highlight w:val="none"/>
        </w:rPr>
        <w:t xml:space="preserve"> </w:t>
      </w:r>
      <w:r>
        <w:rPr>
          <w:rFonts w:hint="eastAsia" w:ascii="宋体" w:hAnsi="宋体"/>
          <w:color w:val="auto"/>
          <w:szCs w:val="21"/>
          <w:highlight w:val="none"/>
        </w:rPr>
        <w:t>”，逐条说明对竞争性谈判文件的商务要求做出了实质性的响应，并申明与商务要求条文的响应和偏离。</w:t>
      </w:r>
    </w:p>
    <w:p>
      <w:pPr>
        <w:spacing w:line="300" w:lineRule="auto"/>
        <w:rPr>
          <w:rFonts w:ascii="宋体"/>
          <w:color w:val="auto"/>
          <w:szCs w:val="21"/>
          <w:highlight w:val="none"/>
        </w:rPr>
      </w:pPr>
    </w:p>
    <w:p>
      <w:pPr>
        <w:spacing w:line="300" w:lineRule="auto"/>
        <w:rPr>
          <w:rFonts w:ascii="宋体"/>
          <w:color w:val="auto"/>
          <w:szCs w:val="21"/>
          <w:highlight w:val="none"/>
        </w:rPr>
      </w:pPr>
    </w:p>
    <w:p>
      <w:pPr>
        <w:pStyle w:val="13"/>
        <w:spacing w:line="300" w:lineRule="auto"/>
        <w:rPr>
          <w:rFonts w:hAnsi="宋体"/>
          <w:color w:val="auto"/>
          <w:highlight w:val="none"/>
        </w:rPr>
      </w:pPr>
    </w:p>
    <w:p>
      <w:pPr>
        <w:pStyle w:val="13"/>
        <w:spacing w:line="300" w:lineRule="auto"/>
        <w:ind w:firstLine="1470" w:firstLineChars="700"/>
        <w:rPr>
          <w:rFonts w:hAnsi="宋体"/>
          <w:color w:val="auto"/>
          <w:sz w:val="21"/>
          <w:highlight w:val="none"/>
        </w:rPr>
      </w:pPr>
      <w:r>
        <w:rPr>
          <w:rFonts w:hint="eastAsia" w:hAnsi="宋体"/>
          <w:color w:val="auto"/>
          <w:sz w:val="21"/>
          <w:highlight w:val="none"/>
        </w:rPr>
        <w:t>法定代表人或被授权人签字</w:t>
      </w:r>
      <w:r>
        <w:rPr>
          <w:rFonts w:hAnsi="宋体"/>
          <w:color w:val="auto"/>
          <w:sz w:val="21"/>
          <w:highlight w:val="none"/>
        </w:rPr>
        <w:t>:</w:t>
      </w:r>
    </w:p>
    <w:p>
      <w:pPr>
        <w:pStyle w:val="13"/>
        <w:spacing w:line="300" w:lineRule="auto"/>
        <w:ind w:firstLine="4935" w:firstLineChars="2350"/>
        <w:rPr>
          <w:rFonts w:hAnsi="宋体"/>
          <w:color w:val="auto"/>
          <w:sz w:val="21"/>
          <w:highlight w:val="none"/>
        </w:rPr>
      </w:pPr>
      <w:r>
        <w:rPr>
          <w:rFonts w:hint="eastAsia" w:hAnsi="宋体"/>
          <w:color w:val="auto"/>
          <w:sz w:val="21"/>
          <w:highlight w:val="none"/>
        </w:rPr>
        <w:t>年月日</w:t>
      </w:r>
    </w:p>
    <w:p>
      <w:pPr>
        <w:widowControl/>
        <w:jc w:val="left"/>
        <w:rPr>
          <w:rFonts w:ascii="宋体"/>
          <w:b/>
          <w:color w:val="auto"/>
          <w:szCs w:val="21"/>
          <w:highlight w:val="none"/>
        </w:rPr>
      </w:pPr>
      <w:r>
        <w:rPr>
          <w:rFonts w:hAnsi="宋体"/>
          <w:color w:val="auto"/>
          <w:highlight w:val="none"/>
        </w:rPr>
        <w:br w:type="page"/>
      </w:r>
      <w:r>
        <w:rPr>
          <w:rFonts w:hint="eastAsia" w:ascii="宋体" w:hAnsi="宋体"/>
          <w:b/>
          <w:color w:val="auto"/>
          <w:szCs w:val="21"/>
          <w:highlight w:val="none"/>
        </w:rPr>
        <w:t>附件六：法定代表人身份证明及法定代表人授权书</w:t>
      </w:r>
    </w:p>
    <w:p>
      <w:pPr>
        <w:pStyle w:val="13"/>
        <w:spacing w:line="300" w:lineRule="auto"/>
        <w:ind w:firstLine="420" w:firstLineChars="200"/>
        <w:jc w:val="left"/>
        <w:rPr>
          <w:rFonts w:hAnsi="宋体"/>
          <w:color w:val="auto"/>
          <w:sz w:val="21"/>
          <w:highlight w:val="none"/>
          <w:u w:val="single"/>
        </w:rPr>
      </w:pPr>
    </w:p>
    <w:p>
      <w:pPr>
        <w:pStyle w:val="13"/>
        <w:spacing w:line="440" w:lineRule="exact"/>
        <w:jc w:val="center"/>
        <w:rPr>
          <w:b/>
          <w:color w:val="auto"/>
          <w:sz w:val="32"/>
          <w:szCs w:val="32"/>
          <w:highlight w:val="none"/>
        </w:rPr>
      </w:pPr>
      <w:r>
        <w:rPr>
          <w:rFonts w:hint="eastAsia"/>
          <w:b/>
          <w:color w:val="auto"/>
          <w:sz w:val="32"/>
          <w:szCs w:val="32"/>
          <w:highlight w:val="none"/>
        </w:rPr>
        <w:t>法定代表人身份证明书（格式）</w:t>
      </w:r>
    </w:p>
    <w:p>
      <w:pPr>
        <w:pStyle w:val="13"/>
        <w:spacing w:line="460" w:lineRule="exact"/>
        <w:ind w:firstLine="514" w:firstLineChars="257"/>
        <w:jc w:val="center"/>
        <w:rPr>
          <w:b/>
          <w:color w:val="auto"/>
          <w:highlight w:val="none"/>
        </w:rPr>
      </w:pPr>
    </w:p>
    <w:p>
      <w:pPr>
        <w:spacing w:line="500" w:lineRule="exact"/>
        <w:rPr>
          <w:rFonts w:ascii="宋体"/>
          <w:color w:val="auto"/>
          <w:szCs w:val="21"/>
          <w:highlight w:val="none"/>
        </w:rPr>
      </w:pPr>
      <w:r>
        <w:rPr>
          <w:rFonts w:hint="eastAsia" w:ascii="宋体" w:hAnsi="宋体"/>
          <w:color w:val="auto"/>
          <w:szCs w:val="21"/>
          <w:highlight w:val="none"/>
        </w:rPr>
        <w:t>竞</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w:t>
      </w:r>
    </w:p>
    <w:p>
      <w:pPr>
        <w:spacing w:line="500" w:lineRule="exact"/>
        <w:rPr>
          <w:rFonts w:ascii="宋体"/>
          <w:color w:val="auto"/>
          <w:szCs w:val="21"/>
          <w:highlight w:val="none"/>
        </w:rPr>
      </w:pPr>
      <w:r>
        <w:rPr>
          <w:rFonts w:hint="eastAsia" w:ascii="宋体" w:hAnsi="宋体"/>
          <w:color w:val="auto"/>
          <w:szCs w:val="21"/>
          <w:highlight w:val="none"/>
        </w:rPr>
        <w:t>单位性质：</w:t>
      </w:r>
    </w:p>
    <w:p>
      <w:pPr>
        <w:spacing w:line="500" w:lineRule="exact"/>
        <w:rPr>
          <w:rFonts w:asci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w:t>
      </w:r>
    </w:p>
    <w:p>
      <w:pPr>
        <w:spacing w:line="500" w:lineRule="exact"/>
        <w:rPr>
          <w:rFonts w:ascii="宋体"/>
          <w:color w:val="auto"/>
          <w:szCs w:val="21"/>
          <w:highlight w:val="none"/>
        </w:rPr>
      </w:pPr>
      <w:r>
        <w:rPr>
          <w:rFonts w:hint="eastAsia" w:ascii="宋体" w:hAnsi="宋体"/>
          <w:color w:val="auto"/>
          <w:szCs w:val="21"/>
          <w:highlight w:val="none"/>
        </w:rPr>
        <w:t>成立时间：年月日</w:t>
      </w:r>
    </w:p>
    <w:p>
      <w:pPr>
        <w:spacing w:line="500" w:lineRule="exact"/>
        <w:rPr>
          <w:rFonts w:ascii="宋体"/>
          <w:color w:val="auto"/>
          <w:szCs w:val="21"/>
          <w:highlight w:val="none"/>
        </w:rPr>
      </w:pPr>
      <w:r>
        <w:rPr>
          <w:rFonts w:hint="eastAsia" w:ascii="宋体" w:hAnsi="宋体"/>
          <w:color w:val="auto"/>
          <w:szCs w:val="21"/>
          <w:highlight w:val="none"/>
        </w:rPr>
        <w:t>经营期限：</w:t>
      </w:r>
    </w:p>
    <w:p>
      <w:pPr>
        <w:spacing w:line="500" w:lineRule="exact"/>
        <w:rPr>
          <w:rFonts w:ascii="宋体"/>
          <w:color w:val="auto"/>
          <w:szCs w:val="21"/>
          <w:highlight w:val="non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名：性</w:t>
      </w:r>
      <w:r>
        <w:rPr>
          <w:rFonts w:ascii="宋体" w:hAnsi="宋体"/>
          <w:color w:val="auto"/>
          <w:szCs w:val="21"/>
          <w:highlight w:val="none"/>
        </w:rPr>
        <w:t xml:space="preserve">      </w:t>
      </w:r>
      <w:r>
        <w:rPr>
          <w:rFonts w:hint="eastAsia" w:ascii="宋体" w:hAnsi="宋体"/>
          <w:color w:val="auto"/>
          <w:szCs w:val="21"/>
          <w:highlight w:val="none"/>
        </w:rPr>
        <w:t>别：</w:t>
      </w:r>
    </w:p>
    <w:p>
      <w:pPr>
        <w:spacing w:line="500" w:lineRule="exact"/>
        <w:rPr>
          <w:rFonts w:ascii="宋体"/>
          <w:color w:val="auto"/>
          <w:szCs w:val="21"/>
          <w:highlight w:val="none"/>
          <w:u w:val="singl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龄：职</w:t>
      </w:r>
      <w:r>
        <w:rPr>
          <w:rFonts w:ascii="宋体" w:hAnsi="宋体"/>
          <w:color w:val="auto"/>
          <w:szCs w:val="21"/>
          <w:highlight w:val="none"/>
        </w:rPr>
        <w:t xml:space="preserve">      </w:t>
      </w:r>
      <w:r>
        <w:rPr>
          <w:rFonts w:hint="eastAsia" w:ascii="宋体" w:hAnsi="宋体"/>
          <w:color w:val="auto"/>
          <w:szCs w:val="21"/>
          <w:highlight w:val="none"/>
        </w:rPr>
        <w:t>务：</w:t>
      </w:r>
    </w:p>
    <w:p>
      <w:pPr>
        <w:spacing w:line="500" w:lineRule="exact"/>
        <w:rPr>
          <w:rFonts w:asci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pPr>
        <w:spacing w:line="500" w:lineRule="exact"/>
        <w:rPr>
          <w:rFonts w:ascii="宋体"/>
          <w:color w:val="auto"/>
          <w:szCs w:val="21"/>
          <w:highlight w:val="none"/>
        </w:rPr>
      </w:pPr>
      <w:r>
        <w:rPr>
          <w:rFonts w:hint="eastAsia" w:ascii="宋体" w:hAnsi="宋体"/>
          <w:color w:val="auto"/>
          <w:szCs w:val="21"/>
          <w:highlight w:val="none"/>
        </w:rPr>
        <w:t>系（供应商名称）的法定代表人。</w:t>
      </w:r>
    </w:p>
    <w:p>
      <w:pPr>
        <w:pStyle w:val="13"/>
        <w:spacing w:line="460" w:lineRule="exact"/>
        <w:ind w:firstLine="539" w:firstLineChars="257"/>
        <w:rPr>
          <w:rFonts w:ascii="Times New Roman" w:hAnsi="Times New Roman"/>
          <w:color w:val="auto"/>
          <w:kern w:val="2"/>
          <w:sz w:val="21"/>
          <w:highlight w:val="none"/>
        </w:rPr>
      </w:pPr>
    </w:p>
    <w:p>
      <w:pPr>
        <w:pStyle w:val="13"/>
        <w:spacing w:line="460" w:lineRule="exact"/>
        <w:ind w:firstLine="539" w:firstLineChars="257"/>
        <w:rPr>
          <w:rFonts w:ascii="Times New Roman" w:hAnsi="Times New Roman"/>
          <w:color w:val="auto"/>
          <w:kern w:val="2"/>
          <w:sz w:val="21"/>
          <w:highlight w:val="none"/>
        </w:rPr>
      </w:pPr>
      <w:r>
        <w:rPr>
          <w:rFonts w:hint="eastAsia" w:ascii="Times New Roman" w:hAnsi="Times New Roman"/>
          <w:color w:val="auto"/>
          <w:kern w:val="2"/>
          <w:sz w:val="21"/>
          <w:highlight w:val="none"/>
        </w:rPr>
        <w:t>特此证明。</w:t>
      </w:r>
    </w:p>
    <w:p>
      <w:pPr>
        <w:pStyle w:val="13"/>
        <w:spacing w:line="460" w:lineRule="exact"/>
        <w:ind w:firstLine="539" w:firstLineChars="257"/>
        <w:rPr>
          <w:rFonts w:ascii="Times New Roman" w:hAnsi="Times New Roman"/>
          <w:color w:val="auto"/>
          <w:kern w:val="2"/>
          <w:sz w:val="21"/>
          <w:highlight w:val="none"/>
        </w:rPr>
      </w:pPr>
      <w:r>
        <w:rPr>
          <w:rFonts w:hint="eastAsia" w:ascii="Times New Roman" w:hAnsi="Times New Roman"/>
          <w:color w:val="auto"/>
          <w:kern w:val="2"/>
          <w:sz w:val="21"/>
          <w:highlight w:val="none"/>
        </w:rPr>
        <w:t>附：法定代表人有效的身份证正反面复印件，并加盖公章。</w:t>
      </w:r>
    </w:p>
    <w:p>
      <w:pPr>
        <w:pStyle w:val="13"/>
        <w:spacing w:line="460" w:lineRule="exact"/>
        <w:ind w:firstLine="514" w:firstLineChars="257"/>
        <w:rPr>
          <w:color w:val="auto"/>
          <w:highlight w:val="none"/>
        </w:rPr>
      </w:pPr>
    </w:p>
    <w:p>
      <w:pPr>
        <w:pStyle w:val="13"/>
        <w:spacing w:line="460" w:lineRule="exact"/>
        <w:ind w:firstLine="514" w:firstLineChars="257"/>
        <w:rPr>
          <w:color w:val="auto"/>
          <w:highlight w:val="none"/>
        </w:rPr>
      </w:pPr>
    </w:p>
    <w:p>
      <w:pPr>
        <w:pStyle w:val="13"/>
        <w:wordWrap w:val="0"/>
        <w:spacing w:line="460" w:lineRule="exact"/>
        <w:ind w:firstLine="539" w:firstLineChars="257"/>
        <w:jc w:val="right"/>
        <w:rPr>
          <w:color w:val="auto"/>
          <w:sz w:val="21"/>
          <w:highlight w:val="none"/>
        </w:rPr>
      </w:pPr>
      <w:r>
        <w:rPr>
          <w:rFonts w:hint="eastAsia"/>
          <w:color w:val="auto"/>
          <w:sz w:val="21"/>
          <w:highlight w:val="none"/>
        </w:rPr>
        <w:t>供应商：（盖单位公章）</w:t>
      </w:r>
    </w:p>
    <w:p>
      <w:pPr>
        <w:pStyle w:val="13"/>
        <w:spacing w:line="460" w:lineRule="exact"/>
        <w:ind w:firstLine="525" w:firstLineChars="250"/>
        <w:jc w:val="right"/>
        <w:rPr>
          <w:color w:val="auto"/>
          <w:sz w:val="21"/>
          <w:highlight w:val="none"/>
        </w:rPr>
      </w:pPr>
      <w:r>
        <w:rPr>
          <w:rFonts w:hint="eastAsia"/>
          <w:color w:val="auto"/>
          <w:sz w:val="21"/>
          <w:highlight w:val="none"/>
        </w:rPr>
        <w:t>日期：</w:t>
      </w:r>
      <w:r>
        <w:rPr>
          <w:color w:val="auto"/>
          <w:sz w:val="21"/>
          <w:highlight w:val="none"/>
        </w:rPr>
        <w:t xml:space="preserve">   </w:t>
      </w:r>
      <w:r>
        <w:rPr>
          <w:rFonts w:hint="eastAsia"/>
          <w:color w:val="auto"/>
          <w:sz w:val="21"/>
          <w:highlight w:val="none"/>
        </w:rPr>
        <w:t>年</w:t>
      </w:r>
      <w:r>
        <w:rPr>
          <w:color w:val="auto"/>
          <w:sz w:val="21"/>
          <w:highlight w:val="none"/>
        </w:rPr>
        <w:t xml:space="preserve">    </w:t>
      </w:r>
      <w:r>
        <w:rPr>
          <w:rFonts w:hint="eastAsia"/>
          <w:color w:val="auto"/>
          <w:sz w:val="21"/>
          <w:highlight w:val="none"/>
        </w:rPr>
        <w:t>月</w:t>
      </w:r>
      <w:r>
        <w:rPr>
          <w:color w:val="auto"/>
          <w:sz w:val="21"/>
          <w:highlight w:val="none"/>
        </w:rPr>
        <w:t xml:space="preserve">    </w:t>
      </w:r>
      <w:r>
        <w:rPr>
          <w:rFonts w:hint="eastAsia"/>
          <w:color w:val="auto"/>
          <w:sz w:val="21"/>
          <w:highlight w:val="none"/>
        </w:rPr>
        <w:t>日</w:t>
      </w:r>
    </w:p>
    <w:p>
      <w:pPr>
        <w:spacing w:line="300" w:lineRule="auto"/>
        <w:jc w:val="center"/>
        <w:rPr>
          <w:rFonts w:ascii="宋体"/>
          <w:b/>
          <w:color w:val="auto"/>
          <w:sz w:val="32"/>
          <w:szCs w:val="32"/>
          <w:highlight w:val="none"/>
        </w:rPr>
      </w:pPr>
      <w:r>
        <w:rPr>
          <w:rFonts w:ascii="宋体"/>
          <w:b/>
          <w:color w:val="auto"/>
          <w:szCs w:val="21"/>
          <w:highlight w:val="none"/>
        </w:rPr>
        <w:br w:type="page"/>
      </w:r>
      <w:r>
        <w:rPr>
          <w:rFonts w:hint="eastAsia" w:ascii="宋体" w:hAnsi="宋体"/>
          <w:b/>
          <w:color w:val="auto"/>
          <w:sz w:val="32"/>
          <w:szCs w:val="32"/>
          <w:highlight w:val="none"/>
        </w:rPr>
        <w:t>法</w:t>
      </w:r>
      <w:r>
        <w:rPr>
          <w:rFonts w:ascii="宋体" w:hAnsi="宋体"/>
          <w:b/>
          <w:color w:val="auto"/>
          <w:sz w:val="32"/>
          <w:szCs w:val="32"/>
          <w:highlight w:val="none"/>
        </w:rPr>
        <w:t xml:space="preserve"> </w:t>
      </w:r>
      <w:r>
        <w:rPr>
          <w:rFonts w:hint="eastAsia" w:ascii="宋体" w:hAnsi="宋体"/>
          <w:b/>
          <w:color w:val="auto"/>
          <w:sz w:val="32"/>
          <w:szCs w:val="32"/>
          <w:highlight w:val="none"/>
        </w:rPr>
        <w:t>定</w:t>
      </w:r>
      <w:r>
        <w:rPr>
          <w:rFonts w:ascii="宋体" w:hAnsi="宋体"/>
          <w:b/>
          <w:color w:val="auto"/>
          <w:sz w:val="32"/>
          <w:szCs w:val="32"/>
          <w:highlight w:val="none"/>
        </w:rPr>
        <w:t xml:space="preserve"> </w:t>
      </w:r>
      <w:r>
        <w:rPr>
          <w:rFonts w:hint="eastAsia" w:ascii="宋体" w:hAnsi="宋体"/>
          <w:b/>
          <w:color w:val="auto"/>
          <w:sz w:val="32"/>
          <w:szCs w:val="32"/>
          <w:highlight w:val="none"/>
        </w:rPr>
        <w:t>代</w:t>
      </w:r>
      <w:r>
        <w:rPr>
          <w:rFonts w:ascii="宋体" w:hAnsi="宋体"/>
          <w:b/>
          <w:color w:val="auto"/>
          <w:sz w:val="32"/>
          <w:szCs w:val="32"/>
          <w:highlight w:val="none"/>
        </w:rPr>
        <w:t xml:space="preserve"> </w:t>
      </w:r>
      <w:r>
        <w:rPr>
          <w:rFonts w:hint="eastAsia" w:ascii="宋体" w:hAnsi="宋体"/>
          <w:b/>
          <w:color w:val="auto"/>
          <w:sz w:val="32"/>
          <w:szCs w:val="32"/>
          <w:highlight w:val="none"/>
        </w:rPr>
        <w:t>表</w:t>
      </w:r>
      <w:r>
        <w:rPr>
          <w:rFonts w:ascii="宋体" w:hAnsi="宋体"/>
          <w:b/>
          <w:color w:val="auto"/>
          <w:sz w:val="32"/>
          <w:szCs w:val="32"/>
          <w:highlight w:val="none"/>
        </w:rPr>
        <w:t xml:space="preserve"> </w:t>
      </w:r>
      <w:r>
        <w:rPr>
          <w:rFonts w:hint="eastAsia" w:ascii="宋体" w:hAnsi="宋体"/>
          <w:b/>
          <w:color w:val="auto"/>
          <w:sz w:val="32"/>
          <w:szCs w:val="32"/>
          <w:highlight w:val="none"/>
        </w:rPr>
        <w:t>人</w:t>
      </w:r>
      <w:r>
        <w:rPr>
          <w:rFonts w:ascii="宋体" w:hAnsi="宋体"/>
          <w:b/>
          <w:color w:val="auto"/>
          <w:sz w:val="32"/>
          <w:szCs w:val="32"/>
          <w:highlight w:val="none"/>
        </w:rPr>
        <w:t xml:space="preserve"> </w:t>
      </w:r>
      <w:r>
        <w:rPr>
          <w:rFonts w:hint="eastAsia" w:ascii="宋体" w:hAnsi="宋体"/>
          <w:b/>
          <w:color w:val="auto"/>
          <w:sz w:val="32"/>
          <w:szCs w:val="32"/>
          <w:highlight w:val="none"/>
        </w:rPr>
        <w:t>授</w:t>
      </w:r>
      <w:r>
        <w:rPr>
          <w:rFonts w:ascii="宋体" w:hAnsi="宋体"/>
          <w:b/>
          <w:color w:val="auto"/>
          <w:sz w:val="32"/>
          <w:szCs w:val="32"/>
          <w:highlight w:val="none"/>
        </w:rPr>
        <w:t xml:space="preserve"> </w:t>
      </w:r>
      <w:r>
        <w:rPr>
          <w:rFonts w:hint="eastAsia" w:ascii="宋体" w:hAnsi="宋体"/>
          <w:b/>
          <w:color w:val="auto"/>
          <w:sz w:val="32"/>
          <w:szCs w:val="32"/>
          <w:highlight w:val="none"/>
        </w:rPr>
        <w:t>权</w:t>
      </w:r>
      <w:r>
        <w:rPr>
          <w:rFonts w:ascii="宋体" w:hAnsi="宋体"/>
          <w:b/>
          <w:color w:val="auto"/>
          <w:sz w:val="32"/>
          <w:szCs w:val="32"/>
          <w:highlight w:val="none"/>
        </w:rPr>
        <w:t xml:space="preserve"> </w:t>
      </w:r>
      <w:r>
        <w:rPr>
          <w:rFonts w:hint="eastAsia" w:ascii="宋体" w:hAnsi="宋体"/>
          <w:b/>
          <w:color w:val="auto"/>
          <w:sz w:val="32"/>
          <w:szCs w:val="32"/>
          <w:highlight w:val="none"/>
        </w:rPr>
        <w:t>书</w:t>
      </w:r>
    </w:p>
    <w:p>
      <w:pPr>
        <w:adjustRightInd w:val="0"/>
        <w:snapToGrid w:val="0"/>
        <w:spacing w:line="300" w:lineRule="auto"/>
        <w:rPr>
          <w:rFonts w:ascii="宋体"/>
          <w:color w:val="auto"/>
          <w:szCs w:val="21"/>
          <w:highlight w:val="none"/>
        </w:rPr>
      </w:pPr>
    </w:p>
    <w:p>
      <w:pPr>
        <w:snapToGrid w:val="0"/>
        <w:spacing w:beforeLines="50" w:after="50" w:line="400" w:lineRule="exact"/>
        <w:rPr>
          <w:rFonts w:asci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广西万盯卯招标咨询有限公司</w:t>
      </w:r>
      <w:r>
        <w:rPr>
          <w:rFonts w:hint="eastAsia" w:ascii="宋体" w:hAnsi="宋体"/>
          <w:color w:val="auto"/>
          <w:szCs w:val="21"/>
          <w:highlight w:val="none"/>
        </w:rPr>
        <w:t>：</w:t>
      </w:r>
    </w:p>
    <w:p>
      <w:pPr>
        <w:snapToGrid w:val="0"/>
        <w:spacing w:beforeLines="50" w:after="50" w:line="400" w:lineRule="exact"/>
        <w:ind w:firstLine="495" w:firstLineChars="236"/>
        <w:rPr>
          <w:rFonts w:asci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（姓名）系</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（供应商名称）的法定代表人，现授权委托本单位在职职工</w:t>
      </w:r>
      <w:r>
        <w:rPr>
          <w:rFonts w:ascii="宋体" w:hAnsi="宋体"/>
          <w:color w:val="auto"/>
          <w:szCs w:val="21"/>
          <w:highlight w:val="none"/>
        </w:rPr>
        <w:t xml:space="preserve"> </w:t>
      </w:r>
      <w:r>
        <w:rPr>
          <w:rFonts w:hint="eastAsia" w:ascii="宋体" w:hAnsi="宋体"/>
          <w:color w:val="auto"/>
          <w:szCs w:val="21"/>
          <w:highlight w:val="none"/>
        </w:rPr>
        <w:t>（姓名）以我方的名义参加项目的投标活动，并代表我方全权办理针对上述项目的提交响应文件、谈判、签约等具体事务和签署相关文件。</w:t>
      </w:r>
    </w:p>
    <w:p>
      <w:pPr>
        <w:snapToGrid w:val="0"/>
        <w:spacing w:beforeLines="50" w:after="50" w:line="40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我方对被授权人的签字事项负全部责任。</w:t>
      </w:r>
    </w:p>
    <w:p>
      <w:pPr>
        <w:snapToGrid w:val="0"/>
        <w:spacing w:beforeLines="50" w:after="50" w:line="400" w:lineRule="exact"/>
        <w:ind w:firstLine="480"/>
        <w:rPr>
          <w:rFonts w:asci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Lines="50" w:after="50" w:line="400" w:lineRule="exact"/>
        <w:ind w:firstLine="480"/>
        <w:rPr>
          <w:rFonts w:ascii="宋体"/>
          <w:color w:val="auto"/>
          <w:szCs w:val="21"/>
          <w:highlight w:val="none"/>
        </w:rPr>
      </w:pPr>
      <w:r>
        <w:rPr>
          <w:rFonts w:hint="eastAsia" w:ascii="宋体" w:hAnsi="宋体"/>
          <w:color w:val="auto"/>
          <w:szCs w:val="21"/>
          <w:highlight w:val="none"/>
        </w:rPr>
        <w:t>被授权人无转委托权，特此委托。</w:t>
      </w:r>
    </w:p>
    <w:p>
      <w:pPr>
        <w:snapToGrid w:val="0"/>
        <w:spacing w:beforeLines="50" w:after="50" w:line="400" w:lineRule="exact"/>
        <w:ind w:firstLine="480"/>
        <w:rPr>
          <w:rFonts w:ascii="宋体"/>
          <w:color w:val="auto"/>
          <w:szCs w:val="21"/>
          <w:highlight w:val="none"/>
        </w:rPr>
      </w:pPr>
      <w:r>
        <w:rPr>
          <w:rFonts w:hint="eastAsia" w:ascii="宋体" w:hAnsi="宋体"/>
          <w:color w:val="auto"/>
          <w:szCs w:val="21"/>
          <w:highlight w:val="none"/>
        </w:rPr>
        <w:t>附：法定代表人身份证明书、法定代表人有效的身份证正反面复印件及被授权人有效的身份证正反面复印件，并加盖公章。</w:t>
      </w:r>
    </w:p>
    <w:p>
      <w:pPr>
        <w:snapToGrid w:val="0"/>
        <w:spacing w:beforeLines="50" w:after="50" w:line="400" w:lineRule="exact"/>
        <w:rPr>
          <w:rFonts w:ascii="宋体"/>
          <w:color w:val="auto"/>
          <w:szCs w:val="21"/>
          <w:highlight w:val="none"/>
        </w:rPr>
      </w:pPr>
    </w:p>
    <w:p>
      <w:pPr>
        <w:snapToGrid w:val="0"/>
        <w:spacing w:beforeLines="50" w:after="50" w:line="400" w:lineRule="exact"/>
        <w:rPr>
          <w:rFonts w:ascii="宋体"/>
          <w:color w:val="auto"/>
          <w:szCs w:val="21"/>
          <w:highlight w:val="none"/>
          <w:u w:val="single"/>
        </w:rPr>
      </w:pPr>
      <w:r>
        <w:rPr>
          <w:rFonts w:hint="eastAsia" w:ascii="宋体" w:hAnsi="宋体"/>
          <w:color w:val="auto"/>
          <w:szCs w:val="21"/>
          <w:highlight w:val="none"/>
        </w:rPr>
        <w:t>被授权人签字：</w:t>
      </w:r>
      <w:r>
        <w:rPr>
          <w:rFonts w:ascii="宋体" w:hAnsi="宋体"/>
          <w:color w:val="auto"/>
          <w:szCs w:val="21"/>
          <w:highlight w:val="none"/>
        </w:rPr>
        <w:t xml:space="preserve">            </w:t>
      </w:r>
      <w:r>
        <w:rPr>
          <w:rFonts w:hint="eastAsia" w:ascii="宋体" w:hAnsi="宋体"/>
          <w:color w:val="auto"/>
          <w:szCs w:val="21"/>
          <w:highlight w:val="none"/>
        </w:rPr>
        <w:t>法定代表人签字：</w:t>
      </w:r>
    </w:p>
    <w:p>
      <w:pPr>
        <w:snapToGrid w:val="0"/>
        <w:spacing w:beforeLines="50" w:after="50" w:line="400" w:lineRule="exact"/>
        <w:rPr>
          <w:rFonts w:ascii="宋体"/>
          <w:color w:val="auto"/>
          <w:szCs w:val="21"/>
          <w:highlight w:val="none"/>
        </w:rPr>
      </w:pPr>
      <w:r>
        <w:rPr>
          <w:rFonts w:hint="eastAsia" w:ascii="宋体" w:hAnsi="宋体"/>
          <w:color w:val="auto"/>
          <w:szCs w:val="21"/>
          <w:highlight w:val="none"/>
        </w:rPr>
        <w:t>所在部门职务：</w:t>
      </w:r>
      <w:r>
        <w:rPr>
          <w:rFonts w:ascii="宋体" w:hAnsi="宋体"/>
          <w:color w:val="auto"/>
          <w:szCs w:val="21"/>
          <w:highlight w:val="none"/>
        </w:rPr>
        <w:t xml:space="preserve">                      </w:t>
      </w:r>
      <w:r>
        <w:rPr>
          <w:rFonts w:hint="eastAsia" w:ascii="宋体" w:hAnsi="宋体"/>
          <w:color w:val="auto"/>
          <w:szCs w:val="21"/>
          <w:highlight w:val="none"/>
        </w:rPr>
        <w:t>职务：</w:t>
      </w:r>
    </w:p>
    <w:p>
      <w:pPr>
        <w:snapToGrid w:val="0"/>
        <w:spacing w:beforeLines="50" w:after="50" w:line="400" w:lineRule="exact"/>
        <w:rPr>
          <w:rFonts w:ascii="宋体"/>
          <w:color w:val="auto"/>
          <w:szCs w:val="21"/>
          <w:highlight w:val="none"/>
        </w:rPr>
      </w:pPr>
      <w:r>
        <w:rPr>
          <w:rFonts w:hint="eastAsia" w:ascii="宋体" w:hAnsi="宋体"/>
          <w:color w:val="auto"/>
          <w:szCs w:val="21"/>
          <w:highlight w:val="none"/>
        </w:rPr>
        <w:t>被授权人身份证号码：</w:t>
      </w:r>
    </w:p>
    <w:p>
      <w:pPr>
        <w:snapToGrid w:val="0"/>
        <w:spacing w:beforeLines="50" w:after="50" w:line="400" w:lineRule="exact"/>
        <w:jc w:val="center"/>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供应商公章：</w:t>
      </w:r>
    </w:p>
    <w:p>
      <w:pPr>
        <w:autoSpaceDE w:val="0"/>
        <w:autoSpaceDN w:val="0"/>
        <w:spacing w:line="400" w:lineRule="exact"/>
        <w:ind w:left="480" w:hanging="48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autoSpaceDE w:val="0"/>
        <w:autoSpaceDN w:val="0"/>
        <w:spacing w:line="300" w:lineRule="auto"/>
        <w:ind w:left="480" w:hanging="480"/>
        <w:rPr>
          <w:rFonts w:ascii="宋体"/>
          <w:color w:val="auto"/>
          <w:szCs w:val="21"/>
          <w:highlight w:val="none"/>
        </w:rPr>
      </w:pPr>
    </w:p>
    <w:p>
      <w:pPr>
        <w:widowControl/>
        <w:jc w:val="left"/>
        <w:rPr>
          <w:rFonts w:ascii="宋体"/>
          <w:color w:val="auto"/>
          <w:szCs w:val="21"/>
          <w:highlight w:val="none"/>
        </w:rPr>
      </w:pPr>
      <w:r>
        <w:rPr>
          <w:rFonts w:ascii="宋体"/>
          <w:color w:val="auto"/>
          <w:szCs w:val="21"/>
          <w:highlight w:val="none"/>
        </w:rPr>
        <w:br w:type="page"/>
      </w:r>
    </w:p>
    <w:p>
      <w:pPr>
        <w:spacing w:line="400" w:lineRule="exact"/>
        <w:ind w:firstLine="420" w:firstLineChars="200"/>
        <w:rPr>
          <w:rFonts w:ascii="宋体"/>
          <w:b/>
          <w:color w:val="auto"/>
          <w:szCs w:val="21"/>
          <w:highlight w:val="none"/>
        </w:rPr>
      </w:pPr>
      <w:r>
        <w:rPr>
          <w:rFonts w:hint="eastAsia" w:ascii="宋体" w:hAnsi="宋体"/>
          <w:b/>
          <w:color w:val="auto"/>
          <w:szCs w:val="21"/>
          <w:highlight w:val="none"/>
        </w:rPr>
        <w:t>附件七</w:t>
      </w:r>
    </w:p>
    <w:p>
      <w:pPr>
        <w:jc w:val="center"/>
        <w:rPr>
          <w:rFonts w:ascii="宋体"/>
          <w:b/>
          <w:color w:val="auto"/>
          <w:sz w:val="30"/>
          <w:szCs w:val="30"/>
          <w:highlight w:val="none"/>
        </w:rPr>
      </w:pPr>
      <w:r>
        <w:rPr>
          <w:rFonts w:hint="eastAsia" w:ascii="宋体" w:hAnsi="宋体"/>
          <w:b/>
          <w:color w:val="auto"/>
          <w:sz w:val="30"/>
          <w:szCs w:val="30"/>
          <w:highlight w:val="none"/>
        </w:rPr>
        <w:t>供应商股东及出资信息表</w:t>
      </w:r>
    </w:p>
    <w:p>
      <w:pPr>
        <w:spacing w:line="380" w:lineRule="exact"/>
        <w:jc w:val="center"/>
        <w:rPr>
          <w:rFonts w:hAnsi="宋体"/>
          <w:color w:val="auto"/>
          <w:sz w:val="30"/>
          <w:szCs w:val="30"/>
          <w:highlight w:val="none"/>
        </w:rPr>
      </w:pPr>
    </w:p>
    <w:p>
      <w:pPr>
        <w:spacing w:line="300" w:lineRule="auto"/>
        <w:rPr>
          <w:rFonts w:ascii="宋体"/>
          <w:color w:val="auto"/>
          <w:szCs w:val="21"/>
          <w:highlight w:val="none"/>
          <w:u w:val="single"/>
        </w:rPr>
      </w:pPr>
      <w:r>
        <w:rPr>
          <w:rFonts w:hint="eastAsia" w:ascii="宋体" w:hAnsi="宋体"/>
          <w:color w:val="auto"/>
          <w:szCs w:val="21"/>
          <w:highlight w:val="none"/>
        </w:rPr>
        <w:t>项目</w:t>
      </w:r>
      <w:r>
        <w:rPr>
          <w:rFonts w:hint="eastAsia" w:hAnsi="宋体"/>
          <w:color w:val="auto"/>
          <w:highlight w:val="none"/>
        </w:rPr>
        <w:t>名称</w:t>
      </w:r>
      <w:r>
        <w:rPr>
          <w:rFonts w:ascii="宋体" w:hAnsi="宋体"/>
          <w:color w:val="auto"/>
          <w:szCs w:val="21"/>
          <w:highlight w:val="none"/>
        </w:rPr>
        <w:t>:</w:t>
      </w:r>
      <w:r>
        <w:rPr>
          <w:rFonts w:ascii="宋体" w:hAnsi="宋体"/>
          <w:color w:val="auto"/>
          <w:szCs w:val="21"/>
          <w:highlight w:val="none"/>
          <w:u w:val="single"/>
        </w:rPr>
        <w:t xml:space="preserve">                       </w:t>
      </w:r>
    </w:p>
    <w:p>
      <w:pPr>
        <w:pStyle w:val="13"/>
        <w:spacing w:line="480" w:lineRule="auto"/>
        <w:rPr>
          <w:rFonts w:hAnsi="宋体"/>
          <w:color w:val="auto"/>
          <w:highlight w:val="none"/>
        </w:rPr>
      </w:pPr>
      <w:r>
        <w:rPr>
          <w:rFonts w:hint="eastAsia" w:hAnsi="宋体"/>
          <w:color w:val="auto"/>
          <w:highlight w:val="none"/>
        </w:rPr>
        <w:t>项目编号</w:t>
      </w:r>
      <w:r>
        <w:rPr>
          <w:rFonts w:hAnsi="宋体"/>
          <w:color w:val="auto"/>
          <w:highlight w:val="non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项目分标：</w:t>
      </w:r>
      <w:r>
        <w:rPr>
          <w:rFonts w:hAnsi="宋体"/>
          <w:color w:val="auto"/>
          <w:highlight w:val="none"/>
          <w:u w:val="single"/>
        </w:rPr>
        <w:t xml:space="preserve">            </w:t>
      </w:r>
      <w:r>
        <w:rPr>
          <w:rFonts w:hint="eastAsia" w:hAnsi="宋体"/>
          <w:color w:val="auto"/>
          <w:highlight w:val="none"/>
        </w:rPr>
        <w:t>（如果有）</w:t>
      </w:r>
    </w:p>
    <w:tbl>
      <w:tblPr>
        <w:tblStyle w:val="24"/>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559"/>
        <w:gridCol w:w="354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序号</w:t>
            </w:r>
          </w:p>
        </w:tc>
        <w:tc>
          <w:tcPr>
            <w:tcW w:w="2552"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股东名称</w:t>
            </w:r>
          </w:p>
        </w:tc>
        <w:tc>
          <w:tcPr>
            <w:tcW w:w="1559"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出资比例</w:t>
            </w:r>
          </w:p>
        </w:tc>
        <w:tc>
          <w:tcPr>
            <w:tcW w:w="3544"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身份证号码</w:t>
            </w:r>
          </w:p>
        </w:tc>
        <w:tc>
          <w:tcPr>
            <w:tcW w:w="1127"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p>
        </w:tc>
        <w:tc>
          <w:tcPr>
            <w:tcW w:w="2552" w:type="dxa"/>
            <w:vAlign w:val="center"/>
          </w:tcPr>
          <w:p>
            <w:pPr>
              <w:pStyle w:val="13"/>
              <w:spacing w:line="480" w:lineRule="auto"/>
              <w:jc w:val="center"/>
              <w:rPr>
                <w:rFonts w:hAnsi="宋体"/>
                <w:color w:val="auto"/>
                <w:kern w:val="2"/>
                <w:highlight w:val="none"/>
              </w:rPr>
            </w:pPr>
          </w:p>
        </w:tc>
        <w:tc>
          <w:tcPr>
            <w:tcW w:w="1559" w:type="dxa"/>
            <w:vAlign w:val="center"/>
          </w:tcPr>
          <w:p>
            <w:pPr>
              <w:pStyle w:val="13"/>
              <w:spacing w:line="480" w:lineRule="auto"/>
              <w:jc w:val="center"/>
              <w:rPr>
                <w:rFonts w:hAnsi="宋体"/>
                <w:color w:val="auto"/>
                <w:kern w:val="2"/>
                <w:highlight w:val="none"/>
              </w:rPr>
            </w:pPr>
          </w:p>
        </w:tc>
        <w:tc>
          <w:tcPr>
            <w:tcW w:w="3544" w:type="dxa"/>
            <w:vAlign w:val="center"/>
          </w:tcPr>
          <w:p>
            <w:pPr>
              <w:pStyle w:val="13"/>
              <w:spacing w:line="480" w:lineRule="auto"/>
              <w:jc w:val="center"/>
              <w:rPr>
                <w:rFonts w:hAnsi="宋体"/>
                <w:color w:val="auto"/>
                <w:kern w:val="2"/>
                <w:highlight w:val="none"/>
              </w:rPr>
            </w:pPr>
          </w:p>
        </w:tc>
        <w:tc>
          <w:tcPr>
            <w:tcW w:w="1127" w:type="dxa"/>
            <w:vAlign w:val="center"/>
          </w:tcPr>
          <w:p>
            <w:pPr>
              <w:pStyle w:val="13"/>
              <w:spacing w:line="480" w:lineRule="auto"/>
              <w:jc w:val="center"/>
              <w:rPr>
                <w:rFonts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p>
        </w:tc>
        <w:tc>
          <w:tcPr>
            <w:tcW w:w="2552" w:type="dxa"/>
            <w:vAlign w:val="center"/>
          </w:tcPr>
          <w:p>
            <w:pPr>
              <w:pStyle w:val="13"/>
              <w:spacing w:line="480" w:lineRule="auto"/>
              <w:jc w:val="center"/>
              <w:rPr>
                <w:rFonts w:hAnsi="宋体"/>
                <w:color w:val="auto"/>
                <w:kern w:val="2"/>
                <w:highlight w:val="none"/>
              </w:rPr>
            </w:pPr>
          </w:p>
        </w:tc>
        <w:tc>
          <w:tcPr>
            <w:tcW w:w="1559" w:type="dxa"/>
            <w:vAlign w:val="center"/>
          </w:tcPr>
          <w:p>
            <w:pPr>
              <w:pStyle w:val="13"/>
              <w:spacing w:line="480" w:lineRule="auto"/>
              <w:jc w:val="center"/>
              <w:rPr>
                <w:rFonts w:hAnsi="宋体"/>
                <w:color w:val="auto"/>
                <w:kern w:val="2"/>
                <w:highlight w:val="none"/>
              </w:rPr>
            </w:pPr>
          </w:p>
        </w:tc>
        <w:tc>
          <w:tcPr>
            <w:tcW w:w="3544" w:type="dxa"/>
            <w:vAlign w:val="center"/>
          </w:tcPr>
          <w:p>
            <w:pPr>
              <w:pStyle w:val="13"/>
              <w:spacing w:line="480" w:lineRule="auto"/>
              <w:jc w:val="center"/>
              <w:rPr>
                <w:rFonts w:hAnsi="宋体"/>
                <w:color w:val="auto"/>
                <w:kern w:val="2"/>
                <w:highlight w:val="none"/>
              </w:rPr>
            </w:pPr>
          </w:p>
        </w:tc>
        <w:tc>
          <w:tcPr>
            <w:tcW w:w="1127" w:type="dxa"/>
            <w:vAlign w:val="center"/>
          </w:tcPr>
          <w:p>
            <w:pPr>
              <w:pStyle w:val="13"/>
              <w:spacing w:line="480" w:lineRule="auto"/>
              <w:jc w:val="center"/>
              <w:rPr>
                <w:rFonts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p>
        </w:tc>
        <w:tc>
          <w:tcPr>
            <w:tcW w:w="2552" w:type="dxa"/>
            <w:vAlign w:val="center"/>
          </w:tcPr>
          <w:p>
            <w:pPr>
              <w:pStyle w:val="13"/>
              <w:spacing w:line="480" w:lineRule="auto"/>
              <w:jc w:val="center"/>
              <w:rPr>
                <w:rFonts w:hAnsi="宋体"/>
                <w:color w:val="auto"/>
                <w:kern w:val="2"/>
                <w:highlight w:val="none"/>
              </w:rPr>
            </w:pPr>
          </w:p>
        </w:tc>
        <w:tc>
          <w:tcPr>
            <w:tcW w:w="1559" w:type="dxa"/>
            <w:vAlign w:val="center"/>
          </w:tcPr>
          <w:p>
            <w:pPr>
              <w:pStyle w:val="13"/>
              <w:spacing w:line="480" w:lineRule="auto"/>
              <w:jc w:val="center"/>
              <w:rPr>
                <w:rFonts w:hAnsi="宋体"/>
                <w:color w:val="auto"/>
                <w:kern w:val="2"/>
                <w:highlight w:val="none"/>
              </w:rPr>
            </w:pPr>
          </w:p>
        </w:tc>
        <w:tc>
          <w:tcPr>
            <w:tcW w:w="3544" w:type="dxa"/>
            <w:vAlign w:val="center"/>
          </w:tcPr>
          <w:p>
            <w:pPr>
              <w:pStyle w:val="13"/>
              <w:spacing w:line="480" w:lineRule="auto"/>
              <w:jc w:val="center"/>
              <w:rPr>
                <w:rFonts w:hAnsi="宋体"/>
                <w:color w:val="auto"/>
                <w:kern w:val="2"/>
                <w:highlight w:val="none"/>
              </w:rPr>
            </w:pPr>
          </w:p>
        </w:tc>
        <w:tc>
          <w:tcPr>
            <w:tcW w:w="1127" w:type="dxa"/>
            <w:vAlign w:val="center"/>
          </w:tcPr>
          <w:p>
            <w:pPr>
              <w:pStyle w:val="13"/>
              <w:spacing w:line="480" w:lineRule="auto"/>
              <w:jc w:val="center"/>
              <w:rPr>
                <w:rFonts w:hAnsi="宋体"/>
                <w:color w:val="auto"/>
                <w:kern w:val="2"/>
                <w:highlight w:val="none"/>
              </w:rPr>
            </w:pPr>
          </w:p>
        </w:tc>
      </w:tr>
    </w:tbl>
    <w:p>
      <w:pPr>
        <w:spacing w:line="380" w:lineRule="exact"/>
        <w:rPr>
          <w:rFonts w:ascii="宋体"/>
          <w:color w:val="auto"/>
          <w:szCs w:val="21"/>
          <w:highlight w:val="none"/>
        </w:rPr>
      </w:pPr>
      <w:r>
        <w:rPr>
          <w:rFonts w:hint="eastAsia" w:ascii="宋体" w:hAnsi="宋体"/>
          <w:color w:val="auto"/>
          <w:szCs w:val="21"/>
          <w:highlight w:val="none"/>
        </w:rPr>
        <w:t>注：各股东名称必须与《国家企业信用信息公示系统》（网址：</w:t>
      </w:r>
      <w:r>
        <w:rPr>
          <w:rFonts w:ascii="宋体" w:hAnsi="宋体"/>
          <w:color w:val="auto"/>
          <w:szCs w:val="21"/>
          <w:highlight w:val="none"/>
        </w:rPr>
        <w:t xml:space="preserve">http:// www.gsxt.gov.cn/index.html) </w:t>
      </w:r>
      <w:r>
        <w:rPr>
          <w:rFonts w:hint="eastAsia" w:ascii="宋体" w:hAnsi="宋体"/>
          <w:color w:val="auto"/>
          <w:szCs w:val="21"/>
          <w:highlight w:val="none"/>
        </w:rPr>
        <w:t>“股东及出资信息”的信息相符。</w:t>
      </w:r>
    </w:p>
    <w:p>
      <w:pPr>
        <w:spacing w:line="380" w:lineRule="exact"/>
        <w:rPr>
          <w:rFonts w:ascii="宋体"/>
          <w:color w:val="auto"/>
          <w:szCs w:val="21"/>
          <w:highlight w:val="none"/>
        </w:rPr>
      </w:pPr>
    </w:p>
    <w:p>
      <w:pPr>
        <w:spacing w:line="380" w:lineRule="exact"/>
        <w:rPr>
          <w:rFonts w:ascii="宋体"/>
          <w:color w:val="auto"/>
          <w:szCs w:val="21"/>
          <w:highlight w:val="none"/>
        </w:rPr>
      </w:pPr>
    </w:p>
    <w:p>
      <w:pPr>
        <w:spacing w:line="380" w:lineRule="exact"/>
        <w:ind w:firstLine="4095" w:firstLineChars="1950"/>
        <w:rPr>
          <w:rFonts w:ascii="宋体"/>
          <w:color w:val="auto"/>
          <w:szCs w:val="21"/>
          <w:highlight w:val="none"/>
        </w:rPr>
      </w:pPr>
      <w:r>
        <w:rPr>
          <w:rFonts w:hint="eastAsia" w:ascii="宋体" w:hAnsi="宋体"/>
          <w:color w:val="auto"/>
          <w:szCs w:val="21"/>
          <w:highlight w:val="none"/>
        </w:rPr>
        <w:t>法定代表人或被授权人签字</w:t>
      </w:r>
      <w:r>
        <w:rPr>
          <w:rFonts w:ascii="宋体" w:hAnsi="宋体"/>
          <w:color w:val="auto"/>
          <w:szCs w:val="21"/>
          <w:highlight w:val="none"/>
        </w:rPr>
        <w:t>:</w:t>
      </w:r>
      <w:r>
        <w:rPr>
          <w:rFonts w:ascii="宋体" w:hAnsi="宋体"/>
          <w:color w:val="auto"/>
          <w:szCs w:val="21"/>
          <w:highlight w:val="none"/>
          <w:u w:val="single"/>
        </w:rPr>
        <w:t xml:space="preserve">                   </w:t>
      </w:r>
    </w:p>
    <w:p>
      <w:pPr>
        <w:spacing w:line="380" w:lineRule="exact"/>
        <w:ind w:firstLine="4095" w:firstLineChars="1950"/>
        <w:rPr>
          <w:rFonts w:ascii="宋体"/>
          <w:color w:val="auto"/>
          <w:szCs w:val="21"/>
          <w:highlight w:val="none"/>
        </w:rPr>
      </w:pPr>
    </w:p>
    <w:p>
      <w:pPr>
        <w:spacing w:line="380" w:lineRule="exact"/>
        <w:ind w:right="420" w:firstLine="4095" w:firstLineChars="1950"/>
        <w:rPr>
          <w:rFonts w:ascii="宋体"/>
          <w:color w:val="auto"/>
          <w:szCs w:val="21"/>
          <w:highlight w:val="none"/>
        </w:rPr>
      </w:pPr>
      <w:r>
        <w:rPr>
          <w:rFonts w:hint="eastAsia" w:hAnsi="宋体"/>
          <w:color w:val="auto"/>
          <w:highlight w:val="none"/>
        </w:rPr>
        <w:t>谈判供应商名称（盖章）：</w:t>
      </w:r>
      <w:r>
        <w:rPr>
          <w:rFonts w:hAnsi="宋体"/>
          <w:color w:val="auto"/>
          <w:highlight w:val="none"/>
          <w:u w:val="single"/>
        </w:rPr>
        <w:t xml:space="preserve">                      </w:t>
      </w:r>
    </w:p>
    <w:p>
      <w:pPr>
        <w:spacing w:line="380" w:lineRule="exact"/>
        <w:ind w:right="420" w:firstLine="5460" w:firstLineChars="2600"/>
        <w:rPr>
          <w:rFonts w:ascii="宋体"/>
          <w:color w:val="auto"/>
          <w:szCs w:val="21"/>
          <w:highlight w:val="none"/>
        </w:rPr>
      </w:pPr>
    </w:p>
    <w:p>
      <w:pPr>
        <w:autoSpaceDE w:val="0"/>
        <w:autoSpaceDN w:val="0"/>
        <w:spacing w:line="300" w:lineRule="auto"/>
        <w:ind w:left="105" w:leftChars="50" w:firstLine="5460" w:firstLineChars="2600"/>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jc w:val="center"/>
        <w:rPr>
          <w:rFonts w:ascii="宋体" w:hAnsi="宋体"/>
          <w:b/>
          <w:color w:val="auto"/>
          <w:sz w:val="30"/>
          <w:szCs w:val="30"/>
          <w:highlight w:val="none"/>
        </w:rPr>
      </w:pPr>
      <w:r>
        <w:rPr>
          <w:rFonts w:hint="eastAsia" w:ascii="宋体" w:hAnsi="宋体"/>
          <w:b/>
          <w:color w:val="auto"/>
          <w:sz w:val="30"/>
          <w:szCs w:val="30"/>
          <w:highlight w:val="none"/>
        </w:rPr>
        <w:t>无重大违法记录声明书（格式）</w:t>
      </w:r>
    </w:p>
    <w:p>
      <w:pPr>
        <w:ind w:firstLine="210" w:firstLineChars="100"/>
        <w:rPr>
          <w:rStyle w:val="46"/>
          <w:rFonts w:ascii="宋体" w:hAnsi="宋体"/>
          <w:color w:val="auto"/>
          <w:szCs w:val="21"/>
          <w:highlight w:val="none"/>
        </w:rPr>
      </w:pPr>
    </w:p>
    <w:p>
      <w:pPr>
        <w:spacing w:line="360" w:lineRule="exact"/>
        <w:rPr>
          <w:rFonts w:ascii="宋体" w:hAnsi="宋体"/>
          <w:color w:val="auto"/>
          <w:szCs w:val="21"/>
          <w:highlight w:val="none"/>
        </w:rPr>
      </w:pPr>
      <w:r>
        <w:rPr>
          <w:rStyle w:val="46"/>
          <w:rFonts w:hint="eastAsia" w:ascii="宋体" w:hAnsi="宋体"/>
          <w:color w:val="auto"/>
          <w:szCs w:val="21"/>
          <w:highlight w:val="none"/>
        </w:rPr>
        <w:t>广西万盯卯招标咨询有限公司：</w:t>
      </w:r>
    </w:p>
    <w:p>
      <w:pPr>
        <w:spacing w:line="360" w:lineRule="exact"/>
        <w:ind w:firstLine="420" w:firstLineChars="200"/>
        <w:rPr>
          <w:rFonts w:ascii="宋体" w:hAnsi="宋体"/>
          <w:color w:val="auto"/>
          <w:szCs w:val="21"/>
          <w:highlight w:val="none"/>
        </w:rPr>
      </w:pPr>
      <w:r>
        <w:rPr>
          <w:rStyle w:val="46"/>
          <w:rFonts w:hint="eastAsia" w:ascii="宋体" w:hAnsi="宋体"/>
          <w:color w:val="auto"/>
          <w:szCs w:val="21"/>
          <w:highlight w:val="none"/>
        </w:rPr>
        <w:t>我公司参加贵公司组织</w:t>
      </w:r>
      <w:r>
        <w:rPr>
          <w:rStyle w:val="46"/>
          <w:rFonts w:hint="eastAsia" w:ascii="宋体" w:hAnsi="宋体"/>
          <w:color w:val="auto"/>
          <w:szCs w:val="21"/>
          <w:highlight w:val="none"/>
          <w:u w:val="single"/>
        </w:rPr>
        <w:t xml:space="preserve">  （项目名称及编号）  </w:t>
      </w:r>
      <w:r>
        <w:rPr>
          <w:rStyle w:val="46"/>
          <w:rFonts w:hint="eastAsia" w:ascii="宋体" w:hAnsi="宋体"/>
          <w:color w:val="auto"/>
          <w:szCs w:val="21"/>
          <w:highlight w:val="none"/>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360" w:lineRule="exact"/>
        <w:ind w:firstLine="420" w:firstLineChars="200"/>
        <w:rPr>
          <w:rFonts w:ascii="宋体" w:hAnsi="宋体"/>
          <w:color w:val="auto"/>
          <w:szCs w:val="21"/>
          <w:highlight w:val="none"/>
        </w:rPr>
      </w:pPr>
      <w:r>
        <w:rPr>
          <w:rStyle w:val="46"/>
          <w:rFonts w:hint="eastAsia" w:ascii="宋体" w:hAnsi="宋体"/>
          <w:color w:val="auto"/>
          <w:szCs w:val="21"/>
          <w:highlight w:val="none"/>
        </w:rPr>
        <w:t>特此承诺。</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80" w:lineRule="exact"/>
        <w:ind w:firstLine="4095" w:firstLineChars="1950"/>
        <w:rPr>
          <w:rFonts w:ascii="宋体" w:hAnsi="宋体"/>
          <w:color w:val="auto"/>
          <w:szCs w:val="21"/>
          <w:highlight w:val="none"/>
        </w:rPr>
      </w:pPr>
      <w:r>
        <w:rPr>
          <w:rFonts w:hint="eastAsia" w:ascii="宋体" w:hAnsi="宋体"/>
          <w:color w:val="auto"/>
          <w:szCs w:val="21"/>
          <w:highlight w:val="none"/>
        </w:rPr>
        <w:t>法定代表人或被授权人签字:</w:t>
      </w:r>
      <w:r>
        <w:rPr>
          <w:rFonts w:hint="eastAsia" w:ascii="宋体" w:hAnsi="宋体"/>
          <w:color w:val="auto"/>
          <w:szCs w:val="21"/>
          <w:highlight w:val="none"/>
          <w:u w:val="single"/>
        </w:rPr>
        <w:t xml:space="preserve">                   </w:t>
      </w:r>
    </w:p>
    <w:p>
      <w:pPr>
        <w:spacing w:line="380" w:lineRule="exact"/>
        <w:ind w:right="420" w:firstLine="4200" w:firstLineChars="2000"/>
        <w:rPr>
          <w:rFonts w:ascii="宋体" w:hAnsi="宋体"/>
          <w:color w:val="auto"/>
          <w:szCs w:val="21"/>
          <w:highlight w:val="none"/>
        </w:rPr>
      </w:pPr>
      <w:r>
        <w:rPr>
          <w:rFonts w:hint="eastAsia" w:hAnsi="宋体"/>
          <w:color w:val="auto"/>
          <w:highlight w:val="none"/>
        </w:rPr>
        <w:t>投标人名称（盖章）：</w:t>
      </w:r>
      <w:r>
        <w:rPr>
          <w:rFonts w:hAnsi="宋体"/>
          <w:color w:val="auto"/>
          <w:highlight w:val="none"/>
          <w:u w:val="single"/>
        </w:rPr>
        <w:t xml:space="preserve">                      </w:t>
      </w:r>
    </w:p>
    <w:p>
      <w:pPr>
        <w:snapToGrid w:val="0"/>
        <w:spacing w:line="360" w:lineRule="exact"/>
        <w:ind w:firstLine="4515" w:firstLineChars="2150"/>
        <w:jc w:val="left"/>
        <w:rPr>
          <w:rFonts w:ascii="宋体" w:hAnsi="宋体"/>
          <w:color w:val="auto"/>
          <w:szCs w:val="21"/>
          <w:highlight w:val="none"/>
        </w:rPr>
      </w:pPr>
      <w:r>
        <w:rPr>
          <w:rFonts w:hint="eastAsia" w:ascii="宋体" w:hAnsi="宋体"/>
          <w:color w:val="auto"/>
          <w:szCs w:val="21"/>
          <w:highlight w:val="none"/>
        </w:rPr>
        <w:t>年     月      日</w:t>
      </w:r>
    </w:p>
    <w:p>
      <w:pPr>
        <w:snapToGrid w:val="0"/>
        <w:spacing w:beforeLines="50" w:after="50"/>
        <w:jc w:val="left"/>
        <w:rPr>
          <w:rFonts w:ascii="宋体"/>
          <w:b/>
          <w:bCs/>
          <w:color w:val="auto"/>
          <w:sz w:val="24"/>
          <w:highlight w:val="none"/>
        </w:rPr>
      </w:pPr>
      <w:r>
        <w:rPr>
          <w:rFonts w:ascii="宋体"/>
          <w:color w:val="auto"/>
          <w:szCs w:val="21"/>
          <w:highlight w:val="none"/>
        </w:rPr>
        <w:br w:type="page"/>
      </w:r>
      <w:r>
        <w:rPr>
          <w:rFonts w:hint="eastAsia" w:ascii="宋体" w:hAnsi="宋体"/>
          <w:b/>
          <w:bCs/>
          <w:color w:val="auto"/>
          <w:sz w:val="24"/>
          <w:highlight w:val="none"/>
        </w:rPr>
        <w:t>附件八：其他文书、文件格式</w:t>
      </w:r>
    </w:p>
    <w:p>
      <w:pPr>
        <w:snapToGrid w:val="0"/>
        <w:spacing w:beforeLines="50" w:after="50"/>
        <w:jc w:val="left"/>
        <w:rPr>
          <w:rFonts w:ascii="宋体"/>
          <w:b/>
          <w:bCs/>
          <w:color w:val="auto"/>
          <w:sz w:val="24"/>
          <w:highlight w:val="none"/>
        </w:rPr>
      </w:pPr>
    </w:p>
    <w:p>
      <w:pPr>
        <w:snapToGrid w:val="0"/>
        <w:spacing w:beforeLines="50" w:after="50"/>
        <w:jc w:val="left"/>
        <w:rPr>
          <w:rFonts w:ascii="宋体"/>
          <w:b/>
          <w:color w:val="auto"/>
          <w:spacing w:val="20"/>
          <w:sz w:val="24"/>
          <w:highlight w:val="none"/>
        </w:rPr>
      </w:pPr>
      <w:r>
        <w:rPr>
          <w:rFonts w:ascii="宋体" w:hAnsi="宋体"/>
          <w:b/>
          <w:color w:val="auto"/>
          <w:spacing w:val="20"/>
          <w:sz w:val="24"/>
          <w:highlight w:val="none"/>
        </w:rPr>
        <w:t>8.1</w:t>
      </w:r>
      <w:r>
        <w:rPr>
          <w:rFonts w:hint="eastAsia" w:ascii="宋体" w:hAnsi="宋体"/>
          <w:b/>
          <w:color w:val="auto"/>
          <w:spacing w:val="20"/>
          <w:sz w:val="24"/>
          <w:highlight w:val="none"/>
        </w:rPr>
        <w:t>联合体竞标协议书格式：</w:t>
      </w:r>
    </w:p>
    <w:p>
      <w:pPr>
        <w:pStyle w:val="7"/>
        <w:overflowPunct w:val="0"/>
        <w:spacing w:line="360" w:lineRule="auto"/>
        <w:ind w:firstLine="0"/>
        <w:jc w:val="center"/>
        <w:rPr>
          <w:rFonts w:ascii="宋体"/>
          <w:b/>
          <w:color w:val="auto"/>
          <w:sz w:val="28"/>
          <w:szCs w:val="28"/>
          <w:highlight w:val="none"/>
        </w:rPr>
      </w:pPr>
    </w:p>
    <w:p>
      <w:pPr>
        <w:pStyle w:val="7"/>
        <w:overflowPunct w:val="0"/>
        <w:spacing w:line="360" w:lineRule="auto"/>
        <w:ind w:firstLine="0"/>
        <w:jc w:val="center"/>
        <w:rPr>
          <w:rFonts w:ascii="宋体"/>
          <w:b/>
          <w:color w:val="auto"/>
          <w:sz w:val="28"/>
          <w:szCs w:val="28"/>
          <w:highlight w:val="none"/>
        </w:rPr>
      </w:pPr>
      <w:r>
        <w:rPr>
          <w:rFonts w:hint="eastAsia" w:ascii="宋体" w:hAnsi="宋体"/>
          <w:b/>
          <w:color w:val="auto"/>
          <w:sz w:val="28"/>
          <w:szCs w:val="28"/>
          <w:highlight w:val="none"/>
        </w:rPr>
        <w:t>联合体竞标协议书</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甲方：</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乙方：</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（如果有的话，可按甲、乙、丙、丁…序列增加）</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各方经协商，就响应</w:t>
      </w:r>
      <w:r>
        <w:rPr>
          <w:rFonts w:ascii="宋体" w:hAnsi="宋体"/>
          <w:color w:val="auto"/>
          <w:szCs w:val="21"/>
          <w:highlight w:val="none"/>
        </w:rPr>
        <w:t xml:space="preserve"> </w:t>
      </w:r>
      <w:r>
        <w:rPr>
          <w:rFonts w:hint="eastAsia" w:ascii="宋体" w:hAnsi="宋体"/>
          <w:color w:val="auto"/>
          <w:szCs w:val="21"/>
          <w:highlight w:val="none"/>
        </w:rPr>
        <w:t>组织实施的编号为号的采购活动联合进行竞标之事宜，达成如下协议：</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一、各方一致决定，以</w:t>
      </w:r>
      <w:r>
        <w:rPr>
          <w:rFonts w:ascii="宋体" w:hAnsi="宋体"/>
          <w:color w:val="auto"/>
          <w:szCs w:val="21"/>
          <w:highlight w:val="none"/>
        </w:rPr>
        <w:t xml:space="preserve">  </w:t>
      </w:r>
      <w:r>
        <w:rPr>
          <w:rFonts w:hint="eastAsia" w:ascii="宋体" w:hAnsi="宋体"/>
          <w:color w:val="auto"/>
          <w:szCs w:val="21"/>
          <w:highlight w:val="none"/>
        </w:rPr>
        <w:t>为主办人进行竞标，并按照竞争性谈判文件的规定分别提交资格文件。</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二、在本次采购过程中，主办人的</w:t>
      </w:r>
      <w:r>
        <w:rPr>
          <w:rFonts w:hint="eastAsia" w:ascii="宋体" w:hAnsi="宋体"/>
          <w:color w:val="auto"/>
          <w:szCs w:val="21"/>
          <w:highlight w:val="none"/>
          <w:u w:val="single"/>
        </w:rPr>
        <w:t>法定代表人或授权代理人</w:t>
      </w:r>
      <w:r>
        <w:rPr>
          <w:rFonts w:hint="eastAsia" w:ascii="宋体" w:hAnsi="宋体"/>
          <w:color w:val="auto"/>
          <w:szCs w:val="21"/>
          <w:highlight w:val="none"/>
        </w:rPr>
        <w:t>根据竞争性谈判文件规定及竞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三、联合体其余各方保证对主办人为响应本次采购而提供的产品和服务提供全部质量保证及售后服务支持。</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四、本次联合投标中，甲方承担的工作和义务为</w:t>
      </w:r>
      <w:r>
        <w:rPr>
          <w:rFonts w:ascii="宋体" w:hAnsi="宋体"/>
          <w:color w:val="auto"/>
          <w:szCs w:val="21"/>
          <w:highlight w:val="none"/>
        </w:rPr>
        <w:t>:</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乙方承担的工作和义务为：</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五、有关本次联合投标的其他事宜：</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六、本协议提交招标采购单位后，联合体各方不得以任何形式对上述实质内容进行修改或撤销。</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七、本协议一式四份，签约各方各持一份，交政府采购管理部门及招标采购单位各一份。</w:t>
      </w:r>
    </w:p>
    <w:tbl>
      <w:tblPr>
        <w:tblStyle w:val="24"/>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甲方单位：</w:t>
            </w:r>
            <w:r>
              <w:rPr>
                <w:rFonts w:ascii="宋体" w:hAnsi="宋体"/>
                <w:color w:val="auto"/>
                <w:szCs w:val="21"/>
                <w:highlight w:val="none"/>
              </w:rPr>
              <w:t xml:space="preserve">          </w:t>
            </w:r>
            <w:r>
              <w:rPr>
                <w:rFonts w:hint="eastAsia" w:ascii="宋体" w:hAnsi="宋体"/>
                <w:color w:val="auto"/>
                <w:szCs w:val="21"/>
                <w:highlight w:val="none"/>
              </w:rPr>
              <w:t>（公章）</w:t>
            </w:r>
          </w:p>
          <w:p>
            <w:pPr>
              <w:pStyle w:val="7"/>
              <w:overflowPunct w:val="0"/>
              <w:ind w:firstLine="0"/>
              <w:rPr>
                <w:rFonts w:ascii="宋体"/>
                <w:color w:val="auto"/>
                <w:szCs w:val="21"/>
                <w:highlight w:val="none"/>
              </w:rPr>
            </w:pPr>
            <w:r>
              <w:rPr>
                <w:rFonts w:hint="eastAsia" w:ascii="宋体" w:hAnsi="宋体"/>
                <w:color w:val="auto"/>
                <w:szCs w:val="21"/>
                <w:highlight w:val="none"/>
              </w:rPr>
              <w:t>法定代表人：（签章）</w:t>
            </w: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264" w:type="dxa"/>
          </w:tcPr>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乙方单位：</w:t>
            </w:r>
            <w:r>
              <w:rPr>
                <w:rFonts w:ascii="宋体" w:hAnsi="宋体"/>
                <w:color w:val="auto"/>
                <w:szCs w:val="21"/>
                <w:highlight w:val="none"/>
              </w:rPr>
              <w:t xml:space="preserve">           </w:t>
            </w:r>
            <w:r>
              <w:rPr>
                <w:rFonts w:hint="eastAsia" w:ascii="宋体" w:hAnsi="宋体"/>
                <w:color w:val="auto"/>
                <w:szCs w:val="21"/>
                <w:highlight w:val="none"/>
              </w:rPr>
              <w:t>（公章）</w:t>
            </w:r>
          </w:p>
          <w:p>
            <w:pPr>
              <w:pStyle w:val="7"/>
              <w:overflowPunct w:val="0"/>
              <w:ind w:firstLine="0"/>
              <w:rPr>
                <w:rFonts w:ascii="宋体"/>
                <w:color w:val="auto"/>
                <w:szCs w:val="21"/>
                <w:highlight w:val="none"/>
              </w:rPr>
            </w:pPr>
            <w:r>
              <w:rPr>
                <w:rFonts w:hint="eastAsia" w:ascii="宋体" w:hAnsi="宋体"/>
                <w:color w:val="auto"/>
                <w:szCs w:val="21"/>
                <w:highlight w:val="none"/>
              </w:rPr>
              <w:t>法定代表人：（签章）</w:t>
            </w: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pPr>
        <w:pStyle w:val="7"/>
        <w:overflowPunct w:val="0"/>
        <w:ind w:firstLine="0"/>
        <w:rPr>
          <w:rFonts w:ascii="宋体"/>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widowControl/>
        <w:jc w:val="left"/>
        <w:rPr>
          <w:rFonts w:ascii="宋体"/>
          <w:b/>
          <w:color w:val="auto"/>
          <w:sz w:val="24"/>
          <w:highlight w:val="none"/>
        </w:rPr>
      </w:pPr>
      <w:r>
        <w:rPr>
          <w:rFonts w:ascii="宋体"/>
          <w:b/>
          <w:color w:val="auto"/>
          <w:sz w:val="24"/>
          <w:highlight w:val="none"/>
        </w:rPr>
        <w:br w:type="page"/>
      </w:r>
    </w:p>
    <w:p>
      <w:pPr>
        <w:snapToGrid w:val="0"/>
        <w:spacing w:beforeLines="50" w:after="50"/>
        <w:jc w:val="left"/>
        <w:rPr>
          <w:rFonts w:ascii="宋体"/>
          <w:b/>
          <w:color w:val="auto"/>
          <w:sz w:val="24"/>
          <w:highlight w:val="none"/>
        </w:rPr>
      </w:pPr>
      <w:r>
        <w:rPr>
          <w:rFonts w:ascii="宋体" w:hAnsi="宋体"/>
          <w:b/>
          <w:color w:val="auto"/>
          <w:sz w:val="24"/>
          <w:highlight w:val="none"/>
        </w:rPr>
        <w:t>8.2</w:t>
      </w:r>
      <w:r>
        <w:rPr>
          <w:rFonts w:hint="eastAsia" w:ascii="宋体" w:hAnsi="宋体"/>
          <w:b/>
          <w:color w:val="auto"/>
          <w:sz w:val="24"/>
          <w:highlight w:val="none"/>
        </w:rPr>
        <w:t>联合投标授权委托书格式：</w:t>
      </w:r>
    </w:p>
    <w:p>
      <w:pPr>
        <w:pStyle w:val="7"/>
        <w:overflowPunct w:val="0"/>
        <w:ind w:firstLine="0"/>
        <w:rPr>
          <w:rFonts w:ascii="宋体"/>
          <w:color w:val="auto"/>
          <w:sz w:val="30"/>
          <w:highlight w:val="none"/>
        </w:rPr>
      </w:pPr>
    </w:p>
    <w:p>
      <w:pPr>
        <w:pStyle w:val="7"/>
        <w:overflowPunct w:val="0"/>
        <w:jc w:val="center"/>
        <w:rPr>
          <w:rFonts w:ascii="宋体"/>
          <w:b/>
          <w:color w:val="auto"/>
          <w:sz w:val="28"/>
          <w:szCs w:val="28"/>
          <w:highlight w:val="none"/>
        </w:rPr>
      </w:pPr>
      <w:r>
        <w:rPr>
          <w:rFonts w:hint="eastAsia" w:ascii="宋体" w:hAnsi="宋体"/>
          <w:b/>
          <w:color w:val="auto"/>
          <w:sz w:val="28"/>
          <w:szCs w:val="28"/>
          <w:highlight w:val="none"/>
        </w:rPr>
        <w:t>联合体竞标授权委托书</w:t>
      </w:r>
    </w:p>
    <w:p>
      <w:pPr>
        <w:pStyle w:val="7"/>
        <w:overflowPunct w:val="0"/>
        <w:spacing w:line="400" w:lineRule="exact"/>
        <w:rPr>
          <w:rFonts w:ascii="宋体"/>
          <w:color w:val="auto"/>
          <w:sz w:val="24"/>
          <w:highlight w:val="none"/>
        </w:rPr>
      </w:pPr>
    </w:p>
    <w:p>
      <w:pPr>
        <w:pStyle w:val="7"/>
        <w:overflowPunct w:val="0"/>
        <w:spacing w:line="40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本授权委托书声明：根据</w:t>
      </w:r>
      <w:r>
        <w:rPr>
          <w:rFonts w:ascii="宋体" w:hAnsi="宋体"/>
          <w:color w:val="auto"/>
          <w:sz w:val="24"/>
          <w:highlight w:val="none"/>
        </w:rPr>
        <w:t xml:space="preserve"> </w:t>
      </w:r>
      <w:r>
        <w:rPr>
          <w:rFonts w:hint="eastAsia" w:ascii="宋体" w:hAnsi="宋体"/>
          <w:color w:val="auto"/>
          <w:sz w:val="24"/>
          <w:highlight w:val="none"/>
        </w:rPr>
        <w:t>与签订的《联合体竞标协议书》的内容，主办人的法定代表人现授权</w:t>
      </w:r>
      <w:r>
        <w:rPr>
          <w:rFonts w:ascii="宋体" w:hAnsi="宋体"/>
          <w:color w:val="auto"/>
          <w:sz w:val="24"/>
          <w:highlight w:val="none"/>
        </w:rPr>
        <w:t xml:space="preserve">  </w:t>
      </w:r>
      <w:r>
        <w:rPr>
          <w:rFonts w:hint="eastAsia" w:ascii="宋体" w:hAnsi="宋体"/>
          <w:color w:val="auto"/>
          <w:sz w:val="24"/>
          <w:highlight w:val="none"/>
        </w:rPr>
        <w:t>为联合竞标代理人，代理人在提交响应文件、谈判、合同谈判过程中所签署的一切文件和处理与这有关的一切事务，</w:t>
      </w:r>
      <w:r>
        <w:rPr>
          <w:rFonts w:ascii="宋体" w:hAnsi="宋体"/>
          <w:color w:val="auto"/>
          <w:sz w:val="24"/>
          <w:highlight w:val="none"/>
        </w:rPr>
        <w:t xml:space="preserve"> </w:t>
      </w:r>
      <w:r>
        <w:rPr>
          <w:rFonts w:hint="eastAsia" w:ascii="宋体" w:hAnsi="宋体"/>
          <w:color w:val="auto"/>
          <w:sz w:val="24"/>
          <w:highlight w:val="none"/>
        </w:rPr>
        <w:t>联合体各方均予以认可并遵守。</w:t>
      </w:r>
    </w:p>
    <w:p>
      <w:pPr>
        <w:pStyle w:val="7"/>
        <w:overflowPunct w:val="0"/>
        <w:spacing w:line="40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特此委托。</w:t>
      </w:r>
    </w:p>
    <w:p>
      <w:pPr>
        <w:pStyle w:val="7"/>
        <w:overflowPunct w:val="0"/>
        <w:spacing w:line="400" w:lineRule="exact"/>
        <w:rPr>
          <w:rFonts w:ascii="宋体"/>
          <w:color w:val="auto"/>
          <w:sz w:val="24"/>
          <w:highlight w:val="none"/>
        </w:rPr>
      </w:pPr>
    </w:p>
    <w:p>
      <w:pPr>
        <w:pStyle w:val="7"/>
        <w:overflowPunct w:val="0"/>
        <w:spacing w:line="400" w:lineRule="exact"/>
        <w:rPr>
          <w:rFonts w:ascii="宋体"/>
          <w:color w:val="auto"/>
          <w:sz w:val="24"/>
          <w:highlight w:val="none"/>
        </w:rPr>
      </w:pPr>
    </w:p>
    <w:p>
      <w:pPr>
        <w:pStyle w:val="7"/>
        <w:overflowPunct w:val="0"/>
        <w:spacing w:line="400" w:lineRule="exact"/>
        <w:ind w:firstLine="480" w:firstLineChars="200"/>
        <w:rPr>
          <w:rFonts w:ascii="宋体"/>
          <w:color w:val="auto"/>
          <w:sz w:val="24"/>
          <w:highlight w:val="none"/>
        </w:rPr>
      </w:pPr>
      <w:r>
        <w:rPr>
          <w:rFonts w:hint="eastAsia" w:ascii="宋体" w:hAnsi="宋体"/>
          <w:color w:val="auto"/>
          <w:sz w:val="24"/>
          <w:highlight w:val="none"/>
        </w:rPr>
        <w:t>授权人（签字）：</w:t>
      </w:r>
    </w:p>
    <w:p>
      <w:pPr>
        <w:pStyle w:val="7"/>
        <w:overflowPunct w:val="0"/>
        <w:spacing w:line="400" w:lineRule="exact"/>
        <w:ind w:left="420" w:firstLine="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pStyle w:val="7"/>
        <w:overflowPunct w:val="0"/>
        <w:spacing w:line="400" w:lineRule="exact"/>
        <w:rPr>
          <w:rFonts w:ascii="宋体"/>
          <w:color w:val="auto"/>
          <w:sz w:val="24"/>
          <w:highlight w:val="none"/>
        </w:rPr>
      </w:pPr>
    </w:p>
    <w:p>
      <w:pPr>
        <w:pStyle w:val="7"/>
        <w:overflowPunct w:val="0"/>
        <w:spacing w:line="400" w:lineRule="exact"/>
        <w:rPr>
          <w:rFonts w:ascii="宋体"/>
          <w:color w:val="auto"/>
          <w:sz w:val="24"/>
          <w:highlight w:val="none"/>
        </w:rPr>
      </w:pPr>
      <w:r>
        <w:rPr>
          <w:rFonts w:hint="eastAsia" w:ascii="宋体" w:hAnsi="宋体"/>
          <w:color w:val="auto"/>
          <w:sz w:val="24"/>
          <w:highlight w:val="none"/>
        </w:rPr>
        <w:t>被授权人（签字）；</w:t>
      </w:r>
    </w:p>
    <w:p>
      <w:pPr>
        <w:pStyle w:val="7"/>
        <w:overflowPunct w:val="0"/>
        <w:spacing w:line="400" w:lineRule="exact"/>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rPr>
          <w:rFonts w:ascii="宋体"/>
          <w:color w:val="auto"/>
          <w:highlight w:val="none"/>
        </w:rPr>
      </w:pPr>
    </w:p>
    <w:p>
      <w:pPr>
        <w:rPr>
          <w:rFonts w:ascii="宋体"/>
          <w:color w:val="auto"/>
          <w:kern w:val="0"/>
          <w:sz w:val="36"/>
          <w:szCs w:val="36"/>
          <w:highlight w:val="none"/>
        </w:rPr>
      </w:pPr>
    </w:p>
    <w:p>
      <w:pPr>
        <w:autoSpaceDE w:val="0"/>
        <w:autoSpaceDN w:val="0"/>
        <w:spacing w:line="300" w:lineRule="auto"/>
        <w:ind w:left="480" w:hanging="480"/>
        <w:rPr>
          <w:rFonts w:ascii="宋体"/>
          <w:color w:val="auto"/>
          <w:szCs w:val="21"/>
          <w:highlight w:val="none"/>
        </w:rPr>
      </w:pPr>
    </w:p>
    <w:p>
      <w:pPr>
        <w:autoSpaceDE w:val="0"/>
        <w:autoSpaceDN w:val="0"/>
        <w:spacing w:line="300" w:lineRule="auto"/>
        <w:ind w:left="480" w:hanging="480"/>
        <w:rPr>
          <w:rFonts w:ascii="宋体"/>
          <w:color w:val="auto"/>
          <w:szCs w:val="21"/>
          <w:highlight w:val="none"/>
        </w:rPr>
      </w:pPr>
    </w:p>
    <w:p>
      <w:pPr>
        <w:autoSpaceDE w:val="0"/>
        <w:autoSpaceDN w:val="0"/>
        <w:spacing w:line="300" w:lineRule="auto"/>
        <w:ind w:left="480" w:hanging="480"/>
        <w:rPr>
          <w:rFonts w:ascii="宋体"/>
          <w:color w:val="auto"/>
          <w:szCs w:val="21"/>
          <w:highlight w:val="none"/>
        </w:rPr>
      </w:pPr>
    </w:p>
    <w:p>
      <w:pPr>
        <w:snapToGrid w:val="0"/>
        <w:spacing w:beforeLines="50" w:after="50"/>
        <w:jc w:val="left"/>
        <w:rPr>
          <w:rFonts w:ascii="宋体"/>
          <w:color w:val="auto"/>
          <w:highlight w:val="none"/>
        </w:rPr>
      </w:pPr>
      <w:r>
        <w:rPr>
          <w:rFonts w:ascii="宋体"/>
          <w:color w:val="auto"/>
          <w:szCs w:val="21"/>
          <w:highlight w:val="none"/>
        </w:rPr>
        <w:br w:type="page"/>
      </w:r>
      <w:r>
        <w:rPr>
          <w:rFonts w:ascii="宋体" w:hAnsi="宋体"/>
          <w:b/>
          <w:color w:val="auto"/>
          <w:sz w:val="24"/>
          <w:highlight w:val="none"/>
        </w:rPr>
        <w:t>8.3</w:t>
      </w:r>
      <w:r>
        <w:rPr>
          <w:rFonts w:hint="eastAsia" w:ascii="宋体" w:hAnsi="宋体"/>
          <w:b/>
          <w:color w:val="auto"/>
          <w:sz w:val="24"/>
          <w:highlight w:val="none"/>
        </w:rPr>
        <w:t>中小企业声明</w:t>
      </w:r>
      <w:r>
        <w:rPr>
          <w:rFonts w:hint="eastAsia" w:ascii="宋体" w:hAnsi="宋体"/>
          <w:b/>
          <w:color w:val="auto"/>
          <w:sz w:val="24"/>
          <w:highlight w:val="none"/>
        </w:rPr>
        <w:t>函</w:t>
      </w:r>
    </w:p>
    <w:p>
      <w:pPr>
        <w:rPr>
          <w:rFonts w:ascii="宋体"/>
          <w:color w:val="auto"/>
          <w:highlight w:val="none"/>
        </w:rPr>
      </w:pPr>
    </w:p>
    <w:p>
      <w:pPr>
        <w:spacing w:line="588" w:lineRule="exact"/>
        <w:jc w:val="center"/>
        <w:rPr>
          <w:rFonts w:ascii="宋体"/>
          <w:b/>
          <w:color w:val="auto"/>
          <w:spacing w:val="6"/>
          <w:sz w:val="32"/>
          <w:szCs w:val="32"/>
          <w:highlight w:val="none"/>
        </w:rPr>
      </w:pPr>
      <w:r>
        <w:rPr>
          <w:rFonts w:hint="eastAsia" w:ascii="宋体" w:hAnsi="宋体"/>
          <w:b/>
          <w:color w:val="auto"/>
          <w:spacing w:val="6"/>
          <w:sz w:val="32"/>
          <w:szCs w:val="32"/>
          <w:highlight w:val="none"/>
        </w:rPr>
        <w:t>中小企业声明函</w:t>
      </w:r>
    </w:p>
    <w:p>
      <w:pPr>
        <w:spacing w:line="588" w:lineRule="exact"/>
        <w:rPr>
          <w:rFonts w:ascii="宋体"/>
          <w:b/>
          <w:color w:val="auto"/>
          <w:spacing w:val="6"/>
          <w:sz w:val="30"/>
          <w:szCs w:val="30"/>
          <w:highlight w:val="none"/>
        </w:rPr>
      </w:pPr>
    </w:p>
    <w:p>
      <w:pPr>
        <w:spacing w:line="588" w:lineRule="exact"/>
        <w:ind w:firstLine="624" w:firstLineChars="200"/>
        <w:rPr>
          <w:rFonts w:ascii="宋体"/>
          <w:color w:val="auto"/>
          <w:spacing w:val="6"/>
          <w:sz w:val="30"/>
          <w:szCs w:val="30"/>
          <w:highlight w:val="none"/>
        </w:rPr>
      </w:pPr>
      <w:r>
        <w:rPr>
          <w:rFonts w:hint="eastAsia" w:ascii="宋体" w:hAnsi="宋体"/>
          <w:color w:val="auto"/>
          <w:spacing w:val="6"/>
          <w:sz w:val="30"/>
          <w:szCs w:val="30"/>
          <w:highlight w:val="none"/>
        </w:rPr>
        <w:t>本公司郑重声明，根据《政府采购促进中小企业发展暂行办法》（财库</w:t>
      </w:r>
      <w:r>
        <w:rPr>
          <w:rFonts w:ascii="宋体" w:hAnsi="宋体"/>
          <w:color w:val="auto"/>
          <w:spacing w:val="6"/>
          <w:sz w:val="30"/>
          <w:szCs w:val="30"/>
          <w:highlight w:val="none"/>
        </w:rPr>
        <w:t>[2011]181</w:t>
      </w:r>
      <w:r>
        <w:rPr>
          <w:rFonts w:hint="eastAsia" w:ascii="宋体" w:hAnsi="宋体"/>
          <w:color w:val="auto"/>
          <w:spacing w:val="6"/>
          <w:sz w:val="30"/>
          <w:szCs w:val="30"/>
          <w:highlight w:val="none"/>
        </w:rPr>
        <w:t>号）的规定，本公司为</w:t>
      </w:r>
      <w:bookmarkStart w:id="121" w:name="OLE_LINK5"/>
      <w:r>
        <w:rPr>
          <w:rFonts w:ascii="宋体" w:hAnsi="宋体"/>
          <w:color w:val="auto"/>
          <w:spacing w:val="6"/>
          <w:sz w:val="30"/>
          <w:szCs w:val="30"/>
          <w:highlight w:val="none"/>
        </w:rPr>
        <w:t>______</w:t>
      </w:r>
      <w:r>
        <w:rPr>
          <w:rFonts w:hint="eastAsia" w:ascii="宋体" w:hAnsi="宋体"/>
          <w:color w:val="auto"/>
          <w:spacing w:val="6"/>
          <w:sz w:val="30"/>
          <w:szCs w:val="30"/>
          <w:highlight w:val="none"/>
        </w:rPr>
        <w:t>（请填写：中型、小型、微型）企业</w:t>
      </w:r>
      <w:bookmarkEnd w:id="121"/>
      <w:r>
        <w:rPr>
          <w:rFonts w:hint="eastAsia" w:ascii="宋体" w:hAnsi="宋体"/>
          <w:color w:val="auto"/>
          <w:spacing w:val="6"/>
          <w:sz w:val="30"/>
          <w:szCs w:val="30"/>
          <w:highlight w:val="none"/>
        </w:rPr>
        <w:t>。即，本公司同时满足以下条件：</w:t>
      </w:r>
    </w:p>
    <w:p>
      <w:pPr>
        <w:spacing w:line="588" w:lineRule="exact"/>
        <w:ind w:firstLine="624" w:firstLineChars="200"/>
        <w:rPr>
          <w:rFonts w:ascii="宋体"/>
          <w:color w:val="auto"/>
          <w:spacing w:val="6"/>
          <w:sz w:val="30"/>
          <w:szCs w:val="30"/>
          <w:highlight w:val="none"/>
        </w:rPr>
      </w:pPr>
      <w:r>
        <w:rPr>
          <w:rFonts w:ascii="宋体" w:hAnsi="宋体"/>
          <w:color w:val="auto"/>
          <w:spacing w:val="6"/>
          <w:sz w:val="30"/>
          <w:szCs w:val="30"/>
          <w:highlight w:val="none"/>
        </w:rPr>
        <w:t>1.</w:t>
      </w:r>
      <w:r>
        <w:rPr>
          <w:rFonts w:hint="eastAsia" w:ascii="宋体" w:hAnsi="宋体"/>
          <w:color w:val="auto"/>
          <w:spacing w:val="6"/>
          <w:sz w:val="30"/>
          <w:szCs w:val="30"/>
          <w:highlight w:val="none"/>
        </w:rPr>
        <w:t>根据《工业和信息化部、国家统计局、国家发展和改革委员会、财政部关于印发中小企业划型标准规定的通知》（工信部联企业</w:t>
      </w:r>
      <w:r>
        <w:rPr>
          <w:rFonts w:ascii="宋体" w:hAnsi="宋体"/>
          <w:color w:val="auto"/>
          <w:spacing w:val="6"/>
          <w:sz w:val="30"/>
          <w:szCs w:val="30"/>
          <w:highlight w:val="none"/>
        </w:rPr>
        <w:t>[2011]300</w:t>
      </w:r>
      <w:r>
        <w:rPr>
          <w:rFonts w:hint="eastAsia" w:ascii="宋体" w:hAnsi="宋体"/>
          <w:color w:val="auto"/>
          <w:spacing w:val="6"/>
          <w:sz w:val="30"/>
          <w:szCs w:val="30"/>
          <w:highlight w:val="none"/>
        </w:rPr>
        <w:t>号）规定的划分标准，本公司为</w:t>
      </w:r>
      <w:r>
        <w:rPr>
          <w:rFonts w:ascii="宋体" w:hAnsi="宋体"/>
          <w:color w:val="auto"/>
          <w:spacing w:val="6"/>
          <w:sz w:val="30"/>
          <w:szCs w:val="30"/>
          <w:highlight w:val="none"/>
        </w:rPr>
        <w:t>______</w:t>
      </w:r>
      <w:r>
        <w:rPr>
          <w:rFonts w:hint="eastAsia" w:ascii="宋体" w:hAnsi="宋体"/>
          <w:color w:val="auto"/>
          <w:spacing w:val="6"/>
          <w:sz w:val="30"/>
          <w:szCs w:val="30"/>
          <w:highlight w:val="none"/>
        </w:rPr>
        <w:t>（请填写：中型、小型、微型）企业。</w:t>
      </w:r>
    </w:p>
    <w:p>
      <w:pPr>
        <w:spacing w:line="588" w:lineRule="exact"/>
        <w:ind w:firstLine="624" w:firstLineChars="200"/>
        <w:rPr>
          <w:rFonts w:ascii="宋体"/>
          <w:color w:val="auto"/>
          <w:spacing w:val="6"/>
          <w:sz w:val="30"/>
          <w:szCs w:val="30"/>
          <w:highlight w:val="none"/>
        </w:rPr>
      </w:pPr>
      <w:r>
        <w:rPr>
          <w:rFonts w:ascii="宋体" w:hAnsi="宋体"/>
          <w:color w:val="auto"/>
          <w:spacing w:val="6"/>
          <w:sz w:val="30"/>
          <w:szCs w:val="30"/>
          <w:highlight w:val="none"/>
        </w:rPr>
        <w:t>2.</w:t>
      </w:r>
      <w:r>
        <w:rPr>
          <w:rFonts w:hint="eastAsia" w:ascii="宋体" w:hAnsi="宋体"/>
          <w:color w:val="auto"/>
          <w:spacing w:val="6"/>
          <w:sz w:val="30"/>
          <w:szCs w:val="30"/>
          <w:highlight w:val="none"/>
        </w:rPr>
        <w:t>本公司参加</w:t>
      </w:r>
      <w:r>
        <w:rPr>
          <w:rFonts w:ascii="宋体" w:hAnsi="宋体"/>
          <w:color w:val="auto"/>
          <w:spacing w:val="6"/>
          <w:sz w:val="30"/>
          <w:szCs w:val="30"/>
          <w:highlight w:val="none"/>
        </w:rPr>
        <w:t>______</w:t>
      </w:r>
      <w:r>
        <w:rPr>
          <w:rFonts w:hint="eastAsia" w:ascii="宋体" w:hAnsi="宋体"/>
          <w:color w:val="auto"/>
          <w:spacing w:val="6"/>
          <w:sz w:val="30"/>
          <w:szCs w:val="30"/>
          <w:highlight w:val="none"/>
        </w:rPr>
        <w:t>单位的</w:t>
      </w:r>
      <w:r>
        <w:rPr>
          <w:rFonts w:ascii="宋体" w:hAnsi="宋体"/>
          <w:color w:val="auto"/>
          <w:spacing w:val="6"/>
          <w:sz w:val="30"/>
          <w:szCs w:val="30"/>
          <w:highlight w:val="none"/>
        </w:rPr>
        <w:t>______</w:t>
      </w:r>
      <w:r>
        <w:rPr>
          <w:rFonts w:hint="eastAsia" w:ascii="宋体" w:hAnsi="宋体"/>
          <w:color w:val="auto"/>
          <w:spacing w:val="6"/>
          <w:sz w:val="30"/>
          <w:szCs w:val="30"/>
          <w:highlight w:val="none"/>
        </w:rPr>
        <w:t>项目采购活动提供本企业制造的货物，由本企业承担工程、提供服务，或者提供其他</w:t>
      </w:r>
      <w:r>
        <w:rPr>
          <w:rFonts w:ascii="宋体" w:hAnsi="宋体"/>
          <w:color w:val="auto"/>
          <w:spacing w:val="6"/>
          <w:sz w:val="30"/>
          <w:szCs w:val="30"/>
          <w:highlight w:val="none"/>
        </w:rPr>
        <w:t>______</w:t>
      </w:r>
      <w:r>
        <w:rPr>
          <w:rFonts w:hint="eastAsia" w:ascii="宋体" w:hAnsi="宋体"/>
          <w:color w:val="auto"/>
          <w:spacing w:val="6"/>
          <w:sz w:val="30"/>
          <w:szCs w:val="30"/>
          <w:highlight w:val="none"/>
        </w:rPr>
        <w:t>（请填写：中型、小型、微型）企业制造的货物。本条所称货物不包括使用大型企业注册商标的货物。</w:t>
      </w:r>
    </w:p>
    <w:p>
      <w:pPr>
        <w:spacing w:line="588" w:lineRule="exact"/>
        <w:ind w:firstLine="624" w:firstLineChars="200"/>
        <w:rPr>
          <w:rFonts w:ascii="宋体"/>
          <w:color w:val="auto"/>
          <w:spacing w:val="6"/>
          <w:sz w:val="30"/>
          <w:szCs w:val="30"/>
          <w:highlight w:val="none"/>
        </w:rPr>
      </w:pPr>
      <w:r>
        <w:rPr>
          <w:rFonts w:hint="eastAsia" w:ascii="宋体" w:hAnsi="宋体"/>
          <w:color w:val="auto"/>
          <w:spacing w:val="6"/>
          <w:sz w:val="30"/>
          <w:szCs w:val="30"/>
          <w:highlight w:val="none"/>
        </w:rPr>
        <w:t>本公司对上述声明的真实性负责。如有虚假，将依法承担相应责任。</w:t>
      </w:r>
    </w:p>
    <w:p>
      <w:pPr>
        <w:spacing w:line="588" w:lineRule="exact"/>
        <w:ind w:firstLine="624" w:firstLineChars="200"/>
        <w:rPr>
          <w:rFonts w:ascii="宋体"/>
          <w:color w:val="auto"/>
          <w:spacing w:val="6"/>
          <w:sz w:val="30"/>
          <w:szCs w:val="30"/>
          <w:highlight w:val="none"/>
        </w:rPr>
      </w:pPr>
    </w:p>
    <w:p>
      <w:pPr>
        <w:spacing w:line="588" w:lineRule="exact"/>
        <w:ind w:firstLine="624" w:firstLineChars="200"/>
        <w:rPr>
          <w:rFonts w:ascii="宋体"/>
          <w:color w:val="auto"/>
          <w:spacing w:val="6"/>
          <w:sz w:val="30"/>
          <w:szCs w:val="30"/>
          <w:highlight w:val="none"/>
        </w:rPr>
      </w:pPr>
    </w:p>
    <w:p>
      <w:pPr>
        <w:tabs>
          <w:tab w:val="left" w:pos="4860"/>
        </w:tabs>
        <w:spacing w:line="588" w:lineRule="exact"/>
        <w:ind w:right="1560" w:firstLine="624" w:firstLineChars="200"/>
        <w:jc w:val="center"/>
        <w:rPr>
          <w:rFonts w:ascii="宋体"/>
          <w:color w:val="auto"/>
          <w:spacing w:val="6"/>
          <w:sz w:val="30"/>
          <w:szCs w:val="30"/>
          <w:highlight w:val="none"/>
        </w:rPr>
      </w:pPr>
      <w:r>
        <w:rPr>
          <w:rFonts w:ascii="宋体" w:hAnsi="宋体"/>
          <w:color w:val="auto"/>
          <w:spacing w:val="6"/>
          <w:sz w:val="30"/>
          <w:szCs w:val="30"/>
          <w:highlight w:val="none"/>
        </w:rPr>
        <w:t xml:space="preserve">               </w:t>
      </w:r>
      <w:r>
        <w:rPr>
          <w:rFonts w:hint="eastAsia" w:ascii="宋体" w:hAnsi="宋体"/>
          <w:color w:val="auto"/>
          <w:spacing w:val="6"/>
          <w:sz w:val="30"/>
          <w:szCs w:val="30"/>
          <w:highlight w:val="none"/>
        </w:rPr>
        <w:t>企业名称（盖章）：</w:t>
      </w:r>
      <w:r>
        <w:rPr>
          <w:rFonts w:ascii="宋体" w:hAnsi="宋体"/>
          <w:color w:val="auto"/>
          <w:spacing w:val="6"/>
          <w:sz w:val="30"/>
          <w:szCs w:val="30"/>
          <w:highlight w:val="none"/>
        </w:rPr>
        <w:t xml:space="preserve"> </w:t>
      </w:r>
    </w:p>
    <w:p>
      <w:pPr>
        <w:rPr>
          <w:rFonts w:ascii="宋体"/>
          <w:color w:val="auto"/>
          <w:highlight w:val="none"/>
        </w:rPr>
      </w:pPr>
      <w:r>
        <w:rPr>
          <w:rFonts w:ascii="宋体" w:hAnsi="宋体"/>
          <w:color w:val="auto"/>
          <w:spacing w:val="6"/>
          <w:sz w:val="30"/>
          <w:szCs w:val="30"/>
          <w:highlight w:val="none"/>
        </w:rPr>
        <w:t xml:space="preserve">                               </w:t>
      </w:r>
      <w:r>
        <w:rPr>
          <w:rFonts w:hint="eastAsia" w:ascii="宋体" w:hAnsi="宋体"/>
          <w:color w:val="auto"/>
          <w:spacing w:val="6"/>
          <w:sz w:val="30"/>
          <w:szCs w:val="30"/>
          <w:highlight w:val="none"/>
        </w:rPr>
        <w:t>日</w:t>
      </w:r>
      <w:r>
        <w:rPr>
          <w:rFonts w:ascii="宋体" w:hAnsi="宋体"/>
          <w:color w:val="auto"/>
          <w:spacing w:val="6"/>
          <w:sz w:val="30"/>
          <w:szCs w:val="30"/>
          <w:highlight w:val="none"/>
        </w:rPr>
        <w:t xml:space="preserve">  </w:t>
      </w:r>
      <w:r>
        <w:rPr>
          <w:rFonts w:hint="eastAsia" w:ascii="宋体" w:hAnsi="宋体"/>
          <w:color w:val="auto"/>
          <w:spacing w:val="6"/>
          <w:sz w:val="30"/>
          <w:szCs w:val="30"/>
          <w:highlight w:val="none"/>
        </w:rPr>
        <w:t>期：</w:t>
      </w:r>
      <w:r>
        <w:rPr>
          <w:rFonts w:ascii="宋体" w:hAnsi="宋体"/>
          <w:color w:val="auto"/>
          <w:spacing w:val="6"/>
          <w:sz w:val="30"/>
          <w:szCs w:val="30"/>
          <w:highlight w:val="none"/>
        </w:rPr>
        <w:t xml:space="preserve">         </w:t>
      </w:r>
    </w:p>
    <w:p>
      <w:pPr>
        <w:rPr>
          <w:rFonts w:ascii="宋体"/>
          <w:color w:val="auto"/>
          <w:highlight w:val="none"/>
        </w:rPr>
      </w:pPr>
    </w:p>
    <w:p>
      <w:pPr>
        <w:rPr>
          <w:rFonts w:ascii="宋体"/>
          <w:color w:val="auto"/>
          <w:highlight w:val="none"/>
        </w:rPr>
      </w:pPr>
    </w:p>
    <w:p>
      <w:pPr>
        <w:rPr>
          <w:rFonts w:ascii="宋体"/>
          <w:color w:val="auto"/>
          <w:highlight w:val="none"/>
        </w:rPr>
      </w:pPr>
      <w:r>
        <w:rPr>
          <w:rFonts w:ascii="宋体"/>
          <w:color w:val="auto"/>
          <w:highlight w:val="none"/>
        </w:rPr>
        <w:br w:type="page"/>
      </w:r>
    </w:p>
    <w:p>
      <w:pPr>
        <w:snapToGrid w:val="0"/>
        <w:spacing w:beforeLines="50" w:after="50"/>
        <w:jc w:val="left"/>
        <w:rPr>
          <w:rFonts w:ascii="宋体"/>
          <w:b/>
          <w:color w:val="auto"/>
          <w:sz w:val="24"/>
          <w:highlight w:val="none"/>
        </w:rPr>
      </w:pPr>
      <w:r>
        <w:rPr>
          <w:rFonts w:ascii="宋体" w:hAnsi="宋体"/>
          <w:b/>
          <w:color w:val="auto"/>
          <w:sz w:val="24"/>
          <w:highlight w:val="none"/>
        </w:rPr>
        <w:t>8.4</w:t>
      </w:r>
      <w:r>
        <w:rPr>
          <w:rFonts w:hint="eastAsia" w:ascii="宋体" w:hAnsi="宋体"/>
          <w:b/>
          <w:color w:val="auto"/>
          <w:sz w:val="24"/>
          <w:highlight w:val="none"/>
        </w:rPr>
        <w:t>残疾人福利性单位声明函</w:t>
      </w:r>
    </w:p>
    <w:p>
      <w:pPr>
        <w:spacing w:line="588" w:lineRule="exact"/>
        <w:jc w:val="center"/>
        <w:rPr>
          <w:rFonts w:ascii="宋体"/>
          <w:b/>
          <w:color w:val="auto"/>
          <w:spacing w:val="6"/>
          <w:sz w:val="32"/>
          <w:szCs w:val="32"/>
          <w:highlight w:val="none"/>
        </w:rPr>
      </w:pPr>
      <w:bookmarkStart w:id="122" w:name="OLE_LINK14"/>
      <w:bookmarkStart w:id="123" w:name="OLE_LINK13"/>
    </w:p>
    <w:p>
      <w:pPr>
        <w:spacing w:line="588" w:lineRule="exact"/>
        <w:jc w:val="center"/>
        <w:rPr>
          <w:rFonts w:asci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bookmarkEnd w:id="122"/>
    <w:bookmarkEnd w:id="123"/>
    <w:p>
      <w:pPr>
        <w:spacing w:line="588" w:lineRule="exact"/>
        <w:rPr>
          <w:rFonts w:ascii="宋体"/>
          <w:b/>
          <w:color w:val="auto"/>
          <w:spacing w:val="6"/>
          <w:sz w:val="30"/>
          <w:szCs w:val="30"/>
          <w:highlight w:val="none"/>
        </w:rPr>
      </w:pPr>
    </w:p>
    <w:p>
      <w:pPr>
        <w:spacing w:line="588" w:lineRule="exact"/>
        <w:ind w:firstLine="624" w:firstLineChars="200"/>
        <w:rPr>
          <w:rFonts w:ascii="宋体"/>
          <w:color w:val="auto"/>
          <w:spacing w:val="6"/>
          <w:sz w:val="30"/>
          <w:szCs w:val="30"/>
          <w:highlight w:val="none"/>
        </w:rPr>
      </w:pPr>
      <w:r>
        <w:rPr>
          <w:rFonts w:hint="eastAsia" w:ascii="宋体" w:hAnsi="宋体"/>
          <w:color w:val="auto"/>
          <w:spacing w:val="6"/>
          <w:sz w:val="30"/>
          <w:szCs w:val="30"/>
          <w:highlight w:val="none"/>
        </w:rPr>
        <w:t>本单位郑重声明，根据《财政部</w:t>
      </w:r>
      <w:r>
        <w:rPr>
          <w:rFonts w:ascii="宋体" w:hAnsi="宋体"/>
          <w:color w:val="auto"/>
          <w:spacing w:val="6"/>
          <w:sz w:val="30"/>
          <w:szCs w:val="30"/>
          <w:highlight w:val="none"/>
        </w:rPr>
        <w:t xml:space="preserve"> </w:t>
      </w:r>
      <w:r>
        <w:rPr>
          <w:rFonts w:hint="eastAsia" w:ascii="宋体" w:hAnsi="宋体"/>
          <w:color w:val="auto"/>
          <w:spacing w:val="6"/>
          <w:sz w:val="30"/>
          <w:szCs w:val="30"/>
          <w:highlight w:val="none"/>
        </w:rPr>
        <w:t>民政部</w:t>
      </w:r>
      <w:r>
        <w:rPr>
          <w:rFonts w:ascii="宋体" w:hAnsi="宋体"/>
          <w:color w:val="auto"/>
          <w:spacing w:val="6"/>
          <w:sz w:val="30"/>
          <w:szCs w:val="30"/>
          <w:highlight w:val="none"/>
        </w:rPr>
        <w:t xml:space="preserve"> </w:t>
      </w:r>
      <w:r>
        <w:rPr>
          <w:rFonts w:hint="eastAsia" w:ascii="宋体" w:hAnsi="宋体"/>
          <w:color w:val="auto"/>
          <w:spacing w:val="6"/>
          <w:sz w:val="30"/>
          <w:szCs w:val="30"/>
          <w:highlight w:val="none"/>
        </w:rPr>
        <w:t>中国残疾人联合会关于促进残疾人就业政府采购政策的通知》（财库</w:t>
      </w:r>
      <w:r>
        <w:rPr>
          <w:rFonts w:hint="eastAsia" w:ascii="宋体" w:hAnsi="宋体"/>
          <w:color w:val="auto"/>
          <w:sz w:val="32"/>
          <w:szCs w:val="32"/>
          <w:highlight w:val="none"/>
        </w:rPr>
        <w:t>〔</w:t>
      </w:r>
      <w:r>
        <w:rPr>
          <w:rFonts w:ascii="宋体" w:hAnsi="宋体"/>
          <w:color w:val="auto"/>
          <w:sz w:val="32"/>
          <w:szCs w:val="32"/>
          <w:highlight w:val="none"/>
        </w:rPr>
        <w:t>2017</w:t>
      </w:r>
      <w:r>
        <w:rPr>
          <w:rFonts w:hint="eastAsia" w:ascii="宋体" w:hAnsi="宋体"/>
          <w:color w:val="auto"/>
          <w:sz w:val="32"/>
          <w:szCs w:val="32"/>
          <w:highlight w:val="none"/>
        </w:rPr>
        <w:t>〕</w:t>
      </w:r>
      <w:r>
        <w:rPr>
          <w:rFonts w:ascii="宋体" w:hAnsi="宋体"/>
          <w:color w:val="auto"/>
          <w:sz w:val="32"/>
          <w:szCs w:val="32"/>
          <w:highlight w:val="none"/>
        </w:rPr>
        <w:t xml:space="preserve"> 141</w:t>
      </w:r>
      <w:r>
        <w:rPr>
          <w:rFonts w:hint="eastAsia" w:ascii="宋体" w:hAnsi="宋体"/>
          <w:color w:val="auto"/>
          <w:spacing w:val="6"/>
          <w:sz w:val="30"/>
          <w:szCs w:val="30"/>
          <w:highlight w:val="none"/>
        </w:rPr>
        <w:t>号）的规定，本单位为符合条件的残疾人福利性单位，且本单位参加</w:t>
      </w:r>
      <w:r>
        <w:rPr>
          <w:rFonts w:ascii="宋体" w:hAnsi="宋体"/>
          <w:color w:val="auto"/>
          <w:spacing w:val="6"/>
          <w:sz w:val="30"/>
          <w:szCs w:val="30"/>
          <w:highlight w:val="none"/>
        </w:rPr>
        <w:t>______</w:t>
      </w:r>
      <w:r>
        <w:rPr>
          <w:rFonts w:hint="eastAsia" w:ascii="宋体" w:hAnsi="宋体"/>
          <w:color w:val="auto"/>
          <w:spacing w:val="6"/>
          <w:sz w:val="30"/>
          <w:szCs w:val="30"/>
          <w:highlight w:val="none"/>
        </w:rPr>
        <w:t>单位的</w:t>
      </w:r>
      <w:r>
        <w:rPr>
          <w:rFonts w:ascii="宋体" w:hAnsi="宋体"/>
          <w:color w:val="auto"/>
          <w:spacing w:val="6"/>
          <w:sz w:val="30"/>
          <w:szCs w:val="30"/>
          <w:highlight w:val="none"/>
        </w:rPr>
        <w:t>______</w:t>
      </w:r>
      <w:r>
        <w:rPr>
          <w:rFonts w:hint="eastAsia" w:ascii="宋体" w:hAnsi="宋体"/>
          <w:color w:val="auto"/>
          <w:spacing w:val="6"/>
          <w:sz w:val="30"/>
          <w:szCs w:val="30"/>
          <w:highlight w:val="none"/>
        </w:rPr>
        <w:t>项目采购活动提供本单位制造的货物（由本单位承担工程</w:t>
      </w:r>
      <w:r>
        <w:rPr>
          <w:rFonts w:ascii="宋体" w:hAnsi="宋体"/>
          <w:color w:val="auto"/>
          <w:spacing w:val="6"/>
          <w:sz w:val="30"/>
          <w:szCs w:val="30"/>
          <w:highlight w:val="none"/>
        </w:rPr>
        <w:t>/</w:t>
      </w:r>
      <w:r>
        <w:rPr>
          <w:rFonts w:hint="eastAsia" w:ascii="宋体" w:hAnsi="宋体"/>
          <w:color w:val="auto"/>
          <w:spacing w:val="6"/>
          <w:sz w:val="30"/>
          <w:szCs w:val="30"/>
          <w:highlight w:val="none"/>
        </w:rPr>
        <w:t>提供服务），或者提供其他残疾人福利性单位制造的货物（不包括使用非残疾人福利性单位注册商标的货物）。</w:t>
      </w:r>
    </w:p>
    <w:p>
      <w:pPr>
        <w:spacing w:line="588" w:lineRule="exact"/>
        <w:ind w:firstLine="624" w:firstLineChars="200"/>
        <w:rPr>
          <w:rFonts w:ascii="宋体"/>
          <w:color w:val="auto"/>
          <w:spacing w:val="6"/>
          <w:sz w:val="30"/>
          <w:szCs w:val="30"/>
          <w:highlight w:val="none"/>
        </w:rPr>
      </w:pPr>
      <w:r>
        <w:rPr>
          <w:rFonts w:hint="eastAsia" w:ascii="宋体" w:hAnsi="宋体"/>
          <w:color w:val="auto"/>
          <w:spacing w:val="6"/>
          <w:sz w:val="30"/>
          <w:szCs w:val="30"/>
          <w:highlight w:val="none"/>
        </w:rPr>
        <w:t>本单位对上述声明的真实性负责。如有虚假，将依法承担相应责任。</w:t>
      </w:r>
    </w:p>
    <w:p>
      <w:pPr>
        <w:spacing w:line="588" w:lineRule="exact"/>
        <w:ind w:firstLine="624" w:firstLineChars="200"/>
        <w:rPr>
          <w:rFonts w:ascii="宋体"/>
          <w:color w:val="auto"/>
          <w:spacing w:val="6"/>
          <w:sz w:val="30"/>
          <w:szCs w:val="30"/>
          <w:highlight w:val="none"/>
        </w:rPr>
      </w:pPr>
    </w:p>
    <w:p>
      <w:pPr>
        <w:spacing w:line="588" w:lineRule="exact"/>
        <w:ind w:firstLine="624" w:firstLineChars="200"/>
        <w:rPr>
          <w:rFonts w:ascii="宋体"/>
          <w:color w:val="auto"/>
          <w:spacing w:val="6"/>
          <w:sz w:val="30"/>
          <w:szCs w:val="30"/>
          <w:highlight w:val="none"/>
        </w:rPr>
      </w:pPr>
    </w:p>
    <w:p>
      <w:pPr>
        <w:tabs>
          <w:tab w:val="left" w:pos="4860"/>
        </w:tabs>
        <w:spacing w:line="588" w:lineRule="exact"/>
        <w:ind w:right="1560" w:firstLine="624" w:firstLineChars="200"/>
        <w:jc w:val="center"/>
        <w:rPr>
          <w:rFonts w:ascii="宋体"/>
          <w:color w:val="auto"/>
          <w:spacing w:val="6"/>
          <w:sz w:val="30"/>
          <w:szCs w:val="30"/>
          <w:highlight w:val="none"/>
        </w:rPr>
      </w:pPr>
      <w:r>
        <w:rPr>
          <w:rFonts w:hint="eastAsia" w:ascii="宋体" w:hAnsi="宋体"/>
          <w:color w:val="auto"/>
          <w:spacing w:val="6"/>
          <w:sz w:val="30"/>
          <w:szCs w:val="30"/>
          <w:highlight w:val="none"/>
        </w:rPr>
        <w:t>单位名称（盖章）：</w:t>
      </w:r>
    </w:p>
    <w:p>
      <w:pPr>
        <w:tabs>
          <w:tab w:val="left" w:pos="4860"/>
        </w:tabs>
        <w:spacing w:line="588" w:lineRule="exact"/>
        <w:ind w:right="1560" w:firstLine="624" w:firstLineChars="200"/>
        <w:jc w:val="center"/>
        <w:rPr>
          <w:rFonts w:ascii="宋体"/>
          <w:color w:val="auto"/>
          <w:spacing w:val="6"/>
          <w:sz w:val="30"/>
          <w:szCs w:val="30"/>
          <w:highlight w:val="none"/>
        </w:rPr>
      </w:pPr>
      <w:r>
        <w:rPr>
          <w:rFonts w:hint="eastAsia" w:ascii="宋体" w:hAnsi="宋体"/>
          <w:color w:val="auto"/>
          <w:spacing w:val="6"/>
          <w:sz w:val="30"/>
          <w:szCs w:val="30"/>
          <w:highlight w:val="none"/>
        </w:rPr>
        <w:t>日</w:t>
      </w:r>
      <w:r>
        <w:rPr>
          <w:rFonts w:ascii="宋体" w:hAnsi="宋体"/>
          <w:color w:val="auto"/>
          <w:spacing w:val="6"/>
          <w:sz w:val="30"/>
          <w:szCs w:val="30"/>
          <w:highlight w:val="none"/>
        </w:rPr>
        <w:t xml:space="preserve">  </w:t>
      </w:r>
      <w:r>
        <w:rPr>
          <w:rFonts w:hint="eastAsia" w:ascii="宋体" w:hAnsi="宋体"/>
          <w:color w:val="auto"/>
          <w:spacing w:val="6"/>
          <w:sz w:val="30"/>
          <w:szCs w:val="30"/>
          <w:highlight w:val="none"/>
        </w:rPr>
        <w:t>期：</w:t>
      </w:r>
    </w:p>
    <w:p>
      <w:pPr>
        <w:widowControl/>
        <w:jc w:val="left"/>
        <w:rPr>
          <w:rFonts w:ascii="宋体"/>
          <w:color w:val="auto"/>
          <w:szCs w:val="21"/>
          <w:highlight w:val="none"/>
        </w:rPr>
      </w:pPr>
    </w:p>
    <w:p>
      <w:pPr>
        <w:widowControl/>
        <w:jc w:val="left"/>
        <w:rPr>
          <w:rFonts w:ascii="宋体"/>
          <w:b/>
          <w:color w:val="auto"/>
          <w:sz w:val="28"/>
          <w:szCs w:val="28"/>
          <w:highlight w:val="none"/>
        </w:rPr>
      </w:pPr>
      <w:r>
        <w:rPr>
          <w:rFonts w:ascii="宋体"/>
          <w:b/>
          <w:color w:val="auto"/>
          <w:sz w:val="28"/>
          <w:szCs w:val="28"/>
          <w:highlight w:val="none"/>
        </w:rPr>
        <w:br w:type="page"/>
      </w:r>
    </w:p>
    <w:p>
      <w:pPr>
        <w:tabs>
          <w:tab w:val="left" w:pos="709"/>
        </w:tabs>
        <w:autoSpaceDE w:val="0"/>
        <w:autoSpaceDN w:val="0"/>
        <w:spacing w:line="300" w:lineRule="auto"/>
        <w:ind w:firstLine="943" w:firstLineChars="337"/>
        <w:rPr>
          <w:rFonts w:ascii="宋体"/>
          <w:b/>
          <w:color w:val="auto"/>
          <w:sz w:val="28"/>
          <w:szCs w:val="28"/>
          <w:highlight w:val="none"/>
        </w:rPr>
      </w:pPr>
      <w:r>
        <w:rPr>
          <w:rFonts w:hint="eastAsia" w:ascii="宋体" w:hAnsi="宋体"/>
          <w:b/>
          <w:color w:val="auto"/>
          <w:sz w:val="28"/>
          <w:szCs w:val="28"/>
          <w:highlight w:val="none"/>
        </w:rPr>
        <w:t>根据“采购项目技术规格、参数及要求”中的要求提供的技术方案、服务方案或证明文件等（要求必须提供的必须提供，格式自拟）</w:t>
      </w:r>
    </w:p>
    <w:p>
      <w:pPr>
        <w:widowControl/>
        <w:jc w:val="left"/>
        <w:rPr>
          <w:rFonts w:ascii="宋体"/>
          <w:b/>
          <w:color w:val="auto"/>
          <w:sz w:val="28"/>
          <w:szCs w:val="28"/>
          <w:highlight w:val="none"/>
        </w:rPr>
      </w:pPr>
      <w:r>
        <w:rPr>
          <w:rFonts w:ascii="宋体"/>
          <w:b/>
          <w:color w:val="auto"/>
          <w:sz w:val="28"/>
          <w:szCs w:val="28"/>
          <w:highlight w:val="none"/>
        </w:rPr>
        <w:br w:type="page"/>
      </w:r>
    </w:p>
    <w:p>
      <w:pPr>
        <w:tabs>
          <w:tab w:val="left" w:pos="709"/>
        </w:tabs>
        <w:autoSpaceDE w:val="0"/>
        <w:autoSpaceDN w:val="0"/>
        <w:spacing w:line="300" w:lineRule="auto"/>
        <w:ind w:firstLine="707" w:firstLineChars="337"/>
        <w:rPr>
          <w:rFonts w:ascii="宋体"/>
          <w:color w:val="auto"/>
          <w:szCs w:val="21"/>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 w:val="0"/>
          <w:bCs w:val="0"/>
          <w:color w:val="auto"/>
          <w:highlight w:val="none"/>
        </w:rPr>
      </w:pPr>
      <w:bookmarkStart w:id="124" w:name="_Toc496610501"/>
      <w:r>
        <w:rPr>
          <w:rFonts w:hint="eastAsia"/>
          <w:bCs w:val="0"/>
          <w:color w:val="auto"/>
          <w:highlight w:val="none"/>
        </w:rPr>
        <w:t>第五章合同主要条款</w:t>
      </w:r>
      <w:r>
        <w:rPr>
          <w:b w:val="0"/>
          <w:bCs w:val="0"/>
          <w:color w:val="auto"/>
          <w:highlight w:val="none"/>
        </w:rPr>
        <w:br w:type="page"/>
      </w:r>
      <w:bookmarkStart w:id="125" w:name="_Toc495501719"/>
      <w:bookmarkStart w:id="126" w:name="_Toc496610502"/>
      <w:bookmarkStart w:id="127" w:name="_Toc297022048"/>
    </w:p>
    <w:p>
      <w:pPr>
        <w:pStyle w:val="4"/>
        <w:jc w:val="center"/>
        <w:rPr>
          <w:b w:val="0"/>
          <w:bCs w:val="0"/>
          <w:color w:val="auto"/>
          <w:highlight w:val="none"/>
        </w:rPr>
      </w:pPr>
    </w:p>
    <w:p>
      <w:pPr>
        <w:pStyle w:val="4"/>
        <w:jc w:val="center"/>
        <w:rPr>
          <w:rFonts w:hAnsi="宋体" w:cs="Courier New"/>
          <w:b w:val="0"/>
          <w:color w:val="auto"/>
          <w:sz w:val="52"/>
          <w:szCs w:val="52"/>
          <w:highlight w:val="none"/>
        </w:rPr>
      </w:pPr>
      <w:r>
        <w:rPr>
          <w:rFonts w:hint="eastAsia"/>
          <w:color w:val="auto"/>
          <w:sz w:val="52"/>
          <w:szCs w:val="52"/>
          <w:highlight w:val="none"/>
        </w:rPr>
        <w:t>广西壮族自治区政府采购合同</w:t>
      </w:r>
      <w:bookmarkEnd w:id="124"/>
      <w:bookmarkEnd w:id="125"/>
      <w:bookmarkEnd w:id="126"/>
    </w:p>
    <w:p>
      <w:pPr>
        <w:rPr>
          <w:rFonts w:ascii="宋体" w:cs="Courier New"/>
          <w:color w:val="auto"/>
          <w:szCs w:val="21"/>
          <w:highlight w:val="none"/>
        </w:rPr>
      </w:pPr>
    </w:p>
    <w:p>
      <w:pPr>
        <w:rPr>
          <w:rFonts w:ascii="宋体" w:cs="Courier New"/>
          <w:color w:val="auto"/>
          <w:szCs w:val="21"/>
          <w:highlight w:val="none"/>
        </w:rPr>
      </w:pPr>
    </w:p>
    <w:p>
      <w:pPr>
        <w:rPr>
          <w:rFonts w:ascii="宋体" w:cs="Courier New"/>
          <w:color w:val="auto"/>
          <w:szCs w:val="21"/>
          <w:highlight w:val="none"/>
        </w:rPr>
      </w:pPr>
    </w:p>
    <w:p>
      <w:pPr>
        <w:rPr>
          <w:rFonts w:ascii="宋体" w:cs="Courier New"/>
          <w:color w:val="auto"/>
          <w:szCs w:val="21"/>
          <w:highlight w:val="none"/>
        </w:rPr>
      </w:pPr>
    </w:p>
    <w:p>
      <w:pPr>
        <w:ind w:firstLine="1584" w:firstLineChars="495"/>
        <w:rPr>
          <w:rFonts w:ascii="宋体" w:cs="Courier New"/>
          <w:b/>
          <w:color w:val="auto"/>
          <w:sz w:val="32"/>
          <w:szCs w:val="32"/>
          <w:highlight w:val="none"/>
          <w:u w:val="single"/>
        </w:rPr>
      </w:pPr>
      <w:r>
        <w:rPr>
          <w:rFonts w:hint="eastAsia" w:ascii="宋体" w:hAnsi="宋体" w:cs="Courier New"/>
          <w:b/>
          <w:color w:val="auto"/>
          <w:sz w:val="32"/>
          <w:szCs w:val="32"/>
          <w:highlight w:val="none"/>
        </w:rPr>
        <w:t>合同名称：</w:t>
      </w:r>
    </w:p>
    <w:p>
      <w:pPr>
        <w:ind w:firstLine="1584" w:firstLineChars="495"/>
        <w:rPr>
          <w:rFonts w:ascii="宋体" w:cs="Courier New"/>
          <w:b/>
          <w:color w:val="auto"/>
          <w:sz w:val="32"/>
          <w:szCs w:val="32"/>
          <w:highlight w:val="none"/>
        </w:rPr>
      </w:pPr>
    </w:p>
    <w:p>
      <w:pPr>
        <w:ind w:firstLine="1584" w:firstLineChars="495"/>
        <w:rPr>
          <w:rFonts w:ascii="宋体" w:cs="Courier New"/>
          <w:b/>
          <w:color w:val="auto"/>
          <w:sz w:val="32"/>
          <w:szCs w:val="32"/>
          <w:highlight w:val="none"/>
          <w:u w:val="single"/>
        </w:rPr>
      </w:pPr>
      <w:r>
        <w:rPr>
          <w:rFonts w:hint="eastAsia" w:ascii="宋体" w:hAnsi="宋体" w:cs="Courier New"/>
          <w:b/>
          <w:color w:val="auto"/>
          <w:sz w:val="32"/>
          <w:szCs w:val="32"/>
          <w:highlight w:val="none"/>
        </w:rPr>
        <w:t>合同编号：</w:t>
      </w: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spacing w:line="340" w:lineRule="exact"/>
        <w:ind w:firstLine="1584" w:firstLineChars="495"/>
        <w:rPr>
          <w:rFonts w:ascii="宋体" w:cs="Courier New"/>
          <w:b/>
          <w:color w:val="auto"/>
          <w:sz w:val="32"/>
          <w:szCs w:val="32"/>
          <w:highlight w:val="none"/>
        </w:rPr>
      </w:pPr>
      <w:r>
        <w:rPr>
          <w:rFonts w:hint="eastAsia" w:ascii="宋体" w:hAnsi="宋体" w:cs="Courier New"/>
          <w:b/>
          <w:color w:val="auto"/>
          <w:sz w:val="32"/>
          <w:szCs w:val="32"/>
          <w:highlight w:val="none"/>
        </w:rPr>
        <w:t>采购单位（甲方）</w:t>
      </w:r>
    </w:p>
    <w:p>
      <w:pPr>
        <w:spacing w:line="340" w:lineRule="exact"/>
        <w:ind w:firstLine="1584" w:firstLineChars="495"/>
        <w:rPr>
          <w:rFonts w:ascii="宋体" w:cs="Courier New"/>
          <w:b/>
          <w:color w:val="auto"/>
          <w:sz w:val="32"/>
          <w:szCs w:val="32"/>
          <w:highlight w:val="none"/>
        </w:rPr>
      </w:pPr>
    </w:p>
    <w:p>
      <w:pPr>
        <w:spacing w:line="340" w:lineRule="exact"/>
        <w:ind w:firstLine="1584" w:firstLineChars="495"/>
        <w:rPr>
          <w:rFonts w:ascii="宋体" w:cs="Courier New"/>
          <w:b/>
          <w:color w:val="auto"/>
          <w:sz w:val="32"/>
          <w:szCs w:val="32"/>
          <w:highlight w:val="none"/>
        </w:rPr>
      </w:pPr>
      <w:r>
        <w:rPr>
          <w:rFonts w:hint="eastAsia" w:ascii="宋体" w:hAnsi="宋体" w:cs="Courier New"/>
          <w:b/>
          <w:color w:val="auto"/>
          <w:sz w:val="32"/>
          <w:szCs w:val="32"/>
          <w:highlight w:val="none"/>
        </w:rPr>
        <w:t>供</w:t>
      </w:r>
      <w:r>
        <w:rPr>
          <w:rFonts w:ascii="宋体" w:hAnsi="宋体" w:cs="Courier New"/>
          <w:b/>
          <w:color w:val="auto"/>
          <w:sz w:val="32"/>
          <w:szCs w:val="32"/>
          <w:highlight w:val="none"/>
        </w:rPr>
        <w:t xml:space="preserve"> </w:t>
      </w:r>
      <w:r>
        <w:rPr>
          <w:rFonts w:hint="eastAsia" w:ascii="宋体" w:hAnsi="宋体" w:cs="Courier New"/>
          <w:b/>
          <w:color w:val="auto"/>
          <w:sz w:val="32"/>
          <w:szCs w:val="32"/>
          <w:highlight w:val="none"/>
        </w:rPr>
        <w:t>应</w:t>
      </w:r>
      <w:r>
        <w:rPr>
          <w:rFonts w:ascii="宋体" w:hAnsi="宋体" w:cs="Courier New"/>
          <w:b/>
          <w:color w:val="auto"/>
          <w:sz w:val="32"/>
          <w:szCs w:val="32"/>
          <w:highlight w:val="none"/>
        </w:rPr>
        <w:t xml:space="preserve"> </w:t>
      </w:r>
      <w:r>
        <w:rPr>
          <w:rFonts w:hint="eastAsia" w:ascii="宋体" w:hAnsi="宋体" w:cs="Courier New"/>
          <w:b/>
          <w:color w:val="auto"/>
          <w:sz w:val="32"/>
          <w:szCs w:val="32"/>
          <w:highlight w:val="none"/>
        </w:rPr>
        <w:t>商（乙方）</w:t>
      </w: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ind w:firstLine="1584" w:firstLineChars="495"/>
        <w:rPr>
          <w:rFonts w:ascii="宋体" w:cs="Courier New"/>
          <w:b/>
          <w:color w:val="auto"/>
          <w:sz w:val="32"/>
          <w:szCs w:val="32"/>
          <w:highlight w:val="none"/>
          <w:u w:val="single"/>
        </w:rPr>
      </w:pPr>
      <w:r>
        <w:rPr>
          <w:rFonts w:hint="eastAsia" w:ascii="宋体" w:hAnsi="宋体" w:cs="Courier New"/>
          <w:b/>
          <w:color w:val="auto"/>
          <w:sz w:val="32"/>
          <w:szCs w:val="32"/>
          <w:highlight w:val="none"/>
        </w:rPr>
        <w:t>签订合同地点：</w:t>
      </w:r>
    </w:p>
    <w:p>
      <w:pPr>
        <w:ind w:firstLine="1584" w:firstLineChars="495"/>
        <w:rPr>
          <w:rFonts w:ascii="宋体" w:cs="Courier New"/>
          <w:b/>
          <w:color w:val="auto"/>
          <w:sz w:val="32"/>
          <w:szCs w:val="32"/>
          <w:highlight w:val="none"/>
        </w:rPr>
      </w:pPr>
    </w:p>
    <w:p>
      <w:pPr>
        <w:ind w:firstLine="1584" w:firstLineChars="495"/>
        <w:rPr>
          <w:rFonts w:ascii="宋体" w:cs="Courier New"/>
          <w:b/>
          <w:color w:val="auto"/>
          <w:sz w:val="32"/>
          <w:szCs w:val="32"/>
          <w:highlight w:val="none"/>
        </w:rPr>
      </w:pPr>
      <w:r>
        <w:rPr>
          <w:rFonts w:hint="eastAsia" w:ascii="宋体" w:hAnsi="宋体" w:cs="Courier New"/>
          <w:b/>
          <w:color w:val="auto"/>
          <w:sz w:val="32"/>
          <w:szCs w:val="32"/>
          <w:highlight w:val="none"/>
        </w:rPr>
        <w:t>签订合同时间：</w:t>
      </w:r>
    </w:p>
    <w:p>
      <w:pPr>
        <w:jc w:val="center"/>
        <w:rPr>
          <w:rFonts w:ascii="宋体" w:cs="Courier New"/>
          <w:color w:val="auto"/>
          <w:szCs w:val="21"/>
          <w:highlight w:val="none"/>
        </w:rPr>
      </w:pPr>
    </w:p>
    <w:p>
      <w:pPr>
        <w:jc w:val="center"/>
        <w:rPr>
          <w:rFonts w:ascii="宋体" w:hAnsi="Courier New"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spacing w:line="420" w:lineRule="exact"/>
        <w:jc w:val="left"/>
        <w:rPr>
          <w:rFonts w:ascii="宋体" w:cs="Courier New"/>
          <w:color w:val="auto"/>
          <w:szCs w:val="21"/>
          <w:highlight w:val="none"/>
        </w:rPr>
      </w:pPr>
      <w:r>
        <w:rPr>
          <w:rFonts w:hint="eastAsia" w:ascii="宋体" w:hAnsi="宋体" w:cs="Courier New"/>
          <w:color w:val="auto"/>
          <w:szCs w:val="21"/>
          <w:highlight w:val="none"/>
        </w:rPr>
        <w:t>合同使用说明：根据《中华人民共和国政府采购法》、《中华人民共和国合同法》等法律、法规规定，按照招标文件规定条款和中标供应商投标文件及其承诺，甲乙双方签订本合同。</w:t>
      </w:r>
    </w:p>
    <w:p>
      <w:pPr>
        <w:snapToGrid w:val="0"/>
        <w:spacing w:before="120" w:after="120"/>
        <w:jc w:val="center"/>
        <w:outlineLvl w:val="0"/>
        <w:rPr>
          <w:rFonts w:ascii="宋体" w:cs="Courier New"/>
          <w:color w:val="auto"/>
          <w:szCs w:val="21"/>
          <w:highlight w:val="none"/>
        </w:rPr>
      </w:pPr>
    </w:p>
    <w:p>
      <w:pPr>
        <w:spacing w:line="300" w:lineRule="auto"/>
        <w:ind w:left="420" w:hanging="420"/>
        <w:jc w:val="center"/>
        <w:rPr>
          <w:rFonts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400" w:lineRule="exact"/>
        <w:jc w:val="center"/>
        <w:rPr>
          <w:rFonts w:ascii="宋体"/>
          <w:b/>
          <w:bCs/>
          <w:color w:val="auto"/>
          <w:szCs w:val="21"/>
          <w:highlight w:val="none"/>
        </w:rPr>
      </w:pPr>
      <w:r>
        <w:rPr>
          <w:rFonts w:hint="eastAsia" w:ascii="宋体" w:hAnsi="宋体"/>
          <w:b/>
          <w:bCs/>
          <w:color w:val="auto"/>
          <w:szCs w:val="21"/>
          <w:highlight w:val="none"/>
        </w:rPr>
        <w:t>广西壮族自治区政府采购合同</w:t>
      </w:r>
    </w:p>
    <w:p>
      <w:pPr>
        <w:snapToGrid w:val="0"/>
        <w:spacing w:line="400" w:lineRule="exact"/>
        <w:ind w:right="480" w:firstLine="5985" w:firstLineChars="2850"/>
        <w:rPr>
          <w:rFonts w:ascii="宋体"/>
          <w:bCs/>
          <w:color w:val="auto"/>
          <w:szCs w:val="21"/>
          <w:highlight w:val="none"/>
          <w:u w:val="single"/>
        </w:rPr>
      </w:pPr>
      <w:r>
        <w:rPr>
          <w:rFonts w:hint="eastAsia" w:ascii="宋体" w:hAnsi="宋体"/>
          <w:bCs/>
          <w:color w:val="auto"/>
          <w:szCs w:val="21"/>
          <w:highlight w:val="none"/>
        </w:rPr>
        <w:t>合同编号：</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u w:val="single"/>
        </w:rPr>
      </w:pPr>
      <w:r>
        <w:rPr>
          <w:rFonts w:hint="eastAsia" w:ascii="宋体" w:hAnsi="宋体"/>
          <w:color w:val="auto"/>
          <w:szCs w:val="21"/>
          <w:highlight w:val="none"/>
        </w:rPr>
        <w:t>采购单位（甲方）</w:t>
      </w:r>
      <w:r>
        <w:rPr>
          <w:rFonts w:ascii="宋体" w:hAnsi="宋体"/>
          <w:color w:val="auto"/>
          <w:szCs w:val="21"/>
          <w:highlight w:val="none"/>
        </w:rPr>
        <w:t xml:space="preserve">                                      </w:t>
      </w:r>
      <w:r>
        <w:rPr>
          <w:rFonts w:hint="eastAsia" w:ascii="宋体" w:hAnsi="宋体"/>
          <w:color w:val="auto"/>
          <w:spacing w:val="-20"/>
          <w:szCs w:val="21"/>
          <w:highlight w:val="none"/>
        </w:rPr>
        <w:t>采</w:t>
      </w:r>
      <w:r>
        <w:rPr>
          <w:rFonts w:ascii="宋体" w:hAnsi="宋体"/>
          <w:color w:val="auto"/>
          <w:spacing w:val="-20"/>
          <w:szCs w:val="21"/>
          <w:highlight w:val="none"/>
        </w:rPr>
        <w:t xml:space="preserve"> </w:t>
      </w:r>
      <w:r>
        <w:rPr>
          <w:rFonts w:hint="eastAsia" w:ascii="宋体" w:hAnsi="宋体"/>
          <w:color w:val="auto"/>
          <w:spacing w:val="-20"/>
          <w:szCs w:val="21"/>
          <w:highlight w:val="none"/>
        </w:rPr>
        <w:t>购</w:t>
      </w:r>
      <w:r>
        <w:rPr>
          <w:rFonts w:ascii="宋体" w:hAnsi="宋体"/>
          <w:color w:val="auto"/>
          <w:spacing w:val="-20"/>
          <w:szCs w:val="21"/>
          <w:highlight w:val="none"/>
        </w:rPr>
        <w:t xml:space="preserve"> </w:t>
      </w:r>
      <w:r>
        <w:rPr>
          <w:rFonts w:hint="eastAsia" w:ascii="宋体" w:hAnsi="宋体"/>
          <w:color w:val="auto"/>
          <w:spacing w:val="-20"/>
          <w:szCs w:val="21"/>
          <w:highlight w:val="none"/>
        </w:rPr>
        <w:t>计</w:t>
      </w:r>
      <w:r>
        <w:rPr>
          <w:rFonts w:ascii="宋体" w:hAnsi="宋体"/>
          <w:color w:val="auto"/>
          <w:spacing w:val="-20"/>
          <w:szCs w:val="21"/>
          <w:highlight w:val="none"/>
        </w:rPr>
        <w:t xml:space="preserve"> </w:t>
      </w:r>
      <w:r>
        <w:rPr>
          <w:rFonts w:hint="eastAsia" w:ascii="宋体" w:hAnsi="宋体"/>
          <w:color w:val="auto"/>
          <w:spacing w:val="-20"/>
          <w:szCs w:val="21"/>
          <w:highlight w:val="none"/>
        </w:rPr>
        <w:t>划</w:t>
      </w:r>
      <w:r>
        <w:rPr>
          <w:rFonts w:ascii="宋体" w:hAnsi="宋体"/>
          <w:color w:val="auto"/>
          <w:spacing w:val="-20"/>
          <w:szCs w:val="21"/>
          <w:highlight w:val="none"/>
        </w:rPr>
        <w:t xml:space="preserve"> </w:t>
      </w:r>
      <w:r>
        <w:rPr>
          <w:rFonts w:hint="eastAsia" w:ascii="宋体" w:hAnsi="宋体"/>
          <w:color w:val="auto"/>
          <w:spacing w:val="-20"/>
          <w:szCs w:val="21"/>
          <w:highlight w:val="none"/>
        </w:rPr>
        <w:t>号</w:t>
      </w:r>
    </w:p>
    <w:p>
      <w:pPr>
        <w:snapToGrid w:val="0"/>
        <w:spacing w:line="400" w:lineRule="exact"/>
        <w:rPr>
          <w:rFonts w:ascii="宋体"/>
          <w:color w:val="auto"/>
          <w:szCs w:val="21"/>
          <w:highlight w:val="none"/>
          <w:u w:val="single"/>
        </w:rPr>
      </w:pPr>
      <w:r>
        <w:rPr>
          <w:rFonts w:hint="eastAsia" w:ascii="宋体" w:hAnsi="宋体"/>
          <w:color w:val="auto"/>
          <w:szCs w:val="21"/>
          <w:highlight w:val="none"/>
        </w:rPr>
        <w:t>供</w:t>
      </w:r>
      <w:r>
        <w:rPr>
          <w:rFonts w:ascii="宋体" w:hAnsi="宋体"/>
          <w:color w:val="auto"/>
          <w:szCs w:val="21"/>
          <w:highlight w:val="none"/>
        </w:rPr>
        <w:t xml:space="preserve"> </w:t>
      </w:r>
      <w:r>
        <w:rPr>
          <w:rFonts w:hint="eastAsia" w:ascii="宋体" w:hAnsi="宋体"/>
          <w:color w:val="auto"/>
          <w:szCs w:val="21"/>
          <w:highlight w:val="none"/>
        </w:rPr>
        <w:t>应</w:t>
      </w:r>
      <w:r>
        <w:rPr>
          <w:rFonts w:ascii="宋体" w:hAnsi="宋体"/>
          <w:color w:val="auto"/>
          <w:szCs w:val="21"/>
          <w:highlight w:val="none"/>
        </w:rPr>
        <w:t xml:space="preserve"> </w:t>
      </w:r>
      <w:r>
        <w:rPr>
          <w:rFonts w:hint="eastAsia" w:ascii="宋体" w:hAnsi="宋体"/>
          <w:color w:val="auto"/>
          <w:szCs w:val="21"/>
          <w:highlight w:val="none"/>
        </w:rPr>
        <w:t>商（乙方）</w:t>
      </w:r>
      <w:r>
        <w:rPr>
          <w:rFonts w:ascii="宋体" w:hAnsi="宋体"/>
          <w:color w:val="auto"/>
          <w:szCs w:val="21"/>
          <w:highlight w:val="none"/>
        </w:rPr>
        <w:t xml:space="preserve">                                      </w:t>
      </w:r>
      <w:r>
        <w:rPr>
          <w:rFonts w:hint="eastAsia" w:ascii="宋体" w:hAnsi="宋体"/>
          <w:color w:val="auto"/>
          <w:szCs w:val="21"/>
          <w:highlight w:val="none"/>
        </w:rPr>
        <w:t>项目名称</w:t>
      </w:r>
      <w:r>
        <w:rPr>
          <w:rFonts w:hint="eastAsia" w:ascii="宋体" w:hAnsi="宋体"/>
          <w:color w:val="auto"/>
          <w:spacing w:val="-20"/>
          <w:szCs w:val="21"/>
          <w:highlight w:val="none"/>
        </w:rPr>
        <w:t>编号</w:t>
      </w:r>
    </w:p>
    <w:p>
      <w:pPr>
        <w:snapToGrid w:val="0"/>
        <w:spacing w:line="400" w:lineRule="exact"/>
        <w:rPr>
          <w:rFonts w:ascii="宋体"/>
          <w:color w:val="auto"/>
          <w:szCs w:val="21"/>
          <w:highlight w:val="none"/>
          <w:u w:val="single"/>
        </w:rPr>
      </w:pPr>
      <w:r>
        <w:rPr>
          <w:rFonts w:hint="eastAsia" w:ascii="宋体" w:hAnsi="宋体"/>
          <w:color w:val="auto"/>
          <w:szCs w:val="21"/>
          <w:highlight w:val="none"/>
        </w:rPr>
        <w:t>签</w:t>
      </w:r>
      <w:r>
        <w:rPr>
          <w:rFonts w:ascii="宋体" w:hAnsi="宋体"/>
          <w:color w:val="auto"/>
          <w:szCs w:val="21"/>
          <w:highlight w:val="none"/>
        </w:rPr>
        <w:t xml:space="preserve">  </w:t>
      </w:r>
      <w:r>
        <w:rPr>
          <w:rFonts w:hint="eastAsia" w:ascii="宋体" w:hAnsi="宋体"/>
          <w:color w:val="auto"/>
          <w:szCs w:val="21"/>
          <w:highlight w:val="none"/>
        </w:rPr>
        <w:t>订</w:t>
      </w:r>
      <w:r>
        <w:rPr>
          <w:rFonts w:ascii="宋体" w:hAnsi="宋体"/>
          <w:color w:val="auto"/>
          <w:szCs w:val="21"/>
          <w:highlight w:val="none"/>
        </w:rPr>
        <w:t xml:space="preserve">  </w:t>
      </w: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点</w:t>
      </w:r>
      <w:r>
        <w:rPr>
          <w:rFonts w:ascii="宋体" w:hAnsi="宋体"/>
          <w:color w:val="auto"/>
          <w:szCs w:val="21"/>
          <w:highlight w:val="none"/>
        </w:rPr>
        <w:t xml:space="preserve">                                        </w:t>
      </w:r>
      <w:r>
        <w:rPr>
          <w:rFonts w:hint="eastAsia" w:ascii="宋体" w:hAnsi="宋体"/>
          <w:color w:val="auto"/>
          <w:szCs w:val="21"/>
          <w:highlight w:val="none"/>
        </w:rPr>
        <w:t>签</w:t>
      </w:r>
      <w:r>
        <w:rPr>
          <w:rFonts w:ascii="宋体" w:hAnsi="宋体"/>
          <w:color w:val="auto"/>
          <w:szCs w:val="21"/>
          <w:highlight w:val="none"/>
        </w:rPr>
        <w:t xml:space="preserve"> </w:t>
      </w:r>
      <w:r>
        <w:rPr>
          <w:rFonts w:hint="eastAsia" w:ascii="宋体" w:hAnsi="宋体"/>
          <w:color w:val="auto"/>
          <w:szCs w:val="21"/>
          <w:highlight w:val="none"/>
        </w:rPr>
        <w:t>订</w:t>
      </w:r>
      <w:r>
        <w:rPr>
          <w:rFonts w:ascii="宋体" w:hAnsi="宋体"/>
          <w:color w:val="auto"/>
          <w:szCs w:val="21"/>
          <w:highlight w:val="none"/>
        </w:rPr>
        <w:t xml:space="preserve"> </w:t>
      </w:r>
      <w:r>
        <w:rPr>
          <w:rFonts w:hint="eastAsia" w:ascii="宋体" w:hAnsi="宋体"/>
          <w:color w:val="auto"/>
          <w:szCs w:val="21"/>
          <w:highlight w:val="none"/>
        </w:rPr>
        <w:t>时</w:t>
      </w:r>
      <w:r>
        <w:rPr>
          <w:rFonts w:ascii="宋体" w:hAnsi="宋体"/>
          <w:color w:val="auto"/>
          <w:szCs w:val="21"/>
          <w:highlight w:val="none"/>
        </w:rPr>
        <w:t xml:space="preserve"> </w:t>
      </w:r>
      <w:r>
        <w:rPr>
          <w:rFonts w:hint="eastAsia" w:ascii="宋体" w:hAnsi="宋体"/>
          <w:color w:val="auto"/>
          <w:szCs w:val="21"/>
          <w:highlight w:val="none"/>
        </w:rPr>
        <w:t>间</w:t>
      </w:r>
    </w:p>
    <w:p>
      <w:pPr>
        <w:snapToGrid w:val="0"/>
        <w:spacing w:line="400" w:lineRule="exact"/>
        <w:ind w:firstLine="420" w:firstLineChars="200"/>
        <w:rPr>
          <w:rFonts w:ascii="宋体"/>
          <w:color w:val="auto"/>
          <w:szCs w:val="21"/>
          <w:highlight w:val="none"/>
        </w:rPr>
      </w:pPr>
    </w:p>
    <w:p>
      <w:pPr>
        <w:spacing w:line="400" w:lineRule="exact"/>
        <w:ind w:firstLine="420" w:firstLineChars="200"/>
        <w:rPr>
          <w:rFonts w:ascii="宋体" w:cs="Courier New"/>
          <w:color w:val="auto"/>
          <w:szCs w:val="21"/>
          <w:highlight w:val="none"/>
        </w:rPr>
      </w:pPr>
      <w:r>
        <w:rPr>
          <w:rFonts w:hint="eastAsia" w:ascii="宋体" w:hAnsi="Courier New" w:cs="Courier New"/>
          <w:color w:val="auto"/>
          <w:szCs w:val="21"/>
          <w:highlight w:val="none"/>
        </w:rPr>
        <w:t>根据《中华人民共和国政府采购法》、《中华人民共和国合同法》等法律、法规规定，按照招标文件规定条款和中标供应商投标文件及其承诺，甲乙双方签订本合同。</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第一条　合同标的</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供货一览表</w:t>
      </w:r>
    </w:p>
    <w:tbl>
      <w:tblPr>
        <w:tblStyle w:val="2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304"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产品</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名称</w:t>
            </w:r>
          </w:p>
        </w:tc>
        <w:tc>
          <w:tcPr>
            <w:tcW w:w="1081"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商标</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品牌</w:t>
            </w:r>
          </w:p>
        </w:tc>
        <w:tc>
          <w:tcPr>
            <w:tcW w:w="1194"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型号</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参数</w:t>
            </w:r>
          </w:p>
        </w:tc>
        <w:tc>
          <w:tcPr>
            <w:tcW w:w="1193"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生产</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厂家</w:t>
            </w:r>
          </w:p>
        </w:tc>
        <w:tc>
          <w:tcPr>
            <w:tcW w:w="672"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数</w:t>
            </w:r>
            <w:r>
              <w:rPr>
                <w:rFonts w:ascii="宋体" w:hAnsi="宋体"/>
                <w:color w:val="auto"/>
                <w:szCs w:val="21"/>
                <w:highlight w:val="none"/>
              </w:rPr>
              <w:t xml:space="preserve">  </w:t>
            </w:r>
            <w:r>
              <w:rPr>
                <w:rFonts w:hint="eastAsia" w:ascii="宋体" w:hAnsi="宋体"/>
                <w:color w:val="auto"/>
                <w:szCs w:val="21"/>
                <w:highlight w:val="none"/>
              </w:rPr>
              <w:t>量</w:t>
            </w:r>
          </w:p>
        </w:tc>
        <w:tc>
          <w:tcPr>
            <w:tcW w:w="1080"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单位</w:t>
            </w:r>
          </w:p>
        </w:tc>
        <w:tc>
          <w:tcPr>
            <w:tcW w:w="1080"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单</w:t>
            </w:r>
            <w:r>
              <w:rPr>
                <w:rFonts w:ascii="宋体" w:hAnsi="宋体"/>
                <w:color w:val="auto"/>
                <w:szCs w:val="21"/>
                <w:highlight w:val="none"/>
              </w:rPr>
              <w:t xml:space="preserve">  </w:t>
            </w:r>
            <w:r>
              <w:rPr>
                <w:rFonts w:hint="eastAsia" w:ascii="宋体" w:hAnsi="宋体"/>
                <w:color w:val="auto"/>
                <w:szCs w:val="21"/>
                <w:highlight w:val="none"/>
              </w:rPr>
              <w:t>价</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（元）</w:t>
            </w:r>
          </w:p>
        </w:tc>
        <w:tc>
          <w:tcPr>
            <w:tcW w:w="1440"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金</w:t>
            </w:r>
            <w:r>
              <w:rPr>
                <w:rFonts w:ascii="宋体" w:hAnsi="宋体"/>
                <w:color w:val="auto"/>
                <w:szCs w:val="21"/>
                <w:highlight w:val="none"/>
              </w:rPr>
              <w:t xml:space="preserve">  </w:t>
            </w:r>
            <w:r>
              <w:rPr>
                <w:rFonts w:hint="eastAsia" w:ascii="宋体" w:hAnsi="宋体"/>
                <w:color w:val="auto"/>
                <w:szCs w:val="21"/>
                <w:highlight w:val="none"/>
              </w:rPr>
              <w:t>额</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color w:val="auto"/>
                <w:szCs w:val="21"/>
                <w:highlight w:val="none"/>
              </w:rPr>
            </w:pPr>
            <w:r>
              <w:rPr>
                <w:rFonts w:ascii="宋体" w:hAnsi="宋体"/>
                <w:color w:val="auto"/>
                <w:szCs w:val="21"/>
                <w:highlight w:val="none"/>
              </w:rPr>
              <w:t>1</w:t>
            </w:r>
          </w:p>
        </w:tc>
        <w:tc>
          <w:tcPr>
            <w:tcW w:w="1304" w:type="dxa"/>
            <w:vAlign w:val="center"/>
          </w:tcPr>
          <w:p>
            <w:pPr>
              <w:snapToGrid w:val="0"/>
              <w:spacing w:line="400" w:lineRule="exact"/>
              <w:jc w:val="center"/>
              <w:rPr>
                <w:rFonts w:ascii="宋体"/>
                <w:color w:val="auto"/>
                <w:szCs w:val="21"/>
                <w:highlight w:val="none"/>
              </w:rPr>
            </w:pPr>
          </w:p>
        </w:tc>
        <w:tc>
          <w:tcPr>
            <w:tcW w:w="1081" w:type="dxa"/>
            <w:vAlign w:val="center"/>
          </w:tcPr>
          <w:p>
            <w:pPr>
              <w:snapToGrid w:val="0"/>
              <w:spacing w:line="400" w:lineRule="exact"/>
              <w:jc w:val="center"/>
              <w:rPr>
                <w:rFonts w:ascii="宋体"/>
                <w:color w:val="auto"/>
                <w:szCs w:val="21"/>
                <w:highlight w:val="none"/>
              </w:rPr>
            </w:pPr>
          </w:p>
        </w:tc>
        <w:tc>
          <w:tcPr>
            <w:tcW w:w="1194" w:type="dxa"/>
            <w:vAlign w:val="center"/>
          </w:tcPr>
          <w:p>
            <w:pPr>
              <w:snapToGrid w:val="0"/>
              <w:spacing w:line="400" w:lineRule="exact"/>
              <w:jc w:val="center"/>
              <w:rPr>
                <w:rFonts w:ascii="宋体"/>
                <w:color w:val="auto"/>
                <w:szCs w:val="21"/>
                <w:highlight w:val="none"/>
              </w:rPr>
            </w:pPr>
          </w:p>
        </w:tc>
        <w:tc>
          <w:tcPr>
            <w:tcW w:w="1193" w:type="dxa"/>
          </w:tcPr>
          <w:p>
            <w:pPr>
              <w:snapToGrid w:val="0"/>
              <w:spacing w:line="400" w:lineRule="exact"/>
              <w:jc w:val="center"/>
              <w:rPr>
                <w:rFonts w:ascii="宋体"/>
                <w:color w:val="auto"/>
                <w:szCs w:val="21"/>
                <w:highlight w:val="none"/>
              </w:rPr>
            </w:pPr>
          </w:p>
        </w:tc>
        <w:tc>
          <w:tcPr>
            <w:tcW w:w="672" w:type="dxa"/>
          </w:tcPr>
          <w:p>
            <w:pPr>
              <w:snapToGrid w:val="0"/>
              <w:spacing w:line="400" w:lineRule="exact"/>
              <w:jc w:val="center"/>
              <w:rPr>
                <w:rFonts w:ascii="宋体"/>
                <w:color w:val="auto"/>
                <w:szCs w:val="21"/>
                <w:highlight w:val="none"/>
              </w:rPr>
            </w:pPr>
          </w:p>
        </w:tc>
        <w:tc>
          <w:tcPr>
            <w:tcW w:w="1080" w:type="dxa"/>
          </w:tcPr>
          <w:p>
            <w:pPr>
              <w:snapToGrid w:val="0"/>
              <w:spacing w:line="400" w:lineRule="exact"/>
              <w:jc w:val="center"/>
              <w:rPr>
                <w:rFonts w:ascii="宋体"/>
                <w:color w:val="auto"/>
                <w:szCs w:val="21"/>
                <w:highlight w:val="none"/>
              </w:rPr>
            </w:pPr>
          </w:p>
        </w:tc>
        <w:tc>
          <w:tcPr>
            <w:tcW w:w="1080" w:type="dxa"/>
            <w:vAlign w:val="center"/>
          </w:tcPr>
          <w:p>
            <w:pPr>
              <w:snapToGrid w:val="0"/>
              <w:spacing w:line="400" w:lineRule="exact"/>
              <w:jc w:val="center"/>
              <w:rPr>
                <w:rFonts w:ascii="宋体"/>
                <w:color w:val="auto"/>
                <w:szCs w:val="21"/>
                <w:highlight w:val="none"/>
              </w:rPr>
            </w:pPr>
          </w:p>
        </w:tc>
        <w:tc>
          <w:tcPr>
            <w:tcW w:w="1440" w:type="dxa"/>
            <w:vAlign w:val="center"/>
          </w:tcPr>
          <w:p>
            <w:pPr>
              <w:snapToGrid w:val="0"/>
              <w:spacing w:line="400" w:lineRule="exact"/>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color w:val="auto"/>
                <w:szCs w:val="21"/>
                <w:highlight w:val="none"/>
              </w:rPr>
            </w:pPr>
            <w:r>
              <w:rPr>
                <w:rFonts w:ascii="宋体" w:hAnsi="宋体"/>
                <w:color w:val="auto"/>
                <w:szCs w:val="21"/>
                <w:highlight w:val="none"/>
              </w:rPr>
              <w:t>2</w:t>
            </w:r>
          </w:p>
        </w:tc>
        <w:tc>
          <w:tcPr>
            <w:tcW w:w="1304" w:type="dxa"/>
            <w:vAlign w:val="center"/>
          </w:tcPr>
          <w:p>
            <w:pPr>
              <w:snapToGrid w:val="0"/>
              <w:spacing w:line="400" w:lineRule="exact"/>
              <w:jc w:val="center"/>
              <w:rPr>
                <w:rFonts w:ascii="宋体"/>
                <w:color w:val="auto"/>
                <w:szCs w:val="21"/>
                <w:highlight w:val="none"/>
              </w:rPr>
            </w:pPr>
          </w:p>
        </w:tc>
        <w:tc>
          <w:tcPr>
            <w:tcW w:w="1081" w:type="dxa"/>
            <w:vAlign w:val="center"/>
          </w:tcPr>
          <w:p>
            <w:pPr>
              <w:snapToGrid w:val="0"/>
              <w:spacing w:line="400" w:lineRule="exact"/>
              <w:jc w:val="center"/>
              <w:rPr>
                <w:rFonts w:ascii="宋体"/>
                <w:color w:val="auto"/>
                <w:szCs w:val="21"/>
                <w:highlight w:val="none"/>
              </w:rPr>
            </w:pPr>
          </w:p>
        </w:tc>
        <w:tc>
          <w:tcPr>
            <w:tcW w:w="1194" w:type="dxa"/>
            <w:vAlign w:val="center"/>
          </w:tcPr>
          <w:p>
            <w:pPr>
              <w:snapToGrid w:val="0"/>
              <w:spacing w:line="400" w:lineRule="exact"/>
              <w:jc w:val="center"/>
              <w:rPr>
                <w:rFonts w:ascii="宋体"/>
                <w:color w:val="auto"/>
                <w:szCs w:val="21"/>
                <w:highlight w:val="none"/>
              </w:rPr>
            </w:pPr>
          </w:p>
        </w:tc>
        <w:tc>
          <w:tcPr>
            <w:tcW w:w="1193" w:type="dxa"/>
          </w:tcPr>
          <w:p>
            <w:pPr>
              <w:snapToGrid w:val="0"/>
              <w:spacing w:line="400" w:lineRule="exact"/>
              <w:jc w:val="center"/>
              <w:rPr>
                <w:rFonts w:ascii="宋体"/>
                <w:color w:val="auto"/>
                <w:szCs w:val="21"/>
                <w:highlight w:val="none"/>
              </w:rPr>
            </w:pPr>
          </w:p>
        </w:tc>
        <w:tc>
          <w:tcPr>
            <w:tcW w:w="672" w:type="dxa"/>
          </w:tcPr>
          <w:p>
            <w:pPr>
              <w:snapToGrid w:val="0"/>
              <w:spacing w:line="400" w:lineRule="exact"/>
              <w:jc w:val="center"/>
              <w:rPr>
                <w:rFonts w:ascii="宋体"/>
                <w:color w:val="auto"/>
                <w:szCs w:val="21"/>
                <w:highlight w:val="none"/>
              </w:rPr>
            </w:pPr>
          </w:p>
        </w:tc>
        <w:tc>
          <w:tcPr>
            <w:tcW w:w="1080" w:type="dxa"/>
          </w:tcPr>
          <w:p>
            <w:pPr>
              <w:snapToGrid w:val="0"/>
              <w:spacing w:line="400" w:lineRule="exact"/>
              <w:jc w:val="center"/>
              <w:rPr>
                <w:rFonts w:ascii="宋体"/>
                <w:color w:val="auto"/>
                <w:szCs w:val="21"/>
                <w:highlight w:val="none"/>
              </w:rPr>
            </w:pPr>
          </w:p>
        </w:tc>
        <w:tc>
          <w:tcPr>
            <w:tcW w:w="1080" w:type="dxa"/>
            <w:vAlign w:val="center"/>
          </w:tcPr>
          <w:p>
            <w:pPr>
              <w:snapToGrid w:val="0"/>
              <w:spacing w:line="400" w:lineRule="exact"/>
              <w:jc w:val="center"/>
              <w:rPr>
                <w:rFonts w:ascii="宋体"/>
                <w:color w:val="auto"/>
                <w:szCs w:val="21"/>
                <w:highlight w:val="none"/>
              </w:rPr>
            </w:pPr>
          </w:p>
        </w:tc>
        <w:tc>
          <w:tcPr>
            <w:tcW w:w="1440" w:type="dxa"/>
            <w:vAlign w:val="center"/>
          </w:tcPr>
          <w:p>
            <w:pPr>
              <w:snapToGrid w:val="0"/>
              <w:spacing w:line="400" w:lineRule="exact"/>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color w:val="auto"/>
                <w:szCs w:val="21"/>
                <w:highlight w:val="none"/>
              </w:rPr>
            </w:pPr>
            <w:r>
              <w:rPr>
                <w:rFonts w:ascii="宋体" w:hAnsi="宋体"/>
                <w:color w:val="auto"/>
                <w:szCs w:val="21"/>
                <w:highlight w:val="none"/>
              </w:rPr>
              <w:t>3</w:t>
            </w:r>
          </w:p>
        </w:tc>
        <w:tc>
          <w:tcPr>
            <w:tcW w:w="1304" w:type="dxa"/>
            <w:vAlign w:val="center"/>
          </w:tcPr>
          <w:p>
            <w:pPr>
              <w:snapToGrid w:val="0"/>
              <w:spacing w:line="400" w:lineRule="exact"/>
              <w:jc w:val="center"/>
              <w:rPr>
                <w:rFonts w:ascii="宋体"/>
                <w:color w:val="auto"/>
                <w:szCs w:val="21"/>
                <w:highlight w:val="none"/>
              </w:rPr>
            </w:pPr>
          </w:p>
        </w:tc>
        <w:tc>
          <w:tcPr>
            <w:tcW w:w="1081" w:type="dxa"/>
            <w:vAlign w:val="center"/>
          </w:tcPr>
          <w:p>
            <w:pPr>
              <w:snapToGrid w:val="0"/>
              <w:spacing w:line="400" w:lineRule="exact"/>
              <w:jc w:val="center"/>
              <w:rPr>
                <w:rFonts w:ascii="宋体"/>
                <w:color w:val="auto"/>
                <w:szCs w:val="21"/>
                <w:highlight w:val="none"/>
              </w:rPr>
            </w:pPr>
          </w:p>
        </w:tc>
        <w:tc>
          <w:tcPr>
            <w:tcW w:w="1194" w:type="dxa"/>
            <w:vAlign w:val="center"/>
          </w:tcPr>
          <w:p>
            <w:pPr>
              <w:snapToGrid w:val="0"/>
              <w:spacing w:line="400" w:lineRule="exact"/>
              <w:jc w:val="center"/>
              <w:rPr>
                <w:rFonts w:ascii="宋体"/>
                <w:color w:val="auto"/>
                <w:szCs w:val="21"/>
                <w:highlight w:val="none"/>
              </w:rPr>
            </w:pPr>
          </w:p>
        </w:tc>
        <w:tc>
          <w:tcPr>
            <w:tcW w:w="1193" w:type="dxa"/>
          </w:tcPr>
          <w:p>
            <w:pPr>
              <w:snapToGrid w:val="0"/>
              <w:spacing w:line="400" w:lineRule="exact"/>
              <w:jc w:val="center"/>
              <w:rPr>
                <w:rFonts w:ascii="宋体"/>
                <w:color w:val="auto"/>
                <w:szCs w:val="21"/>
                <w:highlight w:val="none"/>
              </w:rPr>
            </w:pPr>
          </w:p>
        </w:tc>
        <w:tc>
          <w:tcPr>
            <w:tcW w:w="672" w:type="dxa"/>
          </w:tcPr>
          <w:p>
            <w:pPr>
              <w:snapToGrid w:val="0"/>
              <w:spacing w:line="400" w:lineRule="exact"/>
              <w:jc w:val="center"/>
              <w:rPr>
                <w:rFonts w:ascii="宋体"/>
                <w:color w:val="auto"/>
                <w:szCs w:val="21"/>
                <w:highlight w:val="none"/>
              </w:rPr>
            </w:pPr>
          </w:p>
        </w:tc>
        <w:tc>
          <w:tcPr>
            <w:tcW w:w="1080" w:type="dxa"/>
          </w:tcPr>
          <w:p>
            <w:pPr>
              <w:snapToGrid w:val="0"/>
              <w:spacing w:line="400" w:lineRule="exact"/>
              <w:jc w:val="center"/>
              <w:rPr>
                <w:rFonts w:ascii="宋体"/>
                <w:color w:val="auto"/>
                <w:szCs w:val="21"/>
                <w:highlight w:val="none"/>
              </w:rPr>
            </w:pPr>
          </w:p>
        </w:tc>
        <w:tc>
          <w:tcPr>
            <w:tcW w:w="1080" w:type="dxa"/>
            <w:vAlign w:val="center"/>
          </w:tcPr>
          <w:p>
            <w:pPr>
              <w:snapToGrid w:val="0"/>
              <w:spacing w:line="400" w:lineRule="exact"/>
              <w:jc w:val="center"/>
              <w:rPr>
                <w:rFonts w:ascii="宋体"/>
                <w:color w:val="auto"/>
                <w:szCs w:val="21"/>
                <w:highlight w:val="none"/>
              </w:rPr>
            </w:pPr>
          </w:p>
        </w:tc>
        <w:tc>
          <w:tcPr>
            <w:tcW w:w="1440" w:type="dxa"/>
            <w:vAlign w:val="center"/>
          </w:tcPr>
          <w:p>
            <w:pPr>
              <w:snapToGrid w:val="0"/>
              <w:spacing w:line="400" w:lineRule="exact"/>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人民币合计金额（大写）</w:t>
            </w:r>
            <w:r>
              <w:rPr>
                <w:rFonts w:ascii="宋体" w:hAnsi="宋体"/>
                <w:color w:val="auto"/>
                <w:szCs w:val="21"/>
                <w:highlight w:val="none"/>
              </w:rPr>
              <w:t xml:space="preserve">                          </w:t>
            </w:r>
            <w:r>
              <w:rPr>
                <w:rFonts w:hint="eastAsia" w:ascii="宋体" w:hAnsi="宋体"/>
                <w:color w:val="auto"/>
                <w:szCs w:val="21"/>
                <w:highlight w:val="none"/>
              </w:rPr>
              <w:t>（小写）</w:t>
            </w:r>
            <w:r>
              <w:rPr>
                <w:rFonts w:ascii="宋体" w:hAnsi="宋体"/>
                <w:color w:val="auto"/>
                <w:szCs w:val="21"/>
                <w:highlight w:val="none"/>
              </w:rPr>
              <w:t xml:space="preserve">                 </w:t>
            </w:r>
          </w:p>
        </w:tc>
      </w:tr>
    </w:tbl>
    <w:p>
      <w:pPr>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2.</w:t>
      </w:r>
      <w:r>
        <w:rPr>
          <w:rFonts w:hint="eastAsia" w:ascii="宋体" w:hAnsi="宋体" w:cs="Courier New"/>
          <w:color w:val="auto"/>
          <w:szCs w:val="21"/>
          <w:highlight w:val="none"/>
        </w:rPr>
        <w:t>合同合计金额包括货物价款，备件、专用工具、安装、调试、检验、技术培训及技术资料和包装、运输等全部费用。如招投标文件对其另有规定的，从其规定。</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第二条　质量保证</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乙方所提供的货物型号、技术规格、技术参数等质量必须与招投标文件和承诺相一致。乙方提供的节能和环保产品必须是列入政府采购清单的产品。</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乙方所提供的货物必须是全新、未使用的原装产品，且在正常安装、使用和保养条件下，其使用寿命期内各项指标均达到质量要求。</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第三条　权利保证</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乙方应按招标文件规定的时间向甲方提供使用货物的有关技术资料。</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第四条　包装和运输</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乙方提供的货物均应按招投标文件要求的包装材料、包装标准、包装方式进行包装，每一包装单元内应附详细的装箱单和质量合格证。</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货物的运输方式：</w:t>
      </w:r>
      <w:r>
        <w:rPr>
          <w:rFonts w:hint="eastAsia" w:ascii="宋体" w:hAnsi="宋体"/>
          <w:color w:val="auto"/>
          <w:szCs w:val="21"/>
          <w:highlight w:val="none"/>
          <w:u w:val="single"/>
        </w:rPr>
        <w:t>乙方自定。</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3.</w:t>
      </w:r>
      <w:r>
        <w:rPr>
          <w:rFonts w:hint="eastAsia" w:ascii="宋体" w:hAnsi="宋体"/>
          <w:color w:val="auto"/>
          <w:szCs w:val="21"/>
          <w:highlight w:val="none"/>
        </w:rPr>
        <w:t>乙方负责货物运输，货物运输合理损耗及计算方法：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由乙方负责</w:t>
      </w:r>
      <w:r>
        <w:rPr>
          <w:rFonts w:ascii="宋体" w:hAnsi="宋体"/>
          <w:color w:val="auto"/>
          <w:szCs w:val="21"/>
          <w:highlight w:val="none"/>
          <w:u w:val="single"/>
        </w:rPr>
        <w:t xml:space="preserve"> </w:t>
      </w:r>
      <w:r>
        <w:rPr>
          <w:rFonts w:hint="eastAsia" w:ascii="宋体" w:hAnsi="宋体"/>
          <w:color w:val="auto"/>
          <w:szCs w:val="21"/>
          <w:highlight w:val="none"/>
          <w:u w:val="single"/>
        </w:rPr>
        <w:t>。</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第五条　交付和验收</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交付使用时间：</w:t>
      </w:r>
      <w:r>
        <w:rPr>
          <w:rFonts w:hint="eastAsia" w:ascii="宋体" w:hAnsi="宋体"/>
          <w:color w:val="auto"/>
          <w:szCs w:val="21"/>
          <w:highlight w:val="none"/>
          <w:u w:val="single"/>
        </w:rPr>
        <w:t>按乙方投标文件中所承诺的时间</w:t>
      </w:r>
      <w:r>
        <w:rPr>
          <w:rFonts w:hint="eastAsia" w:ascii="宋体" w:hAnsi="宋体"/>
          <w:color w:val="auto"/>
          <w:szCs w:val="21"/>
          <w:highlight w:val="none"/>
        </w:rPr>
        <w:t>、地点：</w:t>
      </w:r>
      <w:r>
        <w:rPr>
          <w:rFonts w:ascii="宋体" w:hAnsi="宋体"/>
          <w:color w:val="auto"/>
          <w:szCs w:val="21"/>
          <w:highlight w:val="none"/>
          <w:u w:val="single"/>
        </w:rPr>
        <w:t xml:space="preserve"> </w:t>
      </w:r>
      <w:r>
        <w:rPr>
          <w:rFonts w:hint="eastAsia" w:ascii="宋体" w:hAnsi="宋体"/>
          <w:color w:val="auto"/>
          <w:szCs w:val="21"/>
          <w:highlight w:val="none"/>
          <w:u w:val="single"/>
        </w:rPr>
        <w:t>甲方指定地点。</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乙方提供不符合招投标文件和本合同规定的货物，甲方有权拒绝接受。</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甲方应当在到货并安装、调试完后七个工作日内进行验收，逾期不验收的，乙方可视同验收合格。验收合格后由甲乙双方签署货物验收单并加盖采购单位公章，甲乙双方各执一份。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在验收过程中发现乙方有违约问题，可暂缓资金结算，待违约问题解决后，方可办理资金结算事宜。</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甲方对验收有异议的，在验收后五个工作日内以书面形式向乙方提出，乙方应自收到甲方书面异议后</w:t>
      </w:r>
      <w:r>
        <w:rPr>
          <w:rFonts w:ascii="宋体" w:hAnsi="宋体"/>
          <w:color w:val="auto"/>
          <w:szCs w:val="21"/>
          <w:highlight w:val="none"/>
          <w:u w:val="single"/>
        </w:rPr>
        <w:t xml:space="preserve"> 7 </w:t>
      </w:r>
      <w:r>
        <w:rPr>
          <w:rFonts w:hint="eastAsia" w:ascii="宋体" w:hAnsi="宋体"/>
          <w:color w:val="auto"/>
          <w:szCs w:val="21"/>
          <w:highlight w:val="none"/>
        </w:rPr>
        <w:t>日内及时予以解决。</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第六条　安装和培训</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甲方应提供必要安装条件（如场地、电源、水源等）。</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乙方负责甲方有关人员的培训。培训时间、地点：</w:t>
      </w:r>
      <w:r>
        <w:rPr>
          <w:rFonts w:ascii="宋体" w:hAnsi="宋体"/>
          <w:color w:val="auto"/>
          <w:szCs w:val="21"/>
          <w:highlight w:val="none"/>
          <w:u w:val="single"/>
        </w:rPr>
        <w:t xml:space="preserve"> </w:t>
      </w:r>
      <w:r>
        <w:rPr>
          <w:rFonts w:hint="eastAsia" w:ascii="宋体" w:hAnsi="宋体"/>
          <w:color w:val="auto"/>
          <w:szCs w:val="21"/>
          <w:highlight w:val="none"/>
          <w:u w:val="single"/>
        </w:rPr>
        <w:t>由甲方决定。</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第七条</w:t>
      </w:r>
      <w:r>
        <w:rPr>
          <w:rFonts w:ascii="宋体" w:hAnsi="宋体"/>
          <w:b/>
          <w:color w:val="auto"/>
          <w:szCs w:val="21"/>
          <w:highlight w:val="none"/>
        </w:rPr>
        <w:t xml:space="preserve">  </w:t>
      </w:r>
      <w:r>
        <w:rPr>
          <w:rFonts w:hint="eastAsia" w:ascii="宋体" w:hAnsi="宋体"/>
          <w:b/>
          <w:color w:val="auto"/>
          <w:szCs w:val="21"/>
          <w:highlight w:val="none"/>
        </w:rPr>
        <w:t>售后服务、保修期</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乙方应按照国家有关法律法规和“三包”规定以及招投标文件和本合同所附的《服务承诺》，为甲方提供售后服务。</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货物保修期：</w:t>
      </w:r>
      <w:r>
        <w:rPr>
          <w:rFonts w:hint="eastAsia" w:ascii="宋体" w:hAnsi="宋体"/>
          <w:b/>
          <w:color w:val="auto"/>
          <w:szCs w:val="21"/>
          <w:highlight w:val="none"/>
          <w:u w:val="single"/>
        </w:rPr>
        <w:t>按乙方承诺，但是不得低于国家相关标准</w:t>
      </w:r>
      <w:r>
        <w:rPr>
          <w:rFonts w:hint="eastAsia" w:ascii="宋体" w:hAnsi="宋体"/>
          <w:b/>
          <w:color w:val="auto"/>
          <w:szCs w:val="21"/>
          <w:highlight w:val="none"/>
        </w:rPr>
        <w:t>，为</w:t>
      </w:r>
      <w:r>
        <w:rPr>
          <w:rFonts w:ascii="宋体" w:hAnsi="宋体"/>
          <w:b/>
          <w:color w:val="auto"/>
          <w:szCs w:val="21"/>
          <w:highlight w:val="none"/>
          <w:u w:val="single"/>
        </w:rPr>
        <w:t xml:space="preserve">    </w:t>
      </w:r>
      <w:r>
        <w:rPr>
          <w:rFonts w:hint="eastAsia" w:ascii="宋体" w:hAnsi="宋体"/>
          <w:b/>
          <w:color w:val="auto"/>
          <w:szCs w:val="21"/>
          <w:highlight w:val="none"/>
        </w:rPr>
        <w:t>年（自验收合格之日算起）。</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3.</w:t>
      </w:r>
      <w:r>
        <w:rPr>
          <w:rFonts w:hint="eastAsia" w:ascii="宋体" w:hAnsi="宋体"/>
          <w:color w:val="auto"/>
          <w:szCs w:val="21"/>
          <w:highlight w:val="none"/>
        </w:rPr>
        <w:t>乙方提供的服务承诺和售后服务及保修期责任等其它具体约定事项。（见合同附件）</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第八条　付款方式</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cs="Courier New"/>
          <w:b/>
          <w:color w:val="auto"/>
          <w:szCs w:val="21"/>
          <w:highlight w:val="none"/>
          <w:u w:val="single"/>
        </w:rPr>
      </w:pPr>
      <w:r>
        <w:rPr>
          <w:rFonts w:ascii="宋体" w:hAnsi="宋体" w:cs="Courier New"/>
          <w:b/>
          <w:color w:val="auto"/>
          <w:szCs w:val="21"/>
          <w:highlight w:val="none"/>
        </w:rPr>
        <w:t>2.</w:t>
      </w:r>
      <w:r>
        <w:rPr>
          <w:rFonts w:hint="eastAsia" w:ascii="宋体" w:hAnsi="宋体" w:cs="Courier New"/>
          <w:b/>
          <w:color w:val="auto"/>
          <w:szCs w:val="21"/>
          <w:highlight w:val="none"/>
        </w:rPr>
        <w:t>付款方式：</w:t>
      </w:r>
      <w:r>
        <w:rPr>
          <w:rFonts w:hint="eastAsia" w:ascii="宋体" w:hAnsi="宋体" w:cs="Courier New"/>
          <w:b/>
          <w:color w:val="auto"/>
          <w:szCs w:val="21"/>
          <w:highlight w:val="none"/>
          <w:u w:val="single"/>
        </w:rPr>
        <w:t>本项目无预付款，项目安装验收完毕后30日内支付合同金额总价的97%，剩余合同金额总价的3%作为质量保证金，质保期满后采购人返还全部质量保证金(不计利息)</w:t>
      </w:r>
      <w:r>
        <w:rPr>
          <w:rFonts w:hint="eastAsia" w:ascii="宋体" w:hAnsi="宋体" w:cs="Courier New"/>
          <w:b/>
          <w:bCs/>
          <w:color w:val="auto"/>
          <w:szCs w:val="21"/>
          <w:highlight w:val="none"/>
          <w:u w:val="single"/>
        </w:rPr>
        <w:t>。</w:t>
      </w:r>
    </w:p>
    <w:p>
      <w:pPr>
        <w:snapToGrid w:val="0"/>
        <w:spacing w:line="400" w:lineRule="exact"/>
        <w:ind w:left="-60" w:leftChars="-29" w:firstLine="514" w:firstLineChars="245"/>
        <w:rPr>
          <w:rFonts w:ascii="宋体"/>
          <w:b/>
          <w:color w:val="auto"/>
          <w:szCs w:val="21"/>
          <w:highlight w:val="none"/>
        </w:rPr>
      </w:pPr>
      <w:r>
        <w:rPr>
          <w:rFonts w:hint="eastAsia" w:ascii="宋体" w:hAnsi="宋体"/>
          <w:b/>
          <w:color w:val="auto"/>
          <w:szCs w:val="21"/>
          <w:highlight w:val="none"/>
        </w:rPr>
        <w:t>第九条</w:t>
      </w:r>
      <w:r>
        <w:rPr>
          <w:rFonts w:ascii="宋体" w:hAnsi="宋体"/>
          <w:b/>
          <w:color w:val="auto"/>
          <w:szCs w:val="21"/>
          <w:highlight w:val="none"/>
        </w:rPr>
        <w:t xml:space="preserve"> </w:t>
      </w:r>
      <w:r>
        <w:rPr>
          <w:rFonts w:hint="eastAsia" w:ascii="宋体" w:hAnsi="宋体"/>
          <w:b/>
          <w:color w:val="auto"/>
          <w:szCs w:val="21"/>
          <w:highlight w:val="none"/>
        </w:rPr>
        <w:t>履约保证金：</w:t>
      </w:r>
      <w:r>
        <w:rPr>
          <w:rFonts w:hint="eastAsia"/>
          <w:b/>
          <w:color w:val="auto"/>
          <w:highlight w:val="none"/>
          <w:u w:val="single"/>
        </w:rPr>
        <w:t>无</w:t>
      </w:r>
      <w:r>
        <w:rPr>
          <w:rFonts w:hint="eastAsia"/>
          <w:color w:val="auto"/>
          <w:highlight w:val="none"/>
        </w:rPr>
        <w:t>。</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第十条</w:t>
      </w:r>
      <w:r>
        <w:rPr>
          <w:rFonts w:ascii="宋体" w:hAnsi="宋体"/>
          <w:b/>
          <w:color w:val="auto"/>
          <w:szCs w:val="21"/>
          <w:highlight w:val="none"/>
        </w:rPr>
        <w:t xml:space="preserve"> </w:t>
      </w:r>
      <w:r>
        <w:rPr>
          <w:rFonts w:hint="eastAsia" w:ascii="宋体" w:hAnsi="宋体"/>
          <w:b/>
          <w:color w:val="auto"/>
          <w:szCs w:val="21"/>
          <w:highlight w:val="none"/>
        </w:rPr>
        <w:t>税费</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第十一条</w:t>
      </w:r>
      <w:r>
        <w:rPr>
          <w:rFonts w:ascii="宋体" w:hAnsi="宋体"/>
          <w:b/>
          <w:color w:val="auto"/>
          <w:szCs w:val="21"/>
          <w:highlight w:val="none"/>
        </w:rPr>
        <w:t xml:space="preserve"> </w:t>
      </w:r>
      <w:r>
        <w:rPr>
          <w:rFonts w:hint="eastAsia" w:ascii="宋体" w:hAnsi="宋体"/>
          <w:b/>
          <w:color w:val="auto"/>
          <w:szCs w:val="21"/>
          <w:highlight w:val="none"/>
        </w:rPr>
        <w:t>质量保证及售后服务</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⑴更换：由乙方承担所发生的全部费用。</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⑵贬值处理：由甲乙双方合议定价。</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⑶退货处理：乙方应退还甲方支付的合同款，同时应承担该货物的直接费用（运输、保险、检验、货款利息及银行手续费等）。</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2. </w:t>
      </w:r>
      <w:r>
        <w:rPr>
          <w:rFonts w:hint="eastAsia" w:ascii="宋体" w:hAnsi="宋体" w:cs="Courier New"/>
          <w:color w:val="auto"/>
          <w:szCs w:val="21"/>
          <w:highlight w:val="none"/>
        </w:rPr>
        <w:t>如在使用过程中发生质量问题，乙方在接到甲方通知后在小时内到达甲方现场。</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3. </w:t>
      </w:r>
      <w:r>
        <w:rPr>
          <w:rFonts w:hint="eastAsia" w:ascii="宋体" w:hAnsi="宋体" w:cs="Courier New"/>
          <w:color w:val="auto"/>
          <w:szCs w:val="21"/>
          <w:highlight w:val="none"/>
        </w:rPr>
        <w:t>在质保期内，乙方应对货物出现的质量及安全问题负责处理解决并承担一切费用。</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4.</w:t>
      </w:r>
      <w:r>
        <w:rPr>
          <w:rFonts w:hint="eastAsia" w:ascii="宋体" w:hAnsi="宋体" w:cs="Courier New"/>
          <w:color w:val="auto"/>
          <w:szCs w:val="21"/>
          <w:highlight w:val="none"/>
        </w:rPr>
        <w:t>上述的货物因人为因素出现的故障不在免费保修范围内。超过保修期的机器设备，终生维修，维修时只收部件成本费。</w:t>
      </w:r>
    </w:p>
    <w:p>
      <w:pPr>
        <w:snapToGrid w:val="0"/>
        <w:spacing w:line="400" w:lineRule="exact"/>
        <w:ind w:firstLine="411" w:firstLineChars="196"/>
        <w:rPr>
          <w:rFonts w:ascii="宋体" w:cs="Courier New"/>
          <w:b/>
          <w:color w:val="auto"/>
          <w:szCs w:val="21"/>
          <w:highlight w:val="none"/>
        </w:rPr>
      </w:pPr>
      <w:r>
        <w:rPr>
          <w:rFonts w:hint="eastAsia" w:ascii="宋体" w:hAnsi="宋体" w:cs="Courier New"/>
          <w:b/>
          <w:color w:val="auto"/>
          <w:szCs w:val="21"/>
          <w:highlight w:val="none"/>
        </w:rPr>
        <w:t>第十二条</w:t>
      </w:r>
      <w:r>
        <w:rPr>
          <w:rFonts w:ascii="宋体" w:hAnsi="宋体" w:cs="Courier New"/>
          <w:b/>
          <w:color w:val="auto"/>
          <w:szCs w:val="21"/>
          <w:highlight w:val="none"/>
        </w:rPr>
        <w:t xml:space="preserve"> </w:t>
      </w:r>
      <w:r>
        <w:rPr>
          <w:rFonts w:hint="eastAsia" w:ascii="宋体" w:hAnsi="宋体" w:cs="Courier New"/>
          <w:b/>
          <w:color w:val="auto"/>
          <w:szCs w:val="21"/>
          <w:highlight w:val="none"/>
        </w:rPr>
        <w:t>调试和验收</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1. </w:t>
      </w:r>
      <w:r>
        <w:rPr>
          <w:rFonts w:hint="eastAsia" w:ascii="宋体" w:hAnsi="宋体" w:cs="Courier New"/>
          <w:color w:val="auto"/>
          <w:szCs w:val="21"/>
          <w:highlight w:val="none"/>
        </w:rPr>
        <w:t>甲方对乙方提交的货物依据招标文件上的技术规格要求和国家有关质量标准进行现场初步验收，外观、说明书符合招标文件技术要求的，给予签收，初步验收不合格的不予签收。货到后，</w:t>
      </w:r>
      <w:r>
        <w:rPr>
          <w:rFonts w:hint="eastAsia" w:ascii="宋体" w:hAnsi="宋体" w:cs="Courier New"/>
          <w:bCs/>
          <w:color w:val="auto"/>
          <w:szCs w:val="21"/>
          <w:highlight w:val="none"/>
        </w:rPr>
        <w:t>甲方应当在到货并安装、调试完后七个工作日内进行验收</w:t>
      </w:r>
      <w:r>
        <w:rPr>
          <w:rFonts w:hint="eastAsia" w:ascii="宋体" w:hAnsi="宋体" w:cs="Courier New"/>
          <w:color w:val="auto"/>
          <w:szCs w:val="21"/>
          <w:highlight w:val="none"/>
        </w:rPr>
        <w:t>。</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2. </w:t>
      </w:r>
      <w:r>
        <w:rPr>
          <w:rFonts w:hint="eastAsia" w:ascii="宋体" w:hAnsi="宋体" w:cs="Courier New"/>
          <w:color w:val="auto"/>
          <w:szCs w:val="21"/>
          <w:highlight w:val="none"/>
        </w:rPr>
        <w:t>乙方交货前应对产品作出全面检查和对验收文件进行整理，并列出清单，作为甲方收货验收和使用的技术条件依据，检验的结果应随货物交甲方。</w:t>
      </w:r>
    </w:p>
    <w:p>
      <w:pPr>
        <w:snapToGrid w:val="0"/>
        <w:spacing w:line="400" w:lineRule="exact"/>
        <w:ind w:firstLine="420" w:firstLineChars="200"/>
        <w:rPr>
          <w:rFonts w:ascii="宋体" w:cs="Courier New"/>
          <w:color w:val="auto"/>
          <w:szCs w:val="21"/>
          <w:highlight w:val="none"/>
          <w:u w:val="single"/>
        </w:rPr>
      </w:pPr>
      <w:r>
        <w:rPr>
          <w:rFonts w:ascii="宋体" w:hAnsi="宋体" w:cs="Courier New"/>
          <w:color w:val="auto"/>
          <w:szCs w:val="21"/>
          <w:highlight w:val="none"/>
        </w:rPr>
        <w:t xml:space="preserve">3. </w:t>
      </w:r>
      <w:r>
        <w:rPr>
          <w:rFonts w:hint="eastAsia" w:ascii="宋体" w:hAnsi="宋体" w:cs="Courier New"/>
          <w:color w:val="auto"/>
          <w:szCs w:val="21"/>
          <w:highlight w:val="none"/>
        </w:rPr>
        <w:t>甲方对乙方提供的货物在使用前进行调试时，乙方需负责安装并培训甲方的使用操作人员，并协助甲方一起调试，直到符合技术要求，甲方才做最终验收。</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4. </w:t>
      </w:r>
      <w:r>
        <w:rPr>
          <w:rFonts w:hint="eastAsia" w:ascii="宋体" w:hAnsi="宋体" w:cs="Courier New"/>
          <w:color w:val="auto"/>
          <w:szCs w:val="21"/>
          <w:highlight w:val="none"/>
        </w:rPr>
        <w:t>对技术复杂的货物，甲方应请国家认可的专业检测机构参与初步验收及最终验收，并由其出具质量检测报告。</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5. </w:t>
      </w:r>
      <w:r>
        <w:rPr>
          <w:rFonts w:hint="eastAsia" w:ascii="宋体" w:hAnsi="宋体" w:cs="Courier New"/>
          <w:color w:val="auto"/>
          <w:szCs w:val="21"/>
          <w:highlight w:val="none"/>
        </w:rPr>
        <w:t>验收时乙方必须在现场，验收完毕后作出验收结果报告；验收费用由乙方负责。</w:t>
      </w:r>
    </w:p>
    <w:p>
      <w:pPr>
        <w:snapToGrid w:val="0"/>
        <w:spacing w:line="400" w:lineRule="exact"/>
        <w:ind w:firstLine="411" w:firstLineChars="196"/>
        <w:rPr>
          <w:rFonts w:ascii="宋体" w:cs="Courier New"/>
          <w:b/>
          <w:color w:val="auto"/>
          <w:szCs w:val="21"/>
          <w:highlight w:val="none"/>
        </w:rPr>
      </w:pPr>
      <w:r>
        <w:rPr>
          <w:rFonts w:hint="eastAsia" w:ascii="宋体" w:hAnsi="宋体" w:cs="Courier New"/>
          <w:b/>
          <w:color w:val="auto"/>
          <w:szCs w:val="21"/>
          <w:highlight w:val="none"/>
        </w:rPr>
        <w:t>第十三条</w:t>
      </w:r>
      <w:r>
        <w:rPr>
          <w:rFonts w:ascii="宋体" w:hAnsi="宋体" w:cs="Courier New"/>
          <w:b/>
          <w:color w:val="auto"/>
          <w:szCs w:val="21"/>
          <w:highlight w:val="none"/>
        </w:rPr>
        <w:t xml:space="preserve"> </w:t>
      </w:r>
      <w:r>
        <w:rPr>
          <w:rFonts w:hint="eastAsia" w:ascii="宋体" w:hAnsi="宋体" w:cs="Courier New"/>
          <w:b/>
          <w:color w:val="auto"/>
          <w:szCs w:val="21"/>
          <w:highlight w:val="none"/>
        </w:rPr>
        <w:t>货物包装、发运及运输</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1. </w:t>
      </w:r>
      <w:r>
        <w:rPr>
          <w:rFonts w:hint="eastAsia" w:ascii="宋体" w:hAnsi="宋体" w:cs="Courier New"/>
          <w:color w:val="auto"/>
          <w:szCs w:val="21"/>
          <w:highlight w:val="none"/>
        </w:rPr>
        <w:t>乙方应在货物发运前对其进行满足运输距离、防潮、防震、防锈和防破损装卸等要求包装，以保证货物安全运达甲方指定地点。</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2. </w:t>
      </w:r>
      <w:r>
        <w:rPr>
          <w:rFonts w:hint="eastAsia" w:ascii="宋体" w:hAnsi="宋体" w:cs="Courier New"/>
          <w:color w:val="auto"/>
          <w:szCs w:val="21"/>
          <w:highlight w:val="none"/>
        </w:rPr>
        <w:t>使用说明书、质量检验证明书、随配附件和工具以及清单一并附于货物内。</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3. </w:t>
      </w:r>
      <w:r>
        <w:rPr>
          <w:rFonts w:hint="eastAsia" w:ascii="宋体" w:hAnsi="宋体" w:cs="Courier New"/>
          <w:color w:val="auto"/>
          <w:szCs w:val="21"/>
          <w:highlight w:val="none"/>
        </w:rPr>
        <w:t>乙方在货物发运手续办理完毕后二十四小时内或货到甲方四十八小时前通知甲方，以准备接货。</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4. </w:t>
      </w:r>
      <w:r>
        <w:rPr>
          <w:rFonts w:hint="eastAsia" w:ascii="宋体" w:hAnsi="宋体" w:cs="Courier New"/>
          <w:color w:val="auto"/>
          <w:szCs w:val="21"/>
          <w:highlight w:val="none"/>
        </w:rPr>
        <w:t>货物在交付甲方前发生的风险均由乙方负责。</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5. </w:t>
      </w:r>
      <w:r>
        <w:rPr>
          <w:rFonts w:hint="eastAsia" w:ascii="宋体" w:hAnsi="宋体" w:cs="Courier New"/>
          <w:color w:val="auto"/>
          <w:szCs w:val="21"/>
          <w:highlight w:val="none"/>
        </w:rPr>
        <w:t>货物在规定的交付期限内由乙方送达甲方指定的地点并初步验收合格后视为交付，乙方同时需通知甲方货物已送达。</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第十四条　违约责任</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olor w:val="auto"/>
          <w:szCs w:val="21"/>
          <w:highlight w:val="none"/>
          <w:u w:val="single"/>
        </w:rPr>
        <w:t xml:space="preserve"> 5% </w:t>
      </w:r>
      <w:r>
        <w:rPr>
          <w:rFonts w:hint="eastAsia" w:ascii="宋体" w:hAnsi="宋体"/>
          <w:color w:val="auto"/>
          <w:szCs w:val="21"/>
          <w:highlight w:val="none"/>
        </w:rPr>
        <w:t>违约金并赔偿甲方经济损失。</w:t>
      </w:r>
      <w:r>
        <w:rPr>
          <w:rFonts w:ascii="宋体" w:hAnsi="宋体"/>
          <w:color w:val="auto"/>
          <w:szCs w:val="21"/>
          <w:highlight w:val="none"/>
        </w:rPr>
        <w:t xml:space="preserve">                                       </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乙方提供的货物如侵犯了第三方合法权益而引发的任何纠纷或诉讼，均由乙方负责交涉并承担全部责任。</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因包装、运输引起的货物损坏，按质量不合格处罚。</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甲方无故延期接收货物、乙方逾期交货的，每天向对方偿付违约货款额</w:t>
      </w:r>
      <w:r>
        <w:rPr>
          <w:rFonts w:ascii="宋体" w:hAnsi="宋体"/>
          <w:color w:val="auto"/>
          <w:szCs w:val="21"/>
          <w:highlight w:val="none"/>
        </w:rPr>
        <w:t>3</w:t>
      </w:r>
      <w:r>
        <w:rPr>
          <w:rFonts w:hint="eastAsia" w:ascii="宋体" w:hAnsi="宋体"/>
          <w:color w:val="auto"/>
          <w:szCs w:val="21"/>
          <w:highlight w:val="none"/>
        </w:rPr>
        <w:t>‰违约金，但违约金累计不得超过违约货款额</w:t>
      </w:r>
      <w:r>
        <w:rPr>
          <w:rFonts w:ascii="宋体" w:hAnsi="宋体"/>
          <w:color w:val="auto"/>
          <w:szCs w:val="21"/>
          <w:highlight w:val="none"/>
          <w:u w:val="single"/>
        </w:rPr>
        <w:t>5%</w:t>
      </w:r>
      <w:r>
        <w:rPr>
          <w:rFonts w:hint="eastAsia" w:ascii="宋体" w:hAnsi="宋体"/>
          <w:color w:val="auto"/>
          <w:szCs w:val="21"/>
          <w:highlight w:val="none"/>
        </w:rPr>
        <w:t>，超过</w:t>
      </w:r>
      <w:r>
        <w:rPr>
          <w:rFonts w:ascii="宋体" w:hAnsi="宋体"/>
          <w:color w:val="auto"/>
          <w:szCs w:val="21"/>
          <w:highlight w:val="none"/>
          <w:u w:val="single"/>
        </w:rPr>
        <w:t xml:space="preserve"> 30 </w:t>
      </w:r>
      <w:r>
        <w:rPr>
          <w:rFonts w:hint="eastAsia" w:ascii="宋体" w:hAnsi="宋体"/>
          <w:color w:val="auto"/>
          <w:szCs w:val="21"/>
          <w:highlight w:val="none"/>
        </w:rPr>
        <w:t>天对方有权解除合同，违约方承担因此给对方造成经济损失；甲方延期付货款的，每天向乙方偿付延期货款额</w:t>
      </w:r>
      <w:r>
        <w:rPr>
          <w:rFonts w:ascii="宋体" w:hAnsi="宋体"/>
          <w:color w:val="auto"/>
          <w:szCs w:val="21"/>
          <w:highlight w:val="none"/>
          <w:u w:val="single"/>
        </w:rPr>
        <w:t>3</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滞纳金，但滞纳金累计不得超过延期货款额</w:t>
      </w:r>
      <w:r>
        <w:rPr>
          <w:rFonts w:ascii="宋体" w:hAnsi="宋体"/>
          <w:color w:val="auto"/>
          <w:szCs w:val="21"/>
          <w:highlight w:val="none"/>
          <w:u w:val="single"/>
        </w:rPr>
        <w:t>5%</w:t>
      </w:r>
      <w:r>
        <w:rPr>
          <w:rFonts w:hint="eastAsia" w:ascii="宋体" w:hAnsi="宋体"/>
          <w:color w:val="auto"/>
          <w:szCs w:val="21"/>
          <w:highlight w:val="none"/>
        </w:rPr>
        <w:t>。</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乙方未按本合同和投标文件中规定的服务承诺提供售后服务的，乙方应按本合同合计金额</w:t>
      </w:r>
      <w:r>
        <w:rPr>
          <w:rFonts w:ascii="宋体" w:hAnsi="宋体"/>
          <w:color w:val="auto"/>
          <w:szCs w:val="21"/>
          <w:highlight w:val="none"/>
          <w:u w:val="single"/>
        </w:rPr>
        <w:t xml:space="preserve"> 5%</w:t>
      </w:r>
      <w:r>
        <w:rPr>
          <w:rFonts w:hint="eastAsia" w:ascii="宋体" w:hAnsi="宋体"/>
          <w:color w:val="auto"/>
          <w:szCs w:val="21"/>
          <w:highlight w:val="none"/>
        </w:rPr>
        <w:t>向甲方支付违约金。</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乙方提供的货物在质量保证期内，因设计、工艺或材料的缺陷和其它质量原因造成的问题，由乙方负责，费用从质量保证金中扣除，质量保证金不足以支付的，由乙方另行支付。</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其它违约行为按违约货款额</w:t>
      </w:r>
      <w:r>
        <w:rPr>
          <w:rFonts w:ascii="宋体" w:hAnsi="宋体"/>
          <w:color w:val="auto"/>
          <w:szCs w:val="21"/>
          <w:highlight w:val="none"/>
        </w:rPr>
        <w:t>5%</w:t>
      </w:r>
      <w:r>
        <w:rPr>
          <w:rFonts w:hint="eastAsia" w:ascii="宋体" w:hAnsi="宋体"/>
          <w:color w:val="auto"/>
          <w:szCs w:val="21"/>
          <w:highlight w:val="none"/>
        </w:rPr>
        <w:t>收取违约金并赔偿经济损失。</w:t>
      </w:r>
    </w:p>
    <w:p>
      <w:pPr>
        <w:snapToGrid w:val="0"/>
        <w:spacing w:line="400" w:lineRule="exact"/>
        <w:ind w:firstLine="411" w:firstLineChars="196"/>
        <w:rPr>
          <w:rFonts w:ascii="宋体" w:cs="Courier New"/>
          <w:b/>
          <w:color w:val="auto"/>
          <w:szCs w:val="21"/>
          <w:highlight w:val="none"/>
        </w:rPr>
      </w:pPr>
      <w:r>
        <w:rPr>
          <w:rFonts w:hint="eastAsia" w:ascii="宋体" w:hAnsi="宋体" w:cs="Courier New"/>
          <w:b/>
          <w:color w:val="auto"/>
          <w:szCs w:val="21"/>
          <w:highlight w:val="none"/>
        </w:rPr>
        <w:t>第十五条</w:t>
      </w:r>
      <w:r>
        <w:rPr>
          <w:rFonts w:ascii="宋体" w:hAnsi="宋体" w:cs="Courier New"/>
          <w:b/>
          <w:color w:val="auto"/>
          <w:szCs w:val="21"/>
          <w:highlight w:val="none"/>
        </w:rPr>
        <w:t xml:space="preserve"> </w:t>
      </w:r>
      <w:r>
        <w:rPr>
          <w:rFonts w:hint="eastAsia" w:ascii="宋体" w:hAnsi="宋体" w:cs="Courier New"/>
          <w:b/>
          <w:color w:val="auto"/>
          <w:szCs w:val="21"/>
          <w:highlight w:val="none"/>
        </w:rPr>
        <w:t>不可抗力事件处理</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不可抗力事件发生后，应立即通知对方，并寄送有关权威机构出具的证明。</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不可抗力事件延续一百二十天以上，双方应通过友好协商，确定是否继续履行合同。</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第十六条</w:t>
      </w:r>
      <w:r>
        <w:rPr>
          <w:rFonts w:ascii="宋体" w:hAnsi="宋体"/>
          <w:b/>
          <w:color w:val="auto"/>
          <w:szCs w:val="21"/>
          <w:highlight w:val="none"/>
        </w:rPr>
        <w:t xml:space="preserve">  </w:t>
      </w:r>
      <w:r>
        <w:rPr>
          <w:rFonts w:hint="eastAsia" w:ascii="宋体" w:hAnsi="宋体"/>
          <w:b/>
          <w:color w:val="auto"/>
          <w:szCs w:val="21"/>
          <w:highlight w:val="none"/>
        </w:rPr>
        <w:t>合同争议解决</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诉讼期间，本合同继续履行。</w:t>
      </w:r>
    </w:p>
    <w:p>
      <w:pPr>
        <w:snapToGrid w:val="0"/>
        <w:spacing w:line="400" w:lineRule="exact"/>
        <w:ind w:firstLine="420" w:firstLineChars="200"/>
        <w:rPr>
          <w:rFonts w:ascii="宋体" w:cs="Courier New"/>
          <w:b/>
          <w:color w:val="auto"/>
          <w:szCs w:val="21"/>
          <w:highlight w:val="none"/>
        </w:rPr>
      </w:pPr>
      <w:r>
        <w:rPr>
          <w:rFonts w:hint="eastAsia" w:ascii="宋体" w:hAnsi="宋体" w:cs="Courier New"/>
          <w:b/>
          <w:color w:val="auto"/>
          <w:szCs w:val="21"/>
          <w:highlight w:val="none"/>
        </w:rPr>
        <w:t>第十七条</w:t>
      </w:r>
      <w:r>
        <w:rPr>
          <w:rFonts w:ascii="宋体" w:hAnsi="宋体" w:cs="Courier New"/>
          <w:b/>
          <w:color w:val="auto"/>
          <w:szCs w:val="21"/>
          <w:highlight w:val="none"/>
        </w:rPr>
        <w:t xml:space="preserve"> </w:t>
      </w:r>
      <w:r>
        <w:rPr>
          <w:rFonts w:hint="eastAsia" w:ascii="宋体" w:hAnsi="宋体" w:cs="Courier New"/>
          <w:b/>
          <w:color w:val="auto"/>
          <w:szCs w:val="21"/>
          <w:highlight w:val="none"/>
        </w:rPr>
        <w:t>合同生效及其它</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．合同经双方法定代表人或授权代表签字并加盖单位公章后生效。</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．本合同未尽事宜，遵照《合同法》有关条文执行。</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第十八条　合同的变更、终止与转让</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除《中华人民共和国政府采购法》第五十条规定的情形外，本合同一经签订，甲乙双方不得擅自变更、中止或终止。</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未经甲方书面同意，乙方不得擅自转让（无进口资格的供应商委托进口货物除外）其应履行的合同义务。</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第十九条　签订本合同依据</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政府采购招标文件；</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乙方提供的投标文件；</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投标承诺书；</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中标通知书。</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本合同一式五份，具有同等法律效力。</w:t>
      </w:r>
      <w:r>
        <w:rPr>
          <w:rFonts w:hint="eastAsia" w:ascii="宋体" w:hAnsi="宋体"/>
          <w:color w:val="auto"/>
          <w:spacing w:val="4"/>
          <w:szCs w:val="21"/>
          <w:highlight w:val="none"/>
        </w:rPr>
        <w:t>本级政府采购监督管理部门、采购代理机构</w:t>
      </w:r>
      <w:r>
        <w:rPr>
          <w:rFonts w:hint="eastAsia" w:ascii="宋体" w:hAnsi="宋体"/>
          <w:color w:val="auto"/>
          <w:szCs w:val="21"/>
          <w:highlight w:val="none"/>
        </w:rPr>
        <w:t>各一份，甲方两份，乙方一份。</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本合同经甲乙双方法定代表人或委托代理人签字并加盖单位公章后生效，自签订之日起七个工作日内，采购人或采购代理机构应当将合同副本报本级政府采购监督管理部门。</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3"/>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甲方（章）</w:t>
            </w:r>
            <w:r>
              <w:rPr>
                <w:rFonts w:ascii="宋体" w:hAnsi="宋体"/>
                <w:color w:val="auto"/>
                <w:szCs w:val="21"/>
                <w:highlight w:val="none"/>
              </w:rPr>
              <w:t xml:space="preserve">           </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rPr>
            </w:pPr>
          </w:p>
          <w:p>
            <w:pPr>
              <w:snapToGrid w:val="0"/>
              <w:spacing w:line="400" w:lineRule="exact"/>
              <w:ind w:firstLine="945" w:firstLineChars="450"/>
              <w:jc w:val="right"/>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乙方（章）</w:t>
            </w:r>
            <w:r>
              <w:rPr>
                <w:rFonts w:ascii="宋体" w:hAnsi="宋体"/>
                <w:color w:val="auto"/>
                <w:szCs w:val="21"/>
                <w:highlight w:val="none"/>
              </w:rPr>
              <w:t xml:space="preserve">              </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rPr>
            </w:pPr>
          </w:p>
          <w:p>
            <w:pPr>
              <w:snapToGrid w:val="0"/>
              <w:spacing w:line="400" w:lineRule="exact"/>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单位地址：</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法定代表人：</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委托代理人：</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电话：</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电子邮箱：</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开户银行：</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账号：</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邮政编码：</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9464" w:type="dxa"/>
            <w:gridSpan w:val="2"/>
          </w:tcPr>
          <w:p>
            <w:pPr>
              <w:snapToGrid w:val="0"/>
              <w:spacing w:line="400" w:lineRule="exact"/>
              <w:rPr>
                <w:rFonts w:ascii="宋体"/>
                <w:color w:val="auto"/>
                <w:szCs w:val="21"/>
                <w:highlight w:val="none"/>
              </w:rPr>
            </w:pPr>
            <w:r>
              <w:rPr>
                <w:rFonts w:hint="eastAsia" w:ascii="宋体" w:hAnsi="宋体"/>
                <w:color w:val="auto"/>
                <w:szCs w:val="21"/>
                <w:highlight w:val="none"/>
              </w:rPr>
              <w:t>经办人：</w:t>
            </w: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pPr>
        <w:snapToGrid w:val="0"/>
        <w:spacing w:line="360" w:lineRule="exact"/>
        <w:jc w:val="center"/>
        <w:rPr>
          <w:rFonts w:ascii="宋体"/>
          <w:b/>
          <w:color w:val="auto"/>
          <w:sz w:val="28"/>
          <w:szCs w:val="28"/>
          <w:highlight w:val="none"/>
        </w:rPr>
      </w:pPr>
    </w:p>
    <w:p>
      <w:pPr>
        <w:widowControl/>
        <w:jc w:val="left"/>
        <w:rPr>
          <w:rFonts w:ascii="宋体"/>
          <w:b/>
          <w:color w:val="auto"/>
          <w:sz w:val="28"/>
          <w:szCs w:val="28"/>
          <w:highlight w:val="none"/>
        </w:rPr>
      </w:pPr>
      <w:r>
        <w:rPr>
          <w:rFonts w:ascii="宋体"/>
          <w:b/>
          <w:color w:val="auto"/>
          <w:sz w:val="28"/>
          <w:szCs w:val="28"/>
          <w:highlight w:val="none"/>
        </w:rPr>
        <w:br w:type="page"/>
      </w:r>
    </w:p>
    <w:p>
      <w:pPr>
        <w:snapToGrid w:val="0"/>
        <w:spacing w:line="360" w:lineRule="exact"/>
        <w:jc w:val="center"/>
        <w:rPr>
          <w:rFonts w:ascii="宋体"/>
          <w:b/>
          <w:color w:val="auto"/>
          <w:sz w:val="28"/>
          <w:szCs w:val="28"/>
          <w:highlight w:val="none"/>
        </w:rPr>
      </w:pPr>
      <w:r>
        <w:rPr>
          <w:rFonts w:hint="eastAsia" w:ascii="宋体" w:hAnsi="宋体"/>
          <w:b/>
          <w:color w:val="auto"/>
          <w:sz w:val="28"/>
          <w:szCs w:val="28"/>
          <w:highlight w:val="none"/>
        </w:rPr>
        <w:t>合</w:t>
      </w:r>
      <w:r>
        <w:rPr>
          <w:rFonts w:ascii="宋体" w:hAnsi="宋体"/>
          <w:b/>
          <w:color w:val="auto"/>
          <w:sz w:val="28"/>
          <w:szCs w:val="28"/>
          <w:highlight w:val="none"/>
        </w:rPr>
        <w:t xml:space="preserve"> </w:t>
      </w:r>
      <w:r>
        <w:rPr>
          <w:rFonts w:hint="eastAsia" w:ascii="宋体" w:hAnsi="宋体"/>
          <w:b/>
          <w:color w:val="auto"/>
          <w:sz w:val="28"/>
          <w:szCs w:val="28"/>
          <w:highlight w:val="none"/>
        </w:rPr>
        <w:t>同</w:t>
      </w:r>
      <w:r>
        <w:rPr>
          <w:rFonts w:ascii="宋体" w:hAnsi="宋体"/>
          <w:b/>
          <w:color w:val="auto"/>
          <w:sz w:val="28"/>
          <w:szCs w:val="28"/>
          <w:highlight w:val="none"/>
        </w:rPr>
        <w:t xml:space="preserve"> </w:t>
      </w:r>
      <w:r>
        <w:rPr>
          <w:rFonts w:hint="eastAsia" w:ascii="宋体" w:hAnsi="宋体"/>
          <w:b/>
          <w:color w:val="auto"/>
          <w:sz w:val="28"/>
          <w:szCs w:val="28"/>
          <w:highlight w:val="none"/>
        </w:rPr>
        <w:t>附</w:t>
      </w:r>
      <w:r>
        <w:rPr>
          <w:rFonts w:ascii="宋体" w:hAnsi="宋体"/>
          <w:b/>
          <w:color w:val="auto"/>
          <w:sz w:val="28"/>
          <w:szCs w:val="28"/>
          <w:highlight w:val="none"/>
        </w:rPr>
        <w:t xml:space="preserve"> </w:t>
      </w:r>
      <w:r>
        <w:rPr>
          <w:rFonts w:hint="eastAsia" w:ascii="宋体" w:hAnsi="宋体"/>
          <w:b/>
          <w:color w:val="auto"/>
          <w:sz w:val="28"/>
          <w:szCs w:val="28"/>
          <w:highlight w:val="none"/>
        </w:rPr>
        <w:t>件</w:t>
      </w:r>
    </w:p>
    <w:p>
      <w:pPr>
        <w:snapToGrid w:val="0"/>
        <w:spacing w:line="360" w:lineRule="exact"/>
        <w:jc w:val="center"/>
        <w:rPr>
          <w:rFonts w:ascii="宋体"/>
          <w:b/>
          <w:color w:val="auto"/>
          <w:szCs w:val="21"/>
          <w:highlight w:val="none"/>
        </w:rPr>
      </w:pPr>
    </w:p>
    <w:tbl>
      <w:tblPr>
        <w:tblStyle w:val="2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1</w:t>
            </w:r>
            <w:r>
              <w:rPr>
                <w:rFonts w:hint="eastAsia" w:hAnsi="宋体"/>
                <w:color w:val="auto"/>
                <w:szCs w:val="21"/>
                <w:highlight w:val="none"/>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2</w:t>
            </w:r>
            <w:r>
              <w:rPr>
                <w:rFonts w:hint="eastAsia" w:hAnsi="宋体"/>
                <w:color w:val="auto"/>
                <w:szCs w:val="21"/>
                <w:highlight w:val="none"/>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3</w:t>
            </w:r>
            <w:r>
              <w:rPr>
                <w:rFonts w:hint="eastAsia" w:hAnsi="宋体"/>
                <w:color w:val="auto"/>
                <w:szCs w:val="21"/>
                <w:highlight w:val="none"/>
              </w:rPr>
              <w:t>、保修期责任：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4</w:t>
            </w:r>
            <w:r>
              <w:rPr>
                <w:rFonts w:hint="eastAsia" w:hAnsi="宋体"/>
                <w:color w:val="auto"/>
                <w:szCs w:val="21"/>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788" w:type="dxa"/>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525" w:firstLineChars="250"/>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c>
          <w:tcPr>
            <w:tcW w:w="4680" w:type="dxa"/>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630" w:firstLineChars="300"/>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注：售后服务事项填不下时可另加附页</w:t>
      </w:r>
      <w:bookmarkEnd w:id="127"/>
    </w:p>
    <w:p>
      <w:pPr>
        <w:widowControl/>
        <w:jc w:val="left"/>
        <w:rPr>
          <w:rFonts w:ascii="宋体"/>
          <w:color w:val="auto"/>
          <w:szCs w:val="21"/>
          <w:highlight w:val="none"/>
        </w:rPr>
      </w:pPr>
      <w:r>
        <w:rPr>
          <w:rFonts w:ascii="宋体"/>
          <w:color w:val="auto"/>
          <w:szCs w:val="21"/>
          <w:highlight w:val="none"/>
        </w:rPr>
        <w:br w:type="page"/>
      </w:r>
    </w:p>
    <w:p>
      <w:pPr>
        <w:spacing w:line="380" w:lineRule="exact"/>
        <w:ind w:firstLine="640" w:firstLineChars="200"/>
        <w:rPr>
          <w:rFonts w:ascii="宋体"/>
          <w:color w:val="auto"/>
          <w:highlight w:val="none"/>
        </w:rPr>
      </w:pPr>
      <w:r>
        <w:rPr>
          <w:rFonts w:hint="eastAsia" w:ascii="宋体" w:hAnsi="宋体"/>
          <w:b/>
          <w:color w:val="auto"/>
          <w:sz w:val="32"/>
          <w:szCs w:val="32"/>
          <w:highlight w:val="none"/>
        </w:rPr>
        <w:t>附表：</w:t>
      </w:r>
    </w:p>
    <w:p>
      <w:pPr>
        <w:pStyle w:val="63"/>
        <w:ind w:firstLine="480" w:firstLineChars="200"/>
        <w:jc w:val="center"/>
        <w:rPr>
          <w:color w:val="auto"/>
          <w:highlight w:val="none"/>
        </w:rPr>
      </w:pPr>
      <w:r>
        <w:rPr>
          <w:rFonts w:hint="eastAsia"/>
          <w:b/>
          <w:bCs/>
          <w:color w:val="auto"/>
          <w:highlight w:val="none"/>
        </w:rPr>
        <w:t>采购代理服务收费标准</w:t>
      </w:r>
      <w:r>
        <w:rPr>
          <w:b/>
          <w:bCs/>
          <w:color w:val="auto"/>
          <w:highlight w:val="none"/>
        </w:rPr>
        <w:t>(</w:t>
      </w:r>
      <w:r>
        <w:rPr>
          <w:rFonts w:hint="eastAsia"/>
          <w:b/>
          <w:bCs/>
          <w:color w:val="auto"/>
          <w:highlight w:val="none"/>
        </w:rPr>
        <w:t>费率</w:t>
      </w:r>
      <w:r>
        <w:rPr>
          <w:b/>
          <w:bCs/>
          <w:color w:val="auto"/>
          <w:highlight w:val="none"/>
        </w:rPr>
        <w:t>)</w:t>
      </w:r>
    </w:p>
    <w:tbl>
      <w:tblPr>
        <w:tblStyle w:val="24"/>
        <w:tblW w:w="910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40"/>
        <w:gridCol w:w="1587"/>
        <w:gridCol w:w="1587"/>
        <w:gridCol w:w="15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hint="eastAsia" w:ascii="宋体" w:hAnsi="宋体"/>
                <w:b/>
                <w:bCs/>
                <w:color w:val="auto"/>
                <w:sz w:val="24"/>
                <w:highlight w:val="none"/>
              </w:rPr>
              <w:t>成交金额（万元）</w:t>
            </w:r>
          </w:p>
        </w:tc>
        <w:tc>
          <w:tcPr>
            <w:tcW w:w="1587" w:type="dxa"/>
            <w:tcBorders>
              <w:top w:val="outset" w:color="auto" w:sz="6" w:space="0"/>
              <w:left w:val="outset" w:color="auto" w:sz="6" w:space="0"/>
              <w:bottom w:val="outset" w:color="auto" w:sz="6" w:space="0"/>
              <w:right w:val="outset" w:color="auto" w:sz="6" w:space="0"/>
            </w:tcBorders>
            <w:vAlign w:val="center"/>
          </w:tcPr>
          <w:p>
            <w:pPr>
              <w:pStyle w:val="21"/>
              <w:jc w:val="center"/>
              <w:rPr>
                <w:color w:val="auto"/>
                <w:highlight w:val="none"/>
              </w:rPr>
            </w:pPr>
            <w:r>
              <w:rPr>
                <w:rFonts w:hint="eastAsia"/>
                <w:b/>
                <w:bCs/>
                <w:color w:val="auto"/>
                <w:highlight w:val="none"/>
              </w:rPr>
              <w:t>货物类</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hint="eastAsia" w:ascii="宋体" w:hAnsi="宋体"/>
                <w:b/>
                <w:bCs/>
                <w:color w:val="auto"/>
                <w:sz w:val="24"/>
                <w:highlight w:val="none"/>
              </w:rPr>
              <w:t>服务类</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hint="eastAsia" w:ascii="宋体" w:hAnsi="宋体"/>
                <w:b/>
                <w:bCs/>
                <w:color w:val="auto"/>
                <w:sz w:val="24"/>
                <w:highlight w:val="none"/>
              </w:rPr>
              <w:t>工程类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100</w:t>
            </w:r>
            <w:r>
              <w:rPr>
                <w:rFonts w:hint="eastAsia" w:ascii="宋体" w:hAnsi="宋体"/>
                <w:color w:val="auto"/>
                <w:sz w:val="24"/>
                <w:highlight w:val="none"/>
              </w:rPr>
              <w:t>以下</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1.5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1.5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100—500</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0.8</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0.7</w:t>
            </w:r>
            <w:r>
              <w:rPr>
                <w:rFonts w:hint="eastAsia" w:ascii="宋体" w:hAnsi="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500—1000</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0.8</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0.45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0.55</w:t>
            </w:r>
            <w:r>
              <w:rPr>
                <w:rFonts w:hint="eastAsia" w:ascii="宋体" w:hAnsi="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1000—5000</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0.25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0.35</w:t>
            </w:r>
            <w:r>
              <w:rPr>
                <w:rFonts w:hint="eastAsia" w:ascii="宋体" w:hAnsi="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5000—10000</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0.25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0.1</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0.2</w:t>
            </w:r>
            <w:r>
              <w:rPr>
                <w:rFonts w:hint="eastAsia" w:ascii="宋体" w:hAnsi="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10000——100000</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0.05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0.05</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0.05</w:t>
            </w:r>
            <w:r>
              <w:rPr>
                <w:rFonts w:hint="eastAsia" w:ascii="宋体" w:hAnsi="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jc w:val="center"/>
        </w:trPr>
        <w:tc>
          <w:tcPr>
            <w:tcW w:w="4340" w:type="dxa"/>
            <w:tcBorders>
              <w:top w:val="outset" w:color="auto" w:sz="6" w:space="0"/>
              <w:bottom w:val="outset" w:color="auto" w:sz="6" w:space="0"/>
              <w:right w:val="outset" w:color="auto" w:sz="6" w:space="0"/>
            </w:tcBorders>
            <w:vAlign w:val="center"/>
          </w:tcPr>
          <w:p>
            <w:pPr>
              <w:ind w:firstLine="360" w:firstLineChars="150"/>
              <w:rPr>
                <w:rFonts w:ascii="宋体"/>
                <w:color w:val="auto"/>
                <w:sz w:val="24"/>
                <w:highlight w:val="none"/>
              </w:rPr>
            </w:pPr>
            <w:r>
              <w:rPr>
                <w:rFonts w:ascii="宋体" w:hAnsi="宋体"/>
                <w:color w:val="auto"/>
                <w:sz w:val="24"/>
                <w:highlight w:val="none"/>
              </w:rPr>
              <w:t>1000000</w:t>
            </w:r>
            <w:r>
              <w:rPr>
                <w:rFonts w:hint="eastAsia" w:ascii="宋体" w:hAnsi="宋体"/>
                <w:color w:val="auto"/>
                <w:sz w:val="24"/>
                <w:highlight w:val="none"/>
              </w:rPr>
              <w:t>以上</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0.01</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right w:val="outset" w:color="auto" w:sz="6" w:space="0"/>
            </w:tcBorders>
            <w:vAlign w:val="center"/>
          </w:tcPr>
          <w:p>
            <w:pPr>
              <w:jc w:val="center"/>
              <w:rPr>
                <w:rFonts w:ascii="宋体"/>
                <w:color w:val="auto"/>
                <w:sz w:val="24"/>
                <w:highlight w:val="none"/>
              </w:rPr>
            </w:pPr>
            <w:r>
              <w:rPr>
                <w:rFonts w:ascii="宋体" w:hAnsi="宋体"/>
                <w:color w:val="auto"/>
                <w:sz w:val="24"/>
                <w:highlight w:val="none"/>
              </w:rPr>
              <w:t>0.01</w:t>
            </w:r>
            <w:r>
              <w:rPr>
                <w:rFonts w:hint="eastAsia" w:ascii="宋体" w:hAnsi="宋体"/>
                <w:color w:val="auto"/>
                <w:sz w:val="24"/>
                <w:highlight w:val="none"/>
              </w:rPr>
              <w:t>％</w:t>
            </w:r>
          </w:p>
        </w:tc>
        <w:tc>
          <w:tcPr>
            <w:tcW w:w="1587" w:type="dxa"/>
            <w:tcBorders>
              <w:top w:val="outset" w:color="auto" w:sz="6" w:space="0"/>
              <w:left w:val="outset" w:color="auto" w:sz="6" w:space="0"/>
              <w:bottom w:val="outset" w:color="auto" w:sz="6" w:space="0"/>
            </w:tcBorders>
            <w:vAlign w:val="center"/>
          </w:tcPr>
          <w:p>
            <w:pPr>
              <w:jc w:val="center"/>
              <w:rPr>
                <w:rFonts w:ascii="宋体"/>
                <w:color w:val="auto"/>
                <w:sz w:val="24"/>
                <w:highlight w:val="none"/>
              </w:rPr>
            </w:pPr>
            <w:r>
              <w:rPr>
                <w:rFonts w:ascii="宋体" w:hAnsi="宋体"/>
                <w:color w:val="auto"/>
                <w:sz w:val="24"/>
                <w:highlight w:val="none"/>
              </w:rPr>
              <w:t>0.01</w:t>
            </w:r>
            <w:r>
              <w:rPr>
                <w:rFonts w:hint="eastAsia" w:ascii="宋体" w:hAnsi="宋体"/>
                <w:color w:val="auto"/>
                <w:sz w:val="24"/>
                <w:highlight w:val="none"/>
              </w:rPr>
              <w:t>％</w:t>
            </w:r>
          </w:p>
        </w:tc>
      </w:tr>
    </w:tbl>
    <w:p>
      <w:pPr>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注：</w:t>
      </w:r>
    </w:p>
    <w:p>
      <w:pPr>
        <w:spacing w:line="360" w:lineRule="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、采购代理服务收费按差额定率累进法计算。例如：某货物采购代理业务成交金额为</w:t>
      </w:r>
      <w:r>
        <w:rPr>
          <w:rFonts w:ascii="宋体" w:hAnsi="宋体"/>
          <w:color w:val="auto"/>
          <w:sz w:val="24"/>
          <w:highlight w:val="none"/>
        </w:rPr>
        <w:t>600</w:t>
      </w:r>
      <w:r>
        <w:rPr>
          <w:rFonts w:hint="eastAsia" w:ascii="宋体" w:hAnsi="宋体"/>
          <w:color w:val="auto"/>
          <w:sz w:val="24"/>
          <w:highlight w:val="none"/>
        </w:rPr>
        <w:t>万元，计算采购代理服务费额如下：</w:t>
      </w:r>
    </w:p>
    <w:p>
      <w:pPr>
        <w:spacing w:line="360" w:lineRule="auto"/>
        <w:rPr>
          <w:rFonts w:ascii="宋体"/>
          <w:color w:val="auto"/>
          <w:sz w:val="24"/>
          <w:highlight w:val="none"/>
        </w:rPr>
      </w:pPr>
      <w:r>
        <w:rPr>
          <w:rFonts w:ascii="宋体" w:hAnsi="宋体"/>
          <w:color w:val="auto"/>
          <w:sz w:val="24"/>
          <w:highlight w:val="none"/>
        </w:rPr>
        <w:t>100</w:t>
      </w:r>
      <w:r>
        <w:rPr>
          <w:rFonts w:hint="eastAsia" w:ascii="宋体" w:hAnsi="宋体"/>
          <w:color w:val="auto"/>
          <w:sz w:val="24"/>
          <w:highlight w:val="none"/>
        </w:rPr>
        <w:t>万元</w:t>
      </w:r>
      <w:r>
        <w:rPr>
          <w:rFonts w:hint="eastAsia" w:ascii="宋体"/>
          <w:color w:val="auto"/>
          <w:sz w:val="24"/>
          <w:highlight w:val="none"/>
        </w:rPr>
        <w:t>×</w:t>
      </w:r>
      <w:r>
        <w:rPr>
          <w:rFonts w:ascii="宋体" w:hAnsi="宋体"/>
          <w:color w:val="auto"/>
          <w:sz w:val="24"/>
          <w:highlight w:val="none"/>
        </w:rPr>
        <w:t>1.5</w:t>
      </w:r>
      <w:r>
        <w:rPr>
          <w:rFonts w:hint="eastAsia" w:ascii="宋体" w:hAnsi="宋体"/>
          <w:color w:val="auto"/>
          <w:sz w:val="24"/>
          <w:highlight w:val="none"/>
        </w:rPr>
        <w:t>％＝</w:t>
      </w:r>
      <w:r>
        <w:rPr>
          <w:rFonts w:ascii="宋体" w:hAnsi="宋体"/>
          <w:color w:val="auto"/>
          <w:sz w:val="24"/>
          <w:highlight w:val="none"/>
        </w:rPr>
        <w:t>1.5</w:t>
      </w:r>
      <w:r>
        <w:rPr>
          <w:rFonts w:hint="eastAsia" w:ascii="宋体" w:hAnsi="宋体"/>
          <w:color w:val="auto"/>
          <w:sz w:val="24"/>
          <w:highlight w:val="none"/>
        </w:rPr>
        <w:t>万元</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500</w:t>
      </w:r>
      <w:r>
        <w:rPr>
          <w:rFonts w:hint="eastAsia" w:ascii="宋体" w:hAnsi="宋体"/>
          <w:color w:val="auto"/>
          <w:sz w:val="24"/>
          <w:highlight w:val="none"/>
        </w:rPr>
        <w:t>－</w:t>
      </w:r>
      <w:r>
        <w:rPr>
          <w:rFonts w:ascii="宋体" w:hAnsi="宋体"/>
          <w:color w:val="auto"/>
          <w:sz w:val="24"/>
          <w:highlight w:val="none"/>
        </w:rPr>
        <w:t>100</w:t>
      </w:r>
      <w:r>
        <w:rPr>
          <w:rFonts w:hint="eastAsia" w:ascii="宋体" w:hAnsi="宋体"/>
          <w:color w:val="auto"/>
          <w:sz w:val="24"/>
          <w:highlight w:val="none"/>
        </w:rPr>
        <w:t>）万元</w:t>
      </w:r>
      <w:r>
        <w:rPr>
          <w:rFonts w:hint="eastAsia" w:asci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w:t>
      </w:r>
      <w:r>
        <w:rPr>
          <w:rFonts w:ascii="宋体" w:hAnsi="宋体"/>
          <w:color w:val="auto"/>
          <w:sz w:val="24"/>
          <w:highlight w:val="none"/>
        </w:rPr>
        <w:t>4.4</w:t>
      </w:r>
      <w:r>
        <w:rPr>
          <w:rFonts w:hint="eastAsia" w:ascii="宋体" w:hAnsi="宋体"/>
          <w:color w:val="auto"/>
          <w:sz w:val="24"/>
          <w:highlight w:val="none"/>
        </w:rPr>
        <w:t>万元</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600</w:t>
      </w:r>
      <w:r>
        <w:rPr>
          <w:rFonts w:hint="eastAsia" w:ascii="宋体" w:hAnsi="宋体"/>
          <w:color w:val="auto"/>
          <w:sz w:val="24"/>
          <w:highlight w:val="none"/>
        </w:rPr>
        <w:t>－</w:t>
      </w:r>
      <w:r>
        <w:rPr>
          <w:rFonts w:ascii="宋体" w:hAnsi="宋体"/>
          <w:color w:val="auto"/>
          <w:sz w:val="24"/>
          <w:highlight w:val="none"/>
        </w:rPr>
        <w:t>500</w:t>
      </w:r>
      <w:r>
        <w:rPr>
          <w:rFonts w:hint="eastAsia" w:ascii="宋体" w:hAnsi="宋体"/>
          <w:color w:val="auto"/>
          <w:sz w:val="24"/>
          <w:highlight w:val="none"/>
        </w:rPr>
        <w:t>）万元</w:t>
      </w:r>
      <w:r>
        <w:rPr>
          <w:rFonts w:hint="eastAsia" w:ascii="宋体"/>
          <w:color w:val="auto"/>
          <w:sz w:val="24"/>
          <w:highlight w:val="none"/>
        </w:rPr>
        <w:t>×</w:t>
      </w:r>
      <w:r>
        <w:rPr>
          <w:rFonts w:ascii="宋体" w:hAnsi="宋体"/>
          <w:color w:val="auto"/>
          <w:sz w:val="24"/>
          <w:highlight w:val="none"/>
        </w:rPr>
        <w:t>0.8</w:t>
      </w:r>
      <w:r>
        <w:rPr>
          <w:rFonts w:hint="eastAsia" w:ascii="宋体" w:hAnsi="宋体"/>
          <w:color w:val="auto"/>
          <w:sz w:val="24"/>
          <w:highlight w:val="none"/>
        </w:rPr>
        <w:t>％＝</w:t>
      </w:r>
      <w:r>
        <w:rPr>
          <w:rFonts w:ascii="宋体" w:hAnsi="宋体"/>
          <w:color w:val="auto"/>
          <w:sz w:val="24"/>
          <w:highlight w:val="none"/>
        </w:rPr>
        <w:t>0.8</w:t>
      </w:r>
      <w:r>
        <w:rPr>
          <w:rFonts w:hint="eastAsia" w:ascii="宋体" w:hAnsi="宋体"/>
          <w:color w:val="auto"/>
          <w:sz w:val="24"/>
          <w:highlight w:val="none"/>
        </w:rPr>
        <w:t>万元</w:t>
      </w:r>
    </w:p>
    <w:p>
      <w:pPr>
        <w:spacing w:line="360" w:lineRule="auto"/>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合计收费＝</w:t>
      </w:r>
      <w:r>
        <w:rPr>
          <w:rFonts w:ascii="宋体" w:hAnsi="宋体"/>
          <w:color w:val="auto"/>
          <w:sz w:val="24"/>
          <w:highlight w:val="none"/>
        </w:rPr>
        <w:t>1.5</w:t>
      </w:r>
      <w:r>
        <w:rPr>
          <w:rFonts w:hint="eastAsia" w:ascii="宋体" w:hAnsi="宋体"/>
          <w:color w:val="auto"/>
          <w:sz w:val="24"/>
          <w:highlight w:val="none"/>
        </w:rPr>
        <w:t>＋</w:t>
      </w:r>
      <w:r>
        <w:rPr>
          <w:rFonts w:ascii="宋体" w:hAnsi="宋体"/>
          <w:color w:val="auto"/>
          <w:sz w:val="24"/>
          <w:highlight w:val="none"/>
        </w:rPr>
        <w:t>4.4</w:t>
      </w:r>
      <w:r>
        <w:rPr>
          <w:rFonts w:hint="eastAsia" w:ascii="宋体" w:hAnsi="宋体"/>
          <w:color w:val="auto"/>
          <w:sz w:val="24"/>
          <w:highlight w:val="none"/>
        </w:rPr>
        <w:t>＋</w:t>
      </w:r>
      <w:r>
        <w:rPr>
          <w:rFonts w:ascii="宋体" w:hAnsi="宋体"/>
          <w:color w:val="auto"/>
          <w:sz w:val="24"/>
          <w:highlight w:val="none"/>
        </w:rPr>
        <w:t>0.8</w:t>
      </w:r>
      <w:r>
        <w:rPr>
          <w:rFonts w:hint="eastAsia" w:ascii="宋体" w:hAnsi="宋体"/>
          <w:color w:val="auto"/>
          <w:sz w:val="24"/>
          <w:highlight w:val="none"/>
        </w:rPr>
        <w:t>＝</w:t>
      </w:r>
      <w:r>
        <w:rPr>
          <w:rFonts w:ascii="宋体" w:hAnsi="宋体"/>
          <w:color w:val="auto"/>
          <w:sz w:val="24"/>
          <w:highlight w:val="none"/>
        </w:rPr>
        <w:t>6.7(</w:t>
      </w:r>
      <w:r>
        <w:rPr>
          <w:rFonts w:hint="eastAsia" w:ascii="宋体" w:hAnsi="宋体"/>
          <w:color w:val="auto"/>
          <w:sz w:val="24"/>
          <w:highlight w:val="none"/>
        </w:rPr>
        <w:t>万元</w:t>
      </w:r>
      <w:r>
        <w:rPr>
          <w:rFonts w:ascii="宋体" w:hAnsi="宋体"/>
          <w:color w:val="auto"/>
          <w:sz w:val="24"/>
          <w:highlight w:val="none"/>
        </w:rPr>
        <w:t>)</w:t>
      </w:r>
    </w:p>
    <w:p>
      <w:pPr>
        <w:autoSpaceDE w:val="0"/>
        <w:autoSpaceDN w:val="0"/>
        <w:spacing w:line="300" w:lineRule="auto"/>
        <w:ind w:left="480" w:hanging="480"/>
        <w:rPr>
          <w:rFonts w:ascii="宋体"/>
          <w:color w:val="auto"/>
          <w:szCs w:val="21"/>
          <w:highlight w:val="none"/>
        </w:rPr>
      </w:pPr>
    </w:p>
    <w:sectPr>
      <w:headerReference r:id="rId6" w:type="first"/>
      <w:footerReference r:id="rId8" w:type="first"/>
      <w:headerReference r:id="rId5" w:type="default"/>
      <w:footerReference r:id="rId7" w:type="default"/>
      <w:pgSz w:w="11906" w:h="16838"/>
      <w:pgMar w:top="1418" w:right="1134" w:bottom="1134" w:left="1134" w:header="992"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ingFang SC">
    <w:altName w:val="宋体"/>
    <w:panose1 w:val="00000000000000000000"/>
    <w:charset w:val="86"/>
    <w:family w:val="swiss"/>
    <w:pitch w:val="default"/>
    <w:sig w:usb0="00000000" w:usb1="00000000" w:usb2="00000010" w:usb3="00000000" w:csb0="00040000" w:csb1="00000000"/>
  </w:font>
  <w:font w:name="MingLiUfalt">
    <w:altName w:val="PMingLiU"/>
    <w:panose1 w:val="00000000000000000000"/>
    <w:charset w:val="88"/>
    <w:family w:val="modern"/>
    <w:pitch w:val="default"/>
    <w:sig w:usb0="00000000" w:usb1="00000000" w:usb2="00000010" w:usb3="00000000" w:csb0="00100000" w:csb1="00000000"/>
  </w:font>
  <w:font w:name="华文细黑">
    <w:altName w:val="微软雅黑"/>
    <w:panose1 w:val="00000000000000000000"/>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ascii="宋体" w:hAnsi="宋体" w:cs="Arial"/>
        <w:bCs/>
        <w:szCs w:val="21"/>
      </w:rPr>
      <w:t>广西万盯卯招标咨询有限公司                                                     疾控中心新址节能冷库设备采购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cs="Arial"/>
        <w:bCs/>
        <w:szCs w:val="21"/>
      </w:rPr>
    </w:pPr>
    <w:r>
      <w:rPr>
        <w:rFonts w:hint="eastAsia" w:ascii="宋体" w:hAnsi="宋体" w:cs="Arial"/>
        <w:bCs/>
        <w:szCs w:val="21"/>
      </w:rPr>
      <w:t>广西万盯卯招标咨询有限公司                                                     疾控中心新址节能冷库设备采购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DE332"/>
    <w:multiLevelType w:val="singleLevel"/>
    <w:tmpl w:val="DDEDE332"/>
    <w:lvl w:ilvl="0" w:tentative="0">
      <w:start w:val="1"/>
      <w:numFmt w:val="decimal"/>
      <w:suff w:val="nothing"/>
      <w:lvlText w:val="%1、"/>
      <w:lvlJc w:val="left"/>
    </w:lvl>
  </w:abstractNum>
  <w:abstractNum w:abstractNumId="1">
    <w:nsid w:val="682B146D"/>
    <w:multiLevelType w:val="multilevel"/>
    <w:tmpl w:val="682B146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B14"/>
    <w:rsid w:val="00000665"/>
    <w:rsid w:val="00000672"/>
    <w:rsid w:val="00000676"/>
    <w:rsid w:val="00000CF9"/>
    <w:rsid w:val="00000D07"/>
    <w:rsid w:val="00001AE1"/>
    <w:rsid w:val="00002B1F"/>
    <w:rsid w:val="00002E53"/>
    <w:rsid w:val="000030B5"/>
    <w:rsid w:val="00003199"/>
    <w:rsid w:val="000031DC"/>
    <w:rsid w:val="000040B0"/>
    <w:rsid w:val="0000439C"/>
    <w:rsid w:val="00004767"/>
    <w:rsid w:val="00005E81"/>
    <w:rsid w:val="00006139"/>
    <w:rsid w:val="00006414"/>
    <w:rsid w:val="00007217"/>
    <w:rsid w:val="000073AC"/>
    <w:rsid w:val="00007CC5"/>
    <w:rsid w:val="00010073"/>
    <w:rsid w:val="0001133B"/>
    <w:rsid w:val="0001172C"/>
    <w:rsid w:val="00011E44"/>
    <w:rsid w:val="000126AD"/>
    <w:rsid w:val="00012854"/>
    <w:rsid w:val="00012CCC"/>
    <w:rsid w:val="000139A2"/>
    <w:rsid w:val="00015AE7"/>
    <w:rsid w:val="0001612D"/>
    <w:rsid w:val="00016CE6"/>
    <w:rsid w:val="00017217"/>
    <w:rsid w:val="00020512"/>
    <w:rsid w:val="00020ECA"/>
    <w:rsid w:val="00021CC9"/>
    <w:rsid w:val="00022792"/>
    <w:rsid w:val="00024338"/>
    <w:rsid w:val="00025DD9"/>
    <w:rsid w:val="00025E36"/>
    <w:rsid w:val="00026886"/>
    <w:rsid w:val="00030EED"/>
    <w:rsid w:val="00031242"/>
    <w:rsid w:val="00031A75"/>
    <w:rsid w:val="00031A84"/>
    <w:rsid w:val="00035BEA"/>
    <w:rsid w:val="00036031"/>
    <w:rsid w:val="000363F7"/>
    <w:rsid w:val="0003673B"/>
    <w:rsid w:val="0003725A"/>
    <w:rsid w:val="0004050A"/>
    <w:rsid w:val="00040571"/>
    <w:rsid w:val="00041D3B"/>
    <w:rsid w:val="0004440C"/>
    <w:rsid w:val="000447FA"/>
    <w:rsid w:val="00045D0A"/>
    <w:rsid w:val="000469F1"/>
    <w:rsid w:val="00050456"/>
    <w:rsid w:val="00050861"/>
    <w:rsid w:val="000509D9"/>
    <w:rsid w:val="00051D72"/>
    <w:rsid w:val="00052312"/>
    <w:rsid w:val="00052435"/>
    <w:rsid w:val="00052E7A"/>
    <w:rsid w:val="00053155"/>
    <w:rsid w:val="00053FD2"/>
    <w:rsid w:val="0005443A"/>
    <w:rsid w:val="00054493"/>
    <w:rsid w:val="0005525C"/>
    <w:rsid w:val="00055395"/>
    <w:rsid w:val="000566ED"/>
    <w:rsid w:val="000576F0"/>
    <w:rsid w:val="0006132C"/>
    <w:rsid w:val="00062B5D"/>
    <w:rsid w:val="00063F81"/>
    <w:rsid w:val="00064847"/>
    <w:rsid w:val="00066A9E"/>
    <w:rsid w:val="00066F21"/>
    <w:rsid w:val="00067221"/>
    <w:rsid w:val="000673E2"/>
    <w:rsid w:val="000679A7"/>
    <w:rsid w:val="000703F7"/>
    <w:rsid w:val="000711E4"/>
    <w:rsid w:val="00071D12"/>
    <w:rsid w:val="00072D89"/>
    <w:rsid w:val="0007350B"/>
    <w:rsid w:val="00073704"/>
    <w:rsid w:val="00073F47"/>
    <w:rsid w:val="00075BBB"/>
    <w:rsid w:val="00075C16"/>
    <w:rsid w:val="00075FD7"/>
    <w:rsid w:val="0007671C"/>
    <w:rsid w:val="00076AB6"/>
    <w:rsid w:val="00076E89"/>
    <w:rsid w:val="00077B0B"/>
    <w:rsid w:val="0008112B"/>
    <w:rsid w:val="0008125C"/>
    <w:rsid w:val="00081BA3"/>
    <w:rsid w:val="00081BDB"/>
    <w:rsid w:val="00082795"/>
    <w:rsid w:val="000835B2"/>
    <w:rsid w:val="0008489C"/>
    <w:rsid w:val="00084F95"/>
    <w:rsid w:val="000858F6"/>
    <w:rsid w:val="00085D99"/>
    <w:rsid w:val="0008729B"/>
    <w:rsid w:val="000875AB"/>
    <w:rsid w:val="00087703"/>
    <w:rsid w:val="00087A2B"/>
    <w:rsid w:val="00087C45"/>
    <w:rsid w:val="00092480"/>
    <w:rsid w:val="000928E1"/>
    <w:rsid w:val="00094C7D"/>
    <w:rsid w:val="00096108"/>
    <w:rsid w:val="000969D7"/>
    <w:rsid w:val="00096E2F"/>
    <w:rsid w:val="00097547"/>
    <w:rsid w:val="0009792B"/>
    <w:rsid w:val="000A0047"/>
    <w:rsid w:val="000A0CE0"/>
    <w:rsid w:val="000A0E9D"/>
    <w:rsid w:val="000A1E63"/>
    <w:rsid w:val="000A4666"/>
    <w:rsid w:val="000A4766"/>
    <w:rsid w:val="000A4785"/>
    <w:rsid w:val="000A4BCD"/>
    <w:rsid w:val="000A509C"/>
    <w:rsid w:val="000A52C2"/>
    <w:rsid w:val="000A76A7"/>
    <w:rsid w:val="000A7A12"/>
    <w:rsid w:val="000B1696"/>
    <w:rsid w:val="000B1952"/>
    <w:rsid w:val="000B1D3F"/>
    <w:rsid w:val="000B3A5C"/>
    <w:rsid w:val="000B3C51"/>
    <w:rsid w:val="000B42E5"/>
    <w:rsid w:val="000B4E56"/>
    <w:rsid w:val="000B5D4C"/>
    <w:rsid w:val="000B655C"/>
    <w:rsid w:val="000B6B51"/>
    <w:rsid w:val="000B7928"/>
    <w:rsid w:val="000C0342"/>
    <w:rsid w:val="000C0478"/>
    <w:rsid w:val="000C09F0"/>
    <w:rsid w:val="000C0E2A"/>
    <w:rsid w:val="000C1415"/>
    <w:rsid w:val="000C255E"/>
    <w:rsid w:val="000C3011"/>
    <w:rsid w:val="000C39D9"/>
    <w:rsid w:val="000C4199"/>
    <w:rsid w:val="000C4BEC"/>
    <w:rsid w:val="000C4EFB"/>
    <w:rsid w:val="000C53C2"/>
    <w:rsid w:val="000C5CC8"/>
    <w:rsid w:val="000C68F5"/>
    <w:rsid w:val="000C7690"/>
    <w:rsid w:val="000D029B"/>
    <w:rsid w:val="000D0A89"/>
    <w:rsid w:val="000D1389"/>
    <w:rsid w:val="000D2626"/>
    <w:rsid w:val="000D28B7"/>
    <w:rsid w:val="000D29AF"/>
    <w:rsid w:val="000D333A"/>
    <w:rsid w:val="000D4446"/>
    <w:rsid w:val="000D4F5B"/>
    <w:rsid w:val="000D4F6A"/>
    <w:rsid w:val="000D5285"/>
    <w:rsid w:val="000D63B0"/>
    <w:rsid w:val="000D641B"/>
    <w:rsid w:val="000D73DD"/>
    <w:rsid w:val="000E0221"/>
    <w:rsid w:val="000E1C07"/>
    <w:rsid w:val="000E2E3E"/>
    <w:rsid w:val="000E3230"/>
    <w:rsid w:val="000E3AF0"/>
    <w:rsid w:val="000E4E04"/>
    <w:rsid w:val="000E5BE9"/>
    <w:rsid w:val="000E7D89"/>
    <w:rsid w:val="000F11B4"/>
    <w:rsid w:val="000F1853"/>
    <w:rsid w:val="000F1E56"/>
    <w:rsid w:val="000F28B0"/>
    <w:rsid w:val="000F3733"/>
    <w:rsid w:val="000F3C61"/>
    <w:rsid w:val="000F4005"/>
    <w:rsid w:val="000F41CB"/>
    <w:rsid w:val="000F49B8"/>
    <w:rsid w:val="000F567E"/>
    <w:rsid w:val="000F5B0C"/>
    <w:rsid w:val="000F637F"/>
    <w:rsid w:val="000F64AA"/>
    <w:rsid w:val="000F776A"/>
    <w:rsid w:val="000F7AF4"/>
    <w:rsid w:val="0010166D"/>
    <w:rsid w:val="00101A14"/>
    <w:rsid w:val="00101E77"/>
    <w:rsid w:val="00103918"/>
    <w:rsid w:val="00103D4B"/>
    <w:rsid w:val="00103F82"/>
    <w:rsid w:val="00104897"/>
    <w:rsid w:val="001048C4"/>
    <w:rsid w:val="00104B51"/>
    <w:rsid w:val="00104EDE"/>
    <w:rsid w:val="00105324"/>
    <w:rsid w:val="00105426"/>
    <w:rsid w:val="00105C32"/>
    <w:rsid w:val="001064C7"/>
    <w:rsid w:val="00106BEE"/>
    <w:rsid w:val="001079C9"/>
    <w:rsid w:val="00110109"/>
    <w:rsid w:val="00112FEB"/>
    <w:rsid w:val="00114454"/>
    <w:rsid w:val="00114E42"/>
    <w:rsid w:val="0011558C"/>
    <w:rsid w:val="00115E95"/>
    <w:rsid w:val="0011708A"/>
    <w:rsid w:val="001211C7"/>
    <w:rsid w:val="00121979"/>
    <w:rsid w:val="00122064"/>
    <w:rsid w:val="00122E86"/>
    <w:rsid w:val="00122F21"/>
    <w:rsid w:val="001247A6"/>
    <w:rsid w:val="001263B8"/>
    <w:rsid w:val="001264D2"/>
    <w:rsid w:val="001277EB"/>
    <w:rsid w:val="001315B0"/>
    <w:rsid w:val="001317D6"/>
    <w:rsid w:val="00131CDE"/>
    <w:rsid w:val="0013240E"/>
    <w:rsid w:val="00132E2B"/>
    <w:rsid w:val="001332F3"/>
    <w:rsid w:val="00134279"/>
    <w:rsid w:val="00134A76"/>
    <w:rsid w:val="00134C4A"/>
    <w:rsid w:val="00134FD9"/>
    <w:rsid w:val="00135F07"/>
    <w:rsid w:val="001361E4"/>
    <w:rsid w:val="00137F8B"/>
    <w:rsid w:val="001408B4"/>
    <w:rsid w:val="00141C9C"/>
    <w:rsid w:val="001420BE"/>
    <w:rsid w:val="001423D5"/>
    <w:rsid w:val="0014470A"/>
    <w:rsid w:val="0014479F"/>
    <w:rsid w:val="00146031"/>
    <w:rsid w:val="00146053"/>
    <w:rsid w:val="00146A38"/>
    <w:rsid w:val="00146EB6"/>
    <w:rsid w:val="00147908"/>
    <w:rsid w:val="00147FC0"/>
    <w:rsid w:val="0015033F"/>
    <w:rsid w:val="00151076"/>
    <w:rsid w:val="0015176E"/>
    <w:rsid w:val="00153D53"/>
    <w:rsid w:val="00153E72"/>
    <w:rsid w:val="00154973"/>
    <w:rsid w:val="00155096"/>
    <w:rsid w:val="0015534E"/>
    <w:rsid w:val="001553B7"/>
    <w:rsid w:val="001559FA"/>
    <w:rsid w:val="001559FF"/>
    <w:rsid w:val="001562BD"/>
    <w:rsid w:val="001566FD"/>
    <w:rsid w:val="001575DF"/>
    <w:rsid w:val="0016086E"/>
    <w:rsid w:val="00160CFE"/>
    <w:rsid w:val="00161172"/>
    <w:rsid w:val="0016276A"/>
    <w:rsid w:val="00162A5F"/>
    <w:rsid w:val="001634F6"/>
    <w:rsid w:val="00163B6E"/>
    <w:rsid w:val="00163FC0"/>
    <w:rsid w:val="00164A7C"/>
    <w:rsid w:val="00164FF5"/>
    <w:rsid w:val="001661A3"/>
    <w:rsid w:val="00166797"/>
    <w:rsid w:val="00167064"/>
    <w:rsid w:val="0017001F"/>
    <w:rsid w:val="001702B0"/>
    <w:rsid w:val="0017114E"/>
    <w:rsid w:val="0017185D"/>
    <w:rsid w:val="001724C5"/>
    <w:rsid w:val="00173FE8"/>
    <w:rsid w:val="00174465"/>
    <w:rsid w:val="00175BA6"/>
    <w:rsid w:val="00175C3B"/>
    <w:rsid w:val="001760E6"/>
    <w:rsid w:val="001778C5"/>
    <w:rsid w:val="0018137F"/>
    <w:rsid w:val="00181550"/>
    <w:rsid w:val="00182395"/>
    <w:rsid w:val="00182AA9"/>
    <w:rsid w:val="00182C10"/>
    <w:rsid w:val="001832F8"/>
    <w:rsid w:val="00183D29"/>
    <w:rsid w:val="00185617"/>
    <w:rsid w:val="00185988"/>
    <w:rsid w:val="00185F32"/>
    <w:rsid w:val="001878A8"/>
    <w:rsid w:val="00187EB6"/>
    <w:rsid w:val="001900DC"/>
    <w:rsid w:val="00190B2E"/>
    <w:rsid w:val="00191F61"/>
    <w:rsid w:val="00192268"/>
    <w:rsid w:val="001928B1"/>
    <w:rsid w:val="0019298A"/>
    <w:rsid w:val="0019313A"/>
    <w:rsid w:val="001931D1"/>
    <w:rsid w:val="001932FA"/>
    <w:rsid w:val="001955FE"/>
    <w:rsid w:val="0019782F"/>
    <w:rsid w:val="001978C5"/>
    <w:rsid w:val="00197EDD"/>
    <w:rsid w:val="001A00FD"/>
    <w:rsid w:val="001A02B3"/>
    <w:rsid w:val="001A108E"/>
    <w:rsid w:val="001A1561"/>
    <w:rsid w:val="001A1B39"/>
    <w:rsid w:val="001A2478"/>
    <w:rsid w:val="001A2669"/>
    <w:rsid w:val="001A3C34"/>
    <w:rsid w:val="001A3EDE"/>
    <w:rsid w:val="001A4374"/>
    <w:rsid w:val="001A5E24"/>
    <w:rsid w:val="001A60FA"/>
    <w:rsid w:val="001A6D8B"/>
    <w:rsid w:val="001A7C8B"/>
    <w:rsid w:val="001A7CC7"/>
    <w:rsid w:val="001B016B"/>
    <w:rsid w:val="001B0443"/>
    <w:rsid w:val="001B0591"/>
    <w:rsid w:val="001B05CD"/>
    <w:rsid w:val="001B0853"/>
    <w:rsid w:val="001B117E"/>
    <w:rsid w:val="001B1244"/>
    <w:rsid w:val="001B2142"/>
    <w:rsid w:val="001B2F17"/>
    <w:rsid w:val="001B2F2B"/>
    <w:rsid w:val="001B306A"/>
    <w:rsid w:val="001B33FC"/>
    <w:rsid w:val="001B39B7"/>
    <w:rsid w:val="001B40E3"/>
    <w:rsid w:val="001B51CB"/>
    <w:rsid w:val="001B5AA3"/>
    <w:rsid w:val="001B6768"/>
    <w:rsid w:val="001B7865"/>
    <w:rsid w:val="001C1269"/>
    <w:rsid w:val="001C2CBA"/>
    <w:rsid w:val="001C4F7C"/>
    <w:rsid w:val="001C50A7"/>
    <w:rsid w:val="001C55D1"/>
    <w:rsid w:val="001C662D"/>
    <w:rsid w:val="001C6CD5"/>
    <w:rsid w:val="001C70CC"/>
    <w:rsid w:val="001C79CF"/>
    <w:rsid w:val="001C7B61"/>
    <w:rsid w:val="001D0269"/>
    <w:rsid w:val="001D07B1"/>
    <w:rsid w:val="001D1E09"/>
    <w:rsid w:val="001D26A4"/>
    <w:rsid w:val="001D272F"/>
    <w:rsid w:val="001D2B58"/>
    <w:rsid w:val="001D329B"/>
    <w:rsid w:val="001D33D0"/>
    <w:rsid w:val="001D343F"/>
    <w:rsid w:val="001D3519"/>
    <w:rsid w:val="001D5A8A"/>
    <w:rsid w:val="001D6A5E"/>
    <w:rsid w:val="001E129E"/>
    <w:rsid w:val="001E3D22"/>
    <w:rsid w:val="001E449C"/>
    <w:rsid w:val="001E4737"/>
    <w:rsid w:val="001E4F67"/>
    <w:rsid w:val="001E54C5"/>
    <w:rsid w:val="001E5A94"/>
    <w:rsid w:val="001E6139"/>
    <w:rsid w:val="001E6B93"/>
    <w:rsid w:val="001E7BFF"/>
    <w:rsid w:val="001F05C6"/>
    <w:rsid w:val="001F1AD9"/>
    <w:rsid w:val="001F2CFF"/>
    <w:rsid w:val="001F2D7E"/>
    <w:rsid w:val="001F3E25"/>
    <w:rsid w:val="001F4148"/>
    <w:rsid w:val="001F6865"/>
    <w:rsid w:val="001F748F"/>
    <w:rsid w:val="001F75B0"/>
    <w:rsid w:val="002000A0"/>
    <w:rsid w:val="00200A62"/>
    <w:rsid w:val="00200B7E"/>
    <w:rsid w:val="00201A0E"/>
    <w:rsid w:val="002020B4"/>
    <w:rsid w:val="0020437A"/>
    <w:rsid w:val="00204640"/>
    <w:rsid w:val="002053DD"/>
    <w:rsid w:val="00205DFF"/>
    <w:rsid w:val="00206A48"/>
    <w:rsid w:val="00206AC1"/>
    <w:rsid w:val="00207787"/>
    <w:rsid w:val="00207E6A"/>
    <w:rsid w:val="00210466"/>
    <w:rsid w:val="002114C7"/>
    <w:rsid w:val="0021164A"/>
    <w:rsid w:val="00213E22"/>
    <w:rsid w:val="002156AE"/>
    <w:rsid w:val="00215B4C"/>
    <w:rsid w:val="00216B9B"/>
    <w:rsid w:val="00216D7C"/>
    <w:rsid w:val="00221173"/>
    <w:rsid w:val="00225149"/>
    <w:rsid w:val="0022523F"/>
    <w:rsid w:val="00225F98"/>
    <w:rsid w:val="002268F9"/>
    <w:rsid w:val="00226A3C"/>
    <w:rsid w:val="00226F3B"/>
    <w:rsid w:val="00227AD0"/>
    <w:rsid w:val="00231176"/>
    <w:rsid w:val="00231477"/>
    <w:rsid w:val="00231B89"/>
    <w:rsid w:val="0023270D"/>
    <w:rsid w:val="00232F90"/>
    <w:rsid w:val="00233035"/>
    <w:rsid w:val="002344BD"/>
    <w:rsid w:val="002355BE"/>
    <w:rsid w:val="002359DC"/>
    <w:rsid w:val="00235AF8"/>
    <w:rsid w:val="002363D3"/>
    <w:rsid w:val="00236DE9"/>
    <w:rsid w:val="00237BD2"/>
    <w:rsid w:val="00237E4A"/>
    <w:rsid w:val="002403F5"/>
    <w:rsid w:val="00240919"/>
    <w:rsid w:val="00240A07"/>
    <w:rsid w:val="00240A42"/>
    <w:rsid w:val="00240BEE"/>
    <w:rsid w:val="002439AB"/>
    <w:rsid w:val="00243D92"/>
    <w:rsid w:val="0024456C"/>
    <w:rsid w:val="00245587"/>
    <w:rsid w:val="00245B60"/>
    <w:rsid w:val="00245F2B"/>
    <w:rsid w:val="002469FF"/>
    <w:rsid w:val="002522E9"/>
    <w:rsid w:val="002532AF"/>
    <w:rsid w:val="00253977"/>
    <w:rsid w:val="00254275"/>
    <w:rsid w:val="002542A4"/>
    <w:rsid w:val="00255E7E"/>
    <w:rsid w:val="002566B1"/>
    <w:rsid w:val="0025728C"/>
    <w:rsid w:val="002575C6"/>
    <w:rsid w:val="00257F2E"/>
    <w:rsid w:val="00263A8C"/>
    <w:rsid w:val="00264241"/>
    <w:rsid w:val="00266754"/>
    <w:rsid w:val="00267707"/>
    <w:rsid w:val="00267981"/>
    <w:rsid w:val="00270192"/>
    <w:rsid w:val="0027100A"/>
    <w:rsid w:val="00271F26"/>
    <w:rsid w:val="002724E7"/>
    <w:rsid w:val="00273AE5"/>
    <w:rsid w:val="00273CBE"/>
    <w:rsid w:val="0027489C"/>
    <w:rsid w:val="002756A0"/>
    <w:rsid w:val="00277590"/>
    <w:rsid w:val="002807A3"/>
    <w:rsid w:val="00281376"/>
    <w:rsid w:val="00281A67"/>
    <w:rsid w:val="00281EA0"/>
    <w:rsid w:val="002822CC"/>
    <w:rsid w:val="00282502"/>
    <w:rsid w:val="00282FB1"/>
    <w:rsid w:val="002835B0"/>
    <w:rsid w:val="00283B94"/>
    <w:rsid w:val="00283C92"/>
    <w:rsid w:val="00283F51"/>
    <w:rsid w:val="002861A0"/>
    <w:rsid w:val="00286A1C"/>
    <w:rsid w:val="0028706C"/>
    <w:rsid w:val="002874A3"/>
    <w:rsid w:val="002874F9"/>
    <w:rsid w:val="00287763"/>
    <w:rsid w:val="00290F13"/>
    <w:rsid w:val="00291ED1"/>
    <w:rsid w:val="00291FF1"/>
    <w:rsid w:val="00293361"/>
    <w:rsid w:val="002940D2"/>
    <w:rsid w:val="00295D11"/>
    <w:rsid w:val="0029742C"/>
    <w:rsid w:val="00297D50"/>
    <w:rsid w:val="002A03A9"/>
    <w:rsid w:val="002A0B32"/>
    <w:rsid w:val="002A0F80"/>
    <w:rsid w:val="002A1130"/>
    <w:rsid w:val="002A164A"/>
    <w:rsid w:val="002A1880"/>
    <w:rsid w:val="002A23B7"/>
    <w:rsid w:val="002A249F"/>
    <w:rsid w:val="002A3554"/>
    <w:rsid w:val="002A3F10"/>
    <w:rsid w:val="002A5612"/>
    <w:rsid w:val="002A5B24"/>
    <w:rsid w:val="002A6528"/>
    <w:rsid w:val="002A67D5"/>
    <w:rsid w:val="002B0342"/>
    <w:rsid w:val="002B0778"/>
    <w:rsid w:val="002B1946"/>
    <w:rsid w:val="002B23D8"/>
    <w:rsid w:val="002B2923"/>
    <w:rsid w:val="002B34C6"/>
    <w:rsid w:val="002B370F"/>
    <w:rsid w:val="002B48D3"/>
    <w:rsid w:val="002B6847"/>
    <w:rsid w:val="002B70E6"/>
    <w:rsid w:val="002C0C1C"/>
    <w:rsid w:val="002C1102"/>
    <w:rsid w:val="002C17BC"/>
    <w:rsid w:val="002C2054"/>
    <w:rsid w:val="002C2337"/>
    <w:rsid w:val="002C3E40"/>
    <w:rsid w:val="002C4502"/>
    <w:rsid w:val="002C4BA1"/>
    <w:rsid w:val="002C5AA7"/>
    <w:rsid w:val="002C5EA4"/>
    <w:rsid w:val="002C622D"/>
    <w:rsid w:val="002C7A49"/>
    <w:rsid w:val="002D16E9"/>
    <w:rsid w:val="002D25FC"/>
    <w:rsid w:val="002D27FB"/>
    <w:rsid w:val="002D3983"/>
    <w:rsid w:val="002D525F"/>
    <w:rsid w:val="002D7648"/>
    <w:rsid w:val="002D7875"/>
    <w:rsid w:val="002D7E75"/>
    <w:rsid w:val="002E0056"/>
    <w:rsid w:val="002E0D5F"/>
    <w:rsid w:val="002E109C"/>
    <w:rsid w:val="002E1272"/>
    <w:rsid w:val="002E14D1"/>
    <w:rsid w:val="002E17B1"/>
    <w:rsid w:val="002E193E"/>
    <w:rsid w:val="002E2961"/>
    <w:rsid w:val="002E2A33"/>
    <w:rsid w:val="002E4503"/>
    <w:rsid w:val="002E47C7"/>
    <w:rsid w:val="002E52DF"/>
    <w:rsid w:val="002E5DF7"/>
    <w:rsid w:val="002E5E5E"/>
    <w:rsid w:val="002E65E3"/>
    <w:rsid w:val="002E6D58"/>
    <w:rsid w:val="002E7084"/>
    <w:rsid w:val="002F172A"/>
    <w:rsid w:val="002F199D"/>
    <w:rsid w:val="002F1DAD"/>
    <w:rsid w:val="002F205A"/>
    <w:rsid w:val="002F2189"/>
    <w:rsid w:val="002F3C6B"/>
    <w:rsid w:val="002F3E3B"/>
    <w:rsid w:val="002F47B6"/>
    <w:rsid w:val="002F4DBB"/>
    <w:rsid w:val="002F531E"/>
    <w:rsid w:val="002F7498"/>
    <w:rsid w:val="002F768C"/>
    <w:rsid w:val="002F7D1E"/>
    <w:rsid w:val="003014C5"/>
    <w:rsid w:val="0030152F"/>
    <w:rsid w:val="00303BCC"/>
    <w:rsid w:val="00303F2B"/>
    <w:rsid w:val="003058D4"/>
    <w:rsid w:val="003067D9"/>
    <w:rsid w:val="00307A3C"/>
    <w:rsid w:val="003117B3"/>
    <w:rsid w:val="00313BEB"/>
    <w:rsid w:val="00314382"/>
    <w:rsid w:val="003145F4"/>
    <w:rsid w:val="00314A64"/>
    <w:rsid w:val="00314DC2"/>
    <w:rsid w:val="0031580D"/>
    <w:rsid w:val="00316C04"/>
    <w:rsid w:val="0031784A"/>
    <w:rsid w:val="00317A30"/>
    <w:rsid w:val="00317BA7"/>
    <w:rsid w:val="00320BE2"/>
    <w:rsid w:val="00322234"/>
    <w:rsid w:val="00322876"/>
    <w:rsid w:val="00322D06"/>
    <w:rsid w:val="00323694"/>
    <w:rsid w:val="00324684"/>
    <w:rsid w:val="00324D63"/>
    <w:rsid w:val="003255AF"/>
    <w:rsid w:val="0032562E"/>
    <w:rsid w:val="0032687E"/>
    <w:rsid w:val="00326A90"/>
    <w:rsid w:val="00326D87"/>
    <w:rsid w:val="0032793F"/>
    <w:rsid w:val="00327F75"/>
    <w:rsid w:val="00330A8A"/>
    <w:rsid w:val="003317CC"/>
    <w:rsid w:val="00331858"/>
    <w:rsid w:val="0033257B"/>
    <w:rsid w:val="0033263B"/>
    <w:rsid w:val="0033364C"/>
    <w:rsid w:val="00333D6E"/>
    <w:rsid w:val="00336689"/>
    <w:rsid w:val="0033691E"/>
    <w:rsid w:val="00336CCB"/>
    <w:rsid w:val="003370E9"/>
    <w:rsid w:val="003374E4"/>
    <w:rsid w:val="00337ABC"/>
    <w:rsid w:val="00337DA6"/>
    <w:rsid w:val="00337E23"/>
    <w:rsid w:val="00340218"/>
    <w:rsid w:val="00340371"/>
    <w:rsid w:val="003407EE"/>
    <w:rsid w:val="003408E3"/>
    <w:rsid w:val="003411D1"/>
    <w:rsid w:val="003416BA"/>
    <w:rsid w:val="00341828"/>
    <w:rsid w:val="003419B9"/>
    <w:rsid w:val="00342372"/>
    <w:rsid w:val="00342F99"/>
    <w:rsid w:val="0034578F"/>
    <w:rsid w:val="00346ACD"/>
    <w:rsid w:val="00350927"/>
    <w:rsid w:val="00350CF3"/>
    <w:rsid w:val="003513A5"/>
    <w:rsid w:val="003518A6"/>
    <w:rsid w:val="00351CC3"/>
    <w:rsid w:val="003535FD"/>
    <w:rsid w:val="00354C4B"/>
    <w:rsid w:val="003552C6"/>
    <w:rsid w:val="003554A1"/>
    <w:rsid w:val="00356530"/>
    <w:rsid w:val="003566A9"/>
    <w:rsid w:val="00356988"/>
    <w:rsid w:val="0035755E"/>
    <w:rsid w:val="003579AE"/>
    <w:rsid w:val="003579C6"/>
    <w:rsid w:val="0036101B"/>
    <w:rsid w:val="00361C89"/>
    <w:rsid w:val="0036441B"/>
    <w:rsid w:val="003645FC"/>
    <w:rsid w:val="00364718"/>
    <w:rsid w:val="00364AB0"/>
    <w:rsid w:val="00364BD5"/>
    <w:rsid w:val="00365556"/>
    <w:rsid w:val="003667DD"/>
    <w:rsid w:val="00366884"/>
    <w:rsid w:val="0036698B"/>
    <w:rsid w:val="00367861"/>
    <w:rsid w:val="00370098"/>
    <w:rsid w:val="00370277"/>
    <w:rsid w:val="003709C4"/>
    <w:rsid w:val="00370DC7"/>
    <w:rsid w:val="00372F97"/>
    <w:rsid w:val="003739CC"/>
    <w:rsid w:val="003749DA"/>
    <w:rsid w:val="00375905"/>
    <w:rsid w:val="00376669"/>
    <w:rsid w:val="0037686F"/>
    <w:rsid w:val="00376C95"/>
    <w:rsid w:val="00376DC0"/>
    <w:rsid w:val="00377A3B"/>
    <w:rsid w:val="00377ABC"/>
    <w:rsid w:val="00377E3C"/>
    <w:rsid w:val="003806E6"/>
    <w:rsid w:val="0038074B"/>
    <w:rsid w:val="003809E2"/>
    <w:rsid w:val="00381642"/>
    <w:rsid w:val="00381BFD"/>
    <w:rsid w:val="003829D0"/>
    <w:rsid w:val="00383920"/>
    <w:rsid w:val="00383BE7"/>
    <w:rsid w:val="0038415F"/>
    <w:rsid w:val="003858A8"/>
    <w:rsid w:val="0038630F"/>
    <w:rsid w:val="003865B5"/>
    <w:rsid w:val="0039124A"/>
    <w:rsid w:val="00391471"/>
    <w:rsid w:val="00391857"/>
    <w:rsid w:val="00393782"/>
    <w:rsid w:val="0039387D"/>
    <w:rsid w:val="00393A8C"/>
    <w:rsid w:val="00393EC8"/>
    <w:rsid w:val="00394E89"/>
    <w:rsid w:val="00395B68"/>
    <w:rsid w:val="00395CC9"/>
    <w:rsid w:val="00395F63"/>
    <w:rsid w:val="003960F0"/>
    <w:rsid w:val="00396A2D"/>
    <w:rsid w:val="00396ECD"/>
    <w:rsid w:val="00396FC3"/>
    <w:rsid w:val="003A0154"/>
    <w:rsid w:val="003A1A07"/>
    <w:rsid w:val="003A2D25"/>
    <w:rsid w:val="003A40C7"/>
    <w:rsid w:val="003A4202"/>
    <w:rsid w:val="003A53F0"/>
    <w:rsid w:val="003A56B5"/>
    <w:rsid w:val="003A64EE"/>
    <w:rsid w:val="003A71FD"/>
    <w:rsid w:val="003A7D5E"/>
    <w:rsid w:val="003B0B6A"/>
    <w:rsid w:val="003B0D4E"/>
    <w:rsid w:val="003B10D1"/>
    <w:rsid w:val="003B1456"/>
    <w:rsid w:val="003B1A63"/>
    <w:rsid w:val="003B1C29"/>
    <w:rsid w:val="003B205E"/>
    <w:rsid w:val="003B29CF"/>
    <w:rsid w:val="003B3F35"/>
    <w:rsid w:val="003B3FAB"/>
    <w:rsid w:val="003B47AF"/>
    <w:rsid w:val="003B4D6F"/>
    <w:rsid w:val="003B7712"/>
    <w:rsid w:val="003B791A"/>
    <w:rsid w:val="003B7CE9"/>
    <w:rsid w:val="003B7EC6"/>
    <w:rsid w:val="003C018B"/>
    <w:rsid w:val="003C0886"/>
    <w:rsid w:val="003C13FC"/>
    <w:rsid w:val="003C3659"/>
    <w:rsid w:val="003C3BA0"/>
    <w:rsid w:val="003C4580"/>
    <w:rsid w:val="003C46E2"/>
    <w:rsid w:val="003C6746"/>
    <w:rsid w:val="003C67E3"/>
    <w:rsid w:val="003C693E"/>
    <w:rsid w:val="003C719F"/>
    <w:rsid w:val="003D2594"/>
    <w:rsid w:val="003D2A48"/>
    <w:rsid w:val="003D37F0"/>
    <w:rsid w:val="003D381A"/>
    <w:rsid w:val="003D4317"/>
    <w:rsid w:val="003D45DF"/>
    <w:rsid w:val="003D4F0E"/>
    <w:rsid w:val="003D6627"/>
    <w:rsid w:val="003D7379"/>
    <w:rsid w:val="003D783B"/>
    <w:rsid w:val="003D7C64"/>
    <w:rsid w:val="003D7CE8"/>
    <w:rsid w:val="003D7E4C"/>
    <w:rsid w:val="003E0767"/>
    <w:rsid w:val="003E11D8"/>
    <w:rsid w:val="003E1D87"/>
    <w:rsid w:val="003E285E"/>
    <w:rsid w:val="003E3127"/>
    <w:rsid w:val="003E3300"/>
    <w:rsid w:val="003E351F"/>
    <w:rsid w:val="003E60A1"/>
    <w:rsid w:val="003E60AE"/>
    <w:rsid w:val="003E61A3"/>
    <w:rsid w:val="003E69C3"/>
    <w:rsid w:val="003E72B9"/>
    <w:rsid w:val="003E7FE8"/>
    <w:rsid w:val="003F0E52"/>
    <w:rsid w:val="003F1F42"/>
    <w:rsid w:val="003F30DC"/>
    <w:rsid w:val="003F31F6"/>
    <w:rsid w:val="003F3913"/>
    <w:rsid w:val="003F3C8A"/>
    <w:rsid w:val="003F3E8C"/>
    <w:rsid w:val="003F46FC"/>
    <w:rsid w:val="003F47BA"/>
    <w:rsid w:val="003F5E9C"/>
    <w:rsid w:val="003F6617"/>
    <w:rsid w:val="003F68F0"/>
    <w:rsid w:val="003F6B06"/>
    <w:rsid w:val="00400770"/>
    <w:rsid w:val="004033A7"/>
    <w:rsid w:val="00403964"/>
    <w:rsid w:val="00403DDE"/>
    <w:rsid w:val="0040423B"/>
    <w:rsid w:val="004055C1"/>
    <w:rsid w:val="00405F35"/>
    <w:rsid w:val="00410DB7"/>
    <w:rsid w:val="00411014"/>
    <w:rsid w:val="00411AB5"/>
    <w:rsid w:val="00411F0C"/>
    <w:rsid w:val="00413821"/>
    <w:rsid w:val="00413FC7"/>
    <w:rsid w:val="004146A6"/>
    <w:rsid w:val="00414911"/>
    <w:rsid w:val="00414EF7"/>
    <w:rsid w:val="004152FF"/>
    <w:rsid w:val="00415C1D"/>
    <w:rsid w:val="00417BAA"/>
    <w:rsid w:val="00422A10"/>
    <w:rsid w:val="0042360E"/>
    <w:rsid w:val="00423962"/>
    <w:rsid w:val="004243EC"/>
    <w:rsid w:val="00424A7F"/>
    <w:rsid w:val="00424B69"/>
    <w:rsid w:val="00424C2F"/>
    <w:rsid w:val="00425113"/>
    <w:rsid w:val="0042512A"/>
    <w:rsid w:val="00425A0D"/>
    <w:rsid w:val="00425DFD"/>
    <w:rsid w:val="0042745A"/>
    <w:rsid w:val="00427713"/>
    <w:rsid w:val="00427D20"/>
    <w:rsid w:val="00427DC5"/>
    <w:rsid w:val="00430421"/>
    <w:rsid w:val="00430924"/>
    <w:rsid w:val="00430ACD"/>
    <w:rsid w:val="00430B4F"/>
    <w:rsid w:val="00431842"/>
    <w:rsid w:val="00431856"/>
    <w:rsid w:val="00431A9A"/>
    <w:rsid w:val="00432589"/>
    <w:rsid w:val="00432A32"/>
    <w:rsid w:val="00436323"/>
    <w:rsid w:val="00436749"/>
    <w:rsid w:val="00436A05"/>
    <w:rsid w:val="0043774E"/>
    <w:rsid w:val="00440518"/>
    <w:rsid w:val="00440596"/>
    <w:rsid w:val="00440AB3"/>
    <w:rsid w:val="00442BED"/>
    <w:rsid w:val="00442CC8"/>
    <w:rsid w:val="004433C7"/>
    <w:rsid w:val="00444157"/>
    <w:rsid w:val="0044417C"/>
    <w:rsid w:val="00444C59"/>
    <w:rsid w:val="00445A2F"/>
    <w:rsid w:val="004466B7"/>
    <w:rsid w:val="0044684E"/>
    <w:rsid w:val="00447F99"/>
    <w:rsid w:val="004503A4"/>
    <w:rsid w:val="004503BA"/>
    <w:rsid w:val="00450555"/>
    <w:rsid w:val="00450623"/>
    <w:rsid w:val="00450860"/>
    <w:rsid w:val="00450B24"/>
    <w:rsid w:val="00450C89"/>
    <w:rsid w:val="00451256"/>
    <w:rsid w:val="004518B4"/>
    <w:rsid w:val="00451985"/>
    <w:rsid w:val="0045234F"/>
    <w:rsid w:val="004528CD"/>
    <w:rsid w:val="004536E7"/>
    <w:rsid w:val="00453AFF"/>
    <w:rsid w:val="00453C7B"/>
    <w:rsid w:val="00454AAE"/>
    <w:rsid w:val="00455312"/>
    <w:rsid w:val="004557F3"/>
    <w:rsid w:val="00456B15"/>
    <w:rsid w:val="00457062"/>
    <w:rsid w:val="00457518"/>
    <w:rsid w:val="004578EB"/>
    <w:rsid w:val="0046002C"/>
    <w:rsid w:val="00460697"/>
    <w:rsid w:val="0046135B"/>
    <w:rsid w:val="004636F2"/>
    <w:rsid w:val="00465A9C"/>
    <w:rsid w:val="00466655"/>
    <w:rsid w:val="00466714"/>
    <w:rsid w:val="00467393"/>
    <w:rsid w:val="0046739A"/>
    <w:rsid w:val="004702AC"/>
    <w:rsid w:val="00471763"/>
    <w:rsid w:val="00472362"/>
    <w:rsid w:val="0047243E"/>
    <w:rsid w:val="00473128"/>
    <w:rsid w:val="004737C1"/>
    <w:rsid w:val="004739FB"/>
    <w:rsid w:val="0047404C"/>
    <w:rsid w:val="0047550F"/>
    <w:rsid w:val="00475A5E"/>
    <w:rsid w:val="0047621C"/>
    <w:rsid w:val="004765D6"/>
    <w:rsid w:val="00476FD7"/>
    <w:rsid w:val="00477906"/>
    <w:rsid w:val="00477CE4"/>
    <w:rsid w:val="00480B76"/>
    <w:rsid w:val="00480F43"/>
    <w:rsid w:val="00481132"/>
    <w:rsid w:val="0048185D"/>
    <w:rsid w:val="00481F6F"/>
    <w:rsid w:val="0048204C"/>
    <w:rsid w:val="004826FE"/>
    <w:rsid w:val="004827D5"/>
    <w:rsid w:val="004829E1"/>
    <w:rsid w:val="00483298"/>
    <w:rsid w:val="004834EE"/>
    <w:rsid w:val="00483EC1"/>
    <w:rsid w:val="00484159"/>
    <w:rsid w:val="004844A6"/>
    <w:rsid w:val="00484B69"/>
    <w:rsid w:val="00484F3F"/>
    <w:rsid w:val="00485406"/>
    <w:rsid w:val="0048590F"/>
    <w:rsid w:val="00486504"/>
    <w:rsid w:val="004873C1"/>
    <w:rsid w:val="00490B9C"/>
    <w:rsid w:val="00491FF3"/>
    <w:rsid w:val="0049279D"/>
    <w:rsid w:val="004929CE"/>
    <w:rsid w:val="00492A25"/>
    <w:rsid w:val="00492AF2"/>
    <w:rsid w:val="00492F94"/>
    <w:rsid w:val="00493006"/>
    <w:rsid w:val="00493110"/>
    <w:rsid w:val="004931D8"/>
    <w:rsid w:val="004951F6"/>
    <w:rsid w:val="004954E0"/>
    <w:rsid w:val="00495868"/>
    <w:rsid w:val="00496079"/>
    <w:rsid w:val="00496820"/>
    <w:rsid w:val="00496EF1"/>
    <w:rsid w:val="00497BCE"/>
    <w:rsid w:val="004A1405"/>
    <w:rsid w:val="004A1FC6"/>
    <w:rsid w:val="004A21DF"/>
    <w:rsid w:val="004A231D"/>
    <w:rsid w:val="004A370D"/>
    <w:rsid w:val="004A39CF"/>
    <w:rsid w:val="004A3AB4"/>
    <w:rsid w:val="004A3C03"/>
    <w:rsid w:val="004A4139"/>
    <w:rsid w:val="004A4845"/>
    <w:rsid w:val="004A4A78"/>
    <w:rsid w:val="004A4C11"/>
    <w:rsid w:val="004A64C0"/>
    <w:rsid w:val="004B03A0"/>
    <w:rsid w:val="004B060A"/>
    <w:rsid w:val="004B0728"/>
    <w:rsid w:val="004B29AC"/>
    <w:rsid w:val="004B2B49"/>
    <w:rsid w:val="004B2D38"/>
    <w:rsid w:val="004B2F56"/>
    <w:rsid w:val="004B4C9B"/>
    <w:rsid w:val="004B511F"/>
    <w:rsid w:val="004B5BBE"/>
    <w:rsid w:val="004B5E1E"/>
    <w:rsid w:val="004B6E32"/>
    <w:rsid w:val="004B7DDB"/>
    <w:rsid w:val="004C09B0"/>
    <w:rsid w:val="004C0EA3"/>
    <w:rsid w:val="004C0EE7"/>
    <w:rsid w:val="004C12C6"/>
    <w:rsid w:val="004C1EE0"/>
    <w:rsid w:val="004C2138"/>
    <w:rsid w:val="004C3D95"/>
    <w:rsid w:val="004C4D13"/>
    <w:rsid w:val="004C51FD"/>
    <w:rsid w:val="004C5A5D"/>
    <w:rsid w:val="004C5CD0"/>
    <w:rsid w:val="004C71F4"/>
    <w:rsid w:val="004D0131"/>
    <w:rsid w:val="004D0586"/>
    <w:rsid w:val="004D0846"/>
    <w:rsid w:val="004D0DC0"/>
    <w:rsid w:val="004D228F"/>
    <w:rsid w:val="004D35BA"/>
    <w:rsid w:val="004D378B"/>
    <w:rsid w:val="004D4111"/>
    <w:rsid w:val="004D43FE"/>
    <w:rsid w:val="004D464E"/>
    <w:rsid w:val="004D4AFF"/>
    <w:rsid w:val="004D4D10"/>
    <w:rsid w:val="004D564A"/>
    <w:rsid w:val="004D5D56"/>
    <w:rsid w:val="004D618D"/>
    <w:rsid w:val="004D6391"/>
    <w:rsid w:val="004D64C9"/>
    <w:rsid w:val="004D658C"/>
    <w:rsid w:val="004D6FC3"/>
    <w:rsid w:val="004D72A8"/>
    <w:rsid w:val="004D786A"/>
    <w:rsid w:val="004D7AC6"/>
    <w:rsid w:val="004E0572"/>
    <w:rsid w:val="004E06C3"/>
    <w:rsid w:val="004E0DCA"/>
    <w:rsid w:val="004E1099"/>
    <w:rsid w:val="004E115B"/>
    <w:rsid w:val="004E12B4"/>
    <w:rsid w:val="004E198B"/>
    <w:rsid w:val="004E249E"/>
    <w:rsid w:val="004E25A8"/>
    <w:rsid w:val="004E3001"/>
    <w:rsid w:val="004E467F"/>
    <w:rsid w:val="004E5173"/>
    <w:rsid w:val="004E56A9"/>
    <w:rsid w:val="004E6097"/>
    <w:rsid w:val="004E6511"/>
    <w:rsid w:val="004E6841"/>
    <w:rsid w:val="004E7B03"/>
    <w:rsid w:val="004F06AC"/>
    <w:rsid w:val="004F0F59"/>
    <w:rsid w:val="004F10EE"/>
    <w:rsid w:val="004F18E3"/>
    <w:rsid w:val="004F245E"/>
    <w:rsid w:val="004F3EEE"/>
    <w:rsid w:val="004F453B"/>
    <w:rsid w:val="004F46D8"/>
    <w:rsid w:val="004F5142"/>
    <w:rsid w:val="004F5623"/>
    <w:rsid w:val="004F6111"/>
    <w:rsid w:val="004F744E"/>
    <w:rsid w:val="00500258"/>
    <w:rsid w:val="00500B8F"/>
    <w:rsid w:val="00501C6B"/>
    <w:rsid w:val="00502C87"/>
    <w:rsid w:val="00502F05"/>
    <w:rsid w:val="00503444"/>
    <w:rsid w:val="0050367B"/>
    <w:rsid w:val="00503736"/>
    <w:rsid w:val="00503E30"/>
    <w:rsid w:val="0050518B"/>
    <w:rsid w:val="00505450"/>
    <w:rsid w:val="0050719C"/>
    <w:rsid w:val="005076D8"/>
    <w:rsid w:val="0050773E"/>
    <w:rsid w:val="00510125"/>
    <w:rsid w:val="0051095E"/>
    <w:rsid w:val="00512726"/>
    <w:rsid w:val="00512767"/>
    <w:rsid w:val="0051280C"/>
    <w:rsid w:val="005128BE"/>
    <w:rsid w:val="00512AEB"/>
    <w:rsid w:val="00512BDD"/>
    <w:rsid w:val="00512DC7"/>
    <w:rsid w:val="00513E7C"/>
    <w:rsid w:val="0051538B"/>
    <w:rsid w:val="0051608F"/>
    <w:rsid w:val="00516378"/>
    <w:rsid w:val="0051692C"/>
    <w:rsid w:val="005169C0"/>
    <w:rsid w:val="00516E5E"/>
    <w:rsid w:val="00516F5B"/>
    <w:rsid w:val="0051765B"/>
    <w:rsid w:val="00521662"/>
    <w:rsid w:val="005218F7"/>
    <w:rsid w:val="0052221F"/>
    <w:rsid w:val="005224EE"/>
    <w:rsid w:val="00522512"/>
    <w:rsid w:val="0052349C"/>
    <w:rsid w:val="00523BB1"/>
    <w:rsid w:val="005242CA"/>
    <w:rsid w:val="0052546A"/>
    <w:rsid w:val="00525A47"/>
    <w:rsid w:val="00526BC3"/>
    <w:rsid w:val="00527ABA"/>
    <w:rsid w:val="00531D82"/>
    <w:rsid w:val="00532245"/>
    <w:rsid w:val="0053263E"/>
    <w:rsid w:val="005326AD"/>
    <w:rsid w:val="00533B8F"/>
    <w:rsid w:val="00534668"/>
    <w:rsid w:val="005350F4"/>
    <w:rsid w:val="00535291"/>
    <w:rsid w:val="005362FF"/>
    <w:rsid w:val="0053768D"/>
    <w:rsid w:val="00540701"/>
    <w:rsid w:val="0054097F"/>
    <w:rsid w:val="00540BFE"/>
    <w:rsid w:val="00540FDB"/>
    <w:rsid w:val="0054138E"/>
    <w:rsid w:val="005417ED"/>
    <w:rsid w:val="00543AF4"/>
    <w:rsid w:val="00543E14"/>
    <w:rsid w:val="00544191"/>
    <w:rsid w:val="00544489"/>
    <w:rsid w:val="00544F39"/>
    <w:rsid w:val="0054690D"/>
    <w:rsid w:val="00547EFB"/>
    <w:rsid w:val="0055137E"/>
    <w:rsid w:val="00551E9E"/>
    <w:rsid w:val="0055290A"/>
    <w:rsid w:val="005531DF"/>
    <w:rsid w:val="00553346"/>
    <w:rsid w:val="005538A2"/>
    <w:rsid w:val="00554F78"/>
    <w:rsid w:val="005561E5"/>
    <w:rsid w:val="00556F3D"/>
    <w:rsid w:val="00557540"/>
    <w:rsid w:val="00557AEF"/>
    <w:rsid w:val="00560681"/>
    <w:rsid w:val="00560B2D"/>
    <w:rsid w:val="0056125D"/>
    <w:rsid w:val="005623DF"/>
    <w:rsid w:val="005627BA"/>
    <w:rsid w:val="00562C0E"/>
    <w:rsid w:val="00564933"/>
    <w:rsid w:val="00565256"/>
    <w:rsid w:val="0056779A"/>
    <w:rsid w:val="00567B5D"/>
    <w:rsid w:val="00570283"/>
    <w:rsid w:val="0057057A"/>
    <w:rsid w:val="00570DEB"/>
    <w:rsid w:val="00571A06"/>
    <w:rsid w:val="005720E4"/>
    <w:rsid w:val="005730AA"/>
    <w:rsid w:val="00573733"/>
    <w:rsid w:val="00573C94"/>
    <w:rsid w:val="00573E74"/>
    <w:rsid w:val="00573FCB"/>
    <w:rsid w:val="00574554"/>
    <w:rsid w:val="00574F5A"/>
    <w:rsid w:val="00575A00"/>
    <w:rsid w:val="00575EFC"/>
    <w:rsid w:val="00576520"/>
    <w:rsid w:val="005779E4"/>
    <w:rsid w:val="005804A7"/>
    <w:rsid w:val="005808B0"/>
    <w:rsid w:val="005808BC"/>
    <w:rsid w:val="00580EF8"/>
    <w:rsid w:val="00581DA8"/>
    <w:rsid w:val="005826EF"/>
    <w:rsid w:val="00583508"/>
    <w:rsid w:val="005836C7"/>
    <w:rsid w:val="00584339"/>
    <w:rsid w:val="00584A01"/>
    <w:rsid w:val="00587540"/>
    <w:rsid w:val="005875FE"/>
    <w:rsid w:val="00590B77"/>
    <w:rsid w:val="00590C47"/>
    <w:rsid w:val="005913A3"/>
    <w:rsid w:val="00592F2A"/>
    <w:rsid w:val="00593655"/>
    <w:rsid w:val="0059397A"/>
    <w:rsid w:val="0059439D"/>
    <w:rsid w:val="00595406"/>
    <w:rsid w:val="00595E0A"/>
    <w:rsid w:val="0059670A"/>
    <w:rsid w:val="005A0C5F"/>
    <w:rsid w:val="005A30CE"/>
    <w:rsid w:val="005A3293"/>
    <w:rsid w:val="005A393D"/>
    <w:rsid w:val="005A3AD4"/>
    <w:rsid w:val="005A5157"/>
    <w:rsid w:val="005A55FE"/>
    <w:rsid w:val="005A58EC"/>
    <w:rsid w:val="005A6425"/>
    <w:rsid w:val="005A6E5C"/>
    <w:rsid w:val="005A74E2"/>
    <w:rsid w:val="005A7D97"/>
    <w:rsid w:val="005A7E9C"/>
    <w:rsid w:val="005B07EC"/>
    <w:rsid w:val="005B0B0D"/>
    <w:rsid w:val="005B1B6C"/>
    <w:rsid w:val="005B281E"/>
    <w:rsid w:val="005B34E3"/>
    <w:rsid w:val="005B50D0"/>
    <w:rsid w:val="005B5246"/>
    <w:rsid w:val="005B58C4"/>
    <w:rsid w:val="005B5BEE"/>
    <w:rsid w:val="005B5C75"/>
    <w:rsid w:val="005B6283"/>
    <w:rsid w:val="005B66EB"/>
    <w:rsid w:val="005B6CB1"/>
    <w:rsid w:val="005B6F86"/>
    <w:rsid w:val="005B7065"/>
    <w:rsid w:val="005B77D2"/>
    <w:rsid w:val="005C02AB"/>
    <w:rsid w:val="005C1AFD"/>
    <w:rsid w:val="005C24F9"/>
    <w:rsid w:val="005C30F5"/>
    <w:rsid w:val="005C4639"/>
    <w:rsid w:val="005C5067"/>
    <w:rsid w:val="005C5383"/>
    <w:rsid w:val="005C5A42"/>
    <w:rsid w:val="005C666F"/>
    <w:rsid w:val="005C69E7"/>
    <w:rsid w:val="005C6B76"/>
    <w:rsid w:val="005C6B8B"/>
    <w:rsid w:val="005C7CE2"/>
    <w:rsid w:val="005C7EEC"/>
    <w:rsid w:val="005D02E3"/>
    <w:rsid w:val="005D07CC"/>
    <w:rsid w:val="005D1516"/>
    <w:rsid w:val="005D19FD"/>
    <w:rsid w:val="005D27CD"/>
    <w:rsid w:val="005D358B"/>
    <w:rsid w:val="005D3B54"/>
    <w:rsid w:val="005D3D81"/>
    <w:rsid w:val="005D4760"/>
    <w:rsid w:val="005D7014"/>
    <w:rsid w:val="005D764B"/>
    <w:rsid w:val="005D7725"/>
    <w:rsid w:val="005E0454"/>
    <w:rsid w:val="005E0D99"/>
    <w:rsid w:val="005E0FF2"/>
    <w:rsid w:val="005E2678"/>
    <w:rsid w:val="005E2B9F"/>
    <w:rsid w:val="005E2DC2"/>
    <w:rsid w:val="005E2FA2"/>
    <w:rsid w:val="005E6268"/>
    <w:rsid w:val="005E62BE"/>
    <w:rsid w:val="005E66AD"/>
    <w:rsid w:val="005E685B"/>
    <w:rsid w:val="005E7059"/>
    <w:rsid w:val="005E7194"/>
    <w:rsid w:val="005E7AFC"/>
    <w:rsid w:val="005F0DF1"/>
    <w:rsid w:val="005F1516"/>
    <w:rsid w:val="005F1764"/>
    <w:rsid w:val="005F1DD4"/>
    <w:rsid w:val="005F229E"/>
    <w:rsid w:val="005F3DAA"/>
    <w:rsid w:val="005F3FB4"/>
    <w:rsid w:val="005F4E52"/>
    <w:rsid w:val="005F56AB"/>
    <w:rsid w:val="005F5AFA"/>
    <w:rsid w:val="005F606B"/>
    <w:rsid w:val="005F634E"/>
    <w:rsid w:val="005F6F3E"/>
    <w:rsid w:val="005F73EB"/>
    <w:rsid w:val="005F799E"/>
    <w:rsid w:val="006003BA"/>
    <w:rsid w:val="0060058E"/>
    <w:rsid w:val="00601766"/>
    <w:rsid w:val="00601A0D"/>
    <w:rsid w:val="00601CCC"/>
    <w:rsid w:val="00601D18"/>
    <w:rsid w:val="00602A3C"/>
    <w:rsid w:val="00603C32"/>
    <w:rsid w:val="0060475B"/>
    <w:rsid w:val="006052D0"/>
    <w:rsid w:val="00607F14"/>
    <w:rsid w:val="00610C24"/>
    <w:rsid w:val="00610D32"/>
    <w:rsid w:val="00610D70"/>
    <w:rsid w:val="00611D4A"/>
    <w:rsid w:val="00611E17"/>
    <w:rsid w:val="00612047"/>
    <w:rsid w:val="00612643"/>
    <w:rsid w:val="00613791"/>
    <w:rsid w:val="00614811"/>
    <w:rsid w:val="00615259"/>
    <w:rsid w:val="006160AB"/>
    <w:rsid w:val="00616161"/>
    <w:rsid w:val="0061651F"/>
    <w:rsid w:val="006174B7"/>
    <w:rsid w:val="0061791E"/>
    <w:rsid w:val="00617BCF"/>
    <w:rsid w:val="00617EEE"/>
    <w:rsid w:val="006200CE"/>
    <w:rsid w:val="00620DD9"/>
    <w:rsid w:val="00621EAF"/>
    <w:rsid w:val="00621EF9"/>
    <w:rsid w:val="006225A4"/>
    <w:rsid w:val="00623366"/>
    <w:rsid w:val="00623389"/>
    <w:rsid w:val="00624252"/>
    <w:rsid w:val="006265C4"/>
    <w:rsid w:val="006278B4"/>
    <w:rsid w:val="006307AC"/>
    <w:rsid w:val="0063124B"/>
    <w:rsid w:val="006327D2"/>
    <w:rsid w:val="006343EE"/>
    <w:rsid w:val="0063492F"/>
    <w:rsid w:val="0063499D"/>
    <w:rsid w:val="00635945"/>
    <w:rsid w:val="00635C75"/>
    <w:rsid w:val="00636668"/>
    <w:rsid w:val="00636743"/>
    <w:rsid w:val="00637618"/>
    <w:rsid w:val="00637691"/>
    <w:rsid w:val="00640099"/>
    <w:rsid w:val="00640691"/>
    <w:rsid w:val="00640F98"/>
    <w:rsid w:val="00641522"/>
    <w:rsid w:val="00641C18"/>
    <w:rsid w:val="00641F63"/>
    <w:rsid w:val="00643664"/>
    <w:rsid w:val="00643C12"/>
    <w:rsid w:val="00643CAA"/>
    <w:rsid w:val="006455B6"/>
    <w:rsid w:val="00646580"/>
    <w:rsid w:val="00647A1B"/>
    <w:rsid w:val="0065072C"/>
    <w:rsid w:val="0065210F"/>
    <w:rsid w:val="00652206"/>
    <w:rsid w:val="00652FB6"/>
    <w:rsid w:val="00653069"/>
    <w:rsid w:val="0065375A"/>
    <w:rsid w:val="00653A0B"/>
    <w:rsid w:val="00653CDE"/>
    <w:rsid w:val="0065402C"/>
    <w:rsid w:val="006542AE"/>
    <w:rsid w:val="00654D01"/>
    <w:rsid w:val="00655D8B"/>
    <w:rsid w:val="00656D9D"/>
    <w:rsid w:val="00657ACE"/>
    <w:rsid w:val="00660189"/>
    <w:rsid w:val="00660238"/>
    <w:rsid w:val="00661004"/>
    <w:rsid w:val="00661277"/>
    <w:rsid w:val="006621AB"/>
    <w:rsid w:val="00663FEA"/>
    <w:rsid w:val="00664455"/>
    <w:rsid w:val="00664803"/>
    <w:rsid w:val="00664C9F"/>
    <w:rsid w:val="0066599F"/>
    <w:rsid w:val="0066639B"/>
    <w:rsid w:val="006665B0"/>
    <w:rsid w:val="0066690A"/>
    <w:rsid w:val="00666B9B"/>
    <w:rsid w:val="00666D1A"/>
    <w:rsid w:val="00666D61"/>
    <w:rsid w:val="00667878"/>
    <w:rsid w:val="00670FF4"/>
    <w:rsid w:val="00672C49"/>
    <w:rsid w:val="0067508F"/>
    <w:rsid w:val="00675398"/>
    <w:rsid w:val="006757EF"/>
    <w:rsid w:val="0067688F"/>
    <w:rsid w:val="006807C8"/>
    <w:rsid w:val="0068149E"/>
    <w:rsid w:val="00681C02"/>
    <w:rsid w:val="00681F13"/>
    <w:rsid w:val="006820D7"/>
    <w:rsid w:val="00682D2D"/>
    <w:rsid w:val="00682F28"/>
    <w:rsid w:val="00683251"/>
    <w:rsid w:val="006839F5"/>
    <w:rsid w:val="0068507E"/>
    <w:rsid w:val="00687995"/>
    <w:rsid w:val="00690437"/>
    <w:rsid w:val="00690E65"/>
    <w:rsid w:val="006914DA"/>
    <w:rsid w:val="00692655"/>
    <w:rsid w:val="00692C1D"/>
    <w:rsid w:val="006931FE"/>
    <w:rsid w:val="0069349C"/>
    <w:rsid w:val="00693982"/>
    <w:rsid w:val="00693CD4"/>
    <w:rsid w:val="00693F86"/>
    <w:rsid w:val="00694513"/>
    <w:rsid w:val="00694B33"/>
    <w:rsid w:val="00695421"/>
    <w:rsid w:val="006954B6"/>
    <w:rsid w:val="00695906"/>
    <w:rsid w:val="00695916"/>
    <w:rsid w:val="00695DEC"/>
    <w:rsid w:val="00696760"/>
    <w:rsid w:val="006976B3"/>
    <w:rsid w:val="00697DFA"/>
    <w:rsid w:val="006A06A9"/>
    <w:rsid w:val="006A0826"/>
    <w:rsid w:val="006A16D5"/>
    <w:rsid w:val="006A1D5A"/>
    <w:rsid w:val="006A6E5C"/>
    <w:rsid w:val="006A7A78"/>
    <w:rsid w:val="006A7BE3"/>
    <w:rsid w:val="006A7DC8"/>
    <w:rsid w:val="006B01D1"/>
    <w:rsid w:val="006B050D"/>
    <w:rsid w:val="006B09D3"/>
    <w:rsid w:val="006B0ADA"/>
    <w:rsid w:val="006B0B52"/>
    <w:rsid w:val="006B23A9"/>
    <w:rsid w:val="006B2F37"/>
    <w:rsid w:val="006B321B"/>
    <w:rsid w:val="006B3ACF"/>
    <w:rsid w:val="006B3D14"/>
    <w:rsid w:val="006B4589"/>
    <w:rsid w:val="006B4691"/>
    <w:rsid w:val="006B5FE9"/>
    <w:rsid w:val="006B6727"/>
    <w:rsid w:val="006B6799"/>
    <w:rsid w:val="006B6974"/>
    <w:rsid w:val="006B70FF"/>
    <w:rsid w:val="006B7F6E"/>
    <w:rsid w:val="006C1382"/>
    <w:rsid w:val="006C31DD"/>
    <w:rsid w:val="006C5733"/>
    <w:rsid w:val="006C5A22"/>
    <w:rsid w:val="006C5A34"/>
    <w:rsid w:val="006C7603"/>
    <w:rsid w:val="006D04CC"/>
    <w:rsid w:val="006D0C1D"/>
    <w:rsid w:val="006D2359"/>
    <w:rsid w:val="006D2F8E"/>
    <w:rsid w:val="006D390B"/>
    <w:rsid w:val="006D3F6F"/>
    <w:rsid w:val="006D42DC"/>
    <w:rsid w:val="006D599D"/>
    <w:rsid w:val="006D5F32"/>
    <w:rsid w:val="006D6BF9"/>
    <w:rsid w:val="006D73DB"/>
    <w:rsid w:val="006D7DD4"/>
    <w:rsid w:val="006E0754"/>
    <w:rsid w:val="006E1162"/>
    <w:rsid w:val="006E3FC4"/>
    <w:rsid w:val="006E3FDD"/>
    <w:rsid w:val="006E5B2D"/>
    <w:rsid w:val="006E5BB5"/>
    <w:rsid w:val="006E5DD8"/>
    <w:rsid w:val="006E5F0B"/>
    <w:rsid w:val="006E6C4D"/>
    <w:rsid w:val="006E7F2E"/>
    <w:rsid w:val="006F0330"/>
    <w:rsid w:val="006F0B89"/>
    <w:rsid w:val="006F0DEB"/>
    <w:rsid w:val="006F2574"/>
    <w:rsid w:val="006F3042"/>
    <w:rsid w:val="006F3231"/>
    <w:rsid w:val="006F3DE3"/>
    <w:rsid w:val="006F439E"/>
    <w:rsid w:val="006F4E1F"/>
    <w:rsid w:val="006F5113"/>
    <w:rsid w:val="006F5D75"/>
    <w:rsid w:val="006F61D8"/>
    <w:rsid w:val="006F6B02"/>
    <w:rsid w:val="006F70BC"/>
    <w:rsid w:val="00701DD3"/>
    <w:rsid w:val="0070251C"/>
    <w:rsid w:val="007033A2"/>
    <w:rsid w:val="007034B8"/>
    <w:rsid w:val="00704233"/>
    <w:rsid w:val="007050F5"/>
    <w:rsid w:val="00705474"/>
    <w:rsid w:val="00705E0C"/>
    <w:rsid w:val="00706E4E"/>
    <w:rsid w:val="007074B4"/>
    <w:rsid w:val="007100F2"/>
    <w:rsid w:val="00710809"/>
    <w:rsid w:val="007125A2"/>
    <w:rsid w:val="00713F79"/>
    <w:rsid w:val="007148A8"/>
    <w:rsid w:val="00721062"/>
    <w:rsid w:val="00722009"/>
    <w:rsid w:val="00722508"/>
    <w:rsid w:val="007229D4"/>
    <w:rsid w:val="007230F8"/>
    <w:rsid w:val="007233F4"/>
    <w:rsid w:val="007235AB"/>
    <w:rsid w:val="00723B83"/>
    <w:rsid w:val="00724044"/>
    <w:rsid w:val="007264A1"/>
    <w:rsid w:val="00726B55"/>
    <w:rsid w:val="007303EB"/>
    <w:rsid w:val="007304BB"/>
    <w:rsid w:val="0073134D"/>
    <w:rsid w:val="007316DD"/>
    <w:rsid w:val="007323E0"/>
    <w:rsid w:val="007345CF"/>
    <w:rsid w:val="0073471D"/>
    <w:rsid w:val="00734A41"/>
    <w:rsid w:val="0073550A"/>
    <w:rsid w:val="007367A2"/>
    <w:rsid w:val="00736B2F"/>
    <w:rsid w:val="00737DBF"/>
    <w:rsid w:val="00741569"/>
    <w:rsid w:val="00741B06"/>
    <w:rsid w:val="007436F6"/>
    <w:rsid w:val="00743818"/>
    <w:rsid w:val="00743A99"/>
    <w:rsid w:val="00743E57"/>
    <w:rsid w:val="00743FA4"/>
    <w:rsid w:val="007441F2"/>
    <w:rsid w:val="007441FB"/>
    <w:rsid w:val="00744517"/>
    <w:rsid w:val="007445A2"/>
    <w:rsid w:val="007453D9"/>
    <w:rsid w:val="00745EC7"/>
    <w:rsid w:val="007460C3"/>
    <w:rsid w:val="0074724C"/>
    <w:rsid w:val="00747DE2"/>
    <w:rsid w:val="007506CD"/>
    <w:rsid w:val="00750F2E"/>
    <w:rsid w:val="0075143C"/>
    <w:rsid w:val="007522EF"/>
    <w:rsid w:val="00752316"/>
    <w:rsid w:val="007526EC"/>
    <w:rsid w:val="00752EE6"/>
    <w:rsid w:val="007530D1"/>
    <w:rsid w:val="007532F5"/>
    <w:rsid w:val="007535F3"/>
    <w:rsid w:val="00753B5E"/>
    <w:rsid w:val="00754223"/>
    <w:rsid w:val="00755930"/>
    <w:rsid w:val="00755F3A"/>
    <w:rsid w:val="00756521"/>
    <w:rsid w:val="00756A16"/>
    <w:rsid w:val="00756AB7"/>
    <w:rsid w:val="00756B87"/>
    <w:rsid w:val="00756C41"/>
    <w:rsid w:val="00756E16"/>
    <w:rsid w:val="00756EB4"/>
    <w:rsid w:val="007624A8"/>
    <w:rsid w:val="00762993"/>
    <w:rsid w:val="007634B2"/>
    <w:rsid w:val="00763AE4"/>
    <w:rsid w:val="00764C3E"/>
    <w:rsid w:val="00765D04"/>
    <w:rsid w:val="00766207"/>
    <w:rsid w:val="0076655F"/>
    <w:rsid w:val="00766A7F"/>
    <w:rsid w:val="00766D11"/>
    <w:rsid w:val="00767B06"/>
    <w:rsid w:val="00767C31"/>
    <w:rsid w:val="0077068F"/>
    <w:rsid w:val="00771104"/>
    <w:rsid w:val="00772E59"/>
    <w:rsid w:val="007734E2"/>
    <w:rsid w:val="00773753"/>
    <w:rsid w:val="007738A9"/>
    <w:rsid w:val="00773D32"/>
    <w:rsid w:val="0077461E"/>
    <w:rsid w:val="00774745"/>
    <w:rsid w:val="00774E01"/>
    <w:rsid w:val="00775679"/>
    <w:rsid w:val="00775D92"/>
    <w:rsid w:val="007773B8"/>
    <w:rsid w:val="007775EA"/>
    <w:rsid w:val="0078051E"/>
    <w:rsid w:val="00780611"/>
    <w:rsid w:val="00780B4E"/>
    <w:rsid w:val="00780D71"/>
    <w:rsid w:val="007819F5"/>
    <w:rsid w:val="00781A45"/>
    <w:rsid w:val="00781AA0"/>
    <w:rsid w:val="00781DFB"/>
    <w:rsid w:val="007828B9"/>
    <w:rsid w:val="007835C6"/>
    <w:rsid w:val="00783FE4"/>
    <w:rsid w:val="00784983"/>
    <w:rsid w:val="00784CB6"/>
    <w:rsid w:val="007873B9"/>
    <w:rsid w:val="00787B39"/>
    <w:rsid w:val="00787CDD"/>
    <w:rsid w:val="0079004F"/>
    <w:rsid w:val="007901A4"/>
    <w:rsid w:val="007901FE"/>
    <w:rsid w:val="0079045A"/>
    <w:rsid w:val="00791183"/>
    <w:rsid w:val="00792107"/>
    <w:rsid w:val="007929E7"/>
    <w:rsid w:val="00792A62"/>
    <w:rsid w:val="00793A96"/>
    <w:rsid w:val="00793E05"/>
    <w:rsid w:val="007948A2"/>
    <w:rsid w:val="00794D6F"/>
    <w:rsid w:val="00795BDA"/>
    <w:rsid w:val="00795FD5"/>
    <w:rsid w:val="0079636E"/>
    <w:rsid w:val="00796B04"/>
    <w:rsid w:val="00796B58"/>
    <w:rsid w:val="00796F88"/>
    <w:rsid w:val="007973D3"/>
    <w:rsid w:val="00797A0F"/>
    <w:rsid w:val="00797CA7"/>
    <w:rsid w:val="007A01EC"/>
    <w:rsid w:val="007A1686"/>
    <w:rsid w:val="007A1AD4"/>
    <w:rsid w:val="007A3CC2"/>
    <w:rsid w:val="007A43D5"/>
    <w:rsid w:val="007A490A"/>
    <w:rsid w:val="007A5E5B"/>
    <w:rsid w:val="007A7CD6"/>
    <w:rsid w:val="007B0297"/>
    <w:rsid w:val="007B0978"/>
    <w:rsid w:val="007B0DA9"/>
    <w:rsid w:val="007B1BA5"/>
    <w:rsid w:val="007B1C0C"/>
    <w:rsid w:val="007B1F77"/>
    <w:rsid w:val="007B2153"/>
    <w:rsid w:val="007B21AE"/>
    <w:rsid w:val="007B2373"/>
    <w:rsid w:val="007B2580"/>
    <w:rsid w:val="007B2704"/>
    <w:rsid w:val="007B2727"/>
    <w:rsid w:val="007B3113"/>
    <w:rsid w:val="007B3304"/>
    <w:rsid w:val="007B363E"/>
    <w:rsid w:val="007B41D8"/>
    <w:rsid w:val="007B5C90"/>
    <w:rsid w:val="007B67F6"/>
    <w:rsid w:val="007B6F04"/>
    <w:rsid w:val="007B7148"/>
    <w:rsid w:val="007B7B94"/>
    <w:rsid w:val="007C0525"/>
    <w:rsid w:val="007C1275"/>
    <w:rsid w:val="007C1708"/>
    <w:rsid w:val="007C2D28"/>
    <w:rsid w:val="007C2E90"/>
    <w:rsid w:val="007C327E"/>
    <w:rsid w:val="007C3E65"/>
    <w:rsid w:val="007C56F9"/>
    <w:rsid w:val="007C5C56"/>
    <w:rsid w:val="007C6799"/>
    <w:rsid w:val="007C692B"/>
    <w:rsid w:val="007C7E59"/>
    <w:rsid w:val="007D0821"/>
    <w:rsid w:val="007D1452"/>
    <w:rsid w:val="007D1D27"/>
    <w:rsid w:val="007D203B"/>
    <w:rsid w:val="007D2D16"/>
    <w:rsid w:val="007D4623"/>
    <w:rsid w:val="007D488A"/>
    <w:rsid w:val="007D4AD3"/>
    <w:rsid w:val="007D5D19"/>
    <w:rsid w:val="007D5FDC"/>
    <w:rsid w:val="007D60D6"/>
    <w:rsid w:val="007E098F"/>
    <w:rsid w:val="007E09F1"/>
    <w:rsid w:val="007E0FCF"/>
    <w:rsid w:val="007E2CCD"/>
    <w:rsid w:val="007E3EE7"/>
    <w:rsid w:val="007E4998"/>
    <w:rsid w:val="007E4A9C"/>
    <w:rsid w:val="007E4B78"/>
    <w:rsid w:val="007E5129"/>
    <w:rsid w:val="007E5B32"/>
    <w:rsid w:val="007E69A6"/>
    <w:rsid w:val="007E7164"/>
    <w:rsid w:val="007E73CC"/>
    <w:rsid w:val="007F146B"/>
    <w:rsid w:val="007F255C"/>
    <w:rsid w:val="007F2613"/>
    <w:rsid w:val="007F33ED"/>
    <w:rsid w:val="007F3B28"/>
    <w:rsid w:val="007F5431"/>
    <w:rsid w:val="007F55DE"/>
    <w:rsid w:val="007F5B82"/>
    <w:rsid w:val="007F5BEB"/>
    <w:rsid w:val="007F7392"/>
    <w:rsid w:val="007F77DF"/>
    <w:rsid w:val="007F7D60"/>
    <w:rsid w:val="008018D6"/>
    <w:rsid w:val="00801F49"/>
    <w:rsid w:val="008022D4"/>
    <w:rsid w:val="00802F13"/>
    <w:rsid w:val="00804205"/>
    <w:rsid w:val="00805171"/>
    <w:rsid w:val="008055A9"/>
    <w:rsid w:val="00806907"/>
    <w:rsid w:val="00806BEC"/>
    <w:rsid w:val="00807642"/>
    <w:rsid w:val="00807743"/>
    <w:rsid w:val="00807D6F"/>
    <w:rsid w:val="00810E8E"/>
    <w:rsid w:val="00811783"/>
    <w:rsid w:val="0081235D"/>
    <w:rsid w:val="008129CA"/>
    <w:rsid w:val="008143B5"/>
    <w:rsid w:val="0081481D"/>
    <w:rsid w:val="00814AB2"/>
    <w:rsid w:val="00814BE8"/>
    <w:rsid w:val="00815348"/>
    <w:rsid w:val="008157FB"/>
    <w:rsid w:val="00816F3F"/>
    <w:rsid w:val="008172DE"/>
    <w:rsid w:val="008201AC"/>
    <w:rsid w:val="0082069B"/>
    <w:rsid w:val="008221E0"/>
    <w:rsid w:val="00823086"/>
    <w:rsid w:val="00823DAF"/>
    <w:rsid w:val="00823FC6"/>
    <w:rsid w:val="0082421D"/>
    <w:rsid w:val="00824796"/>
    <w:rsid w:val="00824A40"/>
    <w:rsid w:val="00826845"/>
    <w:rsid w:val="00826AB9"/>
    <w:rsid w:val="00826BE9"/>
    <w:rsid w:val="008273D9"/>
    <w:rsid w:val="00827E0F"/>
    <w:rsid w:val="00830C5E"/>
    <w:rsid w:val="00830CAF"/>
    <w:rsid w:val="0083111B"/>
    <w:rsid w:val="00832218"/>
    <w:rsid w:val="0083279F"/>
    <w:rsid w:val="00832A1E"/>
    <w:rsid w:val="00833218"/>
    <w:rsid w:val="008334D1"/>
    <w:rsid w:val="00833B7F"/>
    <w:rsid w:val="00833E02"/>
    <w:rsid w:val="00834824"/>
    <w:rsid w:val="008348FC"/>
    <w:rsid w:val="0083569F"/>
    <w:rsid w:val="00836075"/>
    <w:rsid w:val="00836CE2"/>
    <w:rsid w:val="00837918"/>
    <w:rsid w:val="00840A5D"/>
    <w:rsid w:val="00842523"/>
    <w:rsid w:val="0084293F"/>
    <w:rsid w:val="00842DA6"/>
    <w:rsid w:val="0084322B"/>
    <w:rsid w:val="00843925"/>
    <w:rsid w:val="00843F81"/>
    <w:rsid w:val="00845015"/>
    <w:rsid w:val="0084504D"/>
    <w:rsid w:val="008458A5"/>
    <w:rsid w:val="00846B25"/>
    <w:rsid w:val="00846DE2"/>
    <w:rsid w:val="00846F81"/>
    <w:rsid w:val="00847453"/>
    <w:rsid w:val="0084799A"/>
    <w:rsid w:val="00847D0C"/>
    <w:rsid w:val="008502A0"/>
    <w:rsid w:val="00850E60"/>
    <w:rsid w:val="0085221E"/>
    <w:rsid w:val="00852BF7"/>
    <w:rsid w:val="00853952"/>
    <w:rsid w:val="00853BF4"/>
    <w:rsid w:val="00854294"/>
    <w:rsid w:val="0085512E"/>
    <w:rsid w:val="0085581C"/>
    <w:rsid w:val="008559B6"/>
    <w:rsid w:val="0085674D"/>
    <w:rsid w:val="00857375"/>
    <w:rsid w:val="00857970"/>
    <w:rsid w:val="00857A9E"/>
    <w:rsid w:val="00857DE2"/>
    <w:rsid w:val="008608E9"/>
    <w:rsid w:val="00861C28"/>
    <w:rsid w:val="00862149"/>
    <w:rsid w:val="00864051"/>
    <w:rsid w:val="00864580"/>
    <w:rsid w:val="00864E79"/>
    <w:rsid w:val="00865125"/>
    <w:rsid w:val="00865C17"/>
    <w:rsid w:val="008665D0"/>
    <w:rsid w:val="00866A0D"/>
    <w:rsid w:val="00867334"/>
    <w:rsid w:val="008703C6"/>
    <w:rsid w:val="00870C10"/>
    <w:rsid w:val="00870D0B"/>
    <w:rsid w:val="00871632"/>
    <w:rsid w:val="0087221C"/>
    <w:rsid w:val="00872A32"/>
    <w:rsid w:val="00872AF2"/>
    <w:rsid w:val="008760CE"/>
    <w:rsid w:val="0087630A"/>
    <w:rsid w:val="008769EE"/>
    <w:rsid w:val="00877361"/>
    <w:rsid w:val="0087761A"/>
    <w:rsid w:val="00877C97"/>
    <w:rsid w:val="00880ECB"/>
    <w:rsid w:val="0088117D"/>
    <w:rsid w:val="00881520"/>
    <w:rsid w:val="00882B44"/>
    <w:rsid w:val="00884A00"/>
    <w:rsid w:val="008859BE"/>
    <w:rsid w:val="008870A5"/>
    <w:rsid w:val="008871B0"/>
    <w:rsid w:val="00887DBA"/>
    <w:rsid w:val="00890209"/>
    <w:rsid w:val="008911AD"/>
    <w:rsid w:val="00891A0A"/>
    <w:rsid w:val="008928D9"/>
    <w:rsid w:val="00892DC0"/>
    <w:rsid w:val="00893467"/>
    <w:rsid w:val="00893620"/>
    <w:rsid w:val="0089389D"/>
    <w:rsid w:val="00894482"/>
    <w:rsid w:val="008949BB"/>
    <w:rsid w:val="00895838"/>
    <w:rsid w:val="00896272"/>
    <w:rsid w:val="00896850"/>
    <w:rsid w:val="008A03B1"/>
    <w:rsid w:val="008A0FC9"/>
    <w:rsid w:val="008A19E4"/>
    <w:rsid w:val="008A2433"/>
    <w:rsid w:val="008A2EB7"/>
    <w:rsid w:val="008A3E7C"/>
    <w:rsid w:val="008A40D3"/>
    <w:rsid w:val="008A42FD"/>
    <w:rsid w:val="008A469C"/>
    <w:rsid w:val="008A46BC"/>
    <w:rsid w:val="008A55E8"/>
    <w:rsid w:val="008A5BAC"/>
    <w:rsid w:val="008A71F0"/>
    <w:rsid w:val="008A7585"/>
    <w:rsid w:val="008A7B0D"/>
    <w:rsid w:val="008B070B"/>
    <w:rsid w:val="008B2648"/>
    <w:rsid w:val="008B2E7C"/>
    <w:rsid w:val="008B45C8"/>
    <w:rsid w:val="008B4AF6"/>
    <w:rsid w:val="008B61E8"/>
    <w:rsid w:val="008B77AF"/>
    <w:rsid w:val="008C1DA4"/>
    <w:rsid w:val="008C2612"/>
    <w:rsid w:val="008C27B9"/>
    <w:rsid w:val="008C2CD5"/>
    <w:rsid w:val="008C3618"/>
    <w:rsid w:val="008C36C9"/>
    <w:rsid w:val="008C4CAE"/>
    <w:rsid w:val="008C70A6"/>
    <w:rsid w:val="008C731F"/>
    <w:rsid w:val="008C74D9"/>
    <w:rsid w:val="008C7BB6"/>
    <w:rsid w:val="008D0647"/>
    <w:rsid w:val="008D09F6"/>
    <w:rsid w:val="008D194C"/>
    <w:rsid w:val="008D3A97"/>
    <w:rsid w:val="008D43B0"/>
    <w:rsid w:val="008D61C9"/>
    <w:rsid w:val="008D6807"/>
    <w:rsid w:val="008D68C7"/>
    <w:rsid w:val="008D7155"/>
    <w:rsid w:val="008E0275"/>
    <w:rsid w:val="008E07C8"/>
    <w:rsid w:val="008E18DE"/>
    <w:rsid w:val="008E203C"/>
    <w:rsid w:val="008E28E6"/>
    <w:rsid w:val="008E2947"/>
    <w:rsid w:val="008E2AB2"/>
    <w:rsid w:val="008E2C11"/>
    <w:rsid w:val="008E3674"/>
    <w:rsid w:val="008E3687"/>
    <w:rsid w:val="008E3E40"/>
    <w:rsid w:val="008E5506"/>
    <w:rsid w:val="008E56D4"/>
    <w:rsid w:val="008E6717"/>
    <w:rsid w:val="008E6E01"/>
    <w:rsid w:val="008E728F"/>
    <w:rsid w:val="008E7C1B"/>
    <w:rsid w:val="008E7FAE"/>
    <w:rsid w:val="008F0923"/>
    <w:rsid w:val="008F1677"/>
    <w:rsid w:val="008F31E6"/>
    <w:rsid w:val="008F357B"/>
    <w:rsid w:val="008F3F08"/>
    <w:rsid w:val="008F4007"/>
    <w:rsid w:val="008F5640"/>
    <w:rsid w:val="008F5654"/>
    <w:rsid w:val="008F6C7B"/>
    <w:rsid w:val="008F6E47"/>
    <w:rsid w:val="008F6F47"/>
    <w:rsid w:val="008F73C7"/>
    <w:rsid w:val="008F7650"/>
    <w:rsid w:val="008F7F19"/>
    <w:rsid w:val="0090040A"/>
    <w:rsid w:val="00901225"/>
    <w:rsid w:val="00901CDD"/>
    <w:rsid w:val="00902B93"/>
    <w:rsid w:val="009053C9"/>
    <w:rsid w:val="00905D7E"/>
    <w:rsid w:val="00905EE3"/>
    <w:rsid w:val="0090655E"/>
    <w:rsid w:val="0090725E"/>
    <w:rsid w:val="00910789"/>
    <w:rsid w:val="009117E4"/>
    <w:rsid w:val="00911B0C"/>
    <w:rsid w:val="00912336"/>
    <w:rsid w:val="0091290F"/>
    <w:rsid w:val="00914340"/>
    <w:rsid w:val="00914703"/>
    <w:rsid w:val="0091564D"/>
    <w:rsid w:val="009156DA"/>
    <w:rsid w:val="00916757"/>
    <w:rsid w:val="00917C0C"/>
    <w:rsid w:val="00920184"/>
    <w:rsid w:val="0092070D"/>
    <w:rsid w:val="00920EA4"/>
    <w:rsid w:val="009216FF"/>
    <w:rsid w:val="009217F0"/>
    <w:rsid w:val="00921813"/>
    <w:rsid w:val="0092217F"/>
    <w:rsid w:val="009228C0"/>
    <w:rsid w:val="00923647"/>
    <w:rsid w:val="00923DB4"/>
    <w:rsid w:val="0092430E"/>
    <w:rsid w:val="009246C2"/>
    <w:rsid w:val="009255E3"/>
    <w:rsid w:val="0092591D"/>
    <w:rsid w:val="00925C8F"/>
    <w:rsid w:val="00926FAE"/>
    <w:rsid w:val="00927955"/>
    <w:rsid w:val="00927B37"/>
    <w:rsid w:val="00931806"/>
    <w:rsid w:val="009319A2"/>
    <w:rsid w:val="00932740"/>
    <w:rsid w:val="009331BA"/>
    <w:rsid w:val="00934DD7"/>
    <w:rsid w:val="00935465"/>
    <w:rsid w:val="0093614E"/>
    <w:rsid w:val="00936CF7"/>
    <w:rsid w:val="00940A8B"/>
    <w:rsid w:val="009418ED"/>
    <w:rsid w:val="00942306"/>
    <w:rsid w:val="00942430"/>
    <w:rsid w:val="00943FCE"/>
    <w:rsid w:val="009442A6"/>
    <w:rsid w:val="009445DE"/>
    <w:rsid w:val="00944668"/>
    <w:rsid w:val="00944A61"/>
    <w:rsid w:val="00944DC6"/>
    <w:rsid w:val="00945581"/>
    <w:rsid w:val="009458B0"/>
    <w:rsid w:val="00945F64"/>
    <w:rsid w:val="00946348"/>
    <w:rsid w:val="009478A2"/>
    <w:rsid w:val="00947941"/>
    <w:rsid w:val="00947BBB"/>
    <w:rsid w:val="009500A4"/>
    <w:rsid w:val="00950595"/>
    <w:rsid w:val="009514BF"/>
    <w:rsid w:val="00951BAB"/>
    <w:rsid w:val="0095236E"/>
    <w:rsid w:val="009535E8"/>
    <w:rsid w:val="00954515"/>
    <w:rsid w:val="00954832"/>
    <w:rsid w:val="00954E39"/>
    <w:rsid w:val="009559A6"/>
    <w:rsid w:val="009559FF"/>
    <w:rsid w:val="00955FBB"/>
    <w:rsid w:val="009566E9"/>
    <w:rsid w:val="0095675C"/>
    <w:rsid w:val="00956BD5"/>
    <w:rsid w:val="009575D0"/>
    <w:rsid w:val="009575E3"/>
    <w:rsid w:val="009577B5"/>
    <w:rsid w:val="00957A4D"/>
    <w:rsid w:val="00957ED2"/>
    <w:rsid w:val="0096026E"/>
    <w:rsid w:val="00960BB9"/>
    <w:rsid w:val="00961591"/>
    <w:rsid w:val="00962607"/>
    <w:rsid w:val="00964248"/>
    <w:rsid w:val="00966522"/>
    <w:rsid w:val="00966775"/>
    <w:rsid w:val="00970348"/>
    <w:rsid w:val="00970C57"/>
    <w:rsid w:val="009712DD"/>
    <w:rsid w:val="00971CF1"/>
    <w:rsid w:val="00972C95"/>
    <w:rsid w:val="00973317"/>
    <w:rsid w:val="00973C5F"/>
    <w:rsid w:val="009744D1"/>
    <w:rsid w:val="00974569"/>
    <w:rsid w:val="00974742"/>
    <w:rsid w:val="0097577F"/>
    <w:rsid w:val="00976E14"/>
    <w:rsid w:val="00977AB6"/>
    <w:rsid w:val="00977D75"/>
    <w:rsid w:val="00977FDE"/>
    <w:rsid w:val="0098152F"/>
    <w:rsid w:val="009817E9"/>
    <w:rsid w:val="00982392"/>
    <w:rsid w:val="00984059"/>
    <w:rsid w:val="009849E9"/>
    <w:rsid w:val="00984F16"/>
    <w:rsid w:val="00985330"/>
    <w:rsid w:val="009864C3"/>
    <w:rsid w:val="00986C03"/>
    <w:rsid w:val="009874BA"/>
    <w:rsid w:val="00987E27"/>
    <w:rsid w:val="00990225"/>
    <w:rsid w:val="00990289"/>
    <w:rsid w:val="00991185"/>
    <w:rsid w:val="009912EF"/>
    <w:rsid w:val="0099143C"/>
    <w:rsid w:val="00991FD1"/>
    <w:rsid w:val="009920F0"/>
    <w:rsid w:val="009926C2"/>
    <w:rsid w:val="00992E19"/>
    <w:rsid w:val="00993D36"/>
    <w:rsid w:val="00994349"/>
    <w:rsid w:val="00995D67"/>
    <w:rsid w:val="009A1279"/>
    <w:rsid w:val="009A1A3F"/>
    <w:rsid w:val="009A209A"/>
    <w:rsid w:val="009A31A1"/>
    <w:rsid w:val="009A3510"/>
    <w:rsid w:val="009A353D"/>
    <w:rsid w:val="009A3E47"/>
    <w:rsid w:val="009A4ED5"/>
    <w:rsid w:val="009A508F"/>
    <w:rsid w:val="009A5B73"/>
    <w:rsid w:val="009A6559"/>
    <w:rsid w:val="009A661B"/>
    <w:rsid w:val="009A68FC"/>
    <w:rsid w:val="009A7465"/>
    <w:rsid w:val="009A7514"/>
    <w:rsid w:val="009A781F"/>
    <w:rsid w:val="009A7AA4"/>
    <w:rsid w:val="009A7E7A"/>
    <w:rsid w:val="009B0AE9"/>
    <w:rsid w:val="009B11B2"/>
    <w:rsid w:val="009B12B7"/>
    <w:rsid w:val="009B152C"/>
    <w:rsid w:val="009B2092"/>
    <w:rsid w:val="009B22B7"/>
    <w:rsid w:val="009B2514"/>
    <w:rsid w:val="009B288B"/>
    <w:rsid w:val="009B2E87"/>
    <w:rsid w:val="009B31A2"/>
    <w:rsid w:val="009B38BF"/>
    <w:rsid w:val="009B3D2B"/>
    <w:rsid w:val="009B4029"/>
    <w:rsid w:val="009B42A8"/>
    <w:rsid w:val="009B484C"/>
    <w:rsid w:val="009B4A6C"/>
    <w:rsid w:val="009B6AF3"/>
    <w:rsid w:val="009B6E8D"/>
    <w:rsid w:val="009B733A"/>
    <w:rsid w:val="009B7E5B"/>
    <w:rsid w:val="009C09DE"/>
    <w:rsid w:val="009C1157"/>
    <w:rsid w:val="009C22D9"/>
    <w:rsid w:val="009C25A0"/>
    <w:rsid w:val="009C4735"/>
    <w:rsid w:val="009C4759"/>
    <w:rsid w:val="009C49F9"/>
    <w:rsid w:val="009C4AE9"/>
    <w:rsid w:val="009C5ECA"/>
    <w:rsid w:val="009C6606"/>
    <w:rsid w:val="009C6CE5"/>
    <w:rsid w:val="009C6D50"/>
    <w:rsid w:val="009C77E7"/>
    <w:rsid w:val="009C7D3A"/>
    <w:rsid w:val="009C7E9C"/>
    <w:rsid w:val="009D0063"/>
    <w:rsid w:val="009D28D1"/>
    <w:rsid w:val="009D2958"/>
    <w:rsid w:val="009D2F60"/>
    <w:rsid w:val="009D5C55"/>
    <w:rsid w:val="009D6542"/>
    <w:rsid w:val="009D6D4D"/>
    <w:rsid w:val="009D7E01"/>
    <w:rsid w:val="009D7E0E"/>
    <w:rsid w:val="009E2A23"/>
    <w:rsid w:val="009E2A3D"/>
    <w:rsid w:val="009E393E"/>
    <w:rsid w:val="009E404C"/>
    <w:rsid w:val="009E444E"/>
    <w:rsid w:val="009E474D"/>
    <w:rsid w:val="009E4FFD"/>
    <w:rsid w:val="009E51CE"/>
    <w:rsid w:val="009E5762"/>
    <w:rsid w:val="009E5C7B"/>
    <w:rsid w:val="009E5F88"/>
    <w:rsid w:val="009E6362"/>
    <w:rsid w:val="009E7AB2"/>
    <w:rsid w:val="009F0247"/>
    <w:rsid w:val="009F0821"/>
    <w:rsid w:val="009F11ED"/>
    <w:rsid w:val="009F1A79"/>
    <w:rsid w:val="009F20D1"/>
    <w:rsid w:val="009F30B9"/>
    <w:rsid w:val="009F385D"/>
    <w:rsid w:val="009F3EA0"/>
    <w:rsid w:val="009F459A"/>
    <w:rsid w:val="009F598D"/>
    <w:rsid w:val="009F62D2"/>
    <w:rsid w:val="009F65F4"/>
    <w:rsid w:val="009F676B"/>
    <w:rsid w:val="00A017B9"/>
    <w:rsid w:val="00A01B03"/>
    <w:rsid w:val="00A01BF4"/>
    <w:rsid w:val="00A02C66"/>
    <w:rsid w:val="00A03B75"/>
    <w:rsid w:val="00A03FC7"/>
    <w:rsid w:val="00A04086"/>
    <w:rsid w:val="00A0464C"/>
    <w:rsid w:val="00A0499A"/>
    <w:rsid w:val="00A05260"/>
    <w:rsid w:val="00A054A0"/>
    <w:rsid w:val="00A054E0"/>
    <w:rsid w:val="00A05792"/>
    <w:rsid w:val="00A05A7F"/>
    <w:rsid w:val="00A05E31"/>
    <w:rsid w:val="00A06111"/>
    <w:rsid w:val="00A067E3"/>
    <w:rsid w:val="00A06865"/>
    <w:rsid w:val="00A06DEE"/>
    <w:rsid w:val="00A0740B"/>
    <w:rsid w:val="00A07806"/>
    <w:rsid w:val="00A11042"/>
    <w:rsid w:val="00A11376"/>
    <w:rsid w:val="00A119B3"/>
    <w:rsid w:val="00A12478"/>
    <w:rsid w:val="00A126D6"/>
    <w:rsid w:val="00A133D8"/>
    <w:rsid w:val="00A13CD7"/>
    <w:rsid w:val="00A15DB4"/>
    <w:rsid w:val="00A15E8D"/>
    <w:rsid w:val="00A16149"/>
    <w:rsid w:val="00A170B9"/>
    <w:rsid w:val="00A17798"/>
    <w:rsid w:val="00A17B87"/>
    <w:rsid w:val="00A17C75"/>
    <w:rsid w:val="00A20867"/>
    <w:rsid w:val="00A2244D"/>
    <w:rsid w:val="00A22981"/>
    <w:rsid w:val="00A24356"/>
    <w:rsid w:val="00A24D8F"/>
    <w:rsid w:val="00A25684"/>
    <w:rsid w:val="00A25B8B"/>
    <w:rsid w:val="00A26B7E"/>
    <w:rsid w:val="00A26E25"/>
    <w:rsid w:val="00A274ED"/>
    <w:rsid w:val="00A27DB5"/>
    <w:rsid w:val="00A30E30"/>
    <w:rsid w:val="00A310CD"/>
    <w:rsid w:val="00A3113D"/>
    <w:rsid w:val="00A32560"/>
    <w:rsid w:val="00A32EE9"/>
    <w:rsid w:val="00A34181"/>
    <w:rsid w:val="00A3467F"/>
    <w:rsid w:val="00A34CB1"/>
    <w:rsid w:val="00A34E50"/>
    <w:rsid w:val="00A3531E"/>
    <w:rsid w:val="00A3551A"/>
    <w:rsid w:val="00A35F37"/>
    <w:rsid w:val="00A360CD"/>
    <w:rsid w:val="00A36FDC"/>
    <w:rsid w:val="00A372C9"/>
    <w:rsid w:val="00A37F8E"/>
    <w:rsid w:val="00A40875"/>
    <w:rsid w:val="00A40CDC"/>
    <w:rsid w:val="00A40E34"/>
    <w:rsid w:val="00A40FF2"/>
    <w:rsid w:val="00A421C8"/>
    <w:rsid w:val="00A42241"/>
    <w:rsid w:val="00A43254"/>
    <w:rsid w:val="00A43578"/>
    <w:rsid w:val="00A43A26"/>
    <w:rsid w:val="00A4408C"/>
    <w:rsid w:val="00A4464C"/>
    <w:rsid w:val="00A447A0"/>
    <w:rsid w:val="00A44864"/>
    <w:rsid w:val="00A45767"/>
    <w:rsid w:val="00A458E0"/>
    <w:rsid w:val="00A46E5E"/>
    <w:rsid w:val="00A470A5"/>
    <w:rsid w:val="00A4779C"/>
    <w:rsid w:val="00A47ECC"/>
    <w:rsid w:val="00A50171"/>
    <w:rsid w:val="00A509E3"/>
    <w:rsid w:val="00A50D5B"/>
    <w:rsid w:val="00A5102E"/>
    <w:rsid w:val="00A51935"/>
    <w:rsid w:val="00A522DB"/>
    <w:rsid w:val="00A52486"/>
    <w:rsid w:val="00A537FB"/>
    <w:rsid w:val="00A544E8"/>
    <w:rsid w:val="00A54AB9"/>
    <w:rsid w:val="00A54ADA"/>
    <w:rsid w:val="00A5522F"/>
    <w:rsid w:val="00A5523B"/>
    <w:rsid w:val="00A5571B"/>
    <w:rsid w:val="00A5590F"/>
    <w:rsid w:val="00A55EA7"/>
    <w:rsid w:val="00A57206"/>
    <w:rsid w:val="00A575B8"/>
    <w:rsid w:val="00A5771B"/>
    <w:rsid w:val="00A60A0B"/>
    <w:rsid w:val="00A61BB0"/>
    <w:rsid w:val="00A630A9"/>
    <w:rsid w:val="00A647B1"/>
    <w:rsid w:val="00A65731"/>
    <w:rsid w:val="00A65AAC"/>
    <w:rsid w:val="00A665DF"/>
    <w:rsid w:val="00A671E4"/>
    <w:rsid w:val="00A67349"/>
    <w:rsid w:val="00A70A63"/>
    <w:rsid w:val="00A721DE"/>
    <w:rsid w:val="00A72285"/>
    <w:rsid w:val="00A739A6"/>
    <w:rsid w:val="00A73A20"/>
    <w:rsid w:val="00A75356"/>
    <w:rsid w:val="00A76651"/>
    <w:rsid w:val="00A76BFA"/>
    <w:rsid w:val="00A771B9"/>
    <w:rsid w:val="00A7754B"/>
    <w:rsid w:val="00A7777F"/>
    <w:rsid w:val="00A80AA5"/>
    <w:rsid w:val="00A817C0"/>
    <w:rsid w:val="00A84DA3"/>
    <w:rsid w:val="00A8631D"/>
    <w:rsid w:val="00A8637A"/>
    <w:rsid w:val="00A87193"/>
    <w:rsid w:val="00A90525"/>
    <w:rsid w:val="00A9115E"/>
    <w:rsid w:val="00A9156F"/>
    <w:rsid w:val="00A9169E"/>
    <w:rsid w:val="00A9215D"/>
    <w:rsid w:val="00A9246D"/>
    <w:rsid w:val="00A926CE"/>
    <w:rsid w:val="00A93FDA"/>
    <w:rsid w:val="00A94677"/>
    <w:rsid w:val="00A94E60"/>
    <w:rsid w:val="00A9576E"/>
    <w:rsid w:val="00AA0943"/>
    <w:rsid w:val="00AA0F83"/>
    <w:rsid w:val="00AA129E"/>
    <w:rsid w:val="00AA1BFA"/>
    <w:rsid w:val="00AA2490"/>
    <w:rsid w:val="00AA24F0"/>
    <w:rsid w:val="00AA2B4B"/>
    <w:rsid w:val="00AA2B5C"/>
    <w:rsid w:val="00AA3B38"/>
    <w:rsid w:val="00AA3B67"/>
    <w:rsid w:val="00AA6AE7"/>
    <w:rsid w:val="00AA6E13"/>
    <w:rsid w:val="00AB0233"/>
    <w:rsid w:val="00AB03FD"/>
    <w:rsid w:val="00AB1CB9"/>
    <w:rsid w:val="00AB38CB"/>
    <w:rsid w:val="00AB39CA"/>
    <w:rsid w:val="00AB51D9"/>
    <w:rsid w:val="00AB6DCD"/>
    <w:rsid w:val="00AB6EE0"/>
    <w:rsid w:val="00AB72E0"/>
    <w:rsid w:val="00AC0ACF"/>
    <w:rsid w:val="00AC14B6"/>
    <w:rsid w:val="00AC157E"/>
    <w:rsid w:val="00AC2498"/>
    <w:rsid w:val="00AC289B"/>
    <w:rsid w:val="00AC3B2E"/>
    <w:rsid w:val="00AC40B7"/>
    <w:rsid w:val="00AC4E13"/>
    <w:rsid w:val="00AC6C7F"/>
    <w:rsid w:val="00AC76AA"/>
    <w:rsid w:val="00AC7A58"/>
    <w:rsid w:val="00AD307B"/>
    <w:rsid w:val="00AD3729"/>
    <w:rsid w:val="00AD4122"/>
    <w:rsid w:val="00AD540A"/>
    <w:rsid w:val="00AD591D"/>
    <w:rsid w:val="00AD629C"/>
    <w:rsid w:val="00AD6397"/>
    <w:rsid w:val="00AD6589"/>
    <w:rsid w:val="00AE0136"/>
    <w:rsid w:val="00AE0559"/>
    <w:rsid w:val="00AE06EF"/>
    <w:rsid w:val="00AE1010"/>
    <w:rsid w:val="00AE123A"/>
    <w:rsid w:val="00AE21A7"/>
    <w:rsid w:val="00AE3211"/>
    <w:rsid w:val="00AE3256"/>
    <w:rsid w:val="00AE33A6"/>
    <w:rsid w:val="00AE3C00"/>
    <w:rsid w:val="00AE596C"/>
    <w:rsid w:val="00AE5C6A"/>
    <w:rsid w:val="00AE601C"/>
    <w:rsid w:val="00AE6489"/>
    <w:rsid w:val="00AE6CDE"/>
    <w:rsid w:val="00AE6D7E"/>
    <w:rsid w:val="00AE7832"/>
    <w:rsid w:val="00AE7B9F"/>
    <w:rsid w:val="00AF0155"/>
    <w:rsid w:val="00AF031C"/>
    <w:rsid w:val="00AF05E3"/>
    <w:rsid w:val="00AF1699"/>
    <w:rsid w:val="00AF2686"/>
    <w:rsid w:val="00AF3ACE"/>
    <w:rsid w:val="00AF4525"/>
    <w:rsid w:val="00AF4CA2"/>
    <w:rsid w:val="00AF5D8B"/>
    <w:rsid w:val="00AF7217"/>
    <w:rsid w:val="00AF7B70"/>
    <w:rsid w:val="00AF7C6D"/>
    <w:rsid w:val="00B00089"/>
    <w:rsid w:val="00B00469"/>
    <w:rsid w:val="00B0070E"/>
    <w:rsid w:val="00B008DC"/>
    <w:rsid w:val="00B012B2"/>
    <w:rsid w:val="00B01421"/>
    <w:rsid w:val="00B01700"/>
    <w:rsid w:val="00B0269F"/>
    <w:rsid w:val="00B02E21"/>
    <w:rsid w:val="00B02F60"/>
    <w:rsid w:val="00B034EF"/>
    <w:rsid w:val="00B0452A"/>
    <w:rsid w:val="00B04CDB"/>
    <w:rsid w:val="00B050F2"/>
    <w:rsid w:val="00B05CB1"/>
    <w:rsid w:val="00B06372"/>
    <w:rsid w:val="00B06F01"/>
    <w:rsid w:val="00B07FC6"/>
    <w:rsid w:val="00B10998"/>
    <w:rsid w:val="00B109F5"/>
    <w:rsid w:val="00B10D7B"/>
    <w:rsid w:val="00B11BA8"/>
    <w:rsid w:val="00B11E2C"/>
    <w:rsid w:val="00B12188"/>
    <w:rsid w:val="00B12318"/>
    <w:rsid w:val="00B123EC"/>
    <w:rsid w:val="00B12C4E"/>
    <w:rsid w:val="00B1353A"/>
    <w:rsid w:val="00B1364A"/>
    <w:rsid w:val="00B14970"/>
    <w:rsid w:val="00B14C21"/>
    <w:rsid w:val="00B1529C"/>
    <w:rsid w:val="00B1548F"/>
    <w:rsid w:val="00B158FC"/>
    <w:rsid w:val="00B15FCB"/>
    <w:rsid w:val="00B17017"/>
    <w:rsid w:val="00B17633"/>
    <w:rsid w:val="00B206F3"/>
    <w:rsid w:val="00B20F18"/>
    <w:rsid w:val="00B21516"/>
    <w:rsid w:val="00B2311A"/>
    <w:rsid w:val="00B23738"/>
    <w:rsid w:val="00B248A4"/>
    <w:rsid w:val="00B24AE2"/>
    <w:rsid w:val="00B2504C"/>
    <w:rsid w:val="00B2537F"/>
    <w:rsid w:val="00B25EE6"/>
    <w:rsid w:val="00B25F6C"/>
    <w:rsid w:val="00B26223"/>
    <w:rsid w:val="00B26A78"/>
    <w:rsid w:val="00B3115A"/>
    <w:rsid w:val="00B32401"/>
    <w:rsid w:val="00B33157"/>
    <w:rsid w:val="00B33C19"/>
    <w:rsid w:val="00B3581A"/>
    <w:rsid w:val="00B35824"/>
    <w:rsid w:val="00B36318"/>
    <w:rsid w:val="00B366B7"/>
    <w:rsid w:val="00B37939"/>
    <w:rsid w:val="00B413D5"/>
    <w:rsid w:val="00B41457"/>
    <w:rsid w:val="00B41739"/>
    <w:rsid w:val="00B417AC"/>
    <w:rsid w:val="00B42BB4"/>
    <w:rsid w:val="00B42D5E"/>
    <w:rsid w:val="00B42F15"/>
    <w:rsid w:val="00B42FD9"/>
    <w:rsid w:val="00B432BE"/>
    <w:rsid w:val="00B439C0"/>
    <w:rsid w:val="00B43B5D"/>
    <w:rsid w:val="00B43D45"/>
    <w:rsid w:val="00B43F8F"/>
    <w:rsid w:val="00B443A4"/>
    <w:rsid w:val="00B4491E"/>
    <w:rsid w:val="00B44F5A"/>
    <w:rsid w:val="00B45CAC"/>
    <w:rsid w:val="00B465AF"/>
    <w:rsid w:val="00B46D82"/>
    <w:rsid w:val="00B473C8"/>
    <w:rsid w:val="00B47446"/>
    <w:rsid w:val="00B50234"/>
    <w:rsid w:val="00B503B1"/>
    <w:rsid w:val="00B5261B"/>
    <w:rsid w:val="00B52C68"/>
    <w:rsid w:val="00B53038"/>
    <w:rsid w:val="00B5402F"/>
    <w:rsid w:val="00B541D8"/>
    <w:rsid w:val="00B54242"/>
    <w:rsid w:val="00B542FE"/>
    <w:rsid w:val="00B545D9"/>
    <w:rsid w:val="00B55579"/>
    <w:rsid w:val="00B55DF7"/>
    <w:rsid w:val="00B561DB"/>
    <w:rsid w:val="00B56308"/>
    <w:rsid w:val="00B62667"/>
    <w:rsid w:val="00B634BD"/>
    <w:rsid w:val="00B64EB2"/>
    <w:rsid w:val="00B65783"/>
    <w:rsid w:val="00B6582B"/>
    <w:rsid w:val="00B65A0F"/>
    <w:rsid w:val="00B67113"/>
    <w:rsid w:val="00B67651"/>
    <w:rsid w:val="00B677CD"/>
    <w:rsid w:val="00B7037B"/>
    <w:rsid w:val="00B70DC0"/>
    <w:rsid w:val="00B71B56"/>
    <w:rsid w:val="00B729D1"/>
    <w:rsid w:val="00B73242"/>
    <w:rsid w:val="00B734B0"/>
    <w:rsid w:val="00B73A91"/>
    <w:rsid w:val="00B7543C"/>
    <w:rsid w:val="00B75F4A"/>
    <w:rsid w:val="00B77D6F"/>
    <w:rsid w:val="00B804DF"/>
    <w:rsid w:val="00B80EF5"/>
    <w:rsid w:val="00B8176C"/>
    <w:rsid w:val="00B84BC3"/>
    <w:rsid w:val="00B860F4"/>
    <w:rsid w:val="00B911DF"/>
    <w:rsid w:val="00B913E4"/>
    <w:rsid w:val="00B92002"/>
    <w:rsid w:val="00B9204C"/>
    <w:rsid w:val="00B92430"/>
    <w:rsid w:val="00B92961"/>
    <w:rsid w:val="00B930AA"/>
    <w:rsid w:val="00B93248"/>
    <w:rsid w:val="00B94956"/>
    <w:rsid w:val="00B94C16"/>
    <w:rsid w:val="00B95F00"/>
    <w:rsid w:val="00B967E7"/>
    <w:rsid w:val="00BA1223"/>
    <w:rsid w:val="00BA14CA"/>
    <w:rsid w:val="00BA2015"/>
    <w:rsid w:val="00BA36E2"/>
    <w:rsid w:val="00BA3720"/>
    <w:rsid w:val="00BA447A"/>
    <w:rsid w:val="00BA478B"/>
    <w:rsid w:val="00BA4AB7"/>
    <w:rsid w:val="00BA5224"/>
    <w:rsid w:val="00BA52B4"/>
    <w:rsid w:val="00BA585B"/>
    <w:rsid w:val="00BA6B52"/>
    <w:rsid w:val="00BA7075"/>
    <w:rsid w:val="00BA7CCE"/>
    <w:rsid w:val="00BA7E3B"/>
    <w:rsid w:val="00BB08D3"/>
    <w:rsid w:val="00BB1E55"/>
    <w:rsid w:val="00BB23F9"/>
    <w:rsid w:val="00BB2DBA"/>
    <w:rsid w:val="00BB2F26"/>
    <w:rsid w:val="00BB32E1"/>
    <w:rsid w:val="00BB3D50"/>
    <w:rsid w:val="00BB5655"/>
    <w:rsid w:val="00BB7BFF"/>
    <w:rsid w:val="00BB7C76"/>
    <w:rsid w:val="00BC15F6"/>
    <w:rsid w:val="00BC1A3F"/>
    <w:rsid w:val="00BC2AA7"/>
    <w:rsid w:val="00BC4E66"/>
    <w:rsid w:val="00BC6E73"/>
    <w:rsid w:val="00BD0014"/>
    <w:rsid w:val="00BD11E7"/>
    <w:rsid w:val="00BD1BB8"/>
    <w:rsid w:val="00BD252D"/>
    <w:rsid w:val="00BD3427"/>
    <w:rsid w:val="00BD54A9"/>
    <w:rsid w:val="00BD61AB"/>
    <w:rsid w:val="00BD6EF9"/>
    <w:rsid w:val="00BD726B"/>
    <w:rsid w:val="00BD7D0B"/>
    <w:rsid w:val="00BE0E06"/>
    <w:rsid w:val="00BE10E4"/>
    <w:rsid w:val="00BE13EE"/>
    <w:rsid w:val="00BE162D"/>
    <w:rsid w:val="00BE1927"/>
    <w:rsid w:val="00BE23EE"/>
    <w:rsid w:val="00BE288F"/>
    <w:rsid w:val="00BE38FE"/>
    <w:rsid w:val="00BE3D16"/>
    <w:rsid w:val="00BE51CA"/>
    <w:rsid w:val="00BE651A"/>
    <w:rsid w:val="00BE662D"/>
    <w:rsid w:val="00BE6D47"/>
    <w:rsid w:val="00BE7019"/>
    <w:rsid w:val="00BF0165"/>
    <w:rsid w:val="00BF01C5"/>
    <w:rsid w:val="00BF05EF"/>
    <w:rsid w:val="00BF0884"/>
    <w:rsid w:val="00BF12BC"/>
    <w:rsid w:val="00BF16D5"/>
    <w:rsid w:val="00BF1BAD"/>
    <w:rsid w:val="00BF219B"/>
    <w:rsid w:val="00BF2CF5"/>
    <w:rsid w:val="00BF2F24"/>
    <w:rsid w:val="00BF31E1"/>
    <w:rsid w:val="00BF383B"/>
    <w:rsid w:val="00BF3BF4"/>
    <w:rsid w:val="00BF4342"/>
    <w:rsid w:val="00BF4EBC"/>
    <w:rsid w:val="00BF5A3D"/>
    <w:rsid w:val="00BF5C3D"/>
    <w:rsid w:val="00BF6521"/>
    <w:rsid w:val="00BF6CAD"/>
    <w:rsid w:val="00BF767B"/>
    <w:rsid w:val="00BF7A1B"/>
    <w:rsid w:val="00C00122"/>
    <w:rsid w:val="00C00FDC"/>
    <w:rsid w:val="00C01009"/>
    <w:rsid w:val="00C011C1"/>
    <w:rsid w:val="00C01D91"/>
    <w:rsid w:val="00C04699"/>
    <w:rsid w:val="00C04892"/>
    <w:rsid w:val="00C04B79"/>
    <w:rsid w:val="00C0556E"/>
    <w:rsid w:val="00C058AF"/>
    <w:rsid w:val="00C05EBB"/>
    <w:rsid w:val="00C06123"/>
    <w:rsid w:val="00C067E2"/>
    <w:rsid w:val="00C0697A"/>
    <w:rsid w:val="00C069C9"/>
    <w:rsid w:val="00C1005E"/>
    <w:rsid w:val="00C11835"/>
    <w:rsid w:val="00C128AE"/>
    <w:rsid w:val="00C12DAE"/>
    <w:rsid w:val="00C16038"/>
    <w:rsid w:val="00C1620A"/>
    <w:rsid w:val="00C16ED8"/>
    <w:rsid w:val="00C17231"/>
    <w:rsid w:val="00C17460"/>
    <w:rsid w:val="00C176AA"/>
    <w:rsid w:val="00C20813"/>
    <w:rsid w:val="00C20936"/>
    <w:rsid w:val="00C20BC7"/>
    <w:rsid w:val="00C20F27"/>
    <w:rsid w:val="00C22B0D"/>
    <w:rsid w:val="00C23971"/>
    <w:rsid w:val="00C23B99"/>
    <w:rsid w:val="00C240C1"/>
    <w:rsid w:val="00C26973"/>
    <w:rsid w:val="00C27EC0"/>
    <w:rsid w:val="00C27ECB"/>
    <w:rsid w:val="00C31561"/>
    <w:rsid w:val="00C31B7E"/>
    <w:rsid w:val="00C321D2"/>
    <w:rsid w:val="00C326AC"/>
    <w:rsid w:val="00C33266"/>
    <w:rsid w:val="00C338ED"/>
    <w:rsid w:val="00C34CD0"/>
    <w:rsid w:val="00C360B3"/>
    <w:rsid w:val="00C37027"/>
    <w:rsid w:val="00C3746B"/>
    <w:rsid w:val="00C379E1"/>
    <w:rsid w:val="00C40956"/>
    <w:rsid w:val="00C409C8"/>
    <w:rsid w:val="00C40B27"/>
    <w:rsid w:val="00C41B99"/>
    <w:rsid w:val="00C42973"/>
    <w:rsid w:val="00C43275"/>
    <w:rsid w:val="00C43B82"/>
    <w:rsid w:val="00C43C71"/>
    <w:rsid w:val="00C463E8"/>
    <w:rsid w:val="00C47174"/>
    <w:rsid w:val="00C47E5F"/>
    <w:rsid w:val="00C47EED"/>
    <w:rsid w:val="00C51E37"/>
    <w:rsid w:val="00C52479"/>
    <w:rsid w:val="00C52C59"/>
    <w:rsid w:val="00C531FC"/>
    <w:rsid w:val="00C53B50"/>
    <w:rsid w:val="00C54A97"/>
    <w:rsid w:val="00C54D3D"/>
    <w:rsid w:val="00C55C6E"/>
    <w:rsid w:val="00C57105"/>
    <w:rsid w:val="00C57326"/>
    <w:rsid w:val="00C57B32"/>
    <w:rsid w:val="00C613A1"/>
    <w:rsid w:val="00C61B6F"/>
    <w:rsid w:val="00C61BA3"/>
    <w:rsid w:val="00C61DB0"/>
    <w:rsid w:val="00C62A7A"/>
    <w:rsid w:val="00C62B1B"/>
    <w:rsid w:val="00C63E25"/>
    <w:rsid w:val="00C64671"/>
    <w:rsid w:val="00C64981"/>
    <w:rsid w:val="00C65359"/>
    <w:rsid w:val="00C65B76"/>
    <w:rsid w:val="00C66AD2"/>
    <w:rsid w:val="00C70E2A"/>
    <w:rsid w:val="00C71D4A"/>
    <w:rsid w:val="00C72E4E"/>
    <w:rsid w:val="00C72F53"/>
    <w:rsid w:val="00C74035"/>
    <w:rsid w:val="00C75244"/>
    <w:rsid w:val="00C759C9"/>
    <w:rsid w:val="00C76243"/>
    <w:rsid w:val="00C76960"/>
    <w:rsid w:val="00C77188"/>
    <w:rsid w:val="00C80540"/>
    <w:rsid w:val="00C8063F"/>
    <w:rsid w:val="00C8087B"/>
    <w:rsid w:val="00C820FE"/>
    <w:rsid w:val="00C821C4"/>
    <w:rsid w:val="00C836DB"/>
    <w:rsid w:val="00C845F8"/>
    <w:rsid w:val="00C84FB0"/>
    <w:rsid w:val="00C85466"/>
    <w:rsid w:val="00C8601C"/>
    <w:rsid w:val="00C86B12"/>
    <w:rsid w:val="00C86B4D"/>
    <w:rsid w:val="00C87728"/>
    <w:rsid w:val="00C90372"/>
    <w:rsid w:val="00C90ABF"/>
    <w:rsid w:val="00C91300"/>
    <w:rsid w:val="00C91FB4"/>
    <w:rsid w:val="00C923CE"/>
    <w:rsid w:val="00C9358B"/>
    <w:rsid w:val="00C93CA4"/>
    <w:rsid w:val="00C94003"/>
    <w:rsid w:val="00C940FD"/>
    <w:rsid w:val="00C94ECA"/>
    <w:rsid w:val="00C95176"/>
    <w:rsid w:val="00C96AD9"/>
    <w:rsid w:val="00C97997"/>
    <w:rsid w:val="00C97EFC"/>
    <w:rsid w:val="00CA03A9"/>
    <w:rsid w:val="00CA06C6"/>
    <w:rsid w:val="00CA08FD"/>
    <w:rsid w:val="00CA0E5F"/>
    <w:rsid w:val="00CA14B5"/>
    <w:rsid w:val="00CA1B71"/>
    <w:rsid w:val="00CA2391"/>
    <w:rsid w:val="00CA25C0"/>
    <w:rsid w:val="00CA2A9E"/>
    <w:rsid w:val="00CA32A9"/>
    <w:rsid w:val="00CA3600"/>
    <w:rsid w:val="00CA38C2"/>
    <w:rsid w:val="00CA3D7A"/>
    <w:rsid w:val="00CA4948"/>
    <w:rsid w:val="00CA52F9"/>
    <w:rsid w:val="00CA5630"/>
    <w:rsid w:val="00CA568B"/>
    <w:rsid w:val="00CA5D6A"/>
    <w:rsid w:val="00CA6FCD"/>
    <w:rsid w:val="00CB0685"/>
    <w:rsid w:val="00CB0D7C"/>
    <w:rsid w:val="00CB1F2F"/>
    <w:rsid w:val="00CB23B8"/>
    <w:rsid w:val="00CB304C"/>
    <w:rsid w:val="00CB3CB5"/>
    <w:rsid w:val="00CB3FC2"/>
    <w:rsid w:val="00CB47BD"/>
    <w:rsid w:val="00CB4B66"/>
    <w:rsid w:val="00CB55A1"/>
    <w:rsid w:val="00CB5CB2"/>
    <w:rsid w:val="00CB6571"/>
    <w:rsid w:val="00CB6C80"/>
    <w:rsid w:val="00CB759C"/>
    <w:rsid w:val="00CC01EB"/>
    <w:rsid w:val="00CC0323"/>
    <w:rsid w:val="00CC03AE"/>
    <w:rsid w:val="00CC0917"/>
    <w:rsid w:val="00CC0935"/>
    <w:rsid w:val="00CC095F"/>
    <w:rsid w:val="00CC0D10"/>
    <w:rsid w:val="00CC1574"/>
    <w:rsid w:val="00CC1A46"/>
    <w:rsid w:val="00CC33FF"/>
    <w:rsid w:val="00CC39CB"/>
    <w:rsid w:val="00CC3F91"/>
    <w:rsid w:val="00CC4786"/>
    <w:rsid w:val="00CC48B2"/>
    <w:rsid w:val="00CC4CEF"/>
    <w:rsid w:val="00CC544A"/>
    <w:rsid w:val="00CC57EA"/>
    <w:rsid w:val="00CC5954"/>
    <w:rsid w:val="00CC6094"/>
    <w:rsid w:val="00CC79E9"/>
    <w:rsid w:val="00CC7D21"/>
    <w:rsid w:val="00CD106A"/>
    <w:rsid w:val="00CD15C4"/>
    <w:rsid w:val="00CD2401"/>
    <w:rsid w:val="00CD3223"/>
    <w:rsid w:val="00CD437E"/>
    <w:rsid w:val="00CD4F4B"/>
    <w:rsid w:val="00CD525A"/>
    <w:rsid w:val="00CD5624"/>
    <w:rsid w:val="00CD56F7"/>
    <w:rsid w:val="00CD5DAD"/>
    <w:rsid w:val="00CD6319"/>
    <w:rsid w:val="00CD7398"/>
    <w:rsid w:val="00CE0180"/>
    <w:rsid w:val="00CE0789"/>
    <w:rsid w:val="00CE11E1"/>
    <w:rsid w:val="00CE1A03"/>
    <w:rsid w:val="00CE247A"/>
    <w:rsid w:val="00CE2790"/>
    <w:rsid w:val="00CE35C8"/>
    <w:rsid w:val="00CE3962"/>
    <w:rsid w:val="00CE3B88"/>
    <w:rsid w:val="00CE3EF2"/>
    <w:rsid w:val="00CE509D"/>
    <w:rsid w:val="00CE50CE"/>
    <w:rsid w:val="00CE56BD"/>
    <w:rsid w:val="00CE79B0"/>
    <w:rsid w:val="00CE7D5B"/>
    <w:rsid w:val="00CF0003"/>
    <w:rsid w:val="00CF02E4"/>
    <w:rsid w:val="00CF097C"/>
    <w:rsid w:val="00CF1334"/>
    <w:rsid w:val="00CF2664"/>
    <w:rsid w:val="00CF2878"/>
    <w:rsid w:val="00CF2BE2"/>
    <w:rsid w:val="00CF3A11"/>
    <w:rsid w:val="00CF3E9C"/>
    <w:rsid w:val="00CF3FAD"/>
    <w:rsid w:val="00CF45BC"/>
    <w:rsid w:val="00CF4C76"/>
    <w:rsid w:val="00CF583F"/>
    <w:rsid w:val="00CF5C88"/>
    <w:rsid w:val="00CF6A9E"/>
    <w:rsid w:val="00CF7E81"/>
    <w:rsid w:val="00D0064B"/>
    <w:rsid w:val="00D007B3"/>
    <w:rsid w:val="00D00F77"/>
    <w:rsid w:val="00D01CF9"/>
    <w:rsid w:val="00D01DEA"/>
    <w:rsid w:val="00D02896"/>
    <w:rsid w:val="00D0334D"/>
    <w:rsid w:val="00D0410F"/>
    <w:rsid w:val="00D04D94"/>
    <w:rsid w:val="00D0644C"/>
    <w:rsid w:val="00D07B27"/>
    <w:rsid w:val="00D10D08"/>
    <w:rsid w:val="00D1341A"/>
    <w:rsid w:val="00D1533E"/>
    <w:rsid w:val="00D15D1A"/>
    <w:rsid w:val="00D16FE3"/>
    <w:rsid w:val="00D17019"/>
    <w:rsid w:val="00D20027"/>
    <w:rsid w:val="00D209E4"/>
    <w:rsid w:val="00D21168"/>
    <w:rsid w:val="00D2184E"/>
    <w:rsid w:val="00D2219F"/>
    <w:rsid w:val="00D23564"/>
    <w:rsid w:val="00D23E0E"/>
    <w:rsid w:val="00D23F27"/>
    <w:rsid w:val="00D240A5"/>
    <w:rsid w:val="00D2438C"/>
    <w:rsid w:val="00D25918"/>
    <w:rsid w:val="00D27185"/>
    <w:rsid w:val="00D2744A"/>
    <w:rsid w:val="00D3054F"/>
    <w:rsid w:val="00D306DE"/>
    <w:rsid w:val="00D30CFF"/>
    <w:rsid w:val="00D31015"/>
    <w:rsid w:val="00D31AFA"/>
    <w:rsid w:val="00D32ADF"/>
    <w:rsid w:val="00D33AB3"/>
    <w:rsid w:val="00D347CF"/>
    <w:rsid w:val="00D35AC8"/>
    <w:rsid w:val="00D36CF8"/>
    <w:rsid w:val="00D36E84"/>
    <w:rsid w:val="00D37C27"/>
    <w:rsid w:val="00D40073"/>
    <w:rsid w:val="00D40142"/>
    <w:rsid w:val="00D401EB"/>
    <w:rsid w:val="00D40432"/>
    <w:rsid w:val="00D405B2"/>
    <w:rsid w:val="00D40C1A"/>
    <w:rsid w:val="00D4317A"/>
    <w:rsid w:val="00D43905"/>
    <w:rsid w:val="00D43AE7"/>
    <w:rsid w:val="00D43F65"/>
    <w:rsid w:val="00D4563D"/>
    <w:rsid w:val="00D4628B"/>
    <w:rsid w:val="00D4660C"/>
    <w:rsid w:val="00D466E1"/>
    <w:rsid w:val="00D471AF"/>
    <w:rsid w:val="00D50519"/>
    <w:rsid w:val="00D50CA9"/>
    <w:rsid w:val="00D51CB3"/>
    <w:rsid w:val="00D54559"/>
    <w:rsid w:val="00D55951"/>
    <w:rsid w:val="00D57504"/>
    <w:rsid w:val="00D57806"/>
    <w:rsid w:val="00D5792A"/>
    <w:rsid w:val="00D57E4F"/>
    <w:rsid w:val="00D60404"/>
    <w:rsid w:val="00D62E38"/>
    <w:rsid w:val="00D6391A"/>
    <w:rsid w:val="00D6461F"/>
    <w:rsid w:val="00D65603"/>
    <w:rsid w:val="00D66956"/>
    <w:rsid w:val="00D66A98"/>
    <w:rsid w:val="00D66D8B"/>
    <w:rsid w:val="00D67A93"/>
    <w:rsid w:val="00D701E9"/>
    <w:rsid w:val="00D70602"/>
    <w:rsid w:val="00D70DEA"/>
    <w:rsid w:val="00D73802"/>
    <w:rsid w:val="00D73C2C"/>
    <w:rsid w:val="00D73D52"/>
    <w:rsid w:val="00D74083"/>
    <w:rsid w:val="00D7436F"/>
    <w:rsid w:val="00D7626B"/>
    <w:rsid w:val="00D765DF"/>
    <w:rsid w:val="00D80E37"/>
    <w:rsid w:val="00D8231C"/>
    <w:rsid w:val="00D8259F"/>
    <w:rsid w:val="00D82943"/>
    <w:rsid w:val="00D82C69"/>
    <w:rsid w:val="00D839F7"/>
    <w:rsid w:val="00D8462A"/>
    <w:rsid w:val="00D84F27"/>
    <w:rsid w:val="00D850E5"/>
    <w:rsid w:val="00D859E2"/>
    <w:rsid w:val="00D85B43"/>
    <w:rsid w:val="00D86C45"/>
    <w:rsid w:val="00D86EFA"/>
    <w:rsid w:val="00D90690"/>
    <w:rsid w:val="00D90E50"/>
    <w:rsid w:val="00D90EDD"/>
    <w:rsid w:val="00D9132E"/>
    <w:rsid w:val="00D91807"/>
    <w:rsid w:val="00D93AA3"/>
    <w:rsid w:val="00D94E38"/>
    <w:rsid w:val="00D950F4"/>
    <w:rsid w:val="00D95976"/>
    <w:rsid w:val="00D95E99"/>
    <w:rsid w:val="00D95E9C"/>
    <w:rsid w:val="00D96DE4"/>
    <w:rsid w:val="00D96E13"/>
    <w:rsid w:val="00D979CD"/>
    <w:rsid w:val="00D97FC0"/>
    <w:rsid w:val="00D97FD4"/>
    <w:rsid w:val="00DA13AE"/>
    <w:rsid w:val="00DA24DA"/>
    <w:rsid w:val="00DA2B20"/>
    <w:rsid w:val="00DA2F4C"/>
    <w:rsid w:val="00DA512D"/>
    <w:rsid w:val="00DA5AAB"/>
    <w:rsid w:val="00DA5E6E"/>
    <w:rsid w:val="00DA6FC8"/>
    <w:rsid w:val="00DB238E"/>
    <w:rsid w:val="00DB3CF0"/>
    <w:rsid w:val="00DB4574"/>
    <w:rsid w:val="00DB69D2"/>
    <w:rsid w:val="00DB6E80"/>
    <w:rsid w:val="00DB7CFE"/>
    <w:rsid w:val="00DC04E0"/>
    <w:rsid w:val="00DC0B49"/>
    <w:rsid w:val="00DC0D20"/>
    <w:rsid w:val="00DC15D9"/>
    <w:rsid w:val="00DC1636"/>
    <w:rsid w:val="00DC1712"/>
    <w:rsid w:val="00DC1D50"/>
    <w:rsid w:val="00DC4426"/>
    <w:rsid w:val="00DC4BDD"/>
    <w:rsid w:val="00DC6338"/>
    <w:rsid w:val="00DC67B1"/>
    <w:rsid w:val="00DC7C72"/>
    <w:rsid w:val="00DD10BA"/>
    <w:rsid w:val="00DD132B"/>
    <w:rsid w:val="00DD2139"/>
    <w:rsid w:val="00DD28A4"/>
    <w:rsid w:val="00DD2A18"/>
    <w:rsid w:val="00DD2F52"/>
    <w:rsid w:val="00DD333A"/>
    <w:rsid w:val="00DD33E3"/>
    <w:rsid w:val="00DD61B2"/>
    <w:rsid w:val="00DD626F"/>
    <w:rsid w:val="00DD62C0"/>
    <w:rsid w:val="00DD6660"/>
    <w:rsid w:val="00DD72DF"/>
    <w:rsid w:val="00DE1C4F"/>
    <w:rsid w:val="00DE4FAC"/>
    <w:rsid w:val="00DE5FA6"/>
    <w:rsid w:val="00DE6832"/>
    <w:rsid w:val="00DE763A"/>
    <w:rsid w:val="00DE78E9"/>
    <w:rsid w:val="00DE7D04"/>
    <w:rsid w:val="00DE7FA9"/>
    <w:rsid w:val="00DF0385"/>
    <w:rsid w:val="00DF1299"/>
    <w:rsid w:val="00DF14F5"/>
    <w:rsid w:val="00DF1A79"/>
    <w:rsid w:val="00DF1C76"/>
    <w:rsid w:val="00DF1D14"/>
    <w:rsid w:val="00DF23A8"/>
    <w:rsid w:val="00DF269F"/>
    <w:rsid w:val="00DF2B54"/>
    <w:rsid w:val="00DF448A"/>
    <w:rsid w:val="00DF49B2"/>
    <w:rsid w:val="00DF6CCC"/>
    <w:rsid w:val="00DF6F64"/>
    <w:rsid w:val="00DF719F"/>
    <w:rsid w:val="00DF721E"/>
    <w:rsid w:val="00DF7550"/>
    <w:rsid w:val="00DF7C87"/>
    <w:rsid w:val="00DF7E37"/>
    <w:rsid w:val="00E00643"/>
    <w:rsid w:val="00E00B3A"/>
    <w:rsid w:val="00E033BF"/>
    <w:rsid w:val="00E03E61"/>
    <w:rsid w:val="00E04DF6"/>
    <w:rsid w:val="00E0570B"/>
    <w:rsid w:val="00E0694D"/>
    <w:rsid w:val="00E074A1"/>
    <w:rsid w:val="00E07DC8"/>
    <w:rsid w:val="00E10589"/>
    <w:rsid w:val="00E10B87"/>
    <w:rsid w:val="00E10DD7"/>
    <w:rsid w:val="00E111A9"/>
    <w:rsid w:val="00E136E3"/>
    <w:rsid w:val="00E13863"/>
    <w:rsid w:val="00E14036"/>
    <w:rsid w:val="00E14194"/>
    <w:rsid w:val="00E14F0D"/>
    <w:rsid w:val="00E161BA"/>
    <w:rsid w:val="00E16269"/>
    <w:rsid w:val="00E164F3"/>
    <w:rsid w:val="00E16EC7"/>
    <w:rsid w:val="00E178D4"/>
    <w:rsid w:val="00E2128E"/>
    <w:rsid w:val="00E21450"/>
    <w:rsid w:val="00E219CE"/>
    <w:rsid w:val="00E21CAE"/>
    <w:rsid w:val="00E2218E"/>
    <w:rsid w:val="00E2220E"/>
    <w:rsid w:val="00E227F2"/>
    <w:rsid w:val="00E23BA4"/>
    <w:rsid w:val="00E240B8"/>
    <w:rsid w:val="00E2436E"/>
    <w:rsid w:val="00E24A09"/>
    <w:rsid w:val="00E24EBC"/>
    <w:rsid w:val="00E2522C"/>
    <w:rsid w:val="00E268CC"/>
    <w:rsid w:val="00E2763F"/>
    <w:rsid w:val="00E3055E"/>
    <w:rsid w:val="00E319DE"/>
    <w:rsid w:val="00E33C95"/>
    <w:rsid w:val="00E33CE8"/>
    <w:rsid w:val="00E34EA6"/>
    <w:rsid w:val="00E35431"/>
    <w:rsid w:val="00E36D3D"/>
    <w:rsid w:val="00E37882"/>
    <w:rsid w:val="00E41966"/>
    <w:rsid w:val="00E429BA"/>
    <w:rsid w:val="00E42BF9"/>
    <w:rsid w:val="00E43054"/>
    <w:rsid w:val="00E436FD"/>
    <w:rsid w:val="00E43B2C"/>
    <w:rsid w:val="00E46304"/>
    <w:rsid w:val="00E500A4"/>
    <w:rsid w:val="00E51C40"/>
    <w:rsid w:val="00E52A73"/>
    <w:rsid w:val="00E53730"/>
    <w:rsid w:val="00E53BB3"/>
    <w:rsid w:val="00E53E01"/>
    <w:rsid w:val="00E54511"/>
    <w:rsid w:val="00E550FB"/>
    <w:rsid w:val="00E5633F"/>
    <w:rsid w:val="00E56D16"/>
    <w:rsid w:val="00E57029"/>
    <w:rsid w:val="00E57577"/>
    <w:rsid w:val="00E5770E"/>
    <w:rsid w:val="00E577AB"/>
    <w:rsid w:val="00E61282"/>
    <w:rsid w:val="00E61416"/>
    <w:rsid w:val="00E61CC8"/>
    <w:rsid w:val="00E61D91"/>
    <w:rsid w:val="00E62043"/>
    <w:rsid w:val="00E62175"/>
    <w:rsid w:val="00E631F6"/>
    <w:rsid w:val="00E6424B"/>
    <w:rsid w:val="00E64CE9"/>
    <w:rsid w:val="00E667CA"/>
    <w:rsid w:val="00E66F0D"/>
    <w:rsid w:val="00E670DC"/>
    <w:rsid w:val="00E677E1"/>
    <w:rsid w:val="00E714BD"/>
    <w:rsid w:val="00E720BA"/>
    <w:rsid w:val="00E73B43"/>
    <w:rsid w:val="00E75065"/>
    <w:rsid w:val="00E75AC8"/>
    <w:rsid w:val="00E75B8A"/>
    <w:rsid w:val="00E75BB4"/>
    <w:rsid w:val="00E75D8C"/>
    <w:rsid w:val="00E76142"/>
    <w:rsid w:val="00E761B1"/>
    <w:rsid w:val="00E763A0"/>
    <w:rsid w:val="00E76BD0"/>
    <w:rsid w:val="00E80347"/>
    <w:rsid w:val="00E80720"/>
    <w:rsid w:val="00E80963"/>
    <w:rsid w:val="00E80F0A"/>
    <w:rsid w:val="00E8100E"/>
    <w:rsid w:val="00E81962"/>
    <w:rsid w:val="00E8273E"/>
    <w:rsid w:val="00E8291B"/>
    <w:rsid w:val="00E82C1C"/>
    <w:rsid w:val="00E8483D"/>
    <w:rsid w:val="00E8548C"/>
    <w:rsid w:val="00E868C2"/>
    <w:rsid w:val="00E907D6"/>
    <w:rsid w:val="00E90FAB"/>
    <w:rsid w:val="00E91044"/>
    <w:rsid w:val="00E910D3"/>
    <w:rsid w:val="00E91310"/>
    <w:rsid w:val="00E91A2C"/>
    <w:rsid w:val="00E91A53"/>
    <w:rsid w:val="00E91F3F"/>
    <w:rsid w:val="00E91FBA"/>
    <w:rsid w:val="00E928F2"/>
    <w:rsid w:val="00E93C66"/>
    <w:rsid w:val="00E93F7C"/>
    <w:rsid w:val="00E94063"/>
    <w:rsid w:val="00E94641"/>
    <w:rsid w:val="00E95E48"/>
    <w:rsid w:val="00E96484"/>
    <w:rsid w:val="00E969F0"/>
    <w:rsid w:val="00E97012"/>
    <w:rsid w:val="00E971B4"/>
    <w:rsid w:val="00E97E17"/>
    <w:rsid w:val="00EA04DB"/>
    <w:rsid w:val="00EA0EC3"/>
    <w:rsid w:val="00EA1F14"/>
    <w:rsid w:val="00EA2218"/>
    <w:rsid w:val="00EA2DD2"/>
    <w:rsid w:val="00EA335E"/>
    <w:rsid w:val="00EA7077"/>
    <w:rsid w:val="00EA7700"/>
    <w:rsid w:val="00EA7CEA"/>
    <w:rsid w:val="00EB05D0"/>
    <w:rsid w:val="00EB1D49"/>
    <w:rsid w:val="00EB1E2F"/>
    <w:rsid w:val="00EB4626"/>
    <w:rsid w:val="00EB67A7"/>
    <w:rsid w:val="00EB74F8"/>
    <w:rsid w:val="00EB7855"/>
    <w:rsid w:val="00EB7AAF"/>
    <w:rsid w:val="00EC0B60"/>
    <w:rsid w:val="00EC0BC5"/>
    <w:rsid w:val="00EC1C17"/>
    <w:rsid w:val="00EC1CD2"/>
    <w:rsid w:val="00EC1F1E"/>
    <w:rsid w:val="00EC58CF"/>
    <w:rsid w:val="00EC6B35"/>
    <w:rsid w:val="00EC709F"/>
    <w:rsid w:val="00EC7214"/>
    <w:rsid w:val="00EC769A"/>
    <w:rsid w:val="00EC7A0D"/>
    <w:rsid w:val="00EC7A97"/>
    <w:rsid w:val="00ED00FC"/>
    <w:rsid w:val="00ED0865"/>
    <w:rsid w:val="00ED0C46"/>
    <w:rsid w:val="00ED125E"/>
    <w:rsid w:val="00ED1F01"/>
    <w:rsid w:val="00ED2230"/>
    <w:rsid w:val="00ED3C53"/>
    <w:rsid w:val="00ED571B"/>
    <w:rsid w:val="00ED5C69"/>
    <w:rsid w:val="00ED731B"/>
    <w:rsid w:val="00ED75DC"/>
    <w:rsid w:val="00EE0444"/>
    <w:rsid w:val="00EE1EE2"/>
    <w:rsid w:val="00EE2156"/>
    <w:rsid w:val="00EE237D"/>
    <w:rsid w:val="00EE2E20"/>
    <w:rsid w:val="00EE42DB"/>
    <w:rsid w:val="00EE4543"/>
    <w:rsid w:val="00EE4B24"/>
    <w:rsid w:val="00EE5465"/>
    <w:rsid w:val="00EE6224"/>
    <w:rsid w:val="00EE7169"/>
    <w:rsid w:val="00EF1AB1"/>
    <w:rsid w:val="00EF1F3D"/>
    <w:rsid w:val="00EF215E"/>
    <w:rsid w:val="00EF5554"/>
    <w:rsid w:val="00EF5720"/>
    <w:rsid w:val="00EF6B90"/>
    <w:rsid w:val="00EF6E78"/>
    <w:rsid w:val="00EF7805"/>
    <w:rsid w:val="00EF790B"/>
    <w:rsid w:val="00EF7919"/>
    <w:rsid w:val="00F0052F"/>
    <w:rsid w:val="00F00549"/>
    <w:rsid w:val="00F006C0"/>
    <w:rsid w:val="00F00C8C"/>
    <w:rsid w:val="00F01036"/>
    <w:rsid w:val="00F02077"/>
    <w:rsid w:val="00F02408"/>
    <w:rsid w:val="00F025CD"/>
    <w:rsid w:val="00F02686"/>
    <w:rsid w:val="00F0334B"/>
    <w:rsid w:val="00F041C5"/>
    <w:rsid w:val="00F047CB"/>
    <w:rsid w:val="00F04E15"/>
    <w:rsid w:val="00F04EAB"/>
    <w:rsid w:val="00F05B62"/>
    <w:rsid w:val="00F05DF3"/>
    <w:rsid w:val="00F069EA"/>
    <w:rsid w:val="00F1062D"/>
    <w:rsid w:val="00F109C0"/>
    <w:rsid w:val="00F117B6"/>
    <w:rsid w:val="00F1194C"/>
    <w:rsid w:val="00F124C6"/>
    <w:rsid w:val="00F12790"/>
    <w:rsid w:val="00F14DF3"/>
    <w:rsid w:val="00F15891"/>
    <w:rsid w:val="00F16137"/>
    <w:rsid w:val="00F16834"/>
    <w:rsid w:val="00F168B5"/>
    <w:rsid w:val="00F172B2"/>
    <w:rsid w:val="00F173FE"/>
    <w:rsid w:val="00F17D27"/>
    <w:rsid w:val="00F2072D"/>
    <w:rsid w:val="00F21627"/>
    <w:rsid w:val="00F22500"/>
    <w:rsid w:val="00F22756"/>
    <w:rsid w:val="00F22B25"/>
    <w:rsid w:val="00F23016"/>
    <w:rsid w:val="00F23149"/>
    <w:rsid w:val="00F238CD"/>
    <w:rsid w:val="00F23B21"/>
    <w:rsid w:val="00F24505"/>
    <w:rsid w:val="00F253D1"/>
    <w:rsid w:val="00F25438"/>
    <w:rsid w:val="00F256D0"/>
    <w:rsid w:val="00F25AAE"/>
    <w:rsid w:val="00F2637F"/>
    <w:rsid w:val="00F26FE3"/>
    <w:rsid w:val="00F30CF8"/>
    <w:rsid w:val="00F31EDF"/>
    <w:rsid w:val="00F321D0"/>
    <w:rsid w:val="00F32D4C"/>
    <w:rsid w:val="00F3382B"/>
    <w:rsid w:val="00F339D5"/>
    <w:rsid w:val="00F33D75"/>
    <w:rsid w:val="00F34B14"/>
    <w:rsid w:val="00F3594E"/>
    <w:rsid w:val="00F35D9C"/>
    <w:rsid w:val="00F40101"/>
    <w:rsid w:val="00F40B41"/>
    <w:rsid w:val="00F4181E"/>
    <w:rsid w:val="00F427B8"/>
    <w:rsid w:val="00F42B7C"/>
    <w:rsid w:val="00F43339"/>
    <w:rsid w:val="00F43907"/>
    <w:rsid w:val="00F43C70"/>
    <w:rsid w:val="00F45A72"/>
    <w:rsid w:val="00F46723"/>
    <w:rsid w:val="00F46E76"/>
    <w:rsid w:val="00F4750F"/>
    <w:rsid w:val="00F47FE1"/>
    <w:rsid w:val="00F50016"/>
    <w:rsid w:val="00F5118A"/>
    <w:rsid w:val="00F51CAE"/>
    <w:rsid w:val="00F52FAC"/>
    <w:rsid w:val="00F53304"/>
    <w:rsid w:val="00F5459D"/>
    <w:rsid w:val="00F549D6"/>
    <w:rsid w:val="00F5583C"/>
    <w:rsid w:val="00F5687F"/>
    <w:rsid w:val="00F56A68"/>
    <w:rsid w:val="00F57648"/>
    <w:rsid w:val="00F57B14"/>
    <w:rsid w:val="00F61A85"/>
    <w:rsid w:val="00F61EF0"/>
    <w:rsid w:val="00F628B9"/>
    <w:rsid w:val="00F63214"/>
    <w:rsid w:val="00F64466"/>
    <w:rsid w:val="00F65CA3"/>
    <w:rsid w:val="00F66908"/>
    <w:rsid w:val="00F67070"/>
    <w:rsid w:val="00F67B8B"/>
    <w:rsid w:val="00F67FF8"/>
    <w:rsid w:val="00F70799"/>
    <w:rsid w:val="00F724FB"/>
    <w:rsid w:val="00F728BF"/>
    <w:rsid w:val="00F730DC"/>
    <w:rsid w:val="00F733C3"/>
    <w:rsid w:val="00F737B0"/>
    <w:rsid w:val="00F73929"/>
    <w:rsid w:val="00F756DD"/>
    <w:rsid w:val="00F759EA"/>
    <w:rsid w:val="00F8085C"/>
    <w:rsid w:val="00F81587"/>
    <w:rsid w:val="00F81F9E"/>
    <w:rsid w:val="00F821AD"/>
    <w:rsid w:val="00F824C2"/>
    <w:rsid w:val="00F824F0"/>
    <w:rsid w:val="00F826BD"/>
    <w:rsid w:val="00F829CD"/>
    <w:rsid w:val="00F83FF4"/>
    <w:rsid w:val="00F850A3"/>
    <w:rsid w:val="00F85B72"/>
    <w:rsid w:val="00F86A05"/>
    <w:rsid w:val="00F8758C"/>
    <w:rsid w:val="00F92EC0"/>
    <w:rsid w:val="00F9310F"/>
    <w:rsid w:val="00F934B7"/>
    <w:rsid w:val="00F94D56"/>
    <w:rsid w:val="00F9566C"/>
    <w:rsid w:val="00F967E8"/>
    <w:rsid w:val="00F9736A"/>
    <w:rsid w:val="00FA0748"/>
    <w:rsid w:val="00FA18EC"/>
    <w:rsid w:val="00FA2E94"/>
    <w:rsid w:val="00FA2EF4"/>
    <w:rsid w:val="00FA34C9"/>
    <w:rsid w:val="00FA3D87"/>
    <w:rsid w:val="00FA472D"/>
    <w:rsid w:val="00FA487E"/>
    <w:rsid w:val="00FB0229"/>
    <w:rsid w:val="00FB02DF"/>
    <w:rsid w:val="00FB05F7"/>
    <w:rsid w:val="00FB3205"/>
    <w:rsid w:val="00FB46B7"/>
    <w:rsid w:val="00FB49FF"/>
    <w:rsid w:val="00FB627C"/>
    <w:rsid w:val="00FB74CA"/>
    <w:rsid w:val="00FC0B54"/>
    <w:rsid w:val="00FC16C0"/>
    <w:rsid w:val="00FC19E5"/>
    <w:rsid w:val="00FC206B"/>
    <w:rsid w:val="00FC36F8"/>
    <w:rsid w:val="00FC47E2"/>
    <w:rsid w:val="00FC5069"/>
    <w:rsid w:val="00FC5148"/>
    <w:rsid w:val="00FC5285"/>
    <w:rsid w:val="00FC7F6E"/>
    <w:rsid w:val="00FD01BF"/>
    <w:rsid w:val="00FD220A"/>
    <w:rsid w:val="00FD23AC"/>
    <w:rsid w:val="00FD297D"/>
    <w:rsid w:val="00FD2D13"/>
    <w:rsid w:val="00FD3349"/>
    <w:rsid w:val="00FD3F69"/>
    <w:rsid w:val="00FD4039"/>
    <w:rsid w:val="00FD54FC"/>
    <w:rsid w:val="00FD5845"/>
    <w:rsid w:val="00FD6106"/>
    <w:rsid w:val="00FD6CB3"/>
    <w:rsid w:val="00FD6F9B"/>
    <w:rsid w:val="00FD7567"/>
    <w:rsid w:val="00FD7D1A"/>
    <w:rsid w:val="00FE0A07"/>
    <w:rsid w:val="00FE1AB5"/>
    <w:rsid w:val="00FE2693"/>
    <w:rsid w:val="00FE2867"/>
    <w:rsid w:val="00FE3946"/>
    <w:rsid w:val="00FE4794"/>
    <w:rsid w:val="00FE4B6E"/>
    <w:rsid w:val="00FE7EB0"/>
    <w:rsid w:val="00FF08E2"/>
    <w:rsid w:val="00FF0B8D"/>
    <w:rsid w:val="00FF1226"/>
    <w:rsid w:val="00FF1706"/>
    <w:rsid w:val="00FF1A35"/>
    <w:rsid w:val="00FF1C9B"/>
    <w:rsid w:val="00FF24E0"/>
    <w:rsid w:val="00FF2CE4"/>
    <w:rsid w:val="00FF2E38"/>
    <w:rsid w:val="00FF30FD"/>
    <w:rsid w:val="00FF319C"/>
    <w:rsid w:val="00FF367A"/>
    <w:rsid w:val="00FF3A41"/>
    <w:rsid w:val="00FF4215"/>
    <w:rsid w:val="00FF4ACD"/>
    <w:rsid w:val="00FF4D40"/>
    <w:rsid w:val="00FF5041"/>
    <w:rsid w:val="00FF5126"/>
    <w:rsid w:val="00FF57E4"/>
    <w:rsid w:val="00FF5AD4"/>
    <w:rsid w:val="00FF5F74"/>
    <w:rsid w:val="00FF60D4"/>
    <w:rsid w:val="00FF77FA"/>
    <w:rsid w:val="00FF780F"/>
    <w:rsid w:val="00FF78E5"/>
    <w:rsid w:val="00FF7CA5"/>
    <w:rsid w:val="010E6CE2"/>
    <w:rsid w:val="01594BA2"/>
    <w:rsid w:val="03E12859"/>
    <w:rsid w:val="042045F2"/>
    <w:rsid w:val="043D3E0F"/>
    <w:rsid w:val="05304802"/>
    <w:rsid w:val="05C91940"/>
    <w:rsid w:val="08455987"/>
    <w:rsid w:val="08627E56"/>
    <w:rsid w:val="0974181B"/>
    <w:rsid w:val="099933BC"/>
    <w:rsid w:val="099A5AD6"/>
    <w:rsid w:val="0A5C5493"/>
    <w:rsid w:val="0ABB428C"/>
    <w:rsid w:val="0AE75399"/>
    <w:rsid w:val="0B275975"/>
    <w:rsid w:val="0CD30787"/>
    <w:rsid w:val="0CF31154"/>
    <w:rsid w:val="0D7A4FCC"/>
    <w:rsid w:val="0E6423DD"/>
    <w:rsid w:val="0EB11381"/>
    <w:rsid w:val="10CE64B7"/>
    <w:rsid w:val="10F4423A"/>
    <w:rsid w:val="11CF679C"/>
    <w:rsid w:val="1278741E"/>
    <w:rsid w:val="175043BE"/>
    <w:rsid w:val="177C01F0"/>
    <w:rsid w:val="17EE0FD0"/>
    <w:rsid w:val="1923544B"/>
    <w:rsid w:val="1A25393E"/>
    <w:rsid w:val="1A714CB2"/>
    <w:rsid w:val="1A7F429E"/>
    <w:rsid w:val="1BE36FE5"/>
    <w:rsid w:val="1C0F4CC1"/>
    <w:rsid w:val="1DAA41DC"/>
    <w:rsid w:val="1FBF4CF9"/>
    <w:rsid w:val="207813E7"/>
    <w:rsid w:val="20D861AA"/>
    <w:rsid w:val="20D879BC"/>
    <w:rsid w:val="22F50B2E"/>
    <w:rsid w:val="240E596A"/>
    <w:rsid w:val="240E7825"/>
    <w:rsid w:val="259C7C7D"/>
    <w:rsid w:val="2612796A"/>
    <w:rsid w:val="26AE7EC6"/>
    <w:rsid w:val="27334FE5"/>
    <w:rsid w:val="275A51A5"/>
    <w:rsid w:val="27A60242"/>
    <w:rsid w:val="287A31F0"/>
    <w:rsid w:val="28F33611"/>
    <w:rsid w:val="29C31001"/>
    <w:rsid w:val="29DA14BF"/>
    <w:rsid w:val="29FA05BE"/>
    <w:rsid w:val="29FA4155"/>
    <w:rsid w:val="2A7C39AA"/>
    <w:rsid w:val="2AE408EF"/>
    <w:rsid w:val="2D644E5C"/>
    <w:rsid w:val="2FF10A7A"/>
    <w:rsid w:val="3021433E"/>
    <w:rsid w:val="302C2AB1"/>
    <w:rsid w:val="33022A76"/>
    <w:rsid w:val="3349600A"/>
    <w:rsid w:val="34080AA8"/>
    <w:rsid w:val="342C2AAD"/>
    <w:rsid w:val="35196377"/>
    <w:rsid w:val="368C458F"/>
    <w:rsid w:val="385B384A"/>
    <w:rsid w:val="38737350"/>
    <w:rsid w:val="391E48A3"/>
    <w:rsid w:val="3A0A3DF0"/>
    <w:rsid w:val="3B9B430C"/>
    <w:rsid w:val="3BA21CC0"/>
    <w:rsid w:val="3C256142"/>
    <w:rsid w:val="3C5A2CF7"/>
    <w:rsid w:val="3C766E82"/>
    <w:rsid w:val="3D0E5482"/>
    <w:rsid w:val="3DB96777"/>
    <w:rsid w:val="3DC736A6"/>
    <w:rsid w:val="3E727764"/>
    <w:rsid w:val="41E11924"/>
    <w:rsid w:val="43C37B2C"/>
    <w:rsid w:val="44476523"/>
    <w:rsid w:val="468B3EFB"/>
    <w:rsid w:val="474E2492"/>
    <w:rsid w:val="478674FF"/>
    <w:rsid w:val="48CB01B0"/>
    <w:rsid w:val="49823718"/>
    <w:rsid w:val="4A0F0672"/>
    <w:rsid w:val="4A40172B"/>
    <w:rsid w:val="4B930FC5"/>
    <w:rsid w:val="4BCE2BCC"/>
    <w:rsid w:val="4BFE6425"/>
    <w:rsid w:val="4C457B56"/>
    <w:rsid w:val="4D1F597B"/>
    <w:rsid w:val="4FD574FB"/>
    <w:rsid w:val="505E77BC"/>
    <w:rsid w:val="50F05C30"/>
    <w:rsid w:val="52952D76"/>
    <w:rsid w:val="52E83A13"/>
    <w:rsid w:val="54394232"/>
    <w:rsid w:val="555B31BA"/>
    <w:rsid w:val="55C868F5"/>
    <w:rsid w:val="56914B3B"/>
    <w:rsid w:val="571E54B0"/>
    <w:rsid w:val="57E02D15"/>
    <w:rsid w:val="58D9177B"/>
    <w:rsid w:val="59112500"/>
    <w:rsid w:val="5A595590"/>
    <w:rsid w:val="5B752909"/>
    <w:rsid w:val="5D5D79A7"/>
    <w:rsid w:val="5D8B465F"/>
    <w:rsid w:val="5E267C58"/>
    <w:rsid w:val="5EC93D05"/>
    <w:rsid w:val="60583B91"/>
    <w:rsid w:val="60BE00E3"/>
    <w:rsid w:val="62387797"/>
    <w:rsid w:val="63DF0139"/>
    <w:rsid w:val="66384983"/>
    <w:rsid w:val="66A17162"/>
    <w:rsid w:val="680242CB"/>
    <w:rsid w:val="6A870B21"/>
    <w:rsid w:val="6B0A5ACD"/>
    <w:rsid w:val="6BAD240D"/>
    <w:rsid w:val="6BDC5D81"/>
    <w:rsid w:val="6C12073A"/>
    <w:rsid w:val="6C813D23"/>
    <w:rsid w:val="6CE225ED"/>
    <w:rsid w:val="6D747E8A"/>
    <w:rsid w:val="6DB12722"/>
    <w:rsid w:val="70142494"/>
    <w:rsid w:val="70296B3E"/>
    <w:rsid w:val="71185590"/>
    <w:rsid w:val="717B0749"/>
    <w:rsid w:val="71BB588D"/>
    <w:rsid w:val="723F7ABB"/>
    <w:rsid w:val="72DC5CA7"/>
    <w:rsid w:val="72F15610"/>
    <w:rsid w:val="73E86535"/>
    <w:rsid w:val="747C1973"/>
    <w:rsid w:val="76D0329C"/>
    <w:rsid w:val="77E9607A"/>
    <w:rsid w:val="78062D8A"/>
    <w:rsid w:val="78260B5B"/>
    <w:rsid w:val="787E5ADB"/>
    <w:rsid w:val="7918782B"/>
    <w:rsid w:val="793D5929"/>
    <w:rsid w:val="79902831"/>
    <w:rsid w:val="7AF523FC"/>
    <w:rsid w:val="7CEF55E7"/>
    <w:rsid w:val="7E406139"/>
    <w:rsid w:val="7E7E464E"/>
    <w:rsid w:val="7EE85BFC"/>
    <w:rsid w:val="7F9935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2">
    <w:name w:val="heading 4"/>
    <w:basedOn w:val="1"/>
    <w:next w:val="1"/>
    <w:qFormat/>
    <w:uiPriority w:val="0"/>
    <w:pPr>
      <w:ind w:firstLine="680"/>
      <w:outlineLvl w:val="3"/>
    </w:pPr>
    <w:rPr>
      <w:rFonts w:ascii="宋体"/>
      <w:sz w:val="28"/>
      <w:szCs w:val="20"/>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7">
    <w:name w:val="Normal Indent"/>
    <w:basedOn w:val="1"/>
    <w:qFormat/>
    <w:uiPriority w:val="99"/>
    <w:pPr>
      <w:ind w:firstLine="420"/>
    </w:pPr>
    <w:rPr>
      <w:szCs w:val="20"/>
    </w:rPr>
  </w:style>
  <w:style w:type="paragraph" w:styleId="8">
    <w:name w:val="Document Map"/>
    <w:basedOn w:val="1"/>
    <w:link w:val="34"/>
    <w:semiHidden/>
    <w:qFormat/>
    <w:uiPriority w:val="99"/>
    <w:rPr>
      <w:rFonts w:ascii="宋体"/>
      <w:sz w:val="18"/>
      <w:szCs w:val="18"/>
    </w:rPr>
  </w:style>
  <w:style w:type="paragraph" w:styleId="9">
    <w:name w:val="annotation text"/>
    <w:basedOn w:val="1"/>
    <w:link w:val="35"/>
    <w:qFormat/>
    <w:uiPriority w:val="99"/>
    <w:pPr>
      <w:jc w:val="left"/>
    </w:pPr>
  </w:style>
  <w:style w:type="paragraph" w:styleId="10">
    <w:name w:val="Body Text"/>
    <w:basedOn w:val="1"/>
    <w:link w:val="36"/>
    <w:qFormat/>
    <w:uiPriority w:val="99"/>
    <w:pPr>
      <w:spacing w:after="120"/>
    </w:pPr>
  </w:style>
  <w:style w:type="paragraph" w:styleId="11">
    <w:name w:val="Body Text Indent"/>
    <w:basedOn w:val="1"/>
    <w:link w:val="37"/>
    <w:qFormat/>
    <w:uiPriority w:val="99"/>
    <w:pPr>
      <w:ind w:firstLine="830" w:firstLineChars="352"/>
    </w:pPr>
    <w:rPr>
      <w:rFonts w:ascii="仿宋_GB2312" w:eastAsia="仿宋_GB2312"/>
      <w:kern w:val="0"/>
      <w:sz w:val="32"/>
      <w:szCs w:val="20"/>
    </w:rPr>
  </w:style>
  <w:style w:type="paragraph" w:styleId="12">
    <w:name w:val="List 2"/>
    <w:basedOn w:val="1"/>
    <w:qFormat/>
    <w:uiPriority w:val="99"/>
    <w:pPr>
      <w:ind w:left="100" w:leftChars="200" w:hanging="200" w:hangingChars="200"/>
      <w:contextualSpacing/>
    </w:pPr>
  </w:style>
  <w:style w:type="paragraph" w:styleId="13">
    <w:name w:val="Plain Text"/>
    <w:basedOn w:val="1"/>
    <w:link w:val="38"/>
    <w:qFormat/>
    <w:uiPriority w:val="99"/>
    <w:rPr>
      <w:rFonts w:ascii="宋体" w:hAnsi="Courier New"/>
      <w:kern w:val="0"/>
      <w:sz w:val="20"/>
      <w:szCs w:val="21"/>
    </w:rPr>
  </w:style>
  <w:style w:type="paragraph" w:styleId="14">
    <w:name w:val="Date"/>
    <w:basedOn w:val="1"/>
    <w:next w:val="1"/>
    <w:link w:val="39"/>
    <w:qFormat/>
    <w:uiPriority w:val="99"/>
    <w:pPr>
      <w:ind w:left="100" w:leftChars="2500"/>
    </w:pPr>
  </w:style>
  <w:style w:type="paragraph" w:styleId="15">
    <w:name w:val="Balloon Text"/>
    <w:basedOn w:val="1"/>
    <w:link w:val="40"/>
    <w:semiHidden/>
    <w:qFormat/>
    <w:uiPriority w:val="99"/>
    <w:rPr>
      <w:sz w:val="18"/>
      <w:szCs w:val="18"/>
    </w:rPr>
  </w:style>
  <w:style w:type="paragraph" w:styleId="16">
    <w:name w:val="footer"/>
    <w:basedOn w:val="1"/>
    <w:link w:val="41"/>
    <w:qFormat/>
    <w:uiPriority w:val="99"/>
    <w:pPr>
      <w:tabs>
        <w:tab w:val="center" w:pos="4153"/>
        <w:tab w:val="right" w:pos="8306"/>
      </w:tabs>
      <w:snapToGrid w:val="0"/>
      <w:jc w:val="left"/>
    </w:pPr>
    <w:rPr>
      <w:kern w:val="0"/>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style>
  <w:style w:type="paragraph" w:styleId="19">
    <w:name w:val="toc 2"/>
    <w:basedOn w:val="1"/>
    <w:next w:val="1"/>
    <w:qFormat/>
    <w:uiPriority w:val="99"/>
    <w:pPr>
      <w:tabs>
        <w:tab w:val="right" w:leader="dot" w:pos="8296"/>
      </w:tabs>
      <w:ind w:left="420" w:leftChars="200"/>
    </w:p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hAnsi="inherit"/>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44"/>
    <w:semiHidden/>
    <w:qFormat/>
    <w:uiPriority w:val="99"/>
    <w:rPr>
      <w:b/>
      <w:bCs/>
    </w:rPr>
  </w:style>
  <w:style w:type="paragraph" w:styleId="23">
    <w:name w:val="Body Text First Indent 2"/>
    <w:basedOn w:val="11"/>
    <w:link w:val="45"/>
    <w:qFormat/>
    <w:locked/>
    <w:uiPriority w:val="99"/>
    <w:pPr>
      <w:spacing w:after="120"/>
      <w:ind w:left="420" w:leftChars="200" w:firstLine="420" w:firstLineChars="200"/>
    </w:pPr>
    <w:rPr>
      <w:rFonts w:ascii="Calibri" w:hAnsi="Calibri" w:eastAsia="宋体"/>
      <w:kern w:val="2"/>
      <w:sz w:val="21"/>
      <w:szCs w:val="24"/>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Emphasis"/>
    <w:basedOn w:val="26"/>
    <w:qFormat/>
    <w:uiPriority w:val="99"/>
    <w:rPr>
      <w:rFonts w:cs="Times New Roman"/>
      <w:color w:val="CC0000"/>
    </w:rPr>
  </w:style>
  <w:style w:type="character" w:styleId="29">
    <w:name w:val="Hyperlink"/>
    <w:basedOn w:val="26"/>
    <w:qFormat/>
    <w:uiPriority w:val="99"/>
    <w:rPr>
      <w:rFonts w:cs="Times New Roman"/>
      <w:color w:val="0000FF"/>
      <w:u w:val="single"/>
    </w:rPr>
  </w:style>
  <w:style w:type="character" w:styleId="30">
    <w:name w:val="annotation reference"/>
    <w:basedOn w:val="26"/>
    <w:qFormat/>
    <w:uiPriority w:val="99"/>
    <w:rPr>
      <w:rFonts w:cs="Times New Roman"/>
      <w:sz w:val="21"/>
    </w:rPr>
  </w:style>
  <w:style w:type="character" w:customStyle="1" w:styleId="31">
    <w:name w:val="标题 1 Char"/>
    <w:basedOn w:val="26"/>
    <w:link w:val="3"/>
    <w:qFormat/>
    <w:locked/>
    <w:uiPriority w:val="99"/>
    <w:rPr>
      <w:rFonts w:ascii="Times New Roman" w:hAnsi="Times New Roman" w:cs="Times New Roman"/>
      <w:b/>
      <w:bCs/>
      <w:kern w:val="44"/>
      <w:sz w:val="44"/>
      <w:szCs w:val="44"/>
    </w:rPr>
  </w:style>
  <w:style w:type="character" w:customStyle="1" w:styleId="32">
    <w:name w:val="标题 2 Char"/>
    <w:basedOn w:val="26"/>
    <w:link w:val="4"/>
    <w:qFormat/>
    <w:locked/>
    <w:uiPriority w:val="99"/>
    <w:rPr>
      <w:rFonts w:ascii="Cambria" w:hAnsi="Cambria" w:eastAsia="宋体" w:cs="Times New Roman"/>
      <w:b/>
      <w:kern w:val="2"/>
      <w:sz w:val="32"/>
    </w:rPr>
  </w:style>
  <w:style w:type="character" w:customStyle="1" w:styleId="33">
    <w:name w:val="标题 3 Char"/>
    <w:basedOn w:val="26"/>
    <w:link w:val="5"/>
    <w:semiHidden/>
    <w:qFormat/>
    <w:locked/>
    <w:uiPriority w:val="99"/>
    <w:rPr>
      <w:rFonts w:ascii="Times New Roman" w:hAnsi="Times New Roman" w:cs="Times New Roman"/>
      <w:b/>
      <w:kern w:val="2"/>
      <w:sz w:val="32"/>
    </w:rPr>
  </w:style>
  <w:style w:type="character" w:customStyle="1" w:styleId="34">
    <w:name w:val="文档结构图 Char"/>
    <w:basedOn w:val="26"/>
    <w:link w:val="8"/>
    <w:semiHidden/>
    <w:qFormat/>
    <w:locked/>
    <w:uiPriority w:val="99"/>
    <w:rPr>
      <w:rFonts w:ascii="宋体" w:hAnsi="Times New Roman" w:cs="Times New Roman"/>
      <w:kern w:val="2"/>
      <w:sz w:val="18"/>
    </w:rPr>
  </w:style>
  <w:style w:type="character" w:customStyle="1" w:styleId="35">
    <w:name w:val="批注文字 Char"/>
    <w:basedOn w:val="26"/>
    <w:link w:val="9"/>
    <w:qFormat/>
    <w:locked/>
    <w:uiPriority w:val="99"/>
    <w:rPr>
      <w:rFonts w:ascii="Times New Roman" w:hAnsi="Times New Roman" w:cs="Times New Roman"/>
      <w:kern w:val="2"/>
      <w:sz w:val="24"/>
    </w:rPr>
  </w:style>
  <w:style w:type="character" w:customStyle="1" w:styleId="36">
    <w:name w:val="正文文本 Char"/>
    <w:basedOn w:val="26"/>
    <w:link w:val="10"/>
    <w:qFormat/>
    <w:locked/>
    <w:uiPriority w:val="99"/>
    <w:rPr>
      <w:rFonts w:ascii="Times New Roman" w:hAnsi="Times New Roman" w:cs="Times New Roman"/>
      <w:kern w:val="2"/>
      <w:sz w:val="24"/>
    </w:rPr>
  </w:style>
  <w:style w:type="character" w:customStyle="1" w:styleId="37">
    <w:name w:val="正文文本缩进 Char"/>
    <w:basedOn w:val="26"/>
    <w:link w:val="11"/>
    <w:qFormat/>
    <w:locked/>
    <w:uiPriority w:val="99"/>
    <w:rPr>
      <w:rFonts w:ascii="仿宋_GB2312" w:hAnsi="Times New Roman" w:eastAsia="仿宋_GB2312" w:cs="Times New Roman"/>
      <w:sz w:val="20"/>
    </w:rPr>
  </w:style>
  <w:style w:type="character" w:customStyle="1" w:styleId="38">
    <w:name w:val="纯文本 Char"/>
    <w:basedOn w:val="26"/>
    <w:link w:val="13"/>
    <w:qFormat/>
    <w:locked/>
    <w:uiPriority w:val="99"/>
    <w:rPr>
      <w:rFonts w:ascii="宋体" w:hAnsi="Courier New" w:eastAsia="宋体" w:cs="Times New Roman"/>
      <w:sz w:val="21"/>
    </w:rPr>
  </w:style>
  <w:style w:type="character" w:customStyle="1" w:styleId="39">
    <w:name w:val="日期 Char"/>
    <w:basedOn w:val="26"/>
    <w:link w:val="14"/>
    <w:semiHidden/>
    <w:qFormat/>
    <w:locked/>
    <w:uiPriority w:val="99"/>
    <w:rPr>
      <w:rFonts w:ascii="Times New Roman" w:hAnsi="Times New Roman" w:cs="Times New Roman"/>
      <w:kern w:val="2"/>
      <w:sz w:val="24"/>
    </w:rPr>
  </w:style>
  <w:style w:type="character" w:customStyle="1" w:styleId="40">
    <w:name w:val="批注框文本 Char"/>
    <w:basedOn w:val="26"/>
    <w:link w:val="15"/>
    <w:semiHidden/>
    <w:qFormat/>
    <w:locked/>
    <w:uiPriority w:val="99"/>
    <w:rPr>
      <w:rFonts w:cs="Times New Roman"/>
      <w:sz w:val="2"/>
    </w:rPr>
  </w:style>
  <w:style w:type="character" w:customStyle="1" w:styleId="41">
    <w:name w:val="页脚 Char"/>
    <w:basedOn w:val="26"/>
    <w:link w:val="16"/>
    <w:qFormat/>
    <w:locked/>
    <w:uiPriority w:val="99"/>
    <w:rPr>
      <w:rFonts w:cs="Times New Roman"/>
      <w:sz w:val="18"/>
    </w:rPr>
  </w:style>
  <w:style w:type="character" w:customStyle="1" w:styleId="42">
    <w:name w:val="页眉 Char"/>
    <w:basedOn w:val="26"/>
    <w:link w:val="17"/>
    <w:qFormat/>
    <w:locked/>
    <w:uiPriority w:val="99"/>
    <w:rPr>
      <w:rFonts w:cs="Times New Roman"/>
      <w:sz w:val="18"/>
    </w:rPr>
  </w:style>
  <w:style w:type="character" w:customStyle="1" w:styleId="43">
    <w:name w:val="HTML 预设格式 Char"/>
    <w:basedOn w:val="26"/>
    <w:link w:val="20"/>
    <w:qFormat/>
    <w:locked/>
    <w:uiPriority w:val="99"/>
    <w:rPr>
      <w:rFonts w:ascii="inherit" w:hAnsi="inherit" w:cs="Times New Roman"/>
      <w:sz w:val="24"/>
    </w:rPr>
  </w:style>
  <w:style w:type="character" w:customStyle="1" w:styleId="44">
    <w:name w:val="批注主题 Char"/>
    <w:basedOn w:val="35"/>
    <w:link w:val="22"/>
    <w:semiHidden/>
    <w:qFormat/>
    <w:locked/>
    <w:uiPriority w:val="99"/>
    <w:rPr>
      <w:b/>
      <w:bCs/>
      <w:szCs w:val="24"/>
    </w:rPr>
  </w:style>
  <w:style w:type="character" w:customStyle="1" w:styleId="45">
    <w:name w:val="正文首行缩进 2 Char"/>
    <w:basedOn w:val="37"/>
    <w:link w:val="23"/>
    <w:qFormat/>
    <w:locked/>
    <w:uiPriority w:val="99"/>
    <w:rPr>
      <w:rFonts w:ascii="Calibri" w:hAnsi="Calibri" w:eastAsia="宋体"/>
      <w:kern w:val="2"/>
      <w:sz w:val="24"/>
      <w:szCs w:val="24"/>
    </w:rPr>
  </w:style>
  <w:style w:type="character" w:customStyle="1" w:styleId="46">
    <w:name w:val="textcontents"/>
    <w:basedOn w:val="26"/>
    <w:qFormat/>
    <w:uiPriority w:val="99"/>
    <w:rPr>
      <w:rFonts w:cs="Times New Roman"/>
    </w:rPr>
  </w:style>
  <w:style w:type="character" w:customStyle="1" w:styleId="47">
    <w:name w:val="apple-style-span"/>
    <w:basedOn w:val="26"/>
    <w:qFormat/>
    <w:uiPriority w:val="99"/>
    <w:rPr>
      <w:rFonts w:cs="Times New Roman"/>
    </w:rPr>
  </w:style>
  <w:style w:type="paragraph" w:customStyle="1" w:styleId="48">
    <w:name w:val="默认段落字体 Para Char Char Char Char Char Char Char Char Char1 Char Char Char Char"/>
    <w:basedOn w:val="1"/>
    <w:qFormat/>
    <w:uiPriority w:val="99"/>
    <w:rPr>
      <w:rFonts w:ascii="Tahoma" w:hAnsi="Tahoma"/>
      <w:sz w:val="24"/>
      <w:szCs w:val="20"/>
    </w:rPr>
  </w:style>
  <w:style w:type="character" w:customStyle="1" w:styleId="49">
    <w:name w:val="列出段落 Char"/>
    <w:link w:val="50"/>
    <w:qFormat/>
    <w:locked/>
    <w:uiPriority w:val="99"/>
    <w:rPr>
      <w:kern w:val="2"/>
      <w:sz w:val="22"/>
    </w:rPr>
  </w:style>
  <w:style w:type="paragraph" w:styleId="50">
    <w:name w:val="List Paragraph"/>
    <w:basedOn w:val="1"/>
    <w:link w:val="49"/>
    <w:qFormat/>
    <w:uiPriority w:val="99"/>
    <w:pPr>
      <w:ind w:firstLine="420" w:firstLineChars="200"/>
    </w:pPr>
    <w:rPr>
      <w:sz w:val="22"/>
      <w:szCs w:val="20"/>
    </w:rPr>
  </w:style>
  <w:style w:type="character" w:customStyle="1" w:styleId="51">
    <w:name w:val="apple-converted-space"/>
    <w:qFormat/>
    <w:uiPriority w:val="99"/>
  </w:style>
  <w:style w:type="character" w:customStyle="1" w:styleId="52">
    <w:name w:val="font51"/>
    <w:basedOn w:val="26"/>
    <w:qFormat/>
    <w:uiPriority w:val="99"/>
    <w:rPr>
      <w:rFonts w:ascii="宋体" w:hAnsi="宋体" w:eastAsia="宋体" w:cs="宋体"/>
      <w:color w:val="000000"/>
      <w:sz w:val="21"/>
      <w:szCs w:val="21"/>
      <w:u w:val="none"/>
    </w:rPr>
  </w:style>
  <w:style w:type="character" w:customStyle="1" w:styleId="53">
    <w:name w:val="font61"/>
    <w:qFormat/>
    <w:uiPriority w:val="99"/>
    <w:rPr>
      <w:rFonts w:ascii="Calibri" w:hAnsi="Calibri"/>
      <w:color w:val="000000"/>
      <w:sz w:val="21"/>
      <w:u w:val="none"/>
    </w:rPr>
  </w:style>
  <w:style w:type="paragraph" w:customStyle="1" w:styleId="54">
    <w:name w:val="列出段落1"/>
    <w:basedOn w:val="1"/>
    <w:qFormat/>
    <w:uiPriority w:val="99"/>
    <w:pPr>
      <w:ind w:firstLine="420" w:firstLineChars="200"/>
    </w:pPr>
  </w:style>
  <w:style w:type="character" w:customStyle="1" w:styleId="55">
    <w:name w:val="批注文字 Char1"/>
    <w:semiHidden/>
    <w:qFormat/>
    <w:locked/>
    <w:uiPriority w:val="99"/>
    <w:rPr>
      <w:rFonts w:ascii="Times New Roman" w:hAnsi="Times New Roman"/>
      <w:kern w:val="2"/>
      <w:sz w:val="24"/>
    </w:rPr>
  </w:style>
  <w:style w:type="paragraph" w:customStyle="1" w:styleId="56">
    <w:name w:val="8号正文"/>
    <w:basedOn w:val="1"/>
    <w:qFormat/>
    <w:uiPriority w:val="99"/>
    <w:rPr>
      <w:rFonts w:ascii="Arial" w:hAnsi="Arial" w:cs="Arial"/>
      <w:sz w:val="16"/>
    </w:rPr>
  </w:style>
  <w:style w:type="paragraph" w:customStyle="1" w:styleId="57">
    <w:name w:val="p1"/>
    <w:basedOn w:val="1"/>
    <w:qFormat/>
    <w:uiPriority w:val="99"/>
    <w:pPr>
      <w:widowControl/>
      <w:jc w:val="left"/>
    </w:pPr>
    <w:rPr>
      <w:rFonts w:ascii="PingFang SC" w:hAnsi="PingFang SC" w:eastAsia="PingFang SC"/>
      <w:color w:val="000000"/>
      <w:kern w:val="0"/>
      <w:sz w:val="17"/>
      <w:szCs w:val="17"/>
    </w:rPr>
  </w:style>
  <w:style w:type="character" w:customStyle="1" w:styleId="58">
    <w:name w:val="s1"/>
    <w:basedOn w:val="26"/>
    <w:qFormat/>
    <w:uiPriority w:val="99"/>
    <w:rPr>
      <w:rFonts w:cs="Times New Roman"/>
    </w:rPr>
  </w:style>
  <w:style w:type="paragraph" w:customStyle="1" w:styleId="59">
    <w:name w:val="1"/>
    <w:basedOn w:val="1"/>
    <w:next w:val="13"/>
    <w:qFormat/>
    <w:uiPriority w:val="99"/>
    <w:rPr>
      <w:rFonts w:ascii="宋体" w:hAnsi="Courier New"/>
      <w:szCs w:val="20"/>
    </w:rPr>
  </w:style>
  <w:style w:type="paragraph" w:customStyle="1" w:styleId="60">
    <w:name w:val="列出段落2"/>
    <w:basedOn w:val="1"/>
    <w:qFormat/>
    <w:uiPriority w:val="99"/>
    <w:pPr>
      <w:ind w:firstLine="420" w:firstLineChars="200"/>
    </w:pPr>
    <w:rPr>
      <w:rFonts w:ascii="Calibri" w:hAnsi="Calibri"/>
    </w:rPr>
  </w:style>
  <w:style w:type="paragraph" w:customStyle="1" w:styleId="61">
    <w:name w:val="_Style 2"/>
    <w:basedOn w:val="1"/>
    <w:qFormat/>
    <w:uiPriority w:val="99"/>
    <w:pPr>
      <w:ind w:firstLine="420" w:firstLineChars="200"/>
    </w:pPr>
    <w:rPr>
      <w:rFonts w:ascii="Calibri" w:hAnsi="Calibri"/>
      <w:szCs w:val="22"/>
    </w:rPr>
  </w:style>
  <w:style w:type="paragraph" w:customStyle="1" w:styleId="62">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63">
    <w:name w:val="bb"/>
    <w:basedOn w:val="1"/>
    <w:qFormat/>
    <w:uiPriority w:val="99"/>
    <w:pPr>
      <w:widowControl/>
      <w:spacing w:before="100" w:beforeAutospacing="1" w:after="100" w:afterAutospacing="1"/>
      <w:jc w:val="left"/>
    </w:pPr>
    <w:rPr>
      <w:rFonts w:ascii="宋体" w:hAnsi="宋体"/>
      <w:kern w:val="0"/>
      <w:sz w:val="24"/>
    </w:rPr>
  </w:style>
  <w:style w:type="character" w:customStyle="1" w:styleId="64">
    <w:name w:val="font01"/>
    <w:basedOn w:val="26"/>
    <w:qFormat/>
    <w:uiPriority w:val="99"/>
    <w:rPr>
      <w:rFonts w:ascii="宋体" w:hAnsi="宋体" w:eastAsia="宋体" w:cs="宋体"/>
      <w:color w:val="auto"/>
      <w:sz w:val="24"/>
      <w:szCs w:val="24"/>
      <w:u w:val="none"/>
    </w:rPr>
  </w:style>
  <w:style w:type="paragraph" w:customStyle="1" w:styleId="65">
    <w:name w:val="Table Paragraph"/>
    <w:basedOn w:val="1"/>
    <w:qFormat/>
    <w:uiPriority w:val="99"/>
    <w:pPr>
      <w:autoSpaceDE w:val="0"/>
      <w:autoSpaceDN w:val="0"/>
      <w:jc w:val="left"/>
    </w:pPr>
    <w:rPr>
      <w:rFonts w:ascii="MingLiUfalt" w:hAnsi="MingLiUfalt" w:eastAsia="MingLiUfalt" w:cs="MingLiUfalt"/>
      <w:kern w:val="0"/>
      <w:sz w:val="22"/>
      <w:szCs w:val="22"/>
      <w:lang w:val="zh-CN"/>
    </w:rPr>
  </w:style>
  <w:style w:type="paragraph" w:customStyle="1" w:styleId="66">
    <w:name w:val="正文编号内容"/>
    <w:basedOn w:val="1"/>
    <w:next w:val="15"/>
    <w:qFormat/>
    <w:uiPriority w:val="0"/>
    <w:pPr>
      <w:widowControl/>
      <w:suppressAutoHyphens/>
    </w:pPr>
    <w:rPr>
      <w:rFonts w:ascii="黑体" w:hAnsi="华文细黑" w:cs="黑体"/>
      <w:sz w:val="24"/>
    </w:rPr>
  </w:style>
  <w:style w:type="paragraph" w:customStyle="1" w:styleId="67">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24345</Words>
  <Characters>6264</Characters>
  <Lines>52</Lines>
  <Paragraphs>61</Paragraphs>
  <TotalTime>1</TotalTime>
  <ScaleCrop>false</ScaleCrop>
  <LinksUpToDate>false</LinksUpToDate>
  <CharactersWithSpaces>30548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2017-09-27T00:44:00Z</dcterms:created>
  <dc:creator>Administrator</dc:creator>
  <cp:lastModifiedBy>Administrator</cp:lastModifiedBy>
  <cp:lastPrinted>2017-10-11T10:38:00Z</cp:lastPrinted>
  <dcterms:modified xsi:type="dcterms:W3CDTF">2020-08-05T06:57:46Z</dcterms:modified>
  <dc:title>竞争性谈判文件规范</dc:title>
  <cp:revision>2274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