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both"/>
        <w:rPr>
          <w:rFonts w:ascii="华文新魏" w:eastAsia="华文新魏"/>
          <w:b/>
          <w:bCs/>
          <w:color w:val="auto"/>
          <w:spacing w:val="80"/>
          <w:sz w:val="64"/>
          <w:highlight w:val="none"/>
        </w:rPr>
      </w:pPr>
      <w:bookmarkStart w:id="50" w:name="_GoBack"/>
      <w:bookmarkEnd w:id="50"/>
    </w:p>
    <w:p>
      <w:pPr>
        <w:spacing w:line="720" w:lineRule="exact"/>
        <w:jc w:val="center"/>
        <w:rPr>
          <w:rFonts w:hint="eastAsia" w:ascii="文鼎中隶简" w:eastAsia="文鼎中隶简"/>
          <w:b/>
          <w:bCs/>
          <w:color w:val="auto"/>
          <w:sz w:val="72"/>
          <w:szCs w:val="72"/>
          <w:highlight w:val="none"/>
        </w:rPr>
      </w:pPr>
      <w:r>
        <w:rPr>
          <w:rFonts w:hint="eastAsia" w:ascii="宋体" w:hAnsi="宋体" w:eastAsia="文鼎中隶简" w:cs="宋体"/>
          <w:b/>
          <w:bCs/>
          <w:color w:val="auto"/>
          <w:sz w:val="72"/>
          <w:szCs w:val="72"/>
          <w:highlight w:val="none"/>
        </w:rPr>
        <w:t>大成工程咨询有限公司</w:t>
      </w:r>
    </w:p>
    <w:p>
      <w:pPr>
        <w:spacing w:line="1000" w:lineRule="exact"/>
        <w:jc w:val="center"/>
        <w:rPr>
          <w:rFonts w:hint="eastAsia"/>
          <w:color w:val="auto"/>
          <w:sz w:val="72"/>
          <w:highlight w:val="none"/>
        </w:rPr>
      </w:pPr>
    </w:p>
    <w:p>
      <w:pPr>
        <w:spacing w:line="1000" w:lineRule="exact"/>
        <w:jc w:val="center"/>
        <w:rPr>
          <w:rFonts w:hint="eastAsia" w:ascii="宋体" w:hAnsi="宋体"/>
          <w:b/>
          <w:color w:val="auto"/>
          <w:sz w:val="84"/>
          <w:szCs w:val="84"/>
          <w:highlight w:val="none"/>
        </w:rPr>
      </w:pPr>
      <w:r>
        <w:rPr>
          <w:rFonts w:hint="eastAsia"/>
          <w:color w:val="auto"/>
          <w:sz w:val="72"/>
          <w:highlight w:val="none"/>
        </w:rPr>
        <w:cr/>
      </w:r>
      <w:r>
        <w:rPr>
          <w:rFonts w:hint="eastAsia" w:ascii="黑体" w:hAnsi="黑体" w:eastAsia="黑体" w:cs="黑体"/>
          <w:b/>
          <w:bCs/>
          <w:color w:val="auto"/>
          <w:sz w:val="72"/>
          <w:highlight w:val="none"/>
        </w:rPr>
        <w:t>竞争性谈判文件</w:t>
      </w:r>
      <w:r>
        <w:rPr>
          <w:rFonts w:hint="eastAsia" w:ascii="楷体_GB2312" w:eastAsia="楷体_GB2312"/>
          <w:b/>
          <w:color w:val="auto"/>
          <w:sz w:val="84"/>
          <w:szCs w:val="84"/>
          <w:highlight w:val="none"/>
        </w:rPr>
        <w:cr/>
      </w:r>
      <w:r>
        <w:rPr>
          <w:rFonts w:hint="eastAsia" w:ascii="宋体" w:hAnsi="宋体"/>
          <w:b/>
          <w:color w:val="auto"/>
          <w:sz w:val="84"/>
          <w:szCs w:val="84"/>
          <w:highlight w:val="none"/>
        </w:rPr>
        <w:cr/>
      </w:r>
    </w:p>
    <w:p>
      <w:pPr>
        <w:pStyle w:val="29"/>
        <w:rPr>
          <w:rFonts w:hint="eastAsia" w:ascii="宋体" w:hAnsi="宋体"/>
          <w:b/>
          <w:color w:val="auto"/>
          <w:sz w:val="84"/>
          <w:szCs w:val="84"/>
          <w:highlight w:val="none"/>
        </w:rPr>
      </w:pPr>
    </w:p>
    <w:p>
      <w:pPr>
        <w:pStyle w:val="29"/>
        <w:rPr>
          <w:rFonts w:hint="eastAsia" w:ascii="宋体" w:hAnsi="宋体"/>
          <w:b/>
          <w:color w:val="auto"/>
          <w:sz w:val="84"/>
          <w:szCs w:val="84"/>
          <w:highlight w:val="none"/>
        </w:rPr>
      </w:pPr>
    </w:p>
    <w:p>
      <w:pPr>
        <w:spacing w:line="700" w:lineRule="exact"/>
        <w:ind w:firstLine="1605" w:firstLineChars="400"/>
        <w:rPr>
          <w:rFonts w:hint="eastAsia" w:ascii="宋体" w:hAnsi="宋体"/>
          <w:b/>
          <w:bCs/>
          <w:color w:val="auto"/>
          <w:spacing w:val="40"/>
          <w:sz w:val="32"/>
          <w:highlight w:val="none"/>
          <w:lang w:val="en-US" w:eastAsia="zh-CN"/>
        </w:rPr>
      </w:pPr>
      <w:r>
        <w:rPr>
          <w:rFonts w:hint="eastAsia" w:ascii="宋体" w:hAnsi="宋体"/>
          <w:b/>
          <w:bCs/>
          <w:color w:val="auto"/>
          <w:spacing w:val="40"/>
          <w:sz w:val="32"/>
          <w:highlight w:val="none"/>
        </w:rPr>
        <w:t>项目名称：</w:t>
      </w:r>
      <w:r>
        <w:rPr>
          <w:rFonts w:hint="eastAsia" w:ascii="宋体" w:hAnsi="宋体"/>
          <w:b/>
          <w:bCs/>
          <w:color w:val="auto"/>
          <w:spacing w:val="40"/>
          <w:sz w:val="32"/>
          <w:highlight w:val="none"/>
          <w:lang w:val="en-US" w:eastAsia="zh-CN"/>
        </w:rPr>
        <w:t>桂林市临桂区奥园南路提升泵站</w:t>
      </w:r>
    </w:p>
    <w:p>
      <w:pPr>
        <w:spacing w:line="700" w:lineRule="exact"/>
        <w:ind w:firstLine="3611" w:firstLineChars="900"/>
        <w:rPr>
          <w:rFonts w:hint="eastAsia" w:ascii="宋体" w:hAnsi="宋体"/>
          <w:b/>
          <w:bCs/>
          <w:color w:val="auto"/>
          <w:spacing w:val="40"/>
          <w:sz w:val="32"/>
          <w:highlight w:val="none"/>
        </w:rPr>
      </w:pPr>
      <w:r>
        <w:rPr>
          <w:rFonts w:hint="eastAsia" w:ascii="宋体" w:hAnsi="宋体"/>
          <w:b/>
          <w:bCs/>
          <w:color w:val="auto"/>
          <w:spacing w:val="40"/>
          <w:sz w:val="32"/>
          <w:highlight w:val="none"/>
          <w:lang w:val="en-US" w:eastAsia="zh-CN"/>
        </w:rPr>
        <w:t>格栅机和除臭机设备采购项目</w:t>
      </w:r>
      <w:r>
        <w:rPr>
          <w:rFonts w:hint="eastAsia" w:ascii="宋体" w:hAnsi="宋体"/>
          <w:b/>
          <w:bCs/>
          <w:color w:val="auto"/>
          <w:spacing w:val="40"/>
          <w:sz w:val="32"/>
          <w:highlight w:val="none"/>
        </w:rPr>
        <w:t xml:space="preserve">      </w:t>
      </w:r>
    </w:p>
    <w:p>
      <w:pPr>
        <w:spacing w:line="700" w:lineRule="exact"/>
        <w:rPr>
          <w:rFonts w:hint="eastAsia" w:eastAsia="宋体"/>
          <w:b/>
          <w:bCs/>
          <w:color w:val="auto"/>
          <w:sz w:val="44"/>
          <w:szCs w:val="44"/>
          <w:highlight w:val="none"/>
          <w:lang w:eastAsia="zh-CN"/>
        </w:rPr>
      </w:pPr>
      <w:r>
        <w:rPr>
          <w:rFonts w:hint="eastAsia" w:ascii="宋体" w:hAnsi="宋体"/>
          <w:b/>
          <w:bCs/>
          <w:color w:val="auto"/>
          <w:spacing w:val="40"/>
          <w:sz w:val="32"/>
          <w:highlight w:val="none"/>
        </w:rPr>
        <w:t xml:space="preserve">  </w:t>
      </w:r>
      <w:r>
        <w:rPr>
          <w:rFonts w:hint="eastAsia" w:ascii="宋体" w:hAnsi="宋体"/>
          <w:b/>
          <w:bCs/>
          <w:color w:val="auto"/>
          <w:spacing w:val="40"/>
          <w:sz w:val="32"/>
          <w:highlight w:val="none"/>
          <w:lang w:val="en-US" w:eastAsia="zh-CN"/>
        </w:rPr>
        <w:t xml:space="preserve">     </w:t>
      </w:r>
      <w:r>
        <w:rPr>
          <w:rFonts w:hint="eastAsia" w:ascii="宋体" w:hAnsi="宋体"/>
          <w:b/>
          <w:bCs/>
          <w:color w:val="auto"/>
          <w:spacing w:val="40"/>
          <w:sz w:val="32"/>
          <w:highlight w:val="none"/>
        </w:rPr>
        <w:t>项目编号：</w:t>
      </w:r>
      <w:r>
        <w:rPr>
          <w:rFonts w:hint="eastAsia" w:ascii="宋体" w:hAnsi="宋体"/>
          <w:b/>
          <w:bCs/>
          <w:color w:val="auto"/>
          <w:sz w:val="32"/>
          <w:szCs w:val="32"/>
          <w:highlight w:val="none"/>
          <w:lang w:eastAsia="zh-CN"/>
        </w:rPr>
        <w:t>GLZC2020-J1-120061-DCZX</w:t>
      </w:r>
    </w:p>
    <w:p>
      <w:pPr>
        <w:spacing w:line="700" w:lineRule="exact"/>
        <w:rPr>
          <w:color w:val="auto"/>
          <w:sz w:val="44"/>
          <w:szCs w:val="44"/>
          <w:highlight w:val="none"/>
        </w:rPr>
      </w:pPr>
    </w:p>
    <w:p>
      <w:pPr>
        <w:rPr>
          <w:color w:val="auto"/>
          <w:sz w:val="44"/>
          <w:szCs w:val="44"/>
          <w:highlight w:val="none"/>
        </w:rPr>
      </w:pPr>
    </w:p>
    <w:p>
      <w:pPr>
        <w:rPr>
          <w:color w:val="auto"/>
          <w:sz w:val="44"/>
          <w:szCs w:val="44"/>
          <w:highlight w:val="none"/>
        </w:rPr>
      </w:pPr>
    </w:p>
    <w:p>
      <w:pPr>
        <w:rPr>
          <w:rFonts w:hint="eastAsia"/>
          <w:b/>
          <w:bCs/>
          <w:color w:val="auto"/>
          <w:sz w:val="32"/>
          <w:szCs w:val="32"/>
          <w:highlight w:val="none"/>
        </w:rPr>
      </w:pPr>
      <w:r>
        <w:rPr>
          <w:rFonts w:hint="eastAsia"/>
          <w:color w:val="auto"/>
          <w:sz w:val="44"/>
          <w:szCs w:val="44"/>
          <w:highlight w:val="none"/>
        </w:rPr>
        <w:t xml:space="preserve">       </w:t>
      </w:r>
    </w:p>
    <w:p>
      <w:pPr>
        <w:ind w:firstLine="1928" w:firstLineChars="600"/>
        <w:jc w:val="both"/>
        <w:rPr>
          <w:rFonts w:hint="eastAsia"/>
          <w:b/>
          <w:bCs/>
          <w:color w:val="auto"/>
          <w:sz w:val="32"/>
          <w:szCs w:val="32"/>
          <w:highlight w:val="none"/>
        </w:rPr>
      </w:pPr>
      <w:r>
        <w:rPr>
          <w:rFonts w:hint="eastAsia"/>
          <w:b/>
          <w:bCs/>
          <w:color w:val="auto"/>
          <w:sz w:val="32"/>
          <w:szCs w:val="32"/>
          <w:highlight w:val="none"/>
        </w:rPr>
        <w:t>采购代理机构：大成工程咨询有限公司</w:t>
      </w:r>
    </w:p>
    <w:p>
      <w:pPr>
        <w:jc w:val="center"/>
        <w:rPr>
          <w:b/>
          <w:bCs/>
          <w:color w:val="auto"/>
          <w:sz w:val="32"/>
          <w:szCs w:val="32"/>
          <w:highlight w:val="none"/>
        </w:rPr>
      </w:pPr>
      <w:r>
        <w:rPr>
          <w:rFonts w:hint="eastAsia"/>
          <w:b/>
          <w:bCs/>
          <w:color w:val="auto"/>
          <w:sz w:val="32"/>
          <w:szCs w:val="32"/>
          <w:highlight w:val="none"/>
        </w:rPr>
        <w:t xml:space="preserve">  </w:t>
      </w:r>
    </w:p>
    <w:p>
      <w:pPr>
        <w:jc w:val="center"/>
        <w:rPr>
          <w:rFonts w:hint="eastAsia" w:eastAsia="宋体"/>
          <w:b/>
          <w:bCs/>
          <w:color w:val="auto"/>
          <w:sz w:val="32"/>
          <w:szCs w:val="32"/>
          <w:highlight w:val="none"/>
          <w:lang w:val="en-US" w:eastAsia="zh-CN"/>
        </w:rPr>
      </w:pPr>
      <w:r>
        <w:rPr>
          <w:rFonts w:hint="eastAsia"/>
          <w:b/>
          <w:bCs/>
          <w:color w:val="auto"/>
          <w:sz w:val="32"/>
          <w:szCs w:val="32"/>
          <w:highlight w:val="none"/>
          <w:lang w:eastAsia="zh-CN"/>
        </w:rPr>
        <w:t>2020年</w:t>
      </w:r>
      <w:r>
        <w:rPr>
          <w:rFonts w:hint="eastAsia"/>
          <w:b/>
          <w:bCs/>
          <w:color w:val="auto"/>
          <w:sz w:val="32"/>
          <w:szCs w:val="32"/>
          <w:highlight w:val="none"/>
          <w:lang w:val="en-US" w:eastAsia="zh-CN"/>
        </w:rPr>
        <w:t>11</w:t>
      </w:r>
      <w:r>
        <w:rPr>
          <w:rFonts w:hint="eastAsia"/>
          <w:b/>
          <w:bCs/>
          <w:color w:val="auto"/>
          <w:sz w:val="32"/>
          <w:szCs w:val="32"/>
          <w:highlight w:val="none"/>
          <w:lang w:eastAsia="zh-CN"/>
        </w:rPr>
        <w:t>月</w:t>
      </w:r>
      <w:r>
        <w:rPr>
          <w:rFonts w:hint="eastAsia"/>
          <w:b/>
          <w:bCs/>
          <w:color w:val="auto"/>
          <w:sz w:val="32"/>
          <w:szCs w:val="32"/>
          <w:highlight w:val="none"/>
          <w:lang w:val="en-US" w:eastAsia="zh-CN"/>
        </w:rPr>
        <w:t>10</w:t>
      </w:r>
      <w:r>
        <w:rPr>
          <w:rFonts w:hint="eastAsia"/>
          <w:b/>
          <w:bCs/>
          <w:color w:val="auto"/>
          <w:sz w:val="32"/>
          <w:szCs w:val="32"/>
          <w:highlight w:val="none"/>
          <w:lang w:eastAsia="zh-CN"/>
        </w:rPr>
        <w:t>日</w:t>
      </w:r>
    </w:p>
    <w:p>
      <w:pPr>
        <w:jc w:val="both"/>
        <w:rPr>
          <w:rFonts w:hint="eastAsia"/>
          <w:b/>
          <w:bCs/>
          <w:color w:val="auto"/>
          <w:sz w:val="48"/>
          <w:szCs w:val="48"/>
          <w:highlight w:val="none"/>
        </w:rPr>
        <w:sectPr>
          <w:footerReference r:id="rId7" w:type="first"/>
          <w:headerReference r:id="rId3" w:type="default"/>
          <w:footerReference r:id="rId5" w:type="default"/>
          <w:headerReference r:id="rId4" w:type="even"/>
          <w:footerReference r:id="rId6" w:type="even"/>
          <w:pgSz w:w="11906" w:h="16838"/>
          <w:pgMar w:top="1134" w:right="992" w:bottom="1134" w:left="1134" w:header="720" w:footer="720" w:gutter="0"/>
          <w:pgNumType w:start="1"/>
          <w:cols w:space="720" w:num="1"/>
          <w:titlePg/>
          <w:docGrid w:linePitch="331" w:charSpace="0"/>
        </w:sectPr>
      </w:pPr>
    </w:p>
    <w:p>
      <w:pPr>
        <w:jc w:val="center"/>
        <w:rPr>
          <w:b/>
          <w:bCs/>
          <w:color w:val="auto"/>
          <w:sz w:val="48"/>
          <w:szCs w:val="48"/>
          <w:highlight w:val="none"/>
        </w:rPr>
      </w:pPr>
      <w:r>
        <w:rPr>
          <w:rFonts w:hint="eastAsia"/>
          <w:b/>
          <w:bCs/>
          <w:color w:val="auto"/>
          <w:sz w:val="48"/>
          <w:szCs w:val="48"/>
          <w:highlight w:val="none"/>
        </w:rPr>
        <w:t>目   录</w:t>
      </w:r>
    </w:p>
    <w:p>
      <w:pPr>
        <w:rPr>
          <w:color w:val="auto"/>
          <w:sz w:val="36"/>
          <w:szCs w:val="36"/>
          <w:highlight w:val="none"/>
        </w:rPr>
      </w:pPr>
    </w:p>
    <w:p>
      <w:pPr>
        <w:pStyle w:val="13"/>
        <w:tabs>
          <w:tab w:val="right" w:leader="dot" w:pos="9780"/>
        </w:tabs>
        <w:spacing w:before="0" w:after="0" w:line="800" w:lineRule="exact"/>
        <w:rPr>
          <w:rFonts w:hint="eastAsia" w:ascii="宋体" w:hAnsi="宋体" w:cs="宋体"/>
          <w:color w:val="auto"/>
          <w:sz w:val="28"/>
          <w:szCs w:val="28"/>
          <w:highlight w:val="none"/>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TOC \o "1-3" \h \z \u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HYPERLINK \l _Toc22514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第一章  竞争性谈判公告</w:t>
      </w:r>
      <w:r>
        <w:rPr>
          <w:rFonts w:hint="eastAsia" w:ascii="宋体" w:hAnsi="宋体" w:cs="宋体"/>
          <w:color w:val="auto"/>
          <w:sz w:val="28"/>
          <w:szCs w:val="28"/>
          <w:highlight w:val="none"/>
        </w:rPr>
        <w:tab/>
      </w:r>
      <w:r>
        <w:rPr>
          <w:rFonts w:hint="eastAsia" w:ascii="宋体" w:hAnsi="宋体" w:cs="宋体"/>
          <w:color w:val="auto"/>
          <w:sz w:val="28"/>
          <w:szCs w:val="28"/>
          <w:highlight w:val="none"/>
        </w:rPr>
        <w:t>1</w:t>
      </w:r>
      <w:r>
        <w:rPr>
          <w:rFonts w:hint="eastAsia" w:ascii="宋体" w:hAnsi="宋体" w:cs="宋体"/>
          <w:color w:val="auto"/>
          <w:sz w:val="28"/>
          <w:szCs w:val="28"/>
          <w:highlight w:val="none"/>
        </w:rPr>
        <w:fldChar w:fldCharType="end"/>
      </w:r>
    </w:p>
    <w:p>
      <w:pPr>
        <w:pStyle w:val="13"/>
        <w:tabs>
          <w:tab w:val="right" w:leader="dot" w:pos="9780"/>
        </w:tabs>
        <w:spacing w:before="0" w:after="0" w:line="800" w:lineRule="exact"/>
        <w:rPr>
          <w:rFonts w:hint="eastAsia" w:ascii="宋体" w:hAnsi="宋体" w:cs="宋体"/>
          <w:color w:val="auto"/>
          <w:sz w:val="28"/>
          <w:szCs w:val="28"/>
          <w:highlight w:val="none"/>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HYPERLINK \l _Toc26788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第二章  供应商须知</w:t>
      </w:r>
      <w:r>
        <w:rPr>
          <w:rFonts w:hint="eastAsia" w:ascii="宋体" w:hAnsi="宋体" w:cs="宋体"/>
          <w:color w:val="auto"/>
          <w:sz w:val="28"/>
          <w:szCs w:val="28"/>
          <w:highlight w:val="none"/>
        </w:rPr>
        <w:tab/>
      </w:r>
      <w:r>
        <w:rPr>
          <w:rFonts w:hint="eastAsia" w:ascii="宋体" w:hAnsi="宋体" w:cs="宋体"/>
          <w:color w:val="auto"/>
          <w:sz w:val="28"/>
          <w:szCs w:val="28"/>
          <w:highlight w:val="none"/>
        </w:rPr>
        <w:t>3</w:t>
      </w:r>
      <w:r>
        <w:rPr>
          <w:rFonts w:hint="eastAsia" w:ascii="宋体" w:hAnsi="宋体" w:cs="宋体"/>
          <w:color w:val="auto"/>
          <w:sz w:val="28"/>
          <w:szCs w:val="28"/>
          <w:highlight w:val="none"/>
        </w:rPr>
        <w:fldChar w:fldCharType="end"/>
      </w:r>
    </w:p>
    <w:p>
      <w:pPr>
        <w:pStyle w:val="13"/>
        <w:tabs>
          <w:tab w:val="right" w:leader="dot" w:pos="9780"/>
        </w:tabs>
        <w:spacing w:before="0" w:after="0" w:line="800" w:lineRule="exact"/>
        <w:rPr>
          <w:rFonts w:hint="eastAsia" w:ascii="宋体" w:hAnsi="宋体" w:eastAsia="宋体" w:cs="宋体"/>
          <w:color w:val="auto"/>
          <w:sz w:val="28"/>
          <w:szCs w:val="28"/>
          <w:highlight w:val="none"/>
          <w:lang w:val="en-US" w:eastAsia="zh-CN"/>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HYPERLINK \l _Toc27537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第三章  货物采购需求</w:t>
      </w:r>
      <w:r>
        <w:rPr>
          <w:rFonts w:hint="eastAsia" w:ascii="宋体" w:hAnsi="宋体" w:cs="宋体"/>
          <w:color w:val="auto"/>
          <w:sz w:val="28"/>
          <w:szCs w:val="28"/>
          <w:highlight w:val="none"/>
        </w:rPr>
        <w:tab/>
      </w:r>
      <w:r>
        <w:rPr>
          <w:rFonts w:hint="eastAsia" w:ascii="宋体" w:hAnsi="宋体" w:cs="宋体"/>
          <w:color w:val="auto"/>
          <w:sz w:val="28"/>
          <w:szCs w:val="28"/>
          <w:highlight w:val="none"/>
        </w:rPr>
        <w:t>1</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lang w:val="en-US" w:eastAsia="zh-CN"/>
        </w:rPr>
        <w:t>7</w:t>
      </w:r>
    </w:p>
    <w:p>
      <w:pPr>
        <w:rPr>
          <w:rFonts w:hint="eastAsia" w:ascii="宋体" w:hAnsi="宋体" w:cs="宋体"/>
          <w:b/>
          <w:bCs/>
          <w:caps/>
          <w:color w:val="auto"/>
          <w:sz w:val="28"/>
          <w:szCs w:val="28"/>
          <w:highlight w:val="none"/>
        </w:rPr>
      </w:pPr>
    </w:p>
    <w:p>
      <w:pPr>
        <w:rPr>
          <w:rFonts w:hint="default" w:asciiTheme="minorEastAsia" w:hAnsiTheme="minorEastAsia" w:eastAsiaTheme="minorEastAsia" w:cstheme="minorEastAsia"/>
          <w:caps/>
          <w:color w:val="auto"/>
          <w:sz w:val="28"/>
          <w:szCs w:val="28"/>
          <w:highlight w:val="none"/>
          <w:lang w:val="en-US" w:eastAsia="zh-CN"/>
        </w:rPr>
      </w:pPr>
      <w:r>
        <w:rPr>
          <w:rFonts w:hint="eastAsia" w:ascii="宋体" w:hAnsi="宋体" w:cs="宋体"/>
          <w:b/>
          <w:bCs/>
          <w:caps/>
          <w:color w:val="auto"/>
          <w:sz w:val="28"/>
          <w:szCs w:val="28"/>
          <w:highlight w:val="none"/>
        </w:rPr>
        <w:t>第四章  评审方法</w:t>
      </w:r>
      <w:r>
        <w:rPr>
          <w:rFonts w:ascii="Arial" w:hAnsi="Arial"/>
          <w:b/>
          <w:bCs/>
          <w:caps/>
          <w:color w:val="auto"/>
          <w:sz w:val="28"/>
          <w:szCs w:val="28"/>
          <w:highlight w:val="none"/>
        </w:rPr>
        <w:t>………………………………………………………………</w:t>
      </w:r>
      <w:r>
        <w:rPr>
          <w:rFonts w:hint="eastAsia" w:ascii="Arial" w:hAnsi="Arial"/>
          <w:b/>
          <w:bCs/>
          <w:caps/>
          <w:color w:val="auto"/>
          <w:sz w:val="28"/>
          <w:szCs w:val="28"/>
          <w:highlight w:val="none"/>
          <w:lang w:val="en-US" w:eastAsia="zh-CN"/>
        </w:rPr>
        <w:t>..</w:t>
      </w:r>
      <w:r>
        <w:rPr>
          <w:rFonts w:ascii="Arial" w:hAnsi="Arial"/>
          <w:b/>
          <w:bCs/>
          <w:caps/>
          <w:color w:val="auto"/>
          <w:sz w:val="28"/>
          <w:szCs w:val="28"/>
          <w:highlight w:val="none"/>
        </w:rPr>
        <w:t>…</w:t>
      </w:r>
      <w:r>
        <w:rPr>
          <w:rFonts w:hint="eastAsia" w:asciiTheme="minorEastAsia" w:hAnsiTheme="minorEastAsia" w:eastAsiaTheme="minorEastAsia" w:cstheme="minorEastAsia"/>
          <w:b/>
          <w:bCs/>
          <w:caps/>
          <w:color w:val="auto"/>
          <w:sz w:val="28"/>
          <w:szCs w:val="28"/>
          <w:highlight w:val="none"/>
          <w:lang w:val="en-US" w:eastAsia="zh-CN"/>
        </w:rPr>
        <w:t>22</w:t>
      </w:r>
    </w:p>
    <w:p>
      <w:pPr>
        <w:pStyle w:val="13"/>
        <w:tabs>
          <w:tab w:val="right" w:leader="dot" w:pos="9780"/>
        </w:tabs>
        <w:spacing w:before="0" w:after="0" w:line="800" w:lineRule="exact"/>
        <w:rPr>
          <w:rFonts w:hint="default" w:ascii="宋体" w:hAnsi="宋体" w:eastAsia="宋体" w:cs="宋体"/>
          <w:color w:val="auto"/>
          <w:sz w:val="28"/>
          <w:szCs w:val="28"/>
          <w:highlight w:val="none"/>
          <w:lang w:val="en-US" w:eastAsia="zh-CN"/>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HYPERLINK \l _Toc20079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第五章</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lang w:val="en-US" w:eastAsia="zh-CN"/>
        </w:rPr>
        <w:t xml:space="preserve">  </w:t>
      </w:r>
      <w:r>
        <w:rPr>
          <w:rFonts w:hint="eastAsia"/>
          <w:color w:val="auto"/>
          <w:sz w:val="28"/>
          <w:szCs w:val="28"/>
          <w:highlight w:val="none"/>
        </w:rPr>
        <w:t>采购合同（合同主要条款及格式）</w:t>
      </w:r>
      <w:r>
        <w:rPr>
          <w:color w:val="auto"/>
          <w:sz w:val="28"/>
          <w:szCs w:val="28"/>
          <w:highlight w:val="none"/>
        </w:rPr>
        <w:t>……………………………………………………</w:t>
      </w:r>
      <w:r>
        <w:rPr>
          <w:rFonts w:hint="eastAsia"/>
          <w:color w:val="auto"/>
          <w:sz w:val="28"/>
          <w:szCs w:val="28"/>
          <w:highlight w:val="none"/>
        </w:rPr>
        <w:t>.</w:t>
      </w:r>
      <w:r>
        <w:rPr>
          <w:rFonts w:hint="eastAsia" w:asciiTheme="minorEastAsia" w:hAnsiTheme="minorEastAsia" w:eastAsiaTheme="minorEastAsia" w:cstheme="minorEastAsia"/>
          <w:color w:val="auto"/>
          <w:sz w:val="28"/>
          <w:szCs w:val="28"/>
          <w:highlight w:val="none"/>
          <w:lang w:val="en-US" w:eastAsia="zh-CN"/>
        </w:rPr>
        <w:t>23</w:t>
      </w:r>
    </w:p>
    <w:p>
      <w:pPr>
        <w:pStyle w:val="13"/>
        <w:tabs>
          <w:tab w:val="right" w:leader="dot" w:pos="9780"/>
        </w:tabs>
        <w:spacing w:before="0" w:after="0" w:line="800" w:lineRule="exact"/>
        <w:rPr>
          <w:rFonts w:hint="eastAsia" w:eastAsia="宋体"/>
          <w:color w:val="auto"/>
          <w:sz w:val="36"/>
          <w:szCs w:val="36"/>
          <w:highlight w:val="none"/>
          <w:lang w:val="en-US" w:eastAsia="zh-CN"/>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HYPERLINK \l _Toc721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第六章  响应文件</w:t>
      </w:r>
      <w:r>
        <w:rPr>
          <w:rFonts w:hint="eastAsia" w:ascii="宋体" w:hAnsi="宋体" w:cs="宋体"/>
          <w:color w:val="auto"/>
          <w:sz w:val="28"/>
          <w:szCs w:val="28"/>
          <w:highlight w:val="none"/>
          <w:lang w:val="en-US" w:eastAsia="zh-CN"/>
        </w:rPr>
        <w:t>(</w:t>
      </w:r>
      <w:r>
        <w:rPr>
          <w:rFonts w:hint="eastAsia" w:ascii="宋体" w:hAnsi="宋体" w:cs="宋体"/>
          <w:color w:val="auto"/>
          <w:sz w:val="28"/>
          <w:szCs w:val="28"/>
          <w:highlight w:val="none"/>
        </w:rPr>
        <w:t>格式</w:t>
      </w:r>
      <w:r>
        <w:rPr>
          <w:rFonts w:hint="eastAsia" w:ascii="宋体" w:hAnsi="宋体" w:cs="宋体"/>
          <w:color w:val="auto"/>
          <w:sz w:val="28"/>
          <w:szCs w:val="28"/>
          <w:highlight w:val="none"/>
          <w:lang w:val="en-US" w:eastAsia="zh-CN"/>
        </w:rPr>
        <w:t>)</w:t>
      </w:r>
      <w:r>
        <w:rPr>
          <w:rFonts w:hint="eastAsia" w:ascii="宋体" w:hAnsi="宋体" w:cs="宋体"/>
          <w:color w:val="auto"/>
          <w:sz w:val="28"/>
          <w:szCs w:val="28"/>
          <w:highlight w:val="none"/>
        </w:rPr>
        <w:tab/>
      </w:r>
      <w:r>
        <w:rPr>
          <w:rFonts w:hint="eastAsia" w:ascii="宋体" w:hAnsi="宋体" w:cs="宋体"/>
          <w:color w:val="auto"/>
          <w:sz w:val="28"/>
          <w:szCs w:val="28"/>
          <w:highlight w:val="none"/>
          <w:lang w:val="en-US" w:eastAsia="zh-CN"/>
        </w:rPr>
        <w:t>2</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lang w:val="en-US" w:eastAsia="zh-CN"/>
        </w:rPr>
        <w:t>7</w:t>
      </w:r>
    </w:p>
    <w:p>
      <w:pPr>
        <w:spacing w:line="700" w:lineRule="exact"/>
        <w:rPr>
          <w:color w:val="auto"/>
          <w:sz w:val="36"/>
          <w:szCs w:val="36"/>
          <w:highlight w:val="none"/>
        </w:rPr>
      </w:pPr>
    </w:p>
    <w:p>
      <w:pPr>
        <w:pStyle w:val="3"/>
        <w:spacing w:line="0" w:lineRule="atLeast"/>
        <w:jc w:val="center"/>
        <w:rPr>
          <w:rFonts w:hint="eastAsia" w:ascii="宋体" w:hAnsi="宋体"/>
          <w:bCs w:val="0"/>
          <w:color w:val="auto"/>
          <w:kern w:val="2"/>
          <w:highlight w:val="none"/>
        </w:rPr>
        <w:sectPr>
          <w:footerReference r:id="rId9" w:type="first"/>
          <w:footerReference r:id="rId8" w:type="default"/>
          <w:pgSz w:w="11906" w:h="16838"/>
          <w:pgMar w:top="1134" w:right="992" w:bottom="1134" w:left="1134" w:header="720" w:footer="720" w:gutter="0"/>
          <w:cols w:space="720" w:num="1"/>
          <w:titlePg/>
          <w:docGrid w:linePitch="312" w:charSpace="0"/>
        </w:sectPr>
      </w:pPr>
      <w:bookmarkStart w:id="0" w:name="_Toc432264365"/>
      <w:bookmarkStart w:id="1" w:name="_Toc22514"/>
      <w:bookmarkStart w:id="2" w:name="_Toc432277437"/>
    </w:p>
    <w:bookmarkEnd w:id="0"/>
    <w:bookmarkEnd w:id="1"/>
    <w:bookmarkEnd w:id="2"/>
    <w:p>
      <w:pPr>
        <w:pStyle w:val="4"/>
        <w:keepNext/>
        <w:keepLines/>
        <w:pageBreakBefore w:val="0"/>
        <w:widowControl w:val="0"/>
        <w:kinsoku/>
        <w:wordWrap/>
        <w:overflowPunct/>
        <w:topLinePunct w:val="0"/>
        <w:autoSpaceDE/>
        <w:autoSpaceDN/>
        <w:bidi w:val="0"/>
        <w:adjustRightInd/>
        <w:snapToGrid/>
        <w:spacing w:before="0" w:after="0" w:line="700" w:lineRule="exact"/>
        <w:jc w:val="center"/>
        <w:textAlignment w:val="auto"/>
        <w:rPr>
          <w:rFonts w:hint="default" w:ascii="Times New Roman" w:hAnsi="Times New Roman" w:eastAsia="宋体" w:cs="Times New Roman"/>
          <w:b/>
          <w:bCs/>
          <w:color w:val="auto"/>
          <w:kern w:val="44"/>
          <w:sz w:val="44"/>
          <w:szCs w:val="44"/>
          <w:highlight w:val="none"/>
          <w:lang w:val="en-US" w:eastAsia="zh-CN" w:bidi="ar-SA"/>
        </w:rPr>
      </w:pPr>
      <w:bookmarkStart w:id="3" w:name="_Toc28359002"/>
      <w:bookmarkStart w:id="4" w:name="_Toc35393621"/>
      <w:bookmarkStart w:id="5" w:name="_Toc35393790"/>
      <w:bookmarkStart w:id="6" w:name="_Toc28359079"/>
      <w:bookmarkStart w:id="7" w:name="_Hlk24379207"/>
      <w:bookmarkStart w:id="8" w:name="_Toc26788"/>
      <w:bookmarkStart w:id="9" w:name="_Toc432277438"/>
      <w:bookmarkStart w:id="10" w:name="_Toc432264366"/>
      <w:r>
        <w:rPr>
          <w:rFonts w:hint="eastAsia" w:ascii="Times New Roman" w:hAnsi="Times New Roman" w:eastAsia="宋体" w:cs="Times New Roman"/>
          <w:b/>
          <w:bCs/>
          <w:color w:val="auto"/>
          <w:kern w:val="44"/>
          <w:sz w:val="44"/>
          <w:szCs w:val="44"/>
          <w:highlight w:val="none"/>
          <w:lang w:val="en-US" w:eastAsia="zh-CN" w:bidi="ar-SA"/>
        </w:rPr>
        <w:t>第一章     竞争性谈判公告</w:t>
      </w:r>
    </w:p>
    <w:p>
      <w:pPr>
        <w:pStyle w:val="4"/>
        <w:spacing w:before="0" w:after="0" w:line="400" w:lineRule="exact"/>
        <w:rPr>
          <w:rFonts w:hint="eastAsia" w:ascii="宋体" w:hAnsi="宋体" w:eastAsia="新宋体" w:cs="宋体"/>
          <w:bCs w:val="0"/>
          <w:color w:val="auto"/>
          <w:sz w:val="21"/>
          <w:szCs w:val="21"/>
          <w:highlight w:val="none"/>
        </w:rPr>
      </w:pPr>
    </w:p>
    <w:p>
      <w:pPr>
        <w:pBdr>
          <w:top w:val="single" w:color="auto" w:sz="4" w:space="1"/>
          <w:left w:val="single" w:color="auto" w:sz="4" w:space="4"/>
          <w:bottom w:val="single" w:color="auto" w:sz="4" w:space="1"/>
          <w:right w:val="single" w:color="auto" w:sz="4" w:space="4"/>
        </w:pBdr>
        <w:spacing w:line="440" w:lineRule="exact"/>
        <w:rPr>
          <w:rFonts w:hint="eastAsia" w:ascii="宋体" w:hAnsi="宋体" w:cs="宋体"/>
          <w:color w:val="auto"/>
          <w:szCs w:val="21"/>
          <w:highlight w:val="none"/>
        </w:rPr>
      </w:pPr>
      <w:r>
        <w:rPr>
          <w:rFonts w:hint="eastAsia" w:ascii="宋体" w:hAnsi="宋体" w:cs="宋体"/>
          <w:color w:val="auto"/>
          <w:szCs w:val="21"/>
          <w:highlight w:val="none"/>
          <w:lang w:eastAsia="zh-CN"/>
        </w:rPr>
        <w:t>项目概况</w:t>
      </w:r>
      <w:r>
        <w:rPr>
          <w:rFonts w:hint="eastAsia" w:ascii="宋体" w:hAnsi="宋体" w:cs="宋体"/>
          <w:color w:val="auto"/>
          <w:szCs w:val="21"/>
          <w:highlight w:val="none"/>
        </w:rPr>
        <w:t>：</w:t>
      </w:r>
    </w:p>
    <w:p>
      <w:pPr>
        <w:pBdr>
          <w:top w:val="single" w:color="auto" w:sz="4" w:space="1"/>
          <w:left w:val="single" w:color="auto" w:sz="4" w:space="4"/>
          <w:bottom w:val="single" w:color="auto" w:sz="4" w:space="1"/>
          <w:right w:val="single" w:color="auto" w:sz="4" w:space="4"/>
        </w:pBdr>
        <w:kinsoku w:val="0"/>
        <w:overflowPunct w:val="0"/>
        <w:autoSpaceDE w:val="0"/>
        <w:autoSpaceDN w:val="0"/>
        <w:spacing w:line="400" w:lineRule="exact"/>
        <w:ind w:firstLine="420" w:firstLineChars="200"/>
        <w:jc w:val="left"/>
        <w:rPr>
          <w:rFonts w:hint="eastAsia" w:ascii="宋体" w:hAnsi="宋体" w:eastAsia="新宋体" w:cs="宋体"/>
          <w:bCs w:val="0"/>
          <w:color w:val="auto"/>
          <w:sz w:val="21"/>
          <w:szCs w:val="21"/>
          <w:highlight w:val="none"/>
        </w:rPr>
      </w:pPr>
      <w:r>
        <w:rPr>
          <w:rFonts w:hint="eastAsia" w:asciiTheme="minorEastAsia" w:hAnsiTheme="minorEastAsia" w:eastAsiaTheme="minorEastAsia" w:cstheme="minorEastAsia"/>
          <w:color w:val="auto"/>
          <w:szCs w:val="21"/>
          <w:highlight w:val="none"/>
          <w:u w:val="single"/>
          <w:lang w:eastAsia="zh-CN"/>
        </w:rPr>
        <w:t>桂林市临桂区奥园南路提升泵站格栅机和除臭机设备采购项目</w:t>
      </w:r>
      <w:r>
        <w:rPr>
          <w:rFonts w:hint="eastAsia" w:asciiTheme="minorEastAsia" w:hAnsiTheme="minorEastAsia" w:eastAsiaTheme="minorEastAsia" w:cstheme="minorEastAsia"/>
          <w:color w:val="auto"/>
          <w:szCs w:val="21"/>
          <w:highlight w:val="none"/>
          <w:u w:val="single"/>
        </w:rPr>
        <w:t>（</w:t>
      </w:r>
      <w:r>
        <w:rPr>
          <w:rFonts w:hint="eastAsia" w:asciiTheme="minorEastAsia" w:hAnsiTheme="minorEastAsia" w:eastAsiaTheme="minorEastAsia" w:cstheme="minorEastAsia"/>
          <w:color w:val="auto"/>
          <w:szCs w:val="21"/>
          <w:highlight w:val="none"/>
          <w:u w:val="single"/>
          <w:lang w:eastAsia="zh-CN"/>
        </w:rPr>
        <w:t>GLZC2020-J1-120061-DCZX</w:t>
      </w:r>
      <w:r>
        <w:rPr>
          <w:rFonts w:hint="eastAsia" w:asciiTheme="minorEastAsia" w:hAnsiTheme="minorEastAsia" w:eastAsiaTheme="minorEastAsia" w:cstheme="minorEastAsia"/>
          <w:color w:val="auto"/>
          <w:szCs w:val="21"/>
          <w:highlight w:val="none"/>
          <w:u w:val="single"/>
        </w:rPr>
        <w:t>）</w:t>
      </w:r>
      <w:r>
        <w:rPr>
          <w:rFonts w:hint="eastAsia" w:asciiTheme="minorEastAsia" w:hAnsiTheme="minorEastAsia" w:eastAsiaTheme="minorEastAsia" w:cstheme="minorEastAsia"/>
          <w:color w:val="auto"/>
          <w:szCs w:val="21"/>
          <w:highlight w:val="none"/>
        </w:rPr>
        <w:t>采</w:t>
      </w:r>
      <w:r>
        <w:rPr>
          <w:rFonts w:hint="eastAsia" w:ascii="宋体" w:hAnsi="宋体" w:eastAsia="新宋体" w:cs="宋体"/>
          <w:color w:val="auto"/>
          <w:szCs w:val="21"/>
          <w:highlight w:val="none"/>
        </w:rPr>
        <w:t>购项目的潜在供应商应在</w:t>
      </w:r>
      <w:r>
        <w:rPr>
          <w:rFonts w:hint="eastAsia" w:ascii="宋体" w:hAnsi="宋体" w:cs="宋体"/>
          <w:color w:val="auto"/>
          <w:szCs w:val="21"/>
          <w:highlight w:val="none"/>
          <w:u w:val="single"/>
        </w:rPr>
        <w:t>桂林市公共资源交易中心网（http://glggzy.org.cn）或桂林市政府采购网（</w:t>
      </w:r>
      <w:r>
        <w:rPr>
          <w:rFonts w:hint="eastAsia" w:ascii="宋体" w:hAnsi="宋体" w:cs="宋体"/>
          <w:color w:val="auto"/>
          <w:szCs w:val="21"/>
          <w:highlight w:val="none"/>
          <w:u w:val="single"/>
          <w:lang w:eastAsia="zh-CN"/>
        </w:rPr>
        <w:t>http://zfcg.czj.guilin.gov.cn/</w:t>
      </w:r>
      <w:r>
        <w:rPr>
          <w:rFonts w:hint="eastAsia" w:ascii="宋体" w:hAnsi="宋体" w:cs="宋体"/>
          <w:color w:val="auto"/>
          <w:szCs w:val="21"/>
          <w:highlight w:val="none"/>
          <w:u w:val="single"/>
        </w:rPr>
        <w:t>）</w:t>
      </w:r>
      <w:r>
        <w:rPr>
          <w:rFonts w:hint="eastAsia" w:ascii="宋体" w:hAnsi="宋体" w:eastAsia="新宋体" w:cs="宋体"/>
          <w:color w:val="auto"/>
          <w:szCs w:val="21"/>
          <w:highlight w:val="none"/>
        </w:rPr>
        <w:t>获取采购文件，并于</w:t>
      </w:r>
      <w:r>
        <w:rPr>
          <w:rFonts w:hint="eastAsia" w:ascii="宋体" w:hAnsi="宋体" w:eastAsia="新宋体" w:cs="宋体"/>
          <w:color w:val="auto"/>
          <w:szCs w:val="21"/>
          <w:highlight w:val="none"/>
          <w:u w:val="single"/>
          <w:lang w:eastAsia="zh-CN"/>
        </w:rPr>
        <w:t>2020年11月18日09时30分</w:t>
      </w:r>
      <w:r>
        <w:rPr>
          <w:rFonts w:hint="eastAsia" w:ascii="宋体" w:hAnsi="宋体" w:eastAsia="新宋体" w:cs="宋体"/>
          <w:bCs/>
          <w:color w:val="auto"/>
          <w:szCs w:val="21"/>
          <w:highlight w:val="none"/>
          <w:u w:val="single"/>
        </w:rPr>
        <w:t>（</w:t>
      </w:r>
      <w:r>
        <w:rPr>
          <w:rFonts w:hint="eastAsia" w:ascii="宋体" w:hAnsi="宋体" w:eastAsia="新宋体" w:cs="宋体"/>
          <w:bCs/>
          <w:color w:val="auto"/>
          <w:szCs w:val="21"/>
          <w:highlight w:val="none"/>
        </w:rPr>
        <w:t>北京时间）前递交响应文件</w:t>
      </w:r>
      <w:r>
        <w:rPr>
          <w:rFonts w:hint="eastAsia" w:ascii="宋体" w:hAnsi="宋体" w:eastAsia="新宋体" w:cs="宋体"/>
          <w:color w:val="auto"/>
          <w:szCs w:val="21"/>
          <w:highlight w:val="none"/>
        </w:rPr>
        <w:t>。</w:t>
      </w:r>
    </w:p>
    <w:p>
      <w:pPr>
        <w:pStyle w:val="4"/>
        <w:spacing w:before="0" w:after="0" w:line="400" w:lineRule="exact"/>
        <w:rPr>
          <w:rFonts w:ascii="宋体" w:hAnsi="宋体" w:eastAsia="新宋体" w:cs="宋体"/>
          <w:bCs w:val="0"/>
          <w:color w:val="auto"/>
          <w:sz w:val="21"/>
          <w:szCs w:val="21"/>
          <w:highlight w:val="none"/>
        </w:rPr>
      </w:pPr>
      <w:r>
        <w:rPr>
          <w:rFonts w:hint="eastAsia" w:ascii="宋体" w:hAnsi="宋体" w:eastAsia="新宋体" w:cs="宋体"/>
          <w:bCs w:val="0"/>
          <w:color w:val="auto"/>
          <w:sz w:val="21"/>
          <w:szCs w:val="21"/>
          <w:highlight w:val="none"/>
        </w:rPr>
        <w:t>一、项目基本情况</w:t>
      </w:r>
      <w:bookmarkEnd w:id="3"/>
      <w:bookmarkEnd w:id="4"/>
      <w:bookmarkEnd w:id="5"/>
      <w:bookmarkEnd w:id="6"/>
    </w:p>
    <w:p>
      <w:pPr>
        <w:spacing w:line="400" w:lineRule="exact"/>
        <w:ind w:firstLine="420" w:firstLineChars="200"/>
        <w:rPr>
          <w:rFonts w:hint="eastAsia" w:ascii="宋体" w:hAnsi="宋体" w:eastAsia="新宋体" w:cs="宋体"/>
          <w:color w:val="auto"/>
          <w:szCs w:val="21"/>
          <w:highlight w:val="none"/>
          <w:lang w:eastAsia="zh-CN"/>
        </w:rPr>
      </w:pPr>
      <w:r>
        <w:rPr>
          <w:rFonts w:hint="eastAsia" w:ascii="宋体" w:hAnsi="宋体" w:eastAsia="新宋体" w:cs="宋体"/>
          <w:color w:val="auto"/>
          <w:szCs w:val="21"/>
          <w:highlight w:val="none"/>
        </w:rPr>
        <w:t>项目编号:</w:t>
      </w:r>
      <w:r>
        <w:rPr>
          <w:rFonts w:hint="eastAsia" w:ascii="宋体" w:hAnsi="宋体" w:eastAsia="新宋体"/>
          <w:color w:val="auto"/>
          <w:szCs w:val="21"/>
          <w:highlight w:val="none"/>
          <w:lang w:eastAsia="zh-CN"/>
        </w:rPr>
        <w:t>GLZC2020-J1-120061-DCZX</w:t>
      </w:r>
    </w:p>
    <w:p>
      <w:pPr>
        <w:spacing w:line="400" w:lineRule="exact"/>
        <w:ind w:firstLine="420" w:firstLineChars="200"/>
        <w:rPr>
          <w:rFonts w:hint="eastAsia" w:ascii="宋体" w:hAnsi="宋体" w:eastAsia="新宋体" w:cs="宋体"/>
          <w:color w:val="auto"/>
          <w:szCs w:val="21"/>
          <w:highlight w:val="none"/>
          <w:lang w:eastAsia="zh-CN"/>
        </w:rPr>
      </w:pPr>
      <w:r>
        <w:rPr>
          <w:rFonts w:hint="eastAsia" w:ascii="宋体" w:hAnsi="宋体" w:eastAsia="新宋体" w:cs="宋体"/>
          <w:color w:val="auto"/>
          <w:szCs w:val="21"/>
          <w:highlight w:val="none"/>
        </w:rPr>
        <w:t>项目名称</w:t>
      </w:r>
      <w:r>
        <w:rPr>
          <w:rFonts w:hint="eastAsia" w:ascii="宋体" w:hAnsi="宋体" w:eastAsia="新宋体" w:cs="宋体"/>
          <w:color w:val="auto"/>
          <w:szCs w:val="21"/>
          <w:highlight w:val="none"/>
          <w:lang w:eastAsia="zh-CN"/>
        </w:rPr>
        <w:t>：</w:t>
      </w:r>
      <w:r>
        <w:rPr>
          <w:rFonts w:hint="eastAsia" w:ascii="宋体" w:hAnsi="宋体" w:eastAsia="新宋体" w:cs="宋体"/>
          <w:color w:val="auto"/>
          <w:szCs w:val="21"/>
          <w:highlight w:val="none"/>
          <w:u w:val="none"/>
          <w:lang w:eastAsia="zh-CN"/>
        </w:rPr>
        <w:t>桂林市临桂区奥园南路提升泵站格栅机和除臭机设备采购项目</w:t>
      </w:r>
    </w:p>
    <w:bookmarkEnd w:id="7"/>
    <w:p>
      <w:pPr>
        <w:spacing w:line="400" w:lineRule="exact"/>
        <w:ind w:firstLine="420" w:firstLineChars="200"/>
        <w:rPr>
          <w:rFonts w:ascii="宋体" w:hAnsi="宋体" w:eastAsia="新宋体" w:cs="宋体"/>
          <w:color w:val="auto"/>
          <w:szCs w:val="21"/>
          <w:highlight w:val="none"/>
        </w:rPr>
      </w:pPr>
      <w:r>
        <w:rPr>
          <w:rFonts w:hint="eastAsia" w:ascii="宋体" w:hAnsi="宋体" w:eastAsia="新宋体" w:cs="宋体"/>
          <w:color w:val="auto"/>
          <w:szCs w:val="21"/>
          <w:highlight w:val="none"/>
        </w:rPr>
        <w:t>预算金额：</w:t>
      </w:r>
      <w:r>
        <w:rPr>
          <w:rFonts w:hint="eastAsia" w:ascii="宋体" w:hAnsi="宋体" w:eastAsia="新宋体" w:cs="宋体"/>
          <w:color w:val="auto"/>
          <w:szCs w:val="21"/>
          <w:highlight w:val="none"/>
          <w:lang w:val="en-US" w:eastAsia="zh-CN"/>
        </w:rPr>
        <w:t>1047500.00</w:t>
      </w:r>
      <w:r>
        <w:rPr>
          <w:rFonts w:hint="eastAsia" w:ascii="宋体" w:hAnsi="宋体" w:eastAsia="新宋体" w:cs="宋体"/>
          <w:color w:val="auto"/>
          <w:szCs w:val="21"/>
          <w:highlight w:val="none"/>
        </w:rPr>
        <w:t>元</w:t>
      </w:r>
    </w:p>
    <w:p>
      <w:pPr>
        <w:spacing w:line="400" w:lineRule="exact"/>
        <w:ind w:firstLine="420" w:firstLineChars="200"/>
        <w:rPr>
          <w:rFonts w:ascii="宋体" w:hAnsi="宋体" w:eastAsia="新宋体" w:cs="宋体"/>
          <w:color w:val="auto"/>
          <w:szCs w:val="21"/>
          <w:highlight w:val="none"/>
        </w:rPr>
      </w:pPr>
      <w:r>
        <w:rPr>
          <w:rFonts w:hint="eastAsia" w:ascii="宋体" w:hAnsi="宋体" w:eastAsia="新宋体" w:cs="宋体"/>
          <w:color w:val="auto"/>
          <w:szCs w:val="21"/>
          <w:highlight w:val="none"/>
        </w:rPr>
        <w:t>采购需求：</w:t>
      </w:r>
    </w:p>
    <w:tbl>
      <w:tblPr>
        <w:tblStyle w:val="15"/>
        <w:tblW w:w="873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29"/>
        <w:gridCol w:w="3523"/>
        <w:gridCol w:w="1009"/>
        <w:gridCol w:w="955"/>
        <w:gridCol w:w="252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jc w:val="center"/>
        </w:trPr>
        <w:tc>
          <w:tcPr>
            <w:tcW w:w="729" w:type="dxa"/>
            <w:vAlign w:val="center"/>
          </w:tcPr>
          <w:p>
            <w:pPr>
              <w:pStyle w:val="31"/>
              <w:ind w:right="95"/>
              <w:jc w:val="center"/>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项号</w:t>
            </w:r>
          </w:p>
        </w:tc>
        <w:tc>
          <w:tcPr>
            <w:tcW w:w="3523" w:type="dxa"/>
            <w:vAlign w:val="center"/>
          </w:tcPr>
          <w:p>
            <w:pPr>
              <w:pStyle w:val="31"/>
              <w:ind w:right="77"/>
              <w:jc w:val="center"/>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lang w:eastAsia="zh-CN"/>
              </w:rPr>
              <w:t>货物</w:t>
            </w:r>
            <w:r>
              <w:rPr>
                <w:rFonts w:hint="eastAsia" w:asciiTheme="minorEastAsia" w:hAnsiTheme="minorEastAsia" w:eastAsiaTheme="minorEastAsia" w:cstheme="minorEastAsia"/>
                <w:b/>
                <w:color w:val="auto"/>
                <w:sz w:val="21"/>
                <w:szCs w:val="21"/>
                <w:highlight w:val="none"/>
              </w:rPr>
              <w:t>名称</w:t>
            </w:r>
          </w:p>
        </w:tc>
        <w:tc>
          <w:tcPr>
            <w:tcW w:w="1009" w:type="dxa"/>
            <w:vAlign w:val="center"/>
          </w:tcPr>
          <w:p>
            <w:pPr>
              <w:pStyle w:val="31"/>
              <w:jc w:val="center"/>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数量</w:t>
            </w:r>
          </w:p>
        </w:tc>
        <w:tc>
          <w:tcPr>
            <w:tcW w:w="955" w:type="dxa"/>
            <w:vAlign w:val="center"/>
          </w:tcPr>
          <w:p>
            <w:pPr>
              <w:pStyle w:val="31"/>
              <w:tabs>
                <w:tab w:val="left" w:pos="458"/>
              </w:tabs>
              <w:ind w:right="77"/>
              <w:jc w:val="center"/>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eastAsia="zh-CN"/>
              </w:rPr>
              <w:t>单位</w:t>
            </w:r>
          </w:p>
        </w:tc>
        <w:tc>
          <w:tcPr>
            <w:tcW w:w="2522" w:type="dxa"/>
            <w:vAlign w:val="center"/>
          </w:tcPr>
          <w:p>
            <w:pPr>
              <w:pStyle w:val="31"/>
              <w:ind w:right="77"/>
              <w:jc w:val="center"/>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bCs/>
                <w:color w:val="auto"/>
                <w:sz w:val="21"/>
                <w:szCs w:val="21"/>
                <w:highlight w:val="none"/>
              </w:rPr>
              <w:t>项目简要规格及描述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5" w:hRule="atLeast"/>
          <w:jc w:val="center"/>
        </w:trPr>
        <w:tc>
          <w:tcPr>
            <w:tcW w:w="729" w:type="dxa"/>
            <w:vAlign w:val="center"/>
          </w:tcPr>
          <w:p>
            <w:pPr>
              <w:pStyle w:val="31"/>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w w:val="99"/>
                <w:sz w:val="21"/>
                <w:szCs w:val="21"/>
                <w:highlight w:val="none"/>
              </w:rPr>
              <w:t>1</w:t>
            </w:r>
          </w:p>
        </w:tc>
        <w:tc>
          <w:tcPr>
            <w:tcW w:w="3523" w:type="dxa"/>
            <w:vAlign w:val="center"/>
          </w:tcPr>
          <w:p>
            <w:pPr>
              <w:spacing w:line="400" w:lineRule="exact"/>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粉碎型格栅</w:t>
            </w:r>
          </w:p>
        </w:tc>
        <w:tc>
          <w:tcPr>
            <w:tcW w:w="1009" w:type="dxa"/>
            <w:vAlign w:val="center"/>
          </w:tcPr>
          <w:p>
            <w:pPr>
              <w:pStyle w:val="31"/>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1</w:t>
            </w:r>
          </w:p>
        </w:tc>
        <w:tc>
          <w:tcPr>
            <w:tcW w:w="955" w:type="dxa"/>
            <w:vAlign w:val="center"/>
          </w:tcPr>
          <w:p>
            <w:pPr>
              <w:pStyle w:val="31"/>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套</w:t>
            </w:r>
          </w:p>
        </w:tc>
        <w:tc>
          <w:tcPr>
            <w:tcW w:w="2522" w:type="dxa"/>
            <w:vMerge w:val="restart"/>
            <w:vAlign w:val="center"/>
          </w:tcPr>
          <w:p>
            <w:pPr>
              <w:pStyle w:val="31"/>
              <w:ind w:left="88" w:right="77"/>
              <w:jc w:val="center"/>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详见</w:t>
            </w:r>
            <w:r>
              <w:rPr>
                <w:rFonts w:hint="eastAsia" w:asciiTheme="minorEastAsia" w:hAnsiTheme="minorEastAsia" w:eastAsiaTheme="minorEastAsia" w:cstheme="minorEastAsia"/>
                <w:b/>
                <w:color w:val="auto"/>
                <w:sz w:val="21"/>
                <w:szCs w:val="21"/>
                <w:highlight w:val="none"/>
                <w:lang w:eastAsia="zh-CN"/>
              </w:rPr>
              <w:t>采购</w:t>
            </w:r>
            <w:r>
              <w:rPr>
                <w:rFonts w:hint="eastAsia" w:asciiTheme="minorEastAsia" w:hAnsiTheme="minorEastAsia" w:eastAsiaTheme="minorEastAsia" w:cstheme="minorEastAsia"/>
                <w:b/>
                <w:color w:val="auto"/>
                <w:sz w:val="21"/>
                <w:szCs w:val="21"/>
                <w:highlight w:val="none"/>
              </w:rPr>
              <w:t>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jc w:val="center"/>
        </w:trPr>
        <w:tc>
          <w:tcPr>
            <w:tcW w:w="729" w:type="dxa"/>
            <w:vAlign w:val="center"/>
          </w:tcPr>
          <w:p>
            <w:pPr>
              <w:pStyle w:val="31"/>
              <w:jc w:val="center"/>
              <w:rPr>
                <w:rFonts w:hint="eastAsia" w:asciiTheme="minorEastAsia" w:hAnsiTheme="minorEastAsia" w:eastAsiaTheme="minorEastAsia" w:cstheme="minorEastAsia"/>
                <w:color w:val="auto"/>
                <w:w w:val="99"/>
                <w:sz w:val="21"/>
                <w:szCs w:val="21"/>
                <w:highlight w:val="none"/>
                <w:lang w:val="en-US" w:eastAsia="zh-CN"/>
              </w:rPr>
            </w:pPr>
            <w:r>
              <w:rPr>
                <w:rFonts w:hint="eastAsia" w:asciiTheme="minorEastAsia" w:hAnsiTheme="minorEastAsia" w:eastAsiaTheme="minorEastAsia" w:cstheme="minorEastAsia"/>
                <w:color w:val="auto"/>
                <w:w w:val="99"/>
                <w:sz w:val="21"/>
                <w:szCs w:val="21"/>
                <w:highlight w:val="none"/>
                <w:lang w:val="en-US" w:eastAsia="zh-CN"/>
              </w:rPr>
              <w:t>2</w:t>
            </w:r>
          </w:p>
        </w:tc>
        <w:tc>
          <w:tcPr>
            <w:tcW w:w="3523" w:type="dxa"/>
            <w:vAlign w:val="center"/>
          </w:tcPr>
          <w:p>
            <w:pPr>
              <w:spacing w:line="400" w:lineRule="exact"/>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0"/>
                <w:sz w:val="21"/>
                <w:szCs w:val="21"/>
              </w:rPr>
              <w:t>系统安装支架﹑提升链及安装附件</w:t>
            </w:r>
          </w:p>
        </w:tc>
        <w:tc>
          <w:tcPr>
            <w:tcW w:w="1009" w:type="dxa"/>
            <w:vAlign w:val="center"/>
          </w:tcPr>
          <w:p>
            <w:pPr>
              <w:pStyle w:val="31"/>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1</w:t>
            </w:r>
          </w:p>
        </w:tc>
        <w:tc>
          <w:tcPr>
            <w:tcW w:w="955" w:type="dxa"/>
            <w:vAlign w:val="center"/>
          </w:tcPr>
          <w:p>
            <w:pPr>
              <w:pStyle w:val="31"/>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套</w:t>
            </w:r>
          </w:p>
        </w:tc>
        <w:tc>
          <w:tcPr>
            <w:tcW w:w="2522" w:type="dxa"/>
            <w:vMerge w:val="continue"/>
            <w:vAlign w:val="center"/>
          </w:tcPr>
          <w:p>
            <w:pPr>
              <w:pStyle w:val="31"/>
              <w:jc w:val="center"/>
              <w:rPr>
                <w:rFonts w:hint="eastAsia" w:asciiTheme="minorEastAsia" w:hAnsiTheme="minorEastAsia" w:eastAsiaTheme="minorEastAsia" w:cstheme="minorEastAsia"/>
                <w:color w:val="auto"/>
                <w:w w:val="99"/>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jc w:val="center"/>
        </w:trPr>
        <w:tc>
          <w:tcPr>
            <w:tcW w:w="729" w:type="dxa"/>
            <w:vAlign w:val="center"/>
          </w:tcPr>
          <w:p>
            <w:pPr>
              <w:pStyle w:val="31"/>
              <w:jc w:val="center"/>
              <w:rPr>
                <w:rFonts w:hint="eastAsia" w:asciiTheme="minorEastAsia" w:hAnsiTheme="minorEastAsia" w:eastAsiaTheme="minorEastAsia" w:cstheme="minorEastAsia"/>
                <w:color w:val="auto"/>
                <w:w w:val="99"/>
                <w:sz w:val="21"/>
                <w:szCs w:val="21"/>
                <w:highlight w:val="none"/>
                <w:lang w:val="en-US" w:eastAsia="zh-CN"/>
              </w:rPr>
            </w:pPr>
            <w:r>
              <w:rPr>
                <w:rFonts w:hint="eastAsia" w:asciiTheme="minorEastAsia" w:hAnsiTheme="minorEastAsia" w:eastAsiaTheme="minorEastAsia" w:cstheme="minorEastAsia"/>
                <w:color w:val="auto"/>
                <w:w w:val="99"/>
                <w:sz w:val="21"/>
                <w:szCs w:val="21"/>
                <w:highlight w:val="none"/>
                <w:lang w:val="en-US" w:eastAsia="zh-CN"/>
              </w:rPr>
              <w:t>3</w:t>
            </w:r>
          </w:p>
        </w:tc>
        <w:tc>
          <w:tcPr>
            <w:tcW w:w="3523" w:type="dxa"/>
            <w:vAlign w:val="center"/>
          </w:tcPr>
          <w:p>
            <w:pPr>
              <w:spacing w:line="400" w:lineRule="exact"/>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0"/>
                <w:sz w:val="21"/>
                <w:szCs w:val="21"/>
              </w:rPr>
              <w:t>控制柜</w:t>
            </w:r>
          </w:p>
        </w:tc>
        <w:tc>
          <w:tcPr>
            <w:tcW w:w="1009" w:type="dxa"/>
            <w:vAlign w:val="center"/>
          </w:tcPr>
          <w:p>
            <w:pPr>
              <w:pStyle w:val="31"/>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1</w:t>
            </w:r>
          </w:p>
        </w:tc>
        <w:tc>
          <w:tcPr>
            <w:tcW w:w="955" w:type="dxa"/>
            <w:vAlign w:val="center"/>
          </w:tcPr>
          <w:p>
            <w:pPr>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套</w:t>
            </w:r>
          </w:p>
        </w:tc>
        <w:tc>
          <w:tcPr>
            <w:tcW w:w="2522" w:type="dxa"/>
            <w:vMerge w:val="continue"/>
            <w:vAlign w:val="center"/>
          </w:tcPr>
          <w:p>
            <w:pPr>
              <w:pStyle w:val="31"/>
              <w:jc w:val="center"/>
              <w:rPr>
                <w:rFonts w:hint="eastAsia" w:asciiTheme="minorEastAsia" w:hAnsiTheme="minorEastAsia" w:eastAsiaTheme="minorEastAsia" w:cstheme="minorEastAsia"/>
                <w:color w:val="auto"/>
                <w:w w:val="99"/>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jc w:val="center"/>
        </w:trPr>
        <w:tc>
          <w:tcPr>
            <w:tcW w:w="729" w:type="dxa"/>
            <w:vAlign w:val="center"/>
          </w:tcPr>
          <w:p>
            <w:pPr>
              <w:pStyle w:val="31"/>
              <w:jc w:val="center"/>
              <w:rPr>
                <w:rFonts w:hint="eastAsia" w:asciiTheme="minorEastAsia" w:hAnsiTheme="minorEastAsia" w:eastAsiaTheme="minorEastAsia" w:cstheme="minorEastAsia"/>
                <w:color w:val="auto"/>
                <w:w w:val="99"/>
                <w:sz w:val="21"/>
                <w:szCs w:val="21"/>
                <w:highlight w:val="none"/>
                <w:lang w:val="en-US" w:eastAsia="zh-CN"/>
              </w:rPr>
            </w:pPr>
            <w:r>
              <w:rPr>
                <w:rFonts w:hint="eastAsia" w:asciiTheme="minorEastAsia" w:hAnsiTheme="minorEastAsia" w:eastAsiaTheme="minorEastAsia" w:cstheme="minorEastAsia"/>
                <w:color w:val="auto"/>
                <w:w w:val="99"/>
                <w:sz w:val="21"/>
                <w:szCs w:val="21"/>
                <w:highlight w:val="none"/>
                <w:lang w:val="en-US" w:eastAsia="zh-CN"/>
              </w:rPr>
              <w:t>4</w:t>
            </w:r>
          </w:p>
        </w:tc>
        <w:tc>
          <w:tcPr>
            <w:tcW w:w="3523" w:type="dxa"/>
            <w:vAlign w:val="center"/>
          </w:tcPr>
          <w:p>
            <w:pPr>
              <w:spacing w:line="400" w:lineRule="exact"/>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除臭系统</w:t>
            </w:r>
          </w:p>
        </w:tc>
        <w:tc>
          <w:tcPr>
            <w:tcW w:w="1009" w:type="dxa"/>
            <w:vAlign w:val="center"/>
          </w:tcPr>
          <w:p>
            <w:pPr>
              <w:pStyle w:val="31"/>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1</w:t>
            </w:r>
          </w:p>
        </w:tc>
        <w:tc>
          <w:tcPr>
            <w:tcW w:w="955" w:type="dxa"/>
            <w:vAlign w:val="center"/>
          </w:tcPr>
          <w:p>
            <w:pPr>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黑体" w:hAnsi="黑体" w:eastAsia="黑体" w:cs="黑体"/>
                <w:color w:val="auto"/>
                <w:szCs w:val="21"/>
              </w:rPr>
              <w:t>套</w:t>
            </w:r>
          </w:p>
        </w:tc>
        <w:tc>
          <w:tcPr>
            <w:tcW w:w="2522" w:type="dxa"/>
            <w:vMerge w:val="continue"/>
            <w:vAlign w:val="center"/>
          </w:tcPr>
          <w:p>
            <w:pPr>
              <w:pStyle w:val="31"/>
              <w:jc w:val="center"/>
              <w:rPr>
                <w:rFonts w:hint="eastAsia" w:asciiTheme="minorEastAsia" w:hAnsiTheme="minorEastAsia" w:eastAsiaTheme="minorEastAsia" w:cstheme="minorEastAsia"/>
                <w:color w:val="auto"/>
                <w:w w:val="99"/>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jc w:val="center"/>
        </w:trPr>
        <w:tc>
          <w:tcPr>
            <w:tcW w:w="729" w:type="dxa"/>
            <w:vAlign w:val="center"/>
          </w:tcPr>
          <w:p>
            <w:pPr>
              <w:pStyle w:val="31"/>
              <w:jc w:val="center"/>
              <w:rPr>
                <w:rFonts w:hint="eastAsia" w:asciiTheme="minorEastAsia" w:hAnsiTheme="minorEastAsia" w:eastAsiaTheme="minorEastAsia" w:cstheme="minorEastAsia"/>
                <w:color w:val="auto"/>
                <w:w w:val="99"/>
                <w:sz w:val="21"/>
                <w:szCs w:val="21"/>
                <w:highlight w:val="none"/>
                <w:lang w:val="en-US" w:eastAsia="zh-CN"/>
              </w:rPr>
            </w:pPr>
            <w:r>
              <w:rPr>
                <w:rFonts w:hint="eastAsia" w:asciiTheme="minorEastAsia" w:hAnsiTheme="minorEastAsia" w:eastAsiaTheme="minorEastAsia" w:cstheme="minorEastAsia"/>
                <w:color w:val="auto"/>
                <w:w w:val="99"/>
                <w:sz w:val="21"/>
                <w:szCs w:val="21"/>
                <w:highlight w:val="none"/>
                <w:lang w:val="en-US" w:eastAsia="zh-CN"/>
              </w:rPr>
              <w:t>5</w:t>
            </w:r>
          </w:p>
        </w:tc>
        <w:tc>
          <w:tcPr>
            <w:tcW w:w="3523" w:type="dxa"/>
            <w:vAlign w:val="center"/>
          </w:tcPr>
          <w:p>
            <w:pPr>
              <w:spacing w:line="400" w:lineRule="exact"/>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自动化控制系统</w:t>
            </w:r>
          </w:p>
        </w:tc>
        <w:tc>
          <w:tcPr>
            <w:tcW w:w="1009" w:type="dxa"/>
            <w:vAlign w:val="center"/>
          </w:tcPr>
          <w:p>
            <w:pPr>
              <w:pStyle w:val="31"/>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1</w:t>
            </w:r>
          </w:p>
        </w:tc>
        <w:tc>
          <w:tcPr>
            <w:tcW w:w="955" w:type="dxa"/>
            <w:vAlign w:val="center"/>
          </w:tcPr>
          <w:p>
            <w:pPr>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黑体" w:hAnsi="黑体" w:eastAsia="黑体" w:cs="黑体"/>
                <w:color w:val="auto"/>
                <w:szCs w:val="21"/>
              </w:rPr>
              <w:t>套</w:t>
            </w:r>
          </w:p>
        </w:tc>
        <w:tc>
          <w:tcPr>
            <w:tcW w:w="2522" w:type="dxa"/>
            <w:vMerge w:val="continue"/>
            <w:vAlign w:val="center"/>
          </w:tcPr>
          <w:p>
            <w:pPr>
              <w:pStyle w:val="31"/>
              <w:jc w:val="center"/>
              <w:rPr>
                <w:rFonts w:hint="eastAsia" w:asciiTheme="minorEastAsia" w:hAnsiTheme="minorEastAsia" w:eastAsiaTheme="minorEastAsia" w:cstheme="minorEastAsia"/>
                <w:color w:val="auto"/>
                <w:w w:val="99"/>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729" w:type="dxa"/>
            <w:vAlign w:val="center"/>
          </w:tcPr>
          <w:p>
            <w:pPr>
              <w:pStyle w:val="31"/>
              <w:jc w:val="center"/>
              <w:rPr>
                <w:rFonts w:hint="eastAsia" w:asciiTheme="minorEastAsia" w:hAnsiTheme="minorEastAsia" w:eastAsiaTheme="minorEastAsia" w:cstheme="minorEastAsia"/>
                <w:color w:val="auto"/>
                <w:w w:val="99"/>
                <w:sz w:val="21"/>
                <w:szCs w:val="21"/>
                <w:highlight w:val="none"/>
                <w:lang w:val="en-US" w:eastAsia="zh-CN"/>
              </w:rPr>
            </w:pPr>
            <w:r>
              <w:rPr>
                <w:rFonts w:hint="eastAsia" w:asciiTheme="minorEastAsia" w:hAnsiTheme="minorEastAsia" w:eastAsiaTheme="minorEastAsia" w:cstheme="minorEastAsia"/>
                <w:color w:val="auto"/>
                <w:w w:val="99"/>
                <w:sz w:val="21"/>
                <w:szCs w:val="21"/>
                <w:highlight w:val="none"/>
                <w:lang w:val="en-US" w:eastAsia="zh-CN"/>
              </w:rPr>
              <w:t>6</w:t>
            </w:r>
          </w:p>
        </w:tc>
        <w:tc>
          <w:tcPr>
            <w:tcW w:w="3523" w:type="dxa"/>
            <w:vAlign w:val="center"/>
          </w:tcPr>
          <w:p>
            <w:pPr>
              <w:spacing w:line="400" w:lineRule="exact"/>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高分子自制除臭滤料</w:t>
            </w:r>
          </w:p>
        </w:tc>
        <w:tc>
          <w:tcPr>
            <w:tcW w:w="1009" w:type="dxa"/>
            <w:vAlign w:val="center"/>
          </w:tcPr>
          <w:p>
            <w:pPr>
              <w:pStyle w:val="31"/>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sz w:val="21"/>
                <w:szCs w:val="21"/>
              </w:rPr>
              <w:t>39</w:t>
            </w:r>
          </w:p>
        </w:tc>
        <w:tc>
          <w:tcPr>
            <w:tcW w:w="955" w:type="dxa"/>
            <w:vAlign w:val="center"/>
          </w:tcPr>
          <w:p>
            <w:pPr>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立方</w:t>
            </w:r>
          </w:p>
        </w:tc>
        <w:tc>
          <w:tcPr>
            <w:tcW w:w="2522" w:type="dxa"/>
            <w:vMerge w:val="continue"/>
            <w:vAlign w:val="center"/>
          </w:tcPr>
          <w:p>
            <w:pPr>
              <w:pStyle w:val="31"/>
              <w:jc w:val="center"/>
              <w:rPr>
                <w:rFonts w:hint="eastAsia" w:asciiTheme="minorEastAsia" w:hAnsiTheme="minorEastAsia" w:eastAsiaTheme="minorEastAsia" w:cstheme="minorEastAsia"/>
                <w:color w:val="auto"/>
                <w:w w:val="99"/>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jc w:val="center"/>
        </w:trPr>
        <w:tc>
          <w:tcPr>
            <w:tcW w:w="729" w:type="dxa"/>
            <w:vAlign w:val="center"/>
          </w:tcPr>
          <w:p>
            <w:pPr>
              <w:pStyle w:val="31"/>
              <w:jc w:val="center"/>
              <w:rPr>
                <w:rFonts w:hint="eastAsia" w:asciiTheme="minorEastAsia" w:hAnsiTheme="minorEastAsia" w:eastAsiaTheme="minorEastAsia" w:cstheme="minorEastAsia"/>
                <w:color w:val="auto"/>
                <w:w w:val="99"/>
                <w:sz w:val="21"/>
                <w:szCs w:val="21"/>
                <w:highlight w:val="none"/>
                <w:lang w:val="en-US" w:eastAsia="zh-CN"/>
              </w:rPr>
            </w:pPr>
            <w:r>
              <w:rPr>
                <w:rFonts w:hint="eastAsia" w:asciiTheme="minorEastAsia" w:hAnsiTheme="minorEastAsia" w:eastAsiaTheme="minorEastAsia" w:cstheme="minorEastAsia"/>
                <w:color w:val="auto"/>
                <w:w w:val="99"/>
                <w:sz w:val="21"/>
                <w:szCs w:val="21"/>
                <w:highlight w:val="none"/>
                <w:lang w:val="en-US" w:eastAsia="zh-CN"/>
              </w:rPr>
              <w:t>7</w:t>
            </w:r>
          </w:p>
        </w:tc>
        <w:tc>
          <w:tcPr>
            <w:tcW w:w="3523" w:type="dxa"/>
            <w:vAlign w:val="center"/>
          </w:tcPr>
          <w:p>
            <w:pPr>
              <w:spacing w:line="400" w:lineRule="exact"/>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管道配件PVC</w:t>
            </w:r>
          </w:p>
        </w:tc>
        <w:tc>
          <w:tcPr>
            <w:tcW w:w="1009" w:type="dxa"/>
            <w:vAlign w:val="center"/>
          </w:tcPr>
          <w:p>
            <w:pPr>
              <w:pStyle w:val="31"/>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1</w:t>
            </w:r>
          </w:p>
        </w:tc>
        <w:tc>
          <w:tcPr>
            <w:tcW w:w="955" w:type="dxa"/>
            <w:vAlign w:val="center"/>
          </w:tcPr>
          <w:p>
            <w:pPr>
              <w:jc w:val="center"/>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批</w:t>
            </w:r>
          </w:p>
        </w:tc>
        <w:tc>
          <w:tcPr>
            <w:tcW w:w="2522" w:type="dxa"/>
            <w:vMerge w:val="continue"/>
            <w:vAlign w:val="center"/>
          </w:tcPr>
          <w:p>
            <w:pPr>
              <w:pStyle w:val="31"/>
              <w:jc w:val="center"/>
              <w:rPr>
                <w:rFonts w:hint="eastAsia" w:asciiTheme="minorEastAsia" w:hAnsiTheme="minorEastAsia" w:eastAsiaTheme="minorEastAsia" w:cstheme="minorEastAsia"/>
                <w:color w:val="auto"/>
                <w:w w:val="99"/>
                <w:sz w:val="21"/>
                <w:szCs w:val="21"/>
                <w:highlight w:val="none"/>
              </w:rPr>
            </w:pPr>
          </w:p>
        </w:tc>
      </w:tr>
    </w:tbl>
    <w:p>
      <w:pPr>
        <w:spacing w:line="400" w:lineRule="exact"/>
        <w:ind w:firstLine="420" w:firstLineChars="200"/>
        <w:rPr>
          <w:rFonts w:ascii="宋体" w:hAnsi="宋体" w:eastAsia="新宋体" w:cs="宋体"/>
          <w:color w:val="auto"/>
          <w:szCs w:val="21"/>
          <w:highlight w:val="none"/>
          <w:u w:val="single"/>
        </w:rPr>
      </w:pPr>
      <w:r>
        <w:rPr>
          <w:rFonts w:hint="eastAsia" w:ascii="宋体" w:hAnsi="宋体" w:eastAsia="新宋体" w:cs="宋体"/>
          <w:color w:val="auto"/>
          <w:szCs w:val="21"/>
          <w:highlight w:val="none"/>
        </w:rPr>
        <w:t>合同履行期限</w:t>
      </w:r>
      <w:r>
        <w:rPr>
          <w:rFonts w:hint="eastAsia" w:ascii="宋体" w:hAnsi="宋体" w:eastAsia="新宋体" w:cs="宋体"/>
          <w:color w:val="auto"/>
          <w:szCs w:val="21"/>
          <w:highlight w:val="none"/>
          <w:lang w:eastAsia="zh-CN"/>
        </w:rPr>
        <w:t>：</w:t>
      </w:r>
      <w:r>
        <w:rPr>
          <w:rFonts w:hint="eastAsia" w:ascii="宋体" w:hAnsi="宋体" w:eastAsia="新宋体" w:cs="宋体"/>
          <w:color w:val="auto"/>
          <w:szCs w:val="21"/>
          <w:highlight w:val="none"/>
        </w:rPr>
        <w:t>自签订合同之日起</w:t>
      </w:r>
      <w:r>
        <w:rPr>
          <w:rFonts w:hint="eastAsia" w:ascii="宋体" w:hAnsi="宋体" w:eastAsia="新宋体" w:cs="宋体"/>
          <w:color w:val="auto"/>
          <w:szCs w:val="21"/>
          <w:highlight w:val="none"/>
          <w:lang w:val="en-US" w:eastAsia="zh-CN"/>
        </w:rPr>
        <w:t>45</w:t>
      </w:r>
      <w:r>
        <w:rPr>
          <w:rFonts w:hint="eastAsia" w:ascii="宋体" w:hAnsi="宋体" w:eastAsia="新宋体" w:cs="宋体"/>
          <w:color w:val="auto"/>
          <w:szCs w:val="21"/>
          <w:highlight w:val="none"/>
        </w:rPr>
        <w:t>日内安装调试并交付使用；延迟交货供应商应承担相应的责任。</w:t>
      </w:r>
    </w:p>
    <w:p>
      <w:pPr>
        <w:spacing w:line="400" w:lineRule="exact"/>
        <w:ind w:firstLine="420" w:firstLineChars="200"/>
        <w:rPr>
          <w:rFonts w:ascii="宋体" w:hAnsi="宋体" w:eastAsia="新宋体" w:cs="宋体"/>
          <w:color w:val="auto"/>
          <w:szCs w:val="21"/>
          <w:highlight w:val="none"/>
        </w:rPr>
      </w:pPr>
      <w:r>
        <w:rPr>
          <w:rFonts w:hint="eastAsia" w:ascii="宋体" w:hAnsi="宋体" w:eastAsia="新宋体" w:cs="宋体"/>
          <w:color w:val="auto"/>
          <w:szCs w:val="21"/>
          <w:highlight w:val="none"/>
        </w:rPr>
        <w:t>本项目不接受联合体投标。</w:t>
      </w:r>
    </w:p>
    <w:p>
      <w:pPr>
        <w:pStyle w:val="4"/>
        <w:spacing w:before="20" w:after="20" w:line="400" w:lineRule="exact"/>
        <w:rPr>
          <w:rFonts w:ascii="宋体" w:hAnsi="宋体" w:eastAsia="新宋体" w:cs="宋体"/>
          <w:bCs w:val="0"/>
          <w:color w:val="auto"/>
          <w:sz w:val="21"/>
          <w:szCs w:val="21"/>
          <w:highlight w:val="none"/>
        </w:rPr>
      </w:pPr>
      <w:bookmarkStart w:id="11" w:name="_Toc28359003"/>
      <w:bookmarkStart w:id="12" w:name="_Toc28359080"/>
      <w:bookmarkStart w:id="13" w:name="_Toc35393622"/>
      <w:bookmarkStart w:id="14" w:name="_Toc35393791"/>
      <w:r>
        <w:rPr>
          <w:rFonts w:hint="eastAsia" w:ascii="宋体" w:hAnsi="宋体" w:eastAsia="新宋体" w:cs="宋体"/>
          <w:bCs w:val="0"/>
          <w:color w:val="auto"/>
          <w:sz w:val="21"/>
          <w:szCs w:val="21"/>
          <w:highlight w:val="none"/>
        </w:rPr>
        <w:t>二、申请人的资格要求：</w:t>
      </w:r>
      <w:bookmarkEnd w:id="11"/>
      <w:bookmarkEnd w:id="12"/>
      <w:bookmarkEnd w:id="13"/>
      <w:bookmarkEnd w:id="14"/>
    </w:p>
    <w:p>
      <w:pPr>
        <w:tabs>
          <w:tab w:val="left" w:pos="4200"/>
        </w:tabs>
        <w:spacing w:line="400" w:lineRule="exact"/>
        <w:ind w:firstLine="420" w:firstLineChars="200"/>
        <w:rPr>
          <w:rFonts w:ascii="宋体" w:hAnsi="宋体" w:eastAsia="新宋体" w:cs="宋体"/>
          <w:color w:val="auto"/>
          <w:szCs w:val="21"/>
          <w:highlight w:val="none"/>
        </w:rPr>
      </w:pPr>
      <w:r>
        <w:rPr>
          <w:rFonts w:hint="eastAsia" w:ascii="宋体" w:hAnsi="宋体" w:eastAsia="新宋体" w:cs="宋体"/>
          <w:color w:val="auto"/>
          <w:szCs w:val="21"/>
          <w:highlight w:val="none"/>
        </w:rPr>
        <w:t>1.满足《中华人民共和国政府采购法》第二十二条规定；</w:t>
      </w:r>
    </w:p>
    <w:p>
      <w:pPr>
        <w:pStyle w:val="14"/>
        <w:widowControl w:val="0"/>
        <w:spacing w:before="0" w:beforeAutospacing="0" w:after="0" w:afterAutospacing="0" w:line="400" w:lineRule="exact"/>
        <w:ind w:firstLine="420" w:firstLineChars="200"/>
        <w:jc w:val="both"/>
        <w:rPr>
          <w:rFonts w:hint="eastAsia" w:eastAsia="新宋体"/>
          <w:color w:val="auto"/>
          <w:sz w:val="21"/>
          <w:szCs w:val="21"/>
          <w:highlight w:val="none"/>
          <w:lang w:val="en-US" w:eastAsia="zh-CN"/>
        </w:rPr>
      </w:pPr>
      <w:bookmarkStart w:id="15" w:name="_Toc28359004"/>
      <w:bookmarkStart w:id="16" w:name="_Toc28359081"/>
      <w:r>
        <w:rPr>
          <w:rFonts w:hint="eastAsia" w:eastAsia="新宋体"/>
          <w:color w:val="auto"/>
          <w:sz w:val="21"/>
          <w:szCs w:val="21"/>
          <w:highlight w:val="none"/>
        </w:rPr>
        <w:t>2.落实政府采购政策需满足的资格要求：</w:t>
      </w:r>
      <w:r>
        <w:rPr>
          <w:rFonts w:hint="eastAsia" w:eastAsia="新宋体"/>
          <w:color w:val="auto"/>
          <w:sz w:val="21"/>
          <w:szCs w:val="21"/>
          <w:highlight w:val="none"/>
          <w:lang w:eastAsia="zh-CN"/>
        </w:rPr>
        <w:t>无；</w:t>
      </w:r>
    </w:p>
    <w:p>
      <w:pPr>
        <w:spacing w:line="400" w:lineRule="exact"/>
        <w:ind w:firstLine="420" w:firstLineChars="200"/>
        <w:rPr>
          <w:rFonts w:ascii="宋体" w:hAnsi="宋体" w:cs="宋体"/>
          <w:i/>
          <w:iCs/>
          <w:color w:val="auto"/>
          <w:szCs w:val="21"/>
          <w:highlight w:val="none"/>
          <w:u w:val="single"/>
        </w:rPr>
      </w:pPr>
      <w:r>
        <w:rPr>
          <w:rFonts w:hint="eastAsia" w:ascii="宋体" w:hAnsi="宋体" w:eastAsia="新宋体" w:cs="宋体"/>
          <w:color w:val="auto"/>
          <w:szCs w:val="21"/>
          <w:highlight w:val="none"/>
        </w:rPr>
        <w:t>3.本项目的特定资格要求：</w:t>
      </w:r>
      <w:r>
        <w:rPr>
          <w:rFonts w:hint="eastAsia" w:ascii="宋体" w:hAnsi="宋体" w:cs="宋体"/>
          <w:color w:val="auto"/>
          <w:szCs w:val="21"/>
          <w:highlight w:val="none"/>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投标人，不得参与政府采购活动。</w:t>
      </w:r>
    </w:p>
    <w:p>
      <w:pPr>
        <w:pStyle w:val="4"/>
        <w:spacing w:before="20" w:after="20" w:line="400" w:lineRule="exact"/>
        <w:rPr>
          <w:rFonts w:ascii="宋体" w:hAnsi="宋体" w:eastAsia="新宋体" w:cs="宋体"/>
          <w:bCs w:val="0"/>
          <w:color w:val="auto"/>
          <w:sz w:val="21"/>
          <w:szCs w:val="21"/>
          <w:highlight w:val="none"/>
        </w:rPr>
      </w:pPr>
      <w:bookmarkStart w:id="17" w:name="_Toc35393623"/>
      <w:bookmarkStart w:id="18" w:name="_Toc35393792"/>
      <w:r>
        <w:rPr>
          <w:rFonts w:hint="eastAsia" w:ascii="宋体" w:hAnsi="宋体" w:eastAsia="新宋体" w:cs="宋体"/>
          <w:bCs w:val="0"/>
          <w:color w:val="auto"/>
          <w:sz w:val="21"/>
          <w:szCs w:val="21"/>
          <w:highlight w:val="none"/>
        </w:rPr>
        <w:t>三、获取</w:t>
      </w:r>
      <w:r>
        <w:rPr>
          <w:rFonts w:hint="eastAsia" w:ascii="宋体" w:hAnsi="宋体" w:eastAsia="新宋体" w:cs="宋体"/>
          <w:bCs w:val="0"/>
          <w:color w:val="auto"/>
          <w:sz w:val="21"/>
          <w:szCs w:val="21"/>
          <w:highlight w:val="none"/>
          <w:lang w:eastAsia="zh-CN"/>
        </w:rPr>
        <w:t>采购</w:t>
      </w:r>
      <w:r>
        <w:rPr>
          <w:rFonts w:hint="eastAsia" w:ascii="宋体" w:hAnsi="宋体" w:eastAsia="新宋体" w:cs="宋体"/>
          <w:bCs w:val="0"/>
          <w:color w:val="auto"/>
          <w:sz w:val="21"/>
          <w:szCs w:val="21"/>
          <w:highlight w:val="none"/>
        </w:rPr>
        <w:t>文件</w:t>
      </w:r>
      <w:bookmarkEnd w:id="15"/>
      <w:bookmarkEnd w:id="16"/>
      <w:bookmarkEnd w:id="17"/>
      <w:bookmarkEnd w:id="18"/>
      <w:r>
        <w:rPr>
          <w:rFonts w:hint="eastAsia" w:ascii="宋体" w:hAnsi="宋体" w:eastAsia="新宋体" w:cs="宋体"/>
          <w:bCs w:val="0"/>
          <w:color w:val="auto"/>
          <w:sz w:val="21"/>
          <w:szCs w:val="21"/>
          <w:highlight w:val="none"/>
        </w:rPr>
        <w:t>：</w:t>
      </w:r>
    </w:p>
    <w:p>
      <w:pPr>
        <w:spacing w:line="400" w:lineRule="exact"/>
        <w:ind w:firstLine="540"/>
        <w:rPr>
          <w:rFonts w:hint="eastAsia" w:ascii="宋体" w:hAnsi="宋体" w:eastAsia="宋体" w:cs="宋体"/>
          <w:color w:val="auto"/>
          <w:szCs w:val="21"/>
          <w:highlight w:val="none"/>
          <w:lang w:eastAsia="zh-CN"/>
        </w:rPr>
      </w:pPr>
      <w:r>
        <w:rPr>
          <w:rFonts w:hint="eastAsia" w:ascii="宋体" w:hAnsi="宋体" w:eastAsia="新宋体" w:cs="宋体"/>
          <w:color w:val="auto"/>
          <w:szCs w:val="21"/>
          <w:highlight w:val="none"/>
        </w:rPr>
        <w:t>时间：</w:t>
      </w:r>
      <w:r>
        <w:rPr>
          <w:rFonts w:hint="eastAsia" w:ascii="宋体" w:hAnsi="宋体" w:cs="宋体"/>
          <w:color w:val="auto"/>
          <w:szCs w:val="21"/>
          <w:highlight w:val="none"/>
        </w:rPr>
        <w:t>2020年</w:t>
      </w:r>
      <w:r>
        <w:rPr>
          <w:rFonts w:hint="eastAsia" w:ascii="宋体" w:hAnsi="宋体" w:cs="宋体"/>
          <w:color w:val="auto"/>
          <w:szCs w:val="21"/>
          <w:highlight w:val="none"/>
          <w:lang w:val="en-US" w:eastAsia="zh-CN"/>
        </w:rPr>
        <w:t>11</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10</w:t>
      </w:r>
      <w:r>
        <w:rPr>
          <w:rFonts w:hint="eastAsia" w:ascii="宋体" w:hAnsi="宋体" w:cs="宋体"/>
          <w:color w:val="auto"/>
          <w:szCs w:val="21"/>
          <w:highlight w:val="none"/>
        </w:rPr>
        <w:t>日公告发布之时至</w:t>
      </w:r>
      <w:r>
        <w:rPr>
          <w:rFonts w:hint="eastAsia" w:ascii="宋体" w:hAnsi="宋体" w:cs="宋体"/>
          <w:color w:val="auto"/>
          <w:szCs w:val="21"/>
          <w:highlight w:val="none"/>
          <w:lang w:eastAsia="zh-CN"/>
        </w:rPr>
        <w:t>2020年11月18日</w:t>
      </w:r>
    </w:p>
    <w:p>
      <w:pPr>
        <w:spacing w:line="400" w:lineRule="exact"/>
        <w:ind w:firstLine="540"/>
        <w:rPr>
          <w:rFonts w:ascii="宋体" w:hAnsi="宋体" w:cs="宋体"/>
          <w:color w:val="auto"/>
          <w:szCs w:val="21"/>
          <w:highlight w:val="none"/>
          <w:u w:val="single"/>
        </w:rPr>
      </w:pPr>
      <w:bookmarkStart w:id="19" w:name="_Toc28359082"/>
      <w:bookmarkStart w:id="20" w:name="_Toc28359005"/>
      <w:bookmarkStart w:id="21" w:name="_Toc35393793"/>
      <w:bookmarkStart w:id="22" w:name="_Toc35393624"/>
      <w:r>
        <w:rPr>
          <w:rFonts w:hint="eastAsia" w:ascii="宋体" w:hAnsi="宋体" w:cs="宋体"/>
          <w:color w:val="auto"/>
          <w:szCs w:val="21"/>
          <w:highlight w:val="none"/>
        </w:rPr>
        <w:t>地点：http://glggzy.org.cn（桂林市公共资源交易中心网）、</w:t>
      </w:r>
      <w:r>
        <w:rPr>
          <w:rFonts w:hint="eastAsia" w:ascii="宋体" w:hAnsi="宋体" w:cs="宋体"/>
          <w:color w:val="auto"/>
          <w:szCs w:val="21"/>
          <w:highlight w:val="none"/>
          <w:lang w:eastAsia="zh-CN"/>
        </w:rPr>
        <w:t>http://zfcg.czj.guilin.gov.cn/</w:t>
      </w:r>
      <w:r>
        <w:rPr>
          <w:rFonts w:hint="eastAsia" w:ascii="宋体" w:hAnsi="宋体" w:cs="宋体"/>
          <w:color w:val="auto"/>
          <w:szCs w:val="21"/>
          <w:highlight w:val="none"/>
        </w:rPr>
        <w:t>/（桂林市政府采购网）</w:t>
      </w:r>
    </w:p>
    <w:p>
      <w:pPr>
        <w:spacing w:line="400" w:lineRule="exact"/>
        <w:ind w:firstLine="540"/>
        <w:rPr>
          <w:rFonts w:ascii="宋体" w:hAnsi="宋体" w:cs="宋体"/>
          <w:color w:val="auto"/>
          <w:szCs w:val="21"/>
          <w:highlight w:val="none"/>
          <w:u w:val="single"/>
        </w:rPr>
      </w:pPr>
      <w:r>
        <w:rPr>
          <w:rFonts w:hint="eastAsia" w:ascii="宋体" w:hAnsi="宋体" w:cs="宋体"/>
          <w:color w:val="auto"/>
          <w:szCs w:val="21"/>
          <w:highlight w:val="none"/>
        </w:rPr>
        <w:t>方式：潜在投标人自行登陆上述网站于本公告下方自行下载附件。</w:t>
      </w:r>
    </w:p>
    <w:p>
      <w:pPr>
        <w:spacing w:line="400" w:lineRule="exact"/>
        <w:ind w:firstLine="540"/>
        <w:rPr>
          <w:rFonts w:ascii="宋体" w:hAnsi="宋体" w:cs="宋体"/>
          <w:color w:val="auto"/>
          <w:szCs w:val="21"/>
          <w:highlight w:val="none"/>
        </w:rPr>
      </w:pPr>
      <w:r>
        <w:rPr>
          <w:rFonts w:hint="eastAsia" w:ascii="宋体" w:hAnsi="宋体" w:cs="宋体"/>
          <w:color w:val="auto"/>
          <w:szCs w:val="21"/>
          <w:highlight w:val="none"/>
        </w:rPr>
        <w:t>售价：免费获取。</w:t>
      </w:r>
    </w:p>
    <w:p>
      <w:pPr>
        <w:pStyle w:val="4"/>
        <w:spacing w:before="20" w:after="20" w:line="400" w:lineRule="exact"/>
        <w:rPr>
          <w:rFonts w:ascii="宋体" w:hAnsi="宋体" w:eastAsia="新宋体" w:cs="宋体"/>
          <w:bCs w:val="0"/>
          <w:color w:val="auto"/>
          <w:sz w:val="21"/>
          <w:szCs w:val="21"/>
          <w:highlight w:val="none"/>
        </w:rPr>
      </w:pPr>
      <w:r>
        <w:rPr>
          <w:rFonts w:hint="eastAsia" w:ascii="宋体" w:hAnsi="宋体" w:eastAsia="新宋体" w:cs="宋体"/>
          <w:bCs w:val="0"/>
          <w:color w:val="auto"/>
          <w:sz w:val="21"/>
          <w:szCs w:val="21"/>
          <w:highlight w:val="none"/>
        </w:rPr>
        <w:t>四、提交</w:t>
      </w:r>
      <w:r>
        <w:rPr>
          <w:rFonts w:hint="eastAsia" w:ascii="宋体" w:hAnsi="宋体" w:eastAsia="新宋体" w:cs="宋体"/>
          <w:bCs w:val="0"/>
          <w:color w:val="auto"/>
          <w:sz w:val="21"/>
          <w:szCs w:val="21"/>
          <w:highlight w:val="none"/>
          <w:lang w:eastAsia="zh-CN"/>
        </w:rPr>
        <w:t>响应</w:t>
      </w:r>
      <w:r>
        <w:rPr>
          <w:rFonts w:hint="eastAsia" w:ascii="宋体" w:hAnsi="宋体" w:eastAsia="新宋体" w:cs="宋体"/>
          <w:bCs w:val="0"/>
          <w:color w:val="auto"/>
          <w:sz w:val="21"/>
          <w:szCs w:val="21"/>
          <w:highlight w:val="none"/>
        </w:rPr>
        <w:t>文件</w:t>
      </w:r>
      <w:bookmarkEnd w:id="19"/>
      <w:bookmarkEnd w:id="20"/>
      <w:r>
        <w:rPr>
          <w:rFonts w:hint="eastAsia" w:ascii="宋体" w:hAnsi="宋体" w:eastAsia="新宋体" w:cs="宋体"/>
          <w:bCs w:val="0"/>
          <w:color w:val="auto"/>
          <w:sz w:val="21"/>
          <w:szCs w:val="21"/>
          <w:highlight w:val="none"/>
        </w:rPr>
        <w:t>截止时间、开标时间和地点</w:t>
      </w:r>
      <w:bookmarkEnd w:id="21"/>
      <w:bookmarkEnd w:id="22"/>
      <w:r>
        <w:rPr>
          <w:rFonts w:hint="eastAsia" w:ascii="宋体" w:hAnsi="宋体" w:eastAsia="新宋体" w:cs="宋体"/>
          <w:bCs w:val="0"/>
          <w:color w:val="auto"/>
          <w:sz w:val="21"/>
          <w:szCs w:val="21"/>
          <w:highlight w:val="none"/>
        </w:rPr>
        <w:t>：</w:t>
      </w:r>
    </w:p>
    <w:p>
      <w:pPr>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时间：</w:t>
      </w:r>
      <w:r>
        <w:rPr>
          <w:rFonts w:hint="eastAsia" w:ascii="宋体" w:hAnsi="宋体" w:cs="宋体"/>
          <w:bCs/>
          <w:color w:val="auto"/>
          <w:szCs w:val="21"/>
          <w:highlight w:val="none"/>
          <w:lang w:eastAsia="zh-CN"/>
        </w:rPr>
        <w:t>2020年11月18日</w:t>
      </w:r>
      <w:r>
        <w:rPr>
          <w:rFonts w:hint="eastAsia" w:ascii="宋体" w:hAnsi="宋体" w:cs="宋体"/>
          <w:bCs/>
          <w:color w:val="auto"/>
          <w:szCs w:val="21"/>
          <w:highlight w:val="none"/>
          <w:lang w:val="en-US" w:eastAsia="zh-CN"/>
        </w:rPr>
        <w:t>09</w:t>
      </w:r>
      <w:r>
        <w:rPr>
          <w:rFonts w:hint="eastAsia" w:ascii="宋体" w:hAnsi="宋体" w:cs="宋体"/>
          <w:bCs/>
          <w:color w:val="auto"/>
          <w:szCs w:val="21"/>
          <w:highlight w:val="none"/>
          <w:lang w:eastAsia="zh-CN"/>
        </w:rPr>
        <w:t>时</w:t>
      </w:r>
      <w:r>
        <w:rPr>
          <w:rFonts w:hint="eastAsia" w:ascii="宋体" w:hAnsi="宋体" w:cs="宋体"/>
          <w:bCs/>
          <w:color w:val="auto"/>
          <w:szCs w:val="21"/>
          <w:highlight w:val="none"/>
        </w:rPr>
        <w:t>30分</w:t>
      </w: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地点：携带本人身份证及复印件、委托代理人还需提供授权委托书（以上材料均须加盖投标人公章，不须密封，单独提交），将</w:t>
      </w:r>
      <w:r>
        <w:rPr>
          <w:rFonts w:hint="eastAsia" w:ascii="宋体" w:hAnsi="宋体" w:cs="宋体"/>
          <w:color w:val="auto"/>
          <w:szCs w:val="21"/>
          <w:highlight w:val="none"/>
          <w:lang w:eastAsia="zh-CN"/>
        </w:rPr>
        <w:t>竞标</w:t>
      </w:r>
      <w:r>
        <w:rPr>
          <w:rFonts w:hint="eastAsia" w:ascii="宋体" w:hAnsi="宋体" w:cs="宋体"/>
          <w:color w:val="auto"/>
          <w:szCs w:val="21"/>
          <w:highlight w:val="none"/>
        </w:rPr>
        <w:t>文件密封提交至桂林市公共资源交易中心</w:t>
      </w:r>
      <w:r>
        <w:rPr>
          <w:rFonts w:hint="eastAsia" w:ascii="宋体" w:hAnsi="宋体" w:cs="宋体"/>
          <w:color w:val="auto"/>
          <w:szCs w:val="21"/>
          <w:highlight w:val="none"/>
          <w:lang w:eastAsia="zh-CN"/>
        </w:rPr>
        <w:t>12号开标室</w:t>
      </w:r>
      <w:r>
        <w:rPr>
          <w:rFonts w:hint="eastAsia" w:ascii="宋体" w:hAnsi="宋体" w:cs="宋体"/>
          <w:color w:val="auto"/>
          <w:szCs w:val="21"/>
          <w:highlight w:val="none"/>
        </w:rPr>
        <w:t>（广西桂林市临桂区西城中路69号创业大厦西辅楼4楼北区），未携带以上相关材料递交的或逾期送达的或未按照</w:t>
      </w:r>
      <w:r>
        <w:rPr>
          <w:rFonts w:hint="eastAsia" w:ascii="宋体" w:hAnsi="宋体" w:cs="宋体"/>
          <w:color w:val="auto"/>
          <w:szCs w:val="21"/>
          <w:highlight w:val="none"/>
          <w:lang w:eastAsia="zh-CN"/>
        </w:rPr>
        <w:t>谈判</w:t>
      </w:r>
      <w:r>
        <w:rPr>
          <w:rFonts w:hint="eastAsia" w:ascii="宋体" w:hAnsi="宋体" w:cs="宋体"/>
          <w:color w:val="auto"/>
          <w:szCs w:val="21"/>
          <w:highlight w:val="none"/>
        </w:rPr>
        <w:t>文件要求密封的</w:t>
      </w:r>
      <w:r>
        <w:rPr>
          <w:rFonts w:hint="eastAsia" w:ascii="宋体" w:hAnsi="宋体" w:cs="宋体"/>
          <w:color w:val="auto"/>
          <w:szCs w:val="21"/>
          <w:highlight w:val="none"/>
          <w:lang w:eastAsia="zh-CN"/>
        </w:rPr>
        <w:t>竞标</w:t>
      </w:r>
      <w:r>
        <w:rPr>
          <w:rFonts w:hint="eastAsia" w:ascii="宋体" w:hAnsi="宋体" w:cs="宋体"/>
          <w:color w:val="auto"/>
          <w:szCs w:val="21"/>
          <w:highlight w:val="none"/>
        </w:rPr>
        <w:t>文件将予以拒收。</w:t>
      </w:r>
    </w:p>
    <w:p>
      <w:pPr>
        <w:pStyle w:val="4"/>
        <w:spacing w:before="20" w:after="20" w:line="400" w:lineRule="exact"/>
        <w:rPr>
          <w:rFonts w:ascii="宋体" w:hAnsi="宋体" w:eastAsia="新宋体" w:cs="宋体"/>
          <w:bCs w:val="0"/>
          <w:color w:val="auto"/>
          <w:sz w:val="21"/>
          <w:szCs w:val="21"/>
          <w:highlight w:val="none"/>
        </w:rPr>
      </w:pPr>
      <w:bookmarkStart w:id="23" w:name="_Toc28359084"/>
      <w:bookmarkStart w:id="24" w:name="_Toc35393794"/>
      <w:bookmarkStart w:id="25" w:name="_Toc35393625"/>
      <w:bookmarkStart w:id="26" w:name="_Toc28359007"/>
      <w:r>
        <w:rPr>
          <w:rFonts w:hint="eastAsia" w:ascii="宋体" w:hAnsi="宋体" w:eastAsia="新宋体" w:cs="宋体"/>
          <w:bCs w:val="0"/>
          <w:color w:val="auto"/>
          <w:sz w:val="21"/>
          <w:szCs w:val="21"/>
          <w:highlight w:val="none"/>
        </w:rPr>
        <w:t>五、公告期限</w:t>
      </w:r>
      <w:bookmarkEnd w:id="23"/>
      <w:bookmarkEnd w:id="24"/>
      <w:bookmarkEnd w:id="25"/>
      <w:bookmarkEnd w:id="26"/>
      <w:r>
        <w:rPr>
          <w:rFonts w:hint="eastAsia" w:ascii="宋体" w:hAnsi="宋体" w:eastAsia="新宋体" w:cs="宋体"/>
          <w:bCs w:val="0"/>
          <w:color w:val="auto"/>
          <w:sz w:val="21"/>
          <w:szCs w:val="21"/>
          <w:highlight w:val="none"/>
        </w:rPr>
        <w:t>：</w:t>
      </w:r>
    </w:p>
    <w:p>
      <w:pPr>
        <w:spacing w:line="400" w:lineRule="exact"/>
        <w:ind w:firstLine="422" w:firstLineChars="200"/>
        <w:rPr>
          <w:rFonts w:ascii="宋体" w:hAnsi="宋体" w:eastAsia="新宋体" w:cs="宋体"/>
          <w:b/>
          <w:bCs/>
          <w:color w:val="auto"/>
          <w:kern w:val="0"/>
          <w:szCs w:val="21"/>
          <w:highlight w:val="none"/>
        </w:rPr>
      </w:pPr>
      <w:r>
        <w:rPr>
          <w:rFonts w:hint="eastAsia" w:asciiTheme="minorEastAsia" w:hAnsiTheme="minorEastAsia" w:eastAsiaTheme="minorEastAsia" w:cstheme="minorEastAsia"/>
          <w:b/>
          <w:bCs/>
          <w:color w:val="auto"/>
          <w:kern w:val="0"/>
          <w:szCs w:val="21"/>
          <w:highlight w:val="none"/>
        </w:rPr>
        <w:t>自本公告发布之日起</w:t>
      </w:r>
      <w:r>
        <w:rPr>
          <w:rFonts w:hint="eastAsia" w:asciiTheme="minorEastAsia" w:hAnsiTheme="minorEastAsia" w:eastAsiaTheme="minorEastAsia" w:cstheme="minorEastAsia"/>
          <w:b/>
          <w:bCs/>
          <w:color w:val="auto"/>
          <w:kern w:val="0"/>
          <w:szCs w:val="21"/>
          <w:highlight w:val="none"/>
          <w:lang w:val="en-US" w:eastAsia="zh-CN"/>
        </w:rPr>
        <w:t>5</w:t>
      </w:r>
      <w:r>
        <w:rPr>
          <w:rFonts w:hint="eastAsia" w:asciiTheme="minorEastAsia" w:hAnsiTheme="minorEastAsia" w:eastAsiaTheme="minorEastAsia" w:cstheme="minorEastAsia"/>
          <w:b/>
          <w:bCs/>
          <w:color w:val="auto"/>
          <w:kern w:val="0"/>
          <w:szCs w:val="21"/>
          <w:highlight w:val="none"/>
        </w:rPr>
        <w:t>个工作日</w:t>
      </w:r>
      <w:r>
        <w:rPr>
          <w:rFonts w:hint="eastAsia" w:ascii="宋体" w:hAnsi="宋体" w:eastAsia="新宋体" w:cs="宋体"/>
          <w:b/>
          <w:bCs/>
          <w:color w:val="auto"/>
          <w:kern w:val="0"/>
          <w:szCs w:val="21"/>
          <w:highlight w:val="none"/>
        </w:rPr>
        <w:t>。</w:t>
      </w:r>
    </w:p>
    <w:p>
      <w:pPr>
        <w:pStyle w:val="4"/>
        <w:spacing w:before="20" w:after="20" w:line="400" w:lineRule="exact"/>
        <w:rPr>
          <w:rFonts w:ascii="宋体" w:hAnsi="宋体" w:eastAsia="新宋体" w:cs="宋体"/>
          <w:bCs w:val="0"/>
          <w:color w:val="auto"/>
          <w:sz w:val="21"/>
          <w:szCs w:val="21"/>
          <w:highlight w:val="none"/>
        </w:rPr>
      </w:pPr>
      <w:bookmarkStart w:id="27" w:name="_Toc35393795"/>
      <w:bookmarkStart w:id="28" w:name="_Toc35393626"/>
      <w:r>
        <w:rPr>
          <w:rFonts w:hint="eastAsia" w:ascii="宋体" w:hAnsi="宋体" w:eastAsia="新宋体" w:cs="宋体"/>
          <w:bCs w:val="0"/>
          <w:color w:val="auto"/>
          <w:sz w:val="21"/>
          <w:szCs w:val="21"/>
          <w:highlight w:val="none"/>
        </w:rPr>
        <w:t>六、其他补充事宜</w:t>
      </w:r>
      <w:bookmarkEnd w:id="27"/>
      <w:bookmarkEnd w:id="28"/>
      <w:r>
        <w:rPr>
          <w:rFonts w:hint="eastAsia" w:ascii="宋体" w:hAnsi="宋体" w:eastAsia="新宋体" w:cs="宋体"/>
          <w:bCs w:val="0"/>
          <w:color w:val="auto"/>
          <w:sz w:val="21"/>
          <w:szCs w:val="21"/>
          <w:highlight w:val="none"/>
        </w:rPr>
        <w:t>：</w:t>
      </w:r>
    </w:p>
    <w:p>
      <w:pPr>
        <w:pStyle w:val="32"/>
        <w:spacing w:line="400" w:lineRule="exact"/>
        <w:rPr>
          <w:rFonts w:hint="eastAsia" w:ascii="宋体" w:hAnsi="宋体" w:cs="宋体"/>
          <w:color w:val="auto"/>
          <w:szCs w:val="21"/>
          <w:highlight w:val="none"/>
          <w:lang w:eastAsia="zh-CN"/>
        </w:rPr>
      </w:pP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信息公告发布媒体：</w:t>
      </w:r>
      <w:r>
        <w:rPr>
          <w:rFonts w:hint="eastAsia" w:ascii="宋体" w:hAnsi="宋体" w:cs="宋体"/>
          <w:color w:val="auto"/>
          <w:szCs w:val="21"/>
          <w:highlight w:val="none"/>
          <w:u w:val="none"/>
        </w:rPr>
        <w:t>http://www.ccgp.gov.cn（中国政府采购网）、http://zfcg.gxzf.gov.cn/（广西壮族自治区政府采购网）、</w:t>
      </w:r>
      <w:r>
        <w:rPr>
          <w:rFonts w:hint="eastAsia" w:ascii="宋体" w:hAnsi="宋体" w:cs="宋体"/>
          <w:color w:val="auto"/>
          <w:szCs w:val="21"/>
          <w:highlight w:val="none"/>
          <w:u w:val="none"/>
          <w:lang w:eastAsia="zh-CN"/>
        </w:rPr>
        <w:t>http://zfcg.czj.guilin.gov.cn//</w:t>
      </w:r>
      <w:r>
        <w:rPr>
          <w:rFonts w:hint="eastAsia" w:ascii="宋体" w:hAnsi="宋体" w:cs="宋体"/>
          <w:color w:val="auto"/>
          <w:szCs w:val="21"/>
          <w:highlight w:val="none"/>
          <w:u w:val="none"/>
        </w:rPr>
        <w:t>（桂林市政府采购网）、http://glggzy.org.cn（桂林市公共资源交易中心）</w:t>
      </w:r>
      <w:r>
        <w:rPr>
          <w:rFonts w:hint="eastAsia" w:ascii="宋体" w:hAnsi="宋体" w:cs="宋体"/>
          <w:color w:val="auto"/>
          <w:szCs w:val="21"/>
          <w:highlight w:val="none"/>
          <w:u w:val="none"/>
          <w:lang w:eastAsia="zh-CN"/>
        </w:rPr>
        <w:t>。</w:t>
      </w:r>
    </w:p>
    <w:p>
      <w:pPr>
        <w:pStyle w:val="14"/>
        <w:widowControl w:val="0"/>
        <w:spacing w:before="0" w:beforeAutospacing="0" w:after="0" w:afterAutospacing="0"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2.本项目需要落实的政府采购政策：</w:t>
      </w:r>
    </w:p>
    <w:p>
      <w:pPr>
        <w:pStyle w:val="14"/>
        <w:widowControl w:val="0"/>
        <w:spacing w:before="0" w:beforeAutospacing="0" w:after="0" w:afterAutospacing="0" w:line="400" w:lineRule="exact"/>
        <w:ind w:firstLine="420" w:firstLineChars="200"/>
        <w:jc w:val="both"/>
        <w:rPr>
          <w:color w:val="auto"/>
          <w:highlight w:val="none"/>
        </w:rPr>
      </w:pPr>
      <w:r>
        <w:rPr>
          <w:rFonts w:hint="eastAsia" w:eastAsia="新宋体"/>
          <w:color w:val="auto"/>
          <w:sz w:val="21"/>
          <w:szCs w:val="21"/>
          <w:highlight w:val="none"/>
        </w:rPr>
        <w:t>（</w:t>
      </w:r>
      <w:r>
        <w:rPr>
          <w:rFonts w:hint="eastAsia"/>
          <w:color w:val="auto"/>
          <w:kern w:val="2"/>
          <w:sz w:val="21"/>
          <w:szCs w:val="21"/>
          <w:highlight w:val="none"/>
        </w:rPr>
        <w:t>1）</w:t>
      </w:r>
      <w:r>
        <w:rPr>
          <w:rFonts w:hint="eastAsia"/>
          <w:color w:val="auto"/>
          <w:sz w:val="21"/>
          <w:szCs w:val="21"/>
          <w:highlight w:val="none"/>
        </w:rPr>
        <w:t>《政府采购促进中小企业发展暂行办法》（财库[2011]181号）</w:t>
      </w:r>
      <w:r>
        <w:rPr>
          <w:rFonts w:hint="eastAsia"/>
          <w:color w:val="auto"/>
          <w:kern w:val="2"/>
          <w:sz w:val="21"/>
          <w:szCs w:val="21"/>
          <w:highlight w:val="none"/>
        </w:rPr>
        <w:t>；本项目非专门面向中小微企业采购。</w:t>
      </w:r>
    </w:p>
    <w:p>
      <w:pPr>
        <w:pStyle w:val="14"/>
        <w:widowControl w:val="0"/>
        <w:spacing w:before="0" w:beforeAutospacing="0" w:after="0" w:afterAutospacing="0" w:line="400" w:lineRule="exact"/>
        <w:ind w:firstLine="420" w:firstLineChars="200"/>
        <w:jc w:val="both"/>
        <w:rPr>
          <w:color w:val="auto"/>
          <w:highlight w:val="none"/>
        </w:rPr>
      </w:pPr>
      <w:r>
        <w:rPr>
          <w:rFonts w:hint="eastAsia"/>
          <w:color w:val="auto"/>
          <w:kern w:val="2"/>
          <w:sz w:val="21"/>
          <w:szCs w:val="21"/>
          <w:highlight w:val="none"/>
        </w:rPr>
        <w:t>（2）强制、优先采购节能、环保产品。</w:t>
      </w:r>
    </w:p>
    <w:p>
      <w:pPr>
        <w:pStyle w:val="14"/>
        <w:widowControl w:val="0"/>
        <w:spacing w:before="0" w:beforeAutospacing="0" w:after="0" w:afterAutospacing="0" w:line="400" w:lineRule="exact"/>
        <w:ind w:firstLine="420" w:firstLineChars="200"/>
        <w:jc w:val="both"/>
        <w:rPr>
          <w:color w:val="auto"/>
          <w:highlight w:val="none"/>
        </w:rPr>
      </w:pPr>
      <w:r>
        <w:rPr>
          <w:rFonts w:hint="eastAsia"/>
          <w:color w:val="auto"/>
          <w:kern w:val="2"/>
          <w:sz w:val="21"/>
          <w:szCs w:val="21"/>
          <w:highlight w:val="none"/>
        </w:rPr>
        <w:t>（</w:t>
      </w:r>
      <w:r>
        <w:rPr>
          <w:rFonts w:hint="eastAsia"/>
          <w:color w:val="auto"/>
          <w:kern w:val="2"/>
          <w:sz w:val="21"/>
          <w:szCs w:val="21"/>
          <w:highlight w:val="none"/>
          <w:lang w:val="en-US" w:eastAsia="zh-CN"/>
        </w:rPr>
        <w:t>3</w:t>
      </w:r>
      <w:r>
        <w:rPr>
          <w:rFonts w:hint="eastAsia"/>
          <w:color w:val="auto"/>
          <w:kern w:val="2"/>
          <w:sz w:val="21"/>
          <w:szCs w:val="21"/>
          <w:highlight w:val="none"/>
        </w:rPr>
        <w:t>）</w:t>
      </w:r>
      <w:r>
        <w:rPr>
          <w:rFonts w:hint="eastAsia"/>
          <w:color w:val="auto"/>
          <w:sz w:val="21"/>
          <w:szCs w:val="21"/>
          <w:highlight w:val="none"/>
        </w:rPr>
        <w:t>《关于促进残疾人就业政府采购政策的通知》（财库[2017]141号）</w:t>
      </w:r>
      <w:r>
        <w:rPr>
          <w:rFonts w:hint="eastAsia"/>
          <w:color w:val="auto"/>
          <w:kern w:val="2"/>
          <w:sz w:val="21"/>
          <w:szCs w:val="21"/>
          <w:highlight w:val="none"/>
        </w:rPr>
        <w:t>。</w:t>
      </w:r>
    </w:p>
    <w:p>
      <w:pPr>
        <w:pStyle w:val="14"/>
        <w:widowControl w:val="0"/>
        <w:spacing w:before="0" w:beforeAutospacing="0" w:after="0" w:afterAutospacing="0" w:line="400" w:lineRule="exact"/>
        <w:ind w:firstLine="420" w:firstLineChars="200"/>
        <w:jc w:val="both"/>
        <w:rPr>
          <w:rFonts w:hint="eastAsia"/>
          <w:color w:val="auto"/>
          <w:sz w:val="21"/>
          <w:szCs w:val="21"/>
          <w:highlight w:val="none"/>
        </w:rPr>
      </w:pPr>
      <w:r>
        <w:rPr>
          <w:rFonts w:hint="eastAsia"/>
          <w:color w:val="auto"/>
          <w:kern w:val="2"/>
          <w:sz w:val="21"/>
          <w:szCs w:val="21"/>
          <w:highlight w:val="none"/>
        </w:rPr>
        <w:t>（</w:t>
      </w:r>
      <w:r>
        <w:rPr>
          <w:rFonts w:hint="eastAsia"/>
          <w:color w:val="auto"/>
          <w:kern w:val="2"/>
          <w:sz w:val="21"/>
          <w:szCs w:val="21"/>
          <w:highlight w:val="none"/>
          <w:lang w:val="en-US" w:eastAsia="zh-CN"/>
        </w:rPr>
        <w:t>4</w:t>
      </w:r>
      <w:r>
        <w:rPr>
          <w:rFonts w:hint="eastAsia"/>
          <w:color w:val="auto"/>
          <w:kern w:val="2"/>
          <w:sz w:val="21"/>
          <w:szCs w:val="21"/>
          <w:highlight w:val="none"/>
        </w:rPr>
        <w:t>）</w:t>
      </w:r>
      <w:r>
        <w:rPr>
          <w:rFonts w:hint="eastAsia"/>
          <w:color w:val="auto"/>
          <w:sz w:val="21"/>
          <w:szCs w:val="21"/>
          <w:highlight w:val="none"/>
        </w:rPr>
        <w:t>《关于政府采购支持监狱企业发展有关问题的通知》（财库[2014]68号）。</w:t>
      </w:r>
    </w:p>
    <w:p>
      <w:pPr>
        <w:pStyle w:val="14"/>
        <w:widowControl w:val="0"/>
        <w:spacing w:before="0" w:beforeAutospacing="0" w:after="0" w:afterAutospacing="0" w:line="400" w:lineRule="exact"/>
        <w:ind w:firstLine="420" w:firstLineChars="200"/>
        <w:jc w:val="both"/>
        <w:rPr>
          <w:rFonts w:hint="default" w:ascii="宋体" w:hAnsi="宋体" w:cs="宋体"/>
          <w:color w:val="auto"/>
          <w:szCs w:val="21"/>
          <w:highlight w:val="none"/>
          <w:lang w:val="en-US" w:eastAsia="zh-CN"/>
        </w:rPr>
      </w:pPr>
      <w:r>
        <w:rPr>
          <w:rFonts w:hint="eastAsia"/>
          <w:color w:val="auto"/>
          <w:kern w:val="2"/>
          <w:sz w:val="21"/>
          <w:szCs w:val="21"/>
          <w:highlight w:val="none"/>
        </w:rPr>
        <w:t>（</w:t>
      </w:r>
      <w:r>
        <w:rPr>
          <w:rFonts w:hint="eastAsia"/>
          <w:color w:val="auto"/>
          <w:kern w:val="2"/>
          <w:sz w:val="21"/>
          <w:szCs w:val="21"/>
          <w:highlight w:val="none"/>
          <w:lang w:val="en-US" w:eastAsia="zh-CN"/>
        </w:rPr>
        <w:t>5</w:t>
      </w:r>
      <w:r>
        <w:rPr>
          <w:rFonts w:hint="eastAsia"/>
          <w:color w:val="auto"/>
          <w:kern w:val="2"/>
          <w:sz w:val="21"/>
          <w:szCs w:val="21"/>
          <w:highlight w:val="none"/>
        </w:rPr>
        <w:t>）</w:t>
      </w:r>
      <w:r>
        <w:rPr>
          <w:rFonts w:hint="eastAsia" w:ascii="宋体" w:hAnsi="宋体" w:eastAsia="宋体" w:cs="Times New Roman"/>
          <w:b w:val="0"/>
          <w:bCs w:val="0"/>
          <w:color w:val="auto"/>
          <w:kern w:val="2"/>
          <w:sz w:val="21"/>
          <w:szCs w:val="21"/>
          <w:highlight w:val="none"/>
          <w:lang w:val="en-US" w:eastAsia="zh-CN" w:bidi="ar-SA"/>
        </w:rPr>
        <w:t>《广西壮族自治区人民政府办公厅关于印发招标采购促进广西工业产品产销对接实施细则的通知》（桂政办发【2015】78 号）。</w:t>
      </w:r>
    </w:p>
    <w:p>
      <w:pPr>
        <w:pStyle w:val="4"/>
        <w:spacing w:before="20" w:after="20" w:line="400" w:lineRule="exact"/>
        <w:rPr>
          <w:rFonts w:ascii="宋体" w:hAnsi="宋体" w:eastAsia="新宋体" w:cs="宋体"/>
          <w:bCs w:val="0"/>
          <w:color w:val="auto"/>
          <w:sz w:val="21"/>
          <w:szCs w:val="21"/>
          <w:highlight w:val="none"/>
        </w:rPr>
      </w:pPr>
      <w:bookmarkStart w:id="29" w:name="_Toc28359008"/>
      <w:bookmarkStart w:id="30" w:name="_Toc28359085"/>
      <w:bookmarkStart w:id="31" w:name="_Toc35393796"/>
      <w:bookmarkStart w:id="32" w:name="_Toc35393627"/>
      <w:r>
        <w:rPr>
          <w:rFonts w:hint="eastAsia" w:ascii="宋体" w:hAnsi="宋体" w:eastAsia="新宋体" w:cs="宋体"/>
          <w:bCs w:val="0"/>
          <w:color w:val="auto"/>
          <w:sz w:val="21"/>
          <w:szCs w:val="21"/>
          <w:highlight w:val="none"/>
        </w:rPr>
        <w:t>七、对本次招标提出询问，请按以下方式联系。</w:t>
      </w:r>
      <w:bookmarkEnd w:id="29"/>
      <w:bookmarkEnd w:id="30"/>
      <w:bookmarkEnd w:id="31"/>
      <w:bookmarkEnd w:id="32"/>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1.采购人名称：桂林市临桂区城市管理监督局</w:t>
      </w:r>
    </w:p>
    <w:p>
      <w:pPr>
        <w:spacing w:line="400" w:lineRule="exact"/>
        <w:rPr>
          <w:rFonts w:hint="eastAsia" w:ascii="宋体" w:hAnsi="宋体"/>
          <w:color w:val="auto"/>
          <w:szCs w:val="21"/>
          <w:highlight w:val="none"/>
        </w:rPr>
      </w:pPr>
      <w:r>
        <w:rPr>
          <w:rFonts w:hint="eastAsia" w:ascii="宋体" w:hAnsi="宋体"/>
          <w:color w:val="auto"/>
          <w:szCs w:val="21"/>
          <w:highlight w:val="none"/>
        </w:rPr>
        <w:t xml:space="preserve">      地址：</w:t>
      </w:r>
      <w:r>
        <w:rPr>
          <w:rFonts w:hint="eastAsia" w:ascii="宋体" w:hAnsi="宋体"/>
          <w:color w:val="auto"/>
          <w:szCs w:val="21"/>
          <w:highlight w:val="none"/>
          <w:lang w:val="en-US" w:eastAsia="zh-CN"/>
        </w:rPr>
        <w:t>桂林市临桂区金水路金水公园</w:t>
      </w:r>
      <w:r>
        <w:rPr>
          <w:rFonts w:hint="eastAsia" w:ascii="宋体" w:hAnsi="宋体"/>
          <w:color w:val="auto"/>
          <w:szCs w:val="21"/>
          <w:highlight w:val="none"/>
        </w:rPr>
        <w:fldChar w:fldCharType="begin"/>
      </w:r>
      <w:r>
        <w:rPr>
          <w:rFonts w:hint="eastAsia" w:ascii="宋体" w:hAnsi="宋体"/>
          <w:color w:val="auto"/>
          <w:szCs w:val="21"/>
          <w:highlight w:val="none"/>
        </w:rPr>
        <w:instrText xml:space="preserve"> HYPERLINK "https://ditu.so.com/?type=drive&amp;src=onebox&amp;start=&amp;end=110.669328,25.605894$$兴安镇妇幼保健院" \t "https://www.so.com/_blank" </w:instrText>
      </w:r>
      <w:r>
        <w:rPr>
          <w:rFonts w:hint="eastAsia" w:ascii="宋体" w:hAnsi="宋体"/>
          <w:color w:val="auto"/>
          <w:szCs w:val="21"/>
          <w:highlight w:val="none"/>
        </w:rPr>
        <w:fldChar w:fldCharType="separate"/>
      </w:r>
      <w:r>
        <w:rPr>
          <w:rFonts w:hint="eastAsia" w:ascii="宋体" w:hAnsi="宋体"/>
          <w:color w:val="auto"/>
          <w:szCs w:val="21"/>
          <w:highlight w:val="none"/>
        </w:rPr>
        <w:fldChar w:fldCharType="end"/>
      </w:r>
    </w:p>
    <w:p>
      <w:pPr>
        <w:spacing w:line="400" w:lineRule="exact"/>
        <w:ind w:firstLine="420" w:firstLineChars="200"/>
        <w:rPr>
          <w:rFonts w:hint="eastAsia" w:ascii="宋体" w:hAnsi="宋体"/>
          <w:color w:val="auto"/>
          <w:szCs w:val="21"/>
          <w:highlight w:val="none"/>
          <w:lang w:val="en-US" w:eastAsia="zh-CN"/>
        </w:rPr>
      </w:pPr>
      <w:r>
        <w:rPr>
          <w:rFonts w:hint="eastAsia" w:ascii="宋体" w:hAnsi="宋体"/>
          <w:color w:val="auto"/>
          <w:szCs w:val="21"/>
          <w:highlight w:val="none"/>
        </w:rPr>
        <w:t xml:space="preserve">  联系人：</w:t>
      </w:r>
      <w:r>
        <w:rPr>
          <w:rFonts w:hint="eastAsia" w:ascii="宋体" w:hAnsi="宋体"/>
          <w:color w:val="auto"/>
          <w:szCs w:val="21"/>
          <w:highlight w:val="none"/>
          <w:lang w:eastAsia="zh-CN"/>
        </w:rPr>
        <w:t>邱</w:t>
      </w:r>
      <w:r>
        <w:rPr>
          <w:rFonts w:hint="eastAsia" w:ascii="宋体" w:hAnsi="宋体"/>
          <w:color w:val="auto"/>
          <w:szCs w:val="21"/>
          <w:highlight w:val="none"/>
          <w:lang w:val="en-US" w:eastAsia="zh-CN"/>
        </w:rPr>
        <w:t xml:space="preserve"> 工</w:t>
      </w:r>
      <w:r>
        <w:rPr>
          <w:rFonts w:hint="eastAsia" w:ascii="宋体" w:hAnsi="宋体"/>
          <w:color w:val="auto"/>
          <w:szCs w:val="21"/>
          <w:highlight w:val="none"/>
        </w:rPr>
        <w:t xml:space="preserve">         联系电话：</w:t>
      </w:r>
      <w:r>
        <w:rPr>
          <w:rFonts w:hint="eastAsia" w:ascii="宋体" w:hAnsi="宋体"/>
          <w:color w:val="auto"/>
          <w:szCs w:val="21"/>
          <w:highlight w:val="none"/>
          <w:lang w:val="en-US" w:eastAsia="zh-CN"/>
        </w:rPr>
        <w:t xml:space="preserve">0773-5598133 </w:t>
      </w:r>
    </w:p>
    <w:p>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 xml:space="preserve">2.采购代理机构：大成工程咨询有限公司              </w:t>
      </w:r>
    </w:p>
    <w:p>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 xml:space="preserve">  地址：临桂区飞扬国际T6幢13层　</w:t>
      </w:r>
    </w:p>
    <w:p>
      <w:pPr>
        <w:spacing w:line="400" w:lineRule="exact"/>
        <w:ind w:firstLine="420" w:firstLineChars="200"/>
        <w:rPr>
          <w:rFonts w:hint="eastAsia" w:ascii="宋体" w:hAnsi="宋体" w:eastAsia="宋体"/>
          <w:color w:val="auto"/>
          <w:szCs w:val="21"/>
          <w:highlight w:val="none"/>
          <w:lang w:eastAsia="zh-CN"/>
        </w:rPr>
      </w:pPr>
      <w:r>
        <w:rPr>
          <w:rFonts w:hint="eastAsia" w:ascii="宋体" w:hAnsi="宋体"/>
          <w:color w:val="auto"/>
          <w:szCs w:val="21"/>
          <w:highlight w:val="none"/>
        </w:rPr>
        <w:t xml:space="preserve">  项目联系人：</w:t>
      </w:r>
      <w:r>
        <w:rPr>
          <w:rFonts w:hint="eastAsia" w:ascii="宋体" w:hAnsi="宋体"/>
          <w:color w:val="auto"/>
          <w:szCs w:val="21"/>
          <w:highlight w:val="none"/>
          <w:lang w:eastAsia="zh-CN"/>
        </w:rPr>
        <w:t>莫工</w:t>
      </w:r>
      <w:r>
        <w:rPr>
          <w:rFonts w:hint="eastAsia" w:ascii="宋体" w:hAnsi="宋体"/>
          <w:color w:val="auto"/>
          <w:szCs w:val="21"/>
          <w:highlight w:val="none"/>
        </w:rPr>
        <w:t xml:space="preserve">       联系电话:0773-</w:t>
      </w:r>
      <w:r>
        <w:rPr>
          <w:rFonts w:hint="eastAsia" w:ascii="宋体" w:hAnsi="宋体"/>
          <w:color w:val="auto"/>
          <w:szCs w:val="21"/>
          <w:highlight w:val="none"/>
          <w:lang w:eastAsia="zh-CN"/>
        </w:rPr>
        <w:t>3663220</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Cs w:val="21"/>
          <w:highlight w:val="none"/>
          <w:lang w:eastAsia="zh-CN"/>
        </w:rPr>
      </w:pPr>
      <w:r>
        <w:rPr>
          <w:rFonts w:hint="eastAsia" w:ascii="宋体" w:hAnsi="宋体"/>
          <w:color w:val="auto"/>
          <w:szCs w:val="21"/>
          <w:highlight w:val="none"/>
        </w:rPr>
        <w:t>3.政府采购监督管理机构：</w:t>
      </w:r>
      <w:r>
        <w:rPr>
          <w:rFonts w:hint="eastAsia" w:ascii="宋体" w:hAnsi="宋体" w:cs="宋体"/>
          <w:color w:val="auto"/>
          <w:szCs w:val="21"/>
          <w:highlight w:val="none"/>
          <w:lang w:eastAsia="zh-CN"/>
        </w:rPr>
        <w:t>桂林市临桂区财政局政府采购监督管理股</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电话：</w:t>
      </w:r>
      <w:r>
        <w:rPr>
          <w:rFonts w:hint="eastAsia" w:ascii="宋体" w:hAnsi="宋体" w:cs="宋体"/>
          <w:color w:val="auto"/>
          <w:szCs w:val="21"/>
          <w:highlight w:val="none"/>
          <w:lang w:eastAsia="zh-CN"/>
        </w:rPr>
        <w:t xml:space="preserve">0773-5593932 </w:t>
      </w:r>
    </w:p>
    <w:p>
      <w:pPr>
        <w:spacing w:line="400" w:lineRule="exact"/>
        <w:ind w:firstLine="420" w:firstLineChars="200"/>
        <w:rPr>
          <w:rFonts w:hint="eastAsia" w:ascii="宋体" w:hAnsi="宋体"/>
          <w:color w:val="auto"/>
          <w:szCs w:val="21"/>
          <w:highlight w:val="none"/>
        </w:rPr>
      </w:pPr>
    </w:p>
    <w:p>
      <w:pPr>
        <w:spacing w:line="400" w:lineRule="exact"/>
        <w:ind w:firstLine="2730" w:firstLineChars="1300"/>
        <w:jc w:val="right"/>
        <w:rPr>
          <w:rFonts w:hint="eastAsia" w:ascii="宋体" w:hAnsi="宋体"/>
          <w:color w:val="auto"/>
          <w:szCs w:val="21"/>
          <w:highlight w:val="none"/>
        </w:rPr>
      </w:pPr>
      <w:r>
        <w:rPr>
          <w:rFonts w:hint="eastAsia" w:ascii="宋体" w:hAnsi="宋体"/>
          <w:color w:val="auto"/>
          <w:szCs w:val="21"/>
          <w:highlight w:val="none"/>
        </w:rPr>
        <w:t>大成工程咨询有限公司</w:t>
      </w:r>
    </w:p>
    <w:p>
      <w:pPr>
        <w:spacing w:line="400" w:lineRule="exact"/>
        <w:ind w:firstLine="2730" w:firstLineChars="1300"/>
        <w:jc w:val="righ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2020年</w:t>
      </w:r>
      <w:r>
        <w:rPr>
          <w:rFonts w:hint="eastAsia" w:ascii="宋体" w:hAnsi="宋体"/>
          <w:color w:val="auto"/>
          <w:szCs w:val="21"/>
          <w:highlight w:val="none"/>
          <w:lang w:val="en-US" w:eastAsia="zh-CN"/>
        </w:rPr>
        <w:t>11</w:t>
      </w:r>
      <w:r>
        <w:rPr>
          <w:rFonts w:hint="eastAsia" w:ascii="宋体" w:hAnsi="宋体"/>
          <w:color w:val="auto"/>
          <w:szCs w:val="21"/>
          <w:highlight w:val="none"/>
          <w:lang w:eastAsia="zh-CN"/>
        </w:rPr>
        <w:t>月</w:t>
      </w:r>
      <w:r>
        <w:rPr>
          <w:rFonts w:hint="eastAsia" w:ascii="宋体" w:hAnsi="宋体"/>
          <w:color w:val="auto"/>
          <w:szCs w:val="21"/>
          <w:highlight w:val="none"/>
          <w:lang w:val="en-US" w:eastAsia="zh-CN"/>
        </w:rPr>
        <w:t>10</w:t>
      </w:r>
      <w:r>
        <w:rPr>
          <w:rFonts w:hint="eastAsia" w:ascii="宋体" w:hAnsi="宋体"/>
          <w:color w:val="auto"/>
          <w:szCs w:val="21"/>
          <w:highlight w:val="none"/>
          <w:lang w:eastAsia="zh-CN"/>
        </w:rPr>
        <w:t>日</w:t>
      </w:r>
    </w:p>
    <w:p>
      <w:pPr>
        <w:pStyle w:val="29"/>
        <w:rPr>
          <w:rFonts w:hint="eastAsia"/>
          <w:color w:val="auto"/>
          <w:highlight w:val="none"/>
        </w:rPr>
      </w:pPr>
    </w:p>
    <w:p>
      <w:pPr>
        <w:pStyle w:val="3"/>
        <w:spacing w:line="0" w:lineRule="atLeast"/>
        <w:ind w:firstLine="2650" w:firstLineChars="600"/>
        <w:jc w:val="both"/>
        <w:rPr>
          <w:color w:val="auto"/>
          <w:highlight w:val="none"/>
        </w:rPr>
      </w:pPr>
      <w:r>
        <w:rPr>
          <w:rFonts w:hint="eastAsia"/>
          <w:color w:val="auto"/>
          <w:highlight w:val="none"/>
        </w:rPr>
        <w:t>第二章  供应商须知</w:t>
      </w:r>
      <w:bookmarkEnd w:id="8"/>
      <w:bookmarkEnd w:id="9"/>
      <w:bookmarkEnd w:id="10"/>
    </w:p>
    <w:p>
      <w:pPr>
        <w:tabs>
          <w:tab w:val="left" w:pos="1065"/>
          <w:tab w:val="center" w:pos="4411"/>
        </w:tabs>
        <w:spacing w:line="360" w:lineRule="atLeast"/>
        <w:jc w:val="center"/>
        <w:rPr>
          <w:b/>
          <w:color w:val="auto"/>
          <w:sz w:val="24"/>
          <w:szCs w:val="24"/>
          <w:highlight w:val="none"/>
        </w:rPr>
      </w:pPr>
      <w:r>
        <w:rPr>
          <w:rFonts w:hint="eastAsia"/>
          <w:b/>
          <w:color w:val="auto"/>
          <w:sz w:val="24"/>
          <w:szCs w:val="24"/>
          <w:highlight w:val="none"/>
        </w:rPr>
        <w:t>供 应 商 须 知 前 附 表</w:t>
      </w:r>
    </w:p>
    <w:tbl>
      <w:tblPr>
        <w:tblStyle w:val="15"/>
        <w:tblpPr w:leftFromText="180" w:rightFromText="180" w:vertAnchor="text" w:horzAnchor="page" w:tblpX="835" w:tblpY="379"/>
        <w:tblOverlap w:val="never"/>
        <w:tblW w:w="101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1"/>
        <w:gridCol w:w="825"/>
        <w:gridCol w:w="1744"/>
        <w:gridCol w:w="70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Cs w:val="21"/>
                <w:highlight w:val="none"/>
              </w:rPr>
            </w:pPr>
            <w:r>
              <w:rPr>
                <w:rFonts w:hint="eastAsia" w:ascii="宋体" w:hAnsi="宋体"/>
                <w:color w:val="auto"/>
                <w:szCs w:val="21"/>
                <w:highlight w:val="none"/>
              </w:rPr>
              <w:t>序号</w:t>
            </w:r>
          </w:p>
        </w:tc>
        <w:tc>
          <w:tcPr>
            <w:tcW w:w="82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Cs w:val="21"/>
                <w:highlight w:val="none"/>
              </w:rPr>
            </w:pPr>
            <w:r>
              <w:rPr>
                <w:rFonts w:hint="eastAsia" w:ascii="宋体" w:hAnsi="宋体"/>
                <w:color w:val="auto"/>
                <w:szCs w:val="21"/>
                <w:highlight w:val="none"/>
              </w:rPr>
              <w:t>条款号</w:t>
            </w:r>
          </w:p>
        </w:tc>
        <w:tc>
          <w:tcPr>
            <w:tcW w:w="1744"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Cs w:val="21"/>
                <w:highlight w:val="none"/>
              </w:rPr>
            </w:pPr>
            <w:r>
              <w:rPr>
                <w:rFonts w:hint="eastAsia" w:ascii="宋体" w:hAnsi="宋体"/>
                <w:color w:val="auto"/>
                <w:szCs w:val="21"/>
                <w:highlight w:val="none"/>
              </w:rPr>
              <w:t>条款名称</w:t>
            </w:r>
          </w:p>
        </w:tc>
        <w:tc>
          <w:tcPr>
            <w:tcW w:w="703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Cs w:val="21"/>
                <w:highlight w:val="none"/>
              </w:rPr>
            </w:pPr>
            <w:r>
              <w:rPr>
                <w:rFonts w:hint="eastAsia" w:ascii="宋体" w:hAnsi="宋体"/>
                <w:color w:val="auto"/>
                <w:szCs w:val="21"/>
                <w:highlight w:val="none"/>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Cs w:val="21"/>
                <w:highlight w:val="none"/>
              </w:rPr>
            </w:pPr>
            <w:r>
              <w:rPr>
                <w:rFonts w:hint="eastAsia" w:ascii="宋体" w:hAnsi="宋体"/>
                <w:color w:val="auto"/>
                <w:szCs w:val="21"/>
                <w:highlight w:val="none"/>
              </w:rPr>
              <w:t>1</w:t>
            </w:r>
          </w:p>
        </w:tc>
        <w:tc>
          <w:tcPr>
            <w:tcW w:w="82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 w:val="18"/>
                <w:szCs w:val="18"/>
                <w:highlight w:val="none"/>
              </w:rPr>
            </w:pPr>
            <w:r>
              <w:rPr>
                <w:rFonts w:hint="eastAsia" w:ascii="宋体" w:hAnsi="宋体"/>
                <w:color w:val="auto"/>
                <w:sz w:val="18"/>
                <w:szCs w:val="18"/>
                <w:highlight w:val="none"/>
              </w:rPr>
              <w:t>1.1</w:t>
            </w:r>
          </w:p>
        </w:tc>
        <w:tc>
          <w:tcPr>
            <w:tcW w:w="1744"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Cs w:val="21"/>
                <w:highlight w:val="none"/>
              </w:rPr>
            </w:pPr>
            <w:r>
              <w:rPr>
                <w:rFonts w:hint="eastAsia" w:ascii="宋体" w:hAnsi="宋体"/>
                <w:color w:val="auto"/>
                <w:szCs w:val="21"/>
                <w:highlight w:val="none"/>
              </w:rPr>
              <w:t>项目名称及项目编号</w:t>
            </w:r>
          </w:p>
        </w:tc>
        <w:tc>
          <w:tcPr>
            <w:tcW w:w="7035" w:type="dxa"/>
            <w:noWrap w:val="0"/>
            <w:vAlign w:val="center"/>
          </w:tcPr>
          <w:p>
            <w:pPr>
              <w:keepNext w:val="0"/>
              <w:keepLines w:val="0"/>
              <w:pageBreakBefore w:val="0"/>
              <w:kinsoku/>
              <w:wordWrap/>
              <w:overflowPunct/>
              <w:topLinePunct w:val="0"/>
              <w:autoSpaceDE/>
              <w:autoSpaceDN/>
              <w:bidi w:val="0"/>
              <w:adjustRightInd/>
              <w:snapToGrid/>
              <w:spacing w:line="400" w:lineRule="exact"/>
              <w:textAlignment w:val="auto"/>
              <w:rPr>
                <w:rFonts w:hint="eastAsia" w:eastAsia="宋体"/>
                <w:color w:val="auto"/>
                <w:szCs w:val="21"/>
                <w:highlight w:val="none"/>
                <w:lang w:eastAsia="zh-CN"/>
              </w:rPr>
            </w:pPr>
            <w:r>
              <w:rPr>
                <w:rFonts w:hint="eastAsia" w:ascii="宋体" w:hAnsi="宋体"/>
                <w:color w:val="auto"/>
                <w:szCs w:val="21"/>
                <w:highlight w:val="none"/>
              </w:rPr>
              <w:t>项目名称：</w:t>
            </w:r>
            <w:r>
              <w:rPr>
                <w:rFonts w:hint="eastAsia"/>
                <w:color w:val="auto"/>
                <w:szCs w:val="21"/>
                <w:highlight w:val="none"/>
                <w:lang w:eastAsia="zh-CN"/>
              </w:rPr>
              <w:t>桂林市临桂区奥园南路提升泵站格栅机和除臭机设备采购项目</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eastAsia="宋体"/>
                <w:color w:val="auto"/>
                <w:szCs w:val="21"/>
                <w:highlight w:val="none"/>
                <w:lang w:eastAsia="zh-CN"/>
              </w:rPr>
            </w:pPr>
            <w:r>
              <w:rPr>
                <w:rFonts w:hint="eastAsia" w:ascii="宋体" w:hAnsi="宋体"/>
                <w:color w:val="auto"/>
                <w:szCs w:val="21"/>
                <w:highlight w:val="none"/>
              </w:rPr>
              <w:t>项目编号：</w:t>
            </w:r>
            <w:r>
              <w:rPr>
                <w:rFonts w:hint="eastAsia" w:ascii="宋体" w:hAnsi="宋体" w:cs="宋体"/>
                <w:color w:val="auto"/>
                <w:kern w:val="0"/>
                <w:szCs w:val="21"/>
                <w:highlight w:val="none"/>
                <w:lang w:eastAsia="zh-CN" w:bidi="ar"/>
              </w:rPr>
              <w:t>GLZC2020-J1-120061-DCZX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Cs w:val="21"/>
                <w:highlight w:val="none"/>
              </w:rPr>
            </w:pPr>
            <w:r>
              <w:rPr>
                <w:rFonts w:hint="eastAsia" w:ascii="宋体" w:hAnsi="宋体"/>
                <w:color w:val="auto"/>
                <w:szCs w:val="21"/>
                <w:highlight w:val="none"/>
              </w:rPr>
              <w:t>2</w:t>
            </w:r>
          </w:p>
        </w:tc>
        <w:tc>
          <w:tcPr>
            <w:tcW w:w="82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 w:val="18"/>
                <w:szCs w:val="18"/>
                <w:highlight w:val="none"/>
              </w:rPr>
            </w:pPr>
            <w:r>
              <w:rPr>
                <w:rFonts w:hint="eastAsia" w:ascii="宋体" w:hAnsi="宋体"/>
                <w:color w:val="auto"/>
                <w:sz w:val="18"/>
                <w:szCs w:val="18"/>
                <w:highlight w:val="none"/>
              </w:rPr>
              <w:t>3</w:t>
            </w:r>
          </w:p>
        </w:tc>
        <w:tc>
          <w:tcPr>
            <w:tcW w:w="1744"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Cs w:val="21"/>
                <w:highlight w:val="none"/>
              </w:rPr>
            </w:pPr>
            <w:r>
              <w:rPr>
                <w:rFonts w:hint="eastAsia" w:ascii="宋体" w:hAnsi="宋体"/>
                <w:color w:val="auto"/>
                <w:szCs w:val="21"/>
                <w:highlight w:val="none"/>
              </w:rPr>
              <w:t>供应商资格</w:t>
            </w:r>
          </w:p>
        </w:tc>
        <w:tc>
          <w:tcPr>
            <w:tcW w:w="7035" w:type="dxa"/>
            <w:noWrap w:val="0"/>
            <w:vAlign w:val="center"/>
          </w:tcPr>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color w:val="auto"/>
                <w:szCs w:val="21"/>
                <w:highlight w:val="none"/>
              </w:rPr>
            </w:pPr>
            <w:r>
              <w:rPr>
                <w:rFonts w:hint="eastAsia" w:ascii="宋体" w:hAnsi="宋体"/>
                <w:color w:val="auto"/>
                <w:szCs w:val="21"/>
                <w:highlight w:val="none"/>
              </w:rPr>
              <w:t>3.1 符合《中华人民共和国政府采购法》第二十二条和《政府采购法实施条例》第十八条规定，具备合法资格的供应商。</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3.2本项目</w:t>
            </w:r>
            <w:r>
              <w:rPr>
                <w:rFonts w:hint="eastAsia" w:asciiTheme="minorEastAsia" w:hAnsiTheme="minorEastAsia" w:eastAsiaTheme="minorEastAsia" w:cstheme="minorEastAsia"/>
                <w:color w:val="auto"/>
                <w:highlight w:val="none"/>
                <w:u w:val="single"/>
              </w:rPr>
              <w:t xml:space="preserve"> 不接受 </w:t>
            </w:r>
            <w:r>
              <w:rPr>
                <w:rFonts w:hint="eastAsia" w:asciiTheme="minorEastAsia" w:hAnsiTheme="minorEastAsia" w:eastAsiaTheme="minorEastAsia" w:cstheme="minorEastAsia"/>
                <w:color w:val="auto"/>
                <w:highlight w:val="none"/>
              </w:rPr>
              <w:t>联合体参与谈判。</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color w:val="auto"/>
                <w:szCs w:val="21"/>
                <w:highlight w:val="none"/>
              </w:rPr>
            </w:pPr>
            <w:r>
              <w:rPr>
                <w:rFonts w:hint="eastAsia" w:asciiTheme="minorEastAsia" w:hAnsiTheme="minorEastAsia" w:eastAsiaTheme="minorEastAsia" w:cstheme="minorEastAsia"/>
                <w:color w:val="auto"/>
                <w:highlight w:val="none"/>
              </w:rPr>
              <w:t>3.3</w:t>
            </w:r>
            <w:r>
              <w:rPr>
                <w:rFonts w:hint="eastAsia" w:ascii="宋体" w:hAnsi="宋体"/>
                <w:color w:val="auto"/>
                <w:szCs w:val="21"/>
                <w:highlight w:val="none"/>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Cs w:val="21"/>
                <w:highlight w:val="none"/>
              </w:rPr>
            </w:pPr>
            <w:r>
              <w:rPr>
                <w:rFonts w:hint="eastAsia" w:ascii="宋体" w:hAnsi="宋体"/>
                <w:color w:val="auto"/>
                <w:szCs w:val="21"/>
                <w:highlight w:val="none"/>
              </w:rPr>
              <w:t>3</w:t>
            </w:r>
          </w:p>
        </w:tc>
        <w:tc>
          <w:tcPr>
            <w:tcW w:w="82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 w:val="18"/>
                <w:szCs w:val="18"/>
                <w:highlight w:val="none"/>
              </w:rPr>
            </w:pPr>
            <w:r>
              <w:rPr>
                <w:rFonts w:hint="eastAsia" w:ascii="宋体" w:hAnsi="宋体"/>
                <w:color w:val="auto"/>
                <w:sz w:val="18"/>
                <w:szCs w:val="18"/>
                <w:highlight w:val="none"/>
              </w:rPr>
              <w:t>4</w:t>
            </w:r>
          </w:p>
        </w:tc>
        <w:tc>
          <w:tcPr>
            <w:tcW w:w="1744"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Cs w:val="21"/>
                <w:highlight w:val="none"/>
              </w:rPr>
            </w:pPr>
            <w:r>
              <w:rPr>
                <w:rFonts w:hint="eastAsia" w:ascii="宋体" w:hAnsi="宋体"/>
                <w:color w:val="auto"/>
                <w:szCs w:val="21"/>
                <w:highlight w:val="none"/>
              </w:rPr>
              <w:t>谈判费用</w:t>
            </w:r>
          </w:p>
        </w:tc>
        <w:tc>
          <w:tcPr>
            <w:tcW w:w="7035" w:type="dxa"/>
            <w:noWrap w:val="0"/>
            <w:vAlign w:val="center"/>
          </w:tcPr>
          <w:p>
            <w:pPr>
              <w:keepNext w:val="0"/>
              <w:keepLines w:val="0"/>
              <w:pageBreakBefore w:val="0"/>
              <w:kinsoku/>
              <w:wordWrap/>
              <w:overflowPunct/>
              <w:topLinePunct w:val="0"/>
              <w:autoSpaceDE/>
              <w:autoSpaceDN/>
              <w:bidi w:val="0"/>
              <w:adjustRightInd/>
              <w:snapToGrid/>
              <w:spacing w:line="400" w:lineRule="exact"/>
              <w:textAlignment w:val="auto"/>
              <w:rPr>
                <w:rFonts w:ascii="宋体" w:hAnsi="宋体"/>
                <w:color w:val="auto"/>
                <w:szCs w:val="21"/>
                <w:highlight w:val="none"/>
              </w:rPr>
            </w:pPr>
            <w:r>
              <w:rPr>
                <w:rFonts w:hint="eastAsia" w:ascii="宋体" w:hAnsi="宋体"/>
                <w:color w:val="auto"/>
                <w:szCs w:val="21"/>
                <w:highlight w:val="none"/>
              </w:rPr>
              <w:t>不论</w:t>
            </w:r>
            <w:r>
              <w:rPr>
                <w:rFonts w:hint="eastAsia" w:ascii="宋体" w:hAnsi="宋体" w:cs="宋体"/>
                <w:color w:val="auto"/>
                <w:szCs w:val="21"/>
                <w:highlight w:val="none"/>
              </w:rPr>
              <w:t>谈判</w:t>
            </w:r>
            <w:r>
              <w:rPr>
                <w:rFonts w:hint="eastAsia" w:ascii="宋体" w:hAnsi="宋体"/>
                <w:color w:val="auto"/>
                <w:szCs w:val="21"/>
                <w:highlight w:val="none"/>
              </w:rPr>
              <w:t>结果如何，供应商均应自行承担所有与</w:t>
            </w:r>
            <w:r>
              <w:rPr>
                <w:rFonts w:hint="eastAsia" w:ascii="宋体" w:hAnsi="宋体" w:cs="宋体"/>
                <w:color w:val="auto"/>
                <w:szCs w:val="21"/>
                <w:highlight w:val="none"/>
              </w:rPr>
              <w:t>谈判</w:t>
            </w:r>
            <w:r>
              <w:rPr>
                <w:rFonts w:hint="eastAsia" w:ascii="宋体" w:hAnsi="宋体"/>
                <w:color w:val="auto"/>
                <w:szCs w:val="21"/>
                <w:highlight w:val="none"/>
              </w:rPr>
              <w:t>有关的全部费用。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color w:val="auto"/>
                <w:szCs w:val="21"/>
                <w:highlight w:val="none"/>
              </w:rPr>
            </w:pPr>
            <w:r>
              <w:rPr>
                <w:rFonts w:hint="eastAsia" w:ascii="宋体" w:hAnsi="宋体"/>
                <w:color w:val="auto"/>
                <w:szCs w:val="21"/>
                <w:highlight w:val="none"/>
              </w:rPr>
              <w:t>4</w:t>
            </w:r>
          </w:p>
        </w:tc>
        <w:tc>
          <w:tcPr>
            <w:tcW w:w="82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 w:val="18"/>
                <w:szCs w:val="18"/>
                <w:highlight w:val="none"/>
              </w:rPr>
            </w:pPr>
            <w:r>
              <w:rPr>
                <w:rFonts w:hint="eastAsia" w:ascii="宋体" w:hAnsi="宋体"/>
                <w:color w:val="auto"/>
                <w:sz w:val="18"/>
                <w:szCs w:val="18"/>
                <w:highlight w:val="none"/>
              </w:rPr>
              <w:t>13</w:t>
            </w:r>
          </w:p>
        </w:tc>
        <w:tc>
          <w:tcPr>
            <w:tcW w:w="1744"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Cs w:val="21"/>
                <w:highlight w:val="none"/>
              </w:rPr>
            </w:pPr>
            <w:r>
              <w:rPr>
                <w:rFonts w:hint="eastAsia" w:ascii="宋体" w:hAnsi="宋体"/>
                <w:color w:val="auto"/>
                <w:szCs w:val="21"/>
                <w:highlight w:val="none"/>
              </w:rPr>
              <w:t>谈判报价及</w:t>
            </w:r>
            <w:r>
              <w:rPr>
                <w:rFonts w:hint="eastAsia" w:ascii="宋体" w:hAnsi="宋体"/>
                <w:color w:val="auto"/>
                <w:position w:val="-2"/>
                <w:szCs w:val="21"/>
                <w:highlight w:val="none"/>
              </w:rPr>
              <w:t>采购预算总金额</w:t>
            </w:r>
          </w:p>
        </w:tc>
        <w:tc>
          <w:tcPr>
            <w:tcW w:w="7035" w:type="dxa"/>
            <w:noWrap w:val="0"/>
            <w:vAlign w:val="center"/>
          </w:tcPr>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cs="宋体"/>
                <w:color w:val="auto"/>
                <w:szCs w:val="21"/>
                <w:highlight w:val="none"/>
              </w:rPr>
            </w:pPr>
            <w:r>
              <w:rPr>
                <w:rFonts w:hint="eastAsia" w:ascii="宋体" w:hAnsi="宋体" w:cs="宋体"/>
                <w:color w:val="auto"/>
                <w:highlight w:val="none"/>
              </w:rPr>
              <w:t>1</w:t>
            </w:r>
            <w:r>
              <w:rPr>
                <w:rFonts w:hint="eastAsia" w:ascii="宋体" w:hAnsi="宋体" w:cs="宋体"/>
                <w:color w:val="auto"/>
                <w:szCs w:val="21"/>
                <w:highlight w:val="none"/>
              </w:rPr>
              <w:t>3.1本项目政府采购预算金额（人民币）</w:t>
            </w:r>
            <w:r>
              <w:rPr>
                <w:rFonts w:hint="eastAsia" w:ascii="宋体" w:hAnsi="宋体" w:cs="宋体"/>
                <w:color w:val="auto"/>
                <w:szCs w:val="21"/>
                <w:highlight w:val="none"/>
                <w:lang w:eastAsia="zh-CN"/>
              </w:rPr>
              <w:t>：</w:t>
            </w:r>
            <w:r>
              <w:rPr>
                <w:rFonts w:hint="eastAsia" w:ascii="宋体" w:hAnsi="宋体"/>
                <w:b/>
                <w:color w:val="auto"/>
                <w:szCs w:val="21"/>
                <w:highlight w:val="none"/>
                <w:lang w:eastAsia="zh-CN"/>
              </w:rPr>
              <w:t>壹佰零肆万柒仟伍佰元整</w:t>
            </w:r>
            <w:r>
              <w:rPr>
                <w:rFonts w:hint="eastAsia" w:ascii="宋体" w:hAnsi="宋体"/>
                <w:b/>
                <w:color w:val="auto"/>
                <w:szCs w:val="21"/>
                <w:highlight w:val="none"/>
              </w:rPr>
              <w:t>（¥</w:t>
            </w:r>
            <w:r>
              <w:rPr>
                <w:rFonts w:hint="eastAsia" w:ascii="宋体" w:hAnsi="宋体"/>
                <w:b/>
                <w:color w:val="auto"/>
                <w:szCs w:val="21"/>
                <w:highlight w:val="none"/>
                <w:lang w:val="en-US" w:eastAsia="zh-CN"/>
              </w:rPr>
              <w:t>1047500.00</w:t>
            </w:r>
            <w:r>
              <w:rPr>
                <w:rFonts w:hint="eastAsia" w:ascii="宋体" w:hAnsi="宋体"/>
                <w:b/>
                <w:color w:val="auto"/>
                <w:szCs w:val="21"/>
                <w:highlight w:val="none"/>
              </w:rPr>
              <w:t>）</w:t>
            </w:r>
            <w:r>
              <w:rPr>
                <w:rFonts w:hint="eastAsia" w:ascii="宋体" w:hAnsi="宋体" w:cs="宋体"/>
                <w:color w:val="auto"/>
                <w:szCs w:val="21"/>
                <w:highlight w:val="none"/>
              </w:rPr>
              <w:t>，最后报价超出采购预算金额的，响应文件作无效处理。</w:t>
            </w:r>
          </w:p>
          <w:p>
            <w:pPr>
              <w:keepNext w:val="0"/>
              <w:keepLines w:val="0"/>
              <w:pageBreakBefore w:val="0"/>
              <w:kinsoku/>
              <w:wordWrap/>
              <w:overflowPunct/>
              <w:topLinePunct w:val="0"/>
              <w:autoSpaceDE/>
              <w:autoSpaceDN/>
              <w:bidi w:val="0"/>
              <w:adjustRightInd/>
              <w:snapToGrid/>
              <w:spacing w:line="400" w:lineRule="exact"/>
              <w:textAlignment w:val="auto"/>
              <w:rPr>
                <w:rFonts w:ascii="宋体" w:hAnsi="宋体"/>
                <w:color w:val="auto"/>
                <w:szCs w:val="21"/>
                <w:highlight w:val="none"/>
              </w:rPr>
            </w:pPr>
            <w:r>
              <w:rPr>
                <w:rFonts w:hint="eastAsia" w:ascii="宋体" w:hAnsi="宋体" w:cs="宋体"/>
                <w:color w:val="auto"/>
                <w:highlight w:val="none"/>
              </w:rPr>
              <w:t xml:space="preserve">13.2 </w:t>
            </w:r>
            <w:r>
              <w:rPr>
                <w:rFonts w:hint="eastAsia" w:ascii="宋体" w:hAnsi="宋体" w:cs="宋体"/>
                <w:color w:val="auto"/>
                <w:szCs w:val="21"/>
                <w:highlight w:val="none"/>
              </w:rPr>
              <w:t>供应商必须就“货物采购需求”中所有货物内容作完整唯一报价，否则，其响应文件无效。响应文件只允许有一个报价，有选择的或有条件的报价将不予接受。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color w:val="auto"/>
                <w:szCs w:val="21"/>
                <w:highlight w:val="none"/>
              </w:rPr>
            </w:pPr>
            <w:r>
              <w:rPr>
                <w:rFonts w:hint="eastAsia" w:ascii="宋体" w:hAnsi="宋体"/>
                <w:color w:val="auto"/>
                <w:szCs w:val="21"/>
                <w:highlight w:val="none"/>
              </w:rPr>
              <w:t>5</w:t>
            </w:r>
          </w:p>
        </w:tc>
        <w:tc>
          <w:tcPr>
            <w:tcW w:w="82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 w:val="18"/>
                <w:szCs w:val="18"/>
                <w:highlight w:val="none"/>
              </w:rPr>
            </w:pPr>
            <w:r>
              <w:rPr>
                <w:rFonts w:hint="eastAsia" w:ascii="宋体" w:hAnsi="宋体"/>
                <w:color w:val="auto"/>
                <w:sz w:val="18"/>
                <w:szCs w:val="18"/>
                <w:highlight w:val="none"/>
              </w:rPr>
              <w:t>14.1</w:t>
            </w:r>
          </w:p>
        </w:tc>
        <w:tc>
          <w:tcPr>
            <w:tcW w:w="1744"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position w:val="-2"/>
                <w:szCs w:val="21"/>
                <w:highlight w:val="none"/>
              </w:rPr>
            </w:pPr>
            <w:r>
              <w:rPr>
                <w:rFonts w:hint="eastAsia" w:ascii="宋体" w:hAnsi="宋体"/>
                <w:color w:val="auto"/>
                <w:position w:val="-2"/>
                <w:szCs w:val="21"/>
                <w:highlight w:val="none"/>
              </w:rPr>
              <w:t>响应文件有效期</w:t>
            </w:r>
          </w:p>
        </w:tc>
        <w:tc>
          <w:tcPr>
            <w:tcW w:w="7035" w:type="dxa"/>
            <w:noWrap w:val="0"/>
            <w:vAlign w:val="center"/>
          </w:tcPr>
          <w:p>
            <w:pPr>
              <w:keepNext w:val="0"/>
              <w:keepLines w:val="0"/>
              <w:pageBreakBefore w:val="0"/>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color w:val="auto"/>
                <w:szCs w:val="21"/>
                <w:highlight w:val="none"/>
              </w:rPr>
              <w:t>响应文件递交截止时间之日起90天。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6</w:t>
            </w:r>
          </w:p>
        </w:tc>
        <w:tc>
          <w:tcPr>
            <w:tcW w:w="82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 w:val="18"/>
                <w:szCs w:val="18"/>
                <w:highlight w:val="none"/>
              </w:rPr>
            </w:pPr>
            <w:r>
              <w:rPr>
                <w:rFonts w:hint="eastAsia" w:ascii="宋体" w:hAnsi="宋体"/>
                <w:color w:val="auto"/>
                <w:sz w:val="18"/>
                <w:szCs w:val="18"/>
                <w:highlight w:val="none"/>
              </w:rPr>
              <w:t>16.1</w:t>
            </w:r>
          </w:p>
        </w:tc>
        <w:tc>
          <w:tcPr>
            <w:tcW w:w="1744"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Cs w:val="21"/>
                <w:highlight w:val="none"/>
              </w:rPr>
            </w:pPr>
            <w:r>
              <w:rPr>
                <w:rFonts w:hint="eastAsia" w:ascii="宋体" w:hAnsi="宋体"/>
                <w:color w:val="auto"/>
                <w:szCs w:val="21"/>
                <w:highlight w:val="none"/>
              </w:rPr>
              <w:t>响应文件份数</w:t>
            </w:r>
          </w:p>
        </w:tc>
        <w:tc>
          <w:tcPr>
            <w:tcW w:w="7035" w:type="dxa"/>
            <w:noWrap w:val="0"/>
            <w:vAlign w:val="center"/>
          </w:tcPr>
          <w:p>
            <w:pPr>
              <w:keepNext w:val="0"/>
              <w:keepLines w:val="0"/>
              <w:pageBreakBefore w:val="0"/>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color w:val="auto"/>
                <w:szCs w:val="21"/>
                <w:highlight w:val="none"/>
              </w:rPr>
              <w:t>正本壹册，副本肆册，须完整提交（A4纸装订）。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7</w:t>
            </w:r>
          </w:p>
        </w:tc>
        <w:tc>
          <w:tcPr>
            <w:tcW w:w="82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 w:val="18"/>
                <w:szCs w:val="18"/>
                <w:highlight w:val="none"/>
              </w:rPr>
            </w:pPr>
            <w:r>
              <w:rPr>
                <w:rFonts w:hint="eastAsia" w:ascii="宋体" w:hAnsi="宋体"/>
                <w:color w:val="auto"/>
                <w:sz w:val="18"/>
                <w:szCs w:val="18"/>
                <w:highlight w:val="none"/>
              </w:rPr>
              <w:t>16.2</w:t>
            </w:r>
          </w:p>
        </w:tc>
        <w:tc>
          <w:tcPr>
            <w:tcW w:w="1744"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Cs w:val="21"/>
                <w:highlight w:val="none"/>
              </w:rPr>
            </w:pPr>
            <w:r>
              <w:rPr>
                <w:rFonts w:hint="eastAsia" w:ascii="宋体" w:hAnsi="宋体"/>
                <w:color w:val="auto"/>
                <w:szCs w:val="21"/>
                <w:highlight w:val="none"/>
              </w:rPr>
              <w:t>响应文件装订要求</w:t>
            </w:r>
          </w:p>
        </w:tc>
        <w:tc>
          <w:tcPr>
            <w:tcW w:w="7035" w:type="dxa"/>
            <w:noWrap w:val="0"/>
            <w:vAlign w:val="top"/>
          </w:tcPr>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color w:val="auto"/>
                <w:szCs w:val="21"/>
                <w:highlight w:val="none"/>
              </w:rPr>
            </w:pPr>
            <w:r>
              <w:rPr>
                <w:rFonts w:hint="eastAsia" w:ascii="宋体" w:hAnsi="宋体"/>
                <w:color w:val="auto"/>
                <w:szCs w:val="21"/>
                <w:highlight w:val="none"/>
              </w:rPr>
              <w:t>供应商应按供应商须知第11.1条“响应文件组成”规定的顺序自编目录及页码，响应文件的“正本”、“副本”应当单独装订成册并标注页码，装订应牢固，不易拆散和换页。封面应注明“正本”、“副本”字样，封面上写明项目名称、项目编号、采购代理机构、供应商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8</w:t>
            </w:r>
          </w:p>
        </w:tc>
        <w:tc>
          <w:tcPr>
            <w:tcW w:w="82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 w:val="18"/>
                <w:szCs w:val="18"/>
                <w:highlight w:val="none"/>
              </w:rPr>
            </w:pPr>
            <w:r>
              <w:rPr>
                <w:rFonts w:hint="eastAsia" w:ascii="宋体" w:hAnsi="宋体"/>
                <w:color w:val="auto"/>
                <w:sz w:val="18"/>
                <w:szCs w:val="18"/>
                <w:highlight w:val="none"/>
              </w:rPr>
              <w:t>16.6</w:t>
            </w:r>
          </w:p>
        </w:tc>
        <w:tc>
          <w:tcPr>
            <w:tcW w:w="1744"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Cs w:val="21"/>
                <w:highlight w:val="none"/>
              </w:rPr>
            </w:pPr>
            <w:r>
              <w:rPr>
                <w:rFonts w:hint="eastAsia" w:ascii="宋体" w:hAnsi="宋体"/>
                <w:color w:val="auto"/>
                <w:szCs w:val="21"/>
                <w:highlight w:val="none"/>
              </w:rPr>
              <w:t>响应文件包装、密封、标记</w:t>
            </w:r>
          </w:p>
        </w:tc>
        <w:tc>
          <w:tcPr>
            <w:tcW w:w="7035" w:type="dxa"/>
            <w:noWrap w:val="0"/>
            <w:vAlign w:val="center"/>
          </w:tcPr>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color w:val="auto"/>
                <w:szCs w:val="21"/>
                <w:highlight w:val="none"/>
              </w:rPr>
            </w:pPr>
            <w:r>
              <w:rPr>
                <w:rFonts w:hint="eastAsia" w:ascii="宋体" w:hAnsi="宋体"/>
                <w:color w:val="auto"/>
                <w:szCs w:val="21"/>
                <w:highlight w:val="none"/>
              </w:rPr>
              <w:t>16.6.1响应文件包装、密封：供应商须将响应文件“正本”、“副本”一并装入一个响应文件袋（盒、箱）中密封，</w:t>
            </w:r>
            <w:r>
              <w:rPr>
                <w:rFonts w:hint="eastAsia" w:ascii="宋体" w:hAnsi="宋体" w:cs="宋体"/>
                <w:color w:val="auto"/>
                <w:szCs w:val="21"/>
                <w:highlight w:val="none"/>
              </w:rPr>
              <w:t>在密封处密封签章</w:t>
            </w:r>
            <w:r>
              <w:rPr>
                <w:rFonts w:hint="eastAsia" w:ascii="宋体" w:hAnsi="宋体" w:cs="宋体"/>
                <w:color w:val="auto"/>
                <w:szCs w:val="21"/>
                <w:highlight w:val="none"/>
                <w:lang w:eastAsia="zh-CN"/>
              </w:rPr>
              <w:t>（</w:t>
            </w:r>
            <w:r>
              <w:rPr>
                <w:rFonts w:hint="eastAsia" w:ascii="宋体" w:hAnsi="宋体" w:cs="宋体"/>
                <w:color w:val="auto"/>
                <w:szCs w:val="21"/>
                <w:highlight w:val="none"/>
              </w:rPr>
              <w:t>公章、密封章</w:t>
            </w:r>
            <w:r>
              <w:rPr>
                <w:rFonts w:hint="eastAsia" w:ascii="宋体" w:hAnsi="宋体" w:cs="宋体"/>
                <w:color w:val="auto"/>
                <w:szCs w:val="21"/>
                <w:highlight w:val="none"/>
                <w:lang w:eastAsia="zh-CN"/>
              </w:rPr>
              <w:t>均可），并由</w:t>
            </w:r>
            <w:r>
              <w:rPr>
                <w:rFonts w:hint="eastAsia" w:ascii="宋体" w:hAnsi="宋体" w:cs="宋体"/>
                <w:color w:val="auto"/>
                <w:szCs w:val="21"/>
                <w:highlight w:val="none"/>
              </w:rPr>
              <w:t>法定代表人、负责人、自然人或相应的授权委托代理人签字</w:t>
            </w:r>
            <w:r>
              <w:rPr>
                <w:rFonts w:hint="eastAsia" w:ascii="宋体" w:hAnsi="宋体"/>
                <w:color w:val="auto"/>
                <w:szCs w:val="21"/>
                <w:highlight w:val="none"/>
              </w:rPr>
              <w:t>，未按上述要求包装、密封的响应文件将予以拒收。</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color w:val="auto"/>
                <w:szCs w:val="21"/>
                <w:highlight w:val="none"/>
              </w:rPr>
            </w:pPr>
            <w:r>
              <w:rPr>
                <w:rFonts w:hint="eastAsia" w:ascii="宋体" w:hAnsi="宋体"/>
                <w:color w:val="auto"/>
                <w:szCs w:val="21"/>
                <w:highlight w:val="none"/>
              </w:rPr>
              <w:t>16.6.2响应文件袋（盒、箱）标记：</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olor w:val="auto"/>
                <w:szCs w:val="21"/>
                <w:highlight w:val="none"/>
                <w:lang w:eastAsia="zh-CN"/>
              </w:rPr>
            </w:pPr>
            <w:r>
              <w:rPr>
                <w:rFonts w:hint="eastAsia" w:ascii="宋体" w:hAnsi="宋体"/>
                <w:color w:val="auto"/>
                <w:szCs w:val="21"/>
                <w:highlight w:val="none"/>
              </w:rPr>
              <w:t>项目名称：</w:t>
            </w:r>
            <w:r>
              <w:rPr>
                <w:rFonts w:hint="eastAsia" w:ascii="宋体" w:hAnsi="宋体" w:cs="宋体"/>
                <w:color w:val="auto"/>
                <w:kern w:val="0"/>
                <w:szCs w:val="21"/>
                <w:highlight w:val="none"/>
                <w:lang w:eastAsia="zh-CN" w:bidi="ar"/>
              </w:rPr>
              <w:t>桂林市临桂区奥园南路提升泵站格栅机和除臭机设备采购项目</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olor w:val="auto"/>
                <w:szCs w:val="21"/>
                <w:highlight w:val="none"/>
                <w:lang w:eastAsia="zh-CN"/>
              </w:rPr>
            </w:pPr>
            <w:r>
              <w:rPr>
                <w:rFonts w:hint="eastAsia" w:ascii="宋体" w:hAnsi="宋体"/>
                <w:color w:val="auto"/>
                <w:szCs w:val="21"/>
                <w:highlight w:val="none"/>
              </w:rPr>
              <w:t>项目编号：</w:t>
            </w:r>
            <w:r>
              <w:rPr>
                <w:rFonts w:hint="eastAsia" w:ascii="宋体" w:hAnsi="宋体" w:cs="宋体"/>
                <w:color w:val="auto"/>
                <w:kern w:val="0"/>
                <w:szCs w:val="21"/>
                <w:highlight w:val="none"/>
                <w:lang w:eastAsia="zh-CN" w:bidi="ar"/>
              </w:rPr>
              <w:t>GLZC2020-J1-120061-DCZX</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color w:val="auto"/>
                <w:highlight w:val="none"/>
              </w:rPr>
            </w:pPr>
            <w:r>
              <w:rPr>
                <w:rFonts w:hint="eastAsia" w:ascii="宋体" w:hAnsi="宋体"/>
                <w:color w:val="auto"/>
                <w:szCs w:val="21"/>
                <w:highlight w:val="none"/>
              </w:rPr>
              <w:t>采购代理机构：</w:t>
            </w:r>
            <w:r>
              <w:rPr>
                <w:rFonts w:hint="eastAsia" w:ascii="宋体" w:hAnsi="宋体" w:cs="宋体"/>
                <w:color w:val="auto"/>
                <w:kern w:val="0"/>
                <w:szCs w:val="21"/>
                <w:highlight w:val="none"/>
                <w:lang w:bidi="ar"/>
              </w:rPr>
              <w:t>大成工程咨询有限公司</w:t>
            </w:r>
            <w:r>
              <w:rPr>
                <w:rFonts w:ascii="宋体" w:hAnsi="宋体" w:cs="宋体"/>
                <w:color w:val="auto"/>
                <w:kern w:val="0"/>
                <w:sz w:val="24"/>
                <w:highlight w:val="none"/>
                <w:lang w:bidi="ar"/>
              </w:rPr>
              <w:t xml:space="preserve"> </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color w:val="auto"/>
                <w:szCs w:val="21"/>
                <w:highlight w:val="none"/>
              </w:rPr>
            </w:pPr>
            <w:r>
              <w:rPr>
                <w:rFonts w:hint="eastAsia" w:ascii="宋体" w:hAnsi="宋体"/>
                <w:color w:val="auto"/>
                <w:szCs w:val="21"/>
                <w:highlight w:val="none"/>
              </w:rPr>
              <w:t>供应商单位名称：XXXXXXXXXXXXXXXXXXXXXXXXX</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color w:val="auto"/>
                <w:szCs w:val="21"/>
                <w:highlight w:val="none"/>
              </w:rPr>
            </w:pPr>
            <w:r>
              <w:rPr>
                <w:rFonts w:hint="eastAsia" w:ascii="宋体" w:hAnsi="宋体"/>
                <w:color w:val="auto"/>
                <w:szCs w:val="21"/>
                <w:highlight w:val="none"/>
              </w:rPr>
              <w:t>在XXX年XX月XX日上午XX时XX分前不得开启</w:t>
            </w:r>
            <w:r>
              <w:rPr>
                <w:rFonts w:hint="eastAsia" w:ascii="宋体" w:hAnsi="宋体"/>
                <w:i/>
                <w:iCs/>
                <w:color w:val="auto"/>
                <w:szCs w:val="21"/>
                <w:highlight w:val="none"/>
              </w:rPr>
              <w:t>(此处供应商填写响应文件递交截止时间)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5"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9</w:t>
            </w:r>
          </w:p>
        </w:tc>
        <w:tc>
          <w:tcPr>
            <w:tcW w:w="82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 w:val="18"/>
                <w:szCs w:val="18"/>
                <w:highlight w:val="none"/>
              </w:rPr>
            </w:pPr>
            <w:r>
              <w:rPr>
                <w:rFonts w:hint="eastAsia" w:ascii="宋体" w:hAnsi="宋体"/>
                <w:color w:val="auto"/>
                <w:sz w:val="18"/>
                <w:szCs w:val="18"/>
                <w:highlight w:val="none"/>
              </w:rPr>
              <w:t>16.7</w:t>
            </w:r>
          </w:p>
        </w:tc>
        <w:tc>
          <w:tcPr>
            <w:tcW w:w="1744"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color w:val="auto"/>
                <w:highlight w:val="none"/>
              </w:rPr>
            </w:pPr>
            <w:r>
              <w:rPr>
                <w:rFonts w:hint="eastAsia"/>
                <w:color w:val="auto"/>
                <w:highlight w:val="none"/>
              </w:rPr>
              <w:t>供应商公章</w:t>
            </w:r>
          </w:p>
        </w:tc>
        <w:tc>
          <w:tcPr>
            <w:tcW w:w="7035" w:type="dxa"/>
            <w:noWrap w:val="0"/>
            <w:vAlign w:val="center"/>
          </w:tcPr>
          <w:p>
            <w:pPr>
              <w:keepNext w:val="0"/>
              <w:keepLines w:val="0"/>
              <w:pageBreakBefore w:val="0"/>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color w:val="auto"/>
                <w:szCs w:val="21"/>
                <w:highlight w:val="none"/>
              </w:rPr>
              <w:t>本竞争性谈判文件中描述供应商的“公章”是指根据我国对公章的管理规定，用供应商法定主体行为名称制作的印章，除本文件有特殊规定外，供应商的财务章、部门章、分公司章、工会章、合同章、竞标专用章、业务专用章及银行的转账章、现金收讫章、现金付讫章等其它形式印章均不能代替公章</w:t>
            </w:r>
            <w:r>
              <w:rPr>
                <w:rFonts w:hint="eastAsia" w:ascii="宋体" w:hAnsi="宋体" w:cs="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olor w:val="auto"/>
                <w:szCs w:val="21"/>
                <w:highlight w:val="none"/>
                <w:lang w:val="en-US"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0</w:t>
            </w:r>
          </w:p>
        </w:tc>
        <w:tc>
          <w:tcPr>
            <w:tcW w:w="82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 w:val="18"/>
                <w:szCs w:val="18"/>
                <w:highlight w:val="none"/>
              </w:rPr>
            </w:pPr>
            <w:r>
              <w:rPr>
                <w:rFonts w:hint="eastAsia" w:ascii="宋体" w:hAnsi="宋体"/>
                <w:color w:val="auto"/>
                <w:sz w:val="18"/>
                <w:szCs w:val="18"/>
                <w:highlight w:val="none"/>
              </w:rPr>
              <w:t>18.1</w:t>
            </w:r>
          </w:p>
        </w:tc>
        <w:tc>
          <w:tcPr>
            <w:tcW w:w="1744"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color w:val="auto"/>
                <w:highlight w:val="none"/>
              </w:rPr>
            </w:pPr>
            <w:r>
              <w:rPr>
                <w:rFonts w:hint="eastAsia" w:ascii="宋体" w:hAnsi="宋体"/>
                <w:color w:val="auto"/>
                <w:szCs w:val="21"/>
                <w:highlight w:val="none"/>
              </w:rPr>
              <w:t>响应文件递交起止时间</w:t>
            </w:r>
          </w:p>
        </w:tc>
        <w:tc>
          <w:tcPr>
            <w:tcW w:w="7035" w:type="dxa"/>
            <w:noWrap w:val="0"/>
            <w:vAlign w:val="center"/>
          </w:tcPr>
          <w:p>
            <w:pPr>
              <w:keepNext w:val="0"/>
              <w:keepLines w:val="0"/>
              <w:pageBreakBefore w:val="0"/>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color w:val="auto"/>
                <w:szCs w:val="21"/>
                <w:highlight w:val="none"/>
              </w:rPr>
              <w:t>响应文件递交起止时间：</w:t>
            </w:r>
            <w:r>
              <w:rPr>
                <w:rFonts w:hint="eastAsia" w:ascii="宋体" w:hAnsi="宋体"/>
                <w:color w:val="auto"/>
                <w:szCs w:val="21"/>
                <w:highlight w:val="none"/>
                <w:lang w:eastAsia="zh-CN"/>
              </w:rPr>
              <w:t>2020年11月18日09时</w:t>
            </w:r>
            <w:r>
              <w:rPr>
                <w:rFonts w:hint="eastAsia" w:ascii="宋体" w:hAnsi="宋体"/>
                <w:color w:val="auto"/>
                <w:szCs w:val="21"/>
                <w:highlight w:val="none"/>
              </w:rPr>
              <w:t>00分至</w:t>
            </w:r>
            <w:r>
              <w:rPr>
                <w:rFonts w:hint="eastAsia" w:ascii="宋体" w:hAnsi="宋体"/>
                <w:color w:val="auto"/>
                <w:szCs w:val="21"/>
                <w:highlight w:val="none"/>
                <w:lang w:eastAsia="zh-CN"/>
              </w:rPr>
              <w:t>09时30分</w:t>
            </w:r>
            <w:r>
              <w:rPr>
                <w:rFonts w:hint="eastAsia" w:ascii="宋体" w:hAnsi="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1</w:t>
            </w:r>
          </w:p>
        </w:tc>
        <w:tc>
          <w:tcPr>
            <w:tcW w:w="82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position w:val="10"/>
                <w:sz w:val="18"/>
                <w:szCs w:val="18"/>
                <w:highlight w:val="none"/>
              </w:rPr>
            </w:pPr>
            <w:r>
              <w:rPr>
                <w:rFonts w:hint="eastAsia" w:ascii="宋体" w:hAnsi="宋体"/>
                <w:color w:val="auto"/>
                <w:position w:val="10"/>
                <w:sz w:val="18"/>
                <w:szCs w:val="18"/>
                <w:highlight w:val="none"/>
              </w:rPr>
              <w:t>18.2</w:t>
            </w:r>
          </w:p>
        </w:tc>
        <w:tc>
          <w:tcPr>
            <w:tcW w:w="1744"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position w:val="10"/>
                <w:szCs w:val="21"/>
                <w:highlight w:val="none"/>
              </w:rPr>
            </w:pPr>
            <w:r>
              <w:rPr>
                <w:rFonts w:hint="eastAsia" w:ascii="宋体" w:hAnsi="宋体"/>
                <w:color w:val="auto"/>
                <w:position w:val="-2"/>
                <w:szCs w:val="21"/>
                <w:highlight w:val="none"/>
              </w:rPr>
              <w:t>响应文件递交地点</w:t>
            </w:r>
          </w:p>
        </w:tc>
        <w:tc>
          <w:tcPr>
            <w:tcW w:w="7035" w:type="dxa"/>
            <w:noWrap w:val="0"/>
            <w:vAlign w:val="center"/>
          </w:tcPr>
          <w:p>
            <w:pPr>
              <w:keepNext w:val="0"/>
              <w:keepLines w:val="0"/>
              <w:pageBreakBefore w:val="0"/>
              <w:tabs>
                <w:tab w:val="left" w:pos="7200"/>
              </w:tabs>
              <w:kinsoku/>
              <w:wordWrap/>
              <w:overflowPunct/>
              <w:topLinePunct w:val="0"/>
              <w:autoSpaceDE/>
              <w:autoSpaceDN/>
              <w:bidi w:val="0"/>
              <w:adjustRightInd/>
              <w:snapToGrid/>
              <w:spacing w:line="400" w:lineRule="exact"/>
              <w:textAlignment w:val="auto"/>
              <w:rPr>
                <w:rFonts w:hint="eastAsia" w:ascii="宋体" w:hAnsi="宋体" w:eastAsia="Calibri"/>
                <w:color w:val="auto"/>
                <w:spacing w:val="-2"/>
                <w:szCs w:val="21"/>
                <w:highlight w:val="none"/>
              </w:rPr>
            </w:pPr>
            <w:r>
              <w:rPr>
                <w:rFonts w:hint="eastAsia" w:ascii="宋体" w:hAnsi="宋体" w:eastAsia="宋体" w:cs="宋体"/>
                <w:b/>
                <w:bCs/>
                <w:i w:val="0"/>
                <w:iCs w:val="0"/>
                <w:color w:val="auto"/>
                <w:sz w:val="21"/>
                <w:szCs w:val="21"/>
                <w:highlight w:val="none"/>
                <w:shd w:val="clear" w:color="auto" w:fill="FFFFFF"/>
              </w:rPr>
              <w:t>携带本人身份证及复印件、委托代理人还需提供授权委托书（以上材料均须加盖投标人公章，不须密封，单独提交）</w:t>
            </w:r>
            <w:r>
              <w:rPr>
                <w:rFonts w:hint="eastAsia" w:ascii="宋体" w:hAnsi="宋体" w:cs="宋体"/>
                <w:b/>
                <w:color w:val="auto"/>
                <w:highlight w:val="none"/>
              </w:rPr>
              <w:t>，</w:t>
            </w:r>
            <w:r>
              <w:rPr>
                <w:rFonts w:hint="eastAsia" w:ascii="宋体" w:hAnsi="宋体" w:cs="宋体"/>
                <w:color w:val="auto"/>
                <w:szCs w:val="21"/>
                <w:highlight w:val="none"/>
              </w:rPr>
              <w:t>将投标文件密封提交至</w:t>
            </w:r>
            <w:r>
              <w:rPr>
                <w:rFonts w:hint="eastAsia" w:ascii="宋体" w:hAnsi="宋体" w:cs="宋体"/>
                <w:color w:val="auto"/>
                <w:szCs w:val="21"/>
                <w:highlight w:val="none"/>
                <w:u w:val="single"/>
              </w:rPr>
              <w:t>桂林市公共资源交易中心</w:t>
            </w:r>
            <w:r>
              <w:rPr>
                <w:rFonts w:hint="eastAsia" w:ascii="宋体" w:hAnsi="宋体" w:cs="宋体"/>
                <w:color w:val="auto"/>
                <w:szCs w:val="21"/>
                <w:highlight w:val="none"/>
                <w:u w:val="single"/>
                <w:lang w:val="en-US" w:eastAsia="zh-CN"/>
              </w:rPr>
              <w:t>12号开标室</w:t>
            </w:r>
            <w:r>
              <w:rPr>
                <w:rFonts w:hint="eastAsia" w:ascii="宋体" w:hAnsi="宋体" w:cs="宋体"/>
                <w:color w:val="auto"/>
                <w:szCs w:val="21"/>
                <w:highlight w:val="none"/>
                <w:u w:val="single"/>
              </w:rPr>
              <w:t>（广西桂林市临桂区西城中路69号创业大厦西辅楼4楼北区）</w:t>
            </w:r>
            <w:r>
              <w:rPr>
                <w:rFonts w:hint="eastAsia" w:ascii="宋体" w:hAnsi="宋体" w:cs="宋体"/>
                <w:color w:val="auto"/>
                <w:highlight w:val="none"/>
              </w:rPr>
              <w:t>，未携带以上相关材料递交的或逾期送达的或未按照</w:t>
            </w:r>
            <w:r>
              <w:rPr>
                <w:rFonts w:hint="eastAsia" w:ascii="宋体" w:hAnsi="宋体" w:cs="宋体"/>
                <w:color w:val="auto"/>
                <w:highlight w:val="none"/>
                <w:lang w:eastAsia="zh-CN"/>
              </w:rPr>
              <w:t>谈判</w:t>
            </w:r>
            <w:r>
              <w:rPr>
                <w:rFonts w:hint="eastAsia" w:ascii="宋体" w:hAnsi="宋体" w:cs="宋体"/>
                <w:color w:val="auto"/>
                <w:highlight w:val="none"/>
              </w:rPr>
              <w:t>文件要求密封的投标文件将予以拒收。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2</w:t>
            </w:r>
          </w:p>
        </w:tc>
        <w:tc>
          <w:tcPr>
            <w:tcW w:w="82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 w:val="18"/>
                <w:szCs w:val="18"/>
                <w:highlight w:val="none"/>
              </w:rPr>
            </w:pPr>
            <w:r>
              <w:rPr>
                <w:rFonts w:hint="eastAsia" w:ascii="宋体" w:hAnsi="宋体"/>
                <w:color w:val="auto"/>
                <w:sz w:val="18"/>
                <w:szCs w:val="18"/>
                <w:highlight w:val="none"/>
              </w:rPr>
              <w:t>19.1</w:t>
            </w:r>
          </w:p>
        </w:tc>
        <w:tc>
          <w:tcPr>
            <w:tcW w:w="1744"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Cs w:val="21"/>
                <w:highlight w:val="none"/>
              </w:rPr>
            </w:pPr>
            <w:r>
              <w:rPr>
                <w:rFonts w:hint="eastAsia" w:ascii="宋体" w:hAnsi="宋体"/>
                <w:color w:val="auto"/>
                <w:szCs w:val="21"/>
                <w:highlight w:val="none"/>
              </w:rPr>
              <w:t>谈判小组组成</w:t>
            </w:r>
          </w:p>
        </w:tc>
        <w:tc>
          <w:tcPr>
            <w:tcW w:w="7035" w:type="dxa"/>
            <w:noWrap w:val="0"/>
            <w:vAlign w:val="center"/>
          </w:tcPr>
          <w:p>
            <w:pPr>
              <w:keepNext w:val="0"/>
              <w:keepLines w:val="0"/>
              <w:pageBreakBefore w:val="0"/>
              <w:kinsoku/>
              <w:wordWrap/>
              <w:overflowPunct/>
              <w:topLinePunct w:val="0"/>
              <w:autoSpaceDE/>
              <w:autoSpaceDN/>
              <w:bidi w:val="0"/>
              <w:adjustRightInd/>
              <w:snapToGrid/>
              <w:spacing w:line="400" w:lineRule="exact"/>
              <w:textAlignment w:val="auto"/>
              <w:rPr>
                <w:rFonts w:ascii="宋体" w:hAnsi="宋体"/>
                <w:color w:val="auto"/>
                <w:szCs w:val="21"/>
                <w:highlight w:val="none"/>
              </w:rPr>
            </w:pPr>
            <w:r>
              <w:rPr>
                <w:rFonts w:hint="eastAsia" w:ascii="宋体" w:hAnsi="宋体"/>
                <w:color w:val="auto"/>
                <w:szCs w:val="21"/>
                <w:highlight w:val="none"/>
              </w:rPr>
              <w:t>谈判小组由采购人代表和有关方面的评审专家组成，共</w:t>
            </w:r>
            <w:r>
              <w:rPr>
                <w:rFonts w:hint="eastAsia" w:ascii="宋体" w:hAnsi="宋体"/>
                <w:color w:val="auto"/>
                <w:szCs w:val="21"/>
                <w:highlight w:val="none"/>
                <w:u w:val="single"/>
                <w:lang w:val="en-US" w:eastAsia="zh-CN"/>
              </w:rPr>
              <w:t>3</w:t>
            </w:r>
            <w:r>
              <w:rPr>
                <w:rFonts w:hint="eastAsia" w:ascii="宋体" w:hAnsi="宋体"/>
                <w:color w:val="auto"/>
                <w:szCs w:val="21"/>
                <w:highlight w:val="none"/>
              </w:rPr>
              <w:t>人，</w:t>
            </w:r>
            <w:r>
              <w:rPr>
                <w:rFonts w:hint="eastAsia" w:ascii="宋体" w:hAnsi="宋体" w:cs="宋体"/>
                <w:color w:val="auto"/>
                <w:szCs w:val="21"/>
                <w:highlight w:val="none"/>
              </w:rPr>
              <w:t>其中采购人代表</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val="en-US" w:eastAsia="zh-CN"/>
              </w:rPr>
              <w:t>1</w:t>
            </w:r>
            <w:r>
              <w:rPr>
                <w:rFonts w:hint="eastAsia" w:ascii="宋体" w:hAnsi="宋体" w:cs="宋体"/>
                <w:color w:val="auto"/>
                <w:szCs w:val="21"/>
                <w:highlight w:val="none"/>
              </w:rPr>
              <w:t>人，专家</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2 </w:t>
            </w:r>
            <w:r>
              <w:rPr>
                <w:rFonts w:hint="eastAsia" w:ascii="宋体" w:hAnsi="宋体" w:cs="宋体"/>
                <w:color w:val="auto"/>
                <w:szCs w:val="21"/>
                <w:highlight w:val="none"/>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3</w:t>
            </w:r>
          </w:p>
        </w:tc>
        <w:tc>
          <w:tcPr>
            <w:tcW w:w="82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pacing w:val="-6"/>
                <w:sz w:val="18"/>
                <w:szCs w:val="18"/>
                <w:highlight w:val="none"/>
              </w:rPr>
            </w:pPr>
            <w:r>
              <w:rPr>
                <w:rFonts w:hint="eastAsia" w:ascii="宋体" w:hAnsi="宋体"/>
                <w:color w:val="auto"/>
                <w:spacing w:val="-6"/>
                <w:sz w:val="18"/>
                <w:szCs w:val="18"/>
                <w:highlight w:val="none"/>
              </w:rPr>
              <w:t>19.2</w:t>
            </w:r>
          </w:p>
        </w:tc>
        <w:tc>
          <w:tcPr>
            <w:tcW w:w="1744"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stheme="minorEastAsia"/>
                <w:color w:val="auto"/>
                <w:spacing w:val="-6"/>
                <w:szCs w:val="21"/>
                <w:highlight w:val="none"/>
              </w:rPr>
            </w:pPr>
            <w:r>
              <w:rPr>
                <w:rFonts w:hint="eastAsia" w:asciiTheme="minorEastAsia" w:hAnsiTheme="minorEastAsia" w:eastAsiaTheme="minorEastAsia" w:cstheme="minorEastAsia"/>
                <w:color w:val="auto"/>
                <w:szCs w:val="21"/>
                <w:highlight w:val="none"/>
              </w:rPr>
              <w:t>谈判时间、地点、人员</w:t>
            </w:r>
          </w:p>
        </w:tc>
        <w:tc>
          <w:tcPr>
            <w:tcW w:w="7035" w:type="dxa"/>
            <w:noWrap w:val="0"/>
            <w:vAlign w:val="center"/>
          </w:tcPr>
          <w:p>
            <w:pPr>
              <w:keepNext w:val="0"/>
              <w:keepLines w:val="0"/>
              <w:pageBreakBefore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19.2.1谈判时间：响应文件递交截止时间后。</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19.2.2谈判地点：桂林市公共资源交易中心评标室（临桂新区西城中路69号西辅楼四楼）</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19.2.3</w:t>
            </w:r>
            <w:r>
              <w:rPr>
                <w:rFonts w:hint="eastAsia" w:asciiTheme="minorEastAsia" w:hAnsiTheme="minorEastAsia" w:eastAsiaTheme="minorEastAsia" w:cstheme="minorEastAsia"/>
                <w:color w:val="auto"/>
                <w:spacing w:val="-2"/>
                <w:highlight w:val="none"/>
              </w:rPr>
              <w:t>谈判参加人员：供应商的法定代表人、负责人、自然人或相应的委托代理人必须持有效身份证</w:t>
            </w:r>
            <w:r>
              <w:rPr>
                <w:rFonts w:hint="eastAsia" w:asciiTheme="minorEastAsia" w:hAnsiTheme="minorEastAsia" w:eastAsiaTheme="minorEastAsia" w:cstheme="minorEastAsia"/>
                <w:color w:val="auto"/>
                <w:spacing w:val="-2"/>
                <w:highlight w:val="none"/>
                <w:lang w:eastAsia="zh-CN"/>
              </w:rPr>
              <w:t>原</w:t>
            </w:r>
            <w:r>
              <w:rPr>
                <w:rFonts w:hint="eastAsia" w:asciiTheme="minorEastAsia" w:hAnsiTheme="minorEastAsia" w:eastAsiaTheme="minorEastAsia" w:cstheme="minorEastAsia"/>
                <w:color w:val="auto"/>
                <w:spacing w:val="-2"/>
                <w:highlight w:val="none"/>
              </w:rPr>
              <w:t>件参加谈判。 请供应商按时到达指定地点等候当面谈判。</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19.2.4响应文件递交截止时间后，由谈判小组在评标室内开启响应文件。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4</w:t>
            </w:r>
          </w:p>
        </w:tc>
        <w:tc>
          <w:tcPr>
            <w:tcW w:w="82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 w:val="18"/>
                <w:szCs w:val="18"/>
                <w:highlight w:val="none"/>
              </w:rPr>
            </w:pPr>
            <w:r>
              <w:rPr>
                <w:rFonts w:hint="eastAsia" w:ascii="宋体" w:hAnsi="宋体"/>
                <w:color w:val="auto"/>
                <w:sz w:val="18"/>
                <w:szCs w:val="18"/>
                <w:highlight w:val="none"/>
              </w:rPr>
              <w:t>20.2</w:t>
            </w:r>
          </w:p>
        </w:tc>
        <w:tc>
          <w:tcPr>
            <w:tcW w:w="1744"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szCs w:val="21"/>
                <w:highlight w:val="none"/>
              </w:rPr>
            </w:pPr>
            <w:r>
              <w:rPr>
                <w:rFonts w:hint="eastAsia" w:hAnsi="宋体"/>
                <w:color w:val="auto"/>
                <w:kern w:val="0"/>
                <w:szCs w:val="21"/>
                <w:highlight w:val="none"/>
              </w:rPr>
              <w:t>评审办法</w:t>
            </w:r>
          </w:p>
        </w:tc>
        <w:tc>
          <w:tcPr>
            <w:tcW w:w="7035" w:type="dxa"/>
            <w:noWrap w:val="0"/>
            <w:vAlign w:val="center"/>
          </w:tcPr>
          <w:p>
            <w:pPr>
              <w:keepNext w:val="0"/>
              <w:keepLines w:val="0"/>
              <w:pageBreakBefore w:val="0"/>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color w:val="auto"/>
                <w:szCs w:val="21"/>
                <w:highlight w:val="none"/>
              </w:rPr>
              <w:t>具体详见第四章评审办法。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5</w:t>
            </w:r>
          </w:p>
        </w:tc>
        <w:tc>
          <w:tcPr>
            <w:tcW w:w="82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color w:val="auto"/>
                <w:position w:val="-2"/>
                <w:sz w:val="18"/>
                <w:szCs w:val="18"/>
                <w:highlight w:val="none"/>
              </w:rPr>
            </w:pPr>
            <w:r>
              <w:rPr>
                <w:rFonts w:hint="eastAsia" w:ascii="宋体" w:hAnsi="宋体"/>
                <w:color w:val="auto"/>
                <w:position w:val="-2"/>
                <w:sz w:val="18"/>
                <w:szCs w:val="18"/>
                <w:highlight w:val="none"/>
              </w:rPr>
              <w:t>26</w:t>
            </w:r>
          </w:p>
        </w:tc>
        <w:tc>
          <w:tcPr>
            <w:tcW w:w="1744"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宋体" w:hAnsi="宋体"/>
                <w:color w:val="auto"/>
                <w:szCs w:val="21"/>
                <w:highlight w:val="none"/>
              </w:rPr>
            </w:pPr>
            <w:r>
              <w:rPr>
                <w:rFonts w:hint="eastAsia" w:ascii="宋体" w:hAnsi="宋体"/>
                <w:color w:val="auto"/>
                <w:szCs w:val="21"/>
                <w:highlight w:val="none"/>
              </w:rPr>
              <w:t>成交公告</w:t>
            </w: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宋体" w:hAnsi="宋体"/>
                <w:color w:val="auto"/>
                <w:position w:val="-2"/>
                <w:szCs w:val="21"/>
                <w:highlight w:val="none"/>
              </w:rPr>
            </w:pPr>
            <w:r>
              <w:rPr>
                <w:rFonts w:hint="eastAsia" w:ascii="宋体" w:hAnsi="宋体"/>
                <w:color w:val="auto"/>
                <w:szCs w:val="21"/>
                <w:highlight w:val="none"/>
              </w:rPr>
              <w:t>及成交通知书</w:t>
            </w:r>
          </w:p>
        </w:tc>
        <w:tc>
          <w:tcPr>
            <w:tcW w:w="7035"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ascii="宋体" w:hAnsi="宋体"/>
                <w:color w:val="auto"/>
                <w:szCs w:val="21"/>
                <w:highlight w:val="none"/>
              </w:rPr>
            </w:pPr>
            <w:r>
              <w:rPr>
                <w:rFonts w:hint="eastAsia" w:ascii="宋体" w:hAnsi="宋体"/>
                <w:color w:val="auto"/>
                <w:szCs w:val="21"/>
                <w:highlight w:val="none"/>
              </w:rPr>
              <w:t>26.1采购代理机构于评审结束后两个工作日内将评审报告送交采购人，采购人应当自收到评审报告五个工作日内在评审报告推荐的成交候选供应商中按顺序确定成交供应商，采购代理机构在成交供应商确定之日起两个工作日内发出成交通知书，并在指定媒体上公告成交信息。</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ascii="宋体" w:hAnsi="宋体"/>
                <w:color w:val="auto"/>
                <w:szCs w:val="21"/>
                <w:highlight w:val="none"/>
              </w:rPr>
            </w:pPr>
            <w:r>
              <w:rPr>
                <w:rFonts w:hint="eastAsia" w:ascii="宋体" w:hAnsi="宋体"/>
                <w:color w:val="auto"/>
                <w:szCs w:val="21"/>
                <w:highlight w:val="none"/>
              </w:rPr>
              <w:t>26.2 在发布成交公告的同时，采购代理机构向成交供应商发出成交通知书。如成交供应商自接到通知之日起七个工作日内，不办理成交通知书领取手续的，按违约处理。采购代理机构将取消其成交资格，从谈判小组推荐的成交候选供应商中按顺序重新确定成交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6</w:t>
            </w:r>
          </w:p>
        </w:tc>
        <w:tc>
          <w:tcPr>
            <w:tcW w:w="825"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color w:val="auto"/>
                <w:sz w:val="18"/>
                <w:szCs w:val="18"/>
                <w:highlight w:val="none"/>
              </w:rPr>
            </w:pPr>
            <w:r>
              <w:rPr>
                <w:rFonts w:hint="eastAsia" w:ascii="宋体" w:hAnsi="宋体"/>
                <w:color w:val="auto"/>
                <w:sz w:val="18"/>
                <w:szCs w:val="18"/>
                <w:highlight w:val="none"/>
              </w:rPr>
              <w:t>27</w:t>
            </w:r>
          </w:p>
        </w:tc>
        <w:tc>
          <w:tcPr>
            <w:tcW w:w="1744"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宋体" w:hAnsi="宋体"/>
                <w:color w:val="auto"/>
                <w:szCs w:val="21"/>
                <w:highlight w:val="none"/>
              </w:rPr>
            </w:pPr>
            <w:r>
              <w:rPr>
                <w:rFonts w:hint="eastAsia" w:ascii="宋体" w:hAnsi="宋体"/>
                <w:color w:val="auto"/>
                <w:szCs w:val="21"/>
                <w:highlight w:val="none"/>
              </w:rPr>
              <w:t>信用查询</w:t>
            </w:r>
          </w:p>
        </w:tc>
        <w:tc>
          <w:tcPr>
            <w:tcW w:w="7035"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color w:val="auto"/>
                <w:szCs w:val="21"/>
                <w:highlight w:val="none"/>
              </w:rPr>
            </w:pPr>
            <w:r>
              <w:rPr>
                <w:rFonts w:hint="eastAsia" w:ascii="宋体" w:hAnsi="宋体"/>
                <w:color w:val="auto"/>
                <w:szCs w:val="21"/>
                <w:highlight w:val="none"/>
              </w:rPr>
              <w:t>根据《关于做好政府采购有关信用主体标识码登记及在政府采购活动中查询使用信用记录有关问题的通知》（桂财采〔2016〕37），由采购代理机构对第一成交候选人进行信用查询：</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color w:val="auto"/>
                <w:szCs w:val="21"/>
                <w:highlight w:val="none"/>
              </w:rPr>
            </w:pPr>
            <w:r>
              <w:rPr>
                <w:rFonts w:hint="eastAsia" w:ascii="宋体" w:hAnsi="宋体"/>
                <w:color w:val="auto"/>
                <w:szCs w:val="21"/>
                <w:highlight w:val="none"/>
              </w:rPr>
              <w:t>⑴查询渠道：“信用中国”网站(www.creditchina.gov.cn)、中国政府采购网(www.ccgp.gov.cn)等；</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color w:val="auto"/>
                <w:szCs w:val="21"/>
                <w:highlight w:val="none"/>
              </w:rPr>
            </w:pPr>
            <w:r>
              <w:rPr>
                <w:rFonts w:hint="eastAsia" w:ascii="宋体" w:hAnsi="宋体"/>
                <w:color w:val="auto"/>
                <w:szCs w:val="21"/>
                <w:highlight w:val="none"/>
              </w:rPr>
              <w:t>⑵查询截止时点：成交通知书发出前；</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color w:val="auto"/>
                <w:szCs w:val="21"/>
                <w:highlight w:val="none"/>
              </w:rPr>
            </w:pPr>
            <w:r>
              <w:rPr>
                <w:rFonts w:hint="eastAsia" w:ascii="宋体" w:hAnsi="宋体"/>
                <w:color w:val="auto"/>
                <w:szCs w:val="21"/>
                <w:highlight w:val="none"/>
              </w:rPr>
              <w:t>⑶信用信息查询记录和证据留存方式：在查询网站中直接打印查询记录，打印材料作为采购活动资料保存。</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color w:val="auto"/>
                <w:szCs w:val="21"/>
                <w:highlight w:val="none"/>
              </w:rPr>
            </w:pPr>
            <w:r>
              <w:rPr>
                <w:rFonts w:hint="eastAsia" w:ascii="宋体" w:hAnsi="宋体"/>
                <w:color w:val="auto"/>
                <w:szCs w:val="21"/>
                <w:highlight w:val="none"/>
              </w:rPr>
              <w:t>⑷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成交候选人资格。</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color w:val="auto"/>
                <w:highlight w:val="none"/>
              </w:rPr>
            </w:pPr>
            <w:r>
              <w:rPr>
                <w:rFonts w:hint="eastAsia" w:ascii="宋体" w:hAnsi="宋体"/>
                <w:color w:val="auto"/>
                <w:szCs w:val="21"/>
                <w:highlight w:val="none"/>
              </w:rPr>
              <w:t xml:space="preserve">   两个以上的自然人、法人或者其他组织组成一个联合体，以一个供应商的身份共同参加政府采购活动的，对所有联合体成员进行信用记录查询，联合体成员存在不良信用记录的，视同联合体存在不良信用记录。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7</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color w:val="auto"/>
                <w:sz w:val="18"/>
                <w:szCs w:val="18"/>
                <w:highlight w:val="none"/>
              </w:rPr>
            </w:pPr>
            <w:r>
              <w:rPr>
                <w:rFonts w:hint="eastAsia" w:ascii="宋体" w:hAnsi="宋体"/>
                <w:color w:val="auto"/>
                <w:sz w:val="18"/>
                <w:szCs w:val="18"/>
                <w:highlight w:val="none"/>
              </w:rPr>
              <w:t>28.1</w:t>
            </w:r>
          </w:p>
        </w:tc>
        <w:tc>
          <w:tcPr>
            <w:tcW w:w="1744"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宋体" w:hAnsi="宋体"/>
                <w:color w:val="auto"/>
                <w:szCs w:val="21"/>
                <w:highlight w:val="none"/>
              </w:rPr>
            </w:pPr>
            <w:r>
              <w:rPr>
                <w:rFonts w:hint="eastAsia" w:ascii="宋体" w:hAnsi="宋体"/>
                <w:color w:val="auto"/>
                <w:szCs w:val="21"/>
                <w:highlight w:val="none"/>
              </w:rPr>
              <w:t>履约保证金</w:t>
            </w:r>
          </w:p>
        </w:tc>
        <w:tc>
          <w:tcPr>
            <w:tcW w:w="7035" w:type="dxa"/>
            <w:noWrap w:val="0"/>
            <w:vAlign w:val="top"/>
          </w:tcPr>
          <w:p>
            <w:pPr>
              <w:pStyle w:val="29"/>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color w:val="auto"/>
                <w:highlight w:val="none"/>
              </w:rPr>
            </w:pPr>
            <w:r>
              <w:rPr>
                <w:rFonts w:hint="eastAsia" w:ascii="宋体" w:hAnsi="宋体" w:eastAsia="宋体" w:cs="Times New Roman"/>
                <w:bCs w:val="0"/>
                <w:color w:val="auto"/>
                <w:spacing w:val="0"/>
                <w:kern w:val="2"/>
                <w:sz w:val="21"/>
                <w:szCs w:val="21"/>
                <w:highlight w:val="none"/>
                <w:lang w:val="en-US" w:eastAsia="zh-CN" w:bidi="ar-SA"/>
              </w:rPr>
              <w:t>履约保证金金额按</w:t>
            </w:r>
            <w:r>
              <w:rPr>
                <w:rFonts w:hint="eastAsia" w:ascii="宋体" w:hAnsi="宋体" w:cs="Times New Roman"/>
                <w:bCs w:val="0"/>
                <w:color w:val="auto"/>
                <w:spacing w:val="0"/>
                <w:kern w:val="2"/>
                <w:sz w:val="21"/>
                <w:szCs w:val="21"/>
                <w:highlight w:val="none"/>
                <w:lang w:val="en-US" w:eastAsia="zh-CN" w:bidi="ar-SA"/>
              </w:rPr>
              <w:t>成交价的5</w:t>
            </w:r>
            <w:r>
              <w:rPr>
                <w:rFonts w:hint="eastAsia" w:ascii="宋体" w:hAnsi="宋体" w:eastAsia="宋体" w:cs="Times New Roman"/>
                <w:bCs w:val="0"/>
                <w:color w:val="auto"/>
                <w:spacing w:val="0"/>
                <w:kern w:val="2"/>
                <w:sz w:val="21"/>
                <w:szCs w:val="21"/>
                <w:highlight w:val="none"/>
                <w:lang w:val="en-US" w:eastAsia="zh-CN" w:bidi="ar-SA"/>
              </w:rPr>
              <w:t>%（人民币，四舍五入到元）提供，由</w:t>
            </w:r>
            <w:r>
              <w:rPr>
                <w:rFonts w:hint="eastAsia" w:ascii="宋体" w:hAnsi="宋体" w:cs="Times New Roman"/>
                <w:bCs w:val="0"/>
                <w:color w:val="auto"/>
                <w:spacing w:val="0"/>
                <w:kern w:val="2"/>
                <w:sz w:val="21"/>
                <w:szCs w:val="21"/>
                <w:highlight w:val="none"/>
                <w:lang w:val="en-US" w:eastAsia="zh-CN" w:bidi="ar-SA"/>
              </w:rPr>
              <w:t>成交</w:t>
            </w:r>
            <w:r>
              <w:rPr>
                <w:rFonts w:hint="eastAsia" w:ascii="宋体" w:hAnsi="宋体" w:eastAsia="宋体" w:cs="Times New Roman"/>
                <w:bCs w:val="0"/>
                <w:color w:val="auto"/>
                <w:spacing w:val="0"/>
                <w:kern w:val="2"/>
                <w:sz w:val="21"/>
                <w:szCs w:val="21"/>
                <w:highlight w:val="none"/>
                <w:lang w:val="en-US" w:eastAsia="zh-CN" w:bidi="ar-SA"/>
              </w:rPr>
              <w:t>供应商在领取</w:t>
            </w:r>
            <w:r>
              <w:rPr>
                <w:rFonts w:hint="eastAsia" w:ascii="宋体" w:hAnsi="宋体" w:cs="Times New Roman"/>
                <w:bCs w:val="0"/>
                <w:color w:val="auto"/>
                <w:spacing w:val="0"/>
                <w:kern w:val="2"/>
                <w:sz w:val="21"/>
                <w:szCs w:val="21"/>
                <w:highlight w:val="none"/>
                <w:lang w:val="en-US" w:eastAsia="zh-CN" w:bidi="ar-SA"/>
              </w:rPr>
              <w:t>成交</w:t>
            </w:r>
            <w:r>
              <w:rPr>
                <w:rFonts w:hint="eastAsia" w:ascii="宋体" w:hAnsi="宋体" w:eastAsia="宋体" w:cs="Times New Roman"/>
                <w:bCs w:val="0"/>
                <w:color w:val="auto"/>
                <w:spacing w:val="0"/>
                <w:kern w:val="2"/>
                <w:sz w:val="21"/>
                <w:szCs w:val="21"/>
                <w:highlight w:val="none"/>
                <w:lang w:val="en-US" w:eastAsia="zh-CN" w:bidi="ar-SA"/>
              </w:rPr>
              <w:t>通知书前将履约保证金以转账、电汇形式缴入</w:t>
            </w:r>
            <w:r>
              <w:rPr>
                <w:rFonts w:hint="eastAsia" w:ascii="宋体" w:hAnsi="宋体" w:cs="Times New Roman"/>
                <w:bCs w:val="0"/>
                <w:color w:val="auto"/>
                <w:spacing w:val="0"/>
                <w:kern w:val="2"/>
                <w:sz w:val="21"/>
                <w:szCs w:val="21"/>
                <w:highlight w:val="none"/>
                <w:lang w:val="en-US" w:eastAsia="zh-CN" w:bidi="ar-SA"/>
              </w:rPr>
              <w:t>采购人指定账户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18</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color w:val="auto"/>
                <w:sz w:val="18"/>
                <w:szCs w:val="18"/>
                <w:highlight w:val="none"/>
              </w:rPr>
            </w:pPr>
            <w:r>
              <w:rPr>
                <w:rFonts w:hint="eastAsia"/>
                <w:color w:val="auto"/>
                <w:sz w:val="18"/>
                <w:szCs w:val="18"/>
                <w:highlight w:val="none"/>
              </w:rPr>
              <w:t>29.1</w:t>
            </w:r>
          </w:p>
        </w:tc>
        <w:tc>
          <w:tcPr>
            <w:tcW w:w="1744"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color w:val="auto"/>
                <w:highlight w:val="none"/>
              </w:rPr>
            </w:pPr>
            <w:r>
              <w:rPr>
                <w:rFonts w:hint="eastAsia"/>
                <w:color w:val="auto"/>
                <w:highlight w:val="none"/>
              </w:rPr>
              <w:t>签订合同时间</w:t>
            </w:r>
          </w:p>
        </w:tc>
        <w:tc>
          <w:tcPr>
            <w:tcW w:w="7035"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color w:val="auto"/>
                <w:highlight w:val="none"/>
              </w:rPr>
            </w:pPr>
            <w:r>
              <w:rPr>
                <w:rFonts w:hint="eastAsia" w:ascii="宋体" w:hAnsi="宋体"/>
                <w:color w:val="auto"/>
                <w:highlight w:val="none"/>
              </w:rPr>
              <w:t>成交通知书发出之日起</w:t>
            </w:r>
            <w:r>
              <w:rPr>
                <w:rFonts w:hint="eastAsia" w:ascii="宋体" w:hAnsi="宋体"/>
                <w:color w:val="auto"/>
                <w:highlight w:val="none"/>
                <w:lang w:val="en-US" w:eastAsia="zh-CN"/>
              </w:rPr>
              <w:t>25日内</w:t>
            </w:r>
            <w:r>
              <w:rPr>
                <w:rFonts w:hint="eastAsia" w:ascii="宋体" w:hAnsi="宋体"/>
                <w:color w:val="auto"/>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19</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color w:val="auto"/>
                <w:sz w:val="18"/>
                <w:szCs w:val="18"/>
                <w:highlight w:val="none"/>
              </w:rPr>
            </w:pPr>
            <w:r>
              <w:rPr>
                <w:rFonts w:hint="eastAsia"/>
                <w:color w:val="auto"/>
                <w:sz w:val="18"/>
                <w:szCs w:val="18"/>
                <w:highlight w:val="none"/>
              </w:rPr>
              <w:t>29.3</w:t>
            </w:r>
          </w:p>
        </w:tc>
        <w:tc>
          <w:tcPr>
            <w:tcW w:w="1744"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color w:val="auto"/>
                <w:highlight w:val="none"/>
              </w:rPr>
            </w:pPr>
            <w:r>
              <w:rPr>
                <w:rFonts w:hint="eastAsia"/>
                <w:color w:val="auto"/>
                <w:highlight w:val="none"/>
              </w:rPr>
              <w:t>合同备案存档</w:t>
            </w:r>
          </w:p>
        </w:tc>
        <w:tc>
          <w:tcPr>
            <w:tcW w:w="7035"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color w:val="auto"/>
                <w:highlight w:val="none"/>
              </w:rPr>
            </w:pPr>
            <w:r>
              <w:rPr>
                <w:rFonts w:hint="eastAsia" w:ascii="宋体" w:hAnsi="宋体"/>
                <w:b/>
                <w:bCs/>
                <w:color w:val="auto"/>
                <w:highlight w:val="none"/>
              </w:rPr>
              <w:t>政府采购合同双方自签订之日起1个工作日内将合同原件两份交采购代理机构</w:t>
            </w:r>
            <w:r>
              <w:rPr>
                <w:rFonts w:hint="eastAsia" w:ascii="宋体" w:hAnsi="宋体"/>
                <w:color w:val="auto"/>
                <w:highlight w:val="none"/>
              </w:rPr>
              <w:t>。采购代理机构将政府采购合同在省级以上人民政府财政部门指定媒体上公告并于合同签订之日起七个工作日内将一份合同原件送</w:t>
            </w:r>
            <w:r>
              <w:rPr>
                <w:rFonts w:hint="eastAsia" w:ascii="宋体" w:hAnsi="宋体"/>
                <w:color w:val="auto"/>
                <w:highlight w:val="none"/>
                <w:lang w:eastAsia="zh-CN"/>
              </w:rPr>
              <w:t>桂林市临桂区财政局政府采购监督管理股</w:t>
            </w:r>
            <w:r>
              <w:rPr>
                <w:rFonts w:hint="eastAsia" w:ascii="宋体" w:hAnsi="宋体"/>
                <w:color w:val="auto"/>
                <w:highlight w:val="none"/>
              </w:rPr>
              <w:t>备案，一份由采购代理机构存档。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olor w:val="auto"/>
                <w:szCs w:val="21"/>
                <w:highlight w:val="none"/>
                <w:lang w:eastAsia="zh-CN"/>
              </w:rPr>
            </w:pPr>
            <w:r>
              <w:rPr>
                <w:rFonts w:hint="eastAsia" w:ascii="宋体" w:hAnsi="宋体"/>
                <w:color w:val="auto"/>
                <w:szCs w:val="21"/>
                <w:highlight w:val="none"/>
              </w:rPr>
              <w:t>2</w:t>
            </w:r>
            <w:r>
              <w:rPr>
                <w:rFonts w:hint="eastAsia" w:ascii="宋体" w:hAnsi="宋体"/>
                <w:color w:val="auto"/>
                <w:szCs w:val="21"/>
                <w:highlight w:val="none"/>
                <w:lang w:val="en-US" w:eastAsia="zh-CN"/>
              </w:rPr>
              <w:t>0</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color w:val="auto"/>
                <w:sz w:val="18"/>
                <w:szCs w:val="18"/>
                <w:highlight w:val="none"/>
              </w:rPr>
            </w:pPr>
            <w:r>
              <w:rPr>
                <w:rFonts w:hint="eastAsia"/>
                <w:color w:val="auto"/>
                <w:sz w:val="18"/>
                <w:szCs w:val="18"/>
                <w:highlight w:val="none"/>
              </w:rPr>
              <w:t>30</w:t>
            </w:r>
          </w:p>
        </w:tc>
        <w:tc>
          <w:tcPr>
            <w:tcW w:w="1744"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color w:val="auto"/>
                <w:highlight w:val="none"/>
              </w:rPr>
            </w:pPr>
            <w:r>
              <w:rPr>
                <w:rFonts w:hint="eastAsia" w:ascii="宋体" w:hAnsi="宋体"/>
                <w:color w:val="auto"/>
                <w:szCs w:val="21"/>
                <w:highlight w:val="none"/>
              </w:rPr>
              <w:t>采购代理服务费</w:t>
            </w:r>
          </w:p>
        </w:tc>
        <w:tc>
          <w:tcPr>
            <w:tcW w:w="7035"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color w:val="auto"/>
                <w:highlight w:val="none"/>
              </w:rPr>
            </w:pPr>
            <w:r>
              <w:rPr>
                <w:rFonts w:hint="eastAsia" w:ascii="宋体" w:hAnsi="宋体"/>
                <w:color w:val="auto"/>
                <w:highlight w:val="none"/>
              </w:rPr>
              <w:t>成交供应商领取成交通知书前，</w:t>
            </w:r>
            <w:r>
              <w:rPr>
                <w:rFonts w:hint="eastAsia" w:ascii="宋体" w:hAnsi="宋体"/>
                <w:color w:val="auto"/>
                <w:szCs w:val="21"/>
                <w:highlight w:val="none"/>
              </w:rPr>
              <w:t>参照计价格[2002]1980号《招标代理服务收费管理暂行办法》及</w:t>
            </w:r>
            <w:r>
              <w:rPr>
                <w:rFonts w:hint="eastAsia" w:ascii="宋体" w:hAnsi="宋体"/>
                <w:color w:val="auto"/>
                <w:szCs w:val="21"/>
                <w:highlight w:val="none"/>
                <w:lang w:eastAsia="zh-CN"/>
              </w:rPr>
              <w:t>（桂价费[2011]55号）</w:t>
            </w:r>
            <w:r>
              <w:rPr>
                <w:rFonts w:hint="eastAsia" w:ascii="宋体" w:hAnsi="宋体"/>
                <w:color w:val="auto"/>
                <w:szCs w:val="21"/>
                <w:highlight w:val="none"/>
              </w:rPr>
              <w:t>货物类收费标准向大成工程咨询有限公司</w:t>
            </w:r>
            <w:r>
              <w:rPr>
                <w:rFonts w:hint="eastAsia" w:ascii="宋体" w:hAnsi="宋体"/>
                <w:color w:val="auto"/>
                <w:highlight w:val="none"/>
              </w:rPr>
              <w:t>一次性付清代理服务费。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olor w:val="auto"/>
                <w:szCs w:val="21"/>
                <w:highlight w:val="none"/>
                <w:lang w:eastAsia="zh-CN"/>
              </w:rPr>
            </w:pPr>
            <w:r>
              <w:rPr>
                <w:rFonts w:hint="eastAsia" w:ascii="宋体" w:hAnsi="宋体"/>
                <w:color w:val="auto"/>
                <w:szCs w:val="21"/>
                <w:highlight w:val="none"/>
              </w:rPr>
              <w:t>2</w:t>
            </w:r>
            <w:r>
              <w:rPr>
                <w:rFonts w:hint="eastAsia" w:ascii="宋体" w:hAnsi="宋体"/>
                <w:color w:val="auto"/>
                <w:szCs w:val="21"/>
                <w:highlight w:val="none"/>
                <w:lang w:val="en-US" w:eastAsia="zh-CN"/>
              </w:rPr>
              <w:t>1</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color w:val="auto"/>
                <w:sz w:val="18"/>
                <w:szCs w:val="18"/>
                <w:highlight w:val="none"/>
              </w:rPr>
            </w:pPr>
            <w:r>
              <w:rPr>
                <w:rFonts w:hint="eastAsia" w:ascii="宋体" w:hAnsi="宋体"/>
                <w:color w:val="auto"/>
                <w:sz w:val="18"/>
                <w:szCs w:val="18"/>
                <w:highlight w:val="none"/>
              </w:rPr>
              <w:t>32</w:t>
            </w:r>
          </w:p>
        </w:tc>
        <w:tc>
          <w:tcPr>
            <w:tcW w:w="1744"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宋体" w:hAnsi="宋体"/>
                <w:color w:val="auto"/>
                <w:szCs w:val="21"/>
                <w:highlight w:val="none"/>
              </w:rPr>
            </w:pPr>
            <w:r>
              <w:rPr>
                <w:rFonts w:hint="eastAsia" w:ascii="宋体" w:hAnsi="宋体"/>
                <w:color w:val="auto"/>
                <w:szCs w:val="21"/>
                <w:highlight w:val="none"/>
              </w:rPr>
              <w:t>解释权</w:t>
            </w:r>
          </w:p>
        </w:tc>
        <w:tc>
          <w:tcPr>
            <w:tcW w:w="7035"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ascii="宋体" w:hAnsi="宋体"/>
                <w:color w:val="auto"/>
                <w:szCs w:val="21"/>
                <w:highlight w:val="none"/>
              </w:rPr>
            </w:pPr>
            <w:r>
              <w:rPr>
                <w:rFonts w:hint="eastAsia" w:ascii="宋体" w:hAnsi="宋体"/>
                <w:color w:val="auto"/>
                <w:highlight w:val="none"/>
              </w:rPr>
              <w:t>本竞争性谈判文件是根据《中华人民共和国政府采购法》、《中华人民共和国政府采购法实施条例》、《政府采购非招标采购方式管理办法》和政府采购管理有关规定编制，本竞争性谈判文件的解释权属于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581" w:type="dxa"/>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olor w:val="auto"/>
                <w:szCs w:val="21"/>
                <w:highlight w:val="none"/>
                <w:lang w:eastAsia="zh-CN"/>
              </w:rPr>
            </w:pPr>
            <w:r>
              <w:rPr>
                <w:rFonts w:hint="eastAsia" w:ascii="宋体" w:hAnsi="宋体"/>
                <w:color w:val="auto"/>
                <w:szCs w:val="21"/>
                <w:highlight w:val="none"/>
              </w:rPr>
              <w:t>2</w:t>
            </w:r>
            <w:r>
              <w:rPr>
                <w:rFonts w:hint="eastAsia" w:ascii="宋体" w:hAnsi="宋体"/>
                <w:color w:val="auto"/>
                <w:szCs w:val="21"/>
                <w:highlight w:val="none"/>
                <w:lang w:val="en-US" w:eastAsia="zh-CN"/>
              </w:rPr>
              <w:t>2</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color w:val="auto"/>
                <w:sz w:val="18"/>
                <w:szCs w:val="18"/>
                <w:highlight w:val="none"/>
              </w:rPr>
            </w:pPr>
            <w:r>
              <w:rPr>
                <w:rFonts w:hint="eastAsia"/>
                <w:color w:val="auto"/>
                <w:sz w:val="18"/>
                <w:szCs w:val="18"/>
                <w:highlight w:val="none"/>
              </w:rPr>
              <w:t>33</w:t>
            </w:r>
          </w:p>
        </w:tc>
        <w:tc>
          <w:tcPr>
            <w:tcW w:w="1744"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宋体" w:hAnsi="宋体"/>
                <w:color w:val="auto"/>
                <w:szCs w:val="21"/>
                <w:highlight w:val="none"/>
              </w:rPr>
            </w:pPr>
            <w:r>
              <w:rPr>
                <w:rFonts w:hint="eastAsia" w:ascii="宋体" w:hAnsi="宋体"/>
                <w:color w:val="auto"/>
                <w:szCs w:val="21"/>
                <w:highlight w:val="none"/>
              </w:rPr>
              <w:t>监督管理机构</w:t>
            </w:r>
          </w:p>
        </w:tc>
        <w:tc>
          <w:tcPr>
            <w:tcW w:w="7035"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eastAsia="宋体"/>
                <w:color w:val="auto"/>
                <w:highlight w:val="none"/>
                <w:lang w:eastAsia="zh-CN"/>
              </w:rPr>
            </w:pPr>
            <w:r>
              <w:rPr>
                <w:rFonts w:hint="eastAsia"/>
                <w:color w:val="auto"/>
                <w:highlight w:val="none"/>
                <w:lang w:eastAsia="zh-CN"/>
              </w:rPr>
              <w:t xml:space="preserve">桂林市临桂区财政局政府采购监督管理股 </w:t>
            </w:r>
            <w:r>
              <w:rPr>
                <w:rFonts w:hint="eastAsia"/>
                <w:color w:val="auto"/>
                <w:highlight w:val="none"/>
              </w:rPr>
              <w:t xml:space="preserve">      电话：</w:t>
            </w:r>
            <w:r>
              <w:rPr>
                <w:rFonts w:hint="eastAsia" w:ascii="宋体" w:hAnsi="宋体" w:cs="宋体"/>
                <w:color w:val="auto"/>
                <w:highlight w:val="none"/>
                <w:lang w:eastAsia="zh-CN"/>
              </w:rPr>
              <w:t xml:space="preserve">0773-5593932 </w:t>
            </w:r>
          </w:p>
        </w:tc>
      </w:tr>
    </w:tbl>
    <w:p>
      <w:pPr>
        <w:spacing w:line="380" w:lineRule="exact"/>
        <w:jc w:val="center"/>
        <w:rPr>
          <w:rFonts w:ascii="宋体" w:hAnsi="宋体"/>
          <w:b/>
          <w:color w:val="auto"/>
          <w:sz w:val="28"/>
          <w:szCs w:val="28"/>
          <w:highlight w:val="none"/>
        </w:rPr>
      </w:pPr>
      <w:r>
        <w:rPr>
          <w:rFonts w:ascii="宋体" w:hAnsi="宋体"/>
          <w:b/>
          <w:color w:val="auto"/>
          <w:sz w:val="28"/>
          <w:szCs w:val="28"/>
          <w:highlight w:val="none"/>
        </w:rPr>
        <w:br w:type="page"/>
      </w:r>
      <w:r>
        <w:rPr>
          <w:rFonts w:hint="eastAsia" w:ascii="宋体" w:hAnsi="宋体"/>
          <w:b/>
          <w:color w:val="auto"/>
          <w:sz w:val="28"/>
          <w:szCs w:val="28"/>
          <w:highlight w:val="none"/>
        </w:rPr>
        <w:t>一、总则</w:t>
      </w:r>
    </w:p>
    <w:p>
      <w:pPr>
        <w:keepNext w:val="0"/>
        <w:keepLines w:val="0"/>
        <w:pageBreakBefore w:val="0"/>
        <w:kinsoku/>
        <w:wordWrap/>
        <w:overflowPunct/>
        <w:topLinePunct w:val="0"/>
        <w:bidi w:val="0"/>
        <w:adjustRightInd/>
        <w:spacing w:line="400" w:lineRule="exact"/>
        <w:ind w:firstLine="413" w:firstLineChars="196"/>
        <w:rPr>
          <w:rFonts w:ascii="宋体" w:hAnsi="宋体"/>
          <w:b/>
          <w:color w:val="auto"/>
          <w:szCs w:val="21"/>
          <w:highlight w:val="none"/>
        </w:rPr>
      </w:pPr>
      <w:r>
        <w:rPr>
          <w:rFonts w:hint="eastAsia" w:ascii="宋体" w:hAnsi="宋体"/>
          <w:b/>
          <w:color w:val="auto"/>
          <w:szCs w:val="21"/>
          <w:highlight w:val="none"/>
        </w:rPr>
        <w:t>1、适应范围</w:t>
      </w:r>
    </w:p>
    <w:p>
      <w:pPr>
        <w:keepNext w:val="0"/>
        <w:keepLines w:val="0"/>
        <w:pageBreakBefore w:val="0"/>
        <w:kinsoku/>
        <w:wordWrap/>
        <w:overflowPunct/>
        <w:topLinePunct w:val="0"/>
        <w:bidi w:val="0"/>
        <w:adjustRightInd/>
        <w:spacing w:line="400" w:lineRule="exact"/>
        <w:ind w:firstLine="435"/>
        <w:rPr>
          <w:rFonts w:ascii="宋体" w:hAnsi="宋体"/>
          <w:color w:val="auto"/>
          <w:szCs w:val="21"/>
          <w:highlight w:val="none"/>
        </w:rPr>
      </w:pPr>
      <w:r>
        <w:rPr>
          <w:rFonts w:hint="eastAsia" w:ascii="宋体" w:hAnsi="宋体"/>
          <w:color w:val="auto"/>
          <w:szCs w:val="21"/>
          <w:highlight w:val="none"/>
        </w:rPr>
        <w:t>1.1 项目名称及项目编号</w:t>
      </w:r>
    </w:p>
    <w:p>
      <w:pPr>
        <w:keepNext w:val="0"/>
        <w:keepLines w:val="0"/>
        <w:pageBreakBefore w:val="0"/>
        <w:kinsoku/>
        <w:wordWrap/>
        <w:overflowPunct/>
        <w:topLinePunct w:val="0"/>
        <w:bidi w:val="0"/>
        <w:adjustRightInd/>
        <w:spacing w:line="400" w:lineRule="exact"/>
        <w:ind w:firstLine="854" w:firstLineChars="407"/>
        <w:rPr>
          <w:rFonts w:hint="eastAsia" w:ascii="宋体" w:hAnsi="宋体" w:eastAsia="宋体"/>
          <w:color w:val="auto"/>
          <w:szCs w:val="21"/>
          <w:highlight w:val="none"/>
          <w:lang w:eastAsia="zh-CN"/>
        </w:rPr>
      </w:pPr>
      <w:r>
        <w:rPr>
          <w:rFonts w:hint="eastAsia" w:ascii="宋体" w:hAnsi="宋体"/>
          <w:color w:val="auto"/>
          <w:szCs w:val="21"/>
          <w:highlight w:val="none"/>
        </w:rPr>
        <w:t>项目名称：</w:t>
      </w:r>
      <w:r>
        <w:rPr>
          <w:rFonts w:hint="eastAsia"/>
          <w:color w:val="auto"/>
          <w:highlight w:val="none"/>
          <w:lang w:eastAsia="zh-CN"/>
        </w:rPr>
        <w:t>桂林市临桂区奥园南路提升泵站格栅机和除臭机设备采购项目</w:t>
      </w:r>
    </w:p>
    <w:p>
      <w:pPr>
        <w:keepNext w:val="0"/>
        <w:keepLines w:val="0"/>
        <w:pageBreakBefore w:val="0"/>
        <w:kinsoku/>
        <w:wordWrap/>
        <w:overflowPunct/>
        <w:topLinePunct w:val="0"/>
        <w:bidi w:val="0"/>
        <w:adjustRightInd/>
        <w:spacing w:line="400" w:lineRule="exact"/>
        <w:ind w:firstLine="854" w:firstLineChars="407"/>
        <w:rPr>
          <w:rFonts w:hint="eastAsia" w:eastAsia="宋体"/>
          <w:color w:val="auto"/>
          <w:highlight w:val="none"/>
          <w:lang w:eastAsia="zh-CN"/>
        </w:rPr>
      </w:pPr>
      <w:r>
        <w:rPr>
          <w:rFonts w:hint="eastAsia" w:ascii="宋体" w:hAnsi="宋体"/>
          <w:color w:val="auto"/>
          <w:szCs w:val="21"/>
          <w:highlight w:val="none"/>
        </w:rPr>
        <w:t>项目编号：</w:t>
      </w:r>
      <w:r>
        <w:rPr>
          <w:rFonts w:hint="eastAsia" w:ascii="宋体" w:hAnsi="宋体" w:cs="宋体"/>
          <w:color w:val="auto"/>
          <w:highlight w:val="none"/>
          <w:lang w:eastAsia="zh-CN"/>
        </w:rPr>
        <w:t>GLZC2020-J1-120061-DCZX</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1.2本竞争性谈判文件（以下简称谈判文件）适用于本谈判项目的谈判、评审、合同履约、验收、付款等行为（法律、法规另有规定的，从其规定）。</w:t>
      </w:r>
    </w:p>
    <w:p>
      <w:pPr>
        <w:keepNext w:val="0"/>
        <w:keepLines w:val="0"/>
        <w:pageBreakBefore w:val="0"/>
        <w:kinsoku/>
        <w:wordWrap/>
        <w:overflowPunct/>
        <w:topLinePunct w:val="0"/>
        <w:bidi w:val="0"/>
        <w:adjustRightInd/>
        <w:spacing w:line="400" w:lineRule="exact"/>
        <w:ind w:firstLine="435"/>
        <w:rPr>
          <w:rFonts w:ascii="宋体" w:hAnsi="宋体"/>
          <w:b/>
          <w:color w:val="auto"/>
          <w:szCs w:val="21"/>
          <w:highlight w:val="none"/>
        </w:rPr>
      </w:pPr>
      <w:r>
        <w:rPr>
          <w:rFonts w:hint="eastAsia" w:ascii="宋体" w:hAnsi="宋体"/>
          <w:b/>
          <w:color w:val="auto"/>
          <w:szCs w:val="21"/>
          <w:highlight w:val="none"/>
        </w:rPr>
        <w:t>2、定义</w:t>
      </w:r>
    </w:p>
    <w:p>
      <w:pPr>
        <w:keepNext w:val="0"/>
        <w:keepLines w:val="0"/>
        <w:pageBreakBefore w:val="0"/>
        <w:kinsoku/>
        <w:wordWrap/>
        <w:overflowPunct/>
        <w:topLinePunct w:val="0"/>
        <w:bidi w:val="0"/>
        <w:adjustRightInd/>
        <w:spacing w:line="400" w:lineRule="exact"/>
        <w:ind w:firstLine="435"/>
        <w:rPr>
          <w:rFonts w:ascii="宋体" w:hAnsi="宋体"/>
          <w:color w:val="auto"/>
          <w:szCs w:val="21"/>
          <w:highlight w:val="none"/>
        </w:rPr>
      </w:pPr>
      <w:r>
        <w:rPr>
          <w:rFonts w:hint="eastAsia" w:ascii="宋体" w:hAnsi="宋体"/>
          <w:color w:val="auto"/>
          <w:szCs w:val="21"/>
          <w:highlight w:val="none"/>
        </w:rPr>
        <w:t>2.1、“供应商”是指符合本次采购项目的供应商资格并提交响应文件、参加谈判的供应商。如果该供应商在本次谈判中成交，即成为“成交供应商”。</w:t>
      </w:r>
    </w:p>
    <w:p>
      <w:pPr>
        <w:keepNext w:val="0"/>
        <w:keepLines w:val="0"/>
        <w:pageBreakBefore w:val="0"/>
        <w:kinsoku/>
        <w:wordWrap/>
        <w:overflowPunct/>
        <w:topLinePunct w:val="0"/>
        <w:bidi w:val="0"/>
        <w:adjustRightInd/>
        <w:spacing w:line="400" w:lineRule="exact"/>
        <w:ind w:firstLine="435"/>
        <w:rPr>
          <w:rFonts w:ascii="宋体" w:hAnsi="宋体"/>
          <w:color w:val="auto"/>
          <w:szCs w:val="21"/>
          <w:highlight w:val="none"/>
        </w:rPr>
      </w:pPr>
      <w:r>
        <w:rPr>
          <w:rFonts w:hint="eastAsia" w:ascii="宋体" w:hAnsi="宋体"/>
          <w:color w:val="auto"/>
          <w:szCs w:val="21"/>
          <w:highlight w:val="none"/>
        </w:rPr>
        <w:t>2.2、“货物”系指按谈判文件规定，供应商须向采购人提供的一切设备、保险、税金、备品备件、工具、手册及其它有关技术资料和材料。</w:t>
      </w:r>
    </w:p>
    <w:p>
      <w:pPr>
        <w:keepNext w:val="0"/>
        <w:keepLines w:val="0"/>
        <w:pageBreakBefore w:val="0"/>
        <w:kinsoku/>
        <w:wordWrap/>
        <w:overflowPunct/>
        <w:topLinePunct w:val="0"/>
        <w:bidi w:val="0"/>
        <w:adjustRightInd/>
        <w:spacing w:line="400" w:lineRule="exact"/>
        <w:ind w:firstLine="435"/>
        <w:rPr>
          <w:rFonts w:ascii="宋体" w:hAnsi="宋体"/>
          <w:color w:val="auto"/>
          <w:szCs w:val="21"/>
          <w:highlight w:val="none"/>
        </w:rPr>
      </w:pPr>
      <w:r>
        <w:rPr>
          <w:rFonts w:hint="eastAsia" w:ascii="宋体" w:hAnsi="宋体"/>
          <w:color w:val="auto"/>
          <w:szCs w:val="21"/>
          <w:highlight w:val="none"/>
        </w:rPr>
        <w:t>2.3、“服务”系指按谈判文件规定，供应商须承担的安装、调试、技术协助、校准、培训、技术指导以及其他类似的义务。</w:t>
      </w:r>
    </w:p>
    <w:p>
      <w:pPr>
        <w:keepNext w:val="0"/>
        <w:keepLines w:val="0"/>
        <w:pageBreakBefore w:val="0"/>
        <w:kinsoku/>
        <w:wordWrap/>
        <w:overflowPunct/>
        <w:topLinePunct w:val="0"/>
        <w:bidi w:val="0"/>
        <w:adjustRightInd/>
        <w:spacing w:line="400" w:lineRule="exact"/>
        <w:ind w:firstLine="435"/>
        <w:rPr>
          <w:rFonts w:ascii="宋体" w:hAnsi="宋体"/>
          <w:color w:val="auto"/>
          <w:szCs w:val="21"/>
          <w:highlight w:val="none"/>
        </w:rPr>
      </w:pPr>
      <w:r>
        <w:rPr>
          <w:rFonts w:hint="eastAsia" w:ascii="宋体" w:hAnsi="宋体"/>
          <w:color w:val="auto"/>
          <w:szCs w:val="21"/>
          <w:highlight w:val="none"/>
        </w:rPr>
        <w:t>2.4、“项目”系指供应商按谈判文件规定向采购人提供的货物和服务。</w:t>
      </w:r>
    </w:p>
    <w:p>
      <w:pPr>
        <w:keepNext w:val="0"/>
        <w:keepLines w:val="0"/>
        <w:pageBreakBefore w:val="0"/>
        <w:kinsoku/>
        <w:wordWrap/>
        <w:overflowPunct/>
        <w:topLinePunct w:val="0"/>
        <w:bidi w:val="0"/>
        <w:adjustRightInd/>
        <w:spacing w:line="400" w:lineRule="exact"/>
        <w:ind w:firstLine="435"/>
        <w:rPr>
          <w:rFonts w:ascii="宋体" w:hAnsi="宋体"/>
          <w:color w:val="auto"/>
          <w:szCs w:val="21"/>
          <w:highlight w:val="none"/>
        </w:rPr>
      </w:pPr>
      <w:r>
        <w:rPr>
          <w:rFonts w:hint="eastAsia" w:ascii="宋体" w:hAnsi="宋体"/>
          <w:color w:val="auto"/>
          <w:szCs w:val="21"/>
          <w:highlight w:val="none"/>
        </w:rPr>
        <w:t>2.5、“书面形式”包括信函、传真、电报等。</w:t>
      </w:r>
    </w:p>
    <w:p>
      <w:pPr>
        <w:keepNext w:val="0"/>
        <w:keepLines w:val="0"/>
        <w:pageBreakBefore w:val="0"/>
        <w:kinsoku/>
        <w:wordWrap/>
        <w:overflowPunct/>
        <w:topLinePunct w:val="0"/>
        <w:bidi w:val="0"/>
        <w:adjustRightInd/>
        <w:spacing w:line="400" w:lineRule="exact"/>
        <w:ind w:firstLine="435"/>
        <w:rPr>
          <w:rFonts w:ascii="宋体" w:hAnsi="宋体"/>
          <w:b/>
          <w:color w:val="auto"/>
          <w:szCs w:val="21"/>
          <w:highlight w:val="none"/>
        </w:rPr>
      </w:pPr>
      <w:r>
        <w:rPr>
          <w:rFonts w:hint="eastAsia" w:ascii="宋体" w:hAnsi="宋体"/>
          <w:b/>
          <w:color w:val="auto"/>
          <w:szCs w:val="21"/>
          <w:highlight w:val="none"/>
        </w:rPr>
        <w:t>3、供应商资格</w:t>
      </w:r>
    </w:p>
    <w:p>
      <w:pPr>
        <w:keepNext w:val="0"/>
        <w:keepLines w:val="0"/>
        <w:pageBreakBefore w:val="0"/>
        <w:kinsoku/>
        <w:wordWrap/>
        <w:overflowPunct/>
        <w:topLinePunct w:val="0"/>
        <w:bidi w:val="0"/>
        <w:adjustRightInd/>
        <w:spacing w:line="400" w:lineRule="exact"/>
        <w:ind w:firstLine="435"/>
        <w:rPr>
          <w:rFonts w:hint="eastAsia" w:ascii="宋体" w:hAnsi="宋体"/>
          <w:bCs/>
          <w:color w:val="auto"/>
          <w:szCs w:val="21"/>
          <w:highlight w:val="none"/>
        </w:rPr>
      </w:pPr>
      <w:r>
        <w:rPr>
          <w:rFonts w:hint="eastAsia" w:ascii="宋体" w:hAnsi="宋体"/>
          <w:bCs/>
          <w:color w:val="auto"/>
          <w:szCs w:val="21"/>
          <w:highlight w:val="none"/>
        </w:rPr>
        <w:t>3.1 符合《中华人民共和国政府采购法》第二十二条</w:t>
      </w:r>
      <w:r>
        <w:rPr>
          <w:rFonts w:hint="eastAsia" w:ascii="宋体" w:hAnsi="宋体"/>
          <w:color w:val="auto"/>
          <w:highlight w:val="none"/>
        </w:rPr>
        <w:t>和《政府采购法实施条例》第十八条</w:t>
      </w:r>
      <w:r>
        <w:rPr>
          <w:rFonts w:hint="eastAsia" w:ascii="宋体" w:hAnsi="宋体"/>
          <w:bCs/>
          <w:color w:val="auto"/>
          <w:szCs w:val="21"/>
          <w:highlight w:val="none"/>
        </w:rPr>
        <w:t>规定，</w:t>
      </w:r>
      <w:r>
        <w:rPr>
          <w:rFonts w:hint="eastAsia" w:ascii="宋体" w:hAnsi="宋体"/>
          <w:color w:val="auto"/>
          <w:highlight w:val="none"/>
        </w:rPr>
        <w:t>具备合法资格的供应商</w:t>
      </w:r>
      <w:r>
        <w:rPr>
          <w:rFonts w:hint="eastAsia" w:ascii="宋体" w:hAnsi="宋体"/>
          <w:bCs/>
          <w:color w:val="auto"/>
          <w:szCs w:val="21"/>
          <w:highlight w:val="none"/>
        </w:rPr>
        <w:t>。</w:t>
      </w:r>
    </w:p>
    <w:p>
      <w:pPr>
        <w:keepNext w:val="0"/>
        <w:keepLines w:val="0"/>
        <w:pageBreakBefore w:val="0"/>
        <w:kinsoku/>
        <w:wordWrap/>
        <w:overflowPunct/>
        <w:topLinePunct w:val="0"/>
        <w:bidi w:val="0"/>
        <w:adjustRightInd/>
        <w:spacing w:line="400" w:lineRule="exact"/>
        <w:ind w:firstLine="435"/>
        <w:rPr>
          <w:rFonts w:hint="eastAsia" w:ascii="宋体" w:hAnsi="宋体"/>
          <w:bCs/>
          <w:color w:val="auto"/>
          <w:szCs w:val="21"/>
          <w:highlight w:val="none"/>
        </w:rPr>
      </w:pPr>
      <w:r>
        <w:rPr>
          <w:rFonts w:hint="eastAsia" w:ascii="宋体" w:hAnsi="宋体"/>
          <w:bCs/>
          <w:color w:val="auto"/>
          <w:szCs w:val="21"/>
          <w:highlight w:val="none"/>
        </w:rPr>
        <w:t>3.2本项目</w:t>
      </w:r>
      <w:r>
        <w:rPr>
          <w:rFonts w:hint="eastAsia" w:ascii="宋体" w:hAnsi="宋体"/>
          <w:bCs/>
          <w:color w:val="auto"/>
          <w:szCs w:val="21"/>
          <w:highlight w:val="none"/>
          <w:u w:val="single"/>
        </w:rPr>
        <w:t>不接受</w:t>
      </w:r>
      <w:r>
        <w:rPr>
          <w:rFonts w:hint="eastAsia" w:ascii="宋体" w:hAnsi="宋体"/>
          <w:bCs/>
          <w:color w:val="auto"/>
          <w:szCs w:val="21"/>
          <w:highlight w:val="none"/>
        </w:rPr>
        <w:t>联合体参与谈判。</w:t>
      </w:r>
    </w:p>
    <w:p>
      <w:pPr>
        <w:keepNext w:val="0"/>
        <w:keepLines w:val="0"/>
        <w:pageBreakBefore w:val="0"/>
        <w:kinsoku/>
        <w:wordWrap/>
        <w:overflowPunct/>
        <w:topLinePunct w:val="0"/>
        <w:bidi w:val="0"/>
        <w:adjustRightInd/>
        <w:spacing w:line="400" w:lineRule="exact"/>
        <w:ind w:firstLine="435"/>
        <w:rPr>
          <w:rFonts w:hint="eastAsia" w:ascii="宋体" w:hAnsi="宋体"/>
          <w:color w:val="auto"/>
          <w:szCs w:val="21"/>
          <w:highlight w:val="none"/>
        </w:rPr>
      </w:pPr>
      <w:r>
        <w:rPr>
          <w:rFonts w:hint="eastAsia" w:ascii="宋体" w:hAnsi="宋体"/>
          <w:bCs/>
          <w:color w:val="auto"/>
          <w:szCs w:val="21"/>
          <w:highlight w:val="none"/>
        </w:rPr>
        <w:t>3.3</w:t>
      </w:r>
      <w:r>
        <w:rPr>
          <w:rFonts w:hint="eastAsia" w:ascii="宋体" w:hAnsi="宋体"/>
          <w:color w:val="auto"/>
          <w:szCs w:val="21"/>
          <w:highlight w:val="none"/>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keepNext w:val="0"/>
        <w:keepLines w:val="0"/>
        <w:pageBreakBefore w:val="0"/>
        <w:kinsoku/>
        <w:wordWrap/>
        <w:overflowPunct/>
        <w:topLinePunct w:val="0"/>
        <w:bidi w:val="0"/>
        <w:adjustRightInd/>
        <w:spacing w:line="400" w:lineRule="exact"/>
        <w:ind w:firstLine="435"/>
        <w:rPr>
          <w:rFonts w:ascii="宋体" w:hAnsi="宋体"/>
          <w:b/>
          <w:color w:val="auto"/>
          <w:szCs w:val="21"/>
          <w:highlight w:val="none"/>
        </w:rPr>
      </w:pPr>
      <w:r>
        <w:rPr>
          <w:rFonts w:hint="eastAsia" w:ascii="宋体" w:hAnsi="宋体"/>
          <w:b/>
          <w:color w:val="auto"/>
          <w:szCs w:val="21"/>
          <w:highlight w:val="none"/>
        </w:rPr>
        <w:t>4、谈判费用</w:t>
      </w:r>
    </w:p>
    <w:p>
      <w:pPr>
        <w:keepNext w:val="0"/>
        <w:keepLines w:val="0"/>
        <w:pageBreakBefore w:val="0"/>
        <w:tabs>
          <w:tab w:val="left" w:pos="1635"/>
        </w:tabs>
        <w:kinsoku/>
        <w:wordWrap/>
        <w:overflowPunct/>
        <w:topLinePunct w:val="0"/>
        <w:bidi w:val="0"/>
        <w:adjustRightInd/>
        <w:spacing w:line="400" w:lineRule="exact"/>
        <w:ind w:firstLine="435"/>
        <w:rPr>
          <w:rFonts w:ascii="宋体" w:hAnsi="宋体"/>
          <w:color w:val="auto"/>
          <w:szCs w:val="21"/>
          <w:highlight w:val="none"/>
        </w:rPr>
      </w:pPr>
      <w:r>
        <w:rPr>
          <w:rFonts w:hint="eastAsia" w:ascii="宋体" w:hAnsi="宋体"/>
          <w:color w:val="auto"/>
          <w:szCs w:val="21"/>
          <w:highlight w:val="none"/>
        </w:rPr>
        <w:t>不论</w:t>
      </w:r>
      <w:r>
        <w:rPr>
          <w:rFonts w:hint="eastAsia" w:ascii="宋体" w:hAnsi="宋体" w:cs="宋体"/>
          <w:color w:val="auto"/>
          <w:szCs w:val="21"/>
          <w:highlight w:val="none"/>
        </w:rPr>
        <w:t>谈判</w:t>
      </w:r>
      <w:r>
        <w:rPr>
          <w:rFonts w:hint="eastAsia" w:ascii="宋体" w:hAnsi="宋体"/>
          <w:color w:val="auto"/>
          <w:szCs w:val="21"/>
          <w:highlight w:val="none"/>
        </w:rPr>
        <w:t>结果如何，供应商均应自行承担所有与谈判有关的全部费用。</w:t>
      </w:r>
    </w:p>
    <w:p>
      <w:pPr>
        <w:keepNext w:val="0"/>
        <w:keepLines w:val="0"/>
        <w:pageBreakBefore w:val="0"/>
        <w:numPr>
          <w:ilvl w:val="0"/>
          <w:numId w:val="1"/>
        </w:numPr>
        <w:tabs>
          <w:tab w:val="left" w:pos="1635"/>
        </w:tabs>
        <w:kinsoku/>
        <w:wordWrap/>
        <w:overflowPunct/>
        <w:topLinePunct w:val="0"/>
        <w:bidi w:val="0"/>
        <w:adjustRightInd/>
        <w:spacing w:line="400" w:lineRule="exact"/>
        <w:ind w:firstLine="435"/>
        <w:rPr>
          <w:rFonts w:hint="eastAsia" w:ascii="宋体" w:hAnsi="宋体"/>
          <w:b/>
          <w:color w:val="auto"/>
          <w:szCs w:val="21"/>
          <w:highlight w:val="none"/>
        </w:rPr>
      </w:pPr>
      <w:r>
        <w:rPr>
          <w:rFonts w:hint="eastAsia" w:ascii="宋体" w:hAnsi="宋体"/>
          <w:b/>
          <w:color w:val="auto"/>
          <w:szCs w:val="21"/>
          <w:highlight w:val="none"/>
        </w:rPr>
        <w:t>联合体谈判要求（本项目不接受联合体参与谈判）</w:t>
      </w:r>
    </w:p>
    <w:p>
      <w:pPr>
        <w:keepNext w:val="0"/>
        <w:keepLines w:val="0"/>
        <w:pageBreakBefore w:val="0"/>
        <w:tabs>
          <w:tab w:val="left" w:pos="1635"/>
        </w:tabs>
        <w:kinsoku/>
        <w:wordWrap/>
        <w:overflowPunct/>
        <w:topLinePunct w:val="0"/>
        <w:bidi w:val="0"/>
        <w:adjustRightInd/>
        <w:spacing w:line="400" w:lineRule="exact"/>
        <w:rPr>
          <w:rFonts w:hint="eastAsia" w:ascii="宋体" w:hAnsi="宋体"/>
          <w:color w:val="auto"/>
          <w:szCs w:val="21"/>
          <w:highlight w:val="none"/>
        </w:rPr>
      </w:pPr>
      <w:r>
        <w:rPr>
          <w:rFonts w:hint="eastAsia" w:ascii="宋体" w:hAnsi="宋体"/>
          <w:b/>
          <w:color w:val="auto"/>
          <w:szCs w:val="21"/>
          <w:highlight w:val="none"/>
        </w:rPr>
        <w:t xml:space="preserve">    </w:t>
      </w:r>
      <w:r>
        <w:rPr>
          <w:rFonts w:hint="eastAsia" w:ascii="宋体" w:hAnsi="宋体"/>
          <w:color w:val="auto"/>
          <w:szCs w:val="21"/>
          <w:highlight w:val="none"/>
        </w:rPr>
        <w:t>5.1两个以上供应商可以组成一个联合体，以一个供应商的身份参与谈判。</w:t>
      </w:r>
    </w:p>
    <w:p>
      <w:pPr>
        <w:keepNext w:val="0"/>
        <w:keepLines w:val="0"/>
        <w:pageBreakBefore w:val="0"/>
        <w:tabs>
          <w:tab w:val="left" w:pos="1635"/>
        </w:tabs>
        <w:kinsoku/>
        <w:wordWrap/>
        <w:overflowPunct/>
        <w:topLinePunct w:val="0"/>
        <w:bidi w:val="0"/>
        <w:adjustRightInd/>
        <w:spacing w:line="400" w:lineRule="exact"/>
        <w:ind w:firstLine="435"/>
        <w:rPr>
          <w:rFonts w:hint="eastAsia" w:ascii="宋体" w:hAnsi="宋体"/>
          <w:color w:val="auto"/>
          <w:szCs w:val="21"/>
          <w:highlight w:val="none"/>
        </w:rPr>
      </w:pPr>
      <w:r>
        <w:rPr>
          <w:rFonts w:hint="eastAsia" w:ascii="宋体" w:hAnsi="宋体"/>
          <w:color w:val="auto"/>
          <w:szCs w:val="21"/>
          <w:highlight w:val="none"/>
        </w:rPr>
        <w:t>5.2以联合体形式参加谈判的，联合体各方均应当符合“具有独立承担民事责任的能力”的条件。本项目有特殊要求规定供应商特定条件的，联合体各方中至少应当有一方符合谈判文件规定的特定条件。</w:t>
      </w:r>
    </w:p>
    <w:p>
      <w:pPr>
        <w:keepNext w:val="0"/>
        <w:keepLines w:val="0"/>
        <w:pageBreakBefore w:val="0"/>
        <w:tabs>
          <w:tab w:val="left" w:pos="1635"/>
        </w:tabs>
        <w:kinsoku/>
        <w:wordWrap/>
        <w:overflowPunct/>
        <w:topLinePunct w:val="0"/>
        <w:bidi w:val="0"/>
        <w:adjustRightInd/>
        <w:spacing w:line="400" w:lineRule="exact"/>
        <w:ind w:firstLine="435"/>
        <w:rPr>
          <w:rFonts w:hint="eastAsia" w:ascii="宋体" w:hAnsi="宋体"/>
          <w:color w:val="auto"/>
          <w:szCs w:val="21"/>
          <w:highlight w:val="none"/>
        </w:rPr>
      </w:pPr>
      <w:r>
        <w:rPr>
          <w:rFonts w:hint="eastAsia" w:ascii="宋体" w:hAnsi="宋体"/>
          <w:color w:val="auto"/>
          <w:szCs w:val="21"/>
          <w:highlight w:val="none"/>
        </w:rPr>
        <w:t>5.3联合体各方之间应当签订联合体协议书，明确约定联合体各方承担的工作和相应的责任（各方承提的责任与义务分工应当符合货物采购需求，涉及行政许可范围的内容应由具有相应资质的成员承担；否则，联合体不成立），并将联合体协议书（格式见附件）连同响应文件一并提交本采购代理机构。联合体各方签订联合体协议书后，不得再单独参加或者与其他供应商另外组成联合体参加同一合同项下的政府采购活动，否则，与之相关的竞标文件均无效。</w:t>
      </w:r>
    </w:p>
    <w:p>
      <w:pPr>
        <w:keepNext w:val="0"/>
        <w:keepLines w:val="0"/>
        <w:pageBreakBefore w:val="0"/>
        <w:tabs>
          <w:tab w:val="left" w:pos="1635"/>
        </w:tabs>
        <w:kinsoku/>
        <w:wordWrap/>
        <w:overflowPunct/>
        <w:topLinePunct w:val="0"/>
        <w:bidi w:val="0"/>
        <w:adjustRightInd/>
        <w:spacing w:line="400" w:lineRule="exact"/>
        <w:ind w:firstLine="435"/>
        <w:rPr>
          <w:rFonts w:hint="eastAsia" w:ascii="宋体" w:hAnsi="宋体"/>
          <w:color w:val="auto"/>
          <w:szCs w:val="21"/>
          <w:highlight w:val="none"/>
        </w:rPr>
      </w:pPr>
      <w:r>
        <w:rPr>
          <w:rFonts w:hint="eastAsia" w:ascii="宋体" w:hAnsi="宋体"/>
          <w:color w:val="auto"/>
          <w:szCs w:val="21"/>
          <w:highlight w:val="none"/>
        </w:rPr>
        <w:t>5.4联合体各方中至少要有一方符合谈判文件规定的特定资质条件，有同类资质的供应商组成的联合体按照联合体分工承担相同工作的，应当按照资质等级较低的供应商确定资质等级。</w:t>
      </w:r>
    </w:p>
    <w:p>
      <w:pPr>
        <w:keepNext w:val="0"/>
        <w:keepLines w:val="0"/>
        <w:pageBreakBefore w:val="0"/>
        <w:kinsoku/>
        <w:wordWrap/>
        <w:overflowPunct/>
        <w:topLinePunct w:val="0"/>
        <w:bidi w:val="0"/>
        <w:adjustRightInd/>
        <w:snapToGrid w:val="0"/>
        <w:spacing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5.5联合体各方均应按照谈判文件的规定分别提交资格文件。</w:t>
      </w:r>
    </w:p>
    <w:p>
      <w:pPr>
        <w:keepNext w:val="0"/>
        <w:keepLines w:val="0"/>
        <w:pageBreakBefore w:val="0"/>
        <w:kinsoku/>
        <w:wordWrap/>
        <w:overflowPunct/>
        <w:topLinePunct w:val="0"/>
        <w:bidi w:val="0"/>
        <w:adjustRightInd/>
        <w:snapToGrid w:val="0"/>
        <w:spacing w:line="400" w:lineRule="exact"/>
        <w:ind w:firstLine="420" w:firstLineChars="200"/>
        <w:jc w:val="left"/>
        <w:rPr>
          <w:rFonts w:hint="eastAsia" w:ascii="宋体" w:hAnsi="宋体"/>
          <w:b/>
          <w:color w:val="auto"/>
          <w:szCs w:val="21"/>
          <w:highlight w:val="none"/>
        </w:rPr>
      </w:pPr>
      <w:r>
        <w:rPr>
          <w:rFonts w:hint="eastAsia" w:ascii="宋体" w:hAnsi="宋体"/>
          <w:color w:val="auto"/>
          <w:szCs w:val="21"/>
          <w:highlight w:val="none"/>
        </w:rPr>
        <w:t>5.6根据《政府采购促进中小企业发展暂行办法》（财库[2011]181号）第六条规定，鼓励大中型企业和其他自然人、法人或者其他组织与小型、微型企业组成联合体共同参加非专门面向中小企业的政府采购活动。联合协议书中，小型、微型企业产品的协议合同金额占到联合体协议合同总金额30%以上的，可给予联合体2%的价格扣除。联合体各方均为小型、微型企业的，联合体视同为小型、微型企业，可享受该办法第四条、第五条规定的扶持政策。组成联合体的大中型企业和其他自然人、法人或者其他组织，与小型、微型企业之间不得存在投资关系（小型、微型企业提供中型企业制造的货物的，视同为中型企业）。</w:t>
      </w:r>
    </w:p>
    <w:p>
      <w:pPr>
        <w:keepNext w:val="0"/>
        <w:keepLines w:val="0"/>
        <w:pageBreakBefore w:val="0"/>
        <w:tabs>
          <w:tab w:val="left" w:pos="2190"/>
        </w:tabs>
        <w:kinsoku/>
        <w:wordWrap/>
        <w:overflowPunct/>
        <w:topLinePunct w:val="0"/>
        <w:bidi w:val="0"/>
        <w:adjustRightInd/>
        <w:spacing w:line="400" w:lineRule="exact"/>
        <w:ind w:firstLine="413" w:firstLineChars="196"/>
        <w:rPr>
          <w:rFonts w:ascii="宋体" w:hAnsi="宋体"/>
          <w:b/>
          <w:color w:val="auto"/>
          <w:szCs w:val="21"/>
          <w:highlight w:val="none"/>
        </w:rPr>
      </w:pPr>
      <w:r>
        <w:rPr>
          <w:rFonts w:hint="eastAsia" w:ascii="宋体" w:hAnsi="宋体"/>
          <w:b/>
          <w:color w:val="auto"/>
          <w:szCs w:val="21"/>
          <w:highlight w:val="none"/>
        </w:rPr>
        <w:t>6、质疑和投诉</w:t>
      </w:r>
      <w:r>
        <w:rPr>
          <w:rFonts w:ascii="宋体" w:hAnsi="宋体"/>
          <w:b/>
          <w:color w:val="auto"/>
          <w:szCs w:val="21"/>
          <w:highlight w:val="none"/>
        </w:rPr>
        <w:tab/>
      </w:r>
    </w:p>
    <w:p>
      <w:pPr>
        <w:keepNext w:val="0"/>
        <w:keepLines w:val="0"/>
        <w:pageBreakBefore w:val="0"/>
        <w:tabs>
          <w:tab w:val="left" w:pos="2190"/>
        </w:tabs>
        <w:kinsoku/>
        <w:wordWrap/>
        <w:overflowPunct/>
        <w:topLinePunct w:val="0"/>
        <w:bidi w:val="0"/>
        <w:adjustRightInd/>
        <w:spacing w:line="400" w:lineRule="exact"/>
        <w:ind w:firstLine="435"/>
        <w:rPr>
          <w:color w:val="auto"/>
          <w:szCs w:val="21"/>
          <w:highlight w:val="none"/>
        </w:rPr>
      </w:pPr>
      <w:r>
        <w:rPr>
          <w:rFonts w:hint="eastAsia" w:ascii="宋体" w:hAnsi="宋体"/>
          <w:color w:val="auto"/>
          <w:szCs w:val="21"/>
          <w:highlight w:val="none"/>
        </w:rPr>
        <w:t>6.1供应商认为谈判文件使自己的合法权益受到损害的，应当在竞争性谈判公告期限</w:t>
      </w:r>
      <w:r>
        <w:rPr>
          <w:rFonts w:hint="eastAsia" w:ascii="宋体" w:hAnsi="宋体"/>
          <w:color w:val="auto"/>
          <w:szCs w:val="21"/>
          <w:highlight w:val="none"/>
          <w:lang w:eastAsia="zh-CN"/>
        </w:rPr>
        <w:t>结束</w:t>
      </w:r>
      <w:r>
        <w:rPr>
          <w:rFonts w:hint="eastAsia" w:ascii="宋体" w:hAnsi="宋体"/>
          <w:color w:val="auto"/>
          <w:szCs w:val="21"/>
          <w:highlight w:val="none"/>
        </w:rPr>
        <w:t>日起七个工作日内，以书面形式向采购代理机构提出质疑。供应商认为采购过程或成交结果使自己的合法权益受到损害的，应当在各采购程序环节结束之日或成交公告期限届满之日起七个工作日内，以书面形式</w:t>
      </w:r>
      <w:r>
        <w:rPr>
          <w:rFonts w:hint="eastAsia" w:ascii="宋体" w:hAnsi="宋体"/>
          <w:color w:val="auto"/>
          <w:szCs w:val="21"/>
          <w:highlight w:val="none"/>
          <w:lang w:eastAsia="zh-CN"/>
        </w:rPr>
        <w:t>向</w:t>
      </w:r>
      <w:r>
        <w:rPr>
          <w:rFonts w:hint="eastAsia" w:ascii="宋体" w:hAnsi="宋体"/>
          <w:color w:val="auto"/>
          <w:szCs w:val="21"/>
          <w:highlight w:val="none"/>
        </w:rPr>
        <w:t>采购代理机构提出质疑。采购代理机构应认真做好质疑处理工作。</w:t>
      </w:r>
    </w:p>
    <w:p>
      <w:pPr>
        <w:keepNext w:val="0"/>
        <w:keepLines w:val="0"/>
        <w:pageBreakBefore w:val="0"/>
        <w:tabs>
          <w:tab w:val="left" w:pos="2190"/>
        </w:tabs>
        <w:kinsoku/>
        <w:wordWrap/>
        <w:overflowPunct/>
        <w:topLinePunct w:val="0"/>
        <w:bidi w:val="0"/>
        <w:adjustRightInd/>
        <w:spacing w:line="400" w:lineRule="exact"/>
        <w:ind w:firstLine="435"/>
        <w:rPr>
          <w:rFonts w:ascii="宋体" w:hAnsi="宋体"/>
          <w:color w:val="auto"/>
          <w:szCs w:val="21"/>
          <w:highlight w:val="none"/>
        </w:rPr>
      </w:pPr>
      <w:r>
        <w:rPr>
          <w:rFonts w:hint="eastAsia" w:ascii="宋体" w:hAnsi="宋体"/>
          <w:color w:val="auto"/>
          <w:szCs w:val="21"/>
          <w:highlight w:val="none"/>
        </w:rPr>
        <w:t>6.2供应商对采购代理机构的质疑答复不满意或者采购代理机构未在规定的时间内作出答复的，可以在答复期满后十五个工作日内向</w:t>
      </w:r>
      <w:r>
        <w:rPr>
          <w:rFonts w:hint="eastAsia" w:ascii="宋体" w:hAnsi="宋体"/>
          <w:color w:val="auto"/>
          <w:highlight w:val="none"/>
          <w:lang w:eastAsia="zh-CN"/>
        </w:rPr>
        <w:t>桂林市临桂区财政局政府采购监督管理股</w:t>
      </w:r>
      <w:r>
        <w:rPr>
          <w:rFonts w:hint="eastAsia" w:ascii="宋体" w:hAnsi="宋体"/>
          <w:color w:val="auto"/>
          <w:szCs w:val="21"/>
          <w:highlight w:val="none"/>
        </w:rPr>
        <w:t>投诉。</w:t>
      </w:r>
    </w:p>
    <w:p>
      <w:pPr>
        <w:keepNext w:val="0"/>
        <w:keepLines w:val="0"/>
        <w:pageBreakBefore w:val="0"/>
        <w:tabs>
          <w:tab w:val="left" w:pos="2190"/>
        </w:tabs>
        <w:kinsoku/>
        <w:wordWrap/>
        <w:overflowPunct/>
        <w:topLinePunct w:val="0"/>
        <w:bidi w:val="0"/>
        <w:adjustRightInd/>
        <w:spacing w:line="400" w:lineRule="exact"/>
        <w:ind w:firstLine="435"/>
        <w:rPr>
          <w:rFonts w:hint="eastAsia" w:ascii="宋体" w:hAnsi="宋体"/>
          <w:color w:val="auto"/>
          <w:szCs w:val="21"/>
          <w:highlight w:val="none"/>
        </w:rPr>
      </w:pPr>
      <w:r>
        <w:rPr>
          <w:rFonts w:hint="eastAsia" w:ascii="宋体" w:hAnsi="宋体"/>
          <w:color w:val="auto"/>
          <w:szCs w:val="21"/>
          <w:highlight w:val="none"/>
        </w:rPr>
        <w:t>6.3质疑、投诉应当采用书面形式，质疑书、投诉书实行实名制，均应明确阐述谈判文件、采购过程或成交结果中使自己合法权益受到损害的实质性内容，并提供必要的证明材料。</w:t>
      </w:r>
    </w:p>
    <w:p>
      <w:pPr>
        <w:keepNext w:val="0"/>
        <w:keepLines w:val="0"/>
        <w:pageBreakBefore w:val="0"/>
        <w:tabs>
          <w:tab w:val="left" w:pos="2190"/>
        </w:tabs>
        <w:kinsoku/>
        <w:wordWrap/>
        <w:overflowPunct/>
        <w:topLinePunct w:val="0"/>
        <w:bidi w:val="0"/>
        <w:adjustRightInd/>
        <w:spacing w:line="400" w:lineRule="exact"/>
        <w:ind w:firstLine="435"/>
        <w:rPr>
          <w:rFonts w:ascii="宋体" w:hAnsi="宋体"/>
          <w:color w:val="auto"/>
          <w:szCs w:val="21"/>
          <w:highlight w:val="none"/>
        </w:rPr>
      </w:pPr>
      <w:r>
        <w:rPr>
          <w:rFonts w:hint="eastAsia" w:ascii="宋体" w:hAnsi="宋体"/>
          <w:color w:val="auto"/>
          <w:szCs w:val="21"/>
          <w:highlight w:val="none"/>
        </w:rPr>
        <w:t>供应商</w:t>
      </w:r>
      <w:r>
        <w:rPr>
          <w:rFonts w:ascii="宋体" w:hAnsi="宋体"/>
          <w:color w:val="auto"/>
          <w:szCs w:val="21"/>
          <w:highlight w:val="none"/>
        </w:rPr>
        <w:t>提出质疑应当提交质疑函和必要的证明材料</w:t>
      </w:r>
      <w:r>
        <w:rPr>
          <w:rFonts w:hint="eastAsia" w:ascii="宋体" w:hAnsi="宋体"/>
          <w:color w:val="auto"/>
          <w:szCs w:val="21"/>
          <w:highlight w:val="none"/>
        </w:rPr>
        <w:t>，</w:t>
      </w:r>
      <w:r>
        <w:rPr>
          <w:rFonts w:ascii="宋体" w:hAnsi="宋体"/>
          <w:color w:val="auto"/>
          <w:szCs w:val="21"/>
          <w:highlight w:val="none"/>
        </w:rPr>
        <w:t>针对同一采购程序环节的质疑</w:t>
      </w:r>
      <w:r>
        <w:rPr>
          <w:rFonts w:hint="eastAsia" w:ascii="宋体" w:hAnsi="宋体"/>
          <w:color w:val="auto"/>
          <w:szCs w:val="21"/>
          <w:highlight w:val="none"/>
        </w:rPr>
        <w:t>必须</w:t>
      </w:r>
      <w:r>
        <w:rPr>
          <w:rFonts w:ascii="宋体" w:hAnsi="宋体"/>
          <w:color w:val="auto"/>
          <w:szCs w:val="21"/>
          <w:highlight w:val="none"/>
        </w:rPr>
        <w:t>在法定质疑期内一次性提出。质疑函应当包括下列内容：</w:t>
      </w:r>
    </w:p>
    <w:p>
      <w:pPr>
        <w:keepNext w:val="0"/>
        <w:keepLines w:val="0"/>
        <w:pageBreakBefore w:val="0"/>
        <w:tabs>
          <w:tab w:val="left" w:pos="2190"/>
        </w:tabs>
        <w:kinsoku/>
        <w:wordWrap/>
        <w:overflowPunct/>
        <w:topLinePunct w:val="0"/>
        <w:bidi w:val="0"/>
        <w:adjustRightInd/>
        <w:spacing w:line="400" w:lineRule="exact"/>
        <w:ind w:firstLine="435"/>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1</w:t>
      </w:r>
      <w:r>
        <w:rPr>
          <w:rFonts w:ascii="宋体" w:hAnsi="宋体"/>
          <w:color w:val="auto"/>
          <w:szCs w:val="21"/>
          <w:highlight w:val="none"/>
        </w:rPr>
        <w:t>）供应商的姓名或者名称、地址、邮编、联系人及联系电话；</w:t>
      </w:r>
    </w:p>
    <w:p>
      <w:pPr>
        <w:keepNext w:val="0"/>
        <w:keepLines w:val="0"/>
        <w:pageBreakBefore w:val="0"/>
        <w:tabs>
          <w:tab w:val="left" w:pos="2190"/>
        </w:tabs>
        <w:kinsoku/>
        <w:wordWrap/>
        <w:overflowPunct/>
        <w:topLinePunct w:val="0"/>
        <w:bidi w:val="0"/>
        <w:adjustRightInd/>
        <w:spacing w:line="400" w:lineRule="exact"/>
        <w:ind w:firstLine="435"/>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2</w:t>
      </w:r>
      <w:r>
        <w:rPr>
          <w:rFonts w:ascii="宋体" w:hAnsi="宋体"/>
          <w:color w:val="auto"/>
          <w:szCs w:val="21"/>
          <w:highlight w:val="none"/>
        </w:rPr>
        <w:t>）质疑项目的名称、编号；</w:t>
      </w:r>
    </w:p>
    <w:p>
      <w:pPr>
        <w:keepNext w:val="0"/>
        <w:keepLines w:val="0"/>
        <w:pageBreakBefore w:val="0"/>
        <w:tabs>
          <w:tab w:val="left" w:pos="2190"/>
        </w:tabs>
        <w:kinsoku/>
        <w:wordWrap/>
        <w:overflowPunct/>
        <w:topLinePunct w:val="0"/>
        <w:bidi w:val="0"/>
        <w:adjustRightInd/>
        <w:spacing w:line="400" w:lineRule="exact"/>
        <w:ind w:firstLine="435"/>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3</w:t>
      </w:r>
      <w:r>
        <w:rPr>
          <w:rFonts w:ascii="宋体" w:hAnsi="宋体"/>
          <w:color w:val="auto"/>
          <w:szCs w:val="21"/>
          <w:highlight w:val="none"/>
        </w:rPr>
        <w:t>）具体、明确的质疑事项和与质疑事项相关的请求；</w:t>
      </w:r>
    </w:p>
    <w:p>
      <w:pPr>
        <w:keepNext w:val="0"/>
        <w:keepLines w:val="0"/>
        <w:pageBreakBefore w:val="0"/>
        <w:tabs>
          <w:tab w:val="left" w:pos="2190"/>
        </w:tabs>
        <w:kinsoku/>
        <w:wordWrap/>
        <w:overflowPunct/>
        <w:topLinePunct w:val="0"/>
        <w:bidi w:val="0"/>
        <w:adjustRightInd/>
        <w:spacing w:line="400" w:lineRule="exact"/>
        <w:ind w:firstLine="435"/>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4</w:t>
      </w:r>
      <w:r>
        <w:rPr>
          <w:rFonts w:ascii="宋体" w:hAnsi="宋体"/>
          <w:color w:val="auto"/>
          <w:szCs w:val="21"/>
          <w:highlight w:val="none"/>
        </w:rPr>
        <w:t>）事实依据；</w:t>
      </w:r>
    </w:p>
    <w:p>
      <w:pPr>
        <w:keepNext w:val="0"/>
        <w:keepLines w:val="0"/>
        <w:pageBreakBefore w:val="0"/>
        <w:tabs>
          <w:tab w:val="left" w:pos="2190"/>
        </w:tabs>
        <w:kinsoku/>
        <w:wordWrap/>
        <w:overflowPunct/>
        <w:topLinePunct w:val="0"/>
        <w:bidi w:val="0"/>
        <w:adjustRightInd/>
        <w:spacing w:line="400" w:lineRule="exact"/>
        <w:ind w:firstLine="435"/>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5</w:t>
      </w:r>
      <w:r>
        <w:rPr>
          <w:rFonts w:ascii="宋体" w:hAnsi="宋体"/>
          <w:color w:val="auto"/>
          <w:szCs w:val="21"/>
          <w:highlight w:val="none"/>
        </w:rPr>
        <w:t>）必要的法律依据；</w:t>
      </w:r>
    </w:p>
    <w:p>
      <w:pPr>
        <w:keepNext w:val="0"/>
        <w:keepLines w:val="0"/>
        <w:pageBreakBefore w:val="0"/>
        <w:tabs>
          <w:tab w:val="left" w:pos="2190"/>
        </w:tabs>
        <w:kinsoku/>
        <w:wordWrap/>
        <w:overflowPunct/>
        <w:topLinePunct w:val="0"/>
        <w:bidi w:val="0"/>
        <w:adjustRightInd/>
        <w:spacing w:line="400" w:lineRule="exact"/>
        <w:ind w:firstLine="435"/>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6</w:t>
      </w:r>
      <w:r>
        <w:rPr>
          <w:rFonts w:ascii="宋体" w:hAnsi="宋体"/>
          <w:color w:val="auto"/>
          <w:szCs w:val="21"/>
          <w:highlight w:val="none"/>
        </w:rPr>
        <w:t>）提出质疑的日期。</w:t>
      </w:r>
    </w:p>
    <w:p>
      <w:pPr>
        <w:keepNext w:val="0"/>
        <w:keepLines w:val="0"/>
        <w:pageBreakBefore w:val="0"/>
        <w:tabs>
          <w:tab w:val="left" w:pos="2190"/>
        </w:tabs>
        <w:kinsoku/>
        <w:wordWrap/>
        <w:overflowPunct/>
        <w:topLinePunct w:val="0"/>
        <w:bidi w:val="0"/>
        <w:adjustRightInd/>
        <w:spacing w:line="400" w:lineRule="exact"/>
        <w:ind w:firstLine="435"/>
        <w:rPr>
          <w:rFonts w:hint="eastAsia" w:ascii="宋体" w:hAnsi="宋体"/>
          <w:color w:val="auto"/>
          <w:szCs w:val="21"/>
          <w:highlight w:val="none"/>
        </w:rPr>
      </w:pPr>
      <w:r>
        <w:rPr>
          <w:rFonts w:ascii="宋体" w:hAnsi="宋体"/>
          <w:color w:val="auto"/>
          <w:szCs w:val="21"/>
          <w:highlight w:val="none"/>
        </w:rPr>
        <w:t>供应商为自然人的，应当由本人签字；供应商为法人或者其他组织的，应当由法定代表人、主要负责人，或者其授权代表签字或者盖章，并加盖公章。</w:t>
      </w:r>
    </w:p>
    <w:p>
      <w:pPr>
        <w:keepNext w:val="0"/>
        <w:keepLines w:val="0"/>
        <w:pageBreakBefore w:val="0"/>
        <w:tabs>
          <w:tab w:val="left" w:pos="2190"/>
        </w:tabs>
        <w:kinsoku/>
        <w:wordWrap/>
        <w:overflowPunct/>
        <w:topLinePunct w:val="0"/>
        <w:bidi w:val="0"/>
        <w:adjustRightInd/>
        <w:spacing w:line="400" w:lineRule="exact"/>
        <w:ind w:firstLine="435"/>
        <w:rPr>
          <w:rFonts w:hint="eastAsia" w:ascii="宋体" w:hAnsi="宋体"/>
          <w:color w:val="auto"/>
          <w:szCs w:val="21"/>
          <w:highlight w:val="none"/>
        </w:rPr>
      </w:pPr>
      <w:r>
        <w:rPr>
          <w:rFonts w:hint="eastAsia" w:ascii="宋体" w:hAnsi="宋体"/>
          <w:color w:val="auto"/>
          <w:szCs w:val="21"/>
          <w:highlight w:val="none"/>
        </w:rPr>
        <w:t>接收质疑函方式：以书面形式</w:t>
      </w:r>
    </w:p>
    <w:p>
      <w:pPr>
        <w:keepNext w:val="0"/>
        <w:keepLines w:val="0"/>
        <w:pageBreakBefore w:val="0"/>
        <w:tabs>
          <w:tab w:val="left" w:pos="2190"/>
        </w:tabs>
        <w:kinsoku/>
        <w:wordWrap/>
        <w:overflowPunct/>
        <w:topLinePunct w:val="0"/>
        <w:bidi w:val="0"/>
        <w:adjustRightInd/>
        <w:spacing w:line="400" w:lineRule="exact"/>
        <w:ind w:firstLine="435"/>
        <w:rPr>
          <w:rFonts w:hint="eastAsia" w:ascii="宋体" w:hAnsi="宋体"/>
          <w:color w:val="auto"/>
          <w:szCs w:val="21"/>
          <w:highlight w:val="none"/>
        </w:rPr>
      </w:pPr>
      <w:r>
        <w:rPr>
          <w:rFonts w:hint="eastAsia" w:ascii="宋体" w:hAnsi="宋体"/>
          <w:color w:val="auto"/>
          <w:szCs w:val="21"/>
          <w:highlight w:val="none"/>
        </w:rPr>
        <w:t>质疑联系部门及联系方式：大成工程咨询有限公司桂林分公司，联系人：</w:t>
      </w:r>
      <w:r>
        <w:rPr>
          <w:rFonts w:hint="eastAsia" w:ascii="宋体" w:hAnsi="宋体"/>
          <w:color w:val="auto"/>
          <w:szCs w:val="21"/>
          <w:highlight w:val="none"/>
          <w:lang w:eastAsia="zh-CN"/>
        </w:rPr>
        <w:t>莫工</w:t>
      </w:r>
      <w:r>
        <w:rPr>
          <w:rFonts w:hint="eastAsia" w:ascii="宋体" w:hAnsi="宋体"/>
          <w:color w:val="auto"/>
          <w:szCs w:val="21"/>
          <w:highlight w:val="none"/>
        </w:rPr>
        <w:t>，</w:t>
      </w:r>
      <w:r>
        <w:rPr>
          <w:rFonts w:ascii="宋体" w:hAnsi="宋体"/>
          <w:color w:val="auto"/>
          <w:szCs w:val="21"/>
          <w:highlight w:val="none"/>
        </w:rPr>
        <w:t>联系电话</w:t>
      </w:r>
      <w:r>
        <w:rPr>
          <w:rFonts w:hint="eastAsia" w:ascii="宋体" w:hAnsi="宋体"/>
          <w:color w:val="auto"/>
          <w:szCs w:val="21"/>
          <w:highlight w:val="none"/>
        </w:rPr>
        <w:t>：0773-</w:t>
      </w:r>
      <w:r>
        <w:rPr>
          <w:rFonts w:hint="eastAsia" w:ascii="宋体" w:hAnsi="宋体"/>
          <w:color w:val="auto"/>
          <w:szCs w:val="21"/>
          <w:highlight w:val="none"/>
          <w:lang w:eastAsia="zh-CN"/>
        </w:rPr>
        <w:t>3663220</w:t>
      </w:r>
      <w:r>
        <w:rPr>
          <w:rFonts w:hint="eastAsia" w:ascii="宋体" w:hAnsi="宋体"/>
          <w:color w:val="auto"/>
          <w:szCs w:val="21"/>
          <w:highlight w:val="none"/>
        </w:rPr>
        <w:t>。</w:t>
      </w:r>
    </w:p>
    <w:p>
      <w:pPr>
        <w:keepNext w:val="0"/>
        <w:keepLines w:val="0"/>
        <w:pageBreakBefore w:val="0"/>
        <w:tabs>
          <w:tab w:val="left" w:pos="2190"/>
        </w:tabs>
        <w:kinsoku/>
        <w:wordWrap/>
        <w:overflowPunct/>
        <w:topLinePunct w:val="0"/>
        <w:bidi w:val="0"/>
        <w:adjustRightInd/>
        <w:spacing w:line="400" w:lineRule="exact"/>
        <w:ind w:firstLine="435"/>
        <w:rPr>
          <w:rFonts w:hint="eastAsia" w:ascii="宋体" w:hAnsi="宋体"/>
          <w:color w:val="auto"/>
          <w:szCs w:val="21"/>
          <w:highlight w:val="none"/>
        </w:rPr>
      </w:pPr>
      <w:r>
        <w:rPr>
          <w:rFonts w:ascii="宋体" w:hAnsi="宋体"/>
          <w:color w:val="auto"/>
          <w:szCs w:val="21"/>
          <w:highlight w:val="none"/>
        </w:rPr>
        <w:t>通讯地址</w:t>
      </w:r>
      <w:r>
        <w:rPr>
          <w:rFonts w:hint="eastAsia" w:ascii="宋体" w:hAnsi="宋体"/>
          <w:color w:val="auto"/>
          <w:szCs w:val="21"/>
          <w:highlight w:val="none"/>
        </w:rPr>
        <w:t>：</w:t>
      </w:r>
      <w:r>
        <w:rPr>
          <w:rFonts w:hint="eastAsia"/>
          <w:color w:val="auto"/>
          <w:szCs w:val="21"/>
          <w:highlight w:val="none"/>
        </w:rPr>
        <w:t>临桂区飞扬国际T6幢13层</w:t>
      </w:r>
      <w:r>
        <w:rPr>
          <w:rFonts w:hint="eastAsia" w:ascii="宋体" w:hAnsi="宋体"/>
          <w:color w:val="auto"/>
          <w:szCs w:val="21"/>
          <w:highlight w:val="none"/>
        </w:rPr>
        <w:t>。</w:t>
      </w:r>
    </w:p>
    <w:p>
      <w:pPr>
        <w:keepNext w:val="0"/>
        <w:keepLines w:val="0"/>
        <w:pageBreakBefore w:val="0"/>
        <w:tabs>
          <w:tab w:val="left" w:pos="2190"/>
        </w:tabs>
        <w:kinsoku/>
        <w:wordWrap/>
        <w:overflowPunct/>
        <w:topLinePunct w:val="0"/>
        <w:bidi w:val="0"/>
        <w:adjustRightInd/>
        <w:spacing w:line="400" w:lineRule="exact"/>
        <w:ind w:firstLine="435"/>
        <w:rPr>
          <w:rFonts w:ascii="宋体" w:hAnsi="宋体"/>
          <w:b/>
          <w:color w:val="auto"/>
          <w:szCs w:val="21"/>
          <w:highlight w:val="none"/>
        </w:rPr>
      </w:pPr>
      <w:r>
        <w:rPr>
          <w:rFonts w:hint="eastAsia" w:ascii="宋体" w:hAnsi="宋体"/>
          <w:b/>
          <w:color w:val="auto"/>
          <w:szCs w:val="21"/>
          <w:highlight w:val="none"/>
        </w:rPr>
        <w:t>7、转包与分包</w:t>
      </w:r>
    </w:p>
    <w:p>
      <w:pPr>
        <w:keepNext w:val="0"/>
        <w:keepLines w:val="0"/>
        <w:pageBreakBefore w:val="0"/>
        <w:tabs>
          <w:tab w:val="left" w:pos="2190"/>
        </w:tabs>
        <w:kinsoku/>
        <w:wordWrap/>
        <w:overflowPunct/>
        <w:topLinePunct w:val="0"/>
        <w:bidi w:val="0"/>
        <w:adjustRightInd/>
        <w:spacing w:line="400" w:lineRule="exact"/>
        <w:ind w:firstLine="435"/>
        <w:rPr>
          <w:rFonts w:ascii="宋体" w:hAnsi="宋体"/>
          <w:color w:val="auto"/>
          <w:szCs w:val="21"/>
          <w:highlight w:val="none"/>
        </w:rPr>
      </w:pPr>
      <w:r>
        <w:rPr>
          <w:rFonts w:hint="eastAsia" w:ascii="宋体" w:hAnsi="宋体"/>
          <w:color w:val="auto"/>
          <w:szCs w:val="21"/>
          <w:highlight w:val="none"/>
        </w:rPr>
        <w:t>7.1、本项目不允许转包。</w:t>
      </w:r>
    </w:p>
    <w:p>
      <w:pPr>
        <w:keepNext w:val="0"/>
        <w:keepLines w:val="0"/>
        <w:pageBreakBefore w:val="0"/>
        <w:tabs>
          <w:tab w:val="left" w:pos="2190"/>
        </w:tabs>
        <w:kinsoku/>
        <w:wordWrap/>
        <w:overflowPunct/>
        <w:topLinePunct w:val="0"/>
        <w:bidi w:val="0"/>
        <w:adjustRightInd/>
        <w:spacing w:line="400" w:lineRule="exact"/>
        <w:ind w:firstLine="435"/>
        <w:rPr>
          <w:rFonts w:hint="eastAsia" w:ascii="宋体" w:hAnsi="宋体"/>
          <w:color w:val="auto"/>
          <w:szCs w:val="21"/>
          <w:highlight w:val="none"/>
        </w:rPr>
      </w:pPr>
      <w:r>
        <w:rPr>
          <w:rFonts w:hint="eastAsia" w:ascii="宋体" w:hAnsi="宋体"/>
          <w:color w:val="auto"/>
          <w:szCs w:val="21"/>
          <w:highlight w:val="none"/>
        </w:rPr>
        <w:t>7.2、本项目不可以分包。</w:t>
      </w:r>
    </w:p>
    <w:p>
      <w:pPr>
        <w:keepNext w:val="0"/>
        <w:keepLines w:val="0"/>
        <w:pageBreakBefore w:val="0"/>
        <w:tabs>
          <w:tab w:val="left" w:pos="2190"/>
        </w:tabs>
        <w:kinsoku/>
        <w:wordWrap/>
        <w:overflowPunct/>
        <w:topLinePunct w:val="0"/>
        <w:bidi w:val="0"/>
        <w:adjustRightInd/>
        <w:spacing w:line="400" w:lineRule="exact"/>
        <w:ind w:firstLine="435"/>
        <w:rPr>
          <w:rFonts w:hint="eastAsia" w:ascii="宋体" w:hAnsi="宋体" w:cs="宋体"/>
          <w:b/>
          <w:color w:val="auto"/>
          <w:szCs w:val="21"/>
          <w:highlight w:val="none"/>
        </w:rPr>
      </w:pPr>
      <w:r>
        <w:rPr>
          <w:rFonts w:hint="eastAsia" w:ascii="宋体" w:hAnsi="宋体" w:cs="宋体"/>
          <w:b/>
          <w:color w:val="auto"/>
          <w:szCs w:val="21"/>
          <w:highlight w:val="none"/>
        </w:rPr>
        <w:t>8. 特别说明</w:t>
      </w:r>
    </w:p>
    <w:p>
      <w:pPr>
        <w:keepNext w:val="0"/>
        <w:keepLines w:val="0"/>
        <w:pageBreakBefore w:val="0"/>
        <w:tabs>
          <w:tab w:val="left" w:pos="1635"/>
        </w:tabs>
        <w:kinsoku/>
        <w:wordWrap/>
        <w:overflowPunct/>
        <w:topLinePunct w:val="0"/>
        <w:bidi w:val="0"/>
        <w:adjustRightInd/>
        <w:spacing w:line="400" w:lineRule="exact"/>
        <w:ind w:firstLine="435"/>
        <w:rPr>
          <w:rFonts w:hint="eastAsia" w:ascii="宋体" w:hAnsi="宋体"/>
          <w:bCs/>
          <w:color w:val="auto"/>
          <w:szCs w:val="21"/>
          <w:highlight w:val="none"/>
        </w:rPr>
      </w:pPr>
      <w:r>
        <w:rPr>
          <w:rFonts w:hint="eastAsia" w:ascii="宋体" w:hAnsi="宋体"/>
          <w:bCs/>
          <w:color w:val="auto"/>
          <w:szCs w:val="21"/>
          <w:highlight w:val="none"/>
        </w:rPr>
        <w:t>8.1 关联供应商不得参加同一合同项下政府采购活动，否则竞标文件将被视为无效：</w:t>
      </w:r>
    </w:p>
    <w:p>
      <w:pPr>
        <w:keepNext w:val="0"/>
        <w:keepLines w:val="0"/>
        <w:pageBreakBefore w:val="0"/>
        <w:tabs>
          <w:tab w:val="left" w:pos="1635"/>
        </w:tabs>
        <w:kinsoku/>
        <w:wordWrap/>
        <w:overflowPunct/>
        <w:topLinePunct w:val="0"/>
        <w:bidi w:val="0"/>
        <w:adjustRightInd/>
        <w:spacing w:line="400" w:lineRule="exact"/>
        <w:ind w:firstLine="420" w:firstLineChars="200"/>
        <w:rPr>
          <w:rFonts w:hint="eastAsia" w:ascii="宋体" w:hAnsi="宋体"/>
          <w:color w:val="auto"/>
          <w:szCs w:val="21"/>
          <w:highlight w:val="none"/>
        </w:rPr>
      </w:pPr>
      <w:r>
        <w:rPr>
          <w:rFonts w:hint="eastAsia" w:ascii="宋体" w:hAnsi="宋体"/>
          <w:bCs/>
          <w:color w:val="auto"/>
          <w:szCs w:val="21"/>
          <w:highlight w:val="none"/>
        </w:rPr>
        <w:t>（1）</w:t>
      </w:r>
      <w:r>
        <w:rPr>
          <w:rFonts w:hint="eastAsia" w:ascii="宋体" w:hAnsi="宋体"/>
          <w:color w:val="auto"/>
          <w:szCs w:val="21"/>
          <w:highlight w:val="none"/>
        </w:rPr>
        <w:t>单位负责人为同一人或者存在直接控股、管理关系的，不得参加同一合同项下的政府采购活动。</w:t>
      </w:r>
    </w:p>
    <w:p>
      <w:pPr>
        <w:keepNext w:val="0"/>
        <w:keepLines w:val="0"/>
        <w:pageBreakBefore w:val="0"/>
        <w:tabs>
          <w:tab w:val="left" w:pos="1635"/>
        </w:tabs>
        <w:kinsoku/>
        <w:wordWrap/>
        <w:overflowPunct/>
        <w:topLinePunct w:val="0"/>
        <w:bidi w:val="0"/>
        <w:adjustRightInd/>
        <w:spacing w:line="400" w:lineRule="exact"/>
        <w:ind w:firstLine="435"/>
        <w:rPr>
          <w:rFonts w:hint="eastAsia" w:ascii="宋体" w:hAnsi="宋体"/>
          <w:color w:val="auto"/>
          <w:szCs w:val="21"/>
          <w:highlight w:val="none"/>
        </w:rPr>
      </w:pPr>
      <w:r>
        <w:rPr>
          <w:rFonts w:hint="eastAsia" w:ascii="宋体" w:hAnsi="宋体"/>
          <w:color w:val="auto"/>
          <w:szCs w:val="21"/>
          <w:highlight w:val="none"/>
        </w:rPr>
        <w:t>（2）生产厂商授权给供应商后自己不得参加同一合同项下的政府采购活动；生产厂商对同一品牌同一型号的货物，仅能委托一个代理商参加竞标。</w:t>
      </w:r>
    </w:p>
    <w:p>
      <w:pPr>
        <w:keepNext w:val="0"/>
        <w:keepLines w:val="0"/>
        <w:pageBreakBefore w:val="0"/>
        <w:tabs>
          <w:tab w:val="left" w:pos="1635"/>
        </w:tabs>
        <w:kinsoku/>
        <w:wordWrap/>
        <w:overflowPunct/>
        <w:topLinePunct w:val="0"/>
        <w:bidi w:val="0"/>
        <w:adjustRightInd/>
        <w:spacing w:line="400" w:lineRule="exact"/>
        <w:ind w:firstLine="435"/>
        <w:rPr>
          <w:rFonts w:hint="eastAsia" w:ascii="宋体" w:hAnsi="宋体"/>
          <w:color w:val="auto"/>
          <w:szCs w:val="21"/>
          <w:highlight w:val="none"/>
        </w:rPr>
      </w:pPr>
      <w:r>
        <w:rPr>
          <w:rFonts w:hint="eastAsia" w:ascii="宋体" w:hAnsi="宋体"/>
          <w:color w:val="auto"/>
          <w:szCs w:val="21"/>
          <w:highlight w:val="none"/>
        </w:rPr>
        <w:t>（3）为本采购项目提供整体设计、规范编制或者项目管理、监理、检测等服务的供应商，不得再参加本次采购活动。</w:t>
      </w:r>
    </w:p>
    <w:p>
      <w:pPr>
        <w:keepNext w:val="0"/>
        <w:keepLines w:val="0"/>
        <w:pageBreakBefore w:val="0"/>
        <w:tabs>
          <w:tab w:val="left" w:pos="1635"/>
        </w:tabs>
        <w:kinsoku/>
        <w:wordWrap/>
        <w:overflowPunct/>
        <w:topLinePunct w:val="0"/>
        <w:bidi w:val="0"/>
        <w:adjustRightInd/>
        <w:spacing w:line="400" w:lineRule="exact"/>
        <w:ind w:firstLine="435"/>
        <w:rPr>
          <w:rFonts w:hint="eastAsia" w:ascii="宋体" w:hAnsi="宋体"/>
          <w:color w:val="auto"/>
          <w:szCs w:val="21"/>
          <w:highlight w:val="none"/>
        </w:rPr>
      </w:pPr>
      <w:r>
        <w:rPr>
          <w:rFonts w:hint="eastAsia" w:ascii="宋体" w:hAnsi="宋体"/>
          <w:color w:val="auto"/>
          <w:szCs w:val="21"/>
          <w:highlight w:val="none"/>
        </w:rPr>
        <w:t>（4）提供相同品牌产品的不同供应商参加同一合同项下竞标的，以其中通过资格审查、符合性审查且报价最低的参加评审，报价相同的，由采购人自主选择确定一个参加评审的供应商，其他报价无效。非单一产品采购项目中，多家供应商提供的核心产品品牌相同的，视为提供相同品牌产品。</w:t>
      </w:r>
    </w:p>
    <w:p>
      <w:pPr>
        <w:keepNext w:val="0"/>
        <w:keepLines w:val="0"/>
        <w:pageBreakBefore w:val="0"/>
        <w:tabs>
          <w:tab w:val="left" w:pos="1635"/>
        </w:tabs>
        <w:kinsoku/>
        <w:wordWrap/>
        <w:overflowPunct/>
        <w:topLinePunct w:val="0"/>
        <w:bidi w:val="0"/>
        <w:adjustRightInd/>
        <w:spacing w:line="400" w:lineRule="exact"/>
        <w:ind w:firstLine="435"/>
        <w:rPr>
          <w:rFonts w:hint="eastAsia" w:ascii="宋体" w:hAnsi="宋体"/>
          <w:color w:val="auto"/>
          <w:szCs w:val="21"/>
          <w:highlight w:val="none"/>
        </w:rPr>
      </w:pPr>
      <w:r>
        <w:rPr>
          <w:rFonts w:hint="eastAsia" w:ascii="宋体" w:hAnsi="宋体"/>
          <w:color w:val="auto"/>
          <w:szCs w:val="21"/>
          <w:highlight w:val="none"/>
        </w:rPr>
        <w:t>8.2竞标供应商应仔细阅读谈判文件的所有内容，按照谈判文件的要求提交响应文件，并对所提供的全部资料的真实性承担法律责任。</w:t>
      </w:r>
    </w:p>
    <w:p>
      <w:pPr>
        <w:keepNext w:val="0"/>
        <w:keepLines w:val="0"/>
        <w:pageBreakBefore w:val="0"/>
        <w:tabs>
          <w:tab w:val="left" w:pos="1635"/>
        </w:tabs>
        <w:kinsoku/>
        <w:wordWrap/>
        <w:overflowPunct/>
        <w:topLinePunct w:val="0"/>
        <w:bidi w:val="0"/>
        <w:adjustRightInd/>
        <w:spacing w:line="400" w:lineRule="exact"/>
        <w:ind w:firstLine="435"/>
        <w:rPr>
          <w:rFonts w:hint="eastAsia" w:ascii="宋体" w:hAnsi="宋体"/>
          <w:color w:val="auto"/>
          <w:szCs w:val="21"/>
          <w:highlight w:val="none"/>
        </w:rPr>
      </w:pPr>
      <w:r>
        <w:rPr>
          <w:rFonts w:hint="eastAsia" w:ascii="宋体" w:hAnsi="宋体"/>
          <w:color w:val="auto"/>
          <w:szCs w:val="21"/>
          <w:highlight w:val="none"/>
        </w:rPr>
        <w:t>8.3竞标供应商在竞标活动中提供任何虚假材料，其竞标无效，并报监管部门查处；成交后发现的，成交人须依照《中华人民共和国消费者权益保护法》第49条之规定双倍赔偿采购人，且民事赔偿并不免除违法竞标供应商的行政与刑事责任。</w:t>
      </w:r>
    </w:p>
    <w:p>
      <w:pPr>
        <w:keepNext w:val="0"/>
        <w:keepLines w:val="0"/>
        <w:pageBreakBefore w:val="0"/>
        <w:tabs>
          <w:tab w:val="left" w:pos="2190"/>
        </w:tabs>
        <w:kinsoku/>
        <w:wordWrap/>
        <w:overflowPunct/>
        <w:topLinePunct w:val="0"/>
        <w:bidi w:val="0"/>
        <w:adjustRightInd/>
        <w:spacing w:line="400" w:lineRule="exact"/>
        <w:rPr>
          <w:rFonts w:ascii="宋体" w:hAnsi="宋体"/>
          <w:color w:val="auto"/>
          <w:szCs w:val="21"/>
          <w:highlight w:val="none"/>
        </w:rPr>
      </w:pPr>
    </w:p>
    <w:p>
      <w:pPr>
        <w:keepNext w:val="0"/>
        <w:keepLines w:val="0"/>
        <w:pageBreakBefore w:val="0"/>
        <w:tabs>
          <w:tab w:val="left" w:pos="2190"/>
        </w:tabs>
        <w:kinsoku/>
        <w:wordWrap/>
        <w:overflowPunct/>
        <w:topLinePunct w:val="0"/>
        <w:bidi w:val="0"/>
        <w:adjustRightInd/>
        <w:spacing w:line="400" w:lineRule="exact"/>
        <w:ind w:firstLine="435"/>
        <w:jc w:val="center"/>
        <w:rPr>
          <w:rFonts w:ascii="宋体" w:hAnsi="宋体"/>
          <w:b/>
          <w:color w:val="auto"/>
          <w:sz w:val="28"/>
          <w:szCs w:val="28"/>
          <w:highlight w:val="none"/>
        </w:rPr>
      </w:pPr>
      <w:r>
        <w:rPr>
          <w:rFonts w:hint="eastAsia" w:ascii="宋体" w:hAnsi="宋体"/>
          <w:b/>
          <w:color w:val="auto"/>
          <w:sz w:val="28"/>
          <w:szCs w:val="28"/>
          <w:highlight w:val="none"/>
        </w:rPr>
        <w:t>二、谈判文件</w:t>
      </w:r>
    </w:p>
    <w:p>
      <w:pPr>
        <w:keepNext w:val="0"/>
        <w:keepLines w:val="0"/>
        <w:pageBreakBefore w:val="0"/>
        <w:tabs>
          <w:tab w:val="left" w:pos="2190"/>
        </w:tabs>
        <w:kinsoku/>
        <w:wordWrap/>
        <w:overflowPunct/>
        <w:topLinePunct w:val="0"/>
        <w:bidi w:val="0"/>
        <w:adjustRightInd/>
        <w:spacing w:line="400" w:lineRule="exact"/>
        <w:ind w:firstLine="437"/>
        <w:rPr>
          <w:rFonts w:ascii="宋体" w:hAnsi="宋体"/>
          <w:b/>
          <w:color w:val="auto"/>
          <w:szCs w:val="21"/>
          <w:highlight w:val="none"/>
        </w:rPr>
      </w:pPr>
      <w:r>
        <w:rPr>
          <w:rFonts w:hint="eastAsia" w:ascii="宋体" w:hAnsi="宋体"/>
          <w:b/>
          <w:color w:val="auto"/>
          <w:szCs w:val="21"/>
          <w:highlight w:val="none"/>
        </w:rPr>
        <w:t>9、谈判文件的构成</w:t>
      </w:r>
    </w:p>
    <w:p>
      <w:pPr>
        <w:keepNext w:val="0"/>
        <w:keepLines w:val="0"/>
        <w:pageBreakBefore w:val="0"/>
        <w:tabs>
          <w:tab w:val="left" w:pos="2190"/>
        </w:tabs>
        <w:kinsoku/>
        <w:wordWrap/>
        <w:overflowPunct/>
        <w:topLinePunct w:val="0"/>
        <w:bidi w:val="0"/>
        <w:adjustRightInd/>
        <w:spacing w:line="400" w:lineRule="exact"/>
        <w:ind w:firstLine="437"/>
        <w:rPr>
          <w:rFonts w:ascii="宋体" w:hAnsi="宋体"/>
          <w:color w:val="auto"/>
          <w:szCs w:val="21"/>
          <w:highlight w:val="none"/>
        </w:rPr>
      </w:pPr>
      <w:r>
        <w:rPr>
          <w:rFonts w:hint="eastAsia" w:ascii="宋体" w:hAnsi="宋体"/>
          <w:color w:val="auto"/>
          <w:szCs w:val="21"/>
          <w:highlight w:val="none"/>
        </w:rPr>
        <w:t>⑴ 竞争性谈判公告；</w:t>
      </w:r>
    </w:p>
    <w:p>
      <w:pPr>
        <w:keepNext w:val="0"/>
        <w:keepLines w:val="0"/>
        <w:pageBreakBefore w:val="0"/>
        <w:tabs>
          <w:tab w:val="left" w:pos="2190"/>
        </w:tabs>
        <w:kinsoku/>
        <w:wordWrap/>
        <w:overflowPunct/>
        <w:topLinePunct w:val="0"/>
        <w:bidi w:val="0"/>
        <w:adjustRightInd/>
        <w:spacing w:line="400" w:lineRule="exact"/>
        <w:ind w:firstLine="437"/>
        <w:rPr>
          <w:rFonts w:ascii="宋体" w:hAnsi="宋体"/>
          <w:color w:val="auto"/>
          <w:szCs w:val="21"/>
          <w:highlight w:val="none"/>
        </w:rPr>
      </w:pPr>
      <w:r>
        <w:rPr>
          <w:rFonts w:hint="eastAsia" w:ascii="宋体" w:hAnsi="宋体"/>
          <w:color w:val="auto"/>
          <w:szCs w:val="21"/>
          <w:highlight w:val="none"/>
        </w:rPr>
        <w:t>⑵ 供应商须知；</w:t>
      </w:r>
    </w:p>
    <w:p>
      <w:pPr>
        <w:keepNext w:val="0"/>
        <w:keepLines w:val="0"/>
        <w:pageBreakBefore w:val="0"/>
        <w:tabs>
          <w:tab w:val="left" w:pos="2190"/>
        </w:tabs>
        <w:kinsoku/>
        <w:wordWrap/>
        <w:overflowPunct/>
        <w:topLinePunct w:val="0"/>
        <w:bidi w:val="0"/>
        <w:adjustRightInd/>
        <w:spacing w:line="400" w:lineRule="exact"/>
        <w:ind w:firstLine="437"/>
        <w:rPr>
          <w:rFonts w:ascii="宋体" w:hAnsi="宋体"/>
          <w:color w:val="auto"/>
          <w:szCs w:val="21"/>
          <w:highlight w:val="none"/>
        </w:rPr>
      </w:pPr>
      <w:r>
        <w:rPr>
          <w:rFonts w:hint="eastAsia" w:ascii="宋体" w:hAnsi="宋体"/>
          <w:color w:val="auto"/>
          <w:szCs w:val="21"/>
          <w:highlight w:val="none"/>
        </w:rPr>
        <w:t>⑶ 货物采购需求</w:t>
      </w:r>
      <w:r>
        <w:rPr>
          <w:rFonts w:hint="eastAsia" w:ascii="宋体" w:hAnsi="宋体"/>
          <w:bCs/>
          <w:color w:val="auto"/>
          <w:szCs w:val="21"/>
          <w:highlight w:val="none"/>
        </w:rPr>
        <w:t>（“货物采购需求”中</w:t>
      </w:r>
      <w:r>
        <w:rPr>
          <w:rFonts w:hint="eastAsia" w:ascii="宋体" w:hAnsi="宋体"/>
          <w:bCs/>
          <w:color w:val="auto"/>
          <w:szCs w:val="21"/>
          <w:highlight w:val="none"/>
          <w:lang w:eastAsia="zh-CN"/>
        </w:rPr>
        <w:t>标注</w:t>
      </w:r>
      <w:r>
        <w:rPr>
          <w:rFonts w:hint="eastAsia" w:ascii="宋体" w:hAnsi="宋体"/>
          <w:bCs/>
          <w:color w:val="auto"/>
          <w:szCs w:val="21"/>
          <w:highlight w:val="none"/>
        </w:rPr>
        <w:t>★为实质性要求）；</w:t>
      </w:r>
    </w:p>
    <w:p>
      <w:pPr>
        <w:keepNext w:val="0"/>
        <w:keepLines w:val="0"/>
        <w:pageBreakBefore w:val="0"/>
        <w:tabs>
          <w:tab w:val="left" w:pos="2190"/>
        </w:tabs>
        <w:kinsoku/>
        <w:wordWrap/>
        <w:overflowPunct/>
        <w:topLinePunct w:val="0"/>
        <w:bidi w:val="0"/>
        <w:adjustRightInd/>
        <w:spacing w:line="400" w:lineRule="exact"/>
        <w:ind w:firstLine="437"/>
        <w:rPr>
          <w:rFonts w:ascii="宋体" w:hAnsi="宋体"/>
          <w:color w:val="auto"/>
          <w:szCs w:val="21"/>
          <w:highlight w:val="none"/>
        </w:rPr>
      </w:pPr>
      <w:r>
        <w:rPr>
          <w:rFonts w:hint="eastAsia" w:ascii="宋体" w:hAnsi="宋体"/>
          <w:color w:val="auto"/>
          <w:szCs w:val="21"/>
          <w:highlight w:val="none"/>
        </w:rPr>
        <w:t>⑷ 评审方法；</w:t>
      </w:r>
    </w:p>
    <w:p>
      <w:pPr>
        <w:keepNext w:val="0"/>
        <w:keepLines w:val="0"/>
        <w:pageBreakBefore w:val="0"/>
        <w:tabs>
          <w:tab w:val="left" w:pos="2190"/>
        </w:tabs>
        <w:kinsoku/>
        <w:wordWrap/>
        <w:overflowPunct/>
        <w:topLinePunct w:val="0"/>
        <w:bidi w:val="0"/>
        <w:adjustRightInd/>
        <w:spacing w:line="400" w:lineRule="exact"/>
        <w:ind w:firstLine="437"/>
        <w:rPr>
          <w:rFonts w:ascii="宋体" w:hAnsi="宋体"/>
          <w:color w:val="auto"/>
          <w:szCs w:val="21"/>
          <w:highlight w:val="none"/>
        </w:rPr>
      </w:pPr>
      <w:r>
        <w:rPr>
          <w:rFonts w:hint="eastAsia" w:ascii="宋体" w:hAnsi="宋体"/>
          <w:color w:val="auto"/>
          <w:szCs w:val="21"/>
          <w:highlight w:val="none"/>
        </w:rPr>
        <w:t>⑸ 采购合同（合同主要条款及格式）；</w:t>
      </w:r>
    </w:p>
    <w:p>
      <w:pPr>
        <w:keepNext w:val="0"/>
        <w:keepLines w:val="0"/>
        <w:pageBreakBefore w:val="0"/>
        <w:tabs>
          <w:tab w:val="left" w:pos="2190"/>
        </w:tabs>
        <w:kinsoku/>
        <w:wordWrap/>
        <w:overflowPunct/>
        <w:topLinePunct w:val="0"/>
        <w:bidi w:val="0"/>
        <w:adjustRightInd/>
        <w:spacing w:line="400" w:lineRule="exact"/>
        <w:ind w:firstLine="437"/>
        <w:rPr>
          <w:rFonts w:ascii="宋体" w:hAnsi="宋体"/>
          <w:color w:val="auto"/>
          <w:szCs w:val="21"/>
          <w:highlight w:val="none"/>
        </w:rPr>
      </w:pPr>
      <w:r>
        <w:rPr>
          <w:rFonts w:hint="eastAsia" w:ascii="宋体" w:hAnsi="宋体"/>
          <w:color w:val="auto"/>
          <w:szCs w:val="21"/>
          <w:highlight w:val="none"/>
        </w:rPr>
        <w:t>⑹ 响应文件格式。</w:t>
      </w:r>
    </w:p>
    <w:p>
      <w:pPr>
        <w:keepNext w:val="0"/>
        <w:keepLines w:val="0"/>
        <w:pageBreakBefore w:val="0"/>
        <w:tabs>
          <w:tab w:val="left" w:pos="2190"/>
        </w:tabs>
        <w:kinsoku/>
        <w:wordWrap/>
        <w:overflowPunct/>
        <w:topLinePunct w:val="0"/>
        <w:bidi w:val="0"/>
        <w:adjustRightInd/>
        <w:spacing w:line="400" w:lineRule="exact"/>
        <w:ind w:firstLine="437"/>
        <w:rPr>
          <w:rFonts w:ascii="宋体" w:hAnsi="宋体"/>
          <w:b/>
          <w:color w:val="auto"/>
          <w:szCs w:val="21"/>
          <w:highlight w:val="none"/>
        </w:rPr>
      </w:pPr>
      <w:r>
        <w:rPr>
          <w:rFonts w:hint="eastAsia" w:ascii="宋体" w:hAnsi="宋体"/>
          <w:b/>
          <w:color w:val="auto"/>
          <w:szCs w:val="21"/>
          <w:highlight w:val="none"/>
        </w:rPr>
        <w:t>10、谈判文件的澄清与修改</w:t>
      </w:r>
    </w:p>
    <w:p>
      <w:pPr>
        <w:keepNext w:val="0"/>
        <w:keepLines w:val="0"/>
        <w:pageBreakBefore w:val="0"/>
        <w:tabs>
          <w:tab w:val="left" w:pos="1890"/>
          <w:tab w:val="left" w:pos="2190"/>
        </w:tabs>
        <w:kinsoku/>
        <w:wordWrap/>
        <w:overflowPunct/>
        <w:topLinePunct w:val="0"/>
        <w:bidi w:val="0"/>
        <w:adjustRightInd/>
        <w:spacing w:line="400" w:lineRule="exact"/>
        <w:ind w:firstLine="437"/>
        <w:rPr>
          <w:rFonts w:ascii="宋体" w:hAnsi="宋体"/>
          <w:color w:val="auto"/>
          <w:szCs w:val="21"/>
          <w:highlight w:val="none"/>
        </w:rPr>
      </w:pPr>
      <w:r>
        <w:rPr>
          <w:rFonts w:hint="eastAsia" w:ascii="宋体" w:hAnsi="宋体"/>
          <w:color w:val="auto"/>
          <w:szCs w:val="21"/>
          <w:highlight w:val="none"/>
        </w:rPr>
        <w:t>10.1提交首次响应文件截止之日前，采购代理机构可以对已发出的谈判文件进行必要澄清或者修改，澄清或者修改的内容可能影响响应文件编制的，采购代理机构应当在提交首次响应文件递交截止时间三个工作日前在本项目竞争性谈判公告发布的同一媒体上发布更正公告，</w:t>
      </w:r>
      <w:r>
        <w:rPr>
          <w:rFonts w:hint="eastAsia" w:ascii="宋体" w:hAnsi="宋体"/>
          <w:color w:val="auto"/>
          <w:szCs w:val="21"/>
          <w:highlight w:val="none"/>
          <w:lang w:eastAsia="zh-CN"/>
        </w:rPr>
        <w:t>供应商自行登录相关网站查询</w:t>
      </w:r>
      <w:r>
        <w:rPr>
          <w:rFonts w:hint="eastAsia" w:ascii="宋体" w:hAnsi="宋体"/>
          <w:color w:val="auto"/>
          <w:szCs w:val="21"/>
          <w:highlight w:val="none"/>
        </w:rPr>
        <w:t>，不足三个工作日的，应当顺延首次响应文件递交截止时间。</w:t>
      </w:r>
    </w:p>
    <w:p>
      <w:pPr>
        <w:keepNext w:val="0"/>
        <w:keepLines w:val="0"/>
        <w:pageBreakBefore w:val="0"/>
        <w:tabs>
          <w:tab w:val="left" w:pos="2190"/>
        </w:tabs>
        <w:kinsoku/>
        <w:wordWrap/>
        <w:overflowPunct/>
        <w:topLinePunct w:val="0"/>
        <w:bidi w:val="0"/>
        <w:adjustRightInd/>
        <w:spacing w:line="400" w:lineRule="exact"/>
        <w:ind w:firstLine="437"/>
        <w:rPr>
          <w:rFonts w:hint="eastAsia" w:ascii="宋体" w:hAnsi="宋体"/>
          <w:color w:val="auto"/>
          <w:szCs w:val="21"/>
          <w:highlight w:val="none"/>
        </w:rPr>
      </w:pPr>
      <w:r>
        <w:rPr>
          <w:rFonts w:hint="eastAsia" w:ascii="宋体" w:hAnsi="宋体"/>
          <w:color w:val="auto"/>
          <w:szCs w:val="21"/>
          <w:highlight w:val="none"/>
        </w:rPr>
        <w:t>10.2</w:t>
      </w:r>
      <w:r>
        <w:rPr>
          <w:rFonts w:hint="eastAsia" w:ascii="宋体" w:hAnsi="宋体"/>
          <w:b/>
          <w:color w:val="auto"/>
          <w:szCs w:val="21"/>
          <w:highlight w:val="none"/>
        </w:rPr>
        <w:t>供应商</w:t>
      </w:r>
      <w:r>
        <w:rPr>
          <w:rFonts w:hint="eastAsia" w:ascii="宋体" w:hAnsi="宋体"/>
          <w:b/>
          <w:color w:val="auto"/>
          <w:szCs w:val="21"/>
          <w:highlight w:val="none"/>
          <w:lang w:eastAsia="zh-CN"/>
        </w:rPr>
        <w:t>获取</w:t>
      </w:r>
      <w:r>
        <w:rPr>
          <w:rFonts w:hint="eastAsia" w:ascii="宋体" w:hAnsi="宋体"/>
          <w:b/>
          <w:color w:val="auto"/>
          <w:szCs w:val="21"/>
          <w:highlight w:val="none"/>
        </w:rPr>
        <w:t>竞争性谈判文件后应实时关注相关网站了解澄清、修改等与项目有关的内容，如因供应商未及时登录相关网站了解澄清、修改等与项目有关的内容，从而导致竞标无效的，由供应商自行承担责任。</w:t>
      </w:r>
    </w:p>
    <w:p>
      <w:pPr>
        <w:keepNext w:val="0"/>
        <w:keepLines w:val="0"/>
        <w:pageBreakBefore w:val="0"/>
        <w:tabs>
          <w:tab w:val="left" w:pos="2190"/>
        </w:tabs>
        <w:kinsoku/>
        <w:wordWrap/>
        <w:overflowPunct/>
        <w:topLinePunct w:val="0"/>
        <w:bidi w:val="0"/>
        <w:adjustRightInd/>
        <w:spacing w:line="400" w:lineRule="exact"/>
        <w:ind w:firstLine="437"/>
        <w:rPr>
          <w:rFonts w:hint="eastAsia" w:ascii="宋体" w:hAnsi="宋体"/>
          <w:color w:val="auto"/>
          <w:szCs w:val="21"/>
          <w:highlight w:val="none"/>
        </w:rPr>
      </w:pPr>
      <w:r>
        <w:rPr>
          <w:rFonts w:hint="eastAsia" w:ascii="宋体" w:hAnsi="宋体"/>
          <w:color w:val="auto"/>
          <w:szCs w:val="21"/>
          <w:highlight w:val="none"/>
        </w:rPr>
        <w:t>10.3澄清或者修改的内容为谈判文件的组成部分。当澄清或者修改通知就同一内容的表述不一致时，以最后发出的文件为准。</w:t>
      </w:r>
    </w:p>
    <w:p>
      <w:pPr>
        <w:keepNext w:val="0"/>
        <w:keepLines w:val="0"/>
        <w:pageBreakBefore w:val="0"/>
        <w:tabs>
          <w:tab w:val="left" w:pos="2190"/>
        </w:tabs>
        <w:kinsoku/>
        <w:wordWrap/>
        <w:overflowPunct/>
        <w:topLinePunct w:val="0"/>
        <w:bidi w:val="0"/>
        <w:adjustRightInd/>
        <w:spacing w:line="400" w:lineRule="exact"/>
        <w:ind w:firstLine="437"/>
        <w:rPr>
          <w:rFonts w:hint="eastAsia" w:ascii="宋体" w:hAnsi="宋体"/>
          <w:color w:val="auto"/>
          <w:szCs w:val="21"/>
          <w:highlight w:val="none"/>
        </w:rPr>
      </w:pPr>
      <w:r>
        <w:rPr>
          <w:rFonts w:hint="eastAsia" w:ascii="宋体" w:hAnsi="宋体"/>
          <w:color w:val="auto"/>
          <w:szCs w:val="21"/>
          <w:highlight w:val="none"/>
        </w:rPr>
        <w:t>10.4 谈判文件的澄清或者修改都应该通过本项目采购代理机构以法定形式发布，采购人非通过本机构，不得擅自澄清或者修改谈判文件。</w:t>
      </w:r>
    </w:p>
    <w:p>
      <w:pPr>
        <w:keepNext w:val="0"/>
        <w:keepLines w:val="0"/>
        <w:pageBreakBefore w:val="0"/>
        <w:tabs>
          <w:tab w:val="left" w:pos="2190"/>
        </w:tabs>
        <w:kinsoku/>
        <w:wordWrap/>
        <w:overflowPunct/>
        <w:topLinePunct w:val="0"/>
        <w:bidi w:val="0"/>
        <w:adjustRightInd/>
        <w:spacing w:line="400" w:lineRule="exact"/>
        <w:ind w:firstLine="437"/>
        <w:rPr>
          <w:rFonts w:hint="eastAsia" w:ascii="宋体" w:hAnsi="宋体"/>
          <w:color w:val="auto"/>
          <w:szCs w:val="21"/>
          <w:highlight w:val="none"/>
        </w:rPr>
      </w:pPr>
      <w:r>
        <w:rPr>
          <w:rFonts w:hint="eastAsia" w:ascii="宋体" w:hAnsi="宋体"/>
          <w:color w:val="auto"/>
          <w:szCs w:val="21"/>
          <w:highlight w:val="none"/>
        </w:rPr>
        <w:t>10.5采购代理机构可以视采购具体情况，延长首次响应文件递交截止时间和谈判时间，并将变更时间书面通知所有</w:t>
      </w:r>
      <w:r>
        <w:rPr>
          <w:rFonts w:hint="eastAsia" w:ascii="宋体" w:hAnsi="宋体"/>
          <w:color w:val="auto"/>
          <w:szCs w:val="21"/>
          <w:highlight w:val="none"/>
          <w:lang w:eastAsia="zh-CN"/>
        </w:rPr>
        <w:t>获取</w:t>
      </w:r>
      <w:r>
        <w:rPr>
          <w:rFonts w:hint="eastAsia" w:ascii="宋体" w:hAnsi="宋体"/>
          <w:color w:val="auto"/>
          <w:szCs w:val="21"/>
          <w:highlight w:val="none"/>
        </w:rPr>
        <w:t>谈判文件收受人，在本项目竞争性谈判公告发布的同一媒体上发布变更公告。</w:t>
      </w:r>
    </w:p>
    <w:p>
      <w:pPr>
        <w:keepNext w:val="0"/>
        <w:keepLines w:val="0"/>
        <w:pageBreakBefore w:val="0"/>
        <w:tabs>
          <w:tab w:val="left" w:pos="2190"/>
        </w:tabs>
        <w:kinsoku/>
        <w:wordWrap/>
        <w:overflowPunct/>
        <w:topLinePunct w:val="0"/>
        <w:bidi w:val="0"/>
        <w:adjustRightInd/>
        <w:spacing w:line="400" w:lineRule="exact"/>
        <w:ind w:firstLine="437"/>
        <w:rPr>
          <w:rFonts w:ascii="宋体" w:hAnsi="宋体"/>
          <w:color w:val="auto"/>
          <w:szCs w:val="21"/>
          <w:highlight w:val="none"/>
        </w:rPr>
      </w:pPr>
    </w:p>
    <w:p>
      <w:pPr>
        <w:pStyle w:val="29"/>
        <w:keepNext w:val="0"/>
        <w:keepLines w:val="0"/>
        <w:pageBreakBefore w:val="0"/>
        <w:kinsoku/>
        <w:wordWrap/>
        <w:overflowPunct/>
        <w:topLinePunct w:val="0"/>
        <w:bidi w:val="0"/>
        <w:adjustRightInd/>
        <w:spacing w:line="400" w:lineRule="exact"/>
        <w:rPr>
          <w:rFonts w:hint="eastAsia"/>
          <w:color w:val="auto"/>
          <w:highlight w:val="none"/>
        </w:rPr>
      </w:pPr>
    </w:p>
    <w:p>
      <w:pPr>
        <w:keepNext w:val="0"/>
        <w:keepLines w:val="0"/>
        <w:pageBreakBefore w:val="0"/>
        <w:tabs>
          <w:tab w:val="left" w:pos="2190"/>
        </w:tabs>
        <w:kinsoku/>
        <w:wordWrap/>
        <w:overflowPunct/>
        <w:topLinePunct w:val="0"/>
        <w:bidi w:val="0"/>
        <w:adjustRightInd/>
        <w:spacing w:line="400" w:lineRule="exact"/>
        <w:ind w:firstLine="435"/>
        <w:jc w:val="center"/>
        <w:rPr>
          <w:rFonts w:ascii="宋体" w:hAnsi="宋体"/>
          <w:b/>
          <w:color w:val="auto"/>
          <w:sz w:val="28"/>
          <w:szCs w:val="28"/>
          <w:highlight w:val="none"/>
        </w:rPr>
      </w:pPr>
      <w:r>
        <w:rPr>
          <w:rFonts w:hint="eastAsia" w:ascii="宋体" w:hAnsi="宋体"/>
          <w:b/>
          <w:color w:val="auto"/>
          <w:sz w:val="28"/>
          <w:szCs w:val="28"/>
          <w:highlight w:val="none"/>
        </w:rPr>
        <w:t>三、竞争性谈判响应文件的编制</w:t>
      </w:r>
    </w:p>
    <w:p>
      <w:pPr>
        <w:keepNext w:val="0"/>
        <w:keepLines w:val="0"/>
        <w:pageBreakBefore w:val="0"/>
        <w:tabs>
          <w:tab w:val="left" w:pos="2190"/>
        </w:tabs>
        <w:kinsoku/>
        <w:wordWrap/>
        <w:overflowPunct/>
        <w:topLinePunct w:val="0"/>
        <w:bidi w:val="0"/>
        <w:adjustRightInd/>
        <w:spacing w:line="400" w:lineRule="exact"/>
        <w:ind w:firstLine="435"/>
        <w:rPr>
          <w:rFonts w:ascii="宋体" w:hAnsi="宋体"/>
          <w:b/>
          <w:color w:val="auto"/>
          <w:szCs w:val="21"/>
          <w:highlight w:val="none"/>
        </w:rPr>
      </w:pPr>
    </w:p>
    <w:p>
      <w:pPr>
        <w:keepNext w:val="0"/>
        <w:keepLines w:val="0"/>
        <w:pageBreakBefore w:val="0"/>
        <w:tabs>
          <w:tab w:val="left" w:pos="2190"/>
        </w:tabs>
        <w:kinsoku/>
        <w:wordWrap/>
        <w:overflowPunct/>
        <w:topLinePunct w:val="0"/>
        <w:bidi w:val="0"/>
        <w:adjustRightInd/>
        <w:spacing w:line="400" w:lineRule="exact"/>
        <w:ind w:firstLine="435"/>
        <w:rPr>
          <w:rFonts w:ascii="宋体" w:hAnsi="宋体"/>
          <w:b/>
          <w:color w:val="auto"/>
          <w:szCs w:val="21"/>
          <w:highlight w:val="none"/>
        </w:rPr>
      </w:pPr>
      <w:r>
        <w:rPr>
          <w:rFonts w:hint="eastAsia" w:ascii="宋体" w:hAnsi="宋体"/>
          <w:b/>
          <w:color w:val="auto"/>
          <w:szCs w:val="21"/>
          <w:highlight w:val="none"/>
        </w:rPr>
        <w:t>11、竞争性谈判响应文件（以下简称响应文件）的组成及要求</w:t>
      </w:r>
    </w:p>
    <w:p>
      <w:pPr>
        <w:keepNext w:val="0"/>
        <w:keepLines w:val="0"/>
        <w:pageBreakBefore w:val="0"/>
        <w:tabs>
          <w:tab w:val="left" w:pos="1305"/>
        </w:tabs>
        <w:kinsoku/>
        <w:wordWrap/>
        <w:overflowPunct/>
        <w:topLinePunct w:val="0"/>
        <w:bidi w:val="0"/>
        <w:adjustRightInd/>
        <w:spacing w:line="400" w:lineRule="exact"/>
        <w:ind w:firstLine="422" w:firstLineChars="200"/>
        <w:rPr>
          <w:rFonts w:ascii="宋体" w:hAnsi="宋体"/>
          <w:color w:val="auto"/>
          <w:szCs w:val="21"/>
          <w:highlight w:val="none"/>
        </w:rPr>
      </w:pPr>
      <w:r>
        <w:rPr>
          <w:rFonts w:hint="eastAsia" w:ascii="宋体" w:hAnsi="宋体"/>
          <w:b/>
          <w:color w:val="auto"/>
          <w:szCs w:val="21"/>
          <w:highlight w:val="none"/>
        </w:rPr>
        <w:t>11.1、响应文件组成（格式见第六章响应文件格式）</w:t>
      </w:r>
    </w:p>
    <w:p>
      <w:pPr>
        <w:keepNext w:val="0"/>
        <w:keepLines w:val="0"/>
        <w:pageBreakBefore w:val="0"/>
        <w:tabs>
          <w:tab w:val="left" w:pos="1305"/>
          <w:tab w:val="left" w:pos="1680"/>
        </w:tabs>
        <w:kinsoku/>
        <w:wordWrap/>
        <w:overflowPunct/>
        <w:topLinePunct w:val="0"/>
        <w:bidi w:val="0"/>
        <w:adjustRightInd/>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 响应函</w:t>
      </w:r>
      <w:r>
        <w:rPr>
          <w:rFonts w:hint="eastAsia" w:ascii="宋体" w:hAnsi="宋体" w:cs="宋体"/>
          <w:b/>
          <w:color w:val="auto"/>
          <w:szCs w:val="21"/>
          <w:highlight w:val="none"/>
        </w:rPr>
        <w:t>（必须提供）；</w:t>
      </w:r>
    </w:p>
    <w:p>
      <w:pPr>
        <w:keepNext w:val="0"/>
        <w:keepLines w:val="0"/>
        <w:pageBreakBefore w:val="0"/>
        <w:tabs>
          <w:tab w:val="left" w:pos="1305"/>
          <w:tab w:val="left" w:pos="1680"/>
        </w:tabs>
        <w:kinsoku/>
        <w:wordWrap/>
        <w:overflowPunct/>
        <w:topLinePunct w:val="0"/>
        <w:bidi w:val="0"/>
        <w:adjustRightInd/>
        <w:spacing w:line="400" w:lineRule="exact"/>
        <w:ind w:firstLine="420" w:firstLineChars="200"/>
        <w:rPr>
          <w:rFonts w:hint="eastAsia" w:ascii="宋体" w:hAnsi="宋体" w:cs="宋体"/>
          <w:b/>
          <w:color w:val="auto"/>
          <w:szCs w:val="21"/>
          <w:highlight w:val="none"/>
        </w:rPr>
      </w:pPr>
      <w:r>
        <w:rPr>
          <w:rFonts w:hint="eastAsia" w:ascii="宋体" w:hAnsi="宋体" w:cs="宋体"/>
          <w:color w:val="auto"/>
          <w:szCs w:val="21"/>
          <w:highlight w:val="none"/>
        </w:rPr>
        <w:t>（2） 供应商的法定代表人或负责人或自然人身份证正反两面复印件</w:t>
      </w:r>
      <w:r>
        <w:rPr>
          <w:rFonts w:hint="eastAsia" w:ascii="宋体" w:hAnsi="宋体" w:cs="宋体"/>
          <w:b/>
          <w:color w:val="auto"/>
          <w:szCs w:val="21"/>
          <w:highlight w:val="none"/>
        </w:rPr>
        <w:t>（必须提供）</w:t>
      </w:r>
      <w:r>
        <w:rPr>
          <w:rFonts w:hint="eastAsia" w:ascii="宋体" w:hAnsi="宋体" w:cs="宋体"/>
          <w:color w:val="auto"/>
          <w:szCs w:val="21"/>
          <w:highlight w:val="none"/>
        </w:rPr>
        <w:t>；</w:t>
      </w:r>
      <w:r>
        <w:rPr>
          <w:rFonts w:hint="eastAsia" w:ascii="宋体" w:hAnsi="宋体" w:cs="宋体"/>
          <w:b/>
          <w:color w:val="auto"/>
          <w:szCs w:val="21"/>
          <w:highlight w:val="none"/>
        </w:rPr>
        <w:t xml:space="preserve"> </w:t>
      </w:r>
    </w:p>
    <w:p>
      <w:pPr>
        <w:keepNext w:val="0"/>
        <w:keepLines w:val="0"/>
        <w:pageBreakBefore w:val="0"/>
        <w:tabs>
          <w:tab w:val="left" w:pos="1305"/>
          <w:tab w:val="left" w:pos="1680"/>
        </w:tabs>
        <w:kinsoku/>
        <w:wordWrap/>
        <w:overflowPunct/>
        <w:topLinePunct w:val="0"/>
        <w:bidi w:val="0"/>
        <w:adjustRightInd/>
        <w:spacing w:line="400" w:lineRule="exact"/>
        <w:ind w:firstLine="420" w:firstLineChars="200"/>
        <w:rPr>
          <w:rFonts w:hint="eastAsia" w:ascii="宋体" w:hAnsi="宋体" w:eastAsia="宋体" w:cs="宋体"/>
          <w:b/>
          <w:bCs/>
          <w:color w:val="auto"/>
          <w:szCs w:val="21"/>
          <w:highlight w:val="none"/>
          <w:lang w:eastAsia="zh-CN"/>
        </w:rPr>
      </w:pPr>
      <w:r>
        <w:rPr>
          <w:rFonts w:hint="eastAsia" w:ascii="宋体" w:hAnsi="宋体" w:cs="宋体"/>
          <w:bCs/>
          <w:color w:val="auto"/>
          <w:szCs w:val="21"/>
          <w:highlight w:val="none"/>
        </w:rPr>
        <w:t>（3）</w:t>
      </w:r>
      <w:r>
        <w:rPr>
          <w:rFonts w:hint="eastAsia" w:ascii="宋体" w:hAnsi="宋体" w:cs="宋体"/>
          <w:bCs/>
          <w:color w:val="auto"/>
          <w:sz w:val="21"/>
          <w:szCs w:val="21"/>
          <w:highlight w:val="none"/>
          <w:lang w:eastAsia="zh-CN"/>
        </w:rPr>
        <w:t>供应商</w:t>
      </w:r>
      <w:r>
        <w:rPr>
          <w:rFonts w:hint="eastAsia" w:ascii="宋体" w:hAnsi="宋体" w:cs="宋体"/>
          <w:color w:val="auto"/>
          <w:szCs w:val="21"/>
          <w:highlight w:val="none"/>
        </w:rPr>
        <w:t>的授权委托书原件、委托代理人</w:t>
      </w:r>
      <w:r>
        <w:rPr>
          <w:rFonts w:hint="eastAsia" w:ascii="宋体" w:hAnsi="宋体" w:cs="宋体"/>
          <w:color w:val="auto"/>
          <w:highlight w:val="none"/>
        </w:rPr>
        <w:t>身份证正反面</w:t>
      </w:r>
      <w:r>
        <w:rPr>
          <w:rFonts w:hint="eastAsia" w:ascii="宋体" w:hAnsi="宋体" w:cs="宋体"/>
          <w:color w:val="auto"/>
          <w:szCs w:val="21"/>
          <w:highlight w:val="none"/>
        </w:rPr>
        <w:t>复印件</w:t>
      </w:r>
      <w:r>
        <w:rPr>
          <w:rFonts w:hint="eastAsia" w:ascii="宋体" w:hAnsi="宋体"/>
          <w:color w:val="auto"/>
          <w:kern w:val="0"/>
          <w:szCs w:val="21"/>
        </w:rPr>
        <w:t>以及由县级以上（含县级）社会养老保险经办机构出具的供应商为委托代理人</w:t>
      </w:r>
      <w:r>
        <w:rPr>
          <w:rFonts w:hint="eastAsia" w:ascii="宋体" w:hAnsi="宋体"/>
          <w:color w:val="auto"/>
          <w:kern w:val="0"/>
          <w:szCs w:val="21"/>
          <w:lang w:eastAsia="zh-CN"/>
        </w:rPr>
        <w:t>交纳的2020年8月-10月社保证明复印件</w:t>
      </w:r>
      <w:r>
        <w:rPr>
          <w:rFonts w:hint="eastAsia" w:ascii="宋体" w:hAnsi="宋体"/>
          <w:color w:val="auto"/>
          <w:kern w:val="0"/>
          <w:szCs w:val="21"/>
        </w:rPr>
        <w:t>【属自然人的应提供由县级以上（含县级）社会养老保险经办机构出具的自然人本人及委托代理人所</w:t>
      </w:r>
      <w:r>
        <w:rPr>
          <w:rFonts w:hint="eastAsia" w:ascii="宋体" w:hAnsi="宋体"/>
          <w:color w:val="auto"/>
          <w:kern w:val="0"/>
          <w:szCs w:val="21"/>
          <w:lang w:eastAsia="zh-CN"/>
        </w:rPr>
        <w:t>交纳的2020年8月-10月社保证明复印件</w:t>
      </w:r>
      <w:r>
        <w:rPr>
          <w:rFonts w:hint="eastAsia" w:ascii="宋体" w:hAnsi="宋体"/>
          <w:color w:val="auto"/>
          <w:kern w:val="0"/>
          <w:szCs w:val="21"/>
        </w:rPr>
        <w:t>】</w:t>
      </w:r>
      <w:r>
        <w:rPr>
          <w:rFonts w:hint="eastAsia" w:ascii="宋体" w:hAnsi="宋体"/>
          <w:b/>
          <w:bCs/>
          <w:color w:val="auto"/>
          <w:kern w:val="0"/>
          <w:szCs w:val="21"/>
        </w:rPr>
        <w:t>（委托代理时必须提供）</w:t>
      </w:r>
      <w:r>
        <w:rPr>
          <w:rFonts w:hint="eastAsia" w:ascii="宋体" w:hAnsi="宋体"/>
          <w:b/>
          <w:bCs/>
          <w:color w:val="auto"/>
          <w:kern w:val="0"/>
          <w:szCs w:val="21"/>
          <w:lang w:eastAsia="zh-CN"/>
        </w:rPr>
        <w:t>；</w:t>
      </w:r>
    </w:p>
    <w:p>
      <w:pPr>
        <w:keepNext w:val="0"/>
        <w:keepLines w:val="0"/>
        <w:pageBreakBefore w:val="0"/>
        <w:tabs>
          <w:tab w:val="left" w:pos="1305"/>
          <w:tab w:val="left" w:pos="1680"/>
        </w:tabs>
        <w:kinsoku/>
        <w:wordWrap/>
        <w:overflowPunct/>
        <w:topLinePunct w:val="0"/>
        <w:bidi w:val="0"/>
        <w:adjustRightInd/>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）供应商的法人或者其他组织营业执照等证明文件复印件</w:t>
      </w:r>
      <w:r>
        <w:rPr>
          <w:rFonts w:hint="eastAsia" w:ascii="宋体" w:hAnsi="宋体" w:cs="宋体"/>
          <w:b/>
          <w:color w:val="auto"/>
          <w:szCs w:val="21"/>
          <w:highlight w:val="none"/>
        </w:rPr>
        <w:t>（必须提供，自然人除外）</w:t>
      </w:r>
      <w:r>
        <w:rPr>
          <w:rFonts w:hint="eastAsia" w:ascii="宋体" w:hAnsi="宋体" w:cs="宋体"/>
          <w:color w:val="auto"/>
          <w:szCs w:val="21"/>
          <w:highlight w:val="none"/>
        </w:rPr>
        <w:t>；</w:t>
      </w:r>
    </w:p>
    <w:p>
      <w:pPr>
        <w:keepNext w:val="0"/>
        <w:keepLines w:val="0"/>
        <w:pageBreakBefore w:val="0"/>
        <w:tabs>
          <w:tab w:val="left" w:pos="1305"/>
        </w:tabs>
        <w:kinsoku/>
        <w:wordWrap/>
        <w:overflowPunct/>
        <w:topLinePunct w:val="0"/>
        <w:bidi w:val="0"/>
        <w:adjustRightInd/>
        <w:spacing w:line="400" w:lineRule="exact"/>
        <w:ind w:firstLine="422" w:firstLineChars="200"/>
        <w:rPr>
          <w:rFonts w:hint="eastAsia" w:ascii="宋体" w:hAnsi="宋体" w:cs="宋体"/>
          <w:b/>
          <w:color w:val="auto"/>
          <w:szCs w:val="21"/>
          <w:highlight w:val="none"/>
        </w:rPr>
      </w:pPr>
      <w:r>
        <w:rPr>
          <w:rFonts w:hint="eastAsia" w:ascii="宋体" w:hAnsi="宋体" w:cs="宋体"/>
          <w:b/>
          <w:color w:val="auto"/>
          <w:szCs w:val="21"/>
          <w:highlight w:val="none"/>
        </w:rPr>
        <w:t>注：①法人包括企业法人、机关法人、事业单位法人和社会团体法人；其他组织主要包括合伙企业、非企业专业服务机构、个体工商户、农村承包经营户。②如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r>
        <w:rPr>
          <w:rFonts w:hint="eastAsia" w:ascii="宋体" w:hAnsi="宋体" w:cs="宋体"/>
          <w:b/>
          <w:color w:val="auto"/>
          <w:szCs w:val="21"/>
          <w:highlight w:val="none"/>
          <w:lang w:eastAsia="zh-CN"/>
        </w:rPr>
        <w:t>；③未取得</w:t>
      </w:r>
      <w:r>
        <w:rPr>
          <w:rFonts w:hint="eastAsia" w:ascii="宋体" w:hAnsi="宋体" w:cs="宋体"/>
          <w:b/>
          <w:color w:val="auto"/>
          <w:szCs w:val="21"/>
          <w:highlight w:val="none"/>
        </w:rPr>
        <w:t>“三证合一”</w:t>
      </w:r>
      <w:r>
        <w:rPr>
          <w:rFonts w:hint="eastAsia" w:ascii="宋体" w:hAnsi="宋体" w:cs="宋体"/>
          <w:b/>
          <w:color w:val="auto"/>
          <w:szCs w:val="21"/>
          <w:highlight w:val="none"/>
          <w:lang w:eastAsia="zh-CN"/>
        </w:rPr>
        <w:t>的供应商还应提供有效的组织机构代码证复印件、税务登记证复印件</w:t>
      </w:r>
      <w:r>
        <w:rPr>
          <w:rFonts w:hint="eastAsia" w:ascii="宋体" w:hAnsi="宋体" w:cs="宋体"/>
          <w:b/>
          <w:color w:val="auto"/>
          <w:szCs w:val="21"/>
          <w:highlight w:val="none"/>
        </w:rPr>
        <w:t>。</w:t>
      </w:r>
    </w:p>
    <w:p>
      <w:pPr>
        <w:pStyle w:val="29"/>
        <w:keepNext w:val="0"/>
        <w:keepLines w:val="0"/>
        <w:pageBreakBefore w:val="0"/>
        <w:tabs>
          <w:tab w:val="left" w:pos="1680"/>
        </w:tabs>
        <w:kinsoku/>
        <w:wordWrap/>
        <w:overflowPunct/>
        <w:topLinePunct w:val="0"/>
        <w:bidi w:val="0"/>
        <w:adjustRightInd/>
        <w:spacing w:line="400" w:lineRule="exact"/>
        <w:ind w:firstLine="230" w:firstLineChars="100"/>
        <w:rPr>
          <w:rFonts w:hint="eastAsia" w:ascii="宋体" w:hAnsi="宋体" w:cs="宋体"/>
          <w:b/>
          <w:color w:val="auto"/>
          <w:sz w:val="21"/>
          <w:szCs w:val="21"/>
          <w:highlight w:val="none"/>
        </w:rPr>
      </w:pPr>
      <w:r>
        <w:rPr>
          <w:rFonts w:hint="eastAsia" w:ascii="宋体" w:hAnsi="宋体" w:cs="宋体"/>
          <w:color w:val="auto"/>
          <w:sz w:val="21"/>
          <w:szCs w:val="21"/>
          <w:highlight w:val="none"/>
        </w:rPr>
        <w:t>（</w:t>
      </w:r>
      <w:r>
        <w:rPr>
          <w:rFonts w:hint="eastAsia" w:hAnsi="宋体" w:cs="宋体"/>
          <w:color w:val="auto"/>
          <w:sz w:val="21"/>
          <w:szCs w:val="21"/>
          <w:highlight w:val="none"/>
          <w:lang w:val="en-US" w:eastAsia="zh-CN"/>
        </w:rPr>
        <w:t>5</w:t>
      </w:r>
      <w:r>
        <w:rPr>
          <w:rFonts w:hint="eastAsia" w:ascii="宋体" w:hAnsi="宋体" w:cs="宋体"/>
          <w:color w:val="auto"/>
          <w:sz w:val="21"/>
          <w:szCs w:val="21"/>
          <w:highlight w:val="none"/>
        </w:rPr>
        <w:t>）供应商参加政府采购活动前3年内在经营活动中没有重大违法记录的书面声明</w:t>
      </w:r>
      <w:r>
        <w:rPr>
          <w:rFonts w:hint="eastAsia" w:ascii="宋体" w:hAnsi="宋体" w:cs="宋体"/>
          <w:b/>
          <w:bCs w:val="0"/>
          <w:color w:val="auto"/>
          <w:sz w:val="21"/>
          <w:szCs w:val="21"/>
          <w:highlight w:val="none"/>
        </w:rPr>
        <w:t>（必须提供）</w:t>
      </w:r>
      <w:r>
        <w:rPr>
          <w:rFonts w:hint="eastAsia" w:ascii="宋体" w:hAnsi="宋体" w:cs="宋体"/>
          <w:b/>
          <w:color w:val="auto"/>
          <w:sz w:val="21"/>
          <w:szCs w:val="21"/>
          <w:highlight w:val="none"/>
        </w:rPr>
        <w:t>；</w:t>
      </w:r>
    </w:p>
    <w:p>
      <w:pPr>
        <w:keepNext w:val="0"/>
        <w:keepLines w:val="0"/>
        <w:pageBreakBefore w:val="0"/>
        <w:tabs>
          <w:tab w:val="left" w:pos="1305"/>
          <w:tab w:val="left" w:pos="1680"/>
        </w:tabs>
        <w:kinsoku/>
        <w:wordWrap/>
        <w:overflowPunct/>
        <w:topLinePunct w:val="0"/>
        <w:bidi w:val="0"/>
        <w:adjustRightInd/>
        <w:spacing w:line="400" w:lineRule="exact"/>
        <w:ind w:firstLine="210" w:firstLineChars="1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）谈判报价明细表（格式见附件）</w:t>
      </w:r>
      <w:r>
        <w:rPr>
          <w:rFonts w:hint="eastAsia" w:ascii="宋体" w:hAnsi="宋体" w:cs="宋体"/>
          <w:b/>
          <w:color w:val="auto"/>
          <w:szCs w:val="21"/>
          <w:highlight w:val="none"/>
        </w:rPr>
        <w:t>（必须提供）</w:t>
      </w:r>
      <w:r>
        <w:rPr>
          <w:rFonts w:hint="eastAsia" w:ascii="宋体" w:hAnsi="宋体" w:cs="宋体"/>
          <w:color w:val="auto"/>
          <w:szCs w:val="21"/>
          <w:highlight w:val="none"/>
        </w:rPr>
        <w:t>；</w:t>
      </w:r>
    </w:p>
    <w:p>
      <w:pPr>
        <w:keepNext w:val="0"/>
        <w:keepLines w:val="0"/>
        <w:pageBreakBefore w:val="0"/>
        <w:tabs>
          <w:tab w:val="left" w:pos="1305"/>
          <w:tab w:val="left" w:pos="1680"/>
        </w:tabs>
        <w:kinsoku/>
        <w:wordWrap/>
        <w:overflowPunct/>
        <w:topLinePunct w:val="0"/>
        <w:bidi w:val="0"/>
        <w:adjustRightInd/>
        <w:spacing w:line="400" w:lineRule="exact"/>
        <w:ind w:firstLine="210" w:firstLineChars="1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）技术规格及商务条款偏离表（格式见附件）</w:t>
      </w:r>
      <w:r>
        <w:rPr>
          <w:rFonts w:hint="eastAsia" w:ascii="宋体" w:hAnsi="宋体" w:cs="宋体"/>
          <w:b/>
          <w:color w:val="auto"/>
          <w:szCs w:val="21"/>
          <w:highlight w:val="none"/>
        </w:rPr>
        <w:t>（必须提供</w:t>
      </w:r>
      <w:r>
        <w:rPr>
          <w:rFonts w:hint="eastAsia" w:ascii="宋体" w:hAnsi="宋体" w:cs="宋体"/>
          <w:b/>
          <w:color w:val="auto"/>
          <w:szCs w:val="21"/>
          <w:highlight w:val="none"/>
          <w:lang w:eastAsia="zh-CN"/>
        </w:rPr>
        <w:t>）</w:t>
      </w:r>
      <w:r>
        <w:rPr>
          <w:rFonts w:hint="eastAsia" w:ascii="宋体" w:hAnsi="宋体" w:cs="宋体"/>
          <w:color w:val="auto"/>
          <w:szCs w:val="21"/>
          <w:highlight w:val="none"/>
        </w:rPr>
        <w:t>；</w:t>
      </w:r>
    </w:p>
    <w:p>
      <w:pPr>
        <w:keepNext w:val="0"/>
        <w:keepLines w:val="0"/>
        <w:pageBreakBefore w:val="0"/>
        <w:tabs>
          <w:tab w:val="left" w:pos="1305"/>
          <w:tab w:val="left" w:pos="1680"/>
        </w:tabs>
        <w:kinsoku/>
        <w:wordWrap/>
        <w:overflowPunct/>
        <w:topLinePunct w:val="0"/>
        <w:bidi w:val="0"/>
        <w:adjustRightInd/>
        <w:spacing w:line="400" w:lineRule="exact"/>
        <w:ind w:firstLine="210" w:firstLineChars="1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8</w:t>
      </w:r>
      <w:r>
        <w:rPr>
          <w:rFonts w:hint="eastAsia" w:ascii="宋体" w:hAnsi="宋体" w:cs="宋体"/>
          <w:color w:val="auto"/>
          <w:szCs w:val="21"/>
          <w:highlight w:val="none"/>
        </w:rPr>
        <w:t>）“货物采购需求”需提供的有效证明文件</w:t>
      </w:r>
      <w:r>
        <w:rPr>
          <w:rFonts w:hint="eastAsia" w:ascii="宋体" w:hAnsi="宋体" w:cs="宋体"/>
          <w:b/>
          <w:color w:val="auto"/>
          <w:szCs w:val="21"/>
          <w:highlight w:val="none"/>
        </w:rPr>
        <w:t>（按货物采购需求提供）</w:t>
      </w:r>
      <w:r>
        <w:rPr>
          <w:rFonts w:hint="eastAsia" w:ascii="宋体" w:hAnsi="宋体" w:cs="宋体"/>
          <w:color w:val="auto"/>
          <w:szCs w:val="21"/>
          <w:highlight w:val="none"/>
        </w:rPr>
        <w:t>；</w:t>
      </w:r>
    </w:p>
    <w:p>
      <w:pPr>
        <w:keepNext w:val="0"/>
        <w:keepLines w:val="0"/>
        <w:pageBreakBefore w:val="0"/>
        <w:tabs>
          <w:tab w:val="left" w:pos="1305"/>
          <w:tab w:val="left" w:pos="1680"/>
        </w:tabs>
        <w:kinsoku/>
        <w:wordWrap/>
        <w:overflowPunct/>
        <w:topLinePunct w:val="0"/>
        <w:bidi w:val="0"/>
        <w:adjustRightInd/>
        <w:spacing w:line="400" w:lineRule="exact"/>
        <w:ind w:firstLine="210" w:firstLineChars="1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9</w:t>
      </w:r>
      <w:r>
        <w:rPr>
          <w:rFonts w:hint="eastAsia" w:ascii="宋体" w:hAnsi="宋体" w:cs="宋体"/>
          <w:color w:val="auto"/>
          <w:szCs w:val="21"/>
          <w:highlight w:val="none"/>
        </w:rPr>
        <w:t>）节能方面的资质证书复印件</w:t>
      </w:r>
      <w:r>
        <w:rPr>
          <w:rFonts w:hint="eastAsia" w:ascii="宋体" w:hAnsi="宋体" w:cs="宋体"/>
          <w:b/>
          <w:color w:val="auto"/>
          <w:szCs w:val="21"/>
          <w:highlight w:val="none"/>
        </w:rPr>
        <w:t>（如有，请提供）；</w:t>
      </w:r>
    </w:p>
    <w:p>
      <w:pPr>
        <w:keepNext w:val="0"/>
        <w:keepLines w:val="0"/>
        <w:pageBreakBefore w:val="0"/>
        <w:tabs>
          <w:tab w:val="left" w:pos="1680"/>
        </w:tabs>
        <w:kinsoku/>
        <w:wordWrap/>
        <w:overflowPunct/>
        <w:topLinePunct w:val="0"/>
        <w:bidi w:val="0"/>
        <w:adjustRightInd/>
        <w:snapToGrid w:val="0"/>
        <w:spacing w:line="400" w:lineRule="exact"/>
        <w:ind w:firstLine="210" w:firstLineChars="100"/>
        <w:outlineLvl w:val="4"/>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10</w:t>
      </w:r>
      <w:r>
        <w:rPr>
          <w:rFonts w:hint="eastAsia" w:ascii="宋体" w:hAnsi="宋体" w:cs="宋体"/>
          <w:color w:val="auto"/>
          <w:szCs w:val="21"/>
          <w:highlight w:val="none"/>
        </w:rPr>
        <w:t>）环保方面的其他资质证书复印件</w:t>
      </w:r>
      <w:r>
        <w:rPr>
          <w:rFonts w:hint="eastAsia" w:ascii="宋体" w:hAnsi="宋体" w:cs="宋体"/>
          <w:b/>
          <w:color w:val="auto"/>
          <w:szCs w:val="21"/>
          <w:highlight w:val="none"/>
        </w:rPr>
        <w:t>（如有，请提供）；</w:t>
      </w:r>
    </w:p>
    <w:p>
      <w:pPr>
        <w:pStyle w:val="10"/>
        <w:keepNext w:val="0"/>
        <w:keepLines w:val="0"/>
        <w:pageBreakBefore w:val="0"/>
        <w:tabs>
          <w:tab w:val="left" w:pos="1680"/>
        </w:tabs>
        <w:kinsoku/>
        <w:wordWrap/>
        <w:overflowPunct/>
        <w:topLinePunct w:val="0"/>
        <w:bidi w:val="0"/>
        <w:adjustRightInd/>
        <w:spacing w:line="400" w:lineRule="exact"/>
        <w:ind w:firstLine="210" w:firstLineChars="100"/>
        <w:rPr>
          <w:rFonts w:hint="eastAsia" w:hAnsi="宋体" w:cs="宋体"/>
          <w:b/>
          <w:color w:val="auto"/>
          <w:szCs w:val="21"/>
          <w:highlight w:val="none"/>
        </w:rPr>
      </w:pPr>
      <w:r>
        <w:rPr>
          <w:rFonts w:hint="eastAsia" w:hAnsi="宋体" w:cs="宋体"/>
          <w:color w:val="auto"/>
          <w:szCs w:val="21"/>
          <w:highlight w:val="none"/>
        </w:rPr>
        <w:t>（</w:t>
      </w:r>
      <w:r>
        <w:rPr>
          <w:rFonts w:hint="eastAsia" w:hAnsi="宋体" w:cs="宋体"/>
          <w:color w:val="auto"/>
          <w:szCs w:val="21"/>
          <w:highlight w:val="none"/>
          <w:lang w:val="en-US" w:eastAsia="zh-CN"/>
        </w:rPr>
        <w:t>11</w:t>
      </w:r>
      <w:r>
        <w:rPr>
          <w:rFonts w:hint="eastAsia" w:hAnsi="宋体" w:cs="宋体"/>
          <w:color w:val="auto"/>
          <w:szCs w:val="21"/>
          <w:highlight w:val="none"/>
        </w:rPr>
        <w:t>）供应商的售后服务承诺书（含交付使用期、免费保修期、技术服务、技术培训、售后服务的内容和措施等）</w:t>
      </w:r>
      <w:r>
        <w:rPr>
          <w:rFonts w:hint="eastAsia" w:hAnsi="宋体" w:cs="宋体"/>
          <w:b/>
          <w:color w:val="auto"/>
          <w:szCs w:val="21"/>
          <w:highlight w:val="none"/>
        </w:rPr>
        <w:t>（必须提供）；</w:t>
      </w:r>
    </w:p>
    <w:p>
      <w:pPr>
        <w:keepNext w:val="0"/>
        <w:keepLines w:val="0"/>
        <w:pageBreakBefore w:val="0"/>
        <w:tabs>
          <w:tab w:val="left" w:pos="1305"/>
          <w:tab w:val="left" w:pos="1680"/>
        </w:tabs>
        <w:kinsoku/>
        <w:wordWrap/>
        <w:overflowPunct/>
        <w:topLinePunct w:val="0"/>
        <w:bidi w:val="0"/>
        <w:adjustRightInd/>
        <w:spacing w:line="400" w:lineRule="exact"/>
        <w:ind w:firstLine="210" w:firstLineChars="100"/>
        <w:rPr>
          <w:rFonts w:hint="eastAsia" w:hAnsi="宋体" w:cs="宋体"/>
          <w:bCs/>
          <w:color w:val="auto"/>
          <w:szCs w:val="21"/>
          <w:highlight w:val="none"/>
        </w:rPr>
      </w:pPr>
      <w:r>
        <w:rPr>
          <w:rFonts w:hint="eastAsia" w:hAnsi="宋体" w:cs="宋体"/>
          <w:bCs/>
          <w:color w:val="auto"/>
          <w:szCs w:val="21"/>
          <w:highlight w:val="none"/>
        </w:rPr>
        <w:t>（</w:t>
      </w:r>
      <w:r>
        <w:rPr>
          <w:rFonts w:hint="eastAsia" w:hAnsi="宋体" w:cs="宋体"/>
          <w:bCs/>
          <w:color w:val="auto"/>
          <w:szCs w:val="21"/>
          <w:highlight w:val="none"/>
          <w:lang w:val="en-US" w:eastAsia="zh-CN"/>
        </w:rPr>
        <w:t>12</w:t>
      </w:r>
      <w:r>
        <w:rPr>
          <w:rFonts w:hint="eastAsia" w:hAnsi="宋体" w:cs="宋体"/>
          <w:bCs/>
          <w:color w:val="auto"/>
          <w:szCs w:val="21"/>
          <w:highlight w:val="none"/>
        </w:rPr>
        <w:t>）项目实施人员一览表【</w:t>
      </w:r>
      <w:r>
        <w:rPr>
          <w:rFonts w:hint="eastAsia" w:hAnsi="宋体" w:cs="宋体"/>
          <w:b/>
          <w:bCs w:val="0"/>
          <w:color w:val="auto"/>
          <w:szCs w:val="21"/>
          <w:highlight w:val="none"/>
        </w:rPr>
        <w:t>如有，请提供</w:t>
      </w:r>
      <w:r>
        <w:rPr>
          <w:rFonts w:hint="eastAsia" w:hAnsi="宋体" w:cs="宋体"/>
          <w:b/>
          <w:bCs w:val="0"/>
          <w:color w:val="auto"/>
          <w:szCs w:val="21"/>
          <w:highlight w:val="none"/>
          <w:lang w:eastAsia="zh-CN"/>
        </w:rPr>
        <w:t>】</w:t>
      </w:r>
    </w:p>
    <w:p>
      <w:pPr>
        <w:keepNext w:val="0"/>
        <w:keepLines w:val="0"/>
        <w:pageBreakBefore w:val="0"/>
        <w:tabs>
          <w:tab w:val="left" w:pos="1305"/>
          <w:tab w:val="left" w:pos="1680"/>
        </w:tabs>
        <w:kinsoku/>
        <w:wordWrap/>
        <w:overflowPunct/>
        <w:topLinePunct w:val="0"/>
        <w:bidi w:val="0"/>
        <w:adjustRightInd/>
        <w:spacing w:line="400" w:lineRule="exact"/>
        <w:ind w:firstLine="210" w:firstLineChars="100"/>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13</w:t>
      </w:r>
      <w:r>
        <w:rPr>
          <w:rFonts w:hint="eastAsia" w:ascii="宋体" w:hAnsi="宋体" w:cs="宋体"/>
          <w:color w:val="auto"/>
          <w:szCs w:val="21"/>
          <w:highlight w:val="none"/>
        </w:rPr>
        <w:t>）供应商</w:t>
      </w:r>
      <w:r>
        <w:rPr>
          <w:rFonts w:hint="eastAsia" w:ascii="宋体" w:hAnsi="宋体" w:cs="宋体"/>
          <w:color w:val="auto"/>
          <w:szCs w:val="21"/>
          <w:highlight w:val="none"/>
          <w:u w:val="single"/>
        </w:rPr>
        <w:t>201</w:t>
      </w:r>
      <w:r>
        <w:rPr>
          <w:rFonts w:hint="eastAsia" w:ascii="宋体" w:hAnsi="宋体" w:cs="宋体"/>
          <w:color w:val="auto"/>
          <w:szCs w:val="21"/>
          <w:highlight w:val="none"/>
          <w:u w:val="single"/>
          <w:lang w:val="en-US" w:eastAsia="zh-CN"/>
        </w:rPr>
        <w:t>9</w:t>
      </w:r>
      <w:r>
        <w:rPr>
          <w:rFonts w:hint="eastAsia" w:ascii="宋体" w:hAnsi="宋体" w:cs="宋体"/>
          <w:color w:val="auto"/>
          <w:szCs w:val="21"/>
          <w:highlight w:val="none"/>
          <w:u w:val="single"/>
        </w:rPr>
        <w:t>年度</w:t>
      </w:r>
      <w:r>
        <w:rPr>
          <w:rFonts w:hint="eastAsia" w:ascii="宋体" w:hAnsi="宋体" w:cs="宋体"/>
          <w:color w:val="auto"/>
          <w:szCs w:val="21"/>
          <w:highlight w:val="none"/>
        </w:rPr>
        <w:t>通过中介审计的有效财务审计报告复印件</w:t>
      </w:r>
      <w:r>
        <w:rPr>
          <w:rFonts w:hint="eastAsia" w:ascii="宋体" w:hAnsi="宋体" w:cs="宋体"/>
          <w:b/>
          <w:color w:val="auto"/>
          <w:szCs w:val="21"/>
          <w:highlight w:val="none"/>
        </w:rPr>
        <w:t>（如有，请提供）</w:t>
      </w:r>
      <w:r>
        <w:rPr>
          <w:rFonts w:hint="eastAsia" w:ascii="宋体" w:hAnsi="宋体" w:cs="宋体"/>
          <w:color w:val="auto"/>
          <w:szCs w:val="21"/>
          <w:highlight w:val="none"/>
        </w:rPr>
        <w:t>；</w:t>
      </w:r>
    </w:p>
    <w:p>
      <w:pPr>
        <w:keepNext w:val="0"/>
        <w:keepLines w:val="0"/>
        <w:pageBreakBefore w:val="0"/>
        <w:tabs>
          <w:tab w:val="left" w:pos="1305"/>
          <w:tab w:val="left" w:pos="1680"/>
        </w:tabs>
        <w:kinsoku/>
        <w:wordWrap/>
        <w:overflowPunct/>
        <w:topLinePunct w:val="0"/>
        <w:bidi w:val="0"/>
        <w:adjustRightInd/>
        <w:spacing w:line="400" w:lineRule="exact"/>
        <w:ind w:firstLine="210" w:firstLineChars="100"/>
        <w:rPr>
          <w:rFonts w:hint="eastAsia" w:ascii="宋体" w:hAnsi="宋体" w:cs="宋体"/>
          <w:color w:val="auto"/>
          <w:szCs w:val="21"/>
          <w:highlight w:val="none"/>
        </w:rPr>
      </w:pPr>
      <w:r>
        <w:rPr>
          <w:rFonts w:hint="eastAsia" w:ascii="宋体" w:hAnsi="宋体" w:cs="宋体"/>
          <w:color w:val="auto"/>
          <w:szCs w:val="21"/>
          <w:highlight w:val="none"/>
          <w:lang w:val="en-US" w:eastAsia="zh-CN"/>
        </w:rPr>
        <w:t>（14</w:t>
      </w:r>
      <w:r>
        <w:rPr>
          <w:rFonts w:hint="eastAsia" w:ascii="宋体" w:hAnsi="宋体" w:cs="宋体"/>
          <w:color w:val="auto"/>
          <w:szCs w:val="21"/>
          <w:highlight w:val="none"/>
        </w:rPr>
        <w:t>）供应商</w:t>
      </w:r>
      <w:r>
        <w:rPr>
          <w:rFonts w:hint="eastAsia" w:ascii="宋体" w:hAnsi="宋体" w:cs="宋体"/>
          <w:color w:val="auto"/>
          <w:szCs w:val="21"/>
          <w:highlight w:val="none"/>
          <w:u w:val="single"/>
        </w:rPr>
        <w:t>20</w:t>
      </w:r>
      <w:r>
        <w:rPr>
          <w:rFonts w:hint="eastAsia" w:ascii="宋体" w:hAnsi="宋体" w:cs="宋体"/>
          <w:color w:val="auto"/>
          <w:szCs w:val="21"/>
          <w:highlight w:val="none"/>
          <w:u w:val="single"/>
          <w:lang w:val="en-US" w:eastAsia="zh-CN"/>
        </w:rPr>
        <w:t>17</w:t>
      </w:r>
      <w:r>
        <w:rPr>
          <w:rFonts w:hint="eastAsia" w:ascii="宋体" w:hAnsi="宋体" w:cs="宋体"/>
          <w:color w:val="auto"/>
          <w:szCs w:val="21"/>
          <w:highlight w:val="none"/>
        </w:rPr>
        <w:t>年以来具有</w:t>
      </w:r>
      <w:r>
        <w:rPr>
          <w:rFonts w:hint="eastAsia" w:ascii="宋体" w:hAnsi="宋体" w:eastAsia="宋体" w:cs="宋体"/>
          <w:color w:val="auto"/>
          <w:szCs w:val="21"/>
          <w:highlight w:val="none"/>
          <w:lang w:eastAsia="zh-CN"/>
        </w:rPr>
        <w:t>类似</w:t>
      </w:r>
      <w:r>
        <w:rPr>
          <w:rFonts w:hint="eastAsia" w:ascii="宋体" w:hAnsi="宋体" w:cs="宋体"/>
          <w:color w:val="auto"/>
          <w:szCs w:val="21"/>
          <w:highlight w:val="none"/>
        </w:rPr>
        <w:t>产品的</w:t>
      </w:r>
      <w:r>
        <w:rPr>
          <w:rFonts w:hint="eastAsia" w:ascii="宋体" w:hAnsi="宋体" w:cs="宋体"/>
          <w:color w:val="auto"/>
          <w:spacing w:val="0"/>
          <w:szCs w:val="21"/>
          <w:highlight w:val="none"/>
        </w:rPr>
        <w:t>销售业绩的相关证明材料（无不良记录，以中标、成交通知书或签订的销售合同为准，并能清晰反映所销售的货物名称、种类、金额</w:t>
      </w:r>
      <w:r>
        <w:rPr>
          <w:rFonts w:hint="eastAsia" w:ascii="宋体" w:hAnsi="宋体" w:cs="宋体"/>
          <w:b/>
          <w:color w:val="auto"/>
          <w:spacing w:val="0"/>
          <w:szCs w:val="21"/>
          <w:highlight w:val="none"/>
        </w:rPr>
        <w:t>）（</w:t>
      </w:r>
      <w:r>
        <w:rPr>
          <w:rFonts w:hint="eastAsia" w:ascii="宋体" w:hAnsi="宋体" w:cs="宋体"/>
          <w:b/>
          <w:color w:val="auto"/>
          <w:szCs w:val="21"/>
          <w:highlight w:val="none"/>
        </w:rPr>
        <w:t>如有，请提供）；</w:t>
      </w:r>
    </w:p>
    <w:p>
      <w:pPr>
        <w:keepNext w:val="0"/>
        <w:keepLines w:val="0"/>
        <w:pageBreakBefore w:val="0"/>
        <w:tabs>
          <w:tab w:val="left" w:pos="1680"/>
        </w:tabs>
        <w:kinsoku/>
        <w:wordWrap/>
        <w:overflowPunct/>
        <w:topLinePunct w:val="0"/>
        <w:bidi w:val="0"/>
        <w:adjustRightInd/>
        <w:snapToGrid w:val="0"/>
        <w:spacing w:line="400" w:lineRule="exact"/>
        <w:ind w:firstLine="210" w:firstLineChars="100"/>
        <w:outlineLvl w:val="4"/>
        <w:rPr>
          <w:rFonts w:hint="eastAsia" w:ascii="宋体" w:hAnsi="宋体" w:eastAsia="宋体" w:cs="宋体"/>
          <w:b/>
          <w:bCs/>
          <w:color w:val="auto"/>
          <w:szCs w:val="21"/>
          <w:highlight w:val="none"/>
          <w:lang w:eastAsia="zh-CN"/>
        </w:rPr>
      </w:pPr>
      <w:r>
        <w:rPr>
          <w:rFonts w:hint="eastAsia" w:ascii="宋体" w:hAnsi="宋体" w:eastAsia="宋体" w:cs="宋体"/>
          <w:color w:val="auto"/>
          <w:szCs w:val="21"/>
          <w:highlight w:val="none"/>
        </w:rPr>
        <w:t>（</w:t>
      </w:r>
      <w:r>
        <w:rPr>
          <w:rFonts w:hint="eastAsia" w:ascii="宋体" w:hAnsi="宋体" w:cs="宋体"/>
          <w:color w:val="auto"/>
          <w:szCs w:val="21"/>
          <w:highlight w:val="none"/>
          <w:lang w:val="en-US" w:eastAsia="zh-CN"/>
        </w:rPr>
        <w:t>15</w:t>
      </w:r>
      <w:r>
        <w:rPr>
          <w:rFonts w:hint="eastAsia" w:ascii="宋体" w:hAnsi="宋体" w:eastAsia="宋体" w:cs="宋体"/>
          <w:color w:val="auto"/>
          <w:szCs w:val="21"/>
          <w:highlight w:val="none"/>
        </w:rPr>
        <w:t>）投标人所投产品为广西工业产品的，如实提供《广西工业产品声明函》</w:t>
      </w:r>
      <w:r>
        <w:rPr>
          <w:rFonts w:hint="eastAsia" w:ascii="宋体" w:hAnsi="宋体" w:eastAsia="宋体" w:cs="宋体"/>
          <w:b/>
          <w:bCs/>
          <w:color w:val="auto"/>
          <w:szCs w:val="21"/>
          <w:highlight w:val="none"/>
        </w:rPr>
        <w:t>（如有，请提供）</w:t>
      </w:r>
      <w:r>
        <w:rPr>
          <w:rFonts w:hint="eastAsia" w:ascii="宋体" w:hAnsi="宋体" w:eastAsia="宋体" w:cs="宋体"/>
          <w:b/>
          <w:bCs/>
          <w:color w:val="auto"/>
          <w:szCs w:val="21"/>
          <w:highlight w:val="none"/>
          <w:lang w:eastAsia="zh-CN"/>
        </w:rPr>
        <w:t>；</w:t>
      </w:r>
    </w:p>
    <w:p>
      <w:pPr>
        <w:keepNext w:val="0"/>
        <w:keepLines w:val="0"/>
        <w:pageBreakBefore w:val="0"/>
        <w:widowControl w:val="0"/>
        <w:tabs>
          <w:tab w:val="left" w:pos="1680"/>
        </w:tabs>
        <w:kinsoku/>
        <w:wordWrap/>
        <w:overflowPunct/>
        <w:topLinePunct w:val="0"/>
        <w:autoSpaceDE/>
        <w:autoSpaceDN/>
        <w:bidi w:val="0"/>
        <w:adjustRightInd/>
        <w:snapToGrid w:val="0"/>
        <w:spacing w:line="400" w:lineRule="exact"/>
        <w:ind w:firstLine="210" w:firstLineChars="100"/>
        <w:textAlignment w:val="auto"/>
        <w:outlineLvl w:val="4"/>
        <w:rPr>
          <w:rFonts w:hint="eastAsia" w:ascii="宋体" w:hAnsi="宋体" w:eastAsia="宋体" w:cs="宋体"/>
          <w:color w:val="auto"/>
          <w:szCs w:val="21"/>
          <w:highlight w:val="none"/>
          <w:lang w:eastAsia="zh-CN"/>
        </w:rPr>
      </w:pPr>
      <w:r>
        <w:rPr>
          <w:rFonts w:hint="eastAsia" w:ascii="宋体" w:hAnsi="宋体" w:eastAsia="宋体" w:cs="宋体"/>
          <w:b w:val="0"/>
          <w:bCs w:val="0"/>
          <w:color w:val="auto"/>
          <w:szCs w:val="21"/>
          <w:highlight w:val="none"/>
          <w:lang w:eastAsia="zh-CN"/>
        </w:rPr>
        <w:t>（</w:t>
      </w:r>
      <w:r>
        <w:rPr>
          <w:rFonts w:hint="eastAsia" w:ascii="宋体" w:hAnsi="宋体" w:cs="宋体"/>
          <w:b w:val="0"/>
          <w:bCs w:val="0"/>
          <w:color w:val="auto"/>
          <w:szCs w:val="21"/>
          <w:highlight w:val="none"/>
          <w:lang w:val="en-US" w:eastAsia="zh-CN"/>
        </w:rPr>
        <w:t>16</w:t>
      </w:r>
      <w:r>
        <w:rPr>
          <w:rFonts w:hint="eastAsia" w:ascii="宋体" w:hAnsi="宋体" w:eastAsia="宋体" w:cs="宋体"/>
          <w:b w:val="0"/>
          <w:bCs w:val="0"/>
          <w:color w:val="auto"/>
          <w:szCs w:val="21"/>
          <w:highlight w:val="none"/>
          <w:lang w:eastAsia="zh-CN"/>
        </w:rPr>
        <w:t>）如产品如属于小型、微型企业的，须提供《中小企业声明函》(格式见附件)；属监狱企业的，请提供由省级以上监狱管理局、戒毒管理局（含新疆生产建设兵团）出具的属于监狱企业的证明文件复印件；</w:t>
      </w:r>
      <w:r>
        <w:rPr>
          <w:rFonts w:hint="eastAsia" w:ascii="宋体" w:hAnsi="宋体" w:eastAsia="宋体" w:cs="宋体"/>
          <w:b/>
          <w:bCs/>
          <w:color w:val="auto"/>
          <w:szCs w:val="21"/>
          <w:highlight w:val="none"/>
          <w:lang w:eastAsia="zh-CN"/>
        </w:rPr>
        <w:t>（如有，请提供）</w:t>
      </w:r>
      <w:r>
        <w:rPr>
          <w:rFonts w:hint="eastAsia" w:ascii="宋体" w:hAnsi="宋体" w:eastAsia="宋体" w:cs="宋体"/>
          <w:color w:val="auto"/>
          <w:szCs w:val="21"/>
          <w:highlight w:val="none"/>
          <w:lang w:eastAsia="zh-CN"/>
        </w:rPr>
        <w:t>；</w:t>
      </w:r>
    </w:p>
    <w:p>
      <w:pPr>
        <w:pStyle w:val="29"/>
        <w:keepNext w:val="0"/>
        <w:keepLines w:val="0"/>
        <w:pageBreakBefore w:val="0"/>
        <w:widowControl w:val="0"/>
        <w:kinsoku/>
        <w:wordWrap/>
        <w:overflowPunct/>
        <w:topLinePunct w:val="0"/>
        <w:autoSpaceDE/>
        <w:autoSpaceDN/>
        <w:bidi w:val="0"/>
        <w:adjustRightInd/>
        <w:spacing w:line="400" w:lineRule="exact"/>
        <w:ind w:firstLine="230" w:firstLineChars="1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17</w:t>
      </w:r>
      <w:r>
        <w:rPr>
          <w:rFonts w:hint="eastAsia" w:ascii="宋体" w:hAnsi="宋体" w:eastAsia="宋体" w:cs="宋体"/>
          <w:color w:val="auto"/>
          <w:sz w:val="21"/>
          <w:szCs w:val="21"/>
          <w:highlight w:val="none"/>
          <w:lang w:eastAsia="zh-CN"/>
        </w:rPr>
        <w:t>）符合条件的残疾人福利性单位在参加政府采购活动时，应当提供《残疾人福利性单位声明函》（见附件），并对声明的真实性负责</w:t>
      </w:r>
      <w:r>
        <w:rPr>
          <w:rFonts w:hint="eastAsia" w:ascii="宋体" w:hAnsi="宋体" w:eastAsia="宋体" w:cs="宋体"/>
          <w:b/>
          <w:bCs w:val="0"/>
          <w:color w:val="auto"/>
          <w:sz w:val="21"/>
          <w:szCs w:val="21"/>
          <w:highlight w:val="none"/>
          <w:lang w:eastAsia="zh-CN"/>
        </w:rPr>
        <w:t>（如有，请提供）</w:t>
      </w:r>
      <w:r>
        <w:rPr>
          <w:rFonts w:hint="eastAsia" w:ascii="宋体" w:hAnsi="宋体" w:eastAsia="宋体" w:cs="宋体"/>
          <w:color w:val="auto"/>
          <w:sz w:val="21"/>
          <w:szCs w:val="21"/>
          <w:highlight w:val="none"/>
          <w:lang w:eastAsia="zh-CN"/>
        </w:rPr>
        <w:t>；</w:t>
      </w:r>
    </w:p>
    <w:p>
      <w:pPr>
        <w:pStyle w:val="10"/>
        <w:keepNext w:val="0"/>
        <w:keepLines w:val="0"/>
        <w:pageBreakBefore w:val="0"/>
        <w:widowControl w:val="0"/>
        <w:tabs>
          <w:tab w:val="left" w:pos="1680"/>
        </w:tabs>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hAnsi="宋体" w:cs="宋体"/>
          <w:color w:val="auto"/>
          <w:szCs w:val="21"/>
          <w:highlight w:val="none"/>
          <w:lang w:val="en-US" w:eastAsia="zh-CN"/>
        </w:rPr>
        <w:t>18</w:t>
      </w:r>
      <w:r>
        <w:rPr>
          <w:rFonts w:hint="eastAsia" w:ascii="宋体" w:hAnsi="宋体" w:eastAsia="宋体" w:cs="宋体"/>
          <w:color w:val="auto"/>
          <w:szCs w:val="21"/>
          <w:highlight w:val="none"/>
        </w:rPr>
        <w:t>)供应商可结合本项目自身情况自行提交其它相关证明材料。</w:t>
      </w:r>
    </w:p>
    <w:p>
      <w:pPr>
        <w:pStyle w:val="10"/>
        <w:keepNext w:val="0"/>
        <w:keepLines w:val="0"/>
        <w:pageBreakBefore w:val="0"/>
        <w:tabs>
          <w:tab w:val="left" w:pos="1680"/>
        </w:tabs>
        <w:kinsoku/>
        <w:wordWrap/>
        <w:overflowPunct/>
        <w:topLinePunct w:val="0"/>
        <w:bidi w:val="0"/>
        <w:adjustRightInd/>
        <w:spacing w:line="400" w:lineRule="exact"/>
        <w:ind w:firstLine="422" w:firstLineChars="200"/>
        <w:rPr>
          <w:rFonts w:hint="eastAsia"/>
          <w:b/>
          <w:color w:val="auto"/>
          <w:spacing w:val="-2"/>
          <w:highlight w:val="none"/>
        </w:rPr>
      </w:pPr>
      <w:r>
        <w:rPr>
          <w:rFonts w:hint="eastAsia" w:hAnsi="宋体"/>
          <w:b/>
          <w:color w:val="auto"/>
          <w:szCs w:val="21"/>
          <w:highlight w:val="none"/>
        </w:rPr>
        <w:t>供应商提供的相关材料应真实有效</w:t>
      </w:r>
      <w:r>
        <w:rPr>
          <w:rFonts w:hint="eastAsia"/>
          <w:b/>
          <w:color w:val="auto"/>
          <w:spacing w:val="-2"/>
          <w:highlight w:val="none"/>
        </w:rPr>
        <w:t>，属于“必须提供”的文件必须于本项目截标前与响应文件同时提交，并加盖供应商公章（扫描公章无效，自然人除外）。</w:t>
      </w:r>
    </w:p>
    <w:p>
      <w:pPr>
        <w:pStyle w:val="10"/>
        <w:keepNext w:val="0"/>
        <w:keepLines w:val="0"/>
        <w:pageBreakBefore w:val="0"/>
        <w:tabs>
          <w:tab w:val="left" w:pos="1680"/>
        </w:tabs>
        <w:kinsoku/>
        <w:wordWrap/>
        <w:overflowPunct/>
        <w:topLinePunct w:val="0"/>
        <w:bidi w:val="0"/>
        <w:adjustRightInd/>
        <w:spacing w:line="400" w:lineRule="exact"/>
        <w:ind w:firstLine="420" w:firstLineChars="200"/>
        <w:rPr>
          <w:rFonts w:hint="eastAsia"/>
          <w:color w:val="auto"/>
          <w:highlight w:val="none"/>
        </w:rPr>
      </w:pPr>
      <w:r>
        <w:rPr>
          <w:rFonts w:hint="eastAsia"/>
          <w:color w:val="auto"/>
          <w:highlight w:val="none"/>
        </w:rPr>
        <w:t>11.2、供应商应按竞争性谈判文件第六章“响应文件格式”编制响应文件。</w:t>
      </w:r>
    </w:p>
    <w:p>
      <w:pPr>
        <w:keepNext w:val="0"/>
        <w:keepLines w:val="0"/>
        <w:pageBreakBefore w:val="0"/>
        <w:tabs>
          <w:tab w:val="left" w:pos="1305"/>
        </w:tabs>
        <w:kinsoku/>
        <w:wordWrap/>
        <w:overflowPunct/>
        <w:topLinePunct w:val="0"/>
        <w:bidi w:val="0"/>
        <w:adjustRightInd/>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12、</w:t>
      </w:r>
      <w:r>
        <w:rPr>
          <w:rFonts w:hint="eastAsia"/>
          <w:b/>
          <w:color w:val="auto"/>
          <w:highlight w:val="none"/>
        </w:rPr>
        <w:t>响应</w:t>
      </w:r>
      <w:r>
        <w:rPr>
          <w:rFonts w:hint="eastAsia" w:ascii="宋体" w:hAnsi="宋体"/>
          <w:b/>
          <w:color w:val="auto"/>
          <w:szCs w:val="21"/>
          <w:highlight w:val="none"/>
        </w:rPr>
        <w:t>文件的语言及计量</w:t>
      </w:r>
    </w:p>
    <w:p>
      <w:pPr>
        <w:keepNext w:val="0"/>
        <w:keepLines w:val="0"/>
        <w:pageBreakBefore w:val="0"/>
        <w:tabs>
          <w:tab w:val="left" w:pos="1305"/>
        </w:tabs>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12.1、</w:t>
      </w:r>
      <w:r>
        <w:rPr>
          <w:rFonts w:hint="eastAsia"/>
          <w:color w:val="auto"/>
          <w:highlight w:val="none"/>
        </w:rPr>
        <w:t>响应</w:t>
      </w:r>
      <w:r>
        <w:rPr>
          <w:rFonts w:hint="eastAsia" w:ascii="宋体" w:hAnsi="宋体"/>
          <w:color w:val="auto"/>
          <w:szCs w:val="21"/>
          <w:highlight w:val="none"/>
        </w:rPr>
        <w:t>文件以及供应商与采购代理机构就有关谈判事宜的所有来往函电，均应以中文汉语书写。供应商提交的支持文件和印刷的文献可以使用别的语言，但其相应内容必须附有中文翻译文本，在解释</w:t>
      </w:r>
      <w:r>
        <w:rPr>
          <w:rFonts w:hint="eastAsia"/>
          <w:color w:val="auto"/>
          <w:highlight w:val="none"/>
        </w:rPr>
        <w:t>响应</w:t>
      </w:r>
      <w:r>
        <w:rPr>
          <w:rFonts w:hint="eastAsia" w:ascii="宋体" w:hAnsi="宋体"/>
          <w:color w:val="auto"/>
          <w:szCs w:val="21"/>
          <w:highlight w:val="none"/>
        </w:rPr>
        <w:t>文件时以中文翻译文本为准。</w:t>
      </w:r>
    </w:p>
    <w:p>
      <w:pPr>
        <w:keepNext w:val="0"/>
        <w:keepLines w:val="0"/>
        <w:pageBreakBefore w:val="0"/>
        <w:tabs>
          <w:tab w:val="left" w:pos="1305"/>
        </w:tabs>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12.2、谈判计量单位，谈判文件已有明确规定的，使用谈判文件规定的计量单位；谈判文件没有规定的，应采用中华人民共和国法定计量单位（货币单位：元人民币），否则视同未响应。</w:t>
      </w:r>
    </w:p>
    <w:p>
      <w:pPr>
        <w:keepNext w:val="0"/>
        <w:keepLines w:val="0"/>
        <w:pageBreakBefore w:val="0"/>
        <w:tabs>
          <w:tab w:val="left" w:pos="1305"/>
        </w:tabs>
        <w:kinsoku/>
        <w:wordWrap/>
        <w:overflowPunct/>
        <w:topLinePunct w:val="0"/>
        <w:bidi w:val="0"/>
        <w:adjustRightInd/>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13、谈判报价</w:t>
      </w:r>
    </w:p>
    <w:p>
      <w:pPr>
        <w:keepNext w:val="0"/>
        <w:keepLines w:val="0"/>
        <w:pageBreakBefore w:val="0"/>
        <w:tabs>
          <w:tab w:val="left" w:pos="1305"/>
        </w:tabs>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13.1、谈判报价应按谈判文件中相关附表格式填写，报价</w:t>
      </w:r>
      <w:r>
        <w:rPr>
          <w:rFonts w:hint="eastAsia" w:ascii="宋体" w:hAnsi="宋体"/>
          <w:color w:val="auto"/>
          <w:kern w:val="0"/>
          <w:szCs w:val="21"/>
          <w:highlight w:val="none"/>
        </w:rPr>
        <w:t>超过本项目采购预算总金额的，响应文件作无效处理。</w:t>
      </w:r>
    </w:p>
    <w:p>
      <w:pPr>
        <w:keepNext w:val="0"/>
        <w:keepLines w:val="0"/>
        <w:pageBreakBefore w:val="0"/>
        <w:tabs>
          <w:tab w:val="left" w:pos="1305"/>
        </w:tabs>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13.2、供应商必须就“货物采购需求”中所供所有货物内容作完整唯一报价，否则，其响应文件将被拒绝。响应文件只允许有一个报价，有选择的或有条件的报价将不予接受。</w:t>
      </w:r>
    </w:p>
    <w:p>
      <w:pPr>
        <w:keepNext w:val="0"/>
        <w:keepLines w:val="0"/>
        <w:pageBreakBefore w:val="0"/>
        <w:tabs>
          <w:tab w:val="left" w:pos="1305"/>
        </w:tabs>
        <w:kinsoku/>
        <w:wordWrap/>
        <w:overflowPunct/>
        <w:topLinePunct w:val="0"/>
        <w:bidi w:val="0"/>
        <w:adjustRightInd/>
        <w:spacing w:line="400" w:lineRule="exact"/>
        <w:ind w:firstLine="420" w:firstLineChars="200"/>
        <w:rPr>
          <w:rFonts w:ascii="宋体" w:hAnsi="宋体"/>
          <w:color w:val="auto"/>
          <w:highlight w:val="none"/>
        </w:rPr>
      </w:pPr>
      <w:r>
        <w:rPr>
          <w:rFonts w:hint="eastAsia" w:ascii="宋体" w:hAnsi="宋体"/>
          <w:color w:val="auto"/>
          <w:szCs w:val="21"/>
          <w:highlight w:val="none"/>
        </w:rPr>
        <w:t>13.3、谈判报价应包括本次采购范围内货物价款、</w:t>
      </w:r>
      <w:r>
        <w:rPr>
          <w:rFonts w:hint="eastAsia" w:ascii="宋体" w:hAnsi="宋体" w:cs="Courier New"/>
          <w:color w:val="auto"/>
          <w:szCs w:val="21"/>
          <w:highlight w:val="none"/>
        </w:rPr>
        <w:t>货物随配标准附件、</w:t>
      </w:r>
      <w:r>
        <w:rPr>
          <w:rFonts w:hint="eastAsia" w:ascii="宋体" w:hAnsi="宋体"/>
          <w:color w:val="auto"/>
          <w:szCs w:val="21"/>
          <w:highlight w:val="none"/>
        </w:rPr>
        <w:t>包装、运输、装卸、保险、税金、货到位以及安装、调试、检验、售后服务、培训、保修</w:t>
      </w:r>
      <w:r>
        <w:rPr>
          <w:rFonts w:hint="eastAsia" w:ascii="宋体" w:hAnsi="宋体" w:cs="Courier New"/>
          <w:color w:val="auto"/>
          <w:szCs w:val="21"/>
          <w:highlight w:val="none"/>
        </w:rPr>
        <w:t>及其他所有成本费用的总和</w:t>
      </w:r>
      <w:r>
        <w:rPr>
          <w:rFonts w:hint="eastAsia" w:ascii="宋体" w:hAnsi="宋体"/>
          <w:color w:val="auto"/>
          <w:szCs w:val="21"/>
          <w:highlight w:val="none"/>
        </w:rPr>
        <w:t>；</w:t>
      </w:r>
      <w:r>
        <w:rPr>
          <w:rFonts w:hint="eastAsia" w:ascii="宋体" w:hAnsi="宋体"/>
          <w:color w:val="auto"/>
          <w:highlight w:val="none"/>
        </w:rPr>
        <w:t>供应商综合考虑在报价中。</w:t>
      </w:r>
    </w:p>
    <w:p>
      <w:pPr>
        <w:keepNext w:val="0"/>
        <w:keepLines w:val="0"/>
        <w:pageBreakBefore w:val="0"/>
        <w:tabs>
          <w:tab w:val="left" w:pos="1305"/>
        </w:tabs>
        <w:kinsoku/>
        <w:wordWrap/>
        <w:overflowPunct/>
        <w:topLinePunct w:val="0"/>
        <w:bidi w:val="0"/>
        <w:adjustRightInd/>
        <w:spacing w:line="400" w:lineRule="exact"/>
        <w:ind w:firstLine="420" w:firstLineChars="200"/>
        <w:rPr>
          <w:rFonts w:ascii="宋体" w:hAnsi="宋体"/>
          <w:color w:val="auto"/>
          <w:kern w:val="0"/>
          <w:szCs w:val="21"/>
          <w:highlight w:val="none"/>
        </w:rPr>
      </w:pPr>
      <w:r>
        <w:rPr>
          <w:rFonts w:hint="eastAsia" w:ascii="宋体" w:hAnsi="宋体"/>
          <w:color w:val="auto"/>
          <w:szCs w:val="21"/>
          <w:highlight w:val="none"/>
        </w:rPr>
        <w:t>13.4、</w:t>
      </w:r>
      <w:r>
        <w:rPr>
          <w:rFonts w:hint="eastAsia" w:ascii="宋体" w:hAnsi="宋体"/>
          <w:color w:val="auto"/>
          <w:kern w:val="0"/>
          <w:szCs w:val="21"/>
          <w:highlight w:val="none"/>
        </w:rPr>
        <w:t>未书面退出谈判的</w:t>
      </w:r>
      <w:r>
        <w:rPr>
          <w:rFonts w:ascii="宋体" w:hAnsi="宋体"/>
          <w:color w:val="auto"/>
          <w:kern w:val="0"/>
          <w:szCs w:val="21"/>
          <w:highlight w:val="none"/>
        </w:rPr>
        <w:t>供应商在规定时间内</w:t>
      </w:r>
      <w:r>
        <w:rPr>
          <w:rFonts w:hint="eastAsia" w:ascii="宋体" w:hAnsi="宋体"/>
          <w:color w:val="auto"/>
          <w:kern w:val="0"/>
          <w:szCs w:val="21"/>
          <w:highlight w:val="none"/>
        </w:rPr>
        <w:t>密封</w:t>
      </w:r>
      <w:r>
        <w:rPr>
          <w:rFonts w:ascii="宋体" w:hAnsi="宋体"/>
          <w:color w:val="auto"/>
          <w:kern w:val="0"/>
          <w:szCs w:val="21"/>
          <w:highlight w:val="none"/>
        </w:rPr>
        <w:t>提交最后报价</w:t>
      </w:r>
      <w:r>
        <w:rPr>
          <w:rFonts w:hint="eastAsia" w:ascii="宋体" w:hAnsi="宋体"/>
          <w:color w:val="auto"/>
          <w:kern w:val="0"/>
          <w:szCs w:val="21"/>
          <w:highlight w:val="none"/>
        </w:rPr>
        <w:t>，其最后报价超出采购预算导致已通过评审的响应文件无效的，按供应商在提交响应文件截止时间后撤回响应文件处理。</w:t>
      </w:r>
    </w:p>
    <w:p>
      <w:pPr>
        <w:keepNext w:val="0"/>
        <w:keepLines w:val="0"/>
        <w:pageBreakBefore w:val="0"/>
        <w:tabs>
          <w:tab w:val="left" w:pos="1305"/>
        </w:tabs>
        <w:kinsoku/>
        <w:wordWrap/>
        <w:overflowPunct/>
        <w:topLinePunct w:val="0"/>
        <w:bidi w:val="0"/>
        <w:adjustRightInd/>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14、响应文件有效期</w:t>
      </w:r>
    </w:p>
    <w:p>
      <w:pPr>
        <w:keepNext w:val="0"/>
        <w:keepLines w:val="0"/>
        <w:pageBreakBefore w:val="0"/>
        <w:tabs>
          <w:tab w:val="left" w:pos="1305"/>
        </w:tabs>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14.1、响应文件有效期：响应文件递交截止时间之日起90天，有效期不足的响应文件将被拒绝。</w:t>
      </w:r>
    </w:p>
    <w:p>
      <w:pPr>
        <w:keepNext w:val="0"/>
        <w:keepLines w:val="0"/>
        <w:pageBreakBefore w:val="0"/>
        <w:tabs>
          <w:tab w:val="left" w:pos="1305"/>
        </w:tabs>
        <w:kinsoku/>
        <w:wordWrap/>
        <w:overflowPunct/>
        <w:topLinePunct w:val="0"/>
        <w:bidi w:val="0"/>
        <w:adjustRightInd/>
        <w:spacing w:line="400" w:lineRule="exact"/>
        <w:ind w:firstLine="420" w:firstLineChars="200"/>
        <w:rPr>
          <w:rFonts w:hint="eastAsia" w:ascii="宋体" w:hAnsi="宋体" w:eastAsia="宋体"/>
          <w:color w:val="auto"/>
          <w:szCs w:val="21"/>
          <w:highlight w:val="none"/>
          <w:lang w:eastAsia="zh-CN"/>
        </w:rPr>
      </w:pPr>
      <w:r>
        <w:rPr>
          <w:rFonts w:hint="eastAsia" w:ascii="宋体" w:hAnsi="宋体"/>
          <w:color w:val="auto"/>
          <w:szCs w:val="21"/>
          <w:highlight w:val="none"/>
        </w:rPr>
        <w:t>14.2、出现特殊情况下，需要延长响应文件有效期的，采购代理机构以书面形式通知所有供应商延长响应文件有效期。供应商同意延长的，不能修改</w:t>
      </w:r>
      <w:r>
        <w:rPr>
          <w:rFonts w:hint="eastAsia"/>
          <w:color w:val="auto"/>
          <w:highlight w:val="none"/>
        </w:rPr>
        <w:t>响应</w:t>
      </w:r>
      <w:r>
        <w:rPr>
          <w:rFonts w:hint="eastAsia" w:ascii="宋体" w:hAnsi="宋体"/>
          <w:color w:val="auto"/>
          <w:szCs w:val="21"/>
          <w:highlight w:val="none"/>
        </w:rPr>
        <w:t>文件。供应商拒绝延长的，其响应文件无效</w:t>
      </w:r>
      <w:r>
        <w:rPr>
          <w:rFonts w:hint="eastAsia" w:ascii="宋体" w:hAnsi="宋体"/>
          <w:color w:val="auto"/>
          <w:szCs w:val="21"/>
          <w:highlight w:val="none"/>
          <w:lang w:eastAsia="zh-CN"/>
        </w:rPr>
        <w:t>。</w:t>
      </w:r>
    </w:p>
    <w:p>
      <w:pPr>
        <w:keepNext w:val="0"/>
        <w:keepLines w:val="0"/>
        <w:pageBreakBefore w:val="0"/>
        <w:tabs>
          <w:tab w:val="left" w:pos="1305"/>
        </w:tabs>
        <w:kinsoku/>
        <w:wordWrap/>
        <w:overflowPunct/>
        <w:topLinePunct w:val="0"/>
        <w:bidi w:val="0"/>
        <w:adjustRightInd/>
        <w:spacing w:line="400" w:lineRule="exact"/>
        <w:ind w:firstLine="422" w:firstLineChars="200"/>
        <w:jc w:val="left"/>
        <w:rPr>
          <w:rFonts w:hint="eastAsia" w:ascii="宋体" w:hAnsi="宋体"/>
          <w:b/>
          <w:color w:val="auto"/>
          <w:szCs w:val="21"/>
          <w:highlight w:val="none"/>
        </w:rPr>
      </w:pPr>
      <w:r>
        <w:rPr>
          <w:rFonts w:hint="eastAsia" w:ascii="宋体" w:hAnsi="宋体"/>
          <w:b/>
          <w:color w:val="auto"/>
          <w:szCs w:val="21"/>
          <w:highlight w:val="none"/>
        </w:rPr>
        <w:t>15、</w:t>
      </w:r>
      <w:r>
        <w:rPr>
          <w:rFonts w:hint="eastAsia" w:ascii="宋体" w:hAnsi="宋体"/>
          <w:b/>
          <w:color w:val="auto"/>
          <w:szCs w:val="21"/>
          <w:highlight w:val="none"/>
          <w:lang w:eastAsia="zh-CN"/>
        </w:rPr>
        <w:t>竞标</w:t>
      </w:r>
      <w:r>
        <w:rPr>
          <w:rFonts w:hint="eastAsia" w:ascii="宋体" w:hAnsi="宋体"/>
          <w:b/>
          <w:color w:val="auto"/>
          <w:szCs w:val="21"/>
          <w:highlight w:val="none"/>
        </w:rPr>
        <w:t>保证金</w:t>
      </w:r>
    </w:p>
    <w:p>
      <w:pPr>
        <w:keepNext w:val="0"/>
        <w:keepLines w:val="0"/>
        <w:pageBreakBefore w:val="0"/>
        <w:tabs>
          <w:tab w:val="left" w:pos="1305"/>
        </w:tabs>
        <w:kinsoku/>
        <w:wordWrap/>
        <w:overflowPunct/>
        <w:topLinePunct w:val="0"/>
        <w:bidi w:val="0"/>
        <w:adjustRightInd/>
        <w:spacing w:line="400" w:lineRule="exact"/>
        <w:ind w:firstLine="420" w:firstLineChars="200"/>
        <w:jc w:val="left"/>
        <w:rPr>
          <w:rFonts w:hint="eastAsia" w:eastAsia="宋体"/>
          <w:color w:val="auto"/>
          <w:highlight w:val="none"/>
          <w:lang w:eastAsia="zh-CN"/>
        </w:rPr>
      </w:pPr>
      <w:r>
        <w:rPr>
          <w:rFonts w:hint="eastAsia" w:ascii="宋体" w:hAnsi="宋体"/>
          <w:color w:val="auto"/>
          <w:szCs w:val="21"/>
          <w:highlight w:val="none"/>
        </w:rPr>
        <w:t>本项目无需缴纳</w:t>
      </w:r>
      <w:r>
        <w:rPr>
          <w:rFonts w:hint="eastAsia" w:ascii="宋体" w:hAnsi="宋体"/>
          <w:color w:val="auto"/>
          <w:szCs w:val="21"/>
          <w:highlight w:val="none"/>
          <w:lang w:eastAsia="zh-CN"/>
        </w:rPr>
        <w:t>竞标</w:t>
      </w:r>
      <w:r>
        <w:rPr>
          <w:rFonts w:hint="eastAsia" w:ascii="宋体" w:hAnsi="宋体"/>
          <w:color w:val="auto"/>
          <w:szCs w:val="21"/>
          <w:highlight w:val="none"/>
        </w:rPr>
        <w:t>保证金</w:t>
      </w:r>
      <w:r>
        <w:rPr>
          <w:rFonts w:hint="eastAsia" w:ascii="宋体" w:hAnsi="宋体"/>
          <w:color w:val="auto"/>
          <w:szCs w:val="21"/>
          <w:highlight w:val="none"/>
          <w:lang w:eastAsia="zh-CN"/>
        </w:rPr>
        <w:t>。</w:t>
      </w:r>
    </w:p>
    <w:p>
      <w:pPr>
        <w:keepNext w:val="0"/>
        <w:keepLines w:val="0"/>
        <w:pageBreakBefore w:val="0"/>
        <w:tabs>
          <w:tab w:val="left" w:pos="1305"/>
        </w:tabs>
        <w:kinsoku/>
        <w:wordWrap/>
        <w:overflowPunct/>
        <w:topLinePunct w:val="0"/>
        <w:bidi w:val="0"/>
        <w:adjustRightInd/>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16、响应文件的份数、装订、</w:t>
      </w:r>
      <w:r>
        <w:rPr>
          <w:rFonts w:hint="eastAsia" w:ascii="宋体" w:hAnsi="宋体" w:cs="Courier New"/>
          <w:b/>
          <w:color w:val="auto"/>
          <w:szCs w:val="21"/>
          <w:highlight w:val="none"/>
        </w:rPr>
        <w:t>签署和包装、</w:t>
      </w:r>
      <w:r>
        <w:rPr>
          <w:rFonts w:hint="eastAsia" w:ascii="宋体" w:hAnsi="宋体"/>
          <w:b/>
          <w:color w:val="auto"/>
          <w:szCs w:val="21"/>
          <w:highlight w:val="none"/>
        </w:rPr>
        <w:t>密封</w:t>
      </w:r>
    </w:p>
    <w:p>
      <w:pPr>
        <w:keepNext w:val="0"/>
        <w:keepLines w:val="0"/>
        <w:pageBreakBefore w:val="0"/>
        <w:tabs>
          <w:tab w:val="left" w:pos="1305"/>
        </w:tabs>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16</w:t>
      </w:r>
      <w:r>
        <w:rPr>
          <w:rFonts w:ascii="宋体" w:hAnsi="宋体"/>
          <w:color w:val="auto"/>
          <w:szCs w:val="21"/>
          <w:highlight w:val="none"/>
        </w:rPr>
        <w:t>.1</w:t>
      </w:r>
      <w:r>
        <w:rPr>
          <w:rFonts w:hint="eastAsia" w:ascii="宋体" w:hAnsi="宋体"/>
          <w:color w:val="auto"/>
          <w:szCs w:val="21"/>
          <w:highlight w:val="none"/>
        </w:rPr>
        <w:t>、</w:t>
      </w:r>
      <w:r>
        <w:rPr>
          <w:rFonts w:hint="eastAsia"/>
          <w:color w:val="auto"/>
          <w:highlight w:val="none"/>
        </w:rPr>
        <w:t>响应</w:t>
      </w:r>
      <w:r>
        <w:rPr>
          <w:rFonts w:hint="eastAsia" w:ascii="宋体" w:hAnsi="宋体"/>
          <w:color w:val="auto"/>
          <w:szCs w:val="21"/>
          <w:highlight w:val="none"/>
        </w:rPr>
        <w:t>文件份数：正本壹册，副本肆册，须完整提交（</w:t>
      </w:r>
      <w:r>
        <w:rPr>
          <w:rFonts w:ascii="宋体" w:hAnsi="宋体"/>
          <w:color w:val="auto"/>
          <w:szCs w:val="21"/>
          <w:highlight w:val="none"/>
        </w:rPr>
        <w:t>A4</w:t>
      </w:r>
      <w:r>
        <w:rPr>
          <w:rFonts w:hint="eastAsia" w:ascii="宋体" w:hAnsi="宋体"/>
          <w:color w:val="auto"/>
          <w:szCs w:val="21"/>
          <w:highlight w:val="none"/>
        </w:rPr>
        <w:t>纸装订），须完整提交。</w:t>
      </w:r>
    </w:p>
    <w:p>
      <w:pPr>
        <w:keepNext w:val="0"/>
        <w:keepLines w:val="0"/>
        <w:pageBreakBefore w:val="0"/>
        <w:tabs>
          <w:tab w:val="left" w:pos="1305"/>
        </w:tabs>
        <w:kinsoku/>
        <w:wordWrap/>
        <w:overflowPunct/>
        <w:topLinePunct w:val="0"/>
        <w:bidi w:val="0"/>
        <w:adjustRightInd/>
        <w:spacing w:line="400" w:lineRule="exact"/>
        <w:ind w:firstLine="420" w:firstLineChars="200"/>
        <w:rPr>
          <w:rFonts w:ascii="宋体" w:hAnsi="宋体"/>
          <w:b/>
          <w:color w:val="auto"/>
          <w:szCs w:val="21"/>
          <w:highlight w:val="none"/>
        </w:rPr>
      </w:pPr>
      <w:r>
        <w:rPr>
          <w:rFonts w:ascii="宋体" w:hAnsi="宋体"/>
          <w:color w:val="auto"/>
          <w:szCs w:val="21"/>
          <w:highlight w:val="none"/>
        </w:rPr>
        <w:t>1</w:t>
      </w:r>
      <w:r>
        <w:rPr>
          <w:rFonts w:hint="eastAsia" w:ascii="宋体" w:hAnsi="宋体"/>
          <w:color w:val="auto"/>
          <w:szCs w:val="21"/>
          <w:highlight w:val="none"/>
        </w:rPr>
        <w:t>6</w:t>
      </w:r>
      <w:r>
        <w:rPr>
          <w:rFonts w:ascii="宋体" w:hAnsi="宋体"/>
          <w:color w:val="auto"/>
          <w:szCs w:val="21"/>
          <w:highlight w:val="none"/>
        </w:rPr>
        <w:t>.2</w:t>
      </w:r>
      <w:r>
        <w:rPr>
          <w:rFonts w:hint="eastAsia" w:ascii="宋体" w:hAnsi="宋体"/>
          <w:color w:val="auto"/>
          <w:szCs w:val="21"/>
          <w:highlight w:val="none"/>
        </w:rPr>
        <w:t>、响应文件装订要求：供应商应按供应商须知第11.1条“响应文件组成”规定的顺序自编目录及页码。响应文件的“正本”、“副本”应当单独装订成册并标注页码，装订应牢固，不易拆散和换页。封面应注明“正本”、“副本”字样，封面上写明项目名称、项目编号、采购代理机构、供应商单位名称。</w:t>
      </w:r>
    </w:p>
    <w:p>
      <w:pPr>
        <w:keepNext w:val="0"/>
        <w:keepLines w:val="0"/>
        <w:pageBreakBefore w:val="0"/>
        <w:tabs>
          <w:tab w:val="left" w:pos="1305"/>
        </w:tabs>
        <w:kinsoku/>
        <w:wordWrap/>
        <w:overflowPunct/>
        <w:topLinePunct w:val="0"/>
        <w:bidi w:val="0"/>
        <w:adjustRightInd/>
        <w:spacing w:line="400" w:lineRule="exact"/>
        <w:ind w:firstLine="420" w:firstLineChars="200"/>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6</w:t>
      </w:r>
      <w:r>
        <w:rPr>
          <w:rFonts w:ascii="宋体" w:hAnsi="宋体"/>
          <w:color w:val="auto"/>
          <w:szCs w:val="21"/>
          <w:highlight w:val="none"/>
        </w:rPr>
        <w:t>.3</w:t>
      </w:r>
      <w:r>
        <w:rPr>
          <w:rFonts w:hint="eastAsia" w:ascii="宋体" w:hAnsi="宋体"/>
          <w:color w:val="auto"/>
          <w:szCs w:val="21"/>
          <w:highlight w:val="none"/>
        </w:rPr>
        <w:t>、</w:t>
      </w:r>
      <w:r>
        <w:rPr>
          <w:rFonts w:hint="eastAsia"/>
          <w:color w:val="auto"/>
          <w:highlight w:val="none"/>
        </w:rPr>
        <w:t>响应</w:t>
      </w:r>
      <w:r>
        <w:rPr>
          <w:rFonts w:hint="eastAsia" w:ascii="宋体" w:hAnsi="宋体"/>
          <w:color w:val="auto"/>
          <w:szCs w:val="21"/>
          <w:highlight w:val="none"/>
        </w:rPr>
        <w:t>文件的正本需打印或用不褪色的墨水填写，</w:t>
      </w:r>
      <w:r>
        <w:rPr>
          <w:rFonts w:hint="eastAsia"/>
          <w:color w:val="auto"/>
          <w:highlight w:val="none"/>
        </w:rPr>
        <w:t>响应</w:t>
      </w:r>
      <w:r>
        <w:rPr>
          <w:rFonts w:hint="eastAsia" w:ascii="宋体" w:hAnsi="宋体"/>
          <w:color w:val="auto"/>
          <w:szCs w:val="21"/>
          <w:highlight w:val="none"/>
        </w:rPr>
        <w:t>文件正本除本谈判文件中规定的可提供复印件外均须提供原件。</w:t>
      </w:r>
    </w:p>
    <w:p>
      <w:pPr>
        <w:keepNext w:val="0"/>
        <w:keepLines w:val="0"/>
        <w:pageBreakBefore w:val="0"/>
        <w:tabs>
          <w:tab w:val="left" w:pos="1305"/>
        </w:tabs>
        <w:kinsoku/>
        <w:wordWrap/>
        <w:overflowPunct/>
        <w:topLinePunct w:val="0"/>
        <w:bidi w:val="0"/>
        <w:adjustRightInd/>
        <w:spacing w:line="400" w:lineRule="exact"/>
        <w:ind w:firstLine="420" w:firstLineChars="200"/>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6</w:t>
      </w:r>
      <w:r>
        <w:rPr>
          <w:rFonts w:ascii="宋体" w:hAnsi="宋体"/>
          <w:color w:val="auto"/>
          <w:szCs w:val="21"/>
          <w:highlight w:val="none"/>
        </w:rPr>
        <w:t>.4</w:t>
      </w:r>
      <w:r>
        <w:rPr>
          <w:rFonts w:hint="eastAsia" w:ascii="宋体" w:hAnsi="宋体"/>
          <w:color w:val="auto"/>
          <w:szCs w:val="21"/>
          <w:highlight w:val="none"/>
        </w:rPr>
        <w:t>、响应文件须由供应商在规定位置加盖供应商公章（扫描公章无效，自然人除外）并由法定代表人或负责人或自然人或相应的授权委托代理人签字，供应商应写全称，响应文件副本可以是加盖公章（自然人除外）的正本的复印件，当正本与副本不一致时，以正本为准。</w:t>
      </w:r>
    </w:p>
    <w:p>
      <w:pPr>
        <w:keepNext w:val="0"/>
        <w:keepLines w:val="0"/>
        <w:pageBreakBefore w:val="0"/>
        <w:tabs>
          <w:tab w:val="left" w:pos="1305"/>
        </w:tabs>
        <w:kinsoku/>
        <w:wordWrap/>
        <w:overflowPunct/>
        <w:topLinePunct w:val="0"/>
        <w:bidi w:val="0"/>
        <w:adjustRightInd/>
        <w:spacing w:line="400" w:lineRule="exact"/>
        <w:ind w:firstLine="420" w:firstLineChars="200"/>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6</w:t>
      </w:r>
      <w:r>
        <w:rPr>
          <w:rFonts w:ascii="宋体" w:hAnsi="宋体"/>
          <w:color w:val="auto"/>
          <w:szCs w:val="21"/>
          <w:highlight w:val="none"/>
        </w:rPr>
        <w:t>.5</w:t>
      </w:r>
      <w:r>
        <w:rPr>
          <w:rFonts w:hint="eastAsia" w:ascii="宋体" w:hAnsi="宋体"/>
          <w:color w:val="auto"/>
          <w:szCs w:val="21"/>
          <w:highlight w:val="none"/>
        </w:rPr>
        <w:t>、响应文件不得涂改，若有修改错漏处，须加盖供应商公章（自然人除外）及法定代表人或负责人或自然人或相应的授权委托代理人签字。响应文件因字迹潦草或表达不清所引起的后果由供应商负责。</w:t>
      </w:r>
    </w:p>
    <w:p>
      <w:pPr>
        <w:keepNext w:val="0"/>
        <w:keepLines w:val="0"/>
        <w:pageBreakBefore w:val="0"/>
        <w:kinsoku/>
        <w:wordWrap/>
        <w:overflowPunct/>
        <w:topLinePunct w:val="0"/>
        <w:bidi w:val="0"/>
        <w:adjustRightInd/>
        <w:snapToGrid w:val="0"/>
        <w:spacing w:line="400" w:lineRule="exact"/>
        <w:ind w:firstLine="420" w:firstLineChars="200"/>
        <w:jc w:val="left"/>
        <w:rPr>
          <w:rFonts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6</w:t>
      </w:r>
      <w:r>
        <w:rPr>
          <w:rFonts w:ascii="宋体" w:hAnsi="宋体" w:cs="宋体"/>
          <w:color w:val="auto"/>
          <w:szCs w:val="21"/>
          <w:highlight w:val="none"/>
        </w:rPr>
        <w:t>.</w:t>
      </w:r>
      <w:r>
        <w:rPr>
          <w:rFonts w:hint="eastAsia" w:ascii="宋体" w:hAnsi="宋体" w:cs="宋体"/>
          <w:color w:val="auto"/>
          <w:szCs w:val="21"/>
          <w:highlight w:val="none"/>
        </w:rPr>
        <w:t>6、</w:t>
      </w:r>
      <w:r>
        <w:rPr>
          <w:rFonts w:hint="eastAsia" w:ascii="宋体" w:hAnsi="宋体"/>
          <w:color w:val="auto"/>
          <w:szCs w:val="21"/>
          <w:highlight w:val="none"/>
        </w:rPr>
        <w:t>响应文件包装、密封、标记：</w:t>
      </w:r>
    </w:p>
    <w:p>
      <w:pPr>
        <w:keepNext w:val="0"/>
        <w:keepLines w:val="0"/>
        <w:pageBreakBefore w:val="0"/>
        <w:kinsoku/>
        <w:wordWrap/>
        <w:overflowPunct/>
        <w:topLinePunct w:val="0"/>
        <w:bidi w:val="0"/>
        <w:adjustRightInd/>
        <w:snapToGrid w:val="0"/>
        <w:spacing w:line="4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16.6.1</w:t>
      </w:r>
      <w:r>
        <w:rPr>
          <w:rFonts w:hint="eastAsia" w:ascii="宋体" w:hAnsi="宋体"/>
          <w:color w:val="auto"/>
          <w:szCs w:val="21"/>
          <w:highlight w:val="none"/>
        </w:rPr>
        <w:t>响应文件包装、密封：供应商须将响应文件“正本”、“副本”一并装入一个响应文件袋（盒、箱）中密封，</w:t>
      </w:r>
      <w:r>
        <w:rPr>
          <w:rFonts w:hint="eastAsia" w:ascii="宋体" w:hAnsi="宋体" w:cs="宋体"/>
          <w:color w:val="auto"/>
          <w:szCs w:val="21"/>
          <w:highlight w:val="none"/>
        </w:rPr>
        <w:t>在密封处密封签章</w:t>
      </w:r>
      <w:r>
        <w:rPr>
          <w:rFonts w:hint="eastAsia" w:ascii="宋体" w:hAnsi="宋体" w:cs="宋体"/>
          <w:color w:val="auto"/>
          <w:szCs w:val="21"/>
          <w:highlight w:val="none"/>
          <w:lang w:eastAsia="zh-CN"/>
        </w:rPr>
        <w:t>（</w:t>
      </w:r>
      <w:r>
        <w:rPr>
          <w:rFonts w:hint="eastAsia" w:ascii="宋体" w:hAnsi="宋体" w:cs="宋体"/>
          <w:color w:val="auto"/>
          <w:szCs w:val="21"/>
          <w:highlight w:val="none"/>
        </w:rPr>
        <w:t>公章、密封章</w:t>
      </w:r>
      <w:r>
        <w:rPr>
          <w:rFonts w:hint="eastAsia" w:ascii="宋体" w:hAnsi="宋体" w:cs="宋体"/>
          <w:color w:val="auto"/>
          <w:szCs w:val="21"/>
          <w:highlight w:val="none"/>
          <w:lang w:eastAsia="zh-CN"/>
        </w:rPr>
        <w:t>均可），并由</w:t>
      </w:r>
      <w:r>
        <w:rPr>
          <w:rFonts w:hint="eastAsia" w:ascii="宋体" w:hAnsi="宋体" w:cs="宋体"/>
          <w:color w:val="auto"/>
          <w:szCs w:val="21"/>
          <w:highlight w:val="none"/>
        </w:rPr>
        <w:t>法定代表人、负责人、自然人或相应的授权委托代理人签字。</w:t>
      </w:r>
      <w:r>
        <w:rPr>
          <w:rFonts w:hint="eastAsia" w:ascii="宋体" w:hAnsi="宋体"/>
          <w:color w:val="auto"/>
          <w:szCs w:val="21"/>
          <w:highlight w:val="none"/>
        </w:rPr>
        <w:t>未按上述要求包装、密封的响应文件将予以拒收</w:t>
      </w:r>
      <w:r>
        <w:rPr>
          <w:rFonts w:hint="eastAsia" w:ascii="宋体" w:hAnsi="宋体" w:cs="宋体"/>
          <w:color w:val="auto"/>
          <w:szCs w:val="21"/>
          <w:highlight w:val="none"/>
        </w:rPr>
        <w:t>。</w:t>
      </w:r>
    </w:p>
    <w:p>
      <w:pPr>
        <w:keepNext w:val="0"/>
        <w:keepLines w:val="0"/>
        <w:pageBreakBefore w:val="0"/>
        <w:kinsoku/>
        <w:wordWrap/>
        <w:overflowPunct/>
        <w:topLinePunct w:val="0"/>
        <w:bidi w:val="0"/>
        <w:adjustRightInd/>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16.6.2 响应文件袋（盒、箱）标记：</w:t>
      </w:r>
    </w:p>
    <w:p>
      <w:pPr>
        <w:keepNext w:val="0"/>
        <w:keepLines w:val="0"/>
        <w:pageBreakBefore w:val="0"/>
        <w:kinsoku/>
        <w:wordWrap/>
        <w:overflowPunct/>
        <w:topLinePunct w:val="0"/>
        <w:bidi w:val="0"/>
        <w:adjustRightInd/>
        <w:snapToGrid w:val="0"/>
        <w:spacing w:line="40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 xml:space="preserve">     项目名称：</w:t>
      </w:r>
      <w:r>
        <w:rPr>
          <w:rFonts w:hint="eastAsia" w:ascii="宋体" w:hAnsi="宋体" w:cs="宋体"/>
          <w:color w:val="auto"/>
          <w:szCs w:val="21"/>
          <w:highlight w:val="none"/>
          <w:lang w:eastAsia="zh-CN"/>
        </w:rPr>
        <w:t>桂林市临桂区奥园南路提升泵站格栅机和除臭机设备采购项目</w:t>
      </w:r>
    </w:p>
    <w:p>
      <w:pPr>
        <w:keepNext w:val="0"/>
        <w:keepLines w:val="0"/>
        <w:pageBreakBefore w:val="0"/>
        <w:kinsoku/>
        <w:wordWrap/>
        <w:overflowPunct/>
        <w:topLinePunct w:val="0"/>
        <w:bidi w:val="0"/>
        <w:adjustRightInd/>
        <w:snapToGrid w:val="0"/>
        <w:spacing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s="宋体"/>
          <w:color w:val="auto"/>
          <w:szCs w:val="21"/>
          <w:highlight w:val="none"/>
        </w:rPr>
        <w:t xml:space="preserve">     项目编号：</w:t>
      </w:r>
      <w:r>
        <w:rPr>
          <w:rFonts w:hint="eastAsia" w:ascii="宋体" w:hAnsi="宋体"/>
          <w:color w:val="auto"/>
          <w:szCs w:val="21"/>
          <w:highlight w:val="none"/>
          <w:lang w:eastAsia="zh-CN"/>
        </w:rPr>
        <w:t>GLZC2020-J1-120061-DCZX</w:t>
      </w:r>
    </w:p>
    <w:p>
      <w:pPr>
        <w:keepNext w:val="0"/>
        <w:keepLines w:val="0"/>
        <w:pageBreakBefore w:val="0"/>
        <w:kinsoku/>
        <w:wordWrap/>
        <w:overflowPunct/>
        <w:topLinePunct w:val="0"/>
        <w:bidi w:val="0"/>
        <w:adjustRightInd/>
        <w:snapToGrid w:val="0"/>
        <w:spacing w:line="400" w:lineRule="exact"/>
        <w:ind w:firstLine="420" w:firstLineChars="200"/>
        <w:jc w:val="left"/>
        <w:rPr>
          <w:rFonts w:hint="eastAsia" w:ascii="宋体" w:hAnsi="宋体"/>
          <w:color w:val="auto"/>
          <w:szCs w:val="21"/>
          <w:highlight w:val="none"/>
        </w:rPr>
      </w:pPr>
      <w:r>
        <w:rPr>
          <w:rFonts w:hint="eastAsia" w:ascii="宋体" w:hAnsi="宋体" w:cs="宋体"/>
          <w:color w:val="auto"/>
          <w:szCs w:val="21"/>
          <w:highlight w:val="none"/>
        </w:rPr>
        <w:t xml:space="preserve">     采购代理机构：</w:t>
      </w:r>
      <w:r>
        <w:rPr>
          <w:rFonts w:hint="eastAsia" w:ascii="宋体" w:hAnsi="宋体"/>
          <w:color w:val="auto"/>
          <w:szCs w:val="21"/>
          <w:highlight w:val="none"/>
        </w:rPr>
        <w:t>大成工程咨询有限公司</w:t>
      </w:r>
    </w:p>
    <w:p>
      <w:pPr>
        <w:keepNext w:val="0"/>
        <w:keepLines w:val="0"/>
        <w:pageBreakBefore w:val="0"/>
        <w:kinsoku/>
        <w:wordWrap/>
        <w:overflowPunct/>
        <w:topLinePunct w:val="0"/>
        <w:bidi w:val="0"/>
        <w:adjustRightInd/>
        <w:snapToGrid w:val="0"/>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 xml:space="preserve">     供应商名称：XXXXXXXXXXXXXXXXXXXXXXXXXXX</w:t>
      </w:r>
    </w:p>
    <w:p>
      <w:pPr>
        <w:keepNext w:val="0"/>
        <w:keepLines w:val="0"/>
        <w:pageBreakBefore w:val="0"/>
        <w:kinsoku/>
        <w:wordWrap/>
        <w:overflowPunct/>
        <w:topLinePunct w:val="0"/>
        <w:bidi w:val="0"/>
        <w:adjustRightInd/>
        <w:snapToGrid w:val="0"/>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 xml:space="preserve">     在XXX年XXX月XXX日上午XXX时XXX分前不得开启(</w:t>
      </w:r>
      <w:r>
        <w:rPr>
          <w:rFonts w:hint="eastAsia" w:ascii="宋体" w:hAnsi="宋体" w:cs="宋体"/>
          <w:i/>
          <w:iCs/>
          <w:color w:val="auto"/>
          <w:szCs w:val="21"/>
          <w:highlight w:val="none"/>
        </w:rPr>
        <w:t>此处供应商填写响应文件递交截止时间</w:t>
      </w:r>
      <w:r>
        <w:rPr>
          <w:rFonts w:hint="eastAsia" w:ascii="宋体" w:hAnsi="宋体" w:cs="宋体"/>
          <w:color w:val="auto"/>
          <w:szCs w:val="21"/>
          <w:highlight w:val="none"/>
        </w:rPr>
        <w:t>)</w:t>
      </w:r>
    </w:p>
    <w:p>
      <w:pPr>
        <w:keepNext w:val="0"/>
        <w:keepLines w:val="0"/>
        <w:pageBreakBefore w:val="0"/>
        <w:kinsoku/>
        <w:wordWrap/>
        <w:overflowPunct/>
        <w:topLinePunct w:val="0"/>
        <w:bidi w:val="0"/>
        <w:adjustRightInd/>
        <w:snapToGrid w:val="0"/>
        <w:spacing w:line="400" w:lineRule="exact"/>
        <w:ind w:firstLine="420" w:firstLineChars="200"/>
        <w:jc w:val="left"/>
        <w:rPr>
          <w:rFonts w:ascii="宋体" w:hAnsi="宋体" w:cs="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6</w:t>
      </w:r>
      <w:r>
        <w:rPr>
          <w:rFonts w:ascii="宋体" w:hAnsi="宋体"/>
          <w:color w:val="auto"/>
          <w:szCs w:val="21"/>
          <w:highlight w:val="none"/>
        </w:rPr>
        <w:t>.</w:t>
      </w:r>
      <w:r>
        <w:rPr>
          <w:rFonts w:hint="eastAsia" w:ascii="宋体" w:hAnsi="宋体"/>
          <w:color w:val="auto"/>
          <w:szCs w:val="21"/>
          <w:highlight w:val="none"/>
        </w:rPr>
        <w:t>7、</w:t>
      </w:r>
      <w:r>
        <w:rPr>
          <w:rFonts w:hint="eastAsia" w:ascii="宋体" w:hAnsi="宋体"/>
          <w:color w:val="auto"/>
          <w:spacing w:val="-4"/>
          <w:szCs w:val="21"/>
          <w:highlight w:val="none"/>
        </w:rPr>
        <w:t>供应商公章：</w:t>
      </w:r>
      <w:r>
        <w:rPr>
          <w:rFonts w:ascii="宋体" w:hAnsi="宋体" w:cs="宋体"/>
          <w:color w:val="auto"/>
          <w:spacing w:val="-4"/>
          <w:szCs w:val="21"/>
          <w:highlight w:val="none"/>
        </w:rPr>
        <w:t>本</w:t>
      </w:r>
      <w:r>
        <w:rPr>
          <w:rFonts w:hint="eastAsia" w:ascii="宋体" w:hAnsi="宋体" w:cs="宋体"/>
          <w:color w:val="auto"/>
          <w:spacing w:val="-4"/>
          <w:szCs w:val="21"/>
          <w:highlight w:val="none"/>
        </w:rPr>
        <w:t>竞争性谈判</w:t>
      </w:r>
      <w:r>
        <w:rPr>
          <w:rFonts w:hint="eastAsia" w:ascii="宋体" w:hAnsi="宋体" w:cs="宋体"/>
          <w:color w:val="auto"/>
          <w:spacing w:val="0"/>
          <w:szCs w:val="21"/>
          <w:highlight w:val="none"/>
        </w:rPr>
        <w:t>文件</w:t>
      </w:r>
      <w:r>
        <w:rPr>
          <w:rFonts w:ascii="宋体" w:hAnsi="宋体" w:cs="宋体"/>
          <w:color w:val="auto"/>
          <w:spacing w:val="0"/>
          <w:szCs w:val="21"/>
          <w:highlight w:val="none"/>
        </w:rPr>
        <w:t>中描述</w:t>
      </w:r>
      <w:r>
        <w:rPr>
          <w:rFonts w:hint="eastAsia" w:ascii="宋体" w:hAnsi="宋体" w:cs="宋体"/>
          <w:color w:val="auto"/>
          <w:spacing w:val="0"/>
          <w:szCs w:val="21"/>
          <w:highlight w:val="none"/>
        </w:rPr>
        <w:t>供应商</w:t>
      </w:r>
      <w:r>
        <w:rPr>
          <w:rFonts w:ascii="宋体" w:hAnsi="宋体" w:cs="宋体"/>
          <w:color w:val="auto"/>
          <w:spacing w:val="0"/>
          <w:szCs w:val="21"/>
          <w:highlight w:val="none"/>
        </w:rPr>
        <w:t>的“公章”是指根据我国对公章的管理规定，用</w:t>
      </w:r>
      <w:r>
        <w:rPr>
          <w:rFonts w:hint="eastAsia" w:ascii="宋体" w:hAnsi="宋体" w:cs="宋体"/>
          <w:color w:val="auto"/>
          <w:spacing w:val="0"/>
          <w:szCs w:val="21"/>
          <w:highlight w:val="none"/>
        </w:rPr>
        <w:t>供应商</w:t>
      </w:r>
      <w:r>
        <w:rPr>
          <w:rFonts w:ascii="宋体" w:hAnsi="宋体" w:cs="宋体"/>
          <w:color w:val="auto"/>
          <w:spacing w:val="0"/>
          <w:szCs w:val="21"/>
          <w:highlight w:val="none"/>
        </w:rPr>
        <w:t>法定主体行为名称制作的印章，除本文件有特殊规定外，</w:t>
      </w:r>
      <w:r>
        <w:rPr>
          <w:rFonts w:hint="eastAsia" w:ascii="宋体" w:hAnsi="宋体" w:cs="宋体"/>
          <w:color w:val="auto"/>
          <w:spacing w:val="0"/>
          <w:szCs w:val="21"/>
          <w:highlight w:val="none"/>
        </w:rPr>
        <w:t>供应商</w:t>
      </w:r>
      <w:r>
        <w:rPr>
          <w:rFonts w:ascii="宋体" w:hAnsi="宋体" w:cs="宋体"/>
          <w:color w:val="auto"/>
          <w:spacing w:val="0"/>
          <w:szCs w:val="21"/>
          <w:highlight w:val="none"/>
        </w:rPr>
        <w:t>的财务章、部门章、分公司章、工会章、合同章、</w:t>
      </w:r>
      <w:r>
        <w:rPr>
          <w:rFonts w:hint="eastAsia" w:ascii="宋体" w:hAnsi="宋体" w:cs="宋体"/>
          <w:color w:val="auto"/>
          <w:spacing w:val="0"/>
          <w:szCs w:val="21"/>
          <w:highlight w:val="none"/>
        </w:rPr>
        <w:t>竞标</w:t>
      </w:r>
      <w:r>
        <w:rPr>
          <w:rFonts w:ascii="宋体" w:hAnsi="宋体" w:cs="宋体"/>
          <w:color w:val="auto"/>
          <w:spacing w:val="0"/>
          <w:szCs w:val="21"/>
          <w:highlight w:val="none"/>
        </w:rPr>
        <w:t>专用章、业务专用章及银行的转账章、现金收讫章、现金付讫章等其</w:t>
      </w:r>
      <w:r>
        <w:rPr>
          <w:rFonts w:ascii="宋体" w:hAnsi="宋体" w:cs="宋体"/>
          <w:color w:val="auto"/>
          <w:spacing w:val="-4"/>
          <w:szCs w:val="21"/>
          <w:highlight w:val="none"/>
        </w:rPr>
        <w:t>它形式印章均不能代替公章</w:t>
      </w:r>
      <w:r>
        <w:rPr>
          <w:rFonts w:hint="eastAsia" w:ascii="宋体" w:hAnsi="宋体" w:cs="宋体"/>
          <w:color w:val="auto"/>
          <w:spacing w:val="-4"/>
          <w:szCs w:val="21"/>
          <w:highlight w:val="none"/>
        </w:rPr>
        <w:t>。</w:t>
      </w:r>
    </w:p>
    <w:p>
      <w:pPr>
        <w:keepNext w:val="0"/>
        <w:keepLines w:val="0"/>
        <w:pageBreakBefore w:val="0"/>
        <w:tabs>
          <w:tab w:val="left" w:pos="1305"/>
        </w:tabs>
        <w:kinsoku/>
        <w:wordWrap/>
        <w:overflowPunct/>
        <w:topLinePunct w:val="0"/>
        <w:bidi w:val="0"/>
        <w:adjustRightInd/>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17、</w:t>
      </w:r>
      <w:r>
        <w:rPr>
          <w:rFonts w:hint="eastAsia"/>
          <w:b/>
          <w:color w:val="auto"/>
          <w:highlight w:val="none"/>
        </w:rPr>
        <w:t>响应</w:t>
      </w:r>
      <w:r>
        <w:rPr>
          <w:rFonts w:hint="eastAsia" w:ascii="宋体" w:hAnsi="宋体"/>
          <w:b/>
          <w:color w:val="auto"/>
          <w:szCs w:val="21"/>
          <w:highlight w:val="none"/>
        </w:rPr>
        <w:t>文件的修改和撤回</w:t>
      </w:r>
    </w:p>
    <w:p>
      <w:pPr>
        <w:keepNext w:val="0"/>
        <w:keepLines w:val="0"/>
        <w:pageBreakBefore w:val="0"/>
        <w:kinsoku/>
        <w:wordWrap/>
        <w:overflowPunct/>
        <w:topLinePunct w:val="0"/>
        <w:bidi w:val="0"/>
        <w:adjustRightInd/>
        <w:spacing w:line="400" w:lineRule="exact"/>
        <w:ind w:firstLine="435"/>
        <w:rPr>
          <w:rFonts w:ascii="宋体" w:hAnsi="宋体"/>
          <w:color w:val="auto"/>
          <w:szCs w:val="21"/>
          <w:highlight w:val="none"/>
        </w:rPr>
      </w:pPr>
      <w:r>
        <w:rPr>
          <w:rFonts w:hint="eastAsia" w:ascii="宋体" w:hAnsi="宋体"/>
          <w:color w:val="auto"/>
          <w:szCs w:val="21"/>
          <w:highlight w:val="none"/>
        </w:rPr>
        <w:t>17.1、供应商在</w:t>
      </w:r>
      <w:r>
        <w:rPr>
          <w:rFonts w:hint="eastAsia"/>
          <w:color w:val="auto"/>
          <w:highlight w:val="none"/>
        </w:rPr>
        <w:t>响应</w:t>
      </w:r>
      <w:r>
        <w:rPr>
          <w:rFonts w:hint="eastAsia" w:ascii="宋体" w:hAnsi="宋体"/>
          <w:color w:val="auto"/>
          <w:szCs w:val="21"/>
          <w:highlight w:val="none"/>
        </w:rPr>
        <w:t>文件截止时间之前，可以对已递交的</w:t>
      </w:r>
      <w:r>
        <w:rPr>
          <w:rFonts w:hint="eastAsia"/>
          <w:color w:val="auto"/>
          <w:highlight w:val="none"/>
        </w:rPr>
        <w:t>响应</w:t>
      </w:r>
      <w:r>
        <w:rPr>
          <w:rFonts w:hint="eastAsia" w:ascii="宋体" w:hAnsi="宋体"/>
          <w:color w:val="auto"/>
          <w:szCs w:val="21"/>
          <w:highlight w:val="none"/>
        </w:rPr>
        <w:t>文件进行修改或撤回，并书面通知采购代理机构。</w:t>
      </w:r>
    </w:p>
    <w:p>
      <w:pPr>
        <w:keepNext w:val="0"/>
        <w:keepLines w:val="0"/>
        <w:pageBreakBefore w:val="0"/>
        <w:tabs>
          <w:tab w:val="left" w:pos="1305"/>
        </w:tabs>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17.2、在</w:t>
      </w:r>
      <w:r>
        <w:rPr>
          <w:rFonts w:hint="eastAsia"/>
          <w:color w:val="auto"/>
          <w:highlight w:val="none"/>
        </w:rPr>
        <w:t>响应</w:t>
      </w:r>
      <w:r>
        <w:rPr>
          <w:rFonts w:hint="eastAsia" w:ascii="宋体" w:hAnsi="宋体"/>
          <w:color w:val="auto"/>
          <w:szCs w:val="21"/>
          <w:highlight w:val="none"/>
        </w:rPr>
        <w:t>文件递交截止时间后的响应文件有效期内，供应商不得撤回其响应文件。</w:t>
      </w:r>
    </w:p>
    <w:p>
      <w:pPr>
        <w:keepNext w:val="0"/>
        <w:keepLines w:val="0"/>
        <w:pageBreakBefore w:val="0"/>
        <w:tabs>
          <w:tab w:val="left" w:pos="1305"/>
        </w:tabs>
        <w:kinsoku/>
        <w:wordWrap/>
        <w:overflowPunct/>
        <w:topLinePunct w:val="0"/>
        <w:bidi w:val="0"/>
        <w:adjustRightInd/>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18、响应文件的递交</w:t>
      </w:r>
    </w:p>
    <w:p>
      <w:pPr>
        <w:keepNext w:val="0"/>
        <w:keepLines w:val="0"/>
        <w:pageBreakBefore w:val="0"/>
        <w:tabs>
          <w:tab w:val="left" w:pos="1305"/>
        </w:tabs>
        <w:kinsoku/>
        <w:wordWrap/>
        <w:overflowPunct/>
        <w:topLinePunct w:val="0"/>
        <w:bidi w:val="0"/>
        <w:adjustRightInd/>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18.1响应文件递交起止时间</w:t>
      </w:r>
    </w:p>
    <w:p>
      <w:pPr>
        <w:keepNext w:val="0"/>
        <w:keepLines w:val="0"/>
        <w:pageBreakBefore w:val="0"/>
        <w:tabs>
          <w:tab w:val="left" w:pos="1305"/>
        </w:tabs>
        <w:kinsoku/>
        <w:wordWrap/>
        <w:overflowPunct/>
        <w:topLinePunct w:val="0"/>
        <w:bidi w:val="0"/>
        <w:adjustRightInd/>
        <w:spacing w:line="400" w:lineRule="exact"/>
        <w:ind w:firstLine="422" w:firstLineChars="200"/>
        <w:rPr>
          <w:rFonts w:hint="eastAsia" w:ascii="宋体" w:hAnsi="宋体"/>
          <w:color w:val="auto"/>
          <w:szCs w:val="21"/>
          <w:highlight w:val="none"/>
        </w:rPr>
      </w:pPr>
      <w:r>
        <w:rPr>
          <w:rFonts w:hint="eastAsia" w:ascii="宋体" w:hAnsi="宋体"/>
          <w:b/>
          <w:color w:val="auto"/>
          <w:szCs w:val="21"/>
          <w:highlight w:val="none"/>
        </w:rPr>
        <w:t>响应文件递交起止时间</w:t>
      </w:r>
      <w:r>
        <w:rPr>
          <w:rFonts w:hint="eastAsia" w:ascii="宋体" w:hAnsi="宋体"/>
          <w:color w:val="auto"/>
          <w:szCs w:val="21"/>
          <w:highlight w:val="none"/>
        </w:rPr>
        <w:t>：</w:t>
      </w:r>
      <w:r>
        <w:rPr>
          <w:rFonts w:hint="eastAsia" w:ascii="宋体" w:hAnsi="宋体"/>
          <w:color w:val="auto"/>
          <w:szCs w:val="21"/>
          <w:highlight w:val="none"/>
          <w:lang w:eastAsia="zh-CN"/>
        </w:rPr>
        <w:t>2020年11月18日09时</w:t>
      </w:r>
      <w:r>
        <w:rPr>
          <w:rFonts w:hint="eastAsia" w:ascii="宋体" w:hAnsi="宋体"/>
          <w:color w:val="auto"/>
          <w:szCs w:val="21"/>
          <w:highlight w:val="none"/>
        </w:rPr>
        <w:t>00分至</w:t>
      </w:r>
      <w:r>
        <w:rPr>
          <w:rFonts w:hint="eastAsia" w:ascii="宋体" w:hAnsi="宋体"/>
          <w:color w:val="auto"/>
          <w:szCs w:val="21"/>
          <w:highlight w:val="none"/>
          <w:lang w:eastAsia="zh-CN"/>
        </w:rPr>
        <w:t>09时30分</w:t>
      </w:r>
      <w:r>
        <w:rPr>
          <w:rFonts w:hint="eastAsia" w:ascii="宋体" w:hAnsi="宋体"/>
          <w:color w:val="auto"/>
          <w:szCs w:val="21"/>
          <w:highlight w:val="none"/>
        </w:rPr>
        <w:t>，供应商应按竞争性谈判文件规定的响应文件递交截止时间前递交响应文件。</w:t>
      </w:r>
    </w:p>
    <w:p>
      <w:pPr>
        <w:keepNext w:val="0"/>
        <w:keepLines w:val="0"/>
        <w:pageBreakBefore w:val="0"/>
        <w:tabs>
          <w:tab w:val="left" w:pos="7200"/>
        </w:tabs>
        <w:kinsoku/>
        <w:wordWrap/>
        <w:overflowPunct/>
        <w:topLinePunct w:val="0"/>
        <w:autoSpaceDE/>
        <w:autoSpaceDN/>
        <w:bidi w:val="0"/>
        <w:adjustRightInd/>
        <w:spacing w:line="400" w:lineRule="exact"/>
        <w:ind w:firstLine="420" w:firstLineChars="200"/>
        <w:textAlignment w:val="auto"/>
        <w:rPr>
          <w:rFonts w:hint="eastAsia" w:hAnsi="宋体" w:cs="宋体"/>
          <w:bCs/>
          <w:color w:val="auto"/>
          <w:sz w:val="24"/>
          <w:highlight w:val="none"/>
        </w:rPr>
      </w:pPr>
      <w:r>
        <w:rPr>
          <w:rFonts w:hint="eastAsia" w:ascii="宋体" w:hAnsi="宋体"/>
          <w:color w:val="auto"/>
          <w:szCs w:val="21"/>
          <w:highlight w:val="none"/>
        </w:rPr>
        <w:t>18.2、递交</w:t>
      </w:r>
      <w:r>
        <w:rPr>
          <w:rFonts w:hint="eastAsia"/>
          <w:color w:val="auto"/>
          <w:highlight w:val="none"/>
        </w:rPr>
        <w:t>响应</w:t>
      </w:r>
      <w:r>
        <w:rPr>
          <w:rFonts w:hint="eastAsia" w:ascii="宋体" w:hAnsi="宋体"/>
          <w:color w:val="auto"/>
          <w:szCs w:val="21"/>
          <w:highlight w:val="none"/>
        </w:rPr>
        <w:t>文件的地点：</w:t>
      </w:r>
      <w:r>
        <w:rPr>
          <w:rFonts w:hint="eastAsia" w:ascii="宋体" w:hAnsi="宋体" w:eastAsia="宋体" w:cs="宋体"/>
          <w:b/>
          <w:bCs/>
          <w:i w:val="0"/>
          <w:iCs w:val="0"/>
          <w:color w:val="auto"/>
          <w:sz w:val="21"/>
          <w:szCs w:val="21"/>
          <w:highlight w:val="none"/>
          <w:shd w:val="clear" w:color="auto" w:fill="FFFFFF"/>
        </w:rPr>
        <w:t>携带本人身份证及复印件、委托代理人还需提供授权委托书（以上材料均须加盖投标人公章，不须密封，单独提交）</w:t>
      </w:r>
      <w:r>
        <w:rPr>
          <w:rFonts w:hint="eastAsia" w:ascii="宋体" w:hAnsi="宋体" w:cs="宋体"/>
          <w:b/>
          <w:color w:val="auto"/>
          <w:highlight w:val="none"/>
        </w:rPr>
        <w:t>，</w:t>
      </w:r>
      <w:r>
        <w:rPr>
          <w:rFonts w:hint="eastAsia" w:ascii="宋体" w:hAnsi="宋体" w:cs="宋体"/>
          <w:color w:val="auto"/>
          <w:szCs w:val="21"/>
          <w:highlight w:val="none"/>
        </w:rPr>
        <w:t>将</w:t>
      </w:r>
      <w:r>
        <w:rPr>
          <w:rFonts w:hint="eastAsia" w:ascii="宋体" w:hAnsi="宋体" w:cs="宋体"/>
          <w:color w:val="auto"/>
          <w:szCs w:val="21"/>
          <w:highlight w:val="none"/>
          <w:lang w:eastAsia="zh-CN"/>
        </w:rPr>
        <w:t>竞标</w:t>
      </w:r>
      <w:r>
        <w:rPr>
          <w:rFonts w:hint="eastAsia" w:ascii="宋体" w:hAnsi="宋体" w:cs="宋体"/>
          <w:color w:val="auto"/>
          <w:szCs w:val="21"/>
          <w:highlight w:val="none"/>
        </w:rPr>
        <w:t>文件密封提交至</w:t>
      </w:r>
      <w:r>
        <w:rPr>
          <w:rFonts w:hint="eastAsia" w:ascii="宋体" w:hAnsi="宋体" w:cs="宋体"/>
          <w:color w:val="auto"/>
          <w:szCs w:val="21"/>
          <w:highlight w:val="none"/>
          <w:u w:val="single"/>
        </w:rPr>
        <w:t>桂林市公共资源交易中心</w:t>
      </w:r>
      <w:r>
        <w:rPr>
          <w:rFonts w:hint="eastAsia" w:ascii="宋体" w:hAnsi="宋体" w:cs="宋体"/>
          <w:color w:val="auto"/>
          <w:szCs w:val="21"/>
          <w:highlight w:val="none"/>
          <w:u w:val="single"/>
          <w:lang w:val="en-US" w:eastAsia="zh-CN"/>
        </w:rPr>
        <w:t>12号开标室</w:t>
      </w:r>
      <w:r>
        <w:rPr>
          <w:rFonts w:hint="eastAsia" w:ascii="宋体" w:hAnsi="宋体" w:cs="宋体"/>
          <w:color w:val="auto"/>
          <w:szCs w:val="21"/>
          <w:highlight w:val="none"/>
          <w:u w:val="single"/>
        </w:rPr>
        <w:t>（广西桂林市临桂区西城中路69号创业大厦西辅楼4楼北区）</w:t>
      </w:r>
      <w:r>
        <w:rPr>
          <w:rFonts w:hint="eastAsia" w:ascii="宋体" w:hAnsi="宋体" w:cs="宋体"/>
          <w:color w:val="auto"/>
          <w:highlight w:val="none"/>
        </w:rPr>
        <w:t>，未携带以上相关材料递交的或逾期送达的或未按照</w:t>
      </w:r>
      <w:r>
        <w:rPr>
          <w:rFonts w:hint="eastAsia" w:ascii="宋体" w:hAnsi="宋体" w:cs="宋体"/>
          <w:color w:val="auto"/>
          <w:highlight w:val="none"/>
          <w:lang w:eastAsia="zh-CN"/>
        </w:rPr>
        <w:t>谈判</w:t>
      </w:r>
      <w:r>
        <w:rPr>
          <w:rFonts w:hint="eastAsia" w:ascii="宋体" w:hAnsi="宋体" w:cs="宋体"/>
          <w:color w:val="auto"/>
          <w:highlight w:val="none"/>
        </w:rPr>
        <w:t>文件要求密封的</w:t>
      </w:r>
      <w:r>
        <w:rPr>
          <w:rFonts w:hint="eastAsia" w:ascii="宋体" w:hAnsi="宋体" w:cs="宋体"/>
          <w:color w:val="auto"/>
          <w:szCs w:val="21"/>
          <w:highlight w:val="none"/>
          <w:lang w:eastAsia="zh-CN"/>
        </w:rPr>
        <w:t>竞标</w:t>
      </w:r>
      <w:r>
        <w:rPr>
          <w:rFonts w:hint="eastAsia" w:ascii="宋体" w:hAnsi="宋体" w:cs="宋体"/>
          <w:color w:val="auto"/>
          <w:highlight w:val="none"/>
        </w:rPr>
        <w:t>文件将予以拒收。</w:t>
      </w:r>
    </w:p>
    <w:p>
      <w:pPr>
        <w:keepNext w:val="0"/>
        <w:keepLines w:val="0"/>
        <w:pageBreakBefore w:val="0"/>
        <w:kinsoku/>
        <w:wordWrap/>
        <w:overflowPunct/>
        <w:topLinePunct w:val="0"/>
        <w:bidi w:val="0"/>
        <w:adjustRightInd/>
        <w:spacing w:line="400" w:lineRule="exact"/>
        <w:ind w:firstLine="437"/>
        <w:rPr>
          <w:rFonts w:ascii="宋体" w:hAnsi="宋体"/>
          <w:color w:val="auto"/>
          <w:szCs w:val="21"/>
          <w:highlight w:val="none"/>
        </w:rPr>
      </w:pPr>
      <w:r>
        <w:rPr>
          <w:rFonts w:hint="eastAsia" w:ascii="宋体" w:hAnsi="宋体"/>
          <w:color w:val="auto"/>
          <w:szCs w:val="21"/>
          <w:highlight w:val="none"/>
        </w:rPr>
        <w:t>18.3、除供应商须知前附表另有规定外，供应商所递交的</w:t>
      </w:r>
      <w:r>
        <w:rPr>
          <w:rFonts w:hint="eastAsia"/>
          <w:color w:val="auto"/>
          <w:highlight w:val="none"/>
        </w:rPr>
        <w:t>响应</w:t>
      </w:r>
      <w:r>
        <w:rPr>
          <w:rFonts w:hint="eastAsia" w:ascii="宋体" w:hAnsi="宋体"/>
          <w:color w:val="auto"/>
          <w:szCs w:val="21"/>
          <w:highlight w:val="none"/>
        </w:rPr>
        <w:t>文件不予退还。</w:t>
      </w:r>
    </w:p>
    <w:p>
      <w:pPr>
        <w:keepNext w:val="0"/>
        <w:keepLines w:val="0"/>
        <w:pageBreakBefore w:val="0"/>
        <w:kinsoku/>
        <w:wordWrap/>
        <w:overflowPunct/>
        <w:topLinePunct w:val="0"/>
        <w:bidi w:val="0"/>
        <w:adjustRightInd/>
        <w:spacing w:line="400" w:lineRule="exact"/>
        <w:ind w:firstLine="437"/>
        <w:rPr>
          <w:rFonts w:ascii="宋体" w:hAnsi="宋体"/>
          <w:b/>
          <w:color w:val="auto"/>
          <w:sz w:val="28"/>
          <w:szCs w:val="28"/>
          <w:highlight w:val="none"/>
        </w:rPr>
      </w:pPr>
      <w:r>
        <w:rPr>
          <w:rFonts w:hint="eastAsia" w:ascii="宋体" w:hAnsi="宋体"/>
          <w:color w:val="auto"/>
          <w:szCs w:val="21"/>
          <w:highlight w:val="none"/>
        </w:rPr>
        <w:t>18.4、逾期送达的或者未送达指定地点的</w:t>
      </w:r>
      <w:r>
        <w:rPr>
          <w:rFonts w:hint="eastAsia"/>
          <w:color w:val="auto"/>
          <w:highlight w:val="none"/>
        </w:rPr>
        <w:t>响应</w:t>
      </w:r>
      <w:r>
        <w:rPr>
          <w:rFonts w:hint="eastAsia" w:ascii="宋体" w:hAnsi="宋体"/>
          <w:color w:val="auto"/>
          <w:szCs w:val="21"/>
          <w:highlight w:val="none"/>
        </w:rPr>
        <w:t>文件，采购代理机构不予受理。</w:t>
      </w:r>
    </w:p>
    <w:p>
      <w:pPr>
        <w:keepNext w:val="0"/>
        <w:keepLines w:val="0"/>
        <w:pageBreakBefore w:val="0"/>
        <w:tabs>
          <w:tab w:val="left" w:pos="1305"/>
        </w:tabs>
        <w:kinsoku/>
        <w:wordWrap/>
        <w:overflowPunct/>
        <w:topLinePunct w:val="0"/>
        <w:bidi w:val="0"/>
        <w:adjustRightInd/>
        <w:spacing w:line="400" w:lineRule="exact"/>
        <w:ind w:firstLine="562" w:firstLineChars="200"/>
        <w:jc w:val="center"/>
        <w:rPr>
          <w:rFonts w:hint="eastAsia" w:ascii="宋体" w:hAnsi="宋体"/>
          <w:b/>
          <w:color w:val="auto"/>
          <w:sz w:val="28"/>
          <w:szCs w:val="28"/>
          <w:highlight w:val="none"/>
        </w:rPr>
      </w:pPr>
    </w:p>
    <w:p>
      <w:pPr>
        <w:keepNext w:val="0"/>
        <w:keepLines w:val="0"/>
        <w:pageBreakBefore w:val="0"/>
        <w:tabs>
          <w:tab w:val="left" w:pos="1305"/>
        </w:tabs>
        <w:kinsoku/>
        <w:wordWrap/>
        <w:overflowPunct/>
        <w:topLinePunct w:val="0"/>
        <w:bidi w:val="0"/>
        <w:adjustRightInd/>
        <w:spacing w:line="400" w:lineRule="exact"/>
        <w:ind w:firstLine="562" w:firstLineChars="200"/>
        <w:jc w:val="center"/>
        <w:rPr>
          <w:rFonts w:ascii="宋体" w:hAnsi="宋体"/>
          <w:b/>
          <w:color w:val="auto"/>
          <w:sz w:val="28"/>
          <w:szCs w:val="28"/>
          <w:highlight w:val="none"/>
        </w:rPr>
      </w:pPr>
      <w:r>
        <w:rPr>
          <w:rFonts w:hint="eastAsia" w:ascii="宋体" w:hAnsi="宋体"/>
          <w:b/>
          <w:color w:val="auto"/>
          <w:sz w:val="28"/>
          <w:szCs w:val="28"/>
          <w:highlight w:val="none"/>
        </w:rPr>
        <w:t>四、竞争性谈判（简称谈判）与评审</w:t>
      </w:r>
    </w:p>
    <w:p>
      <w:pPr>
        <w:keepNext w:val="0"/>
        <w:keepLines w:val="0"/>
        <w:pageBreakBefore w:val="0"/>
        <w:tabs>
          <w:tab w:val="center" w:pos="4411"/>
          <w:tab w:val="left" w:pos="5475"/>
        </w:tabs>
        <w:kinsoku/>
        <w:wordWrap/>
        <w:overflowPunct/>
        <w:topLinePunct w:val="0"/>
        <w:bidi w:val="0"/>
        <w:adjustRightInd/>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19、谈判小组组成</w:t>
      </w:r>
    </w:p>
    <w:p>
      <w:pPr>
        <w:keepNext w:val="0"/>
        <w:keepLines w:val="0"/>
        <w:pageBreakBefore w:val="0"/>
        <w:kinsoku/>
        <w:wordWrap/>
        <w:overflowPunct/>
        <w:topLinePunct w:val="0"/>
        <w:bidi w:val="0"/>
        <w:adjustRightInd/>
        <w:spacing w:line="400" w:lineRule="exact"/>
        <w:ind w:firstLine="435"/>
        <w:rPr>
          <w:rFonts w:hint="eastAsia" w:ascii="宋体" w:hAnsi="宋体" w:cs="宋体"/>
          <w:color w:val="auto"/>
          <w:sz w:val="24"/>
          <w:highlight w:val="none"/>
        </w:rPr>
      </w:pPr>
      <w:r>
        <w:rPr>
          <w:rFonts w:hint="eastAsia" w:ascii="宋体" w:hAnsi="宋体"/>
          <w:color w:val="auto"/>
          <w:szCs w:val="21"/>
          <w:highlight w:val="none"/>
        </w:rPr>
        <w:t>19.1、谈判及评审工作由采购代理机构负责组织，具体谈判、评审工作由依法组建的谈判小组负责，谈判小组由采购人代表和有关方面的专家组成。谈判小组的构成：</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3</w:t>
      </w:r>
      <w:r>
        <w:rPr>
          <w:rFonts w:hint="eastAsia" w:ascii="宋体" w:hAnsi="宋体"/>
          <w:color w:val="auto"/>
          <w:szCs w:val="21"/>
          <w:highlight w:val="none"/>
          <w:u w:val="single"/>
        </w:rPr>
        <w:t xml:space="preserve"> </w:t>
      </w:r>
      <w:r>
        <w:rPr>
          <w:rFonts w:hint="eastAsia" w:ascii="宋体" w:hAnsi="宋体"/>
          <w:color w:val="auto"/>
          <w:szCs w:val="21"/>
          <w:highlight w:val="none"/>
        </w:rPr>
        <w:t>人，其中采购人代表</w:t>
      </w:r>
      <w:r>
        <w:rPr>
          <w:rFonts w:hint="eastAsia" w:ascii="宋体" w:hAnsi="宋体"/>
          <w:color w:val="auto"/>
          <w:szCs w:val="21"/>
          <w:highlight w:val="none"/>
          <w:u w:val="single"/>
        </w:rPr>
        <w:t xml:space="preserve"> 1  </w:t>
      </w:r>
      <w:r>
        <w:rPr>
          <w:rFonts w:hint="eastAsia" w:ascii="宋体" w:hAnsi="宋体"/>
          <w:color w:val="auto"/>
          <w:szCs w:val="21"/>
          <w:highlight w:val="none"/>
        </w:rPr>
        <w:t xml:space="preserve"> 人， 专家</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2</w:t>
      </w:r>
      <w:r>
        <w:rPr>
          <w:rFonts w:hint="eastAsia" w:ascii="宋体" w:hAnsi="宋体"/>
          <w:color w:val="auto"/>
          <w:szCs w:val="21"/>
          <w:highlight w:val="none"/>
        </w:rPr>
        <w:t>人。</w:t>
      </w:r>
    </w:p>
    <w:p>
      <w:pPr>
        <w:keepNext w:val="0"/>
        <w:keepLines w:val="0"/>
        <w:pageBreakBefore w:val="0"/>
        <w:kinsoku/>
        <w:wordWrap/>
        <w:overflowPunct/>
        <w:topLinePunct w:val="0"/>
        <w:bidi w:val="0"/>
        <w:adjustRightInd/>
        <w:spacing w:line="400" w:lineRule="exact"/>
        <w:ind w:firstLine="435"/>
        <w:rPr>
          <w:rFonts w:ascii="宋体" w:hAnsi="宋体"/>
          <w:b/>
          <w:color w:val="auto"/>
          <w:szCs w:val="21"/>
          <w:highlight w:val="none"/>
        </w:rPr>
      </w:pPr>
      <w:r>
        <w:rPr>
          <w:rFonts w:hint="eastAsia" w:ascii="宋体" w:hAnsi="宋体"/>
          <w:color w:val="auto"/>
          <w:szCs w:val="21"/>
          <w:highlight w:val="none"/>
        </w:rPr>
        <w:t>19.2、</w:t>
      </w:r>
      <w:r>
        <w:rPr>
          <w:rFonts w:hint="eastAsia" w:ascii="宋体" w:hAnsi="宋体"/>
          <w:b/>
          <w:color w:val="auto"/>
          <w:szCs w:val="21"/>
          <w:highlight w:val="none"/>
        </w:rPr>
        <w:t>谈判时间、地点、人员：</w:t>
      </w:r>
    </w:p>
    <w:p>
      <w:pPr>
        <w:keepNext w:val="0"/>
        <w:keepLines w:val="0"/>
        <w:pageBreakBefore w:val="0"/>
        <w:kinsoku/>
        <w:wordWrap/>
        <w:overflowPunct/>
        <w:topLinePunct w:val="0"/>
        <w:bidi w:val="0"/>
        <w:adjustRightInd/>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19.2.1谈判时间：响应文件递交截止时间后。</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19.2.2谈判地点：桂林市公共资源交易中心评标室（临桂新区西城中路69号西辅楼四楼）。</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19.2.3谈判参加人员：供应商法定代表人、负责人、自然人或相应的委托代理人必须持有效身份证原件参加谈判。请供应商按时到达指定地点等候当面谈判。</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19.2.4响应文件递交截止时间后，由谈判小组在评标室内开启响应文件。</w:t>
      </w:r>
    </w:p>
    <w:p>
      <w:pPr>
        <w:keepNext w:val="0"/>
        <w:keepLines w:val="0"/>
        <w:pageBreakBefore w:val="0"/>
        <w:tabs>
          <w:tab w:val="left" w:pos="1140"/>
        </w:tabs>
        <w:kinsoku/>
        <w:wordWrap/>
        <w:overflowPunct/>
        <w:topLinePunct w:val="0"/>
        <w:bidi w:val="0"/>
        <w:adjustRightInd/>
        <w:spacing w:line="400" w:lineRule="exact"/>
        <w:ind w:left="420" w:leftChars="172" w:hanging="59" w:hangingChars="28"/>
        <w:rPr>
          <w:rFonts w:ascii="宋体" w:hAnsi="宋体"/>
          <w:b/>
          <w:color w:val="auto"/>
          <w:szCs w:val="21"/>
          <w:highlight w:val="none"/>
        </w:rPr>
      </w:pPr>
      <w:r>
        <w:rPr>
          <w:rFonts w:hint="eastAsia" w:ascii="宋体" w:hAnsi="宋体"/>
          <w:b/>
          <w:color w:val="auto"/>
          <w:szCs w:val="21"/>
          <w:highlight w:val="none"/>
        </w:rPr>
        <w:t>20、评审原则和评审方法</w:t>
      </w:r>
    </w:p>
    <w:p>
      <w:pPr>
        <w:keepNext w:val="0"/>
        <w:keepLines w:val="0"/>
        <w:pageBreakBefore w:val="0"/>
        <w:tabs>
          <w:tab w:val="left" w:pos="1140"/>
        </w:tabs>
        <w:kinsoku/>
        <w:wordWrap/>
        <w:overflowPunct/>
        <w:topLinePunct w:val="0"/>
        <w:bidi w:val="0"/>
        <w:adjustRightInd/>
        <w:spacing w:line="400" w:lineRule="exact"/>
        <w:ind w:firstLine="359" w:firstLineChars="171"/>
        <w:rPr>
          <w:rFonts w:ascii="宋体" w:hAnsi="宋体"/>
          <w:color w:val="auto"/>
          <w:szCs w:val="21"/>
          <w:highlight w:val="none"/>
        </w:rPr>
      </w:pPr>
      <w:r>
        <w:rPr>
          <w:rFonts w:hint="eastAsia" w:ascii="宋体" w:hAnsi="宋体"/>
          <w:color w:val="auto"/>
          <w:szCs w:val="20"/>
          <w:highlight w:val="none"/>
        </w:rPr>
        <w:t>20.1、</w:t>
      </w:r>
      <w:r>
        <w:rPr>
          <w:rFonts w:hint="eastAsia" w:ascii="宋体" w:hAnsi="宋体"/>
          <w:color w:val="auto"/>
          <w:szCs w:val="21"/>
          <w:highlight w:val="none"/>
        </w:rPr>
        <w:t>谈判小组必须坚持公平、公正、科学和择优的原则。</w:t>
      </w:r>
    </w:p>
    <w:p>
      <w:pPr>
        <w:keepNext w:val="0"/>
        <w:keepLines w:val="0"/>
        <w:pageBreakBefore w:val="0"/>
        <w:tabs>
          <w:tab w:val="left" w:pos="1140"/>
        </w:tabs>
        <w:kinsoku/>
        <w:wordWrap/>
        <w:overflowPunct/>
        <w:topLinePunct w:val="0"/>
        <w:bidi w:val="0"/>
        <w:adjustRightInd/>
        <w:spacing w:line="400" w:lineRule="exact"/>
        <w:ind w:firstLine="359" w:firstLineChars="171"/>
        <w:rPr>
          <w:rFonts w:ascii="宋体" w:hAnsi="宋体"/>
          <w:color w:val="auto"/>
          <w:szCs w:val="21"/>
          <w:highlight w:val="none"/>
        </w:rPr>
      </w:pPr>
      <w:r>
        <w:rPr>
          <w:rFonts w:hint="eastAsia" w:ascii="宋体" w:hAnsi="宋体"/>
          <w:color w:val="auto"/>
          <w:szCs w:val="20"/>
          <w:highlight w:val="none"/>
        </w:rPr>
        <w:t>20.2、</w:t>
      </w:r>
      <w:r>
        <w:rPr>
          <w:rFonts w:hint="eastAsia" w:ascii="宋体" w:hAnsi="宋体"/>
          <w:color w:val="auto"/>
          <w:szCs w:val="21"/>
          <w:highlight w:val="none"/>
        </w:rPr>
        <w:t>评审方法：具体详见第四章评审方法。</w:t>
      </w:r>
    </w:p>
    <w:p>
      <w:pPr>
        <w:pStyle w:val="10"/>
        <w:keepNext w:val="0"/>
        <w:keepLines w:val="0"/>
        <w:pageBreakBefore w:val="0"/>
        <w:kinsoku/>
        <w:wordWrap/>
        <w:overflowPunct/>
        <w:topLinePunct w:val="0"/>
        <w:bidi w:val="0"/>
        <w:adjustRightInd/>
        <w:spacing w:line="400" w:lineRule="exact"/>
        <w:ind w:firstLine="359" w:firstLineChars="171"/>
        <w:rPr>
          <w:rFonts w:hAnsi="宋体"/>
          <w:color w:val="auto"/>
          <w:szCs w:val="21"/>
          <w:highlight w:val="none"/>
        </w:rPr>
      </w:pPr>
      <w:r>
        <w:rPr>
          <w:rFonts w:hint="eastAsia" w:hAnsi="宋体"/>
          <w:color w:val="auto"/>
          <w:szCs w:val="21"/>
          <w:highlight w:val="none"/>
        </w:rPr>
        <w:t>20.3、谈判小组应按谈判文件进行评审，不得擅自更改评审方法。</w:t>
      </w:r>
    </w:p>
    <w:p>
      <w:pPr>
        <w:pStyle w:val="10"/>
        <w:keepNext w:val="0"/>
        <w:keepLines w:val="0"/>
        <w:pageBreakBefore w:val="0"/>
        <w:kinsoku/>
        <w:wordWrap/>
        <w:overflowPunct/>
        <w:topLinePunct w:val="0"/>
        <w:bidi w:val="0"/>
        <w:adjustRightInd/>
        <w:spacing w:line="400" w:lineRule="exact"/>
        <w:ind w:firstLine="359" w:firstLineChars="171"/>
        <w:rPr>
          <w:rFonts w:hAnsi="宋体"/>
          <w:color w:val="auto"/>
          <w:szCs w:val="21"/>
          <w:highlight w:val="none"/>
        </w:rPr>
      </w:pPr>
      <w:r>
        <w:rPr>
          <w:rFonts w:hint="eastAsia" w:hAnsi="宋体"/>
          <w:color w:val="auto"/>
          <w:szCs w:val="21"/>
          <w:highlight w:val="none"/>
        </w:rPr>
        <w:t>20.4、在评审过程中，谈判小组任何人不得对某个供应商发表任何倾向性意见，不得向其他谈判小组成员明示或者暗示自己的评审意见。</w:t>
      </w:r>
    </w:p>
    <w:p>
      <w:pPr>
        <w:keepNext w:val="0"/>
        <w:keepLines w:val="0"/>
        <w:pageBreakBefore w:val="0"/>
        <w:tabs>
          <w:tab w:val="left" w:pos="1140"/>
        </w:tabs>
        <w:kinsoku/>
        <w:wordWrap/>
        <w:overflowPunct/>
        <w:topLinePunct w:val="0"/>
        <w:bidi w:val="0"/>
        <w:adjustRightInd/>
        <w:spacing w:line="400" w:lineRule="exact"/>
        <w:ind w:firstLine="359" w:firstLineChars="171"/>
        <w:rPr>
          <w:rFonts w:ascii="宋体" w:hAnsi="宋体"/>
          <w:color w:val="auto"/>
          <w:szCs w:val="21"/>
          <w:highlight w:val="none"/>
        </w:rPr>
      </w:pPr>
      <w:r>
        <w:rPr>
          <w:rFonts w:hint="eastAsia" w:ascii="宋体" w:hAnsi="宋体"/>
          <w:color w:val="auto"/>
          <w:szCs w:val="21"/>
          <w:highlight w:val="none"/>
        </w:rPr>
        <w:t>20.5、谈判小组成员对需要共同认定的事项存在争议的，按照少数服从多数的原则作出结论。持不　　　　　　　　　　　　　　　　　　　　　　　　　　　　　　　　　　　　　　　　　　　　　　　　　　　　　　　　　　　　　　　　　　　　　　同意见的谈判小组成员应当在评审报告上签署不同意见并说明理由，否则视为同意。</w:t>
      </w:r>
    </w:p>
    <w:p>
      <w:pPr>
        <w:keepNext w:val="0"/>
        <w:keepLines w:val="0"/>
        <w:pageBreakBefore w:val="0"/>
        <w:tabs>
          <w:tab w:val="left" w:pos="1140"/>
        </w:tabs>
        <w:kinsoku/>
        <w:wordWrap/>
        <w:overflowPunct/>
        <w:topLinePunct w:val="0"/>
        <w:bidi w:val="0"/>
        <w:adjustRightInd/>
        <w:spacing w:line="400" w:lineRule="exact"/>
        <w:ind w:left="420" w:leftChars="172" w:hanging="59" w:hangingChars="28"/>
        <w:rPr>
          <w:rFonts w:ascii="宋体" w:hAnsi="宋体"/>
          <w:b/>
          <w:color w:val="auto"/>
          <w:szCs w:val="21"/>
          <w:highlight w:val="none"/>
        </w:rPr>
      </w:pPr>
      <w:r>
        <w:rPr>
          <w:rFonts w:hint="eastAsia" w:ascii="宋体" w:hAnsi="宋体"/>
          <w:b/>
          <w:color w:val="auto"/>
          <w:szCs w:val="21"/>
          <w:highlight w:val="none"/>
        </w:rPr>
        <w:t>21、评审程序及谈判要求</w:t>
      </w:r>
    </w:p>
    <w:p>
      <w:pPr>
        <w:pStyle w:val="10"/>
        <w:keepNext w:val="0"/>
        <w:keepLines w:val="0"/>
        <w:pageBreakBefore w:val="0"/>
        <w:kinsoku/>
        <w:wordWrap/>
        <w:overflowPunct/>
        <w:topLinePunct w:val="0"/>
        <w:bidi w:val="0"/>
        <w:adjustRightInd/>
        <w:spacing w:line="400" w:lineRule="exact"/>
        <w:ind w:firstLine="315" w:firstLineChars="150"/>
        <w:rPr>
          <w:rFonts w:hAnsi="宋体"/>
          <w:color w:val="auto"/>
          <w:szCs w:val="21"/>
          <w:highlight w:val="none"/>
        </w:rPr>
      </w:pPr>
      <w:r>
        <w:rPr>
          <w:rFonts w:hint="eastAsia" w:hAnsi="宋体"/>
          <w:color w:val="auto"/>
          <w:szCs w:val="21"/>
          <w:highlight w:val="none"/>
        </w:rPr>
        <w:t>21.1、采购代理机构核实谈判小组成员身份，告知回避要求，宣布评审工作纪律和程序，统一保管通讯工具或相关电子设备，推选谈判小组组长。</w:t>
      </w:r>
    </w:p>
    <w:p>
      <w:pPr>
        <w:keepNext w:val="0"/>
        <w:keepLines w:val="0"/>
        <w:pageBreakBefore w:val="0"/>
        <w:kinsoku/>
        <w:wordWrap/>
        <w:overflowPunct/>
        <w:topLinePunct w:val="0"/>
        <w:bidi w:val="0"/>
        <w:adjustRightInd/>
        <w:spacing w:line="400" w:lineRule="exact"/>
        <w:ind w:firstLine="315" w:firstLineChars="150"/>
        <w:rPr>
          <w:rFonts w:ascii="宋体" w:hAnsi="宋体"/>
          <w:color w:val="auto"/>
          <w:kern w:val="0"/>
          <w:szCs w:val="21"/>
          <w:highlight w:val="none"/>
        </w:rPr>
      </w:pPr>
      <w:r>
        <w:rPr>
          <w:rFonts w:hint="eastAsia" w:ascii="宋体" w:hAnsi="宋体"/>
          <w:color w:val="auto"/>
          <w:szCs w:val="21"/>
          <w:highlight w:val="none"/>
        </w:rPr>
        <w:t>21.2、</w:t>
      </w:r>
      <w:r>
        <w:rPr>
          <w:rFonts w:ascii="宋体" w:hAnsi="宋体"/>
          <w:color w:val="auto"/>
          <w:szCs w:val="21"/>
          <w:highlight w:val="none"/>
        </w:rPr>
        <w:t>谈判小组</w:t>
      </w:r>
      <w:r>
        <w:rPr>
          <w:rFonts w:hint="eastAsia" w:ascii="宋体" w:hAnsi="宋体"/>
          <w:color w:val="auto"/>
          <w:szCs w:val="21"/>
          <w:highlight w:val="none"/>
        </w:rPr>
        <w:t>应当对发布公告的竞争性谈判文件（简称谈判文件）进行确认，</w:t>
      </w:r>
      <w:r>
        <w:rPr>
          <w:rFonts w:ascii="宋体" w:hAnsi="宋体"/>
          <w:color w:val="auto"/>
          <w:kern w:val="0"/>
          <w:szCs w:val="21"/>
          <w:highlight w:val="none"/>
        </w:rPr>
        <w:t>审查供应商的响应文件并作出评价；要求供应商解释或者澄清其响应文件；编写评审报告；告知采购人、采购代理机构在评审过程中发现的供应商的违法违规行为。</w:t>
      </w:r>
      <w:r>
        <w:rPr>
          <w:rFonts w:hint="eastAsia" w:ascii="宋体" w:hAnsi="宋体"/>
          <w:color w:val="auto"/>
          <w:kern w:val="0"/>
          <w:szCs w:val="21"/>
          <w:highlight w:val="none"/>
        </w:rPr>
        <w:t xml:space="preserve"> </w:t>
      </w:r>
    </w:p>
    <w:p>
      <w:pPr>
        <w:keepNext w:val="0"/>
        <w:keepLines w:val="0"/>
        <w:pageBreakBefore w:val="0"/>
        <w:kinsoku/>
        <w:wordWrap/>
        <w:overflowPunct/>
        <w:topLinePunct w:val="0"/>
        <w:bidi w:val="0"/>
        <w:adjustRightInd/>
        <w:spacing w:line="400" w:lineRule="exact"/>
        <w:ind w:firstLine="315" w:firstLineChars="150"/>
        <w:rPr>
          <w:rFonts w:hint="eastAsia" w:ascii="宋体" w:hAnsi="宋体"/>
          <w:color w:val="auto"/>
          <w:szCs w:val="21"/>
          <w:highlight w:val="none"/>
        </w:rPr>
      </w:pPr>
      <w:r>
        <w:rPr>
          <w:rFonts w:hint="eastAsia" w:ascii="宋体" w:hAnsi="宋体"/>
          <w:color w:val="auto"/>
          <w:kern w:val="0"/>
          <w:szCs w:val="21"/>
          <w:highlight w:val="none"/>
        </w:rPr>
        <w:t>21.3、</w:t>
      </w:r>
      <w:r>
        <w:rPr>
          <w:rFonts w:ascii="宋体" w:hAnsi="宋体"/>
          <w:color w:val="auto"/>
          <w:kern w:val="0"/>
          <w:szCs w:val="21"/>
          <w:highlight w:val="none"/>
        </w:rPr>
        <w:t>谈判小组</w:t>
      </w:r>
      <w:r>
        <w:rPr>
          <w:rFonts w:hint="eastAsia" w:ascii="宋体" w:hAnsi="宋体"/>
          <w:color w:val="auto"/>
          <w:szCs w:val="21"/>
          <w:highlight w:val="none"/>
        </w:rPr>
        <w:t>依据法律法规和竞争性谈判文件的规定，首先对响应文件中的资格证明等进行资格性审查，以确定供应商是否具备本项目供应商资格；再对通过资格性审查的供应商响应文件的有效性、完整性和对谈判文件的响应程度进行符合性审查，以确定是否对谈判文件的实质性要求做出响应。</w:t>
      </w:r>
    </w:p>
    <w:p>
      <w:pPr>
        <w:pStyle w:val="10"/>
        <w:keepNext w:val="0"/>
        <w:keepLines w:val="0"/>
        <w:pageBreakBefore w:val="0"/>
        <w:kinsoku/>
        <w:wordWrap/>
        <w:overflowPunct/>
        <w:topLinePunct w:val="0"/>
        <w:bidi w:val="0"/>
        <w:adjustRightInd/>
        <w:spacing w:line="400" w:lineRule="exact"/>
        <w:ind w:firstLine="420" w:firstLineChars="200"/>
        <w:rPr>
          <w:rFonts w:hint="eastAsia" w:hAnsi="宋体"/>
          <w:color w:val="auto"/>
          <w:szCs w:val="21"/>
          <w:highlight w:val="none"/>
        </w:rPr>
      </w:pPr>
      <w:r>
        <w:rPr>
          <w:rFonts w:hint="eastAsia" w:hAnsi="宋体"/>
          <w:color w:val="auto"/>
          <w:kern w:val="0"/>
          <w:szCs w:val="21"/>
          <w:highlight w:val="none"/>
        </w:rPr>
        <w:t>21.4</w:t>
      </w:r>
      <w:r>
        <w:rPr>
          <w:rFonts w:hint="eastAsia" w:hAnsi="宋体"/>
          <w:color w:val="auto"/>
          <w:szCs w:val="21"/>
          <w:highlight w:val="none"/>
        </w:rPr>
        <w:t>在进行资格性审查时，谈判小组将进入《国家企业信用信息公示系统》对企业股东及出资等信息进行查询，对存在《中华人民共和国政府采购法实施条例》第十八条第一款情形的，其文件将被视为无效文件。</w:t>
      </w:r>
    </w:p>
    <w:p>
      <w:pPr>
        <w:keepNext w:val="0"/>
        <w:keepLines w:val="0"/>
        <w:pageBreakBefore w:val="0"/>
        <w:kinsoku/>
        <w:wordWrap/>
        <w:overflowPunct/>
        <w:topLinePunct w:val="0"/>
        <w:bidi w:val="0"/>
        <w:adjustRightInd/>
        <w:spacing w:line="400" w:lineRule="exact"/>
        <w:ind w:firstLine="315" w:firstLineChars="150"/>
        <w:rPr>
          <w:rFonts w:hint="eastAsia" w:ascii="宋体" w:hAnsi="宋体"/>
          <w:color w:val="auto"/>
          <w:szCs w:val="21"/>
          <w:highlight w:val="none"/>
        </w:rPr>
      </w:pPr>
      <w:r>
        <w:rPr>
          <w:rFonts w:hint="eastAsia" w:ascii="宋体" w:hAnsi="宋体"/>
          <w:color w:val="auto"/>
          <w:szCs w:val="21"/>
          <w:highlight w:val="none"/>
        </w:rPr>
        <w:t>21.4.1查询渠道：《国家企业信用信息公示系统》（网址：</w:t>
      </w:r>
      <w:r>
        <w:rPr>
          <w:rFonts w:hint="eastAsia" w:ascii="宋体" w:hAnsi="宋体"/>
          <w:color w:val="auto"/>
          <w:szCs w:val="21"/>
          <w:highlight w:val="none"/>
        </w:rPr>
        <w:fldChar w:fldCharType="begin"/>
      </w:r>
      <w:r>
        <w:rPr>
          <w:rFonts w:hint="eastAsia" w:ascii="宋体" w:hAnsi="宋体"/>
          <w:color w:val="auto"/>
          <w:szCs w:val="21"/>
          <w:highlight w:val="none"/>
        </w:rPr>
        <w:instrText xml:space="preserve"> HYPERLINK "http://www.gsxt.gov.cn/index.html" </w:instrText>
      </w:r>
      <w:r>
        <w:rPr>
          <w:rFonts w:hint="eastAsia" w:ascii="宋体" w:hAnsi="宋体"/>
          <w:color w:val="auto"/>
          <w:szCs w:val="21"/>
          <w:highlight w:val="none"/>
        </w:rPr>
        <w:fldChar w:fldCharType="separate"/>
      </w:r>
      <w:r>
        <w:rPr>
          <w:rFonts w:hint="eastAsia" w:ascii="宋体" w:hAnsi="宋体"/>
          <w:color w:val="auto"/>
          <w:szCs w:val="21"/>
          <w:highlight w:val="none"/>
        </w:rPr>
        <w:t>http://www.gsxt.gov.cn/index.html</w:t>
      </w:r>
      <w:r>
        <w:rPr>
          <w:rFonts w:hint="eastAsia" w:ascii="宋体" w:hAnsi="宋体"/>
          <w:color w:val="auto"/>
          <w:szCs w:val="21"/>
          <w:highlight w:val="none"/>
        </w:rPr>
        <w:fldChar w:fldCharType="end"/>
      </w:r>
      <w:r>
        <w:rPr>
          <w:rFonts w:hint="eastAsia" w:ascii="宋体" w:hAnsi="宋体"/>
          <w:color w:val="auto"/>
          <w:szCs w:val="21"/>
          <w:highlight w:val="none"/>
        </w:rPr>
        <w:t>）</w:t>
      </w:r>
    </w:p>
    <w:p>
      <w:pPr>
        <w:keepNext w:val="0"/>
        <w:keepLines w:val="0"/>
        <w:pageBreakBefore w:val="0"/>
        <w:kinsoku/>
        <w:wordWrap/>
        <w:overflowPunct/>
        <w:topLinePunct w:val="0"/>
        <w:bidi w:val="0"/>
        <w:adjustRightInd/>
        <w:spacing w:line="400" w:lineRule="exact"/>
        <w:ind w:firstLine="315" w:firstLineChars="150"/>
        <w:rPr>
          <w:rFonts w:hint="eastAsia" w:ascii="宋体" w:hAnsi="宋体"/>
          <w:color w:val="auto"/>
          <w:szCs w:val="21"/>
          <w:highlight w:val="none"/>
        </w:rPr>
      </w:pPr>
      <w:r>
        <w:rPr>
          <w:rFonts w:hint="eastAsia" w:ascii="宋体" w:hAnsi="宋体"/>
          <w:color w:val="auto"/>
          <w:szCs w:val="21"/>
          <w:highlight w:val="none"/>
        </w:rPr>
        <w:t>21.4.2审查流程：</w:t>
      </w:r>
    </w:p>
    <w:p>
      <w:pPr>
        <w:keepNext w:val="0"/>
        <w:keepLines w:val="0"/>
        <w:pageBreakBefore w:val="0"/>
        <w:kinsoku/>
        <w:wordWrap/>
        <w:overflowPunct/>
        <w:topLinePunct w:val="0"/>
        <w:bidi w:val="0"/>
        <w:adjustRightInd/>
        <w:spacing w:line="400" w:lineRule="exact"/>
        <w:ind w:firstLine="315" w:firstLineChars="150"/>
        <w:rPr>
          <w:rFonts w:hint="eastAsia" w:ascii="宋体" w:hAnsi="宋体"/>
          <w:color w:val="auto"/>
          <w:kern w:val="0"/>
          <w:szCs w:val="21"/>
          <w:highlight w:val="none"/>
        </w:rPr>
      </w:pPr>
      <w:r>
        <w:rPr>
          <w:rFonts w:hint="eastAsia" w:ascii="宋体" w:hAnsi="宋体"/>
          <w:color w:val="auto"/>
          <w:kern w:val="0"/>
          <w:szCs w:val="21"/>
          <w:highlight w:val="none"/>
        </w:rPr>
        <w:t>（1）进入《国家企业信用信息公示系统》（网址：http://www.gsxt.gov.cn/index.html），输入企业名称，进入企业信息主页面；</w:t>
      </w:r>
    </w:p>
    <w:p>
      <w:pPr>
        <w:keepNext w:val="0"/>
        <w:keepLines w:val="0"/>
        <w:pageBreakBefore w:val="0"/>
        <w:kinsoku/>
        <w:wordWrap/>
        <w:overflowPunct/>
        <w:topLinePunct w:val="0"/>
        <w:bidi w:val="0"/>
        <w:adjustRightInd/>
        <w:spacing w:line="400" w:lineRule="exact"/>
        <w:ind w:firstLine="315" w:firstLineChars="150"/>
        <w:rPr>
          <w:rFonts w:hint="eastAsia" w:ascii="宋体" w:hAnsi="宋体"/>
          <w:color w:val="auto"/>
          <w:kern w:val="0"/>
          <w:szCs w:val="21"/>
          <w:highlight w:val="none"/>
        </w:rPr>
      </w:pPr>
      <w:r>
        <w:rPr>
          <w:rFonts w:hint="eastAsia" w:ascii="宋体" w:hAnsi="宋体"/>
          <w:color w:val="auto"/>
          <w:kern w:val="0"/>
          <w:szCs w:val="21"/>
          <w:highlight w:val="none"/>
        </w:rPr>
        <w:t>（2）查看主页“股东及出资信息”栏，或年报中的“股东及出资信息”栏信息；</w:t>
      </w:r>
    </w:p>
    <w:p>
      <w:pPr>
        <w:keepNext w:val="0"/>
        <w:keepLines w:val="0"/>
        <w:pageBreakBefore w:val="0"/>
        <w:kinsoku/>
        <w:wordWrap/>
        <w:overflowPunct/>
        <w:topLinePunct w:val="0"/>
        <w:bidi w:val="0"/>
        <w:adjustRightInd/>
        <w:spacing w:line="400" w:lineRule="exact"/>
        <w:ind w:firstLine="315" w:firstLineChars="150"/>
        <w:rPr>
          <w:rFonts w:hint="eastAsia" w:ascii="宋体" w:hAnsi="宋体"/>
          <w:color w:val="auto"/>
          <w:kern w:val="0"/>
          <w:szCs w:val="21"/>
          <w:highlight w:val="none"/>
        </w:rPr>
      </w:pPr>
      <w:r>
        <w:rPr>
          <w:rFonts w:hint="eastAsia" w:ascii="宋体" w:hAnsi="宋体"/>
          <w:color w:val="auto"/>
          <w:kern w:val="0"/>
          <w:szCs w:val="21"/>
          <w:highlight w:val="none"/>
        </w:rPr>
        <w:t>（3）将各供应商的股东及出资信息进行比对，得出审查结论；</w:t>
      </w:r>
    </w:p>
    <w:p>
      <w:pPr>
        <w:keepNext w:val="0"/>
        <w:keepLines w:val="0"/>
        <w:pageBreakBefore w:val="0"/>
        <w:kinsoku/>
        <w:wordWrap/>
        <w:overflowPunct/>
        <w:topLinePunct w:val="0"/>
        <w:bidi w:val="0"/>
        <w:adjustRightInd/>
        <w:spacing w:line="400" w:lineRule="exact"/>
        <w:ind w:firstLine="315" w:firstLineChars="150"/>
        <w:rPr>
          <w:rFonts w:hint="eastAsia" w:ascii="宋体" w:hAnsi="宋体"/>
          <w:color w:val="auto"/>
          <w:kern w:val="0"/>
          <w:szCs w:val="21"/>
          <w:highlight w:val="none"/>
        </w:rPr>
      </w:pPr>
      <w:r>
        <w:rPr>
          <w:rFonts w:hint="eastAsia" w:ascii="宋体" w:hAnsi="宋体"/>
          <w:color w:val="auto"/>
          <w:kern w:val="0"/>
          <w:szCs w:val="21"/>
          <w:highlight w:val="none"/>
        </w:rPr>
        <w:t>（4）将相关资料作为评审资料打印存档。</w:t>
      </w:r>
    </w:p>
    <w:p>
      <w:pPr>
        <w:keepNext w:val="0"/>
        <w:keepLines w:val="0"/>
        <w:pageBreakBefore w:val="0"/>
        <w:kinsoku/>
        <w:wordWrap/>
        <w:overflowPunct/>
        <w:topLinePunct w:val="0"/>
        <w:bidi w:val="0"/>
        <w:adjustRightInd/>
        <w:spacing w:line="400" w:lineRule="exact"/>
        <w:ind w:firstLine="315" w:firstLineChars="150"/>
        <w:rPr>
          <w:rFonts w:ascii="宋体" w:hAnsi="宋体"/>
          <w:color w:val="auto"/>
          <w:kern w:val="0"/>
          <w:szCs w:val="21"/>
          <w:highlight w:val="none"/>
        </w:rPr>
      </w:pPr>
      <w:r>
        <w:rPr>
          <w:rFonts w:hint="eastAsia" w:ascii="宋体" w:hAnsi="宋体"/>
          <w:color w:val="auto"/>
          <w:kern w:val="0"/>
          <w:szCs w:val="21"/>
          <w:highlight w:val="none"/>
        </w:rPr>
        <w:t>21.5、谈判小组在对响应文件的资格性和符合性进行审查时，如发现供应商提供的证明文件不齐全或不符合规定形式的，应一次性告之供应商，供应商应在规定的时间内当场补正或更正。</w:t>
      </w:r>
    </w:p>
    <w:p>
      <w:pPr>
        <w:keepNext w:val="0"/>
        <w:keepLines w:val="0"/>
        <w:pageBreakBefore w:val="0"/>
        <w:kinsoku/>
        <w:wordWrap/>
        <w:overflowPunct/>
        <w:topLinePunct w:val="0"/>
        <w:bidi w:val="0"/>
        <w:adjustRightInd/>
        <w:spacing w:line="400" w:lineRule="exact"/>
        <w:ind w:firstLine="315" w:firstLineChars="150"/>
        <w:rPr>
          <w:rFonts w:ascii="宋体" w:hAnsi="宋体"/>
          <w:color w:val="auto"/>
          <w:szCs w:val="21"/>
          <w:highlight w:val="none"/>
        </w:rPr>
      </w:pPr>
      <w:r>
        <w:rPr>
          <w:rFonts w:hint="eastAsia" w:ascii="宋体" w:hAnsi="宋体"/>
          <w:color w:val="auto"/>
          <w:szCs w:val="21"/>
          <w:highlight w:val="none"/>
        </w:rPr>
        <w:t>21.6、</w:t>
      </w:r>
      <w:r>
        <w:rPr>
          <w:rFonts w:hint="eastAsia" w:ascii="宋体" w:hAnsi="宋体"/>
          <w:color w:val="auto"/>
          <w:kern w:val="0"/>
          <w:szCs w:val="21"/>
          <w:highlight w:val="none"/>
        </w:rPr>
        <w:t>谈判小组</w:t>
      </w:r>
      <w:r>
        <w:rPr>
          <w:rFonts w:ascii="宋体" w:hAnsi="宋体"/>
          <w:color w:val="auto"/>
          <w:kern w:val="0"/>
          <w:szCs w:val="21"/>
          <w:highlight w:val="none"/>
        </w:rPr>
        <w:t>在对响应文件的有效性、完整性和响应程度进行审查时，可以要求供应商对</w:t>
      </w:r>
      <w:r>
        <w:rPr>
          <w:rFonts w:hint="eastAsia" w:ascii="宋体" w:hAnsi="宋体"/>
          <w:color w:val="auto"/>
          <w:szCs w:val="21"/>
          <w:highlight w:val="none"/>
        </w:rPr>
        <w:t>响应文件中含义不明确、同类问题表述不一致或者有明显文字和计算错误的内容等作出必要的澄清、说明或者更正。供应商的澄清、说明或者更正不得超出响应文件的范围或者改变响应文件的实质性内容。澄清、说明或者更正应</w:t>
      </w:r>
      <w:r>
        <w:rPr>
          <w:rFonts w:ascii="宋体" w:hAnsi="宋体"/>
          <w:color w:val="auto"/>
          <w:szCs w:val="21"/>
          <w:highlight w:val="none"/>
        </w:rPr>
        <w:t>由其法定代表人</w:t>
      </w:r>
      <w:r>
        <w:rPr>
          <w:rFonts w:hint="eastAsia" w:ascii="宋体" w:hAnsi="宋体"/>
          <w:color w:val="auto"/>
          <w:szCs w:val="21"/>
          <w:highlight w:val="none"/>
        </w:rPr>
        <w:t>、负责人、自然人</w:t>
      </w:r>
      <w:r>
        <w:rPr>
          <w:rFonts w:ascii="宋体" w:hAnsi="宋体"/>
          <w:color w:val="auto"/>
          <w:szCs w:val="21"/>
          <w:highlight w:val="none"/>
        </w:rPr>
        <w:t>或</w:t>
      </w:r>
      <w:r>
        <w:rPr>
          <w:rFonts w:hint="eastAsia" w:ascii="宋体" w:hAnsi="宋体"/>
          <w:color w:val="auto"/>
          <w:szCs w:val="21"/>
          <w:highlight w:val="none"/>
        </w:rPr>
        <w:t>相应的</w:t>
      </w:r>
      <w:r>
        <w:rPr>
          <w:rFonts w:ascii="宋体" w:hAnsi="宋体"/>
          <w:color w:val="auto"/>
          <w:szCs w:val="21"/>
          <w:highlight w:val="none"/>
        </w:rPr>
        <w:t>授权</w:t>
      </w:r>
      <w:r>
        <w:rPr>
          <w:rFonts w:hint="eastAsia" w:ascii="宋体" w:hAnsi="宋体"/>
          <w:color w:val="auto"/>
          <w:szCs w:val="21"/>
          <w:highlight w:val="none"/>
        </w:rPr>
        <w:t>委托</w:t>
      </w:r>
      <w:r>
        <w:rPr>
          <w:rFonts w:ascii="宋体" w:hAnsi="宋体"/>
          <w:color w:val="auto"/>
          <w:szCs w:val="21"/>
          <w:highlight w:val="none"/>
        </w:rPr>
        <w:t>代表签字或者加盖</w:t>
      </w:r>
      <w:r>
        <w:rPr>
          <w:rFonts w:hint="eastAsia" w:ascii="宋体" w:hAnsi="宋体"/>
          <w:color w:val="auto"/>
          <w:szCs w:val="21"/>
          <w:highlight w:val="none"/>
        </w:rPr>
        <w:t>供应商</w:t>
      </w:r>
      <w:r>
        <w:rPr>
          <w:rFonts w:ascii="宋体" w:hAnsi="宋体"/>
          <w:color w:val="auto"/>
          <w:szCs w:val="21"/>
          <w:highlight w:val="none"/>
        </w:rPr>
        <w:t>公章</w:t>
      </w:r>
      <w:r>
        <w:rPr>
          <w:rFonts w:hint="eastAsia" w:ascii="宋体" w:hAnsi="宋体"/>
          <w:color w:val="auto"/>
          <w:szCs w:val="21"/>
          <w:highlight w:val="none"/>
        </w:rPr>
        <w:t>（自然人除外）。</w:t>
      </w:r>
      <w:r>
        <w:rPr>
          <w:rFonts w:ascii="宋体" w:hAnsi="宋体"/>
          <w:color w:val="auto"/>
          <w:szCs w:val="21"/>
          <w:highlight w:val="none"/>
        </w:rPr>
        <w:t>由授权</w:t>
      </w:r>
      <w:r>
        <w:rPr>
          <w:rFonts w:hint="eastAsia" w:ascii="宋体" w:hAnsi="宋体"/>
          <w:color w:val="auto"/>
          <w:szCs w:val="21"/>
          <w:highlight w:val="none"/>
        </w:rPr>
        <w:t>委托</w:t>
      </w:r>
      <w:r>
        <w:rPr>
          <w:rFonts w:ascii="宋体" w:hAnsi="宋体"/>
          <w:color w:val="auto"/>
          <w:szCs w:val="21"/>
          <w:highlight w:val="none"/>
        </w:rPr>
        <w:t>代表签字的，应当附授权</w:t>
      </w:r>
      <w:r>
        <w:rPr>
          <w:rFonts w:hint="eastAsia" w:ascii="宋体" w:hAnsi="宋体"/>
          <w:color w:val="auto"/>
          <w:szCs w:val="21"/>
          <w:highlight w:val="none"/>
        </w:rPr>
        <w:t>委托</w:t>
      </w:r>
      <w:r>
        <w:rPr>
          <w:rFonts w:ascii="宋体" w:hAnsi="宋体"/>
          <w:color w:val="auto"/>
          <w:szCs w:val="21"/>
          <w:highlight w:val="none"/>
        </w:rPr>
        <w:t>书。供应商为自然人的，应当由本人签字并附身份证明。</w:t>
      </w:r>
    </w:p>
    <w:p>
      <w:pPr>
        <w:keepNext w:val="0"/>
        <w:keepLines w:val="0"/>
        <w:pageBreakBefore w:val="0"/>
        <w:kinsoku/>
        <w:wordWrap/>
        <w:overflowPunct/>
        <w:topLinePunct w:val="0"/>
        <w:bidi w:val="0"/>
        <w:adjustRightInd/>
        <w:spacing w:line="400" w:lineRule="exact"/>
        <w:ind w:firstLine="315" w:firstLineChars="150"/>
        <w:rPr>
          <w:rFonts w:ascii="宋体" w:hAnsi="宋体"/>
          <w:color w:val="auto"/>
          <w:szCs w:val="21"/>
          <w:highlight w:val="none"/>
        </w:rPr>
      </w:pPr>
      <w:r>
        <w:rPr>
          <w:rFonts w:ascii="宋体" w:hAnsi="宋体"/>
          <w:color w:val="auto"/>
          <w:szCs w:val="21"/>
          <w:highlight w:val="none"/>
        </w:rPr>
        <w:t>根据谈判文件规定的程序、评定成交的标准等事</w:t>
      </w:r>
      <w:r>
        <w:rPr>
          <w:rFonts w:hint="eastAsia" w:ascii="宋体" w:hAnsi="宋体"/>
          <w:color w:val="auto"/>
          <w:szCs w:val="21"/>
          <w:highlight w:val="none"/>
        </w:rPr>
        <w:t>项</w:t>
      </w:r>
      <w:r>
        <w:rPr>
          <w:rFonts w:ascii="宋体" w:hAnsi="宋体"/>
          <w:color w:val="auto"/>
          <w:szCs w:val="21"/>
          <w:highlight w:val="none"/>
        </w:rPr>
        <w:t>与实质性响应</w:t>
      </w:r>
      <w:r>
        <w:rPr>
          <w:rFonts w:hint="eastAsia" w:ascii="宋体" w:hAnsi="宋体"/>
          <w:color w:val="auto"/>
          <w:szCs w:val="21"/>
          <w:highlight w:val="none"/>
        </w:rPr>
        <w:t>竞争性</w:t>
      </w:r>
      <w:r>
        <w:rPr>
          <w:rFonts w:ascii="宋体" w:hAnsi="宋体"/>
          <w:color w:val="auto"/>
          <w:szCs w:val="21"/>
          <w:highlight w:val="none"/>
        </w:rPr>
        <w:t>谈判文件要求的</w:t>
      </w:r>
      <w:r>
        <w:rPr>
          <w:rFonts w:hint="eastAsia" w:ascii="宋体" w:hAnsi="宋体"/>
          <w:color w:val="auto"/>
          <w:szCs w:val="21"/>
          <w:highlight w:val="none"/>
        </w:rPr>
        <w:t>供应商</w:t>
      </w:r>
      <w:r>
        <w:rPr>
          <w:rFonts w:ascii="宋体" w:hAnsi="宋体"/>
          <w:color w:val="auto"/>
          <w:szCs w:val="21"/>
          <w:highlight w:val="none"/>
        </w:rPr>
        <w:t>进行谈判。未实质性响应谈判文件的</w:t>
      </w:r>
      <w:r>
        <w:rPr>
          <w:rFonts w:hint="eastAsia" w:ascii="宋体" w:hAnsi="宋体"/>
          <w:color w:val="auto"/>
          <w:szCs w:val="21"/>
          <w:highlight w:val="none"/>
        </w:rPr>
        <w:t>响应</w:t>
      </w:r>
      <w:r>
        <w:rPr>
          <w:rFonts w:ascii="宋体" w:hAnsi="宋体"/>
          <w:color w:val="auto"/>
          <w:szCs w:val="21"/>
          <w:highlight w:val="none"/>
        </w:rPr>
        <w:t>文件按无效处理，谈判小组应当告知有关</w:t>
      </w:r>
      <w:r>
        <w:rPr>
          <w:rFonts w:hint="eastAsia" w:ascii="宋体" w:hAnsi="宋体"/>
          <w:color w:val="auto"/>
          <w:szCs w:val="21"/>
          <w:highlight w:val="none"/>
        </w:rPr>
        <w:t>供应商</w:t>
      </w:r>
      <w:r>
        <w:rPr>
          <w:rFonts w:ascii="宋体" w:hAnsi="宋体"/>
          <w:color w:val="auto"/>
          <w:szCs w:val="21"/>
          <w:highlight w:val="none"/>
        </w:rPr>
        <w:t>。</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s="宋体"/>
          <w:color w:val="auto"/>
          <w:kern w:val="0"/>
          <w:szCs w:val="21"/>
          <w:highlight w:val="none"/>
        </w:rPr>
        <w:t>谈判小组</w:t>
      </w:r>
      <w:r>
        <w:rPr>
          <w:rFonts w:ascii="宋体" w:hAnsi="宋体"/>
          <w:color w:val="auto"/>
          <w:szCs w:val="21"/>
          <w:highlight w:val="none"/>
        </w:rPr>
        <w:t>所有成员应当</w:t>
      </w:r>
      <w:r>
        <w:rPr>
          <w:rFonts w:hint="eastAsia" w:ascii="宋体" w:hAnsi="宋体" w:cs="宋体"/>
          <w:color w:val="auto"/>
          <w:kern w:val="0"/>
          <w:szCs w:val="21"/>
          <w:highlight w:val="none"/>
        </w:rPr>
        <w:t>按已确定的</w:t>
      </w:r>
      <w:r>
        <w:rPr>
          <w:rFonts w:hint="eastAsia" w:ascii="宋体" w:hAnsi="宋体"/>
          <w:color w:val="auto"/>
          <w:szCs w:val="21"/>
          <w:highlight w:val="none"/>
        </w:rPr>
        <w:t>谈判顺序分别</w:t>
      </w:r>
      <w:r>
        <w:rPr>
          <w:rFonts w:ascii="宋体" w:hAnsi="宋体"/>
          <w:color w:val="auto"/>
          <w:szCs w:val="21"/>
          <w:highlight w:val="none"/>
        </w:rPr>
        <w:t>与单一</w:t>
      </w:r>
      <w:r>
        <w:rPr>
          <w:rFonts w:hint="eastAsia" w:ascii="宋体" w:hAnsi="宋体"/>
          <w:color w:val="auto"/>
          <w:szCs w:val="21"/>
          <w:highlight w:val="none"/>
        </w:rPr>
        <w:t>供应商</w:t>
      </w:r>
      <w:r>
        <w:rPr>
          <w:rFonts w:ascii="宋体" w:hAnsi="宋体"/>
          <w:color w:val="auto"/>
          <w:szCs w:val="21"/>
          <w:highlight w:val="none"/>
        </w:rPr>
        <w:t>分别进行谈判，并给予所有实质性响应</w:t>
      </w:r>
      <w:r>
        <w:rPr>
          <w:rFonts w:hint="eastAsia" w:ascii="宋体" w:hAnsi="宋体"/>
          <w:color w:val="auto"/>
          <w:szCs w:val="21"/>
          <w:highlight w:val="none"/>
        </w:rPr>
        <w:t>竞争性</w:t>
      </w:r>
      <w:r>
        <w:rPr>
          <w:rFonts w:ascii="宋体" w:hAnsi="宋体"/>
          <w:color w:val="auto"/>
          <w:szCs w:val="21"/>
          <w:highlight w:val="none"/>
        </w:rPr>
        <w:t>谈判文件要求的</w:t>
      </w:r>
      <w:r>
        <w:rPr>
          <w:rFonts w:hint="eastAsia" w:ascii="宋体" w:hAnsi="宋体"/>
          <w:color w:val="auto"/>
          <w:szCs w:val="21"/>
          <w:highlight w:val="none"/>
        </w:rPr>
        <w:t>供应商</w:t>
      </w:r>
      <w:r>
        <w:rPr>
          <w:rFonts w:ascii="宋体" w:hAnsi="宋体"/>
          <w:color w:val="auto"/>
          <w:szCs w:val="21"/>
          <w:highlight w:val="none"/>
        </w:rPr>
        <w:t>平等的谈判机会。</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谈判中，谈判小组不得透露与谈判有关的其他供应商的技术资料、价格和其他信息。</w:t>
      </w:r>
    </w:p>
    <w:p>
      <w:pPr>
        <w:keepNext w:val="0"/>
        <w:keepLines w:val="0"/>
        <w:pageBreakBefore w:val="0"/>
        <w:widowControl/>
        <w:tabs>
          <w:tab w:val="left" w:pos="540"/>
        </w:tabs>
        <w:kinsoku/>
        <w:wordWrap/>
        <w:overflowPunct/>
        <w:topLinePunct w:val="0"/>
        <w:bidi w:val="0"/>
        <w:adjustRightInd/>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采购代理机构对谈判过程和重要谈判内容进行记录，谈判双方在记录上签字确认。</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21.7、</w:t>
      </w:r>
      <w:r>
        <w:rPr>
          <w:rFonts w:ascii="宋体" w:hAnsi="宋体"/>
          <w:color w:val="auto"/>
          <w:szCs w:val="21"/>
          <w:highlight w:val="none"/>
        </w:rPr>
        <w:t>在谈判过程中，谈判小组可以根据谈判文件和谈判情况实质性变动</w:t>
      </w:r>
      <w:r>
        <w:rPr>
          <w:rFonts w:hint="eastAsia" w:ascii="宋体" w:hAnsi="宋体"/>
          <w:color w:val="auto"/>
          <w:szCs w:val="21"/>
          <w:highlight w:val="none"/>
        </w:rPr>
        <w:t>项目</w:t>
      </w:r>
      <w:r>
        <w:rPr>
          <w:rFonts w:ascii="宋体" w:hAnsi="宋体"/>
          <w:color w:val="auto"/>
          <w:szCs w:val="21"/>
          <w:highlight w:val="none"/>
        </w:rPr>
        <w:t>需求中的技术、服务要求以及合同草案条款，但不得变动谈判文件中的其他内容。实质性变动的内容，须经采购人代表确认。</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szCs w:val="21"/>
          <w:highlight w:val="none"/>
        </w:rPr>
      </w:pPr>
      <w:r>
        <w:rPr>
          <w:rFonts w:ascii="宋体" w:hAnsi="宋体"/>
          <w:color w:val="auto"/>
          <w:szCs w:val="21"/>
          <w:highlight w:val="none"/>
        </w:rPr>
        <w:t>对谈判文件作出的实质性变动是谈判文件的有效组成部分，谈判小组应当及时以书面形式同时通知所有参加谈判的</w:t>
      </w:r>
      <w:r>
        <w:rPr>
          <w:rFonts w:hint="eastAsia" w:ascii="宋体" w:hAnsi="宋体"/>
          <w:color w:val="auto"/>
          <w:szCs w:val="21"/>
          <w:highlight w:val="none"/>
        </w:rPr>
        <w:t>供应商</w:t>
      </w:r>
      <w:r>
        <w:rPr>
          <w:rFonts w:ascii="宋体" w:hAnsi="宋体"/>
          <w:color w:val="auto"/>
          <w:szCs w:val="21"/>
          <w:highlight w:val="none"/>
        </w:rPr>
        <w:t>。</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szCs w:val="21"/>
          <w:highlight w:val="none"/>
        </w:rPr>
      </w:pPr>
      <w:r>
        <w:rPr>
          <w:rFonts w:ascii="宋体" w:hAnsi="宋体"/>
          <w:color w:val="auto"/>
          <w:szCs w:val="21"/>
          <w:highlight w:val="none"/>
        </w:rPr>
        <w:t>供应商应当按照谈判文件的变动情况和谈判小组的要求重新提交</w:t>
      </w:r>
      <w:r>
        <w:rPr>
          <w:rFonts w:hint="eastAsia" w:ascii="宋体" w:hAnsi="宋体"/>
          <w:color w:val="auto"/>
          <w:szCs w:val="21"/>
          <w:highlight w:val="none"/>
        </w:rPr>
        <w:t>响应</w:t>
      </w:r>
      <w:r>
        <w:rPr>
          <w:rFonts w:ascii="宋体" w:hAnsi="宋体"/>
          <w:color w:val="auto"/>
          <w:szCs w:val="21"/>
          <w:highlight w:val="none"/>
        </w:rPr>
        <w:t>文件，并由其法定代表人（负责人）或授权</w:t>
      </w:r>
      <w:r>
        <w:rPr>
          <w:rFonts w:hint="eastAsia" w:ascii="宋体" w:hAnsi="宋体"/>
          <w:color w:val="auto"/>
          <w:szCs w:val="21"/>
          <w:highlight w:val="none"/>
        </w:rPr>
        <w:t>委托</w:t>
      </w:r>
      <w:r>
        <w:rPr>
          <w:rFonts w:ascii="宋体" w:hAnsi="宋体"/>
          <w:color w:val="auto"/>
          <w:szCs w:val="21"/>
          <w:highlight w:val="none"/>
        </w:rPr>
        <w:t>代表签字或者加盖</w:t>
      </w:r>
      <w:r>
        <w:rPr>
          <w:rFonts w:hint="eastAsia" w:ascii="宋体" w:hAnsi="宋体"/>
          <w:color w:val="auto"/>
          <w:szCs w:val="21"/>
          <w:highlight w:val="none"/>
        </w:rPr>
        <w:t>供应商</w:t>
      </w:r>
      <w:r>
        <w:rPr>
          <w:rFonts w:ascii="宋体" w:hAnsi="宋体"/>
          <w:color w:val="auto"/>
          <w:szCs w:val="21"/>
          <w:highlight w:val="none"/>
        </w:rPr>
        <w:t>公章。</w:t>
      </w:r>
      <w:r>
        <w:rPr>
          <w:rFonts w:hint="eastAsia" w:ascii="宋体" w:hAnsi="宋体"/>
          <w:color w:val="auto"/>
          <w:szCs w:val="21"/>
          <w:highlight w:val="none"/>
        </w:rPr>
        <w:t>逾时不交的，视同放弃谈判。</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21.8、</w:t>
      </w:r>
      <w:r>
        <w:rPr>
          <w:rFonts w:ascii="宋体" w:hAnsi="宋体"/>
          <w:color w:val="auto"/>
          <w:kern w:val="0"/>
          <w:szCs w:val="21"/>
          <w:highlight w:val="none"/>
        </w:rPr>
        <w:t>在采购过程中符合竞争要求的供应商或者报价未超过采购预算的供应商不足3家的</w:t>
      </w:r>
      <w:r>
        <w:rPr>
          <w:rFonts w:hint="eastAsia" w:ascii="宋体" w:hAnsi="宋体"/>
          <w:color w:val="auto"/>
          <w:kern w:val="0"/>
          <w:szCs w:val="21"/>
          <w:highlight w:val="none"/>
        </w:rPr>
        <w:t>，采购人或者采购代理机构应当终止竞争性谈判采购活动。</w:t>
      </w:r>
    </w:p>
    <w:p>
      <w:pPr>
        <w:keepNext w:val="0"/>
        <w:keepLines w:val="0"/>
        <w:pageBreakBefore w:val="0"/>
        <w:widowControl/>
        <w:kinsoku/>
        <w:wordWrap/>
        <w:overflowPunct/>
        <w:topLinePunct w:val="0"/>
        <w:bidi w:val="0"/>
        <w:adjustRightInd/>
        <w:spacing w:line="400" w:lineRule="exact"/>
        <w:ind w:firstLine="420" w:firstLineChars="200"/>
        <w:jc w:val="left"/>
        <w:rPr>
          <w:rFonts w:ascii="宋体" w:hAnsi="宋体"/>
          <w:color w:val="auto"/>
          <w:szCs w:val="21"/>
          <w:highlight w:val="none"/>
        </w:rPr>
      </w:pPr>
      <w:r>
        <w:rPr>
          <w:rFonts w:hint="eastAsia" w:ascii="宋体" w:hAnsi="宋体" w:cs="宋体"/>
          <w:color w:val="auto"/>
          <w:kern w:val="0"/>
          <w:szCs w:val="21"/>
          <w:highlight w:val="none"/>
        </w:rPr>
        <w:t>21.9、</w:t>
      </w:r>
      <w:r>
        <w:rPr>
          <w:rFonts w:hint="eastAsia" w:ascii="宋体" w:hAnsi="宋体"/>
          <w:color w:val="auto"/>
          <w:szCs w:val="21"/>
          <w:highlight w:val="none"/>
        </w:rPr>
        <w:t>最后报价</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21.9.1</w:t>
      </w:r>
      <w:r>
        <w:rPr>
          <w:rFonts w:ascii="宋体" w:hAnsi="宋体"/>
          <w:color w:val="auto"/>
          <w:szCs w:val="21"/>
          <w:highlight w:val="none"/>
        </w:rPr>
        <w:t>谈判文件能够详细列明采购标的的技术、服务要求的，谈判结束后，谈判小组应当要求所有继续参加谈判的供应商在规定时间内</w:t>
      </w:r>
      <w:r>
        <w:rPr>
          <w:rFonts w:hint="eastAsia" w:ascii="宋体" w:hAnsi="宋体"/>
          <w:color w:val="auto"/>
          <w:szCs w:val="21"/>
          <w:highlight w:val="none"/>
        </w:rPr>
        <w:t>密封</w:t>
      </w:r>
      <w:r>
        <w:rPr>
          <w:rFonts w:ascii="宋体" w:hAnsi="宋体"/>
          <w:color w:val="auto"/>
          <w:szCs w:val="21"/>
          <w:highlight w:val="none"/>
        </w:rPr>
        <w:t>提交最后报价，提交最后报价的供应商不得少于3家。</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21.9.2</w:t>
      </w:r>
      <w:r>
        <w:rPr>
          <w:rFonts w:ascii="宋体" w:hAnsi="宋体"/>
          <w:color w:val="auto"/>
          <w:szCs w:val="21"/>
          <w:highlight w:val="none"/>
        </w:rPr>
        <w:t>谈判文件不能详细列明采购标的的技术、服务要求</w:t>
      </w:r>
      <w:r>
        <w:rPr>
          <w:rFonts w:hint="eastAsia" w:ascii="宋体" w:hAnsi="宋体"/>
          <w:color w:val="auto"/>
          <w:szCs w:val="21"/>
          <w:highlight w:val="none"/>
        </w:rPr>
        <w:t>的</w:t>
      </w:r>
      <w:r>
        <w:rPr>
          <w:rFonts w:ascii="宋体" w:hAnsi="宋体"/>
          <w:color w:val="auto"/>
          <w:szCs w:val="21"/>
          <w:highlight w:val="none"/>
        </w:rPr>
        <w:t>，需</w:t>
      </w:r>
      <w:r>
        <w:rPr>
          <w:rFonts w:hint="eastAsia" w:ascii="宋体" w:hAnsi="宋体"/>
          <w:color w:val="auto"/>
          <w:szCs w:val="21"/>
          <w:highlight w:val="none"/>
        </w:rPr>
        <w:t>由</w:t>
      </w:r>
      <w:r>
        <w:rPr>
          <w:rFonts w:ascii="宋体" w:hAnsi="宋体"/>
          <w:color w:val="auto"/>
          <w:szCs w:val="21"/>
          <w:highlight w:val="none"/>
        </w:rPr>
        <w:t>谈判供应商提供最终设计方案或解决方案的，谈判结束后，谈判小组应当按照少数服从多数的原则投票推荐3家</w:t>
      </w:r>
      <w:r>
        <w:rPr>
          <w:rFonts w:hint="eastAsia" w:ascii="宋体" w:hAnsi="宋体"/>
          <w:color w:val="auto"/>
          <w:szCs w:val="21"/>
          <w:highlight w:val="none"/>
        </w:rPr>
        <w:t>及</w:t>
      </w:r>
      <w:r>
        <w:rPr>
          <w:rFonts w:ascii="宋体" w:hAnsi="宋体"/>
          <w:color w:val="auto"/>
          <w:szCs w:val="21"/>
          <w:highlight w:val="none"/>
        </w:rPr>
        <w:t>以上供应商的设计方案或者解决方案，并要求其在规定时间内</w:t>
      </w:r>
      <w:r>
        <w:rPr>
          <w:rFonts w:hint="eastAsia" w:ascii="宋体" w:hAnsi="宋体"/>
          <w:color w:val="auto"/>
          <w:szCs w:val="21"/>
          <w:highlight w:val="none"/>
        </w:rPr>
        <w:t>密封</w:t>
      </w:r>
      <w:r>
        <w:rPr>
          <w:rFonts w:ascii="宋体" w:hAnsi="宋体"/>
          <w:color w:val="auto"/>
          <w:szCs w:val="21"/>
          <w:highlight w:val="none"/>
        </w:rPr>
        <w:t>提交最后报价</w:t>
      </w:r>
      <w:r>
        <w:rPr>
          <w:rFonts w:hint="eastAsia" w:ascii="宋体" w:hAnsi="宋体"/>
          <w:color w:val="auto"/>
          <w:szCs w:val="21"/>
          <w:highlight w:val="none"/>
        </w:rPr>
        <w:t>。</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21.9.3</w:t>
      </w:r>
      <w:r>
        <w:rPr>
          <w:rFonts w:ascii="宋体" w:hAnsi="宋体"/>
          <w:color w:val="auto"/>
          <w:kern w:val="0"/>
          <w:szCs w:val="21"/>
          <w:highlight w:val="none"/>
        </w:rPr>
        <w:t>最后报价是供应商</w:t>
      </w:r>
      <w:r>
        <w:rPr>
          <w:rFonts w:hint="eastAsia" w:ascii="宋体" w:hAnsi="宋体"/>
          <w:color w:val="auto"/>
          <w:kern w:val="0"/>
          <w:szCs w:val="21"/>
          <w:highlight w:val="none"/>
        </w:rPr>
        <w:t>响应文件</w:t>
      </w:r>
      <w:r>
        <w:rPr>
          <w:rFonts w:ascii="宋体" w:hAnsi="宋体"/>
          <w:color w:val="auto"/>
          <w:kern w:val="0"/>
          <w:szCs w:val="21"/>
          <w:highlight w:val="none"/>
        </w:rPr>
        <w:t>的有效组成部分。</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21.10</w:t>
      </w:r>
      <w:r>
        <w:rPr>
          <w:rFonts w:ascii="宋体" w:hAnsi="宋体"/>
          <w:color w:val="auto"/>
          <w:kern w:val="0"/>
          <w:szCs w:val="21"/>
          <w:highlight w:val="none"/>
        </w:rPr>
        <w:t>已提交响应文件的供应商，在提交最后报价之前，可以根据谈判情况</w:t>
      </w:r>
      <w:r>
        <w:rPr>
          <w:rFonts w:hint="eastAsia" w:ascii="宋体" w:hAnsi="宋体"/>
          <w:color w:val="auto"/>
          <w:kern w:val="0"/>
          <w:szCs w:val="21"/>
          <w:highlight w:val="none"/>
        </w:rPr>
        <w:t>书面</w:t>
      </w:r>
      <w:r>
        <w:rPr>
          <w:rFonts w:ascii="宋体" w:hAnsi="宋体"/>
          <w:color w:val="auto"/>
          <w:kern w:val="0"/>
          <w:szCs w:val="21"/>
          <w:highlight w:val="none"/>
        </w:rPr>
        <w:t>退出谈判</w:t>
      </w:r>
      <w:r>
        <w:rPr>
          <w:rFonts w:hint="eastAsia" w:ascii="宋体" w:hAnsi="宋体"/>
          <w:color w:val="auto"/>
          <w:kern w:val="0"/>
          <w:szCs w:val="21"/>
          <w:highlight w:val="none"/>
        </w:rPr>
        <w:t>；</w:t>
      </w:r>
      <w:r>
        <w:rPr>
          <w:rFonts w:hint="eastAsia" w:ascii="宋体" w:hAnsi="宋体"/>
          <w:color w:val="auto"/>
          <w:szCs w:val="21"/>
          <w:highlight w:val="none"/>
        </w:rPr>
        <w:t xml:space="preserve"> </w:t>
      </w:r>
    </w:p>
    <w:p>
      <w:pPr>
        <w:keepNext w:val="0"/>
        <w:keepLines w:val="0"/>
        <w:pageBreakBefore w:val="0"/>
        <w:widowControl/>
        <w:tabs>
          <w:tab w:val="left" w:pos="540"/>
        </w:tabs>
        <w:kinsoku/>
        <w:wordWrap/>
        <w:overflowPunct/>
        <w:topLinePunct w:val="0"/>
        <w:bidi w:val="0"/>
        <w:adjustRightInd/>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21.11</w:t>
      </w:r>
      <w:r>
        <w:rPr>
          <w:rFonts w:ascii="宋体" w:hAnsi="宋体"/>
          <w:color w:val="auto"/>
          <w:kern w:val="0"/>
          <w:szCs w:val="21"/>
          <w:highlight w:val="none"/>
        </w:rPr>
        <w:t>评审报告</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szCs w:val="21"/>
          <w:highlight w:val="none"/>
        </w:rPr>
      </w:pPr>
      <w:r>
        <w:rPr>
          <w:rFonts w:ascii="宋体" w:hAnsi="宋体"/>
          <w:color w:val="auto"/>
          <w:kern w:val="0"/>
          <w:szCs w:val="21"/>
          <w:highlight w:val="none"/>
        </w:rPr>
        <w:t>谈判小组应当从质量和服务均能满足</w:t>
      </w:r>
      <w:r>
        <w:rPr>
          <w:rFonts w:hint="eastAsia" w:ascii="宋体" w:hAnsi="宋体"/>
          <w:color w:val="auto"/>
          <w:kern w:val="0"/>
          <w:szCs w:val="21"/>
          <w:highlight w:val="none"/>
        </w:rPr>
        <w:t>谈判</w:t>
      </w:r>
      <w:r>
        <w:rPr>
          <w:rFonts w:ascii="宋体" w:hAnsi="宋体"/>
          <w:color w:val="auto"/>
          <w:kern w:val="0"/>
          <w:szCs w:val="21"/>
          <w:highlight w:val="none"/>
        </w:rPr>
        <w:t>文件</w:t>
      </w:r>
      <w:r>
        <w:rPr>
          <w:rFonts w:hint="eastAsia" w:ascii="宋体" w:hAnsi="宋体"/>
          <w:color w:val="auto"/>
          <w:kern w:val="0"/>
          <w:szCs w:val="21"/>
          <w:highlight w:val="none"/>
        </w:rPr>
        <w:t>全部</w:t>
      </w:r>
      <w:r>
        <w:rPr>
          <w:rFonts w:ascii="宋体" w:hAnsi="宋体"/>
          <w:color w:val="auto"/>
          <w:kern w:val="0"/>
          <w:szCs w:val="21"/>
          <w:highlight w:val="none"/>
        </w:rPr>
        <w:t>实质性响应要求的供应商中，按</w:t>
      </w:r>
      <w:r>
        <w:rPr>
          <w:rFonts w:hint="eastAsia" w:ascii="宋体" w:hAnsi="宋体"/>
          <w:color w:val="auto"/>
          <w:kern w:val="0"/>
          <w:szCs w:val="21"/>
          <w:highlight w:val="none"/>
        </w:rPr>
        <w:t>照评审报价（最后报价及享受政府采购政策的优惠扣除）由低到高的顺序</w:t>
      </w:r>
      <w:r>
        <w:rPr>
          <w:rFonts w:ascii="宋体" w:hAnsi="宋体"/>
          <w:color w:val="auto"/>
          <w:kern w:val="0"/>
          <w:szCs w:val="21"/>
          <w:highlight w:val="none"/>
        </w:rPr>
        <w:t>提出3名以上</w:t>
      </w:r>
      <w:r>
        <w:rPr>
          <w:rFonts w:hint="eastAsia" w:ascii="宋体" w:hAnsi="宋体"/>
          <w:color w:val="auto"/>
          <w:kern w:val="0"/>
          <w:szCs w:val="21"/>
          <w:highlight w:val="none"/>
        </w:rPr>
        <w:t>（含3名）</w:t>
      </w:r>
      <w:r>
        <w:rPr>
          <w:rFonts w:ascii="宋体" w:hAnsi="宋体"/>
          <w:color w:val="auto"/>
          <w:kern w:val="0"/>
          <w:szCs w:val="21"/>
          <w:highlight w:val="none"/>
        </w:rPr>
        <w:t>成交候选人，并编写评审报告。</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21.12采购代理机构发现谈判小组有明显的违规倾向或歧视现象，或不按评审方法进行，或其他不正常行为的，应当及时制止。如制止无效，应及时向</w:t>
      </w:r>
      <w:r>
        <w:rPr>
          <w:rFonts w:hint="eastAsia" w:ascii="宋体" w:hAnsi="宋体"/>
          <w:color w:val="auto"/>
          <w:highlight w:val="none"/>
          <w:lang w:eastAsia="zh-CN"/>
        </w:rPr>
        <w:t>桂林市临桂区财政局政府采购监督管理股</w:t>
      </w:r>
      <w:r>
        <w:rPr>
          <w:rFonts w:hint="eastAsia" w:ascii="宋体" w:hAnsi="宋体"/>
          <w:color w:val="auto"/>
          <w:szCs w:val="21"/>
          <w:highlight w:val="none"/>
        </w:rPr>
        <w:t>报告。</w:t>
      </w:r>
    </w:p>
    <w:p>
      <w:pPr>
        <w:pStyle w:val="10"/>
        <w:keepNext w:val="0"/>
        <w:keepLines w:val="0"/>
        <w:pageBreakBefore w:val="0"/>
        <w:kinsoku/>
        <w:wordWrap/>
        <w:overflowPunct/>
        <w:topLinePunct w:val="0"/>
        <w:bidi w:val="0"/>
        <w:adjustRightInd/>
        <w:spacing w:line="400" w:lineRule="exact"/>
        <w:ind w:firstLine="422" w:firstLineChars="200"/>
        <w:rPr>
          <w:rFonts w:hAnsi="宋体"/>
          <w:b/>
          <w:bCs/>
          <w:color w:val="auto"/>
          <w:szCs w:val="21"/>
          <w:highlight w:val="none"/>
        </w:rPr>
      </w:pPr>
      <w:r>
        <w:rPr>
          <w:rFonts w:hint="eastAsia" w:hAnsi="宋体"/>
          <w:b/>
          <w:bCs/>
          <w:color w:val="auto"/>
          <w:szCs w:val="21"/>
          <w:highlight w:val="none"/>
        </w:rPr>
        <w:t>22、确定成交供应商</w:t>
      </w:r>
    </w:p>
    <w:p>
      <w:pPr>
        <w:pStyle w:val="10"/>
        <w:keepNext w:val="0"/>
        <w:keepLines w:val="0"/>
        <w:pageBreakBefore w:val="0"/>
        <w:tabs>
          <w:tab w:val="left" w:pos="4214"/>
        </w:tabs>
        <w:kinsoku/>
        <w:wordWrap/>
        <w:overflowPunct/>
        <w:topLinePunct w:val="0"/>
        <w:bidi w:val="0"/>
        <w:adjustRightInd/>
        <w:spacing w:line="400" w:lineRule="exact"/>
        <w:ind w:firstLine="420" w:firstLineChars="200"/>
        <w:rPr>
          <w:rFonts w:hAnsi="宋体"/>
          <w:color w:val="auto"/>
          <w:szCs w:val="21"/>
          <w:highlight w:val="none"/>
        </w:rPr>
      </w:pPr>
      <w:r>
        <w:rPr>
          <w:rFonts w:hint="eastAsia" w:hAnsi="宋体"/>
          <w:color w:val="auto"/>
          <w:szCs w:val="21"/>
          <w:highlight w:val="none"/>
        </w:rPr>
        <w:t>（1）采购人应当确定谈判小组推荐排名第一的供应商为成交供应商。</w:t>
      </w:r>
    </w:p>
    <w:p>
      <w:pPr>
        <w:pStyle w:val="10"/>
        <w:keepNext w:val="0"/>
        <w:keepLines w:val="0"/>
        <w:pageBreakBefore w:val="0"/>
        <w:kinsoku/>
        <w:wordWrap/>
        <w:overflowPunct/>
        <w:topLinePunct w:val="0"/>
        <w:bidi w:val="0"/>
        <w:adjustRightInd/>
        <w:spacing w:line="400" w:lineRule="exact"/>
        <w:ind w:firstLine="447" w:firstLineChars="213"/>
        <w:rPr>
          <w:rFonts w:hAnsi="宋体"/>
          <w:color w:val="auto"/>
          <w:szCs w:val="21"/>
          <w:highlight w:val="none"/>
        </w:rPr>
      </w:pPr>
      <w:r>
        <w:rPr>
          <w:rFonts w:hint="eastAsia" w:hAnsi="宋体"/>
          <w:color w:val="auto"/>
          <w:szCs w:val="21"/>
          <w:highlight w:val="none"/>
        </w:rPr>
        <w:t>（2）排名第一的成交候选人放弃成交、因不可抗力提出不能履行合同，或者谈判文件规定应当提交履约保证金而在规定的期限内未能提交的，采购人可以确定排名第二的成交候选人为成交供应商。</w:t>
      </w:r>
    </w:p>
    <w:p>
      <w:pPr>
        <w:pStyle w:val="10"/>
        <w:keepNext w:val="0"/>
        <w:keepLines w:val="0"/>
        <w:pageBreakBefore w:val="0"/>
        <w:kinsoku/>
        <w:wordWrap/>
        <w:overflowPunct/>
        <w:topLinePunct w:val="0"/>
        <w:bidi w:val="0"/>
        <w:adjustRightInd/>
        <w:spacing w:line="400" w:lineRule="exact"/>
        <w:ind w:firstLine="420" w:firstLineChars="200"/>
        <w:rPr>
          <w:rFonts w:hAnsi="宋体"/>
          <w:color w:val="auto"/>
          <w:szCs w:val="21"/>
          <w:highlight w:val="none"/>
        </w:rPr>
      </w:pPr>
      <w:r>
        <w:rPr>
          <w:rFonts w:hint="eastAsia" w:hAnsi="宋体"/>
          <w:color w:val="auto"/>
          <w:szCs w:val="21"/>
          <w:highlight w:val="none"/>
        </w:rPr>
        <w:t>（3</w:t>
      </w:r>
      <w:r>
        <w:rPr>
          <w:rFonts w:hAnsi="宋体"/>
          <w:color w:val="auto"/>
          <w:szCs w:val="21"/>
          <w:highlight w:val="none"/>
        </w:rPr>
        <w:t>）</w:t>
      </w:r>
      <w:r>
        <w:rPr>
          <w:rFonts w:hint="eastAsia" w:hAnsi="宋体"/>
          <w:color w:val="auto"/>
          <w:szCs w:val="21"/>
          <w:highlight w:val="none"/>
        </w:rPr>
        <w:t>排名第二的成交候选人因前款规定的同样原因不能签订合同的，采购人可以确定排名第三的成交候选人为成交供应商。</w:t>
      </w:r>
    </w:p>
    <w:p>
      <w:pPr>
        <w:keepNext w:val="0"/>
        <w:keepLines w:val="0"/>
        <w:pageBreakBefore w:val="0"/>
        <w:widowControl/>
        <w:shd w:val="clear" w:color="auto" w:fill="FFFFFF"/>
        <w:kinsoku/>
        <w:wordWrap/>
        <w:overflowPunct/>
        <w:topLinePunct w:val="0"/>
        <w:bidi w:val="0"/>
        <w:adjustRightInd/>
        <w:spacing w:line="400" w:lineRule="exact"/>
        <w:ind w:firstLine="480"/>
        <w:jc w:val="left"/>
        <w:rPr>
          <w:rFonts w:ascii="宋体" w:hAnsi="宋体"/>
          <w:b/>
          <w:color w:val="auto"/>
          <w:szCs w:val="21"/>
          <w:highlight w:val="none"/>
        </w:rPr>
      </w:pPr>
      <w:r>
        <w:rPr>
          <w:rFonts w:hint="eastAsia" w:ascii="宋体" w:hAnsi="宋体"/>
          <w:b/>
          <w:bCs/>
          <w:color w:val="auto"/>
          <w:szCs w:val="21"/>
          <w:highlight w:val="none"/>
        </w:rPr>
        <w:t>23、</w:t>
      </w:r>
      <w:r>
        <w:rPr>
          <w:rFonts w:hint="eastAsia" w:ascii="宋体" w:hAnsi="宋体"/>
          <w:b/>
          <w:color w:val="auto"/>
          <w:szCs w:val="21"/>
          <w:highlight w:val="none"/>
        </w:rPr>
        <w:t>属于下列情况之一者，谈判无效：</w:t>
      </w:r>
    </w:p>
    <w:p>
      <w:pPr>
        <w:keepNext w:val="0"/>
        <w:keepLines w:val="0"/>
        <w:pageBreakBefore w:val="0"/>
        <w:kinsoku/>
        <w:wordWrap/>
        <w:overflowPunct/>
        <w:topLinePunct w:val="0"/>
        <w:bidi w:val="0"/>
        <w:adjustRightInd/>
        <w:snapToGrid w:val="0"/>
        <w:spacing w:line="400" w:lineRule="exact"/>
        <w:ind w:firstLine="411" w:firstLineChars="196"/>
        <w:outlineLvl w:val="4"/>
        <w:rPr>
          <w:rFonts w:ascii="宋体" w:hAnsi="宋体"/>
          <w:color w:val="auto"/>
          <w:szCs w:val="21"/>
          <w:highlight w:val="none"/>
        </w:rPr>
      </w:pPr>
      <w:r>
        <w:rPr>
          <w:rFonts w:hint="eastAsia" w:ascii="宋体" w:hAnsi="宋体"/>
          <w:color w:val="auto"/>
          <w:szCs w:val="21"/>
          <w:highlight w:val="none"/>
        </w:rPr>
        <w:t>（1）未按谈判文件规定完整提交</w:t>
      </w:r>
      <w:r>
        <w:rPr>
          <w:rFonts w:hint="eastAsia"/>
          <w:color w:val="auto"/>
          <w:highlight w:val="none"/>
        </w:rPr>
        <w:t>响应</w:t>
      </w:r>
      <w:r>
        <w:rPr>
          <w:rFonts w:hint="eastAsia" w:ascii="宋体" w:hAnsi="宋体"/>
          <w:color w:val="auto"/>
          <w:szCs w:val="21"/>
          <w:highlight w:val="none"/>
        </w:rPr>
        <w:t>文件或未按规定要求密封、签署、盖章的；</w:t>
      </w:r>
    </w:p>
    <w:p>
      <w:pPr>
        <w:keepNext w:val="0"/>
        <w:keepLines w:val="0"/>
        <w:pageBreakBefore w:val="0"/>
        <w:kinsoku/>
        <w:wordWrap/>
        <w:overflowPunct/>
        <w:topLinePunct w:val="0"/>
        <w:bidi w:val="0"/>
        <w:adjustRightInd/>
        <w:snapToGrid w:val="0"/>
        <w:spacing w:line="400" w:lineRule="exact"/>
        <w:ind w:firstLine="420" w:firstLineChars="200"/>
        <w:outlineLvl w:val="4"/>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）超越了行政审批的经营范围的；</w:t>
      </w:r>
    </w:p>
    <w:p>
      <w:pPr>
        <w:keepNext w:val="0"/>
        <w:keepLines w:val="0"/>
        <w:pageBreakBefore w:val="0"/>
        <w:kinsoku/>
        <w:wordWrap/>
        <w:overflowPunct/>
        <w:topLinePunct w:val="0"/>
        <w:bidi w:val="0"/>
        <w:adjustRightInd/>
        <w:snapToGrid w:val="0"/>
        <w:spacing w:line="400" w:lineRule="exact"/>
        <w:ind w:firstLine="411" w:firstLineChars="196"/>
        <w:outlineLvl w:val="4"/>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）不具备谈判文件规定的资格要求的</w:t>
      </w:r>
      <w:r>
        <w:rPr>
          <w:rFonts w:hint="eastAsia" w:ascii="宋体" w:hAnsi="宋体"/>
          <w:color w:val="auto"/>
          <w:highlight w:val="none"/>
        </w:rPr>
        <w:t>；</w:t>
      </w:r>
    </w:p>
    <w:p>
      <w:pPr>
        <w:keepNext w:val="0"/>
        <w:keepLines w:val="0"/>
        <w:pageBreakBefore w:val="0"/>
        <w:kinsoku/>
        <w:wordWrap/>
        <w:overflowPunct/>
        <w:topLinePunct w:val="0"/>
        <w:bidi w:val="0"/>
        <w:adjustRightInd/>
        <w:snapToGrid w:val="0"/>
        <w:spacing w:line="400" w:lineRule="exact"/>
        <w:ind w:firstLine="411" w:firstLineChars="196"/>
        <w:outlineLvl w:val="4"/>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w:t>
      </w:r>
      <w:r>
        <w:rPr>
          <w:rFonts w:hint="eastAsia"/>
          <w:color w:val="auto"/>
          <w:highlight w:val="none"/>
        </w:rPr>
        <w:t>响应</w:t>
      </w:r>
      <w:r>
        <w:rPr>
          <w:rFonts w:hint="eastAsia" w:ascii="宋体" w:hAnsi="宋体"/>
          <w:color w:val="auto"/>
          <w:szCs w:val="21"/>
          <w:highlight w:val="none"/>
        </w:rPr>
        <w:t>文件未按谈判文件的内容和要求编写，或提供虚假材料的；</w:t>
      </w:r>
    </w:p>
    <w:p>
      <w:pPr>
        <w:keepNext w:val="0"/>
        <w:keepLines w:val="0"/>
        <w:pageBreakBefore w:val="0"/>
        <w:kinsoku/>
        <w:wordWrap/>
        <w:overflowPunct/>
        <w:topLinePunct w:val="0"/>
        <w:bidi w:val="0"/>
        <w:adjustRightInd/>
        <w:snapToGrid w:val="0"/>
        <w:spacing w:line="400" w:lineRule="exact"/>
        <w:ind w:firstLine="411" w:firstLineChars="196"/>
        <w:outlineLvl w:val="4"/>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）属于“必须提供”的响应文件未能按时提供或补正、更正的；</w:t>
      </w:r>
    </w:p>
    <w:p>
      <w:pPr>
        <w:keepNext w:val="0"/>
        <w:keepLines w:val="0"/>
        <w:pageBreakBefore w:val="0"/>
        <w:kinsoku/>
        <w:wordWrap/>
        <w:overflowPunct/>
        <w:topLinePunct w:val="0"/>
        <w:bidi w:val="0"/>
        <w:adjustRightInd/>
        <w:snapToGrid w:val="0"/>
        <w:spacing w:line="400" w:lineRule="exact"/>
        <w:ind w:firstLine="411" w:firstLineChars="196"/>
        <w:outlineLvl w:val="4"/>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highlight w:val="none"/>
          <w:lang w:val="en-US" w:eastAsia="zh-CN"/>
        </w:rPr>
        <w:t>6</w:t>
      </w:r>
      <w:r>
        <w:rPr>
          <w:rFonts w:hint="eastAsia" w:ascii="宋体" w:hAnsi="宋体"/>
          <w:color w:val="auto"/>
          <w:highlight w:val="none"/>
        </w:rPr>
        <w:t>）</w:t>
      </w:r>
      <w:r>
        <w:rPr>
          <w:rFonts w:hint="eastAsia" w:ascii="宋体" w:hAnsi="宋体"/>
          <w:color w:val="auto"/>
          <w:szCs w:val="21"/>
          <w:highlight w:val="none"/>
        </w:rPr>
        <w:t>响应文件有效期、交货时间、免费保修期、售后服务不能满足谈判文件要求的；</w:t>
      </w:r>
    </w:p>
    <w:p>
      <w:pPr>
        <w:keepNext w:val="0"/>
        <w:keepLines w:val="0"/>
        <w:pageBreakBefore w:val="0"/>
        <w:kinsoku/>
        <w:wordWrap/>
        <w:overflowPunct/>
        <w:topLinePunct w:val="0"/>
        <w:bidi w:val="0"/>
        <w:adjustRightInd/>
        <w:snapToGrid w:val="0"/>
        <w:spacing w:line="400" w:lineRule="exact"/>
        <w:ind w:firstLine="411" w:firstLineChars="196"/>
        <w:outlineLvl w:val="4"/>
        <w:rPr>
          <w:rFonts w:hAnsi="宋体"/>
          <w:color w:val="auto"/>
          <w:highlight w:val="none"/>
        </w:rPr>
      </w:pPr>
      <w:r>
        <w:rPr>
          <w:rFonts w:hint="eastAsia" w:hAnsi="宋体"/>
          <w:color w:val="auto"/>
          <w:highlight w:val="none"/>
        </w:rPr>
        <w:t>（</w:t>
      </w:r>
      <w:r>
        <w:rPr>
          <w:rFonts w:hint="eastAsia" w:hAnsi="宋体"/>
          <w:color w:val="auto"/>
          <w:highlight w:val="none"/>
          <w:lang w:val="en-US" w:eastAsia="zh-CN"/>
        </w:rPr>
        <w:t>7</w:t>
      </w:r>
      <w:r>
        <w:rPr>
          <w:rFonts w:hint="eastAsia" w:hAnsi="宋体"/>
          <w:color w:val="auto"/>
          <w:highlight w:val="none"/>
        </w:rPr>
        <w:t>）</w:t>
      </w:r>
      <w:r>
        <w:rPr>
          <w:rFonts w:hint="eastAsia" w:ascii="宋体" w:hAnsi="宋体"/>
          <w:color w:val="auto"/>
          <w:highlight w:val="none"/>
        </w:rPr>
        <w:t>供应商</w:t>
      </w:r>
      <w:r>
        <w:rPr>
          <w:rFonts w:hint="eastAsia" w:ascii="宋体" w:hAnsi="宋体"/>
          <w:color w:val="auto"/>
          <w:szCs w:val="21"/>
          <w:highlight w:val="none"/>
        </w:rPr>
        <w:t>未就“货物采购需求”中所竞的所有货物内容作完整唯一报价的</w:t>
      </w:r>
      <w:r>
        <w:rPr>
          <w:rFonts w:hint="eastAsia" w:ascii="宋体" w:hAnsi="宋体"/>
          <w:color w:val="auto"/>
          <w:highlight w:val="none"/>
        </w:rPr>
        <w:t>，或报价超出采购预算总金额的；</w:t>
      </w:r>
    </w:p>
    <w:p>
      <w:pPr>
        <w:pStyle w:val="10"/>
        <w:keepNext w:val="0"/>
        <w:keepLines w:val="0"/>
        <w:pageBreakBefore w:val="0"/>
        <w:kinsoku/>
        <w:wordWrap/>
        <w:overflowPunct/>
        <w:topLinePunct w:val="0"/>
        <w:bidi w:val="0"/>
        <w:adjustRightInd/>
        <w:spacing w:line="400" w:lineRule="exact"/>
        <w:ind w:firstLine="420" w:firstLineChars="200"/>
        <w:rPr>
          <w:rFonts w:hAnsi="宋体"/>
          <w:color w:val="auto"/>
          <w:szCs w:val="24"/>
          <w:highlight w:val="none"/>
        </w:rPr>
      </w:pPr>
      <w:r>
        <w:rPr>
          <w:rFonts w:hint="eastAsia"/>
          <w:color w:val="auto"/>
          <w:highlight w:val="none"/>
        </w:rPr>
        <w:t>（</w:t>
      </w:r>
      <w:r>
        <w:rPr>
          <w:rFonts w:hint="eastAsia"/>
          <w:color w:val="auto"/>
          <w:highlight w:val="none"/>
          <w:lang w:val="en-US" w:eastAsia="zh-CN"/>
        </w:rPr>
        <w:t>8</w:t>
      </w:r>
      <w:r>
        <w:rPr>
          <w:rFonts w:hint="eastAsia"/>
          <w:color w:val="auto"/>
          <w:highlight w:val="none"/>
        </w:rPr>
        <w:t>）</w:t>
      </w:r>
      <w:r>
        <w:rPr>
          <w:color w:val="auto"/>
          <w:highlight w:val="none"/>
        </w:rPr>
        <w:t>未在谈判小组规定的时间内</w:t>
      </w:r>
      <w:r>
        <w:rPr>
          <w:rFonts w:hint="eastAsia"/>
          <w:color w:val="auto"/>
          <w:highlight w:val="none"/>
        </w:rPr>
        <w:t>重新提交响应文件</w:t>
      </w:r>
      <w:r>
        <w:rPr>
          <w:color w:val="auto"/>
          <w:highlight w:val="none"/>
        </w:rPr>
        <w:t>的</w:t>
      </w:r>
      <w:r>
        <w:rPr>
          <w:rFonts w:hint="eastAsia"/>
          <w:color w:val="auto"/>
          <w:highlight w:val="none"/>
        </w:rPr>
        <w:t>；</w:t>
      </w:r>
    </w:p>
    <w:p>
      <w:pPr>
        <w:pStyle w:val="10"/>
        <w:keepNext w:val="0"/>
        <w:keepLines w:val="0"/>
        <w:pageBreakBefore w:val="0"/>
        <w:kinsoku/>
        <w:wordWrap/>
        <w:overflowPunct/>
        <w:topLinePunct w:val="0"/>
        <w:bidi w:val="0"/>
        <w:adjustRightInd/>
        <w:spacing w:line="400" w:lineRule="exact"/>
        <w:ind w:firstLine="420" w:firstLineChars="200"/>
        <w:rPr>
          <w:rFonts w:hAnsi="宋体"/>
          <w:color w:val="auto"/>
          <w:szCs w:val="24"/>
          <w:highlight w:val="none"/>
        </w:rPr>
      </w:pPr>
      <w:r>
        <w:rPr>
          <w:rFonts w:hint="eastAsia" w:hAnsi="宋体"/>
          <w:color w:val="auto"/>
          <w:szCs w:val="24"/>
          <w:highlight w:val="none"/>
        </w:rPr>
        <w:t>（</w:t>
      </w:r>
      <w:r>
        <w:rPr>
          <w:rFonts w:hint="eastAsia" w:hAnsi="宋体"/>
          <w:color w:val="auto"/>
          <w:szCs w:val="24"/>
          <w:highlight w:val="none"/>
          <w:lang w:val="en-US" w:eastAsia="zh-CN"/>
        </w:rPr>
        <w:t>9</w:t>
      </w:r>
      <w:r>
        <w:rPr>
          <w:rFonts w:hint="eastAsia" w:hAnsi="宋体"/>
          <w:color w:val="auto"/>
          <w:szCs w:val="24"/>
          <w:highlight w:val="none"/>
        </w:rPr>
        <w:t>）未实质性响应谈判文件要求的；或者</w:t>
      </w:r>
      <w:r>
        <w:rPr>
          <w:rFonts w:hint="eastAsia"/>
          <w:color w:val="auto"/>
          <w:highlight w:val="none"/>
        </w:rPr>
        <w:t>响应</w:t>
      </w:r>
      <w:r>
        <w:rPr>
          <w:rFonts w:hint="eastAsia" w:hAnsi="宋体"/>
          <w:color w:val="auto"/>
          <w:szCs w:val="24"/>
          <w:highlight w:val="none"/>
        </w:rPr>
        <w:t>文件有采购人不能接受的附加条件的；</w:t>
      </w:r>
    </w:p>
    <w:p>
      <w:pPr>
        <w:pStyle w:val="10"/>
        <w:keepNext w:val="0"/>
        <w:keepLines w:val="0"/>
        <w:pageBreakBefore w:val="0"/>
        <w:kinsoku/>
        <w:wordWrap/>
        <w:overflowPunct/>
        <w:topLinePunct w:val="0"/>
        <w:bidi w:val="0"/>
        <w:adjustRightInd/>
        <w:spacing w:line="400" w:lineRule="exact"/>
        <w:ind w:firstLine="420" w:firstLineChars="200"/>
        <w:rPr>
          <w:rFonts w:hint="eastAsia" w:hAnsi="宋体"/>
          <w:color w:val="auto"/>
          <w:szCs w:val="21"/>
          <w:highlight w:val="none"/>
        </w:rPr>
      </w:pPr>
      <w:r>
        <w:rPr>
          <w:rFonts w:hint="eastAsia" w:hAnsi="宋体"/>
          <w:color w:val="auto"/>
          <w:highlight w:val="none"/>
        </w:rPr>
        <w:t>（1</w:t>
      </w:r>
      <w:r>
        <w:rPr>
          <w:rFonts w:hint="eastAsia" w:hAnsi="宋体"/>
          <w:color w:val="auto"/>
          <w:highlight w:val="none"/>
          <w:lang w:val="en-US" w:eastAsia="zh-CN"/>
        </w:rPr>
        <w:t>0</w:t>
      </w:r>
      <w:r>
        <w:rPr>
          <w:rFonts w:hint="eastAsia" w:hAnsi="宋体"/>
          <w:color w:val="auto"/>
          <w:highlight w:val="none"/>
        </w:rPr>
        <w:t>）</w:t>
      </w:r>
      <w:r>
        <w:rPr>
          <w:rFonts w:hint="eastAsia" w:hAnsi="宋体"/>
          <w:color w:val="auto"/>
          <w:szCs w:val="21"/>
          <w:highlight w:val="none"/>
        </w:rPr>
        <w:t>不符合法律、法规和谈判文件规定的其他实质性要求和条件的。</w:t>
      </w:r>
    </w:p>
    <w:p>
      <w:pPr>
        <w:keepNext w:val="0"/>
        <w:keepLines w:val="0"/>
        <w:pageBreakBefore w:val="0"/>
        <w:kinsoku/>
        <w:wordWrap/>
        <w:overflowPunct/>
        <w:topLinePunct w:val="0"/>
        <w:bidi w:val="0"/>
        <w:adjustRightInd/>
        <w:snapToGrid w:val="0"/>
        <w:spacing w:line="400" w:lineRule="exact"/>
        <w:ind w:left="355" w:leftChars="169" w:firstLine="103" w:firstLineChars="49"/>
        <w:outlineLvl w:val="4"/>
        <w:rPr>
          <w:rFonts w:hint="eastAsia" w:ascii="宋体" w:hAnsi="宋体"/>
          <w:b/>
          <w:color w:val="auto"/>
          <w:szCs w:val="21"/>
          <w:highlight w:val="none"/>
        </w:rPr>
      </w:pPr>
      <w:r>
        <w:rPr>
          <w:rFonts w:hint="eastAsia" w:ascii="宋体" w:hAnsi="宋体"/>
          <w:b/>
          <w:color w:val="auto"/>
          <w:szCs w:val="21"/>
          <w:highlight w:val="none"/>
          <w:lang w:eastAsia="zh-CN"/>
        </w:rPr>
        <w:t>供应商</w:t>
      </w:r>
      <w:r>
        <w:rPr>
          <w:rFonts w:hint="eastAsia" w:ascii="宋体" w:hAnsi="宋体"/>
          <w:b/>
          <w:color w:val="auto"/>
          <w:szCs w:val="21"/>
          <w:highlight w:val="none"/>
        </w:rPr>
        <w:t>有下列情形之一的，视为串通竞标，竞标文件将被视为无效：</w:t>
      </w:r>
    </w:p>
    <w:p>
      <w:pPr>
        <w:keepNext w:val="0"/>
        <w:keepLines w:val="0"/>
        <w:pageBreakBefore w:val="0"/>
        <w:kinsoku/>
        <w:wordWrap/>
        <w:overflowPunct/>
        <w:topLinePunct w:val="0"/>
        <w:bidi w:val="0"/>
        <w:adjustRightInd/>
        <w:snapToGrid w:val="0"/>
        <w:spacing w:line="400" w:lineRule="exact"/>
        <w:ind w:left="355" w:leftChars="169" w:firstLine="102" w:firstLineChars="49"/>
        <w:outlineLvl w:val="4"/>
        <w:rPr>
          <w:rFonts w:hint="eastAsia" w:ascii="宋体" w:hAnsi="宋体"/>
          <w:color w:val="auto"/>
          <w:highlight w:val="none"/>
        </w:rPr>
      </w:pPr>
      <w:r>
        <w:rPr>
          <w:rFonts w:hint="eastAsia" w:ascii="宋体" w:hAnsi="宋体"/>
          <w:color w:val="auto"/>
          <w:highlight w:val="none"/>
        </w:rPr>
        <w:t>（1）不同</w:t>
      </w:r>
      <w:r>
        <w:rPr>
          <w:rFonts w:hint="eastAsia" w:ascii="宋体" w:hAnsi="宋体"/>
          <w:color w:val="auto"/>
          <w:highlight w:val="none"/>
          <w:lang w:eastAsia="zh-CN"/>
        </w:rPr>
        <w:t>供应商</w:t>
      </w:r>
      <w:r>
        <w:rPr>
          <w:rFonts w:hint="eastAsia" w:ascii="宋体" w:hAnsi="宋体"/>
          <w:color w:val="auto"/>
          <w:highlight w:val="none"/>
        </w:rPr>
        <w:t>的竞标文件由同一单位或者个人编制；</w:t>
      </w:r>
    </w:p>
    <w:p>
      <w:pPr>
        <w:keepNext w:val="0"/>
        <w:keepLines w:val="0"/>
        <w:pageBreakBefore w:val="0"/>
        <w:kinsoku/>
        <w:wordWrap/>
        <w:overflowPunct/>
        <w:topLinePunct w:val="0"/>
        <w:bidi w:val="0"/>
        <w:adjustRightInd/>
        <w:snapToGrid w:val="0"/>
        <w:spacing w:line="400" w:lineRule="exact"/>
        <w:ind w:left="355" w:leftChars="169" w:firstLine="102" w:firstLineChars="49"/>
        <w:outlineLvl w:val="4"/>
        <w:rPr>
          <w:rFonts w:hint="eastAsia" w:ascii="宋体" w:hAnsi="宋体"/>
          <w:color w:val="auto"/>
          <w:highlight w:val="none"/>
        </w:rPr>
      </w:pPr>
      <w:r>
        <w:rPr>
          <w:rFonts w:hint="eastAsia" w:ascii="宋体" w:hAnsi="宋体"/>
          <w:color w:val="auto"/>
          <w:highlight w:val="none"/>
        </w:rPr>
        <w:t>（2）不同</w:t>
      </w:r>
      <w:r>
        <w:rPr>
          <w:rFonts w:hint="eastAsia" w:ascii="宋体" w:hAnsi="宋体"/>
          <w:color w:val="auto"/>
          <w:highlight w:val="none"/>
          <w:lang w:eastAsia="zh-CN"/>
        </w:rPr>
        <w:t>供应商</w:t>
      </w:r>
      <w:r>
        <w:rPr>
          <w:rFonts w:hint="eastAsia" w:ascii="宋体" w:hAnsi="宋体"/>
          <w:color w:val="auto"/>
          <w:highlight w:val="none"/>
        </w:rPr>
        <w:t>委托同一单位或者个人办理竞标事宜；</w:t>
      </w:r>
    </w:p>
    <w:p>
      <w:pPr>
        <w:keepNext w:val="0"/>
        <w:keepLines w:val="0"/>
        <w:pageBreakBefore w:val="0"/>
        <w:kinsoku/>
        <w:wordWrap/>
        <w:overflowPunct/>
        <w:topLinePunct w:val="0"/>
        <w:bidi w:val="0"/>
        <w:adjustRightInd/>
        <w:snapToGrid w:val="0"/>
        <w:spacing w:line="400" w:lineRule="exact"/>
        <w:ind w:left="355" w:leftChars="169" w:firstLine="102" w:firstLineChars="49"/>
        <w:outlineLvl w:val="4"/>
        <w:rPr>
          <w:rFonts w:hint="eastAsia" w:ascii="宋体" w:hAnsi="宋体"/>
          <w:color w:val="auto"/>
          <w:highlight w:val="none"/>
        </w:rPr>
      </w:pPr>
      <w:r>
        <w:rPr>
          <w:rFonts w:hint="eastAsia" w:ascii="宋体" w:hAnsi="宋体"/>
          <w:color w:val="auto"/>
          <w:highlight w:val="none"/>
        </w:rPr>
        <w:t>（3）不同的</w:t>
      </w:r>
      <w:r>
        <w:rPr>
          <w:rFonts w:hint="eastAsia" w:ascii="宋体" w:hAnsi="宋体"/>
          <w:color w:val="auto"/>
          <w:highlight w:val="none"/>
          <w:lang w:eastAsia="zh-CN"/>
        </w:rPr>
        <w:t>供应商</w:t>
      </w:r>
      <w:r>
        <w:rPr>
          <w:rFonts w:hint="eastAsia" w:ascii="宋体" w:hAnsi="宋体"/>
          <w:color w:val="auto"/>
          <w:highlight w:val="none"/>
        </w:rPr>
        <w:t>的竞标文件载明的项目管理员为同一个人；</w:t>
      </w:r>
    </w:p>
    <w:p>
      <w:pPr>
        <w:keepNext w:val="0"/>
        <w:keepLines w:val="0"/>
        <w:pageBreakBefore w:val="0"/>
        <w:kinsoku/>
        <w:wordWrap/>
        <w:overflowPunct/>
        <w:topLinePunct w:val="0"/>
        <w:bidi w:val="0"/>
        <w:adjustRightInd/>
        <w:snapToGrid w:val="0"/>
        <w:spacing w:line="400" w:lineRule="exact"/>
        <w:ind w:left="355" w:leftChars="169" w:firstLine="102" w:firstLineChars="49"/>
        <w:outlineLvl w:val="4"/>
        <w:rPr>
          <w:rFonts w:hint="eastAsia" w:ascii="宋体" w:hAnsi="宋体"/>
          <w:color w:val="auto"/>
          <w:highlight w:val="none"/>
        </w:rPr>
      </w:pPr>
      <w:r>
        <w:rPr>
          <w:rFonts w:hint="eastAsia" w:ascii="宋体" w:hAnsi="宋体"/>
          <w:color w:val="auto"/>
          <w:highlight w:val="none"/>
        </w:rPr>
        <w:t>（4）不同</w:t>
      </w:r>
      <w:r>
        <w:rPr>
          <w:rFonts w:hint="eastAsia" w:ascii="宋体" w:hAnsi="宋体"/>
          <w:color w:val="auto"/>
          <w:highlight w:val="none"/>
          <w:lang w:eastAsia="zh-CN"/>
        </w:rPr>
        <w:t>供应商</w:t>
      </w:r>
      <w:r>
        <w:rPr>
          <w:rFonts w:hint="eastAsia" w:ascii="宋体" w:hAnsi="宋体"/>
          <w:color w:val="auto"/>
          <w:highlight w:val="none"/>
        </w:rPr>
        <w:t xml:space="preserve">的竞标文件异常一致或竞标报价呈规律性差异； </w:t>
      </w:r>
    </w:p>
    <w:p>
      <w:pPr>
        <w:keepNext w:val="0"/>
        <w:keepLines w:val="0"/>
        <w:pageBreakBefore w:val="0"/>
        <w:kinsoku/>
        <w:wordWrap/>
        <w:overflowPunct/>
        <w:topLinePunct w:val="0"/>
        <w:bidi w:val="0"/>
        <w:adjustRightInd/>
        <w:snapToGrid w:val="0"/>
        <w:spacing w:line="400" w:lineRule="exact"/>
        <w:ind w:left="355" w:leftChars="169" w:firstLine="102" w:firstLineChars="49"/>
        <w:outlineLvl w:val="4"/>
        <w:rPr>
          <w:rFonts w:hint="eastAsia" w:ascii="宋体" w:hAnsi="宋体"/>
          <w:color w:val="auto"/>
          <w:highlight w:val="none"/>
        </w:rPr>
      </w:pPr>
      <w:r>
        <w:rPr>
          <w:rFonts w:hint="eastAsia" w:ascii="宋体" w:hAnsi="宋体"/>
          <w:color w:val="auto"/>
          <w:highlight w:val="none"/>
        </w:rPr>
        <w:t>（5）不同</w:t>
      </w:r>
      <w:r>
        <w:rPr>
          <w:rFonts w:hint="eastAsia" w:ascii="宋体" w:hAnsi="宋体"/>
          <w:color w:val="auto"/>
          <w:highlight w:val="none"/>
          <w:lang w:eastAsia="zh-CN"/>
        </w:rPr>
        <w:t>供应商</w:t>
      </w:r>
      <w:r>
        <w:rPr>
          <w:rFonts w:hint="eastAsia" w:ascii="宋体" w:hAnsi="宋体"/>
          <w:color w:val="auto"/>
          <w:highlight w:val="none"/>
        </w:rPr>
        <w:t>的竞标文件相互混装；</w:t>
      </w:r>
    </w:p>
    <w:p>
      <w:pPr>
        <w:keepNext w:val="0"/>
        <w:keepLines w:val="0"/>
        <w:pageBreakBefore w:val="0"/>
        <w:kinsoku/>
        <w:wordWrap/>
        <w:overflowPunct/>
        <w:topLinePunct w:val="0"/>
        <w:bidi w:val="0"/>
        <w:adjustRightInd/>
        <w:snapToGrid w:val="0"/>
        <w:spacing w:line="400" w:lineRule="exact"/>
        <w:ind w:left="355" w:leftChars="169" w:firstLine="102" w:firstLineChars="49"/>
        <w:outlineLvl w:val="4"/>
        <w:rPr>
          <w:rFonts w:hint="eastAsia" w:ascii="宋体" w:hAnsi="宋体"/>
          <w:color w:val="auto"/>
          <w:highlight w:val="none"/>
        </w:rPr>
      </w:pPr>
      <w:r>
        <w:rPr>
          <w:rFonts w:hint="eastAsia" w:ascii="宋体" w:hAnsi="宋体"/>
          <w:color w:val="auto"/>
          <w:highlight w:val="none"/>
        </w:rPr>
        <w:t>（6）不同</w:t>
      </w:r>
      <w:r>
        <w:rPr>
          <w:rFonts w:hint="eastAsia" w:ascii="宋体" w:hAnsi="宋体"/>
          <w:color w:val="auto"/>
          <w:highlight w:val="none"/>
          <w:lang w:eastAsia="zh-CN"/>
        </w:rPr>
        <w:t>供应商</w:t>
      </w:r>
      <w:r>
        <w:rPr>
          <w:rFonts w:hint="eastAsia" w:ascii="宋体" w:hAnsi="宋体"/>
          <w:color w:val="auto"/>
          <w:highlight w:val="none"/>
        </w:rPr>
        <w:t>的竞标保证金从同一单位或者个人账户转出；</w:t>
      </w:r>
    </w:p>
    <w:p>
      <w:pPr>
        <w:keepNext w:val="0"/>
        <w:keepLines w:val="0"/>
        <w:pageBreakBefore w:val="0"/>
        <w:kinsoku/>
        <w:wordWrap/>
        <w:overflowPunct/>
        <w:topLinePunct w:val="0"/>
        <w:bidi w:val="0"/>
        <w:adjustRightInd/>
        <w:snapToGrid w:val="0"/>
        <w:spacing w:line="400" w:lineRule="exact"/>
        <w:ind w:firstLine="420" w:firstLineChars="200"/>
        <w:outlineLvl w:val="4"/>
        <w:rPr>
          <w:rFonts w:hint="eastAsia" w:hAnsi="宋体"/>
          <w:b/>
          <w:bCs/>
          <w:color w:val="auto"/>
          <w:szCs w:val="21"/>
          <w:highlight w:val="none"/>
        </w:rPr>
      </w:pPr>
      <w:r>
        <w:rPr>
          <w:rFonts w:hint="eastAsia" w:ascii="宋体" w:hAnsi="宋体"/>
          <w:color w:val="auto"/>
          <w:szCs w:val="21"/>
          <w:highlight w:val="none"/>
        </w:rPr>
        <w:t>（7）竞标文件实质性要求未做变动，</w:t>
      </w:r>
      <w:r>
        <w:rPr>
          <w:rFonts w:hint="eastAsia" w:ascii="宋体" w:hAnsi="宋体"/>
          <w:color w:val="auto"/>
          <w:szCs w:val="21"/>
          <w:highlight w:val="none"/>
          <w:lang w:eastAsia="zh-CN"/>
        </w:rPr>
        <w:t>供应商</w:t>
      </w:r>
      <w:r>
        <w:rPr>
          <w:rFonts w:hint="eastAsia" w:ascii="宋体" w:hAnsi="宋体"/>
          <w:color w:val="auto"/>
          <w:szCs w:val="21"/>
          <w:highlight w:val="none"/>
        </w:rPr>
        <w:t>最终报价高于第一次报价的。</w:t>
      </w:r>
    </w:p>
    <w:p>
      <w:pPr>
        <w:keepNext w:val="0"/>
        <w:keepLines w:val="0"/>
        <w:pageBreakBefore w:val="0"/>
        <w:kinsoku/>
        <w:wordWrap/>
        <w:overflowPunct/>
        <w:topLinePunct w:val="0"/>
        <w:bidi w:val="0"/>
        <w:adjustRightInd/>
        <w:snapToGrid w:val="0"/>
        <w:spacing w:line="400" w:lineRule="exact"/>
        <w:ind w:firstLine="413" w:firstLineChars="196"/>
        <w:outlineLvl w:val="4"/>
        <w:rPr>
          <w:rFonts w:ascii="宋体" w:hAnsi="宋体"/>
          <w:b/>
          <w:color w:val="auto"/>
          <w:szCs w:val="21"/>
          <w:highlight w:val="none"/>
        </w:rPr>
      </w:pPr>
      <w:r>
        <w:rPr>
          <w:rFonts w:hint="eastAsia" w:ascii="宋体" w:hAnsi="宋体"/>
          <w:b/>
          <w:color w:val="auto"/>
          <w:szCs w:val="21"/>
          <w:highlight w:val="none"/>
        </w:rPr>
        <w:t>24、</w:t>
      </w:r>
      <w:r>
        <w:rPr>
          <w:rFonts w:ascii="宋体" w:hAnsi="宋体"/>
          <w:b/>
          <w:color w:val="auto"/>
          <w:szCs w:val="21"/>
          <w:highlight w:val="none"/>
        </w:rPr>
        <w:t>出现下列情形之一的，采购人或者采购代理机构应当终止竞争性谈判采购活动，发布项目终止公告并说明原因，重新开展采购活动：</w:t>
      </w:r>
    </w:p>
    <w:p>
      <w:pPr>
        <w:keepNext w:val="0"/>
        <w:keepLines w:val="0"/>
        <w:pageBreakBefore w:val="0"/>
        <w:kinsoku/>
        <w:wordWrap/>
        <w:overflowPunct/>
        <w:topLinePunct w:val="0"/>
        <w:bidi w:val="0"/>
        <w:adjustRightInd/>
        <w:snapToGrid w:val="0"/>
        <w:spacing w:line="400" w:lineRule="exact"/>
        <w:ind w:firstLine="411" w:firstLineChars="196"/>
        <w:outlineLvl w:val="4"/>
        <w:rPr>
          <w:rFonts w:ascii="宋体" w:hAnsi="宋体"/>
          <w:color w:val="auto"/>
          <w:szCs w:val="21"/>
          <w:highlight w:val="none"/>
        </w:rPr>
      </w:pPr>
      <w:r>
        <w:rPr>
          <w:rFonts w:hint="eastAsia" w:ascii="宋体" w:hAnsi="宋体"/>
          <w:color w:val="auto"/>
          <w:szCs w:val="21"/>
          <w:highlight w:val="none"/>
        </w:rPr>
        <w:t>（1）</w:t>
      </w:r>
      <w:r>
        <w:rPr>
          <w:rFonts w:ascii="宋体" w:hAnsi="宋体"/>
          <w:color w:val="auto"/>
          <w:szCs w:val="21"/>
          <w:highlight w:val="none"/>
        </w:rPr>
        <w:t>因情况变化，不再符合规定的竞争性谈判采购方式适用情形的；</w:t>
      </w:r>
    </w:p>
    <w:p>
      <w:pPr>
        <w:keepNext w:val="0"/>
        <w:keepLines w:val="0"/>
        <w:pageBreakBefore w:val="0"/>
        <w:kinsoku/>
        <w:wordWrap/>
        <w:overflowPunct/>
        <w:topLinePunct w:val="0"/>
        <w:bidi w:val="0"/>
        <w:adjustRightInd/>
        <w:snapToGrid w:val="0"/>
        <w:spacing w:line="400" w:lineRule="exact"/>
        <w:ind w:firstLine="411" w:firstLineChars="196"/>
        <w:outlineLvl w:val="4"/>
        <w:rPr>
          <w:rFonts w:ascii="宋体" w:hAnsi="宋体"/>
          <w:color w:val="auto"/>
          <w:szCs w:val="21"/>
          <w:highlight w:val="none"/>
        </w:rPr>
      </w:pPr>
      <w:r>
        <w:rPr>
          <w:rFonts w:hint="eastAsia" w:ascii="宋体" w:hAnsi="宋体"/>
          <w:color w:val="auto"/>
          <w:szCs w:val="21"/>
          <w:highlight w:val="none"/>
        </w:rPr>
        <w:t>（2）</w:t>
      </w:r>
      <w:r>
        <w:rPr>
          <w:rFonts w:ascii="宋体" w:hAnsi="宋体"/>
          <w:color w:val="auto"/>
          <w:szCs w:val="21"/>
          <w:highlight w:val="none"/>
        </w:rPr>
        <w:t>出现影响采购公正的违法、违规行为的；</w:t>
      </w:r>
      <w:r>
        <w:rPr>
          <w:rFonts w:hint="eastAsia" w:ascii="宋体" w:hAnsi="宋体"/>
          <w:color w:val="auto"/>
          <w:szCs w:val="21"/>
          <w:highlight w:val="none"/>
        </w:rPr>
        <w:t xml:space="preserve"> </w:t>
      </w:r>
    </w:p>
    <w:p>
      <w:pPr>
        <w:keepNext w:val="0"/>
        <w:keepLines w:val="0"/>
        <w:pageBreakBefore w:val="0"/>
        <w:kinsoku/>
        <w:wordWrap/>
        <w:overflowPunct/>
        <w:topLinePunct w:val="0"/>
        <w:bidi w:val="0"/>
        <w:adjustRightInd/>
        <w:snapToGrid w:val="0"/>
        <w:spacing w:line="400" w:lineRule="exact"/>
        <w:ind w:firstLine="411" w:firstLineChars="196"/>
        <w:outlineLvl w:val="4"/>
        <w:rPr>
          <w:rFonts w:ascii="宋体" w:hAnsi="宋体"/>
          <w:color w:val="auto"/>
          <w:szCs w:val="21"/>
          <w:highlight w:val="none"/>
        </w:rPr>
      </w:pPr>
      <w:r>
        <w:rPr>
          <w:rFonts w:hint="eastAsia" w:ascii="宋体" w:hAnsi="宋体"/>
          <w:color w:val="auto"/>
          <w:szCs w:val="21"/>
          <w:highlight w:val="none"/>
        </w:rPr>
        <w:t>（3）</w:t>
      </w:r>
      <w:r>
        <w:rPr>
          <w:rFonts w:ascii="宋体" w:hAnsi="宋体"/>
          <w:color w:val="auto"/>
          <w:szCs w:val="21"/>
          <w:highlight w:val="none"/>
        </w:rPr>
        <w:t>在采购过程中符合竞争要求的供应商或者报价未超过采购预算的供应商不足3家的</w:t>
      </w:r>
      <w:r>
        <w:rPr>
          <w:rFonts w:hint="eastAsia" w:ascii="宋体" w:hAnsi="宋体"/>
          <w:color w:val="auto"/>
          <w:szCs w:val="21"/>
          <w:highlight w:val="none"/>
        </w:rPr>
        <w:t xml:space="preserve">。 </w:t>
      </w:r>
    </w:p>
    <w:p>
      <w:pPr>
        <w:keepNext w:val="0"/>
        <w:keepLines w:val="0"/>
        <w:pageBreakBefore w:val="0"/>
        <w:kinsoku/>
        <w:wordWrap/>
        <w:overflowPunct/>
        <w:topLinePunct w:val="0"/>
        <w:bidi w:val="0"/>
        <w:adjustRightInd/>
        <w:snapToGrid w:val="0"/>
        <w:spacing w:line="400" w:lineRule="exact"/>
        <w:ind w:firstLine="422" w:firstLineChars="200"/>
        <w:outlineLvl w:val="4"/>
        <w:rPr>
          <w:rFonts w:ascii="宋体" w:hAnsi="宋体"/>
          <w:b/>
          <w:color w:val="auto"/>
          <w:highlight w:val="none"/>
        </w:rPr>
      </w:pPr>
      <w:r>
        <w:rPr>
          <w:rFonts w:hint="eastAsia" w:ascii="宋体" w:hAnsi="宋体"/>
          <w:b/>
          <w:color w:val="auto"/>
          <w:highlight w:val="none"/>
        </w:rPr>
        <w:t>25、谈判过程的监控</w:t>
      </w:r>
    </w:p>
    <w:p>
      <w:pPr>
        <w:pStyle w:val="10"/>
        <w:keepNext w:val="0"/>
        <w:keepLines w:val="0"/>
        <w:pageBreakBefore w:val="0"/>
        <w:kinsoku/>
        <w:wordWrap/>
        <w:overflowPunct/>
        <w:topLinePunct w:val="0"/>
        <w:bidi w:val="0"/>
        <w:adjustRightInd/>
        <w:spacing w:line="400" w:lineRule="exact"/>
        <w:ind w:firstLine="411" w:firstLineChars="196"/>
        <w:rPr>
          <w:rFonts w:hAnsi="宋体"/>
          <w:color w:val="auto"/>
          <w:highlight w:val="none"/>
        </w:rPr>
      </w:pPr>
      <w:r>
        <w:rPr>
          <w:rFonts w:hint="eastAsia" w:hAnsi="宋体"/>
          <w:color w:val="auto"/>
          <w:highlight w:val="none"/>
        </w:rPr>
        <w:t>本项目谈判过程实行全程录音、录像监控，供应商在谈判过程中所进行的试图影响谈判结果的不公正活动，可能导致其谈判被拒绝。</w:t>
      </w:r>
    </w:p>
    <w:p>
      <w:pPr>
        <w:pStyle w:val="10"/>
        <w:keepNext w:val="0"/>
        <w:keepLines w:val="0"/>
        <w:pageBreakBefore w:val="0"/>
        <w:kinsoku/>
        <w:wordWrap/>
        <w:overflowPunct/>
        <w:topLinePunct w:val="0"/>
        <w:bidi w:val="0"/>
        <w:adjustRightInd/>
        <w:spacing w:line="400" w:lineRule="exact"/>
        <w:ind w:firstLine="413" w:firstLineChars="196"/>
        <w:rPr>
          <w:rFonts w:hAnsi="宋体"/>
          <w:b/>
          <w:color w:val="auto"/>
          <w:highlight w:val="none"/>
        </w:rPr>
      </w:pPr>
      <w:r>
        <w:rPr>
          <w:rFonts w:hint="eastAsia" w:hAnsi="宋体"/>
          <w:b/>
          <w:color w:val="auto"/>
          <w:highlight w:val="none"/>
        </w:rPr>
        <w:t>26</w:t>
      </w:r>
      <w:r>
        <w:rPr>
          <w:rFonts w:hint="eastAsia" w:hAnsi="宋体"/>
          <w:b/>
          <w:color w:val="auto"/>
          <w:szCs w:val="21"/>
          <w:highlight w:val="none"/>
        </w:rPr>
        <w:t>、</w:t>
      </w:r>
      <w:r>
        <w:rPr>
          <w:rFonts w:hint="eastAsia" w:hAnsi="宋体"/>
          <w:b/>
          <w:color w:val="auto"/>
          <w:szCs w:val="24"/>
          <w:highlight w:val="none"/>
        </w:rPr>
        <w:t>成交公告及成交通知书</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szCs w:val="21"/>
          <w:highlight w:val="none"/>
        </w:rPr>
      </w:pPr>
      <w:r>
        <w:rPr>
          <w:rFonts w:hint="eastAsia" w:ascii="宋体" w:hAnsi="宋体"/>
          <w:color w:val="auto"/>
          <w:highlight w:val="none"/>
        </w:rPr>
        <w:t>26.1、</w:t>
      </w:r>
      <w:r>
        <w:rPr>
          <w:rFonts w:hint="eastAsia"/>
          <w:color w:val="auto"/>
          <w:szCs w:val="21"/>
          <w:highlight w:val="none"/>
        </w:rPr>
        <w:t>采购代理机构于谈判结束后两个工作日内将评审报告送交采购人，采购人应当自收到评审报告五个工作日内在评审报告推荐的成交候选人中按顺序确定成交供应商，采购代理机构在成交供应商确定之日起两个工作日内发出成交通知书，并在指定媒体上公告成交信息。</w:t>
      </w:r>
    </w:p>
    <w:p>
      <w:pPr>
        <w:keepNext w:val="0"/>
        <w:keepLines w:val="0"/>
        <w:pageBreakBefore w:val="0"/>
        <w:kinsoku/>
        <w:wordWrap/>
        <w:overflowPunct/>
        <w:topLinePunct w:val="0"/>
        <w:bidi w:val="0"/>
        <w:adjustRightInd/>
        <w:snapToGrid w:val="0"/>
        <w:spacing w:line="400" w:lineRule="exact"/>
        <w:ind w:firstLine="411" w:firstLineChars="196"/>
        <w:outlineLvl w:val="4"/>
        <w:rPr>
          <w:rFonts w:ascii="宋体" w:hAnsi="宋体"/>
          <w:color w:val="auto"/>
          <w:szCs w:val="21"/>
          <w:highlight w:val="none"/>
        </w:rPr>
      </w:pPr>
      <w:r>
        <w:rPr>
          <w:rFonts w:hint="eastAsia" w:ascii="宋体" w:hAnsi="宋体"/>
          <w:color w:val="auto"/>
          <w:szCs w:val="21"/>
          <w:highlight w:val="none"/>
        </w:rPr>
        <w:t>26.2、在发布成交公告的同时，采购代理机构向成交供应商发出成交通知书。如成交供应商自接到通知之日起七个工作日内，不办理成交通知书领取手续的，按违约处理。采购代理机构将取消其成交资格，成交供应商相应标的全部保证金</w:t>
      </w:r>
      <w:r>
        <w:rPr>
          <w:rFonts w:hint="eastAsia"/>
          <w:color w:val="auto"/>
          <w:highlight w:val="none"/>
        </w:rPr>
        <w:t>不予退还</w:t>
      </w:r>
      <w:r>
        <w:rPr>
          <w:rFonts w:hint="eastAsia" w:ascii="宋体" w:hAnsi="宋体"/>
          <w:color w:val="auto"/>
          <w:szCs w:val="21"/>
          <w:highlight w:val="none"/>
        </w:rPr>
        <w:t>，从谈判小组推荐的成交候选供应商中按顺序重新确定成交供应商。</w:t>
      </w:r>
    </w:p>
    <w:p>
      <w:pPr>
        <w:pStyle w:val="10"/>
        <w:keepNext w:val="0"/>
        <w:keepLines w:val="0"/>
        <w:pageBreakBefore w:val="0"/>
        <w:kinsoku/>
        <w:wordWrap/>
        <w:overflowPunct/>
        <w:topLinePunct w:val="0"/>
        <w:bidi w:val="0"/>
        <w:adjustRightInd/>
        <w:spacing w:line="400" w:lineRule="exact"/>
        <w:ind w:firstLine="420" w:firstLineChars="200"/>
        <w:rPr>
          <w:rFonts w:hint="eastAsia" w:hAnsi="宋体"/>
          <w:color w:val="auto"/>
          <w:highlight w:val="none"/>
        </w:rPr>
      </w:pPr>
      <w:r>
        <w:rPr>
          <w:rFonts w:hint="eastAsia" w:hAnsi="宋体"/>
          <w:color w:val="auto"/>
          <w:highlight w:val="none"/>
        </w:rPr>
        <w:t>26.3、采购代理机构无义务向未成交的供应商解释未成交原因和退还</w:t>
      </w:r>
      <w:r>
        <w:rPr>
          <w:rFonts w:hint="eastAsia" w:hAnsi="宋体"/>
          <w:color w:val="auto"/>
          <w:szCs w:val="21"/>
          <w:highlight w:val="none"/>
        </w:rPr>
        <w:t>响应</w:t>
      </w:r>
      <w:r>
        <w:rPr>
          <w:rFonts w:hint="eastAsia" w:hAnsi="宋体"/>
          <w:color w:val="auto"/>
          <w:highlight w:val="none"/>
        </w:rPr>
        <w:t>文件。</w:t>
      </w:r>
    </w:p>
    <w:p>
      <w:pPr>
        <w:pStyle w:val="10"/>
        <w:keepNext w:val="0"/>
        <w:keepLines w:val="0"/>
        <w:pageBreakBefore w:val="0"/>
        <w:kinsoku/>
        <w:wordWrap/>
        <w:overflowPunct/>
        <w:topLinePunct w:val="0"/>
        <w:bidi w:val="0"/>
        <w:adjustRightInd/>
        <w:spacing w:line="400" w:lineRule="exact"/>
        <w:ind w:firstLine="413" w:firstLineChars="196"/>
        <w:rPr>
          <w:rFonts w:hint="eastAsia" w:hAnsi="宋体"/>
          <w:b/>
          <w:color w:val="auto"/>
          <w:highlight w:val="none"/>
        </w:rPr>
      </w:pPr>
      <w:r>
        <w:rPr>
          <w:rFonts w:hint="eastAsia" w:hAnsi="宋体"/>
          <w:b/>
          <w:color w:val="auto"/>
          <w:highlight w:val="none"/>
        </w:rPr>
        <w:t>27.信用查询</w:t>
      </w:r>
    </w:p>
    <w:p>
      <w:pPr>
        <w:keepNext w:val="0"/>
        <w:keepLines w:val="0"/>
        <w:pageBreakBefore w:val="0"/>
        <w:kinsoku/>
        <w:wordWrap/>
        <w:overflowPunct/>
        <w:topLinePunct w:val="0"/>
        <w:autoSpaceDE w:val="0"/>
        <w:autoSpaceDN w:val="0"/>
        <w:bidi w:val="0"/>
        <w:adjustRightInd/>
        <w:snapToGrid w:val="0"/>
        <w:spacing w:line="400" w:lineRule="exact"/>
        <w:ind w:firstLine="420" w:firstLineChars="200"/>
        <w:textAlignment w:val="bottom"/>
        <w:rPr>
          <w:rFonts w:ascii="宋体" w:hAnsi="宋体"/>
          <w:color w:val="auto"/>
          <w:highlight w:val="none"/>
        </w:rPr>
      </w:pPr>
      <w:r>
        <w:rPr>
          <w:rFonts w:hint="eastAsia" w:ascii="宋体" w:hAnsi="宋体"/>
          <w:color w:val="auto"/>
          <w:highlight w:val="none"/>
        </w:rPr>
        <w:t>根据《关于做好政府采购有关信用主体标识码登记及在政府采购活动中查询使用信用记录有关问题的通知》（桂财采〔2016〕37），由采购代理机构对第一成交候选人进行信用查询：</w:t>
      </w:r>
    </w:p>
    <w:p>
      <w:pPr>
        <w:keepNext w:val="0"/>
        <w:keepLines w:val="0"/>
        <w:pageBreakBefore w:val="0"/>
        <w:kinsoku/>
        <w:wordWrap/>
        <w:overflowPunct/>
        <w:topLinePunct w:val="0"/>
        <w:autoSpaceDE w:val="0"/>
        <w:autoSpaceDN w:val="0"/>
        <w:bidi w:val="0"/>
        <w:adjustRightInd/>
        <w:snapToGrid w:val="0"/>
        <w:spacing w:line="400" w:lineRule="exact"/>
        <w:ind w:firstLine="420" w:firstLineChars="200"/>
        <w:textAlignment w:val="bottom"/>
        <w:rPr>
          <w:rFonts w:ascii="宋体" w:hAnsi="宋体"/>
          <w:color w:val="auto"/>
          <w:highlight w:val="none"/>
        </w:rPr>
      </w:pPr>
      <w:r>
        <w:rPr>
          <w:rFonts w:hint="eastAsia" w:ascii="宋体" w:hAnsi="宋体"/>
          <w:color w:val="auto"/>
          <w:highlight w:val="none"/>
        </w:rPr>
        <w:t>⑴查询渠道：“信用中国”网站(www.creditchina.gov.cn)、中国政府采购网(www.ccgp.gov.cn)等；</w:t>
      </w:r>
    </w:p>
    <w:p>
      <w:pPr>
        <w:keepNext w:val="0"/>
        <w:keepLines w:val="0"/>
        <w:pageBreakBefore w:val="0"/>
        <w:kinsoku/>
        <w:wordWrap/>
        <w:overflowPunct/>
        <w:topLinePunct w:val="0"/>
        <w:autoSpaceDE w:val="0"/>
        <w:autoSpaceDN w:val="0"/>
        <w:bidi w:val="0"/>
        <w:adjustRightInd/>
        <w:snapToGrid w:val="0"/>
        <w:spacing w:line="400" w:lineRule="exact"/>
        <w:ind w:firstLine="420" w:firstLineChars="200"/>
        <w:textAlignment w:val="bottom"/>
        <w:rPr>
          <w:rFonts w:ascii="宋体" w:hAnsi="宋体"/>
          <w:color w:val="auto"/>
          <w:highlight w:val="none"/>
        </w:rPr>
      </w:pPr>
      <w:r>
        <w:rPr>
          <w:rFonts w:hint="eastAsia" w:ascii="宋体" w:hAnsi="宋体"/>
          <w:color w:val="auto"/>
          <w:highlight w:val="none"/>
        </w:rPr>
        <w:t>⑵查询截止时点：成交通知书发出前；</w:t>
      </w:r>
    </w:p>
    <w:p>
      <w:pPr>
        <w:keepNext w:val="0"/>
        <w:keepLines w:val="0"/>
        <w:pageBreakBefore w:val="0"/>
        <w:kinsoku/>
        <w:wordWrap/>
        <w:overflowPunct/>
        <w:topLinePunct w:val="0"/>
        <w:autoSpaceDE w:val="0"/>
        <w:autoSpaceDN w:val="0"/>
        <w:bidi w:val="0"/>
        <w:adjustRightInd/>
        <w:snapToGrid w:val="0"/>
        <w:spacing w:line="400" w:lineRule="exact"/>
        <w:ind w:firstLine="420" w:firstLineChars="200"/>
        <w:textAlignment w:val="bottom"/>
        <w:rPr>
          <w:rFonts w:ascii="宋体" w:hAnsi="宋体"/>
          <w:color w:val="auto"/>
          <w:highlight w:val="none"/>
        </w:rPr>
      </w:pPr>
      <w:r>
        <w:rPr>
          <w:rFonts w:hint="eastAsia" w:ascii="宋体" w:hAnsi="宋体"/>
          <w:color w:val="auto"/>
          <w:highlight w:val="none"/>
        </w:rPr>
        <w:t>⑶信用信息查询记录和证据留存方式：在查询网站中直接打印查询记录，打印材料作为采购活动资料保存。</w:t>
      </w:r>
    </w:p>
    <w:p>
      <w:pPr>
        <w:pStyle w:val="30"/>
        <w:keepNext w:val="0"/>
        <w:keepLines w:val="0"/>
        <w:pageBreakBefore w:val="0"/>
        <w:kinsoku/>
        <w:wordWrap/>
        <w:overflowPunct/>
        <w:topLinePunct w:val="0"/>
        <w:bidi w:val="0"/>
        <w:adjustRightInd/>
        <w:spacing w:line="400" w:lineRule="exact"/>
        <w:ind w:firstLine="420" w:firstLineChars="200"/>
        <w:rPr>
          <w:rFonts w:hAnsi="宋体"/>
          <w:color w:val="auto"/>
          <w:highlight w:val="none"/>
        </w:rPr>
      </w:pPr>
      <w:r>
        <w:rPr>
          <w:rFonts w:hint="eastAsia" w:hAnsi="宋体"/>
          <w:color w:val="auto"/>
          <w:highlight w:val="none"/>
        </w:rPr>
        <w:t>⑷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成交候选人资格。</w:t>
      </w:r>
    </w:p>
    <w:p>
      <w:pPr>
        <w:pStyle w:val="10"/>
        <w:keepNext w:val="0"/>
        <w:keepLines w:val="0"/>
        <w:pageBreakBefore w:val="0"/>
        <w:kinsoku/>
        <w:wordWrap/>
        <w:overflowPunct/>
        <w:topLinePunct w:val="0"/>
        <w:bidi w:val="0"/>
        <w:adjustRightInd/>
        <w:spacing w:line="400" w:lineRule="exact"/>
        <w:ind w:firstLine="420" w:firstLineChars="200"/>
        <w:rPr>
          <w:rFonts w:hint="eastAsia" w:hAnsi="宋体"/>
          <w:color w:val="auto"/>
          <w:highlight w:val="none"/>
        </w:rPr>
      </w:pPr>
      <w:r>
        <w:rPr>
          <w:rFonts w:hint="eastAsia"/>
          <w:color w:val="auto"/>
          <w:highlight w:val="none"/>
        </w:rPr>
        <w:t>两个以上的自然人、法人或者其他组织组成一个联合体，以一个供应商的身份共同参加政府采购活动的，对所有联合体成员进行信用记录查询，联合体成员存在不良信用记录的，视同联合体存在不良信用记录。</w:t>
      </w:r>
    </w:p>
    <w:p>
      <w:pPr>
        <w:pStyle w:val="10"/>
        <w:keepNext w:val="0"/>
        <w:keepLines w:val="0"/>
        <w:pageBreakBefore w:val="0"/>
        <w:kinsoku/>
        <w:wordWrap/>
        <w:overflowPunct/>
        <w:topLinePunct w:val="0"/>
        <w:bidi w:val="0"/>
        <w:adjustRightInd/>
        <w:spacing w:line="400" w:lineRule="exact"/>
        <w:ind w:firstLine="420" w:firstLineChars="200"/>
        <w:rPr>
          <w:rFonts w:hAnsi="宋体"/>
          <w:color w:val="auto"/>
          <w:highlight w:val="none"/>
        </w:rPr>
      </w:pPr>
    </w:p>
    <w:p>
      <w:pPr>
        <w:keepNext w:val="0"/>
        <w:keepLines w:val="0"/>
        <w:pageBreakBefore w:val="0"/>
        <w:tabs>
          <w:tab w:val="left" w:pos="1140"/>
        </w:tabs>
        <w:kinsoku/>
        <w:wordWrap/>
        <w:overflowPunct/>
        <w:topLinePunct w:val="0"/>
        <w:bidi w:val="0"/>
        <w:adjustRightInd/>
        <w:spacing w:line="400" w:lineRule="exact"/>
        <w:ind w:left="420" w:leftChars="200" w:firstLine="562" w:firstLineChars="200"/>
        <w:jc w:val="center"/>
        <w:rPr>
          <w:rFonts w:ascii="宋体" w:hAnsi="宋体"/>
          <w:b/>
          <w:color w:val="auto"/>
          <w:sz w:val="28"/>
          <w:szCs w:val="28"/>
          <w:highlight w:val="none"/>
        </w:rPr>
      </w:pPr>
      <w:r>
        <w:rPr>
          <w:rFonts w:hint="eastAsia" w:ascii="宋体" w:hAnsi="宋体"/>
          <w:b/>
          <w:color w:val="auto"/>
          <w:sz w:val="28"/>
          <w:szCs w:val="28"/>
          <w:highlight w:val="none"/>
        </w:rPr>
        <w:t>五、签订合同</w:t>
      </w:r>
    </w:p>
    <w:p>
      <w:pPr>
        <w:keepNext w:val="0"/>
        <w:keepLines w:val="0"/>
        <w:pageBreakBefore w:val="0"/>
        <w:kinsoku/>
        <w:wordWrap/>
        <w:overflowPunct/>
        <w:topLinePunct w:val="0"/>
        <w:bidi w:val="0"/>
        <w:adjustRightInd/>
        <w:spacing w:line="400" w:lineRule="exact"/>
        <w:ind w:firstLine="413" w:firstLineChars="196"/>
        <w:rPr>
          <w:rFonts w:ascii="宋体" w:hAnsi="宋体"/>
          <w:b/>
          <w:color w:val="auto"/>
          <w:highlight w:val="none"/>
        </w:rPr>
      </w:pPr>
      <w:r>
        <w:rPr>
          <w:rFonts w:hint="eastAsia" w:ascii="宋体" w:hAnsi="宋体"/>
          <w:b/>
          <w:color w:val="auto"/>
          <w:highlight w:val="none"/>
        </w:rPr>
        <w:t>28</w:t>
      </w:r>
      <w:r>
        <w:rPr>
          <w:rFonts w:hint="eastAsia" w:ascii="宋体" w:hAnsi="宋体"/>
          <w:b/>
          <w:color w:val="auto"/>
          <w:szCs w:val="21"/>
          <w:highlight w:val="none"/>
        </w:rPr>
        <w:t>、</w:t>
      </w:r>
      <w:r>
        <w:rPr>
          <w:rFonts w:hint="eastAsia" w:ascii="宋体" w:hAnsi="宋体"/>
          <w:b/>
          <w:color w:val="auto"/>
          <w:highlight w:val="none"/>
        </w:rPr>
        <w:t>履约保证金</w:t>
      </w:r>
    </w:p>
    <w:p>
      <w:pPr>
        <w:pStyle w:val="10"/>
        <w:keepNext w:val="0"/>
        <w:keepLines w:val="0"/>
        <w:pageBreakBefore w:val="0"/>
        <w:kinsoku/>
        <w:wordWrap/>
        <w:overflowPunct/>
        <w:topLinePunct w:val="0"/>
        <w:bidi w:val="0"/>
        <w:adjustRightInd/>
        <w:spacing w:line="400" w:lineRule="exact"/>
        <w:ind w:left="6" w:leftChars="3" w:firstLine="420" w:firstLineChars="200"/>
        <w:rPr>
          <w:rFonts w:hint="eastAsia" w:hAnsi="宋体"/>
          <w:color w:val="auto"/>
          <w:highlight w:val="none"/>
          <w:lang w:eastAsia="zh-CN"/>
        </w:rPr>
      </w:pPr>
      <w:r>
        <w:rPr>
          <w:rFonts w:hint="eastAsia" w:hAnsi="宋体"/>
          <w:color w:val="auto"/>
          <w:szCs w:val="21"/>
          <w:highlight w:val="none"/>
        </w:rPr>
        <w:t>28.1、履约保证金金额按</w:t>
      </w:r>
      <w:r>
        <w:rPr>
          <w:rFonts w:hint="eastAsia" w:hAnsi="宋体"/>
          <w:color w:val="auto"/>
          <w:szCs w:val="21"/>
          <w:highlight w:val="none"/>
          <w:lang w:eastAsia="zh-CN"/>
        </w:rPr>
        <w:t>成交价的</w:t>
      </w:r>
      <w:r>
        <w:rPr>
          <w:rFonts w:hint="eastAsia" w:hAnsi="宋体"/>
          <w:color w:val="auto"/>
          <w:spacing w:val="17"/>
          <w:szCs w:val="21"/>
          <w:highlight w:val="none"/>
          <w:lang w:val="en-US" w:eastAsia="zh-CN"/>
        </w:rPr>
        <w:t>5</w:t>
      </w:r>
      <w:r>
        <w:rPr>
          <w:rFonts w:hint="eastAsia" w:hAnsi="宋体"/>
          <w:color w:val="auto"/>
          <w:spacing w:val="17"/>
          <w:szCs w:val="21"/>
          <w:highlight w:val="none"/>
        </w:rPr>
        <w:t>%</w:t>
      </w:r>
      <w:r>
        <w:rPr>
          <w:rFonts w:hint="eastAsia" w:hAnsi="宋体"/>
          <w:color w:val="auto"/>
          <w:szCs w:val="21"/>
          <w:highlight w:val="none"/>
        </w:rPr>
        <w:t>（人民币，四舍五入到元）提供</w:t>
      </w:r>
      <w:r>
        <w:rPr>
          <w:rFonts w:hint="eastAsia" w:hAnsi="宋体"/>
          <w:color w:val="auto"/>
          <w:szCs w:val="21"/>
          <w:highlight w:val="none"/>
          <w:lang w:eastAsia="zh-CN"/>
        </w:rPr>
        <w:t>，</w:t>
      </w:r>
      <w:r>
        <w:rPr>
          <w:rFonts w:hint="eastAsia" w:hAnsi="宋体"/>
          <w:color w:val="auto"/>
          <w:szCs w:val="21"/>
          <w:highlight w:val="none"/>
        </w:rPr>
        <w:t>由</w:t>
      </w:r>
      <w:r>
        <w:rPr>
          <w:rFonts w:hint="eastAsia" w:hAnsi="宋体"/>
          <w:color w:val="auto"/>
          <w:szCs w:val="21"/>
          <w:highlight w:val="none"/>
          <w:lang w:eastAsia="zh-CN"/>
        </w:rPr>
        <w:t>成交</w:t>
      </w:r>
      <w:r>
        <w:rPr>
          <w:rFonts w:hint="eastAsia" w:hAnsi="宋体"/>
          <w:color w:val="auto"/>
          <w:szCs w:val="21"/>
          <w:highlight w:val="none"/>
        </w:rPr>
        <w:t>供应商在领取</w:t>
      </w:r>
      <w:r>
        <w:rPr>
          <w:rFonts w:hint="eastAsia" w:hAnsi="宋体"/>
          <w:color w:val="auto"/>
          <w:szCs w:val="21"/>
          <w:highlight w:val="none"/>
          <w:lang w:eastAsia="zh-CN"/>
        </w:rPr>
        <w:t>成交</w:t>
      </w:r>
      <w:r>
        <w:rPr>
          <w:rFonts w:hint="eastAsia" w:hAnsi="宋体"/>
          <w:color w:val="auto"/>
          <w:szCs w:val="21"/>
          <w:highlight w:val="none"/>
        </w:rPr>
        <w:t>通知书前将履约</w:t>
      </w:r>
      <w:r>
        <w:rPr>
          <w:rFonts w:hint="eastAsia" w:hAnsi="宋体"/>
          <w:color w:val="auto"/>
          <w:highlight w:val="none"/>
        </w:rPr>
        <w:t>保证金以转账、电汇形式缴入</w:t>
      </w:r>
      <w:r>
        <w:rPr>
          <w:rFonts w:hint="eastAsia" w:hAnsi="宋体"/>
          <w:color w:val="auto"/>
          <w:highlight w:val="none"/>
          <w:lang w:eastAsia="zh-CN"/>
        </w:rPr>
        <w:t>采购人指定账户</w:t>
      </w:r>
    </w:p>
    <w:p>
      <w:pPr>
        <w:pStyle w:val="10"/>
        <w:keepNext w:val="0"/>
        <w:keepLines w:val="0"/>
        <w:pageBreakBefore w:val="0"/>
        <w:kinsoku/>
        <w:wordWrap/>
        <w:overflowPunct/>
        <w:topLinePunct w:val="0"/>
        <w:bidi w:val="0"/>
        <w:adjustRightInd/>
        <w:spacing w:line="400" w:lineRule="exact"/>
        <w:ind w:left="6" w:leftChars="3" w:firstLine="420" w:firstLineChars="200"/>
        <w:rPr>
          <w:rFonts w:hAnsi="宋体"/>
          <w:color w:val="auto"/>
          <w:highlight w:val="none"/>
        </w:rPr>
      </w:pPr>
      <w:r>
        <w:rPr>
          <w:rFonts w:hint="eastAsia" w:hAnsi="宋体"/>
          <w:color w:val="auto"/>
          <w:szCs w:val="21"/>
          <w:highlight w:val="none"/>
        </w:rPr>
        <w:t>28.2、如果成交供应商没能按上述第28.1款规定执行，采购代理机构将上报</w:t>
      </w:r>
      <w:r>
        <w:rPr>
          <w:rFonts w:hint="eastAsia" w:hAnsi="宋体"/>
          <w:color w:val="auto"/>
          <w:highlight w:val="none"/>
          <w:lang w:eastAsia="zh-CN"/>
        </w:rPr>
        <w:t>桂林市临桂区财政局政府采购监督管理股</w:t>
      </w:r>
      <w:r>
        <w:rPr>
          <w:rFonts w:hint="eastAsia" w:hAnsi="宋体"/>
          <w:color w:val="auto"/>
          <w:szCs w:val="21"/>
          <w:highlight w:val="none"/>
        </w:rPr>
        <w:t>，取消该成交资格，并有权授予第二成交候选供应商为成交供应商资格或重新组织谈判。</w:t>
      </w:r>
    </w:p>
    <w:p>
      <w:pPr>
        <w:pStyle w:val="10"/>
        <w:keepNext w:val="0"/>
        <w:keepLines w:val="0"/>
        <w:pageBreakBefore w:val="0"/>
        <w:kinsoku/>
        <w:wordWrap/>
        <w:overflowPunct/>
        <w:topLinePunct w:val="0"/>
        <w:bidi w:val="0"/>
        <w:adjustRightInd/>
        <w:spacing w:line="400" w:lineRule="exact"/>
        <w:ind w:left="2" w:leftChars="1" w:firstLine="420" w:firstLineChars="200"/>
        <w:rPr>
          <w:rFonts w:hAnsi="宋体"/>
          <w:color w:val="auto"/>
          <w:highlight w:val="none"/>
        </w:rPr>
      </w:pPr>
      <w:r>
        <w:rPr>
          <w:rFonts w:hint="eastAsia" w:hAnsi="宋体"/>
          <w:color w:val="auto"/>
          <w:highlight w:val="none"/>
        </w:rPr>
        <w:t>28.3、货物安装验收合格后，成交供应商凭《验收报告单》和履约保证金收据原件办理履约保证金退款手续，</w:t>
      </w:r>
      <w:r>
        <w:rPr>
          <w:rFonts w:hint="eastAsia" w:hAnsi="宋体"/>
          <w:color w:val="auto"/>
          <w:highlight w:val="none"/>
          <w:lang w:eastAsia="zh-CN"/>
        </w:rPr>
        <w:t>采购人</w:t>
      </w:r>
      <w:r>
        <w:rPr>
          <w:rFonts w:hint="eastAsia" w:hAnsi="宋体"/>
          <w:color w:val="auto"/>
          <w:highlight w:val="none"/>
        </w:rPr>
        <w:t>将履约保证金（无息）退还给成交供应商。如成交供应商不按双方签订的合同规定履约，则没收其全部履约保证金，履约保证金不足以赔偿损失的，按实际损失赔偿。</w:t>
      </w:r>
    </w:p>
    <w:p>
      <w:pPr>
        <w:pStyle w:val="10"/>
        <w:keepNext w:val="0"/>
        <w:keepLines w:val="0"/>
        <w:pageBreakBefore w:val="0"/>
        <w:kinsoku/>
        <w:wordWrap/>
        <w:overflowPunct/>
        <w:topLinePunct w:val="0"/>
        <w:bidi w:val="0"/>
        <w:adjustRightInd/>
        <w:spacing w:line="400" w:lineRule="exact"/>
        <w:ind w:left="6" w:leftChars="3" w:firstLine="420" w:firstLineChars="200"/>
        <w:rPr>
          <w:rFonts w:hAnsi="宋体"/>
          <w:color w:val="auto"/>
          <w:highlight w:val="none"/>
        </w:rPr>
      </w:pPr>
      <w:r>
        <w:rPr>
          <w:rFonts w:hint="eastAsia" w:hAnsi="宋体"/>
          <w:color w:val="auto"/>
          <w:highlight w:val="none"/>
        </w:rPr>
        <w:t>28</w:t>
      </w:r>
      <w:r>
        <w:rPr>
          <w:rFonts w:hAnsi="宋体"/>
          <w:color w:val="auto"/>
          <w:highlight w:val="none"/>
        </w:rPr>
        <w:t>.4</w:t>
      </w:r>
      <w:r>
        <w:rPr>
          <w:rFonts w:hint="eastAsia" w:hAnsi="宋体"/>
          <w:color w:val="auto"/>
          <w:highlight w:val="none"/>
        </w:rPr>
        <w:t>、在履约保证金到期退还前，若成交供应商的开户名称、开户银行、账号有变动的，以书面形式通知</w:t>
      </w:r>
      <w:r>
        <w:rPr>
          <w:rFonts w:hint="eastAsia" w:hAnsi="宋体"/>
          <w:color w:val="auto"/>
          <w:highlight w:val="none"/>
          <w:lang w:eastAsia="zh-CN"/>
        </w:rPr>
        <w:t>采购人</w:t>
      </w:r>
      <w:r>
        <w:rPr>
          <w:rFonts w:hint="eastAsia" w:hAnsi="宋体"/>
          <w:color w:val="auto"/>
          <w:highlight w:val="none"/>
        </w:rPr>
        <w:t>，否则由此产生的后果由成交供应商自负。</w:t>
      </w:r>
    </w:p>
    <w:p>
      <w:pPr>
        <w:keepNext w:val="0"/>
        <w:keepLines w:val="0"/>
        <w:pageBreakBefore w:val="0"/>
        <w:tabs>
          <w:tab w:val="left" w:pos="1140"/>
        </w:tabs>
        <w:kinsoku/>
        <w:wordWrap/>
        <w:overflowPunct/>
        <w:topLinePunct w:val="0"/>
        <w:bidi w:val="0"/>
        <w:adjustRightInd/>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29、签订合同</w:t>
      </w:r>
    </w:p>
    <w:p>
      <w:pPr>
        <w:keepNext w:val="0"/>
        <w:keepLines w:val="0"/>
        <w:pageBreakBefore w:val="0"/>
        <w:tabs>
          <w:tab w:val="left" w:pos="1140"/>
        </w:tabs>
        <w:kinsoku/>
        <w:wordWrap/>
        <w:overflowPunct/>
        <w:topLinePunct w:val="0"/>
        <w:bidi w:val="0"/>
        <w:adjustRightInd/>
        <w:spacing w:line="400" w:lineRule="exact"/>
        <w:ind w:firstLine="420" w:firstLineChars="200"/>
        <w:rPr>
          <w:rFonts w:ascii="宋体" w:hAnsi="宋体"/>
          <w:color w:val="auto"/>
          <w:highlight w:val="none"/>
        </w:rPr>
      </w:pPr>
      <w:r>
        <w:rPr>
          <w:rFonts w:hint="eastAsia" w:ascii="宋体" w:hAnsi="宋体"/>
          <w:color w:val="auto"/>
          <w:highlight w:val="none"/>
        </w:rPr>
        <w:t>29.1、签订合同时间：成交通知书发出之日起</w:t>
      </w:r>
      <w:r>
        <w:rPr>
          <w:rFonts w:hint="eastAsia" w:ascii="宋体" w:hAnsi="宋体"/>
          <w:color w:val="auto"/>
          <w:highlight w:val="none"/>
          <w:lang w:val="en-US" w:eastAsia="zh-CN"/>
        </w:rPr>
        <w:t>25日内</w:t>
      </w:r>
      <w:r>
        <w:rPr>
          <w:rFonts w:hint="eastAsia" w:ascii="宋体" w:hAnsi="宋体"/>
          <w:color w:val="auto"/>
          <w:highlight w:val="none"/>
        </w:rPr>
        <w:t>。成交供应商领取成交通知书后，应按规定与采购人签订合同。</w:t>
      </w:r>
    </w:p>
    <w:p>
      <w:pPr>
        <w:keepNext w:val="0"/>
        <w:keepLines w:val="0"/>
        <w:pageBreakBefore w:val="0"/>
        <w:kinsoku/>
        <w:wordWrap/>
        <w:overflowPunct/>
        <w:topLinePunct w:val="0"/>
        <w:bidi w:val="0"/>
        <w:adjustRightInd/>
        <w:spacing w:line="400" w:lineRule="exact"/>
        <w:ind w:firstLine="420" w:firstLineChars="200"/>
        <w:rPr>
          <w:rFonts w:ascii="宋体" w:hAnsi="宋体"/>
          <w:color w:val="auto"/>
          <w:highlight w:val="none"/>
        </w:rPr>
      </w:pPr>
      <w:r>
        <w:rPr>
          <w:rFonts w:hint="eastAsia" w:ascii="宋体" w:hAnsi="宋体"/>
          <w:color w:val="auto"/>
          <w:highlight w:val="none"/>
        </w:rPr>
        <w:t>29.2、如成交供应商有下列情形之一的，成交供应商的全部保证金不予退还，并上缴同级财政国库，情节严重的，由财政部门将其列入不良行为记录名单，在一至三年内禁止参加政府采购活动，并予以通报。采购代理机构可从谈判小组推荐的成交候选人中按顺序重新确定成交供应商或重新组织采购。</w:t>
      </w:r>
      <w:r>
        <w:rPr>
          <w:rFonts w:hint="eastAsia" w:ascii="宋体" w:hAnsi="宋体"/>
          <w:color w:val="auto"/>
          <w:szCs w:val="21"/>
          <w:highlight w:val="none"/>
        </w:rPr>
        <w:t>拒绝签订政府采购合同的成交供应商不得参加对该项目重新开展的采购活动。</w:t>
      </w:r>
    </w:p>
    <w:p>
      <w:pPr>
        <w:keepNext w:val="0"/>
        <w:keepLines w:val="0"/>
        <w:pageBreakBefore w:val="0"/>
        <w:widowControl/>
        <w:kinsoku/>
        <w:wordWrap/>
        <w:overflowPunct/>
        <w:topLinePunct w:val="0"/>
        <w:bidi w:val="0"/>
        <w:adjustRightInd/>
        <w:spacing w:line="400" w:lineRule="exact"/>
        <w:jc w:val="left"/>
        <w:rPr>
          <w:rFonts w:ascii="宋体" w:hAnsi="宋体"/>
          <w:color w:val="auto"/>
          <w:highlight w:val="none"/>
        </w:rPr>
      </w:pPr>
      <w:r>
        <w:rPr>
          <w:rFonts w:hint="eastAsia" w:ascii="宋体" w:hAnsi="宋体"/>
          <w:color w:val="auto"/>
          <w:highlight w:val="none"/>
        </w:rPr>
        <w:t>　　⑴ 成交后不与采购人签订合同的（不可抗力除外）；</w:t>
      </w:r>
    </w:p>
    <w:p>
      <w:pPr>
        <w:keepNext w:val="0"/>
        <w:keepLines w:val="0"/>
        <w:pageBreakBefore w:val="0"/>
        <w:widowControl/>
        <w:kinsoku/>
        <w:wordWrap/>
        <w:overflowPunct/>
        <w:topLinePunct w:val="0"/>
        <w:bidi w:val="0"/>
        <w:adjustRightInd/>
        <w:spacing w:line="400" w:lineRule="exact"/>
        <w:jc w:val="left"/>
        <w:rPr>
          <w:rFonts w:ascii="宋体" w:hAnsi="宋体"/>
          <w:color w:val="auto"/>
          <w:spacing w:val="-4"/>
          <w:highlight w:val="none"/>
        </w:rPr>
      </w:pPr>
      <w:r>
        <w:rPr>
          <w:rFonts w:hint="eastAsia" w:ascii="宋体" w:hAnsi="宋体"/>
          <w:color w:val="auto"/>
          <w:highlight w:val="none"/>
        </w:rPr>
        <w:t xml:space="preserve">    ⑵ </w:t>
      </w:r>
      <w:r>
        <w:rPr>
          <w:rFonts w:hint="eastAsia" w:ascii="宋体" w:hAnsi="宋体"/>
          <w:color w:val="auto"/>
          <w:spacing w:val="-4"/>
          <w:highlight w:val="none"/>
        </w:rPr>
        <w:t>将成交项目转让给他人，或者在</w:t>
      </w:r>
      <w:r>
        <w:rPr>
          <w:rFonts w:hint="eastAsia"/>
          <w:color w:val="auto"/>
          <w:spacing w:val="-4"/>
          <w:highlight w:val="none"/>
        </w:rPr>
        <w:t>响应</w:t>
      </w:r>
      <w:r>
        <w:rPr>
          <w:rFonts w:hint="eastAsia" w:ascii="宋体" w:hAnsi="宋体"/>
          <w:color w:val="auto"/>
          <w:spacing w:val="-4"/>
          <w:highlight w:val="none"/>
        </w:rPr>
        <w:t>文件中未说明，且未经采购人同意，将成交项目分包给他人的；</w:t>
      </w:r>
    </w:p>
    <w:p>
      <w:pPr>
        <w:keepNext w:val="0"/>
        <w:keepLines w:val="0"/>
        <w:pageBreakBefore w:val="0"/>
        <w:widowControl/>
        <w:kinsoku/>
        <w:wordWrap/>
        <w:overflowPunct/>
        <w:topLinePunct w:val="0"/>
        <w:bidi w:val="0"/>
        <w:adjustRightInd/>
        <w:spacing w:line="400" w:lineRule="exact"/>
        <w:ind w:firstLine="420"/>
        <w:jc w:val="left"/>
        <w:rPr>
          <w:rFonts w:ascii="宋体" w:hAnsi="宋体"/>
          <w:color w:val="auto"/>
          <w:highlight w:val="none"/>
        </w:rPr>
      </w:pPr>
      <w:r>
        <w:rPr>
          <w:rFonts w:hint="eastAsia" w:ascii="宋体" w:hAnsi="宋体"/>
          <w:color w:val="auto"/>
          <w:highlight w:val="none"/>
        </w:rPr>
        <w:t>⑶ 拒绝履行合同义务的。</w:t>
      </w:r>
    </w:p>
    <w:p>
      <w:pPr>
        <w:keepNext w:val="0"/>
        <w:keepLines w:val="0"/>
        <w:pageBreakBefore w:val="0"/>
        <w:kinsoku/>
        <w:wordWrap/>
        <w:overflowPunct/>
        <w:topLinePunct w:val="0"/>
        <w:bidi w:val="0"/>
        <w:adjustRightInd/>
        <w:spacing w:line="400" w:lineRule="exact"/>
        <w:ind w:firstLine="420" w:firstLineChars="200"/>
        <w:rPr>
          <w:rFonts w:hint="eastAsia" w:ascii="宋体" w:hAnsi="宋体" w:cs="宋体"/>
          <w:color w:val="auto"/>
          <w:highlight w:val="none"/>
        </w:rPr>
      </w:pPr>
      <w:r>
        <w:rPr>
          <w:rFonts w:hint="eastAsia" w:ascii="宋体" w:hAnsi="宋体"/>
          <w:color w:val="auto"/>
          <w:highlight w:val="none"/>
        </w:rPr>
        <w:t>29.3、合同备案存档：政府采购合同双方自签订之日起1个工作日内将合同原件两份交采购代理机构。采购代理机构将政府采购合同在省级以上人民政府财政部门指定媒体上公告并于合同签订之日起7个工作日内将一份合同原件送</w:t>
      </w:r>
      <w:r>
        <w:rPr>
          <w:rFonts w:hint="eastAsia" w:hAnsi="宋体"/>
          <w:color w:val="auto"/>
          <w:szCs w:val="21"/>
          <w:highlight w:val="none"/>
          <w:lang w:eastAsia="zh-CN"/>
        </w:rPr>
        <w:t>桂林市临桂区财政局政府采购监督管理股</w:t>
      </w:r>
      <w:r>
        <w:rPr>
          <w:rFonts w:hint="eastAsia" w:ascii="宋体" w:hAnsi="宋体"/>
          <w:color w:val="auto"/>
          <w:highlight w:val="none"/>
        </w:rPr>
        <w:t>备案，一份由采购代理机构存档。</w:t>
      </w:r>
    </w:p>
    <w:p>
      <w:pPr>
        <w:keepNext w:val="0"/>
        <w:keepLines w:val="0"/>
        <w:pageBreakBefore w:val="0"/>
        <w:kinsoku/>
        <w:wordWrap/>
        <w:overflowPunct/>
        <w:topLinePunct w:val="0"/>
        <w:bidi w:val="0"/>
        <w:adjustRightInd/>
        <w:spacing w:line="400" w:lineRule="exact"/>
        <w:ind w:firstLine="517" w:firstLineChars="245"/>
        <w:rPr>
          <w:rFonts w:ascii="宋体" w:hAnsi="宋体"/>
          <w:b/>
          <w:color w:val="auto"/>
          <w:highlight w:val="none"/>
        </w:rPr>
      </w:pPr>
      <w:r>
        <w:rPr>
          <w:rFonts w:hint="eastAsia" w:ascii="宋体" w:hAnsi="宋体"/>
          <w:b/>
          <w:color w:val="auto"/>
          <w:highlight w:val="none"/>
        </w:rPr>
        <w:t>30</w:t>
      </w:r>
      <w:r>
        <w:rPr>
          <w:rFonts w:hint="eastAsia" w:ascii="宋体" w:hAnsi="宋体"/>
          <w:b/>
          <w:color w:val="auto"/>
          <w:szCs w:val="21"/>
          <w:highlight w:val="none"/>
        </w:rPr>
        <w:t>、</w:t>
      </w:r>
      <w:r>
        <w:rPr>
          <w:rFonts w:hint="eastAsia" w:ascii="宋体" w:hAnsi="宋体"/>
          <w:b/>
          <w:color w:val="auto"/>
          <w:highlight w:val="none"/>
        </w:rPr>
        <w:t>采购代理服务费</w:t>
      </w:r>
    </w:p>
    <w:p>
      <w:pPr>
        <w:pStyle w:val="10"/>
        <w:keepNext w:val="0"/>
        <w:keepLines w:val="0"/>
        <w:pageBreakBefore w:val="0"/>
        <w:kinsoku/>
        <w:wordWrap/>
        <w:overflowPunct/>
        <w:topLinePunct w:val="0"/>
        <w:bidi w:val="0"/>
        <w:adjustRightInd/>
        <w:spacing w:line="400" w:lineRule="exact"/>
        <w:ind w:firstLine="420" w:firstLineChars="200"/>
        <w:rPr>
          <w:rFonts w:hint="eastAsia" w:hAnsi="宋体"/>
          <w:color w:val="auto"/>
          <w:szCs w:val="21"/>
          <w:highlight w:val="none"/>
        </w:rPr>
      </w:pPr>
      <w:r>
        <w:rPr>
          <w:rFonts w:hint="eastAsia" w:hAnsi="宋体"/>
          <w:color w:val="auto"/>
          <w:highlight w:val="none"/>
        </w:rPr>
        <w:t>成交供应商领取成交通知书前，向</w:t>
      </w:r>
      <w:r>
        <w:rPr>
          <w:rFonts w:hint="eastAsia" w:hAnsi="宋体"/>
          <w:color w:val="auto"/>
          <w:szCs w:val="21"/>
          <w:highlight w:val="none"/>
        </w:rPr>
        <w:t>大成工程咨询有限公司</w:t>
      </w:r>
      <w:r>
        <w:rPr>
          <w:rFonts w:hint="eastAsia" w:hAnsi="宋体"/>
          <w:color w:val="auto"/>
          <w:highlight w:val="none"/>
        </w:rPr>
        <w:t>一次性付清采购代理服务费。</w:t>
      </w:r>
      <w:r>
        <w:rPr>
          <w:rFonts w:hint="eastAsia" w:hAnsi="宋体"/>
          <w:color w:val="auto"/>
          <w:szCs w:val="21"/>
          <w:highlight w:val="none"/>
        </w:rPr>
        <w:t>本项目的采购代理服务收费标准参照计价格[2002]1980号《招标代理服务收费管理暂行办法》及</w:t>
      </w:r>
      <w:r>
        <w:rPr>
          <w:rFonts w:hint="eastAsia" w:hAnsi="宋体"/>
          <w:color w:val="auto"/>
          <w:szCs w:val="21"/>
          <w:highlight w:val="none"/>
          <w:lang w:eastAsia="zh-CN"/>
        </w:rPr>
        <w:t>（桂价费[2011]55号）</w:t>
      </w:r>
      <w:r>
        <w:rPr>
          <w:rFonts w:hint="eastAsia" w:hAnsi="宋体"/>
          <w:color w:val="auto"/>
          <w:szCs w:val="21"/>
          <w:highlight w:val="none"/>
        </w:rPr>
        <w:t>货物类收费标准向成交供应商收取。</w:t>
      </w:r>
    </w:p>
    <w:p>
      <w:pPr>
        <w:keepNext w:val="0"/>
        <w:keepLines w:val="0"/>
        <w:pageBreakBefore w:val="0"/>
        <w:kinsoku/>
        <w:wordWrap/>
        <w:overflowPunct/>
        <w:topLinePunct w:val="0"/>
        <w:bidi w:val="0"/>
        <w:adjustRightInd/>
        <w:spacing w:line="400" w:lineRule="exact"/>
        <w:jc w:val="center"/>
        <w:rPr>
          <w:rFonts w:ascii="宋体" w:hAnsi="宋体"/>
          <w:color w:val="auto"/>
          <w:szCs w:val="21"/>
          <w:highlight w:val="none"/>
        </w:rPr>
      </w:pPr>
      <w:r>
        <w:rPr>
          <w:rFonts w:hint="eastAsia" w:ascii="宋体" w:hAnsi="宋体"/>
          <w:color w:val="auto"/>
          <w:szCs w:val="21"/>
          <w:highlight w:val="none"/>
        </w:rPr>
        <w:t>采购代理服务收费标准</w:t>
      </w:r>
    </w:p>
    <w:tbl>
      <w:tblPr>
        <w:tblStyle w:val="15"/>
        <w:tblW w:w="91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11"/>
        <w:gridCol w:w="2153"/>
        <w:gridCol w:w="2187"/>
        <w:gridCol w:w="19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jc w:val="center"/>
        </w:trPr>
        <w:tc>
          <w:tcPr>
            <w:tcW w:w="2811" w:type="dxa"/>
            <w:tcBorders>
              <w:top w:val="single" w:color="auto" w:sz="4" w:space="0"/>
              <w:left w:val="single" w:color="auto" w:sz="4" w:space="0"/>
              <w:bottom w:val="single" w:color="auto" w:sz="4" w:space="0"/>
              <w:right w:val="single" w:color="auto" w:sz="4" w:space="0"/>
            </w:tcBorders>
            <w:noWrap w:val="0"/>
            <w:vAlign w:val="top"/>
          </w:tcPr>
          <w:p>
            <w:pPr>
              <w:pStyle w:val="10"/>
              <w:keepNext w:val="0"/>
              <w:keepLines w:val="0"/>
              <w:pageBreakBefore w:val="0"/>
              <w:kinsoku/>
              <w:wordWrap/>
              <w:overflowPunct/>
              <w:topLinePunct w:val="0"/>
              <w:bidi w:val="0"/>
              <w:adjustRightInd/>
              <w:spacing w:line="400" w:lineRule="exact"/>
              <w:ind w:left="25"/>
              <w:rPr>
                <w:rFonts w:hint="eastAsia" w:hAnsi="宋体" w:cs="宋体"/>
                <w:color w:val="auto"/>
                <w:szCs w:val="21"/>
                <w:highlight w:val="none"/>
              </w:rPr>
            </w:pPr>
            <w:r>
              <w:rPr>
                <w:color w:val="auto"/>
                <w:sz w:val="21"/>
                <w:highlight w:val="none"/>
              </w:rPr>
              <mc:AlternateContent>
                <mc:Choice Requires="wps">
                  <w:drawing>
                    <wp:anchor distT="0" distB="0" distL="114300" distR="114300" simplePos="0" relativeHeight="251660288" behindDoc="0" locked="0" layoutInCell="1" allowOverlap="1">
                      <wp:simplePos x="0" y="0"/>
                      <wp:positionH relativeFrom="column">
                        <wp:posOffset>93345</wp:posOffset>
                      </wp:positionH>
                      <wp:positionV relativeFrom="paragraph">
                        <wp:posOffset>45720</wp:posOffset>
                      </wp:positionV>
                      <wp:extent cx="306705" cy="278765"/>
                      <wp:effectExtent l="0" t="0" r="0" b="0"/>
                      <wp:wrapNone/>
                      <wp:docPr id="3" name="文本框 3"/>
                      <wp:cNvGraphicFramePr/>
                      <a:graphic xmlns:a="http://schemas.openxmlformats.org/drawingml/2006/main">
                        <a:graphicData uri="http://schemas.microsoft.com/office/word/2010/wordprocessingShape">
                          <wps:wsp>
                            <wps:cNvSpPr txBox="1"/>
                            <wps:spPr>
                              <a:xfrm>
                                <a:off x="0" y="0"/>
                                <a:ext cx="306705" cy="278765"/>
                              </a:xfrm>
                              <a:prstGeom prst="rect">
                                <a:avLst/>
                              </a:prstGeom>
                              <a:noFill/>
                              <a:ln>
                                <a:noFill/>
                              </a:ln>
                            </wps:spPr>
                            <wps:txbx>
                              <w:txbxContent>
                                <w:p>
                                  <w:pPr>
                                    <w:rPr>
                                      <w:rFonts w:hint="eastAsia" w:eastAsia="宋体"/>
                                      <w:lang w:eastAsia="zh-CN"/>
                                    </w:rPr>
                                  </w:pPr>
                                  <w:r>
                                    <w:rPr>
                                      <w:rFonts w:hint="eastAsia"/>
                                      <w:lang w:eastAsia="zh-CN"/>
                                    </w:rPr>
                                    <w:t>费</w:t>
                                  </w:r>
                                </w:p>
                              </w:txbxContent>
                            </wps:txbx>
                            <wps:bodyPr upright="1"/>
                          </wps:wsp>
                        </a:graphicData>
                      </a:graphic>
                    </wp:anchor>
                  </w:drawing>
                </mc:Choice>
                <mc:Fallback>
                  <w:pict>
                    <v:shape id="_x0000_s1026" o:spid="_x0000_s1026" o:spt="202" type="#_x0000_t202" style="position:absolute;left:0pt;margin-left:7.35pt;margin-top:3.6pt;height:21.95pt;width:24.15pt;z-index:251660288;mso-width-relative:page;mso-height-relative:page;" filled="f" stroked="f" coordsize="21600,21600" o:gfxdata="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NemC/rTAAAABgEA&#10;AA8AAAAAAAAAAQAgAAAAIgAAAGRycy9kb3ducmV2LnhtbFBLAQIUABQAAAAIAIdO4kCE/0MrrQEA&#10;AE0DAAAOAAAAAAAAAAEAIAAAACIBAABkcnMvZTJvRG9jLnhtbFBLBQYAAAAABgAGAFkBAABBBQAA&#10;AAA=&#10;">
                      <v:fill on="f" focussize="0,0"/>
                      <v:stroke on="f"/>
                      <v:imagedata o:title=""/>
                      <o:lock v:ext="edit" aspectratio="f"/>
                      <v:textbox>
                        <w:txbxContent>
                          <w:p>
                            <w:pPr>
                              <w:rPr>
                                <w:rFonts w:hint="eastAsia" w:eastAsia="宋体"/>
                                <w:lang w:eastAsia="zh-CN"/>
                              </w:rPr>
                            </w:pPr>
                            <w:r>
                              <w:rPr>
                                <w:rFonts w:hint="eastAsia"/>
                                <w:lang w:eastAsia="zh-CN"/>
                              </w:rPr>
                              <w:t>费</w:t>
                            </w:r>
                          </w:p>
                        </w:txbxContent>
                      </v:textbox>
                    </v:shape>
                  </w:pict>
                </mc:Fallback>
              </mc:AlternateContent>
            </w:r>
            <w:r>
              <w:rPr>
                <w:color w:val="auto"/>
                <w:sz w:val="21"/>
                <w:highlight w:val="none"/>
              </w:rPr>
              <mc:AlternateContent>
                <mc:Choice Requires="wps">
                  <w:drawing>
                    <wp:anchor distT="0" distB="0" distL="114300" distR="114300" simplePos="0" relativeHeight="251661312" behindDoc="0" locked="0" layoutInCell="1" allowOverlap="1">
                      <wp:simplePos x="0" y="0"/>
                      <wp:positionH relativeFrom="column">
                        <wp:posOffset>309245</wp:posOffset>
                      </wp:positionH>
                      <wp:positionV relativeFrom="paragraph">
                        <wp:posOffset>100330</wp:posOffset>
                      </wp:positionV>
                      <wp:extent cx="278130" cy="277495"/>
                      <wp:effectExtent l="0" t="0" r="0" b="0"/>
                      <wp:wrapNone/>
                      <wp:docPr id="4" name="文本框 4"/>
                      <wp:cNvGraphicFramePr/>
                      <a:graphic xmlns:a="http://schemas.openxmlformats.org/drawingml/2006/main">
                        <a:graphicData uri="http://schemas.microsoft.com/office/word/2010/wordprocessingShape">
                          <wps:wsp>
                            <wps:cNvSpPr txBox="1"/>
                            <wps:spPr>
                              <a:xfrm>
                                <a:off x="0" y="0"/>
                                <a:ext cx="278130" cy="277495"/>
                              </a:xfrm>
                              <a:prstGeom prst="rect">
                                <a:avLst/>
                              </a:prstGeom>
                              <a:noFill/>
                              <a:ln>
                                <a:noFill/>
                              </a:ln>
                            </wps:spPr>
                            <wps:txbx>
                              <w:txbxContent>
                                <w:p>
                                  <w:pPr>
                                    <w:rPr>
                                      <w:rFonts w:hint="eastAsia" w:eastAsia="宋体"/>
                                      <w:lang w:eastAsia="zh-CN"/>
                                    </w:rPr>
                                  </w:pPr>
                                  <w:r>
                                    <w:rPr>
                                      <w:rFonts w:hint="eastAsia"/>
                                      <w:lang w:eastAsia="zh-CN"/>
                                    </w:rPr>
                                    <w:t>率</w:t>
                                  </w:r>
                                </w:p>
                              </w:txbxContent>
                            </wps:txbx>
                            <wps:bodyPr upright="1"/>
                          </wps:wsp>
                        </a:graphicData>
                      </a:graphic>
                    </wp:anchor>
                  </w:drawing>
                </mc:Choice>
                <mc:Fallback>
                  <w:pict>
                    <v:shape id="_x0000_s1026" o:spid="_x0000_s1026" o:spt="202" type="#_x0000_t202" style="position:absolute;left:0pt;margin-left:24.35pt;margin-top:7.9pt;height:21.85pt;width:21.9pt;z-index:251661312;mso-width-relative:page;mso-height-relative:page;" filled="f" stroked="f" coordsize="21600,21600" o:gfxdata="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BmGIgQ1QAAAAcB&#10;AAAPAAAAAAAAAAEAIAAAACIAAABkcnMvZG93bnJldi54bWxQSwECFAAUAAAACACHTuJAmoCaHqwB&#10;AABNAwAADgAAAAAAAAABACAAAAAkAQAAZHJzL2Uyb0RvYy54bWxQSwUGAAAAAAYABgBZAQAAQgUA&#10;AAAA&#10;">
                      <v:fill on="f" focussize="0,0"/>
                      <v:stroke on="f"/>
                      <v:imagedata o:title=""/>
                      <o:lock v:ext="edit" aspectratio="f"/>
                      <v:textbox>
                        <w:txbxContent>
                          <w:p>
                            <w:pPr>
                              <w:rPr>
                                <w:rFonts w:hint="eastAsia" w:eastAsia="宋体"/>
                                <w:lang w:eastAsia="zh-CN"/>
                              </w:rPr>
                            </w:pPr>
                            <w:r>
                              <w:rPr>
                                <w:rFonts w:hint="eastAsia"/>
                                <w:lang w:eastAsia="zh-CN"/>
                              </w:rPr>
                              <w:t>率</w:t>
                            </w:r>
                          </w:p>
                        </w:txbxContent>
                      </v:textbox>
                    </v:shape>
                  </w:pict>
                </mc:Fallback>
              </mc:AlternateContent>
            </w:r>
            <w:r>
              <w:rPr>
                <w:color w:val="auto"/>
                <w:sz w:val="21"/>
                <w:highlight w:val="none"/>
              </w:rPr>
              <mc:AlternateContent>
                <mc:Choice Requires="wps">
                  <w:drawing>
                    <wp:anchor distT="0" distB="0" distL="114300" distR="114300" simplePos="0" relativeHeight="251659264" behindDoc="0" locked="0" layoutInCell="1" allowOverlap="1">
                      <wp:simplePos x="0" y="0"/>
                      <wp:positionH relativeFrom="column">
                        <wp:posOffset>467360</wp:posOffset>
                      </wp:positionH>
                      <wp:positionV relativeFrom="paragraph">
                        <wp:posOffset>1905</wp:posOffset>
                      </wp:positionV>
                      <wp:extent cx="1241425" cy="720090"/>
                      <wp:effectExtent l="2540" t="3810" r="13335" b="19050"/>
                      <wp:wrapNone/>
                      <wp:docPr id="5" name="直接连接符 5"/>
                      <wp:cNvGraphicFramePr/>
                      <a:graphic xmlns:a="http://schemas.openxmlformats.org/drawingml/2006/main">
                        <a:graphicData uri="http://schemas.microsoft.com/office/word/2010/wordprocessingShape">
                          <wps:wsp>
                            <wps:cNvCnPr/>
                            <wps:spPr>
                              <a:xfrm>
                                <a:off x="0" y="0"/>
                                <a:ext cx="1241425" cy="72009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36.8pt;margin-top:0.15pt;height:56.7pt;width:97.75pt;z-index:251659264;mso-width-relative:page;mso-height-relative:page;" filled="f" stroked="t" coordsize="21600,21600" o:gfxdata="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FIFkWbVAAAABwEAAA8AAAAAAAAAAQAgAAAAIgAAAGRycy9kb3ducmV2LnhtbFBL&#10;AQIUABQAAAAIAIdO4kDV0lIB+QEAAOkDAAAOAAAAAAAAAAEAIAAAACQBAABkcnMvZTJvRG9jLnht&#10;bFBLBQYAAAAABgAGAFkBAACPBQAAAAA=&#10;">
                      <v:fill on="f" focussize="0,0"/>
                      <v:stroke color="#000000" joinstyle="round"/>
                      <v:imagedata o:title=""/>
                      <o:lock v:ext="edit" aspectratio="f"/>
                    </v:line>
                  </w:pict>
                </mc:Fallback>
              </mc:AlternateContent>
            </w:r>
            <w:r>
              <w:rPr>
                <w:rFonts w:hint="eastAsia"/>
                <w:color w:val="auto"/>
                <w:sz w:val="21"/>
                <w:highlight w:val="none"/>
                <w:lang w:val="en-US" w:eastAsia="zh-CN"/>
              </w:rPr>
              <w:t xml:space="preserve">      </w:t>
            </w:r>
            <w:r>
              <w:rPr>
                <w:rFonts w:hint="eastAsia" w:hAnsi="宋体" w:cs="宋体"/>
                <w:color w:val="auto"/>
                <w:szCs w:val="21"/>
                <w:highlight w:val="none"/>
              </w:rPr>
              <w:t xml:space="preserve">         服务类型</w:t>
            </w:r>
          </w:p>
          <w:p>
            <w:pPr>
              <w:pStyle w:val="10"/>
              <w:keepNext w:val="0"/>
              <w:keepLines w:val="0"/>
              <w:pageBreakBefore w:val="0"/>
              <w:kinsoku/>
              <w:wordWrap/>
              <w:overflowPunct/>
              <w:topLinePunct w:val="0"/>
              <w:bidi w:val="0"/>
              <w:adjustRightInd/>
              <w:spacing w:line="400" w:lineRule="exact"/>
              <w:ind w:left="25"/>
              <w:rPr>
                <w:rFonts w:hint="eastAsia" w:hAnsi="宋体" w:cs="宋体"/>
                <w:color w:val="auto"/>
                <w:szCs w:val="21"/>
                <w:highlight w:val="none"/>
              </w:rPr>
            </w:pPr>
            <w:r>
              <w:rPr>
                <w:color w:val="auto"/>
                <w:sz w:val="21"/>
                <w:highlight w:val="none"/>
              </w:rPr>
              <mc:AlternateContent>
                <mc:Choice Requires="wps">
                  <w:drawing>
                    <wp:anchor distT="0" distB="0" distL="114300" distR="114300" simplePos="0" relativeHeight="251658240" behindDoc="0" locked="0" layoutInCell="1" allowOverlap="1">
                      <wp:simplePos x="0" y="0"/>
                      <wp:positionH relativeFrom="column">
                        <wp:posOffset>-60325</wp:posOffset>
                      </wp:positionH>
                      <wp:positionV relativeFrom="paragraph">
                        <wp:posOffset>113665</wp:posOffset>
                      </wp:positionV>
                      <wp:extent cx="1774825" cy="379730"/>
                      <wp:effectExtent l="1270" t="4445" r="14605" b="15875"/>
                      <wp:wrapNone/>
                      <wp:docPr id="6" name="直接连接符 6"/>
                      <wp:cNvGraphicFramePr/>
                      <a:graphic xmlns:a="http://schemas.openxmlformats.org/drawingml/2006/main">
                        <a:graphicData uri="http://schemas.microsoft.com/office/word/2010/wordprocessingShape">
                          <wps:wsp>
                            <wps:cNvCnPr/>
                            <wps:spPr>
                              <a:xfrm>
                                <a:off x="0" y="0"/>
                                <a:ext cx="1774825" cy="37973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4.75pt;margin-top:8.95pt;height:29.9pt;width:139.75pt;z-index:251658240;mso-width-relative:page;mso-height-relative:page;" filled="f" stroked="t" coordsize="21600,21600" o:gfxdata="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MZ3v+fWAAAACAEAAA8AAAAAAAAAAQAgAAAAIgAAAGRycy9kb3ducmV2Lnht&#10;bFBLAQIUABQAAAAIAIdO4kBQS0ql+wEAAOkDAAAOAAAAAAAAAAEAIAAAACUBAABkcnMvZTJvRG9j&#10;LnhtbFBLBQYAAAAABgAGAFkBAACSBQAAAAA=&#10;">
                      <v:fill on="f" focussize="0,0"/>
                      <v:stroke color="#000000" joinstyle="round"/>
                      <v:imagedata o:title=""/>
                      <o:lock v:ext="edit" aspectratio="f"/>
                    </v:line>
                  </w:pict>
                </mc:Fallback>
              </mc:AlternateContent>
            </w:r>
          </w:p>
          <w:p>
            <w:pPr>
              <w:pStyle w:val="10"/>
              <w:keepNext w:val="0"/>
              <w:keepLines w:val="0"/>
              <w:pageBreakBefore w:val="0"/>
              <w:kinsoku/>
              <w:wordWrap/>
              <w:overflowPunct/>
              <w:topLinePunct w:val="0"/>
              <w:bidi w:val="0"/>
              <w:adjustRightInd/>
              <w:spacing w:line="400" w:lineRule="exact"/>
              <w:ind w:left="25"/>
              <w:rPr>
                <w:rFonts w:hint="eastAsia" w:hAnsi="宋体" w:cs="宋体"/>
                <w:color w:val="auto"/>
                <w:kern w:val="0"/>
                <w:szCs w:val="21"/>
                <w:highlight w:val="none"/>
              </w:rPr>
            </w:pPr>
            <w:r>
              <w:rPr>
                <w:rFonts w:hint="eastAsia" w:hAnsi="宋体" w:cs="宋体"/>
                <w:color w:val="auto"/>
                <w:szCs w:val="21"/>
                <w:highlight w:val="none"/>
              </w:rPr>
              <w:t>中标金额</w:t>
            </w:r>
          </w:p>
        </w:tc>
        <w:tc>
          <w:tcPr>
            <w:tcW w:w="2153" w:type="dxa"/>
            <w:tcBorders>
              <w:top w:val="single" w:color="auto" w:sz="4" w:space="0"/>
              <w:left w:val="single" w:color="auto" w:sz="4" w:space="0"/>
              <w:bottom w:val="single" w:color="auto" w:sz="4" w:space="0"/>
              <w:right w:val="single" w:color="auto" w:sz="4" w:space="0"/>
            </w:tcBorders>
            <w:noWrap w:val="0"/>
            <w:vAlign w:val="center"/>
          </w:tcPr>
          <w:p>
            <w:pPr>
              <w:pStyle w:val="10"/>
              <w:keepNext w:val="0"/>
              <w:keepLines w:val="0"/>
              <w:pageBreakBefore w:val="0"/>
              <w:kinsoku/>
              <w:wordWrap/>
              <w:overflowPunct/>
              <w:topLinePunct w:val="0"/>
              <w:bidi w:val="0"/>
              <w:adjustRightInd/>
              <w:spacing w:line="400" w:lineRule="exact"/>
              <w:ind w:left="25"/>
              <w:jc w:val="center"/>
              <w:rPr>
                <w:rFonts w:hint="eastAsia" w:hAnsi="宋体" w:cs="宋体"/>
                <w:color w:val="auto"/>
                <w:kern w:val="0"/>
                <w:szCs w:val="21"/>
                <w:highlight w:val="none"/>
              </w:rPr>
            </w:pPr>
            <w:r>
              <w:rPr>
                <w:rFonts w:hint="eastAsia" w:hAnsi="宋体" w:cs="宋体"/>
                <w:color w:val="auto"/>
                <w:szCs w:val="21"/>
                <w:highlight w:val="none"/>
              </w:rPr>
              <w:t>货物类</w:t>
            </w:r>
          </w:p>
        </w:tc>
        <w:tc>
          <w:tcPr>
            <w:tcW w:w="2187" w:type="dxa"/>
            <w:tcBorders>
              <w:top w:val="single" w:color="auto" w:sz="4" w:space="0"/>
              <w:left w:val="single" w:color="auto" w:sz="4" w:space="0"/>
              <w:bottom w:val="single" w:color="auto" w:sz="4" w:space="0"/>
              <w:right w:val="single" w:color="auto" w:sz="4" w:space="0"/>
            </w:tcBorders>
            <w:noWrap w:val="0"/>
            <w:vAlign w:val="center"/>
          </w:tcPr>
          <w:p>
            <w:pPr>
              <w:pStyle w:val="10"/>
              <w:keepNext w:val="0"/>
              <w:keepLines w:val="0"/>
              <w:pageBreakBefore w:val="0"/>
              <w:kinsoku/>
              <w:wordWrap/>
              <w:overflowPunct/>
              <w:topLinePunct w:val="0"/>
              <w:bidi w:val="0"/>
              <w:adjustRightInd/>
              <w:spacing w:line="400" w:lineRule="exact"/>
              <w:ind w:left="25"/>
              <w:jc w:val="center"/>
              <w:rPr>
                <w:rFonts w:hint="eastAsia" w:hAnsi="宋体" w:cs="宋体"/>
                <w:color w:val="auto"/>
                <w:kern w:val="0"/>
                <w:szCs w:val="21"/>
                <w:highlight w:val="none"/>
              </w:rPr>
            </w:pPr>
            <w:r>
              <w:rPr>
                <w:rFonts w:hint="eastAsia" w:hAnsi="宋体" w:cs="宋体"/>
                <w:color w:val="auto"/>
                <w:szCs w:val="21"/>
                <w:highlight w:val="none"/>
              </w:rPr>
              <w:t>服务类</w:t>
            </w:r>
          </w:p>
        </w:tc>
        <w:tc>
          <w:tcPr>
            <w:tcW w:w="1954" w:type="dxa"/>
            <w:tcBorders>
              <w:top w:val="single" w:color="auto" w:sz="4" w:space="0"/>
              <w:left w:val="single" w:color="auto" w:sz="4" w:space="0"/>
              <w:bottom w:val="single" w:color="auto" w:sz="4" w:space="0"/>
              <w:right w:val="single" w:color="auto" w:sz="4" w:space="0"/>
            </w:tcBorders>
            <w:noWrap w:val="0"/>
            <w:vAlign w:val="center"/>
          </w:tcPr>
          <w:p>
            <w:pPr>
              <w:pStyle w:val="10"/>
              <w:keepNext w:val="0"/>
              <w:keepLines w:val="0"/>
              <w:pageBreakBefore w:val="0"/>
              <w:kinsoku/>
              <w:wordWrap/>
              <w:overflowPunct/>
              <w:topLinePunct w:val="0"/>
              <w:bidi w:val="0"/>
              <w:adjustRightInd/>
              <w:spacing w:line="400" w:lineRule="exact"/>
              <w:ind w:left="25"/>
              <w:jc w:val="center"/>
              <w:rPr>
                <w:rFonts w:hint="eastAsia" w:hAnsi="宋体" w:cs="宋体"/>
                <w:color w:val="auto"/>
                <w:kern w:val="0"/>
                <w:szCs w:val="21"/>
                <w:highlight w:val="none"/>
              </w:rPr>
            </w:pPr>
            <w:r>
              <w:rPr>
                <w:rFonts w:hint="eastAsia" w:hAnsi="宋体" w:cs="宋体"/>
                <w:color w:val="auto"/>
                <w:szCs w:val="21"/>
                <w:highlight w:val="none"/>
              </w:rPr>
              <w:t>工程类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281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100万元以下</w:t>
            </w:r>
          </w:p>
        </w:tc>
        <w:tc>
          <w:tcPr>
            <w:tcW w:w="21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1.5%</w:t>
            </w:r>
          </w:p>
        </w:tc>
        <w:tc>
          <w:tcPr>
            <w:tcW w:w="21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ind w:firstLine="210" w:firstLineChars="100"/>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1.5%</w:t>
            </w:r>
          </w:p>
        </w:tc>
        <w:tc>
          <w:tcPr>
            <w:tcW w:w="19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ind w:firstLine="210" w:firstLineChars="100"/>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281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100～500万元</w:t>
            </w:r>
          </w:p>
        </w:tc>
        <w:tc>
          <w:tcPr>
            <w:tcW w:w="21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1.1%</w:t>
            </w:r>
          </w:p>
        </w:tc>
        <w:tc>
          <w:tcPr>
            <w:tcW w:w="21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ind w:firstLine="210" w:firstLineChars="100"/>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0.8%</w:t>
            </w:r>
          </w:p>
        </w:tc>
        <w:tc>
          <w:tcPr>
            <w:tcW w:w="19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ind w:firstLine="210" w:firstLineChars="100"/>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281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500～1000万元</w:t>
            </w:r>
          </w:p>
        </w:tc>
        <w:tc>
          <w:tcPr>
            <w:tcW w:w="21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0.8%</w:t>
            </w:r>
          </w:p>
        </w:tc>
        <w:tc>
          <w:tcPr>
            <w:tcW w:w="21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ind w:firstLine="210" w:firstLineChars="100"/>
              <w:rPr>
                <w:rFonts w:hint="eastAsia" w:ascii="宋体" w:hAnsi="宋体" w:cs="宋体"/>
                <w:color w:val="auto"/>
                <w:kern w:val="0"/>
                <w:szCs w:val="21"/>
                <w:highlight w:val="none"/>
              </w:rPr>
            </w:pPr>
            <w:r>
              <w:rPr>
                <w:rFonts w:hint="eastAsia" w:ascii="宋体" w:hAnsi="宋体" w:cs="宋体"/>
                <w:color w:val="auto"/>
                <w:kern w:val="0"/>
                <w:szCs w:val="21"/>
                <w:highlight w:val="none"/>
              </w:rPr>
              <w:t xml:space="preserve">    </w:t>
            </w:r>
            <w:r>
              <w:rPr>
                <w:rFonts w:hint="eastAsia" w:ascii="宋体" w:hAnsi="宋体" w:cs="宋体"/>
                <w:color w:val="auto"/>
                <w:kern w:val="0"/>
                <w:szCs w:val="21"/>
                <w:highlight w:val="none"/>
                <w:lang w:val="en-US" w:eastAsia="zh-CN"/>
              </w:rPr>
              <w:t xml:space="preserve"> </w:t>
            </w:r>
            <w:r>
              <w:rPr>
                <w:rFonts w:hint="eastAsia" w:ascii="宋体" w:hAnsi="宋体" w:cs="宋体"/>
                <w:color w:val="auto"/>
                <w:kern w:val="0"/>
                <w:szCs w:val="21"/>
                <w:highlight w:val="none"/>
              </w:rPr>
              <w:t xml:space="preserve"> 0.45% </w:t>
            </w:r>
          </w:p>
        </w:tc>
        <w:tc>
          <w:tcPr>
            <w:tcW w:w="19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ind w:firstLine="210" w:firstLineChars="100"/>
              <w:jc w:val="center"/>
              <w:rPr>
                <w:rFonts w:hint="eastAsia" w:ascii="宋体" w:hAnsi="宋体" w:cs="宋体"/>
                <w:color w:val="auto"/>
                <w:kern w:val="0"/>
                <w:szCs w:val="21"/>
                <w:highlight w:val="none"/>
              </w:rPr>
            </w:pPr>
            <w:r>
              <w:rPr>
                <w:rFonts w:hint="eastAsia" w:ascii="宋体" w:hAnsi="宋体" w:cs="宋体"/>
                <w:color w:val="auto"/>
                <w:kern w:val="0"/>
                <w:szCs w:val="21"/>
                <w:highlight w:val="none"/>
                <w:lang w:val="en-US" w:eastAsia="zh-CN"/>
              </w:rPr>
              <w:t xml:space="preserve"> </w:t>
            </w:r>
            <w:r>
              <w:rPr>
                <w:rFonts w:hint="eastAsia" w:ascii="宋体" w:hAnsi="宋体" w:cs="宋体"/>
                <w:color w:val="auto"/>
                <w:kern w:val="0"/>
                <w:szCs w:val="21"/>
                <w:highlight w:val="none"/>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281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1000～5000万元</w:t>
            </w:r>
          </w:p>
        </w:tc>
        <w:tc>
          <w:tcPr>
            <w:tcW w:w="21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0.5%</w:t>
            </w:r>
          </w:p>
        </w:tc>
        <w:tc>
          <w:tcPr>
            <w:tcW w:w="21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ind w:firstLine="210" w:firstLineChars="100"/>
              <w:rPr>
                <w:rFonts w:hint="eastAsia" w:ascii="宋体" w:hAnsi="宋体" w:cs="宋体"/>
                <w:color w:val="auto"/>
                <w:kern w:val="0"/>
                <w:szCs w:val="21"/>
                <w:highlight w:val="none"/>
              </w:rPr>
            </w:pPr>
            <w:r>
              <w:rPr>
                <w:rFonts w:hint="eastAsia" w:ascii="宋体" w:hAnsi="宋体" w:cs="宋体"/>
                <w:color w:val="auto"/>
                <w:kern w:val="0"/>
                <w:szCs w:val="21"/>
                <w:highlight w:val="none"/>
              </w:rPr>
              <w:t xml:space="preserve">   </w:t>
            </w:r>
            <w:r>
              <w:rPr>
                <w:rFonts w:hint="eastAsia" w:ascii="宋体" w:hAnsi="宋体" w:cs="宋体"/>
                <w:color w:val="auto"/>
                <w:kern w:val="0"/>
                <w:szCs w:val="21"/>
                <w:highlight w:val="none"/>
                <w:lang w:val="en-US" w:eastAsia="zh-CN"/>
              </w:rPr>
              <w:t xml:space="preserve"> </w:t>
            </w:r>
            <w:r>
              <w:rPr>
                <w:rFonts w:hint="eastAsia" w:ascii="宋体" w:hAnsi="宋体" w:cs="宋体"/>
                <w:color w:val="auto"/>
                <w:kern w:val="0"/>
                <w:szCs w:val="21"/>
                <w:highlight w:val="none"/>
              </w:rPr>
              <w:t xml:space="preserve">  0.25%</w:t>
            </w:r>
          </w:p>
        </w:tc>
        <w:tc>
          <w:tcPr>
            <w:tcW w:w="19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ind w:firstLine="210" w:firstLineChars="100"/>
              <w:jc w:val="center"/>
              <w:rPr>
                <w:rFonts w:hint="eastAsia" w:ascii="宋体" w:hAnsi="宋体" w:cs="宋体"/>
                <w:color w:val="auto"/>
                <w:kern w:val="0"/>
                <w:szCs w:val="21"/>
                <w:highlight w:val="none"/>
              </w:rPr>
            </w:pPr>
            <w:r>
              <w:rPr>
                <w:rFonts w:hint="eastAsia" w:ascii="宋体" w:hAnsi="宋体" w:cs="宋体"/>
                <w:color w:val="auto"/>
                <w:kern w:val="0"/>
                <w:szCs w:val="21"/>
                <w:highlight w:val="none"/>
                <w:lang w:val="en-US" w:eastAsia="zh-CN"/>
              </w:rPr>
              <w:t xml:space="preserve"> </w:t>
            </w:r>
            <w:r>
              <w:rPr>
                <w:rFonts w:hint="eastAsia" w:ascii="宋体" w:hAnsi="宋体" w:cs="宋体"/>
                <w:color w:val="auto"/>
                <w:kern w:val="0"/>
                <w:szCs w:val="21"/>
                <w:highlight w:val="none"/>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281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5000万元～1亿元</w:t>
            </w:r>
          </w:p>
        </w:tc>
        <w:tc>
          <w:tcPr>
            <w:tcW w:w="21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ind w:firstLine="210" w:firstLineChars="100"/>
              <w:rPr>
                <w:rFonts w:hint="eastAsia" w:ascii="宋体" w:hAnsi="宋体" w:cs="宋体"/>
                <w:color w:val="auto"/>
                <w:kern w:val="0"/>
                <w:szCs w:val="21"/>
                <w:highlight w:val="none"/>
              </w:rPr>
            </w:pPr>
            <w:r>
              <w:rPr>
                <w:rFonts w:hint="eastAsia" w:ascii="宋体" w:hAnsi="宋体" w:cs="宋体"/>
                <w:color w:val="auto"/>
                <w:kern w:val="0"/>
                <w:szCs w:val="21"/>
                <w:highlight w:val="none"/>
              </w:rPr>
              <w:t xml:space="preserve">   </w:t>
            </w:r>
            <w:r>
              <w:rPr>
                <w:rFonts w:hint="eastAsia" w:ascii="宋体" w:hAnsi="宋体" w:cs="宋体"/>
                <w:color w:val="auto"/>
                <w:kern w:val="0"/>
                <w:szCs w:val="21"/>
                <w:highlight w:val="none"/>
                <w:lang w:val="en-US" w:eastAsia="zh-CN"/>
              </w:rPr>
              <w:t xml:space="preserve"> </w:t>
            </w:r>
            <w:r>
              <w:rPr>
                <w:rFonts w:hint="eastAsia" w:ascii="宋体" w:hAnsi="宋体" w:cs="宋体"/>
                <w:color w:val="auto"/>
                <w:kern w:val="0"/>
                <w:szCs w:val="21"/>
                <w:highlight w:val="none"/>
              </w:rPr>
              <w:t xml:space="preserve"> 0.25%</w:t>
            </w:r>
          </w:p>
        </w:tc>
        <w:tc>
          <w:tcPr>
            <w:tcW w:w="21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ind w:firstLine="210" w:firstLineChars="100"/>
              <w:rPr>
                <w:rFonts w:hint="eastAsia" w:ascii="宋体" w:hAnsi="宋体" w:cs="宋体"/>
                <w:color w:val="auto"/>
                <w:kern w:val="0"/>
                <w:szCs w:val="21"/>
                <w:highlight w:val="none"/>
              </w:rPr>
            </w:pPr>
            <w:r>
              <w:rPr>
                <w:rFonts w:hint="eastAsia" w:ascii="宋体" w:hAnsi="宋体" w:cs="宋体"/>
                <w:color w:val="auto"/>
                <w:kern w:val="0"/>
                <w:szCs w:val="21"/>
                <w:highlight w:val="none"/>
              </w:rPr>
              <w:t xml:space="preserve">    </w:t>
            </w:r>
            <w:r>
              <w:rPr>
                <w:rFonts w:hint="eastAsia" w:ascii="宋体" w:hAnsi="宋体" w:cs="宋体"/>
                <w:color w:val="auto"/>
                <w:kern w:val="0"/>
                <w:szCs w:val="21"/>
                <w:highlight w:val="none"/>
                <w:lang w:val="en-US" w:eastAsia="zh-CN"/>
              </w:rPr>
              <w:t xml:space="preserve"> </w:t>
            </w:r>
            <w:r>
              <w:rPr>
                <w:rFonts w:hint="eastAsia" w:ascii="宋体" w:hAnsi="宋体" w:cs="宋体"/>
                <w:color w:val="auto"/>
                <w:kern w:val="0"/>
                <w:szCs w:val="21"/>
                <w:highlight w:val="none"/>
              </w:rPr>
              <w:t xml:space="preserve"> 0.1%</w:t>
            </w:r>
          </w:p>
        </w:tc>
        <w:tc>
          <w:tcPr>
            <w:tcW w:w="19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400" w:lineRule="exact"/>
              <w:ind w:firstLine="210" w:firstLineChars="100"/>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0.2%</w:t>
            </w:r>
          </w:p>
        </w:tc>
      </w:tr>
    </w:tbl>
    <w:p>
      <w:pPr>
        <w:pStyle w:val="10"/>
        <w:keepNext w:val="0"/>
        <w:keepLines w:val="0"/>
        <w:pageBreakBefore w:val="0"/>
        <w:kinsoku/>
        <w:wordWrap/>
        <w:overflowPunct/>
        <w:topLinePunct w:val="0"/>
        <w:bidi w:val="0"/>
        <w:adjustRightInd/>
        <w:spacing w:line="400" w:lineRule="exact"/>
        <w:ind w:left="25"/>
        <w:rPr>
          <w:rFonts w:hAnsi="宋体"/>
          <w:color w:val="auto"/>
          <w:highlight w:val="none"/>
        </w:rPr>
      </w:pPr>
      <w:r>
        <w:rPr>
          <w:rFonts w:hint="eastAsia" w:hAnsi="宋体"/>
          <w:color w:val="auto"/>
          <w:highlight w:val="none"/>
        </w:rPr>
        <w:t>注：采购代理服务收费按差额定率累进法计算。</w:t>
      </w:r>
    </w:p>
    <w:p>
      <w:pPr>
        <w:keepNext w:val="0"/>
        <w:keepLines w:val="0"/>
        <w:pageBreakBefore w:val="0"/>
        <w:widowControl w:val="0"/>
        <w:numPr>
          <w:ilvl w:val="0"/>
          <w:numId w:val="2"/>
        </w:numPr>
        <w:kinsoku/>
        <w:wordWrap/>
        <w:overflowPunct/>
        <w:topLinePunct w:val="0"/>
        <w:autoSpaceDE/>
        <w:autoSpaceDN/>
        <w:bidi w:val="0"/>
        <w:adjustRightInd/>
        <w:snapToGrid/>
        <w:spacing w:line="400" w:lineRule="exact"/>
        <w:ind w:firstLine="422" w:firstLineChars="200"/>
        <w:textAlignment w:val="auto"/>
        <w:rPr>
          <w:rFonts w:hint="eastAsia" w:ascii="宋体" w:hAnsi="宋体"/>
          <w:b/>
          <w:bCs/>
          <w:color w:val="auto"/>
          <w:highlight w:val="none"/>
        </w:rPr>
      </w:pPr>
      <w:r>
        <w:rPr>
          <w:rFonts w:hint="eastAsia" w:ascii="宋体" w:hAnsi="宋体" w:eastAsia="宋体"/>
          <w:b/>
          <w:bCs/>
          <w:color w:val="auto"/>
          <w:highlight w:val="none"/>
          <w:lang w:eastAsia="zh-CN"/>
        </w:rPr>
        <w:t>代理机构</w:t>
      </w:r>
      <w:r>
        <w:rPr>
          <w:rFonts w:hint="eastAsia" w:ascii="宋体" w:hAnsi="宋体"/>
          <w:b/>
          <w:bCs/>
          <w:color w:val="auto"/>
          <w:highlight w:val="none"/>
        </w:rPr>
        <w:t>银行账户：</w:t>
      </w:r>
    </w:p>
    <w:p>
      <w:pPr>
        <w:pStyle w:val="29"/>
        <w:keepNext w:val="0"/>
        <w:keepLines w:val="0"/>
        <w:pageBreakBefore w:val="0"/>
        <w:kinsoku/>
        <w:wordWrap/>
        <w:overflowPunct/>
        <w:topLinePunct w:val="0"/>
        <w:bidi w:val="0"/>
        <w:adjustRightInd/>
        <w:spacing w:line="400" w:lineRule="exact"/>
        <w:ind w:left="718" w:leftChars="342"/>
        <w:rPr>
          <w:rFonts w:hint="eastAsia" w:eastAsia="宋体"/>
          <w:color w:val="auto"/>
          <w:highlight w:val="none"/>
          <w:lang w:val="en-US" w:eastAsia="zh-CN"/>
        </w:rPr>
      </w:pPr>
      <w:r>
        <w:rPr>
          <w:rFonts w:hint="eastAsia" w:ascii="宋体" w:hAnsi="宋体" w:cs="宋体"/>
          <w:bCs w:val="0"/>
          <w:color w:val="auto"/>
          <w:sz w:val="21"/>
          <w:szCs w:val="21"/>
          <w:highlight w:val="none"/>
        </w:rPr>
        <w:t>开户名称：大成工程咨询有限公司桂林分公司 </w:t>
      </w:r>
      <w:r>
        <w:rPr>
          <w:rFonts w:hint="eastAsia" w:ascii="宋体" w:hAnsi="宋体" w:cs="宋体"/>
          <w:bCs w:val="0"/>
          <w:color w:val="auto"/>
          <w:sz w:val="21"/>
          <w:szCs w:val="21"/>
          <w:highlight w:val="none"/>
        </w:rPr>
        <w:br w:type="textWrapping"/>
      </w:r>
      <w:r>
        <w:rPr>
          <w:rFonts w:hint="eastAsia" w:ascii="宋体" w:hAnsi="宋体" w:cs="宋体"/>
          <w:bCs w:val="0"/>
          <w:color w:val="auto"/>
          <w:sz w:val="21"/>
          <w:szCs w:val="21"/>
          <w:highlight w:val="none"/>
        </w:rPr>
        <w:t>帐  号：369812010101898486</w:t>
      </w:r>
      <w:r>
        <w:rPr>
          <w:rFonts w:hint="eastAsia" w:ascii="宋体" w:hAnsi="宋体" w:cs="宋体"/>
          <w:bCs w:val="0"/>
          <w:color w:val="auto"/>
          <w:sz w:val="21"/>
          <w:szCs w:val="21"/>
          <w:highlight w:val="none"/>
        </w:rPr>
        <w:br w:type="textWrapping"/>
      </w:r>
      <w:r>
        <w:rPr>
          <w:rFonts w:hint="eastAsia" w:ascii="宋体" w:hAnsi="宋体" w:cs="宋体"/>
          <w:bCs w:val="0"/>
          <w:color w:val="auto"/>
          <w:sz w:val="21"/>
          <w:szCs w:val="21"/>
          <w:highlight w:val="none"/>
        </w:rPr>
        <w:t>开户银行： 广西临桂农村商业银行城北支行</w:t>
      </w:r>
      <w:r>
        <w:rPr>
          <w:rFonts w:hint="eastAsia" w:ascii="宋体" w:hAnsi="宋体" w:cs="宋体"/>
          <w:bCs w:val="0"/>
          <w:color w:val="auto"/>
          <w:sz w:val="21"/>
          <w:szCs w:val="21"/>
          <w:highlight w:val="none"/>
          <w:lang w:val="en-US" w:eastAsia="zh-CN"/>
        </w:rPr>
        <w:t xml:space="preserve"> </w:t>
      </w:r>
    </w:p>
    <w:p>
      <w:pPr>
        <w:keepNext w:val="0"/>
        <w:keepLines w:val="0"/>
        <w:pageBreakBefore w:val="0"/>
        <w:kinsoku/>
        <w:wordWrap/>
        <w:overflowPunct/>
        <w:topLinePunct w:val="0"/>
        <w:bidi w:val="0"/>
        <w:adjustRightInd/>
        <w:spacing w:line="400" w:lineRule="exact"/>
        <w:ind w:firstLine="422" w:firstLineChars="200"/>
        <w:rPr>
          <w:rFonts w:ascii="宋体" w:hAnsi="宋体"/>
          <w:color w:val="auto"/>
          <w:highlight w:val="none"/>
        </w:rPr>
      </w:pPr>
      <w:r>
        <w:rPr>
          <w:rFonts w:hint="eastAsia" w:ascii="宋体" w:hAnsi="宋体"/>
          <w:b/>
          <w:bCs/>
          <w:color w:val="auto"/>
          <w:highlight w:val="none"/>
        </w:rPr>
        <w:t>32、解释权：</w:t>
      </w:r>
      <w:r>
        <w:rPr>
          <w:rFonts w:hint="eastAsia" w:ascii="宋体" w:hAnsi="宋体"/>
          <w:color w:val="auto"/>
          <w:highlight w:val="none"/>
        </w:rPr>
        <w:t>本竞争性谈判文件是根据</w:t>
      </w:r>
      <w:r>
        <w:rPr>
          <w:rFonts w:hint="eastAsia" w:hAnsi="宋体"/>
          <w:color w:val="auto"/>
          <w:highlight w:val="none"/>
        </w:rPr>
        <w:t>《中华人民共和国政府采购法》、《中华人民共和国政府采购法实施条例》、《政府采购非招标采购方式管理办法》</w:t>
      </w:r>
      <w:r>
        <w:rPr>
          <w:rFonts w:hint="eastAsia" w:ascii="宋体" w:hAnsi="宋体"/>
          <w:color w:val="auto"/>
          <w:highlight w:val="none"/>
        </w:rPr>
        <w:t>等规定编制，本竞争性谈判文件的解释权属于采购代理机构。</w:t>
      </w:r>
    </w:p>
    <w:p>
      <w:pPr>
        <w:keepNext w:val="0"/>
        <w:keepLines w:val="0"/>
        <w:pageBreakBefore w:val="0"/>
        <w:kinsoku/>
        <w:wordWrap/>
        <w:overflowPunct/>
        <w:topLinePunct w:val="0"/>
        <w:bidi w:val="0"/>
        <w:adjustRightInd/>
        <w:spacing w:line="400" w:lineRule="exact"/>
        <w:ind w:firstLine="422" w:firstLineChars="200"/>
        <w:rPr>
          <w:rFonts w:ascii="宋体" w:hAnsi="宋体"/>
          <w:color w:val="auto"/>
          <w:highlight w:val="none"/>
        </w:rPr>
      </w:pPr>
      <w:r>
        <w:rPr>
          <w:rFonts w:hint="eastAsia" w:ascii="宋体" w:hAnsi="宋体"/>
          <w:b/>
          <w:bCs/>
          <w:color w:val="auto"/>
          <w:highlight w:val="none"/>
        </w:rPr>
        <w:t>33、监督管理机构：</w:t>
      </w:r>
      <w:r>
        <w:rPr>
          <w:rFonts w:hint="eastAsia" w:ascii="宋体" w:hAnsi="宋体"/>
          <w:color w:val="auto"/>
          <w:highlight w:val="none"/>
          <w:lang w:eastAsia="zh-CN"/>
        </w:rPr>
        <w:t xml:space="preserve">桂林市临桂区财政局政府采购监督管理股 </w:t>
      </w:r>
      <w:r>
        <w:rPr>
          <w:rFonts w:ascii="宋体" w:hAnsi="宋体"/>
          <w:color w:val="auto"/>
          <w:highlight w:val="none"/>
        </w:rPr>
        <w:t xml:space="preserve">      </w:t>
      </w:r>
      <w:r>
        <w:rPr>
          <w:rFonts w:hint="eastAsia" w:ascii="宋体" w:hAnsi="宋体"/>
          <w:color w:val="auto"/>
          <w:highlight w:val="none"/>
        </w:rPr>
        <w:t>电话：</w:t>
      </w:r>
      <w:r>
        <w:rPr>
          <w:rFonts w:hint="eastAsia" w:ascii="宋体" w:hAnsi="宋体"/>
          <w:color w:val="auto"/>
          <w:highlight w:val="none"/>
          <w:lang w:eastAsia="zh-CN"/>
        </w:rPr>
        <w:t xml:space="preserve">0773-5593932 </w:t>
      </w:r>
    </w:p>
    <w:p>
      <w:pPr>
        <w:pStyle w:val="3"/>
        <w:spacing w:line="0" w:lineRule="atLeast"/>
        <w:jc w:val="center"/>
        <w:rPr>
          <w:color w:val="auto"/>
          <w:sz w:val="32"/>
          <w:szCs w:val="32"/>
          <w:highlight w:val="none"/>
        </w:rPr>
      </w:pPr>
      <w:r>
        <w:rPr>
          <w:color w:val="auto"/>
          <w:highlight w:val="none"/>
        </w:rPr>
        <w:br w:type="page"/>
      </w:r>
      <w:r>
        <w:rPr>
          <w:rFonts w:hint="eastAsia"/>
          <w:color w:val="auto"/>
          <w:sz w:val="32"/>
          <w:szCs w:val="32"/>
          <w:highlight w:val="none"/>
        </w:rPr>
        <w:t xml:space="preserve"> </w:t>
      </w:r>
      <w:bookmarkStart w:id="33" w:name="_Toc432277439"/>
      <w:bookmarkStart w:id="34" w:name="_Toc27537"/>
      <w:bookmarkStart w:id="35" w:name="_Toc432264367"/>
      <w:r>
        <w:rPr>
          <w:rFonts w:hint="eastAsia"/>
          <w:color w:val="auto"/>
          <w:highlight w:val="none"/>
        </w:rPr>
        <w:t>第三章  货物采购需求</w:t>
      </w:r>
      <w:bookmarkEnd w:id="33"/>
      <w:bookmarkEnd w:id="34"/>
      <w:bookmarkEnd w:id="35"/>
    </w:p>
    <w:p>
      <w:pPr>
        <w:spacing w:line="400" w:lineRule="exact"/>
        <w:rPr>
          <w:rFonts w:hint="eastAsia" w:ascii="宋体" w:hAnsi="宋体" w:cs="宋体"/>
          <w:bCs/>
          <w:color w:val="auto"/>
          <w:szCs w:val="21"/>
          <w:highlight w:val="none"/>
        </w:rPr>
      </w:pPr>
      <w:r>
        <w:rPr>
          <w:rFonts w:hint="eastAsia" w:ascii="宋体" w:hAnsi="宋体" w:cs="宋体"/>
          <w:bCs/>
          <w:color w:val="auto"/>
          <w:szCs w:val="21"/>
          <w:highlight w:val="none"/>
        </w:rPr>
        <w:t>说明：</w:t>
      </w:r>
    </w:p>
    <w:p>
      <w:pPr>
        <w:adjustRightIn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一、供应商须提供全新、原装，并符合质量标准的货物。</w:t>
      </w:r>
    </w:p>
    <w:p>
      <w:pPr>
        <w:numPr>
          <w:ilvl w:val="0"/>
          <w:numId w:val="3"/>
        </w:numPr>
        <w:adjustRightIn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所有货物的知识产权问题，由各供应商自行负责。</w:t>
      </w:r>
    </w:p>
    <w:p>
      <w:pPr>
        <w:numPr>
          <w:ilvl w:val="0"/>
          <w:numId w:val="3"/>
        </w:numPr>
        <w:adjustRightInd w:val="0"/>
        <w:spacing w:line="400" w:lineRule="exact"/>
        <w:ind w:firstLine="420" w:firstLineChars="200"/>
        <w:rPr>
          <w:rFonts w:hint="eastAsia" w:asciiTheme="minorEastAsia" w:hAnsiTheme="minorEastAsia" w:eastAsiaTheme="minorEastAsia" w:cstheme="minorEastAsia"/>
          <w:b/>
          <w:color w:val="auto"/>
          <w:szCs w:val="21"/>
          <w:highlight w:val="none"/>
        </w:rPr>
      </w:pPr>
      <w:r>
        <w:rPr>
          <w:rFonts w:hint="eastAsia" w:ascii="宋体" w:hAnsi="宋体" w:cs="宋体"/>
          <w:bCs/>
          <w:color w:val="auto"/>
          <w:szCs w:val="21"/>
          <w:highlight w:val="none"/>
        </w:rPr>
        <w:t>本谈判文件提出的是最低限度的要求，供应商的方案应达到或优于本谈判文件要求，且符合国家有关</w:t>
      </w:r>
      <w:r>
        <w:rPr>
          <w:rFonts w:hint="eastAsia" w:asciiTheme="minorEastAsia" w:hAnsiTheme="minorEastAsia" w:eastAsiaTheme="minorEastAsia" w:cstheme="minorEastAsia"/>
          <w:bCs/>
          <w:color w:val="auto"/>
          <w:szCs w:val="21"/>
          <w:highlight w:val="none"/>
        </w:rPr>
        <w:t>标准和规范要求。</w:t>
      </w:r>
    </w:p>
    <w:p>
      <w:pPr>
        <w:pStyle w:val="29"/>
        <w:numPr>
          <w:ilvl w:val="0"/>
          <w:numId w:val="3"/>
        </w:numPr>
        <w:ind w:left="0" w:leftChars="0" w:firstLine="462" w:firstLineChars="200"/>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本“货物采购需求”中</w:t>
      </w:r>
      <w:r>
        <w:rPr>
          <w:rFonts w:hint="eastAsia" w:asciiTheme="minorEastAsia" w:hAnsiTheme="minorEastAsia" w:eastAsiaTheme="minorEastAsia" w:cstheme="minorEastAsia"/>
          <w:b/>
          <w:bCs/>
          <w:color w:val="auto"/>
          <w:sz w:val="21"/>
          <w:szCs w:val="21"/>
          <w:highlight w:val="none"/>
          <w:lang w:eastAsia="zh-CN"/>
        </w:rPr>
        <w:t>标注</w:t>
      </w:r>
      <w:r>
        <w:rPr>
          <w:rFonts w:hint="eastAsia" w:asciiTheme="minorEastAsia" w:hAnsiTheme="minorEastAsia" w:eastAsiaTheme="minorEastAsia" w:cstheme="minorEastAsia"/>
          <w:b w:val="0"/>
          <w:bCs w:val="0"/>
          <w:color w:val="auto"/>
          <w:sz w:val="21"/>
          <w:szCs w:val="21"/>
          <w:highlight w:val="none"/>
        </w:rPr>
        <w:t>★</w:t>
      </w:r>
      <w:r>
        <w:rPr>
          <w:rFonts w:hint="eastAsia" w:asciiTheme="minorEastAsia" w:hAnsiTheme="minorEastAsia" w:eastAsiaTheme="minorEastAsia" w:cstheme="minorEastAsia"/>
          <w:b/>
          <w:bCs/>
          <w:color w:val="auto"/>
          <w:sz w:val="21"/>
          <w:szCs w:val="21"/>
          <w:highlight w:val="none"/>
        </w:rPr>
        <w:t>为实质性要求。</w:t>
      </w:r>
    </w:p>
    <w:p>
      <w:pPr>
        <w:pStyle w:val="29"/>
        <w:keepNext w:val="0"/>
        <w:keepLines w:val="0"/>
        <w:pageBreakBefore w:val="0"/>
        <w:widowControl w:val="0"/>
        <w:numPr>
          <w:ilvl w:val="0"/>
          <w:numId w:val="3"/>
        </w:numPr>
        <w:kinsoku/>
        <w:wordWrap/>
        <w:overflowPunct/>
        <w:topLinePunct w:val="0"/>
        <w:autoSpaceDE/>
        <w:autoSpaceDN/>
        <w:bidi w:val="0"/>
        <w:adjustRightInd/>
        <w:snapToGrid/>
        <w:spacing w:line="400" w:lineRule="exact"/>
        <w:ind w:left="0" w:leftChars="0" w:firstLine="460" w:firstLineChars="200"/>
        <w:textAlignment w:val="auto"/>
        <w:rPr>
          <w:rFonts w:hint="eastAsia" w:ascii="宋体" w:hAnsi="宋体" w:cs="宋体"/>
          <w:b/>
          <w:bCs/>
          <w:color w:val="auto"/>
          <w:sz w:val="21"/>
          <w:szCs w:val="21"/>
          <w:highlight w:val="none"/>
          <w:lang w:eastAsia="zh-CN"/>
        </w:rPr>
      </w:pPr>
      <w:r>
        <w:rPr>
          <w:rFonts w:hint="eastAsia" w:ascii="宋体" w:hAnsi="宋体" w:cs="宋体"/>
          <w:b w:val="0"/>
          <w:bCs w:val="0"/>
          <w:color w:val="auto"/>
          <w:sz w:val="21"/>
          <w:szCs w:val="21"/>
          <w:highlight w:val="none"/>
        </w:rPr>
        <w:t>根据财库〔2019〕9 号及财库〔2019〕19 号文件规定，台式计算机，便携式计算机、平板式微型计算机，激光打印机，针式打印机，液晶显示器，制冷压缩机（冷水机组、水源热泵机组、溴化锂吸收式冷水机组），空调机组[多联式空调（热泵）机组（制冷量＞14000W），单元式空气调节机（制冷量＞14000W）]，专用制冷、空调设备（机房空调），镇流器（管型荧光灯镇流器），空调机[房间空气调节器、多联式空调（热泵）机组（制冷量≤14000W）、单元式空气调节机（制冷量≤14000W）]，电热水器，普通照明用双端荧光灯，电视设备[普通电视设备（电视机）]，视频设备（视频监控设备、监视器），便器（坐便器、蹲便器、小便器），水嘴均为节能产品政府采购品目清单内标注“★”的品目，属于政府强制采购节能产品。投标产品属于品目清单范围内的强制性采购的，必须使用品目清单内的产品，并提供国家确定的认证机构出具的、处于有效期之内的节能产品认证证书。否则，响应文件无效</w:t>
      </w:r>
      <w:r>
        <w:rPr>
          <w:rFonts w:hint="eastAsia" w:ascii="宋体" w:hAnsi="宋体" w:cs="宋体"/>
          <w:b w:val="0"/>
          <w:bCs w:val="0"/>
          <w:color w:val="auto"/>
          <w:sz w:val="21"/>
          <w:szCs w:val="21"/>
          <w:highlight w:val="none"/>
          <w:lang w:eastAsia="zh-CN"/>
        </w:rPr>
        <w:t>。</w:t>
      </w:r>
    </w:p>
    <w:p>
      <w:pPr>
        <w:pStyle w:val="29"/>
        <w:keepNext w:val="0"/>
        <w:keepLines w:val="0"/>
        <w:pageBreakBefore w:val="0"/>
        <w:widowControl w:val="0"/>
        <w:numPr>
          <w:ilvl w:val="0"/>
          <w:numId w:val="3"/>
        </w:numPr>
        <w:kinsoku/>
        <w:wordWrap/>
        <w:overflowPunct/>
        <w:topLinePunct w:val="0"/>
        <w:autoSpaceDE/>
        <w:autoSpaceDN/>
        <w:bidi w:val="0"/>
        <w:adjustRightInd/>
        <w:snapToGrid/>
        <w:spacing w:line="400" w:lineRule="exact"/>
        <w:ind w:left="0" w:leftChars="0" w:firstLine="462" w:firstLineChars="200"/>
        <w:textAlignment w:val="auto"/>
        <w:rPr>
          <w:rFonts w:hint="eastAsia" w:ascii="宋体" w:hAnsi="宋体" w:cs="宋体"/>
          <w:b/>
          <w:bCs/>
          <w:color w:val="auto"/>
          <w:sz w:val="21"/>
          <w:szCs w:val="21"/>
          <w:highlight w:val="none"/>
          <w:lang w:eastAsia="zh-CN"/>
        </w:rPr>
      </w:pPr>
      <w:r>
        <w:rPr>
          <w:rFonts w:hint="eastAsia" w:ascii="宋体" w:hAnsi="宋体" w:cs="宋体"/>
          <w:b/>
          <w:bCs/>
          <w:color w:val="auto"/>
          <w:sz w:val="21"/>
          <w:szCs w:val="21"/>
          <w:highlight w:val="none"/>
          <w:lang w:val="en-US" w:eastAsia="zh-CN"/>
        </w:rPr>
        <w:t>本项目核心产品为</w:t>
      </w:r>
      <w:r>
        <w:rPr>
          <w:rFonts w:hint="eastAsia" w:ascii="宋体" w:hAnsi="宋体" w:cs="宋体"/>
          <w:b/>
          <w:bCs/>
          <w:color w:val="auto"/>
          <w:sz w:val="21"/>
          <w:szCs w:val="21"/>
          <w:highlight w:val="none"/>
          <w:u w:val="single"/>
          <w:lang w:val="en-US" w:eastAsia="zh-CN"/>
        </w:rPr>
        <w:t xml:space="preserve">  1  </w:t>
      </w:r>
      <w:r>
        <w:rPr>
          <w:rFonts w:hint="eastAsia" w:ascii="宋体" w:hAnsi="宋体" w:cs="宋体"/>
          <w:b/>
          <w:bCs/>
          <w:color w:val="auto"/>
          <w:sz w:val="21"/>
          <w:szCs w:val="21"/>
          <w:highlight w:val="none"/>
          <w:lang w:val="en-US" w:eastAsia="zh-CN"/>
        </w:rPr>
        <w:t>项采购货物</w:t>
      </w:r>
      <w:r>
        <w:rPr>
          <w:rFonts w:hint="eastAsia" w:ascii="宋体" w:hAnsi="宋体" w:cs="宋体"/>
          <w:b/>
          <w:bCs/>
          <w:color w:val="auto"/>
          <w:sz w:val="21"/>
          <w:szCs w:val="21"/>
          <w:highlight w:val="none"/>
          <w:u w:val="single"/>
          <w:lang w:val="en-US" w:eastAsia="zh-CN"/>
        </w:rPr>
        <w:t>“粉碎型格栅”</w:t>
      </w:r>
      <w:r>
        <w:rPr>
          <w:rFonts w:hint="eastAsia" w:ascii="宋体" w:hAnsi="宋体" w:cs="宋体"/>
          <w:b/>
          <w:bCs/>
          <w:color w:val="auto"/>
          <w:sz w:val="21"/>
          <w:szCs w:val="21"/>
          <w:highlight w:val="none"/>
          <w:lang w:val="en-US" w:eastAsia="zh-CN"/>
        </w:rPr>
        <w:t>。</w:t>
      </w:r>
    </w:p>
    <w:tbl>
      <w:tblPr>
        <w:tblStyle w:val="15"/>
        <w:tblW w:w="964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0"/>
        <w:gridCol w:w="605"/>
        <w:gridCol w:w="1353"/>
        <w:gridCol w:w="438"/>
        <w:gridCol w:w="559"/>
        <w:gridCol w:w="4724"/>
        <w:gridCol w:w="127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9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both"/>
              <w:rPr>
                <w:rFonts w:hint="eastAsia"/>
                <w:b/>
                <w:bCs/>
                <w:color w:val="auto"/>
                <w:szCs w:val="21"/>
                <w:highlight w:val="none"/>
              </w:rPr>
            </w:pPr>
            <w:r>
              <w:rPr>
                <w:rFonts w:hint="eastAsia"/>
                <w:b/>
                <w:bCs/>
                <w:color w:val="auto"/>
                <w:szCs w:val="21"/>
                <w:highlight w:val="none"/>
              </w:rPr>
              <w:t>项号</w:t>
            </w:r>
          </w:p>
        </w:tc>
        <w:tc>
          <w:tcPr>
            <w:tcW w:w="1958" w:type="dxa"/>
            <w:gridSpan w:val="2"/>
            <w:tcBorders>
              <w:top w:val="single" w:color="auto" w:sz="4" w:space="0"/>
              <w:left w:val="single" w:color="auto" w:sz="4" w:space="0"/>
              <w:bottom w:val="single" w:color="auto" w:sz="4" w:space="0"/>
              <w:right w:val="single" w:color="auto" w:sz="4" w:space="0"/>
            </w:tcBorders>
            <w:noWrap w:val="0"/>
            <w:vAlign w:val="center"/>
          </w:tcPr>
          <w:p>
            <w:pPr>
              <w:spacing w:line="400" w:lineRule="exact"/>
              <w:jc w:val="both"/>
              <w:rPr>
                <w:rFonts w:hint="eastAsia"/>
                <w:b/>
                <w:bCs/>
                <w:color w:val="auto"/>
                <w:szCs w:val="21"/>
                <w:highlight w:val="none"/>
              </w:rPr>
            </w:pPr>
            <w:r>
              <w:rPr>
                <w:rFonts w:hint="eastAsia"/>
                <w:b/>
                <w:bCs/>
                <w:color w:val="auto"/>
                <w:szCs w:val="21"/>
                <w:highlight w:val="none"/>
              </w:rPr>
              <w:t>货物名称</w:t>
            </w:r>
          </w:p>
        </w:tc>
        <w:tc>
          <w:tcPr>
            <w:tcW w:w="438"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b/>
                <w:bCs/>
                <w:color w:val="auto"/>
                <w:szCs w:val="21"/>
                <w:highlight w:val="none"/>
              </w:rPr>
            </w:pPr>
            <w:r>
              <w:rPr>
                <w:rFonts w:hint="eastAsia"/>
                <w:b/>
                <w:bCs/>
                <w:color w:val="auto"/>
                <w:szCs w:val="21"/>
                <w:highlight w:val="none"/>
              </w:rPr>
              <w:t>数量</w:t>
            </w:r>
          </w:p>
        </w:tc>
        <w:tc>
          <w:tcPr>
            <w:tcW w:w="55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both"/>
              <w:rPr>
                <w:rFonts w:hint="eastAsia"/>
                <w:b/>
                <w:bCs/>
                <w:color w:val="auto"/>
                <w:szCs w:val="21"/>
                <w:highlight w:val="none"/>
              </w:rPr>
            </w:pPr>
            <w:r>
              <w:rPr>
                <w:rFonts w:hint="eastAsia"/>
                <w:b/>
                <w:bCs/>
                <w:color w:val="auto"/>
                <w:szCs w:val="21"/>
                <w:highlight w:val="none"/>
              </w:rPr>
              <w:t>单位</w:t>
            </w:r>
          </w:p>
        </w:tc>
        <w:tc>
          <w:tcPr>
            <w:tcW w:w="47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ind w:firstLine="422" w:firstLineChars="200"/>
              <w:jc w:val="left"/>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lang w:val="en-US" w:eastAsia="zh-CN"/>
              </w:rPr>
              <w:t>采购需求（技术参数、性能、配置等要求）</w:t>
            </w:r>
          </w:p>
        </w:tc>
        <w:tc>
          <w:tcPr>
            <w:tcW w:w="1275"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参考单价（元）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26" w:hRule="atLeast"/>
        </w:trPr>
        <w:tc>
          <w:tcPr>
            <w:tcW w:w="690" w:type="dxa"/>
            <w:tcBorders>
              <w:top w:val="single" w:color="auto" w:sz="4" w:space="0"/>
              <w:left w:val="single" w:color="auto" w:sz="4" w:space="0"/>
              <w:bottom w:val="single" w:color="auto" w:sz="4" w:space="0"/>
              <w:right w:val="single" w:color="auto" w:sz="4" w:space="0"/>
            </w:tcBorders>
            <w:noWrap w:val="0"/>
            <w:vAlign w:val="center"/>
          </w:tcPr>
          <w:p>
            <w:pPr>
              <w:pStyle w:val="31"/>
              <w:jc w:val="center"/>
              <w:rPr>
                <w:rFonts w:hint="eastAsia"/>
                <w:b/>
                <w:bCs/>
                <w:color w:val="auto"/>
                <w:szCs w:val="21"/>
                <w:highlight w:val="none"/>
              </w:rPr>
            </w:pPr>
            <w:r>
              <w:rPr>
                <w:rFonts w:hint="eastAsia" w:asciiTheme="minorEastAsia" w:hAnsiTheme="minorEastAsia" w:eastAsiaTheme="minorEastAsia" w:cstheme="minorEastAsia"/>
                <w:color w:val="auto"/>
                <w:w w:val="99"/>
                <w:sz w:val="21"/>
                <w:szCs w:val="21"/>
                <w:highlight w:val="none"/>
              </w:rPr>
              <w:t>1</w:t>
            </w:r>
          </w:p>
        </w:tc>
        <w:tc>
          <w:tcPr>
            <w:tcW w:w="1958" w:type="dxa"/>
            <w:gridSpan w:val="2"/>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b/>
                <w:bCs/>
                <w:color w:val="auto"/>
                <w:szCs w:val="21"/>
                <w:highlight w:val="none"/>
              </w:rPr>
            </w:pPr>
            <w:r>
              <w:rPr>
                <w:rFonts w:hint="eastAsia" w:asciiTheme="minorEastAsia" w:hAnsiTheme="minorEastAsia" w:eastAsiaTheme="minorEastAsia" w:cstheme="minorEastAsia"/>
                <w:color w:val="auto"/>
                <w:kern w:val="2"/>
                <w:sz w:val="21"/>
                <w:szCs w:val="21"/>
                <w:lang w:val="en-US" w:eastAsia="zh-CN" w:bidi="ar-SA"/>
              </w:rPr>
              <w:t>粉碎型格栅</w:t>
            </w:r>
          </w:p>
        </w:tc>
        <w:tc>
          <w:tcPr>
            <w:tcW w:w="438" w:type="dxa"/>
            <w:tcBorders>
              <w:top w:val="single" w:color="auto" w:sz="4" w:space="0"/>
              <w:left w:val="single" w:color="auto" w:sz="4" w:space="0"/>
              <w:bottom w:val="single" w:color="auto" w:sz="4" w:space="0"/>
              <w:right w:val="single" w:color="auto" w:sz="4" w:space="0"/>
            </w:tcBorders>
            <w:noWrap w:val="0"/>
            <w:vAlign w:val="center"/>
          </w:tcPr>
          <w:p>
            <w:pPr>
              <w:pStyle w:val="31"/>
              <w:jc w:val="center"/>
              <w:rPr>
                <w:rFonts w:hint="eastAsia"/>
                <w:b/>
                <w:bCs/>
                <w:color w:val="auto"/>
                <w:szCs w:val="21"/>
                <w:highlight w:val="none"/>
              </w:rPr>
            </w:pPr>
            <w:r>
              <w:rPr>
                <w:rFonts w:hint="eastAsia" w:asciiTheme="minorEastAsia" w:hAnsiTheme="minorEastAsia" w:eastAsiaTheme="minorEastAsia" w:cstheme="minorEastAsia"/>
                <w:color w:val="auto"/>
                <w:kern w:val="2"/>
                <w:sz w:val="21"/>
                <w:szCs w:val="21"/>
                <w:lang w:val="en-US" w:eastAsia="zh-CN" w:bidi="ar-SA"/>
              </w:rPr>
              <w:t>1</w:t>
            </w:r>
          </w:p>
        </w:tc>
        <w:tc>
          <w:tcPr>
            <w:tcW w:w="559" w:type="dxa"/>
            <w:tcBorders>
              <w:top w:val="single" w:color="auto" w:sz="4" w:space="0"/>
              <w:left w:val="single" w:color="auto" w:sz="4" w:space="0"/>
              <w:bottom w:val="single" w:color="auto" w:sz="4" w:space="0"/>
              <w:right w:val="single" w:color="auto" w:sz="4" w:space="0"/>
            </w:tcBorders>
            <w:noWrap w:val="0"/>
            <w:vAlign w:val="center"/>
          </w:tcPr>
          <w:p>
            <w:pPr>
              <w:pStyle w:val="31"/>
              <w:jc w:val="center"/>
              <w:rPr>
                <w:rFonts w:hint="eastAsia"/>
                <w:b/>
                <w:bCs/>
                <w:color w:val="auto"/>
                <w:szCs w:val="21"/>
                <w:highlight w:val="none"/>
              </w:rPr>
            </w:pPr>
            <w:r>
              <w:rPr>
                <w:rFonts w:hint="eastAsia" w:asciiTheme="minorEastAsia" w:hAnsiTheme="minorEastAsia" w:eastAsiaTheme="minorEastAsia" w:cstheme="minorEastAsia"/>
                <w:color w:val="auto"/>
                <w:kern w:val="2"/>
                <w:sz w:val="21"/>
                <w:szCs w:val="21"/>
                <w:lang w:val="en-US" w:eastAsia="zh-CN" w:bidi="ar-SA"/>
              </w:rPr>
              <w:t>套</w:t>
            </w:r>
          </w:p>
        </w:tc>
        <w:tc>
          <w:tcPr>
            <w:tcW w:w="4724" w:type="dxa"/>
            <w:tcBorders>
              <w:top w:val="single" w:color="auto" w:sz="4" w:space="0"/>
              <w:left w:val="single" w:color="auto" w:sz="4" w:space="0"/>
              <w:bottom w:val="single" w:color="auto" w:sz="4" w:space="0"/>
              <w:right w:val="single" w:color="auto" w:sz="4" w:space="0"/>
            </w:tcBorders>
            <w:noWrap w:val="0"/>
            <w:vAlign w:val="center"/>
          </w:tcPr>
          <w:p>
            <w:pPr>
              <w:pStyle w:val="2"/>
              <w:keepNext w:val="0"/>
              <w:keepLines w:val="0"/>
              <w:pageBreakBefore w:val="0"/>
              <w:numPr>
                <w:ilvl w:val="0"/>
                <w:numId w:val="4"/>
              </w:numPr>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b/>
                <w:bCs/>
                <w:color w:val="auto"/>
                <w:sz w:val="21"/>
                <w:szCs w:val="21"/>
                <w:lang w:val="en-US" w:eastAsia="zh-CN"/>
              </w:rPr>
            </w:pPr>
            <w:r>
              <w:rPr>
                <w:rFonts w:hint="eastAsia" w:asciiTheme="minorEastAsia" w:hAnsiTheme="minorEastAsia" w:eastAsiaTheme="minorEastAsia" w:cstheme="minorEastAsia"/>
                <w:b/>
                <w:bCs/>
                <w:color w:val="auto"/>
                <w:sz w:val="21"/>
                <w:szCs w:val="21"/>
                <w:lang w:val="en-US" w:eastAsia="zh-CN"/>
              </w:rPr>
              <w:t>技术要求：</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1.粉碎型格栅为单个一体机，非两个或多个设备的组合体。粉碎型格栅包括：切割刀片、垫片、轴、转鼓柵网、轴承和密封圈、侧栏、底座、机壳、减速机和IP68两栖防爆电机。</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2.粉碎机须为双轴设计，能在干/湿条件下连续运行。切割刀片和垫片为单片分离的，非数片叠加式或整合体的。要求刀片更换时可以单片更换，以满足备品备件最小量。</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3.双轴设计，由两组独立的切割刀片和垫片安装在两个平行的轴上，交替重叠，实现螺旋形的切割。两个旋转轴在驱动轴的带动下相向旋转。从动轴在主动轴的带动下以主动轴的2/3转速旋转，主动轴和从动轴上的刀片直径必须一样。</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4.切割刀片、垫片和轴之间水平间隙约0.38mm，为保证颗粒大小，轮齿高度不超过齿根直径的13mm。齿轮相叠处不小于1.6mm和大于6mm，以达最高效率和最小摩擦损失。两根轴上刀片交迭处的的间隙不超过0.28mm。</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5.粉碎型格栅应能每日24小时连续运转，栅间距不大于12mm，确保切割后的固体颗粒粒径应在6～8mm。</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6.驱动装置设过载保护机构，应满足预制泵站内的使用要求，采用水陆两栖防爆电机，保证设备能够在空气中长时间连续运行，保证允许电机浸入</w:t>
            </w:r>
            <w:r>
              <w:rPr>
                <w:rFonts w:hint="eastAsia" w:asciiTheme="minorEastAsia" w:hAnsiTheme="minorEastAsia" w:eastAsiaTheme="minorEastAsia" w:cstheme="minorEastAsia"/>
                <w:color w:val="auto"/>
                <w:sz w:val="21"/>
                <w:szCs w:val="21"/>
                <w:highlight w:val="yellow"/>
                <w:lang w:val="en-US" w:eastAsia="zh-CN"/>
              </w:rPr>
              <w:t>≤</w:t>
            </w:r>
            <w:r>
              <w:rPr>
                <w:rFonts w:hint="eastAsia" w:asciiTheme="minorEastAsia" w:hAnsiTheme="minorEastAsia" w:eastAsiaTheme="minorEastAsia" w:cstheme="minorEastAsia"/>
                <w:color w:val="auto"/>
                <w:sz w:val="21"/>
                <w:szCs w:val="21"/>
                <w:lang w:val="en-US" w:eastAsia="zh-CN"/>
              </w:rPr>
              <w:t>20米的水深中能正常运转，能满足污水泵站长期使用条件。380v，3p，50Hz，IP68，绝缘等级H级，电动机服务系数≥1.1，在满负荷时，自然功率因数0.85以上。电机应能满足24小时长期连续运行。每台粉碎型格栅的工作能力应满足泵站入水流量最大日最大时的处理量。</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7.粉碎型格栅的驱动轴和被驱动轴由4140热处理的六角形钢制成，拉伸张力不小于1,027 kPa；刀片堆的轴系列及转鼓被驱动轴的轴向和径向压力由两端密封的，超大的，深槽球型轴承承受。轴承由可更换的曲轴装置和机械密封组成的轴承套保护。轴承的运行寿命不小于100000小时。</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8.密封件为集装式机械密封。密封面为碳化钨/碳化钨，多弹簧支承密封面。轴承为深槽球型轴承，由可更换的曲轴装置和机械密封组成的轴承套保护，能适应于620kPa的连续工作负荷。</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9.粉碎型格栅机壳采用球墨铸铁浇铸而成，设置有防泥砂导流槽。</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10.在粉碎机“开”或“自动”模式下，当粉碎机发生堵塞时，控制器会停止粉碎机，并使之反转来吐出堵塞物，然后再进行破碎。如果反复3次仍无法破碎控制柜会发出信号停止破碎机运行然后进行人工清理。如果粉碎机、转鼓正常运转时，突然停电，则当电源恢复后，粉碎机、转鼓恢复正常运转。</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b/>
                <w:bCs/>
                <w:color w:val="auto"/>
                <w:sz w:val="21"/>
                <w:szCs w:val="21"/>
                <w:lang w:val="en-US" w:eastAsia="zh-CN"/>
              </w:rPr>
            </w:pPr>
            <w:r>
              <w:rPr>
                <w:rFonts w:hint="eastAsia" w:asciiTheme="minorEastAsia" w:hAnsiTheme="minorEastAsia" w:eastAsiaTheme="minorEastAsia" w:cstheme="minorEastAsia"/>
                <w:b/>
                <w:bCs/>
                <w:color w:val="auto"/>
                <w:sz w:val="21"/>
                <w:szCs w:val="21"/>
                <w:lang w:val="en-US" w:eastAsia="zh-CN"/>
              </w:rPr>
              <w:t>二、性能参数及零部件材质要求：</w:t>
            </w:r>
          </w:p>
          <w:tbl>
            <w:tblPr>
              <w:tblStyle w:val="15"/>
              <w:tblW w:w="45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5"/>
              <w:gridCol w:w="25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用途</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污水处理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介质</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温度（</w:t>
                  </w:r>
                  <w:r>
                    <w:rPr>
                      <w:rFonts w:hint="eastAsia" w:asciiTheme="minorEastAsia" w:hAnsiTheme="minorEastAsia" w:eastAsiaTheme="minorEastAsia" w:cstheme="minorEastAsia"/>
                      <w:bCs/>
                      <w:color w:val="auto"/>
                      <w:sz w:val="21"/>
                      <w:szCs w:val="21"/>
                    </w:rPr>
                    <w:sym w:font="Symbol" w:char="F0B0"/>
                  </w:r>
                  <w:r>
                    <w:rPr>
                      <w:rFonts w:hint="eastAsia" w:asciiTheme="minorEastAsia" w:hAnsiTheme="minorEastAsia" w:eastAsiaTheme="minorEastAsia" w:cstheme="minorEastAsia"/>
                      <w:bCs/>
                      <w:color w:val="auto"/>
                      <w:sz w:val="21"/>
                      <w:szCs w:val="21"/>
                    </w:rPr>
                    <w:t>C）</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常温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最大处理流量</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2600m³/h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切割刀片齿数</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7齿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被切割后颗粒大小</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6～8mm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电机功率（kW）</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3.7</w:t>
                  </w:r>
                  <w:r>
                    <w:rPr>
                      <w:rFonts w:hint="eastAsia" w:asciiTheme="minorEastAsia" w:hAnsiTheme="minorEastAsia" w:eastAsiaTheme="minorEastAsia" w:cstheme="minorEastAsia"/>
                      <w:bCs/>
                      <w:color w:val="auto"/>
                      <w:sz w:val="21"/>
                      <w:szCs w:val="21"/>
                      <w:lang w:val="en-US" w:eastAsia="zh-CN"/>
                    </w:rPr>
                    <w:t>k</w:t>
                  </w:r>
                  <w:r>
                    <w:rPr>
                      <w:rFonts w:hint="eastAsia" w:asciiTheme="minorEastAsia" w:hAnsiTheme="minorEastAsia" w:eastAsiaTheme="minorEastAsia" w:cstheme="minorEastAsia"/>
                      <w:bCs/>
                      <w:color w:val="auto"/>
                      <w:sz w:val="21"/>
                      <w:szCs w:val="21"/>
                    </w:rPr>
                    <w:t>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转速</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1450rpm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功率因数</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★电机防护等级</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IP68水陆两栖防爆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电机绝缘等级</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H级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壳体</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球墨铸铁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刀片组驱动轴</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A1SI 4140热处理六角形钢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★切割刀片</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Theme="minorEastAsia" w:hAnsiTheme="minorEastAsia" w:eastAsiaTheme="minorEastAsia" w:cstheme="minorEastAsia"/>
                      <w:b/>
                      <w:bCs w:val="0"/>
                      <w:color w:val="auto"/>
                      <w:sz w:val="21"/>
                      <w:szCs w:val="21"/>
                      <w:highlight w:val="none"/>
                      <w:lang w:eastAsia="zh-CN"/>
                    </w:rPr>
                  </w:pPr>
                  <w:r>
                    <w:rPr>
                      <w:rFonts w:hint="eastAsia" w:asciiTheme="minorEastAsia" w:hAnsiTheme="minorEastAsia" w:eastAsiaTheme="minorEastAsia" w:cstheme="minorEastAsia"/>
                      <w:b/>
                      <w:bCs w:val="0"/>
                      <w:color w:val="auto"/>
                      <w:sz w:val="21"/>
                      <w:szCs w:val="21"/>
                      <w:highlight w:val="none"/>
                      <w:lang w:eastAsia="zh-CN"/>
                    </w:rPr>
                    <w:t>竞标时须提供</w:t>
                  </w:r>
                  <w:r>
                    <w:rPr>
                      <w:rFonts w:hint="eastAsia" w:asciiTheme="minorEastAsia" w:hAnsiTheme="minorEastAsia" w:eastAsiaTheme="minorEastAsia" w:cstheme="minorEastAsia"/>
                      <w:b/>
                      <w:bCs w:val="0"/>
                      <w:color w:val="auto"/>
                      <w:sz w:val="21"/>
                      <w:szCs w:val="21"/>
                      <w:highlight w:val="none"/>
                    </w:rPr>
                    <w:t>具有带“TÜV”标识的第三方</w:t>
                  </w:r>
                  <w:r>
                    <w:rPr>
                      <w:rFonts w:hint="eastAsia" w:asciiTheme="minorEastAsia" w:hAnsiTheme="minorEastAsia" w:eastAsiaTheme="minorEastAsia" w:cstheme="minorEastAsia"/>
                      <w:b/>
                      <w:bCs w:val="0"/>
                      <w:color w:val="auto"/>
                      <w:sz w:val="21"/>
                      <w:szCs w:val="21"/>
                      <w:highlight w:val="none"/>
                      <w:lang w:eastAsia="zh-CN"/>
                    </w:rPr>
                    <w:t>检测机构出具</w:t>
                  </w:r>
                  <w:r>
                    <w:rPr>
                      <w:rFonts w:hint="eastAsia" w:asciiTheme="minorEastAsia" w:hAnsiTheme="minorEastAsia" w:eastAsiaTheme="minorEastAsia" w:cstheme="minorEastAsia"/>
                      <w:b/>
                      <w:bCs w:val="0"/>
                      <w:color w:val="auto"/>
                      <w:sz w:val="21"/>
                      <w:szCs w:val="21"/>
                      <w:highlight w:val="none"/>
                    </w:rPr>
                    <w:t>的刀片材质及硬度的检测报告</w:t>
                  </w:r>
                  <w:r>
                    <w:rPr>
                      <w:rFonts w:hint="eastAsia" w:asciiTheme="minorEastAsia" w:hAnsiTheme="minorEastAsia" w:eastAsiaTheme="minorEastAsia" w:cstheme="minorEastAsia"/>
                      <w:b/>
                      <w:bCs w:val="0"/>
                      <w:color w:val="auto"/>
                      <w:sz w:val="21"/>
                      <w:szCs w:val="21"/>
                      <w:highlight w:val="none"/>
                      <w:lang w:eastAsia="zh-CN"/>
                    </w:rPr>
                    <w:t>复印件，否则竞标无效。</w:t>
                  </w:r>
                  <w:r>
                    <w:rPr>
                      <w:rFonts w:hint="eastAsia" w:ascii="宋体" w:hAnsi="宋体" w:eastAsia="宋体" w:cs="宋体"/>
                      <w:b/>
                      <w:color w:val="auto"/>
                      <w:kern w:val="0"/>
                      <w:sz w:val="21"/>
                      <w:szCs w:val="21"/>
                      <w:highlight w:val="none"/>
                      <w:lang w:bidi="ar"/>
                    </w:rPr>
                    <w:t>履约时提供原件核查，如有弄虚作假，终止合约，造成相关损失由</w:t>
                  </w:r>
                  <w:r>
                    <w:rPr>
                      <w:rFonts w:hint="eastAsia" w:ascii="宋体" w:hAnsi="宋体" w:cs="宋体"/>
                      <w:b/>
                      <w:color w:val="auto"/>
                      <w:kern w:val="0"/>
                      <w:sz w:val="21"/>
                      <w:szCs w:val="21"/>
                      <w:highlight w:val="none"/>
                      <w:lang w:eastAsia="zh-CN" w:bidi="ar"/>
                    </w:rPr>
                    <w:t>成交供应商</w:t>
                  </w:r>
                  <w:r>
                    <w:rPr>
                      <w:rFonts w:hint="eastAsia" w:ascii="宋体" w:hAnsi="宋体" w:eastAsia="宋体" w:cs="宋体"/>
                      <w:b/>
                      <w:color w:val="auto"/>
                      <w:kern w:val="0"/>
                      <w:sz w:val="21"/>
                      <w:szCs w:val="21"/>
                      <w:highlight w:val="none"/>
                      <w:lang w:bidi="ar"/>
                    </w:rPr>
                    <w:t>承担</w:t>
                  </w:r>
                  <w:r>
                    <w:rPr>
                      <w:rFonts w:hint="eastAsia" w:asciiTheme="minorEastAsia" w:hAnsiTheme="minorEastAsia" w:eastAsiaTheme="minorEastAsia" w:cstheme="minorEastAsia"/>
                      <w:b/>
                      <w:bCs w:val="0"/>
                      <w:color w:val="auto"/>
                      <w:sz w:val="21"/>
                      <w:szCs w:val="21"/>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（1）报告中对刀片的测试要求有：化学成分分析（测试方法：ASTM E 415-17）、冲击测试（测试方法：ASTM A 370-17）、金相分析（测试方法：ASTM E 3-11），硬度测试（测试方法：ASTM E 18-17Ƹ1）</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（2）报告内化学成分分析中不少于9项元素化学成分分析，且碳元素的结果不低于0.31%</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（3）报告内冲击测试中，吸收功不低于8.2J</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（4）金相分析中，刀片材质显微组织为马氏体</w:t>
                  </w:r>
                  <w:r>
                    <w:rPr>
                      <w:rFonts w:hint="eastAsia" w:asciiTheme="minorEastAsia" w:hAnsiTheme="minorEastAsia" w:eastAsiaTheme="minorEastAsia" w:cstheme="minorEastAsia"/>
                      <w:bCs/>
                      <w:color w:val="auto"/>
                      <w:sz w:val="21"/>
                      <w:szCs w:val="21"/>
                    </w:rPr>
                    <w:t>A1SI 4130热处理合金钢</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color w:val="auto"/>
                      <w:sz w:val="21"/>
                      <w:szCs w:val="21"/>
                    </w:rPr>
                    <w:t>（5）硬度测试中刀片硬度≥50.4HRC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底座</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球墨铸铁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外壳</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球墨铸铁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密封面</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碳化钨/碳化钨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橡胶件</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丁腈橡胶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安装框架</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不锈钢AISI 304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导流溢流付栅网</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不锈钢AISI 304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96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支架吊链等钢构件</w:t>
                  </w:r>
                </w:p>
              </w:tc>
              <w:tc>
                <w:tcPr>
                  <w:tcW w:w="25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不锈钢304</w:t>
                  </w:r>
                </w:p>
              </w:tc>
            </w:tr>
          </w:tbl>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★1.电机</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水陆两用电机：即可水下运行，也可水上干式运行；</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加厚封闭防水专用防爆壳体：避免井下易爆气体因电气火花产生爆炸；</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H级绝缘等级：更强的抗温升绝缘防护。有效应对井下散热不良工况；</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highlight w:val="none"/>
                <w:lang w:val="en-US" w:eastAsia="zh-CN"/>
              </w:rPr>
            </w:pPr>
            <w:r>
              <w:rPr>
                <w:rFonts w:hint="default" w:asciiTheme="minorEastAsia" w:hAnsiTheme="minorEastAsia" w:eastAsiaTheme="minorEastAsia" w:cstheme="minorEastAsia"/>
                <w:b w:val="0"/>
                <w:bCs w:val="0"/>
                <w:color w:val="auto"/>
                <w:sz w:val="21"/>
                <w:szCs w:val="21"/>
                <w:highlight w:val="none"/>
                <w:lang w:val="en-US" w:eastAsia="zh-CN"/>
              </w:rPr>
              <w:t>绕组和转子</w:t>
            </w:r>
            <w:r>
              <w:rPr>
                <w:rFonts w:hint="eastAsia" w:asciiTheme="minorEastAsia" w:hAnsiTheme="minorEastAsia" w:eastAsiaTheme="minorEastAsia" w:cstheme="minorEastAsia"/>
                <w:b w:val="0"/>
                <w:bCs w:val="0"/>
                <w:color w:val="auto"/>
                <w:sz w:val="21"/>
                <w:szCs w:val="21"/>
                <w:highlight w:val="none"/>
                <w:lang w:val="en-US" w:eastAsia="zh-CN"/>
              </w:rPr>
              <w:t>：</w:t>
            </w:r>
            <w:r>
              <w:rPr>
                <w:rFonts w:hint="default" w:asciiTheme="minorEastAsia" w:hAnsiTheme="minorEastAsia" w:eastAsiaTheme="minorEastAsia" w:cstheme="minorEastAsia"/>
                <w:b w:val="0"/>
                <w:bCs w:val="0"/>
                <w:color w:val="auto"/>
                <w:sz w:val="21"/>
                <w:szCs w:val="21"/>
                <w:highlight w:val="none"/>
                <w:lang w:val="en-US" w:eastAsia="zh-CN"/>
              </w:rPr>
              <w:t>采用国际知名品牌ABB产品，外壳定制潜水专业款。</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★2</w:t>
            </w:r>
            <w:r>
              <w:rPr>
                <w:rFonts w:hint="eastAsia" w:asciiTheme="minorEastAsia" w:hAnsiTheme="minorEastAsia" w:eastAsiaTheme="minorEastAsia" w:cstheme="minorEastAsia"/>
                <w:b w:val="0"/>
                <w:bCs w:val="0"/>
                <w:color w:val="auto"/>
                <w:sz w:val="21"/>
                <w:szCs w:val="21"/>
                <w:lang w:val="en-US" w:eastAsia="zh-CN"/>
              </w:rPr>
              <w:t>.</w:t>
            </w:r>
            <w:r>
              <w:rPr>
                <w:rFonts w:hint="default" w:asciiTheme="minorEastAsia" w:hAnsiTheme="minorEastAsia" w:eastAsiaTheme="minorEastAsia" w:cstheme="minorEastAsia"/>
                <w:b w:val="0"/>
                <w:bCs w:val="0"/>
                <w:color w:val="auto"/>
                <w:sz w:val="21"/>
                <w:szCs w:val="21"/>
                <w:lang w:val="en-US" w:eastAsia="zh-CN"/>
              </w:rPr>
              <w:t>减速机</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形式：定制行星齿轮减速机。高刚性、高精度、高传动效率、高扭矩/体积比、终身免维护；</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品牌：住友、邦飞利、诺德等国际知名品牌；</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 xml:space="preserve">3. </w:t>
            </w:r>
            <w:r>
              <w:rPr>
                <w:rFonts w:hint="default" w:asciiTheme="minorEastAsia" w:hAnsiTheme="minorEastAsia" w:eastAsiaTheme="minorEastAsia" w:cstheme="minorEastAsia"/>
                <w:b w:val="0"/>
                <w:bCs w:val="0"/>
                <w:color w:val="auto"/>
                <w:sz w:val="21"/>
                <w:szCs w:val="21"/>
                <w:lang w:val="en-US" w:eastAsia="zh-CN"/>
              </w:rPr>
              <w:t>联轴器</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形式：弹性联轴器。可有效缓冲刀片切割硬物时的冲击力，保护电机。</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4.</w:t>
            </w:r>
            <w:r>
              <w:rPr>
                <w:rFonts w:hint="default" w:asciiTheme="minorEastAsia" w:hAnsiTheme="minorEastAsia" w:eastAsiaTheme="minorEastAsia" w:cstheme="minorEastAsia"/>
                <w:b w:val="0"/>
                <w:bCs w:val="0"/>
                <w:color w:val="auto"/>
                <w:sz w:val="21"/>
                <w:szCs w:val="21"/>
                <w:lang w:val="en-US" w:eastAsia="zh-CN"/>
              </w:rPr>
              <w:t>铸件</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QT500 球墨铸铁（相当ASTM536）。</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5.</w:t>
            </w:r>
            <w:r>
              <w:rPr>
                <w:rFonts w:hint="default" w:asciiTheme="minorEastAsia" w:hAnsiTheme="minorEastAsia" w:eastAsiaTheme="minorEastAsia" w:cstheme="minorEastAsia"/>
                <w:b w:val="0"/>
                <w:bCs w:val="0"/>
                <w:color w:val="auto"/>
                <w:sz w:val="21"/>
                <w:szCs w:val="21"/>
                <w:lang w:val="en-US" w:eastAsia="zh-CN"/>
              </w:rPr>
              <w:t>机械密封</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形式：专用集装式机械密封，摩擦环。</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品牌：博格曼或洛普兰。</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6.</w:t>
            </w:r>
            <w:r>
              <w:rPr>
                <w:rFonts w:hint="default" w:asciiTheme="minorEastAsia" w:hAnsiTheme="minorEastAsia" w:eastAsiaTheme="minorEastAsia" w:cstheme="minorEastAsia"/>
                <w:b w:val="0"/>
                <w:bCs w:val="0"/>
                <w:color w:val="auto"/>
                <w:sz w:val="21"/>
                <w:szCs w:val="21"/>
                <w:lang w:val="en-US" w:eastAsia="zh-CN"/>
              </w:rPr>
              <w:t>轴承</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品牌：国际知名品牌，瑞典SKF或日本NSK。</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7.</w:t>
            </w:r>
            <w:r>
              <w:rPr>
                <w:rFonts w:hint="default" w:asciiTheme="minorEastAsia" w:hAnsiTheme="minorEastAsia" w:eastAsiaTheme="minorEastAsia" w:cstheme="minorEastAsia"/>
                <w:b w:val="0"/>
                <w:bCs w:val="0"/>
                <w:color w:val="auto"/>
                <w:sz w:val="21"/>
                <w:szCs w:val="21"/>
                <w:lang w:val="en-US" w:eastAsia="zh-CN"/>
              </w:rPr>
              <w:t>防腐涂装</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专用海工防腐漆，3 层涂装，经久不脱落，耐腐蚀性能优秀。</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eastAsia" w:asciiTheme="minorEastAsia" w:hAnsiTheme="minorEastAsia" w:eastAsiaTheme="minorEastAsia" w:cstheme="minorEastAsia"/>
                <w:b/>
                <w:bCs/>
                <w:color w:val="auto"/>
                <w:sz w:val="21"/>
                <w:szCs w:val="21"/>
                <w:lang w:val="en-US" w:eastAsia="zh-CN"/>
              </w:rPr>
            </w:pPr>
            <w:r>
              <w:rPr>
                <w:rFonts w:hint="eastAsia" w:asciiTheme="minorEastAsia" w:hAnsiTheme="minorEastAsia" w:eastAsiaTheme="minorEastAsia" w:cstheme="minorEastAsia"/>
                <w:b/>
                <w:bCs/>
                <w:color w:val="auto"/>
                <w:sz w:val="21"/>
                <w:szCs w:val="21"/>
                <w:lang w:val="en-US" w:eastAsia="zh-CN"/>
              </w:rPr>
              <w:t>三、电气控制系统要求：</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highlight w:val="yellow"/>
                <w:lang w:val="en-US" w:eastAsia="zh-CN"/>
              </w:rPr>
            </w:pPr>
            <w:r>
              <w:rPr>
                <w:rFonts w:hint="eastAsia" w:asciiTheme="minorEastAsia" w:hAnsiTheme="minorEastAsia" w:eastAsiaTheme="minorEastAsia" w:cstheme="minorEastAsia"/>
                <w:b w:val="0"/>
                <w:bCs w:val="0"/>
                <w:color w:val="auto"/>
                <w:sz w:val="21"/>
                <w:szCs w:val="21"/>
                <w:lang w:val="en-US" w:eastAsia="zh-CN"/>
              </w:rPr>
              <w:t>1.</w:t>
            </w:r>
            <w:r>
              <w:rPr>
                <w:rFonts w:hint="default" w:asciiTheme="minorEastAsia" w:hAnsiTheme="minorEastAsia" w:eastAsiaTheme="minorEastAsia" w:cstheme="minorEastAsia"/>
                <w:b w:val="0"/>
                <w:bCs w:val="0"/>
                <w:color w:val="auto"/>
                <w:sz w:val="21"/>
                <w:szCs w:val="21"/>
                <w:lang w:val="en-US" w:eastAsia="zh-CN"/>
              </w:rPr>
              <w:t>具有低压动力配电柜（低压成套开关设备）中国国家强制性产品3C认</w:t>
            </w:r>
            <w:r>
              <w:rPr>
                <w:rFonts w:hint="default" w:asciiTheme="minorEastAsia" w:hAnsiTheme="minorEastAsia" w:eastAsiaTheme="minorEastAsia" w:cstheme="minorEastAsia"/>
                <w:b w:val="0"/>
                <w:bCs w:val="0"/>
                <w:color w:val="auto"/>
                <w:sz w:val="21"/>
                <w:szCs w:val="21"/>
                <w:highlight w:val="none"/>
                <w:lang w:val="en-US" w:eastAsia="zh-CN"/>
              </w:rPr>
              <w:t>证证书</w:t>
            </w:r>
            <w:r>
              <w:rPr>
                <w:rFonts w:hint="eastAsia" w:asciiTheme="minorEastAsia" w:hAnsiTheme="minorEastAsia" w:eastAsiaTheme="minorEastAsia" w:cstheme="minorEastAsia"/>
                <w:b w:val="0"/>
                <w:bCs w:val="0"/>
                <w:color w:val="auto"/>
                <w:sz w:val="21"/>
                <w:szCs w:val="21"/>
                <w:highlight w:val="none"/>
                <w:lang w:val="en-US" w:eastAsia="zh-CN"/>
              </w:rPr>
              <w:t>，</w:t>
            </w:r>
            <w:r>
              <w:rPr>
                <w:rFonts w:hint="eastAsia" w:asciiTheme="minorEastAsia" w:hAnsiTheme="minorEastAsia" w:eastAsiaTheme="minorEastAsia" w:cstheme="minorEastAsia"/>
                <w:b/>
                <w:bCs/>
                <w:color w:val="auto"/>
                <w:sz w:val="21"/>
                <w:szCs w:val="21"/>
                <w:highlight w:val="none"/>
                <w:lang w:val="en-US" w:eastAsia="zh-CN"/>
              </w:rPr>
              <w:t>竞标时提供加盖供应商公章的证书复印件，否则竞标无效</w:t>
            </w:r>
            <w:r>
              <w:rPr>
                <w:rFonts w:hint="default" w:asciiTheme="minorEastAsia" w:hAnsiTheme="minorEastAsia" w:eastAsiaTheme="minorEastAsia" w:cstheme="minorEastAsia"/>
                <w:b w:val="0"/>
                <w:bCs w:val="0"/>
                <w:color w:val="auto"/>
                <w:sz w:val="21"/>
                <w:szCs w:val="21"/>
                <w:highlight w:val="none"/>
                <w:lang w:val="en-US" w:eastAsia="zh-CN"/>
              </w:rPr>
              <w:t>。</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2.整体要求</w:t>
            </w:r>
            <w:r>
              <w:rPr>
                <w:rFonts w:hint="default" w:asciiTheme="minorEastAsia" w:hAnsiTheme="minorEastAsia" w:eastAsiaTheme="minorEastAsia" w:cstheme="minorEastAsia"/>
                <w:b w:val="0"/>
                <w:bCs w:val="0"/>
                <w:color w:val="auto"/>
                <w:sz w:val="21"/>
                <w:szCs w:val="21"/>
                <w:lang w:val="en-US" w:eastAsia="zh-CN"/>
              </w:rPr>
              <w:t>：遵循集中分散控制原则（</w:t>
            </w:r>
            <w:r>
              <w:rPr>
                <w:rFonts w:hint="default" w:asciiTheme="minorEastAsia" w:hAnsiTheme="minorEastAsia" w:eastAsiaTheme="minorEastAsia" w:cstheme="minorEastAsia"/>
                <w:b w:val="0"/>
                <w:bCs w:val="0"/>
                <w:color w:val="auto"/>
                <w:sz w:val="21"/>
                <w:szCs w:val="21"/>
                <w:lang w:val="en-US" w:eastAsia="zh-CN"/>
              </w:rPr>
              <w:fldChar w:fldCharType="begin"/>
            </w:r>
            <w:r>
              <w:rPr>
                <w:rFonts w:hint="default" w:asciiTheme="minorEastAsia" w:hAnsiTheme="minorEastAsia" w:eastAsiaTheme="minorEastAsia" w:cstheme="minorEastAsia"/>
                <w:b w:val="0"/>
                <w:bCs w:val="0"/>
                <w:color w:val="auto"/>
                <w:sz w:val="21"/>
                <w:szCs w:val="21"/>
                <w:lang w:val="en-US" w:eastAsia="zh-CN"/>
              </w:rPr>
              <w:instrText xml:space="preserve">HYPERLINK "http://baike.sogou.com/lemma/ShowInnerLink.htm?lemmaId=7702178" \t "http://baike.sogou.com/_blank"</w:instrText>
            </w:r>
            <w:r>
              <w:rPr>
                <w:rFonts w:hint="default" w:asciiTheme="minorEastAsia" w:hAnsiTheme="minorEastAsia" w:eastAsiaTheme="minorEastAsia" w:cstheme="minorEastAsia"/>
                <w:b w:val="0"/>
                <w:bCs w:val="0"/>
                <w:color w:val="auto"/>
                <w:sz w:val="21"/>
                <w:szCs w:val="21"/>
                <w:lang w:val="en-US" w:eastAsia="zh-CN"/>
              </w:rPr>
              <w:fldChar w:fldCharType="separate"/>
            </w:r>
            <w:r>
              <w:rPr>
                <w:rFonts w:hint="default" w:asciiTheme="minorEastAsia" w:hAnsiTheme="minorEastAsia" w:eastAsiaTheme="minorEastAsia" w:cstheme="minorEastAsia"/>
                <w:b w:val="0"/>
                <w:bCs w:val="0"/>
                <w:color w:val="auto"/>
                <w:sz w:val="21"/>
                <w:szCs w:val="21"/>
                <w:lang w:val="en-US" w:eastAsia="zh-CN"/>
              </w:rPr>
              <w:t>DCS系统</w:t>
            </w:r>
            <w:r>
              <w:rPr>
                <w:rFonts w:hint="default" w:asciiTheme="minorEastAsia" w:hAnsiTheme="minorEastAsia" w:eastAsiaTheme="minorEastAsia" w:cstheme="minorEastAsia"/>
                <w:b w:val="0"/>
                <w:bCs w:val="0"/>
                <w:color w:val="auto"/>
                <w:sz w:val="21"/>
                <w:szCs w:val="21"/>
                <w:lang w:val="en-US" w:eastAsia="zh-CN"/>
              </w:rPr>
              <w:fldChar w:fldCharType="end"/>
            </w:r>
            <w:r>
              <w:rPr>
                <w:rFonts w:hint="default" w:asciiTheme="minorEastAsia" w:hAnsiTheme="minorEastAsia" w:eastAsiaTheme="minorEastAsia" w:cstheme="minorEastAsia"/>
                <w:b w:val="0"/>
                <w:bCs w:val="0"/>
                <w:color w:val="auto"/>
                <w:sz w:val="21"/>
                <w:szCs w:val="21"/>
                <w:lang w:val="en-US" w:eastAsia="zh-CN"/>
              </w:rPr>
              <w:t>），以微处理器为基础，对水泵运行过程进行集中监视、操作、管理和分散控制。该系统将若干微小型传感器分散应用于泵站的各运行部分，全部信息通过</w:t>
            </w:r>
            <w:r>
              <w:rPr>
                <w:rFonts w:hint="default" w:asciiTheme="minorEastAsia" w:hAnsiTheme="minorEastAsia" w:eastAsiaTheme="minorEastAsia" w:cstheme="minorEastAsia"/>
                <w:b w:val="0"/>
                <w:bCs w:val="0"/>
                <w:color w:val="auto"/>
                <w:sz w:val="21"/>
                <w:szCs w:val="21"/>
                <w:lang w:val="en-US" w:eastAsia="zh-CN"/>
              </w:rPr>
              <w:fldChar w:fldCharType="begin"/>
            </w:r>
            <w:r>
              <w:rPr>
                <w:rFonts w:hint="default" w:asciiTheme="minorEastAsia" w:hAnsiTheme="minorEastAsia" w:eastAsiaTheme="minorEastAsia" w:cstheme="minorEastAsia"/>
                <w:b w:val="0"/>
                <w:bCs w:val="0"/>
                <w:color w:val="auto"/>
                <w:sz w:val="21"/>
                <w:szCs w:val="21"/>
                <w:lang w:val="en-US" w:eastAsia="zh-CN"/>
              </w:rPr>
              <w:instrText xml:space="preserve">HYPERLINK "http://baike.sogou.com/lemma/ShowInnerLink.htm?lemmaId=15559" \t "http://baike.sogou.com/_blank"</w:instrText>
            </w:r>
            <w:r>
              <w:rPr>
                <w:rFonts w:hint="default" w:asciiTheme="minorEastAsia" w:hAnsiTheme="minorEastAsia" w:eastAsiaTheme="minorEastAsia" w:cstheme="minorEastAsia"/>
                <w:b w:val="0"/>
                <w:bCs w:val="0"/>
                <w:color w:val="auto"/>
                <w:sz w:val="21"/>
                <w:szCs w:val="21"/>
                <w:lang w:val="en-US" w:eastAsia="zh-CN"/>
              </w:rPr>
              <w:fldChar w:fldCharType="separate"/>
            </w:r>
            <w:r>
              <w:rPr>
                <w:rFonts w:hint="default" w:asciiTheme="minorEastAsia" w:hAnsiTheme="minorEastAsia" w:eastAsiaTheme="minorEastAsia" w:cstheme="minorEastAsia"/>
                <w:b w:val="0"/>
                <w:bCs w:val="0"/>
                <w:color w:val="auto"/>
                <w:sz w:val="21"/>
                <w:szCs w:val="21"/>
                <w:lang w:val="en-US" w:eastAsia="zh-CN"/>
              </w:rPr>
              <w:t>通信</w:t>
            </w:r>
            <w:r>
              <w:rPr>
                <w:rFonts w:hint="default" w:asciiTheme="minorEastAsia" w:hAnsiTheme="minorEastAsia" w:eastAsiaTheme="minorEastAsia" w:cstheme="minorEastAsia"/>
                <w:b w:val="0"/>
                <w:bCs w:val="0"/>
                <w:color w:val="auto"/>
                <w:sz w:val="21"/>
                <w:szCs w:val="21"/>
                <w:lang w:val="en-US" w:eastAsia="zh-CN"/>
              </w:rPr>
              <w:fldChar w:fldCharType="end"/>
            </w:r>
            <w:r>
              <w:rPr>
                <w:rFonts w:hint="default" w:asciiTheme="minorEastAsia" w:hAnsiTheme="minorEastAsia" w:eastAsiaTheme="minorEastAsia" w:cstheme="minorEastAsia"/>
                <w:b w:val="0"/>
                <w:bCs w:val="0"/>
                <w:color w:val="auto"/>
                <w:sz w:val="21"/>
                <w:szCs w:val="21"/>
                <w:lang w:val="en-US" w:eastAsia="zh-CN"/>
              </w:rPr>
              <w:t>由中央控制器进行监控，实现最优化控制，整个装置继承了常规仪表分散控制和计算机集中控制的优点，克服了常规仪表功能单一，人-机联系差以及单一控制系统危险性高度集中的缺点，既实现了在管理、操作和显示三方面集中，又实现了在功能、负荷和危险性三方面的分散</w:t>
            </w:r>
            <w:r>
              <w:rPr>
                <w:rFonts w:hint="eastAsia" w:asciiTheme="minorEastAsia" w:hAnsiTheme="minorEastAsia" w:eastAsiaTheme="minorEastAsia" w:cstheme="minorEastAsia"/>
                <w:b w:val="0"/>
                <w:bCs w:val="0"/>
                <w:color w:val="auto"/>
                <w:sz w:val="21"/>
                <w:szCs w:val="21"/>
                <w:lang w:val="en-US" w:eastAsia="zh-CN"/>
              </w:rPr>
              <w:t>。</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3.</w:t>
            </w:r>
            <w:r>
              <w:rPr>
                <w:rFonts w:hint="default" w:asciiTheme="minorEastAsia" w:hAnsiTheme="minorEastAsia" w:eastAsiaTheme="minorEastAsia" w:cstheme="minorEastAsia"/>
                <w:b w:val="0"/>
                <w:bCs w:val="0"/>
                <w:color w:val="auto"/>
                <w:sz w:val="21"/>
                <w:szCs w:val="21"/>
                <w:lang w:val="en-US" w:eastAsia="zh-CN"/>
              </w:rPr>
              <w:t>与机械设备配套电气控制箱（柜）应由机械设备的主机制造商配套供应，主机制造商有责任保证所供电气控制箱（柜）与所控机械设备供电、控制以及保护要求相匹配，保证所供电气控制箱（柜）可以长期、安全、可靠的为所控机械设备供电，并满足机械设备的保护及控制要求。</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4.</w:t>
            </w:r>
            <w:r>
              <w:rPr>
                <w:rFonts w:hint="default" w:asciiTheme="minorEastAsia" w:hAnsiTheme="minorEastAsia" w:eastAsiaTheme="minorEastAsia" w:cstheme="minorEastAsia"/>
                <w:b w:val="0"/>
                <w:bCs w:val="0"/>
                <w:color w:val="auto"/>
                <w:sz w:val="21"/>
                <w:szCs w:val="21"/>
                <w:highlight w:val="none"/>
                <w:lang w:val="en-US" w:eastAsia="zh-CN"/>
              </w:rPr>
              <w:t>为了保持电气设备的一致性，方便运行维护，凡是在中国国内生产的电气控制箱（柜）应由机械设备主机制造商制造厂生产，包括进口机械设备在中国国内配套的电气控制箱（柜）。一般落地安装的称为电气控制柜，支架、立柱支撑或挂墙安装的称为电气控制箱。</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5.</w:t>
            </w:r>
            <w:r>
              <w:rPr>
                <w:rFonts w:hint="default" w:asciiTheme="minorEastAsia" w:hAnsiTheme="minorEastAsia" w:eastAsiaTheme="minorEastAsia" w:cstheme="minorEastAsia"/>
                <w:b w:val="0"/>
                <w:bCs w:val="0"/>
                <w:color w:val="auto"/>
                <w:sz w:val="21"/>
                <w:szCs w:val="21"/>
                <w:lang w:val="en-US" w:eastAsia="zh-CN"/>
              </w:rPr>
              <w:t>所有控制箱箱体均采用不锈钢304板压弯、焊接而成，钢板厚度</w:t>
            </w:r>
            <w:r>
              <w:rPr>
                <w:rFonts w:hint="default" w:asciiTheme="minorEastAsia" w:hAnsiTheme="minorEastAsia" w:eastAsiaTheme="minorEastAsia" w:cstheme="minorEastAsia"/>
                <w:b w:val="0"/>
                <w:bCs w:val="0"/>
                <w:color w:val="auto"/>
                <w:sz w:val="21"/>
                <w:szCs w:val="21"/>
                <w:highlight w:val="none"/>
                <w:lang w:val="en-US" w:eastAsia="zh-CN"/>
              </w:rPr>
              <w:t>不小于1.5（±0.02）mm。所</w:t>
            </w:r>
            <w:r>
              <w:rPr>
                <w:rFonts w:hint="default" w:asciiTheme="minorEastAsia" w:hAnsiTheme="minorEastAsia" w:eastAsiaTheme="minorEastAsia" w:cstheme="minorEastAsia"/>
                <w:b w:val="0"/>
                <w:bCs w:val="0"/>
                <w:color w:val="auto"/>
                <w:sz w:val="21"/>
                <w:szCs w:val="21"/>
                <w:lang w:val="en-US" w:eastAsia="zh-CN"/>
              </w:rPr>
              <w:t>有需支撑安装的控制箱，主机制造商应配套提供不锈钢304安装支架，支架强度必须满足控制箱要求。</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eastAsia" w:asciiTheme="minorEastAsia" w:hAnsiTheme="minorEastAsia" w:eastAsiaTheme="minorEastAsia" w:cstheme="minorEastAsia"/>
                <w:b/>
                <w:bCs/>
                <w:color w:val="auto"/>
                <w:sz w:val="21"/>
                <w:szCs w:val="21"/>
                <w:lang w:val="en-US" w:eastAsia="zh-CN"/>
              </w:rPr>
            </w:pPr>
            <w:r>
              <w:rPr>
                <w:rFonts w:hint="eastAsia" w:asciiTheme="minorEastAsia" w:hAnsiTheme="minorEastAsia" w:eastAsiaTheme="minorEastAsia" w:cstheme="minorEastAsia"/>
                <w:b/>
                <w:bCs/>
                <w:color w:val="auto"/>
                <w:sz w:val="21"/>
                <w:szCs w:val="21"/>
                <w:lang w:val="en-US" w:eastAsia="zh-CN"/>
              </w:rPr>
              <w:t>四、控制箱内主要元器件要求：</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1.</w:t>
            </w:r>
            <w:r>
              <w:rPr>
                <w:rFonts w:hint="default" w:asciiTheme="minorEastAsia" w:hAnsiTheme="minorEastAsia" w:eastAsiaTheme="minorEastAsia" w:cstheme="minorEastAsia"/>
                <w:b w:val="0"/>
                <w:bCs w:val="0"/>
                <w:color w:val="auto"/>
                <w:sz w:val="21"/>
                <w:szCs w:val="21"/>
                <w:lang w:val="en-US" w:eastAsia="zh-CN"/>
              </w:rPr>
              <w:t>控制箱的主要电气元器件须采用同一品牌；防护等级IP54及以上，内外门结构。</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2.</w:t>
            </w:r>
            <w:r>
              <w:rPr>
                <w:rFonts w:hint="default" w:asciiTheme="minorEastAsia" w:hAnsiTheme="minorEastAsia" w:eastAsiaTheme="minorEastAsia" w:cstheme="minorEastAsia"/>
                <w:b w:val="0"/>
                <w:bCs w:val="0"/>
                <w:color w:val="auto"/>
                <w:sz w:val="21"/>
                <w:szCs w:val="21"/>
                <w:lang w:val="en-US" w:eastAsia="zh-CN"/>
              </w:rPr>
              <w:t>控制箱内低压电气元件不低于西门子、ABB、施耐德质量标准。</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3.</w:t>
            </w:r>
            <w:r>
              <w:rPr>
                <w:rFonts w:hint="default" w:asciiTheme="minorEastAsia" w:hAnsiTheme="minorEastAsia" w:eastAsiaTheme="minorEastAsia" w:cstheme="minorEastAsia"/>
                <w:b w:val="0"/>
                <w:bCs w:val="0"/>
                <w:color w:val="auto"/>
                <w:sz w:val="21"/>
                <w:szCs w:val="21"/>
                <w:lang w:val="en-US" w:eastAsia="zh-CN"/>
              </w:rPr>
              <w:t xml:space="preserve"> 变频器、软启动器等相应元器件不低于西门子、ABB、施耐德、丹佛斯质量标准。</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4.</w:t>
            </w:r>
            <w:r>
              <w:rPr>
                <w:rFonts w:hint="default" w:asciiTheme="minorEastAsia" w:hAnsiTheme="minorEastAsia" w:eastAsiaTheme="minorEastAsia" w:cstheme="minorEastAsia"/>
                <w:b w:val="0"/>
                <w:bCs w:val="0"/>
                <w:color w:val="auto"/>
                <w:sz w:val="21"/>
                <w:szCs w:val="21"/>
                <w:lang w:val="en-US" w:eastAsia="zh-CN"/>
              </w:rPr>
              <w:t>PLC等设备相应元器件不低于西门子、ABB、施耐德、AB质量标准。</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5.</w:t>
            </w:r>
            <w:r>
              <w:rPr>
                <w:rFonts w:hint="default" w:asciiTheme="minorEastAsia" w:hAnsiTheme="minorEastAsia" w:eastAsiaTheme="minorEastAsia" w:cstheme="minorEastAsia"/>
                <w:b w:val="0"/>
                <w:bCs w:val="0"/>
                <w:color w:val="auto"/>
                <w:sz w:val="21"/>
                <w:szCs w:val="21"/>
                <w:lang w:val="en-US" w:eastAsia="zh-CN"/>
              </w:rPr>
              <w:t>与机械设备配套的控制箱应符合下列要求：</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a. 控制箱电源端按需设断路器；控制箱各馈电回路应设短路、过负荷以及接地故障保护。</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b. 各电机主回路应配置短路保护、接地故障保护以及过载保护。并应根据电动机具体保护要求以及使用情况按需装设断相保护、低电压保护以及轴温、泄漏等专用保护。</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c. 水下电机还应配备潜水电机保护装置，按需进行泄漏、高温及干运行等保护。保护继电器电源应采用AC 220V电源。故障输出为干结点无源继电器信号，触电容量 220V 5A。</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d. 控制箱与潜水电机连接用的控制电缆和电力电缆应采用水下电缆。</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e. 控制箱应能对所控主设备和辅助设备进行单独控制操作，并应以一条流水线为单元根据工艺控制要求对所控设备进行联动操作。</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f. 自带PLC控制系统的控制箱控制方式分为手动控制和自动控制二种方式。手动控制由配套控制箱上的控制按钮或旋钮实现。自动控制方式由泵站配套控制系统实现。配套控制柜有明显的手/自动控制切换元件。二种控制方式手动优先。</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g.控制箱面板上应至少为所控每台设备设置开/停按钮或旋钮、自动/手动转换开关、紧急停车按钮、开停及故障指示灯。带有变频控制的控制箱还应设置手动调速面板。</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h. 单机容量≥2KW的电动机，应设数显电流显示装置用于显示各台电机工作电流。</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i. 室外及潮湿场所的控制箱内应按需配置加热器和温湿度自动控制器。当湿度达到一定程度或温度发生剧增，有可能产生凝露时，控制器驱动加热器工作，当凝露状况消失后，加热器停止加热，控制器恢复到监测状态。</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eastAsia" w:asciiTheme="minorEastAsia" w:hAnsiTheme="minorEastAsia" w:eastAsiaTheme="minorEastAsia" w:cstheme="minorEastAsia"/>
                <w:b/>
                <w:bCs/>
                <w:color w:val="auto"/>
                <w:sz w:val="21"/>
                <w:szCs w:val="21"/>
                <w:lang w:val="en-US" w:eastAsia="zh-CN"/>
              </w:rPr>
            </w:pPr>
            <w:r>
              <w:rPr>
                <w:rFonts w:hint="eastAsia" w:asciiTheme="minorEastAsia" w:hAnsiTheme="minorEastAsia" w:eastAsiaTheme="minorEastAsia" w:cstheme="minorEastAsia"/>
                <w:b/>
                <w:bCs/>
                <w:color w:val="auto"/>
                <w:sz w:val="21"/>
                <w:szCs w:val="21"/>
                <w:lang w:val="en-US" w:eastAsia="zh-CN"/>
              </w:rPr>
              <w:t>五、泵站运行控制系统具备下列功能：</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1.</w:t>
            </w:r>
            <w:r>
              <w:rPr>
                <w:rFonts w:hint="default" w:asciiTheme="minorEastAsia" w:hAnsiTheme="minorEastAsia" w:eastAsiaTheme="minorEastAsia" w:cstheme="minorEastAsia"/>
                <w:b w:val="0"/>
                <w:bCs w:val="0"/>
                <w:color w:val="auto"/>
                <w:sz w:val="21"/>
                <w:szCs w:val="21"/>
                <w:lang w:val="en-US" w:eastAsia="zh-CN"/>
              </w:rPr>
              <w:t>性能控制-能耗最佳化</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2.</w:t>
            </w:r>
            <w:r>
              <w:rPr>
                <w:rFonts w:hint="default" w:asciiTheme="minorEastAsia" w:hAnsiTheme="minorEastAsia" w:eastAsiaTheme="minorEastAsia" w:cstheme="minorEastAsia"/>
                <w:b w:val="0"/>
                <w:bCs w:val="0"/>
                <w:color w:val="auto"/>
                <w:sz w:val="21"/>
                <w:szCs w:val="21"/>
                <w:lang w:val="en-US" w:eastAsia="zh-CN"/>
              </w:rPr>
              <w:t>总线通讯</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3.</w:t>
            </w:r>
            <w:r>
              <w:rPr>
                <w:rFonts w:hint="default" w:asciiTheme="minorEastAsia" w:hAnsiTheme="minorEastAsia" w:eastAsiaTheme="minorEastAsia" w:cstheme="minorEastAsia"/>
                <w:b w:val="0"/>
                <w:bCs w:val="0"/>
                <w:color w:val="auto"/>
                <w:sz w:val="21"/>
                <w:szCs w:val="21"/>
                <w:lang w:val="en-US" w:eastAsia="zh-CN"/>
              </w:rPr>
              <w:t>泵的自动并联控制</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4.</w:t>
            </w:r>
            <w:r>
              <w:rPr>
                <w:rFonts w:hint="default" w:asciiTheme="minorEastAsia" w:hAnsiTheme="minorEastAsia" w:eastAsiaTheme="minorEastAsia" w:cstheme="minorEastAsia"/>
                <w:b w:val="0"/>
                <w:bCs w:val="0"/>
                <w:color w:val="auto"/>
                <w:sz w:val="21"/>
                <w:szCs w:val="21"/>
                <w:lang w:val="en-US" w:eastAsia="zh-CN"/>
              </w:rPr>
              <w:t>运行中泵之间的自动切换功能 (确保所有泵运行时间相同)</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5.</w:t>
            </w:r>
            <w:r>
              <w:rPr>
                <w:rFonts w:hint="default" w:asciiTheme="minorEastAsia" w:hAnsiTheme="minorEastAsia" w:eastAsiaTheme="minorEastAsia" w:cstheme="minorEastAsia"/>
                <w:b w:val="0"/>
                <w:bCs w:val="0"/>
                <w:color w:val="auto"/>
                <w:sz w:val="21"/>
                <w:szCs w:val="21"/>
                <w:lang w:val="en-US" w:eastAsia="zh-CN"/>
              </w:rPr>
              <w:t>手动操作运行 (对单泵测试)</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6.</w:t>
            </w:r>
            <w:r>
              <w:rPr>
                <w:rFonts w:hint="default" w:asciiTheme="minorEastAsia" w:hAnsiTheme="minorEastAsia" w:eastAsiaTheme="minorEastAsia" w:cstheme="minorEastAsia"/>
                <w:b w:val="0"/>
                <w:bCs w:val="0"/>
                <w:color w:val="auto"/>
                <w:sz w:val="21"/>
                <w:szCs w:val="21"/>
                <w:lang w:val="en-US" w:eastAsia="zh-CN"/>
              </w:rPr>
              <w:t>泵和系统监视功能：</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──测量值的最大、最小限制；可实现系统失控时停机功能</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──进水流量体积估算</w:t>
            </w:r>
            <w:r>
              <w:rPr>
                <w:rFonts w:hint="default" w:asciiTheme="minorEastAsia" w:hAnsiTheme="minorEastAsia" w:eastAsiaTheme="minorEastAsia" w:cstheme="minorEastAsia"/>
                <w:b w:val="0"/>
                <w:bCs w:val="0"/>
                <w:color w:val="auto"/>
                <w:sz w:val="21"/>
                <w:szCs w:val="21"/>
                <w:lang w:val="en-US" w:eastAsia="zh-CN"/>
              </w:rPr>
              <w:tab/>
            </w:r>
            <w:r>
              <w:rPr>
                <w:rFonts w:hint="default" w:asciiTheme="minorEastAsia" w:hAnsiTheme="minorEastAsia" w:eastAsiaTheme="minorEastAsia" w:cstheme="minorEastAsia"/>
                <w:b w:val="0"/>
                <w:bCs w:val="0"/>
                <w:color w:val="auto"/>
                <w:sz w:val="21"/>
                <w:szCs w:val="21"/>
                <w:lang w:val="en-US" w:eastAsia="zh-CN"/>
              </w:rPr>
              <w:tab/>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──出水流量体积估算</w:t>
            </w:r>
            <w:r>
              <w:rPr>
                <w:rFonts w:hint="default" w:asciiTheme="minorEastAsia" w:hAnsiTheme="minorEastAsia" w:eastAsiaTheme="minorEastAsia" w:cstheme="minorEastAsia"/>
                <w:b w:val="0"/>
                <w:bCs w:val="0"/>
                <w:color w:val="auto"/>
                <w:sz w:val="21"/>
                <w:szCs w:val="21"/>
                <w:lang w:val="en-US" w:eastAsia="zh-CN"/>
              </w:rPr>
              <w:tab/>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──排空泡沫</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──测试运行</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──可读出系统的液位值；</w:t>
            </w:r>
            <w:r>
              <w:rPr>
                <w:rFonts w:hint="default" w:asciiTheme="minorEastAsia" w:hAnsiTheme="minorEastAsia" w:eastAsiaTheme="minorEastAsia" w:cstheme="minorEastAsia"/>
                <w:b w:val="0"/>
                <w:bCs w:val="0"/>
                <w:color w:val="auto"/>
                <w:sz w:val="21"/>
                <w:szCs w:val="21"/>
                <w:lang w:val="en-US" w:eastAsia="zh-CN"/>
              </w:rPr>
              <w:tab/>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7.</w:t>
            </w:r>
            <w:r>
              <w:rPr>
                <w:rFonts w:hint="default" w:asciiTheme="minorEastAsia" w:hAnsiTheme="minorEastAsia" w:eastAsiaTheme="minorEastAsia" w:cstheme="minorEastAsia"/>
                <w:b w:val="0"/>
                <w:bCs w:val="0"/>
                <w:color w:val="auto"/>
                <w:sz w:val="21"/>
                <w:szCs w:val="21"/>
                <w:lang w:val="en-US" w:eastAsia="zh-CN"/>
              </w:rPr>
              <w:t>显示、报警和信号功能：</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 xml:space="preserve"> ①：面板指示灯：泵站控制柜面板设置了，电源、运行、故障等信息的指示灯，操作人员通过玻璃视窗可直接观察到系统的运行情况。</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 xml:space="preserve"> ②：人机界面：采用西门子系列触摸屏，集中显示泵站内各水泵、传感器、浮球、格栅机等部件的运行状态。具有如下特点：</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──LED触摸屏(7英寸及以上)，带背景光设计，使得操作不再考虑环境亮度的影响</w:t>
            </w:r>
            <w:r>
              <w:rPr>
                <w:rFonts w:hint="default" w:asciiTheme="minorEastAsia" w:hAnsiTheme="minorEastAsia" w:eastAsiaTheme="minorEastAsia" w:cstheme="minorEastAsia"/>
                <w:b w:val="0"/>
                <w:bCs w:val="0"/>
                <w:color w:val="auto"/>
                <w:sz w:val="21"/>
                <w:szCs w:val="21"/>
                <w:lang w:val="en-US" w:eastAsia="zh-CN"/>
              </w:rPr>
              <w:tab/>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──带中文语言显示功能；</w:t>
            </w:r>
            <w:r>
              <w:rPr>
                <w:rFonts w:hint="default" w:asciiTheme="minorEastAsia" w:hAnsiTheme="minorEastAsia" w:eastAsiaTheme="minorEastAsia" w:cstheme="minorEastAsia"/>
                <w:b w:val="0"/>
                <w:bCs w:val="0"/>
                <w:color w:val="auto"/>
                <w:sz w:val="21"/>
                <w:szCs w:val="21"/>
                <w:lang w:val="en-US" w:eastAsia="zh-CN"/>
              </w:rPr>
              <w:tab/>
            </w:r>
            <w:r>
              <w:rPr>
                <w:rFonts w:hint="default" w:asciiTheme="minorEastAsia" w:hAnsiTheme="minorEastAsia" w:eastAsiaTheme="minorEastAsia" w:cstheme="minorEastAsia"/>
                <w:b w:val="0"/>
                <w:bCs w:val="0"/>
                <w:color w:val="auto"/>
                <w:sz w:val="21"/>
                <w:szCs w:val="21"/>
                <w:lang w:val="en-US" w:eastAsia="zh-CN"/>
              </w:rPr>
              <w:tab/>
            </w:r>
            <w:r>
              <w:rPr>
                <w:rFonts w:hint="default" w:asciiTheme="minorEastAsia" w:hAnsiTheme="minorEastAsia" w:eastAsiaTheme="minorEastAsia" w:cstheme="minorEastAsia"/>
                <w:b w:val="0"/>
                <w:bCs w:val="0"/>
                <w:color w:val="auto"/>
                <w:sz w:val="21"/>
                <w:szCs w:val="21"/>
                <w:lang w:val="en-US" w:eastAsia="zh-CN"/>
              </w:rPr>
              <w:tab/>
            </w:r>
            <w:r>
              <w:rPr>
                <w:rFonts w:hint="default" w:asciiTheme="minorEastAsia" w:hAnsiTheme="minorEastAsia" w:eastAsiaTheme="minorEastAsia" w:cstheme="minorEastAsia"/>
                <w:b w:val="0"/>
                <w:bCs w:val="0"/>
                <w:color w:val="auto"/>
                <w:sz w:val="21"/>
                <w:szCs w:val="21"/>
                <w:lang w:val="en-US" w:eastAsia="zh-CN"/>
              </w:rPr>
              <w:tab/>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──系统结构图形直观显示，可从系统图中直接显示出各泵运行故障情况及转速，泵站液位</w:t>
            </w:r>
            <w:r>
              <w:rPr>
                <w:rFonts w:hint="eastAsia" w:asciiTheme="minorEastAsia" w:hAnsiTheme="minorEastAsia" w:eastAsiaTheme="minorEastAsia" w:cstheme="minorEastAsia"/>
                <w:b w:val="0"/>
                <w:bCs w:val="0"/>
                <w:color w:val="auto"/>
                <w:sz w:val="21"/>
                <w:szCs w:val="21"/>
                <w:lang w:val="en-US" w:eastAsia="zh-CN"/>
              </w:rPr>
              <w:t>；</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──可读出系统的液位值，计算流量、功率损耗等信息</w:t>
            </w:r>
            <w:r>
              <w:rPr>
                <w:rFonts w:hint="default" w:asciiTheme="minorEastAsia" w:hAnsiTheme="minorEastAsia" w:eastAsiaTheme="minorEastAsia" w:cstheme="minorEastAsia"/>
                <w:b w:val="0"/>
                <w:bCs w:val="0"/>
                <w:color w:val="auto"/>
                <w:sz w:val="21"/>
                <w:szCs w:val="21"/>
                <w:lang w:val="en-US" w:eastAsia="zh-CN"/>
              </w:rPr>
              <w:tab/>
            </w:r>
            <w:r>
              <w:rPr>
                <w:rFonts w:hint="default" w:asciiTheme="minorEastAsia" w:hAnsiTheme="minorEastAsia" w:eastAsiaTheme="minorEastAsia" w:cstheme="minorEastAsia"/>
                <w:b w:val="0"/>
                <w:bCs w:val="0"/>
                <w:color w:val="auto"/>
                <w:sz w:val="21"/>
                <w:szCs w:val="21"/>
                <w:lang w:val="en-US" w:eastAsia="zh-CN"/>
              </w:rPr>
              <w:tab/>
            </w:r>
            <w:r>
              <w:rPr>
                <w:rFonts w:hint="default" w:asciiTheme="minorEastAsia" w:hAnsiTheme="minorEastAsia" w:eastAsiaTheme="minorEastAsia" w:cstheme="minorEastAsia"/>
                <w:b w:val="0"/>
                <w:bCs w:val="0"/>
                <w:color w:val="auto"/>
                <w:sz w:val="21"/>
                <w:szCs w:val="21"/>
                <w:lang w:val="en-US" w:eastAsia="zh-CN"/>
              </w:rPr>
              <w:tab/>
            </w:r>
            <w:r>
              <w:rPr>
                <w:rFonts w:hint="default" w:asciiTheme="minorEastAsia" w:hAnsiTheme="minorEastAsia" w:eastAsiaTheme="minorEastAsia" w:cstheme="minorEastAsia"/>
                <w:b w:val="0"/>
                <w:bCs w:val="0"/>
                <w:color w:val="auto"/>
                <w:sz w:val="21"/>
                <w:szCs w:val="21"/>
                <w:lang w:val="en-US" w:eastAsia="zh-CN"/>
              </w:rPr>
              <w:tab/>
            </w:r>
            <w:r>
              <w:rPr>
                <w:rFonts w:hint="default" w:asciiTheme="minorEastAsia" w:hAnsiTheme="minorEastAsia" w:eastAsiaTheme="minorEastAsia" w:cstheme="minorEastAsia"/>
                <w:b w:val="0"/>
                <w:bCs w:val="0"/>
                <w:color w:val="auto"/>
                <w:sz w:val="21"/>
                <w:szCs w:val="21"/>
                <w:lang w:val="en-US" w:eastAsia="zh-CN"/>
              </w:rPr>
              <w:tab/>
            </w:r>
            <w:r>
              <w:rPr>
                <w:rFonts w:hint="default" w:asciiTheme="minorEastAsia" w:hAnsiTheme="minorEastAsia" w:eastAsiaTheme="minorEastAsia" w:cstheme="minorEastAsia"/>
                <w:b w:val="0"/>
                <w:bCs w:val="0"/>
                <w:color w:val="auto"/>
                <w:sz w:val="21"/>
                <w:szCs w:val="21"/>
                <w:lang w:val="en-US" w:eastAsia="zh-CN"/>
              </w:rPr>
              <w:tab/>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③</w:t>
            </w:r>
            <w:r>
              <w:rPr>
                <w:rFonts w:hint="eastAsia" w:asciiTheme="minorEastAsia" w:hAnsiTheme="minorEastAsia" w:eastAsiaTheme="minorEastAsia" w:cstheme="minorEastAsia"/>
                <w:b w:val="0"/>
                <w:bCs w:val="0"/>
                <w:color w:val="auto"/>
                <w:sz w:val="21"/>
                <w:szCs w:val="21"/>
                <w:lang w:val="en-US" w:eastAsia="zh-CN"/>
              </w:rPr>
              <w:t>不低于</w:t>
            </w:r>
            <w:r>
              <w:rPr>
                <w:rFonts w:hint="default" w:asciiTheme="minorEastAsia" w:hAnsiTheme="minorEastAsia" w:eastAsiaTheme="minorEastAsia" w:cstheme="minorEastAsia"/>
                <w:b w:val="0"/>
                <w:bCs w:val="0"/>
                <w:color w:val="auto"/>
                <w:sz w:val="21"/>
                <w:szCs w:val="21"/>
                <w:lang w:val="en-US" w:eastAsia="zh-CN"/>
              </w:rPr>
              <w:t>高分辨率800×480 dpi真彩宽屏显示，LED 背光，节能降耗，PPI 通讯协议，通信速率高达 187.5kb/s，集成 RS 422/485 通讯口，高端ARM 处理器，主频达到 400MHz，、高速外部总</w:t>
            </w:r>
            <w:r>
              <w:rPr>
                <w:rFonts w:hint="default" w:asciiTheme="minorEastAsia" w:hAnsiTheme="minorEastAsia" w:eastAsiaTheme="minorEastAsia" w:cstheme="minorEastAsia"/>
                <w:b w:val="0"/>
                <w:bCs w:val="0"/>
                <w:color w:val="auto"/>
                <w:sz w:val="21"/>
                <w:szCs w:val="21"/>
                <w:lang w:val="en-US" w:eastAsia="zh-CN"/>
              </w:rPr>
              <w:fldChar w:fldCharType="begin"/>
            </w:r>
            <w:r>
              <w:rPr>
                <w:rFonts w:hint="default" w:asciiTheme="minorEastAsia" w:hAnsiTheme="minorEastAsia" w:eastAsiaTheme="minorEastAsia" w:cstheme="minorEastAsia"/>
                <w:b w:val="0"/>
                <w:bCs w:val="0"/>
                <w:color w:val="auto"/>
                <w:sz w:val="21"/>
                <w:szCs w:val="21"/>
                <w:lang w:val="en-US" w:eastAsia="zh-CN"/>
              </w:rPr>
              <w:instrText xml:space="preserve">HYPERLINK "http://baike.baidu.com/view/353156.htm" \t "_blank"</w:instrText>
            </w:r>
            <w:r>
              <w:rPr>
                <w:rFonts w:hint="default" w:asciiTheme="minorEastAsia" w:hAnsiTheme="minorEastAsia" w:eastAsiaTheme="minorEastAsia" w:cstheme="minorEastAsia"/>
                <w:b w:val="0"/>
                <w:bCs w:val="0"/>
                <w:color w:val="auto"/>
                <w:sz w:val="21"/>
                <w:szCs w:val="21"/>
                <w:lang w:val="en-US" w:eastAsia="zh-CN"/>
              </w:rPr>
              <w:fldChar w:fldCharType="separate"/>
            </w:r>
            <w:r>
              <w:rPr>
                <w:rFonts w:hint="default" w:asciiTheme="minorEastAsia" w:hAnsiTheme="minorEastAsia" w:eastAsiaTheme="minorEastAsia" w:cstheme="minorEastAsia"/>
                <w:b w:val="0"/>
                <w:bCs w:val="0"/>
                <w:color w:val="auto"/>
                <w:sz w:val="21"/>
                <w:szCs w:val="21"/>
                <w:lang w:val="en-US" w:eastAsia="zh-CN"/>
              </w:rPr>
              <w:t>线</w:t>
            </w:r>
            <w:r>
              <w:rPr>
                <w:rFonts w:hint="default" w:asciiTheme="minorEastAsia" w:hAnsiTheme="minorEastAsia" w:eastAsiaTheme="minorEastAsia" w:cstheme="minorEastAsia"/>
                <w:b w:val="0"/>
                <w:bCs w:val="0"/>
                <w:color w:val="auto"/>
                <w:sz w:val="21"/>
                <w:szCs w:val="21"/>
                <w:lang w:val="en-US" w:eastAsia="zh-CN"/>
              </w:rPr>
              <w:fldChar w:fldCharType="end"/>
            </w:r>
            <w:r>
              <w:rPr>
                <w:rFonts w:hint="default" w:asciiTheme="minorEastAsia" w:hAnsiTheme="minorEastAsia" w:eastAsiaTheme="minorEastAsia" w:cstheme="minorEastAsia"/>
                <w:b w:val="0"/>
                <w:bCs w:val="0"/>
                <w:color w:val="auto"/>
                <w:sz w:val="21"/>
                <w:szCs w:val="21"/>
                <w:lang w:val="en-US" w:eastAsia="zh-CN"/>
              </w:rPr>
              <w:t>及 64M DDR 内存。</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④运行和故障信号自动转换接触器。</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8</w:t>
            </w:r>
            <w:r>
              <w:rPr>
                <w:rFonts w:hint="eastAsia" w:asciiTheme="minorEastAsia" w:hAnsiTheme="minorEastAsia" w:eastAsiaTheme="minorEastAsia" w:cstheme="minorEastAsia"/>
                <w:b w:val="0"/>
                <w:bCs w:val="0"/>
                <w:color w:val="auto"/>
                <w:sz w:val="21"/>
                <w:szCs w:val="21"/>
                <w:lang w:val="en-US" w:eastAsia="zh-CN"/>
              </w:rPr>
              <w:t>.</w:t>
            </w:r>
            <w:r>
              <w:rPr>
                <w:rFonts w:hint="default" w:asciiTheme="minorEastAsia" w:hAnsiTheme="minorEastAsia" w:eastAsiaTheme="minorEastAsia" w:cstheme="minorEastAsia"/>
                <w:b w:val="0"/>
                <w:bCs w:val="0"/>
                <w:color w:val="auto"/>
                <w:sz w:val="21"/>
                <w:szCs w:val="21"/>
                <w:lang w:val="en-US" w:eastAsia="zh-CN"/>
              </w:rPr>
              <w:t>控制单元</w:t>
            </w:r>
            <w:r>
              <w:rPr>
                <w:rFonts w:hint="eastAsia" w:asciiTheme="minorEastAsia" w:hAnsiTheme="minorEastAsia" w:eastAsiaTheme="minorEastAsia" w:cstheme="minorEastAsia"/>
                <w:b w:val="0"/>
                <w:bCs w:val="0"/>
                <w:color w:val="auto"/>
                <w:sz w:val="21"/>
                <w:szCs w:val="21"/>
                <w:lang w:val="en-US" w:eastAsia="zh-CN"/>
              </w:rPr>
              <w:t>：</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eastAsia" w:asciiTheme="minorEastAsia" w:hAnsiTheme="minorEastAsia" w:eastAsiaTheme="minorEastAsia" w:cstheme="minorEastAsia"/>
                <w:b w:val="0"/>
                <w:bCs w:val="0"/>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4个模拟量I/O点，可连接7个扩展模块，最大扩展值至168路数字量I/O点或38路模拟量I/O点。20K字节程序和数据存储空间，6个独立的高速计数器（100KHz），2个100KHz的高速脉冲输出，1个RS485通讯/编程口，具有PPI通讯协议、MPI通讯协议和自由方式通讯能力，内置模拟量I/O,位控特性，自整定PID功能，线性斜坡脉冲指令，诊断LED，数据记录及配方功能等</w:t>
            </w:r>
            <w:r>
              <w:rPr>
                <w:rFonts w:hint="eastAsia" w:asciiTheme="minorEastAsia" w:hAnsiTheme="minorEastAsia" w:eastAsiaTheme="minorEastAsia" w:cstheme="minorEastAsia"/>
                <w:b w:val="0"/>
                <w:bCs w:val="0"/>
                <w:color w:val="auto"/>
                <w:sz w:val="21"/>
                <w:szCs w:val="21"/>
                <w:lang w:val="en-US" w:eastAsia="zh-CN"/>
              </w:rPr>
              <w:t>。</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eastAsia" w:asciiTheme="minorEastAsia" w:hAnsiTheme="minorEastAsia" w:eastAsiaTheme="minorEastAsia" w:cstheme="minorEastAsia"/>
                <w:b/>
                <w:bCs/>
                <w:color w:val="auto"/>
                <w:sz w:val="21"/>
                <w:szCs w:val="21"/>
                <w:lang w:val="en-US" w:eastAsia="zh-CN"/>
              </w:rPr>
            </w:pPr>
            <w:r>
              <w:rPr>
                <w:rFonts w:hint="eastAsia" w:asciiTheme="minorEastAsia" w:hAnsiTheme="minorEastAsia" w:eastAsiaTheme="minorEastAsia" w:cstheme="minorEastAsia"/>
                <w:b/>
                <w:bCs/>
                <w:color w:val="auto"/>
                <w:sz w:val="21"/>
                <w:szCs w:val="21"/>
                <w:lang w:val="en-US" w:eastAsia="zh-CN"/>
              </w:rPr>
              <w:t>六、泵站运行控制系统具备下列运行特点：</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1.</w:t>
            </w:r>
            <w:r>
              <w:rPr>
                <w:rFonts w:hint="default" w:asciiTheme="minorEastAsia" w:hAnsiTheme="minorEastAsia" w:eastAsiaTheme="minorEastAsia" w:cstheme="minorEastAsia"/>
                <w:b w:val="0"/>
                <w:bCs w:val="0"/>
                <w:color w:val="auto"/>
                <w:sz w:val="21"/>
                <w:szCs w:val="21"/>
                <w:lang w:val="en-US" w:eastAsia="zh-CN"/>
              </w:rPr>
              <w:t>手动测试功能：控制面板设置了手动控制开关，当需要对单台水泵进行功能测试时，可将泵站运行状态切换为手动，此时即可通过手动开关控制水泵启停，使水泵的控制具有更高的灵活性。</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2.</w:t>
            </w:r>
            <w:r>
              <w:rPr>
                <w:rFonts w:hint="default" w:asciiTheme="minorEastAsia" w:hAnsiTheme="minorEastAsia" w:eastAsiaTheme="minorEastAsia" w:cstheme="minorEastAsia"/>
                <w:b w:val="0"/>
                <w:bCs w:val="0"/>
                <w:color w:val="auto"/>
                <w:sz w:val="21"/>
                <w:szCs w:val="21"/>
                <w:lang w:val="en-US" w:eastAsia="zh-CN"/>
              </w:rPr>
              <w:t>自动轮换功能：水泵运行时为轮换启动方式，即第一次运行一号泵停止后，第二次运行二号泵，第三次运行三号泵，第四次运行一号泵，如此反复做到三台泵互为备用，减少单泵启动次数及另一台泵过度闲置的状态，增加水泵使用寿命。</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3.</w:t>
            </w:r>
            <w:r>
              <w:rPr>
                <w:rFonts w:hint="default" w:asciiTheme="minorEastAsia" w:hAnsiTheme="minorEastAsia" w:eastAsiaTheme="minorEastAsia" w:cstheme="minorEastAsia"/>
                <w:b w:val="0"/>
                <w:bCs w:val="0"/>
                <w:color w:val="auto"/>
                <w:sz w:val="21"/>
                <w:szCs w:val="21"/>
                <w:lang w:val="en-US" w:eastAsia="zh-CN"/>
              </w:rPr>
              <w:t>故障轮换功能：水位到达后，当一台水泵无法正常启动（损坏、断电）或运行中产生故障时， 会立即启动另一台泵保证泵站的持续运行。</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4.</w:t>
            </w:r>
            <w:r>
              <w:rPr>
                <w:rFonts w:hint="default" w:asciiTheme="minorEastAsia" w:hAnsiTheme="minorEastAsia" w:eastAsiaTheme="minorEastAsia" w:cstheme="minorEastAsia"/>
                <w:b w:val="0"/>
                <w:bCs w:val="0"/>
                <w:color w:val="auto"/>
                <w:sz w:val="21"/>
                <w:szCs w:val="21"/>
                <w:lang w:val="en-US" w:eastAsia="zh-CN"/>
              </w:rPr>
              <w:t>异常流量处理能力：当出现泵站内进水量远大于设计流量时，控制系统会根据需要启动备用水泵，保证污水及时处理，同时发出警示，提醒操作人员泵站实际状态。</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eastAsia" w:asciiTheme="minorEastAsia" w:hAnsiTheme="minorEastAsia" w:eastAsiaTheme="minorEastAsia" w:cstheme="minorEastAsia"/>
                <w:b/>
                <w:bCs/>
                <w:color w:val="auto"/>
                <w:sz w:val="21"/>
                <w:szCs w:val="21"/>
                <w:lang w:val="en-US" w:eastAsia="zh-CN"/>
              </w:rPr>
            </w:pPr>
            <w:r>
              <w:rPr>
                <w:rFonts w:hint="eastAsia" w:asciiTheme="minorEastAsia" w:hAnsiTheme="minorEastAsia" w:eastAsiaTheme="minorEastAsia" w:cstheme="minorEastAsia"/>
                <w:b/>
                <w:bCs/>
                <w:color w:val="auto"/>
                <w:sz w:val="21"/>
                <w:szCs w:val="21"/>
                <w:lang w:val="en-US" w:eastAsia="zh-CN"/>
              </w:rPr>
              <w:t>七、液位信息采集，信号单元，双重液位保护功能：</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1.</w:t>
            </w:r>
            <w:r>
              <w:rPr>
                <w:rFonts w:hint="default" w:asciiTheme="minorEastAsia" w:hAnsiTheme="minorEastAsia" w:eastAsiaTheme="minorEastAsia" w:cstheme="minorEastAsia"/>
                <w:b w:val="0"/>
                <w:bCs w:val="0"/>
                <w:color w:val="auto"/>
                <w:sz w:val="21"/>
                <w:szCs w:val="21"/>
                <w:lang w:val="en-US" w:eastAsia="zh-CN"/>
              </w:rPr>
              <w:t>液位传感器和液位浮球控制方式带有故障自切换功能。液位传感器与液位浮球安装为活动安装，维护人员不需要下到底部，在维修平台上方即可更换与维修。</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2.</w:t>
            </w:r>
            <w:r>
              <w:rPr>
                <w:rFonts w:hint="default" w:asciiTheme="minorEastAsia" w:hAnsiTheme="minorEastAsia" w:eastAsiaTheme="minorEastAsia" w:cstheme="minorEastAsia"/>
                <w:b w:val="0"/>
                <w:bCs w:val="0"/>
                <w:color w:val="auto"/>
                <w:sz w:val="21"/>
                <w:szCs w:val="21"/>
                <w:lang w:val="en-US" w:eastAsia="zh-CN"/>
              </w:rPr>
              <w:t>液位传感器：</w:t>
            </w:r>
            <w:r>
              <w:rPr>
                <w:rFonts w:hint="default" w:asciiTheme="minorEastAsia" w:hAnsiTheme="minorEastAsia" w:eastAsiaTheme="minorEastAsia" w:cstheme="minorEastAsia"/>
                <w:b w:val="0"/>
                <w:bCs w:val="0"/>
                <w:color w:val="auto"/>
                <w:sz w:val="21"/>
                <w:szCs w:val="21"/>
                <w:highlight w:val="none"/>
                <w:lang w:val="en-US" w:eastAsia="zh-CN"/>
              </w:rPr>
              <w:t>SPL-EA静压</w:t>
            </w:r>
            <w:r>
              <w:rPr>
                <w:rFonts w:hint="default" w:asciiTheme="minorEastAsia" w:hAnsiTheme="minorEastAsia" w:eastAsiaTheme="minorEastAsia" w:cstheme="minorEastAsia"/>
                <w:b w:val="0"/>
                <w:bCs w:val="0"/>
                <w:color w:val="auto"/>
                <w:sz w:val="21"/>
                <w:szCs w:val="21"/>
                <w:lang w:val="en-US" w:eastAsia="zh-CN"/>
              </w:rPr>
              <w:t>差液位计内部的专用集成电路将传感器毫伏信号转换成标准远距离的传输电流信号，可以直接与计算机接口卡、控制仪表、智能仪表或PLC等方便相连；在一体化泵站中通过液位变送器来采集水位实时高度，将水位高度信息转换为模拟量信号传输给PLC，PLC将受到的信号进行处理之后传送到远程监控系统，根据实际水位的变化控制泵的启停数量并可判断出缺水位、超高位报警信号。</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3.</w:t>
            </w:r>
            <w:r>
              <w:rPr>
                <w:rFonts w:hint="default" w:asciiTheme="minorEastAsia" w:hAnsiTheme="minorEastAsia" w:eastAsiaTheme="minorEastAsia" w:cstheme="minorEastAsia"/>
                <w:b w:val="0"/>
                <w:bCs w:val="0"/>
                <w:color w:val="auto"/>
                <w:sz w:val="21"/>
                <w:szCs w:val="21"/>
                <w:lang w:val="en-US" w:eastAsia="zh-CN"/>
              </w:rPr>
              <w:t>浮球：</w:t>
            </w:r>
            <w:r>
              <w:rPr>
                <w:rFonts w:hint="default" w:asciiTheme="minorEastAsia" w:hAnsiTheme="minorEastAsia" w:eastAsiaTheme="minorEastAsia" w:cstheme="minorEastAsia"/>
                <w:b w:val="0"/>
                <w:bCs w:val="0"/>
                <w:color w:val="auto"/>
                <w:sz w:val="21"/>
                <w:szCs w:val="21"/>
                <w:highlight w:val="none"/>
                <w:lang w:val="en-US" w:eastAsia="zh-CN"/>
              </w:rPr>
              <w:t>SPL-CF系列浮球</w:t>
            </w:r>
            <w:r>
              <w:rPr>
                <w:rFonts w:hint="default" w:asciiTheme="minorEastAsia" w:hAnsiTheme="minorEastAsia" w:eastAsiaTheme="minorEastAsia" w:cstheme="minorEastAsia"/>
                <w:b w:val="0"/>
                <w:bCs w:val="0"/>
                <w:color w:val="auto"/>
                <w:sz w:val="21"/>
                <w:szCs w:val="21"/>
                <w:lang w:val="en-US" w:eastAsia="zh-CN"/>
              </w:rPr>
              <w:t>液位控制器，采用注射成型，内置触头机构，利用液体的浮力作用，是控制器随着液面上升或下降。其内部的触头机构会发生通与断的状态改变，从而发出控制信号。因无任何外部操作机构，其动作更加准确可靠，特别适用于含有杂质和粘稠物的活水排放自动控制，工业生产中非易燃易爆液体的自动控制，以及生活用水，消防水池的自动供给控制。具有耐弱酸、耐弱碱、耐腐蚀等特点。</w:t>
            </w:r>
          </w:p>
          <w:p>
            <w:pPr>
              <w:pStyle w:val="2"/>
              <w:keepNext w:val="0"/>
              <w:keepLines w:val="0"/>
              <w:pageBreakBefore w:val="0"/>
              <w:numPr>
                <w:ilvl w:val="0"/>
                <w:numId w:val="0"/>
              </w:numPr>
              <w:kinsoku/>
              <w:wordWrap/>
              <w:overflowPunct/>
              <w:topLinePunct w:val="0"/>
              <w:autoSpaceDE/>
              <w:autoSpaceDN/>
              <w:bidi w:val="0"/>
              <w:adjustRightInd/>
              <w:snapToGrid/>
              <w:spacing w:line="400" w:lineRule="exact"/>
              <w:ind w:leftChars="0"/>
              <w:textAlignment w:val="auto"/>
              <w:rPr>
                <w:rFonts w:hint="default" w:asciiTheme="minorEastAsia" w:hAnsiTheme="minorEastAsia" w:eastAsiaTheme="minorEastAsia" w:cstheme="minorEastAsia"/>
                <w:b/>
                <w:bCs/>
                <w:color w:val="auto"/>
                <w:sz w:val="21"/>
                <w:szCs w:val="21"/>
                <w:lang w:val="en-US" w:eastAsia="zh-CN"/>
              </w:rPr>
            </w:pPr>
            <w:r>
              <w:rPr>
                <w:rFonts w:hint="default" w:asciiTheme="minorEastAsia" w:hAnsiTheme="minorEastAsia" w:eastAsiaTheme="minorEastAsia" w:cstheme="minorEastAsia"/>
                <w:b w:val="0"/>
                <w:bCs w:val="0"/>
                <w:color w:val="auto"/>
                <w:sz w:val="21"/>
                <w:szCs w:val="21"/>
                <w:lang w:val="en-US" w:eastAsia="zh-CN"/>
              </w:rPr>
              <w:t>以上两种方式通过PLC自身判断，不依靠其他增加的元器件，一旦一种控制损坏另一种会立即起到替代作用，保证泵站采集到的液位信息准确可靠。</w:t>
            </w:r>
          </w:p>
        </w:tc>
        <w:tc>
          <w:tcPr>
            <w:tcW w:w="1275"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661100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0" w:type="dxa"/>
            <w:tcBorders>
              <w:top w:val="single" w:color="auto" w:sz="4" w:space="0"/>
              <w:left w:val="single" w:color="auto" w:sz="4" w:space="0"/>
              <w:bottom w:val="single" w:color="auto" w:sz="4" w:space="0"/>
              <w:right w:val="single" w:color="auto" w:sz="4" w:space="0"/>
            </w:tcBorders>
            <w:noWrap w:val="0"/>
            <w:vAlign w:val="center"/>
          </w:tcPr>
          <w:p>
            <w:pPr>
              <w:pStyle w:val="31"/>
              <w:jc w:val="center"/>
              <w:rPr>
                <w:rFonts w:hint="eastAsia"/>
                <w:b/>
                <w:bCs/>
                <w:color w:val="auto"/>
                <w:szCs w:val="21"/>
                <w:highlight w:val="none"/>
              </w:rPr>
            </w:pPr>
            <w:r>
              <w:rPr>
                <w:rFonts w:hint="eastAsia" w:asciiTheme="minorEastAsia" w:hAnsiTheme="minorEastAsia" w:eastAsiaTheme="minorEastAsia" w:cstheme="minorEastAsia"/>
                <w:color w:val="auto"/>
                <w:w w:val="99"/>
                <w:sz w:val="21"/>
                <w:szCs w:val="21"/>
                <w:highlight w:val="none"/>
                <w:lang w:val="en-US" w:eastAsia="zh-CN"/>
              </w:rPr>
              <w:t>2</w:t>
            </w:r>
          </w:p>
        </w:tc>
        <w:tc>
          <w:tcPr>
            <w:tcW w:w="1958" w:type="dxa"/>
            <w:gridSpan w:val="2"/>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b/>
                <w:bCs/>
                <w:color w:val="auto"/>
                <w:szCs w:val="21"/>
                <w:highlight w:val="none"/>
              </w:rPr>
            </w:pPr>
            <w:r>
              <w:rPr>
                <w:rFonts w:hint="eastAsia" w:asciiTheme="minorEastAsia" w:hAnsiTheme="minorEastAsia" w:eastAsiaTheme="minorEastAsia" w:cstheme="minorEastAsia"/>
                <w:color w:val="auto"/>
                <w:kern w:val="0"/>
                <w:sz w:val="21"/>
                <w:szCs w:val="21"/>
                <w:highlight w:val="none"/>
              </w:rPr>
              <w:t>系统安装支架﹑提升链及安装附件</w:t>
            </w:r>
          </w:p>
        </w:tc>
        <w:tc>
          <w:tcPr>
            <w:tcW w:w="438" w:type="dxa"/>
            <w:tcBorders>
              <w:top w:val="single" w:color="auto" w:sz="4" w:space="0"/>
              <w:left w:val="single" w:color="auto" w:sz="4" w:space="0"/>
              <w:bottom w:val="single" w:color="auto" w:sz="4" w:space="0"/>
              <w:right w:val="single" w:color="auto" w:sz="4" w:space="0"/>
            </w:tcBorders>
            <w:noWrap w:val="0"/>
            <w:vAlign w:val="center"/>
          </w:tcPr>
          <w:p>
            <w:pPr>
              <w:pStyle w:val="31"/>
              <w:jc w:val="center"/>
              <w:rPr>
                <w:rFonts w:hint="eastAsia"/>
                <w:b/>
                <w:bCs/>
                <w:color w:val="auto"/>
                <w:szCs w:val="21"/>
                <w:highlight w:val="none"/>
              </w:rPr>
            </w:pPr>
            <w:r>
              <w:rPr>
                <w:rFonts w:hint="eastAsia" w:asciiTheme="minorEastAsia" w:hAnsiTheme="minorEastAsia" w:eastAsiaTheme="minorEastAsia" w:cstheme="minorEastAsia"/>
                <w:color w:val="auto"/>
                <w:kern w:val="2"/>
                <w:sz w:val="21"/>
                <w:szCs w:val="21"/>
                <w:highlight w:val="none"/>
                <w:lang w:val="en-US" w:eastAsia="zh-CN" w:bidi="ar-SA"/>
              </w:rPr>
              <w:t>1</w:t>
            </w:r>
          </w:p>
        </w:tc>
        <w:tc>
          <w:tcPr>
            <w:tcW w:w="559" w:type="dxa"/>
            <w:tcBorders>
              <w:top w:val="single" w:color="auto" w:sz="4" w:space="0"/>
              <w:left w:val="single" w:color="auto" w:sz="4" w:space="0"/>
              <w:bottom w:val="single" w:color="auto" w:sz="4" w:space="0"/>
              <w:right w:val="single" w:color="auto" w:sz="4" w:space="0"/>
            </w:tcBorders>
            <w:noWrap w:val="0"/>
            <w:vAlign w:val="center"/>
          </w:tcPr>
          <w:p>
            <w:pPr>
              <w:pStyle w:val="31"/>
              <w:jc w:val="center"/>
              <w:rPr>
                <w:rFonts w:hint="eastAsia"/>
                <w:b/>
                <w:bCs/>
                <w:color w:val="auto"/>
                <w:szCs w:val="21"/>
                <w:highlight w:val="none"/>
              </w:rPr>
            </w:pPr>
            <w:r>
              <w:rPr>
                <w:rFonts w:hint="eastAsia" w:asciiTheme="minorEastAsia" w:hAnsiTheme="minorEastAsia" w:eastAsiaTheme="minorEastAsia" w:cstheme="minorEastAsia"/>
                <w:color w:val="auto"/>
                <w:kern w:val="2"/>
                <w:sz w:val="21"/>
                <w:szCs w:val="21"/>
                <w:highlight w:val="none"/>
                <w:lang w:val="en-US" w:eastAsia="zh-CN" w:bidi="ar-SA"/>
              </w:rPr>
              <w:t>套</w:t>
            </w:r>
          </w:p>
        </w:tc>
        <w:tc>
          <w:tcPr>
            <w:tcW w:w="47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Theme="minorEastAsia" w:hAnsiTheme="minorEastAsia" w:eastAsiaTheme="minorEastAsia" w:cstheme="minorEastAsia"/>
                <w:b w:val="0"/>
                <w:bCs w:val="0"/>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粉碎型格栅配套安装支架、提升链、导杆等</w:t>
            </w:r>
          </w:p>
        </w:tc>
        <w:tc>
          <w:tcPr>
            <w:tcW w:w="1275"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Theme="minorEastAsia" w:hAnsiTheme="minorEastAsia" w:eastAsiaTheme="minorEastAsia" w:cstheme="minorEastAsia"/>
                <w:b w:val="0"/>
                <w:bCs w:val="0"/>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72000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90" w:type="dxa"/>
            <w:tcBorders>
              <w:top w:val="single" w:color="auto" w:sz="4" w:space="0"/>
              <w:left w:val="single" w:color="auto" w:sz="4" w:space="0"/>
              <w:bottom w:val="single" w:color="auto" w:sz="4" w:space="0"/>
              <w:right w:val="single" w:color="auto" w:sz="4" w:space="0"/>
            </w:tcBorders>
            <w:noWrap w:val="0"/>
            <w:vAlign w:val="center"/>
          </w:tcPr>
          <w:p>
            <w:pPr>
              <w:pStyle w:val="31"/>
              <w:jc w:val="center"/>
              <w:rPr>
                <w:rFonts w:hint="eastAsia"/>
                <w:b/>
                <w:bCs/>
                <w:color w:val="auto"/>
                <w:szCs w:val="21"/>
                <w:highlight w:val="none"/>
              </w:rPr>
            </w:pPr>
            <w:r>
              <w:rPr>
                <w:rFonts w:hint="eastAsia" w:asciiTheme="minorEastAsia" w:hAnsiTheme="minorEastAsia" w:eastAsiaTheme="minorEastAsia" w:cstheme="minorEastAsia"/>
                <w:color w:val="auto"/>
                <w:w w:val="99"/>
                <w:sz w:val="21"/>
                <w:szCs w:val="21"/>
                <w:highlight w:val="none"/>
                <w:lang w:val="en-US" w:eastAsia="zh-CN"/>
              </w:rPr>
              <w:t>3</w:t>
            </w:r>
          </w:p>
        </w:tc>
        <w:tc>
          <w:tcPr>
            <w:tcW w:w="1958" w:type="dxa"/>
            <w:gridSpan w:val="2"/>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b/>
                <w:bCs/>
                <w:color w:val="auto"/>
                <w:szCs w:val="21"/>
                <w:highlight w:val="none"/>
              </w:rPr>
            </w:pPr>
            <w:r>
              <w:rPr>
                <w:rFonts w:hint="eastAsia" w:asciiTheme="minorEastAsia" w:hAnsiTheme="minorEastAsia" w:eastAsiaTheme="minorEastAsia" w:cstheme="minorEastAsia"/>
                <w:color w:val="auto"/>
                <w:kern w:val="0"/>
                <w:sz w:val="21"/>
                <w:szCs w:val="21"/>
                <w:highlight w:val="none"/>
              </w:rPr>
              <w:t>控制柜</w:t>
            </w:r>
          </w:p>
        </w:tc>
        <w:tc>
          <w:tcPr>
            <w:tcW w:w="438" w:type="dxa"/>
            <w:tcBorders>
              <w:top w:val="single" w:color="auto" w:sz="4" w:space="0"/>
              <w:left w:val="single" w:color="auto" w:sz="4" w:space="0"/>
              <w:bottom w:val="single" w:color="auto" w:sz="4" w:space="0"/>
              <w:right w:val="single" w:color="auto" w:sz="4" w:space="0"/>
            </w:tcBorders>
            <w:noWrap w:val="0"/>
            <w:vAlign w:val="center"/>
          </w:tcPr>
          <w:p>
            <w:pPr>
              <w:pStyle w:val="31"/>
              <w:jc w:val="center"/>
              <w:rPr>
                <w:rFonts w:hint="eastAsia"/>
                <w:b/>
                <w:bCs/>
                <w:color w:val="auto"/>
                <w:szCs w:val="21"/>
                <w:highlight w:val="none"/>
              </w:rPr>
            </w:pPr>
            <w:r>
              <w:rPr>
                <w:rFonts w:hint="eastAsia" w:asciiTheme="minorEastAsia" w:hAnsiTheme="minorEastAsia" w:eastAsiaTheme="minorEastAsia" w:cstheme="minorEastAsia"/>
                <w:color w:val="auto"/>
                <w:kern w:val="2"/>
                <w:sz w:val="21"/>
                <w:szCs w:val="21"/>
                <w:highlight w:val="none"/>
                <w:lang w:val="en-US" w:eastAsia="zh-CN" w:bidi="ar-SA"/>
              </w:rPr>
              <w:t>1</w:t>
            </w:r>
          </w:p>
        </w:tc>
        <w:tc>
          <w:tcPr>
            <w:tcW w:w="55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b/>
                <w:bCs/>
                <w:color w:val="auto"/>
                <w:szCs w:val="21"/>
                <w:highlight w:val="none"/>
              </w:rPr>
            </w:pPr>
            <w:r>
              <w:rPr>
                <w:rFonts w:hint="eastAsia" w:asciiTheme="minorEastAsia" w:hAnsiTheme="minorEastAsia" w:eastAsiaTheme="minorEastAsia" w:cstheme="minorEastAsia"/>
                <w:color w:val="auto"/>
                <w:kern w:val="2"/>
                <w:sz w:val="21"/>
                <w:szCs w:val="21"/>
                <w:highlight w:val="none"/>
                <w:lang w:val="en-US" w:eastAsia="zh-CN" w:bidi="ar-SA"/>
              </w:rPr>
              <w:t>套</w:t>
            </w:r>
          </w:p>
        </w:tc>
        <w:tc>
          <w:tcPr>
            <w:tcW w:w="47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lang w:val="en-US" w:eastAsia="zh-CN"/>
              </w:rPr>
              <w:t>★</w:t>
            </w:r>
            <w:r>
              <w:rPr>
                <w:rFonts w:hint="eastAsia" w:asciiTheme="minorEastAsia" w:hAnsiTheme="minorEastAsia" w:eastAsiaTheme="minorEastAsia" w:cstheme="minorEastAsia"/>
                <w:color w:val="auto"/>
                <w:kern w:val="0"/>
                <w:sz w:val="21"/>
                <w:szCs w:val="21"/>
                <w:highlight w:val="none"/>
              </w:rPr>
              <w:t>粉碎型格栅配套一体化泵站控制系统，</w:t>
            </w:r>
            <w:r>
              <w:rPr>
                <w:rFonts w:hint="eastAsia" w:asciiTheme="minorEastAsia" w:hAnsiTheme="minorEastAsia" w:eastAsiaTheme="minorEastAsia" w:cstheme="minorEastAsia"/>
                <w:b/>
                <w:bCs/>
                <w:color w:val="auto"/>
                <w:kern w:val="0"/>
                <w:sz w:val="21"/>
                <w:szCs w:val="21"/>
                <w:highlight w:val="none"/>
              </w:rPr>
              <w:t>兼容</w:t>
            </w:r>
            <w:r>
              <w:rPr>
                <w:rFonts w:hint="eastAsia" w:asciiTheme="minorEastAsia" w:hAnsiTheme="minorEastAsia" w:eastAsiaTheme="minorEastAsia" w:cstheme="minorEastAsia"/>
                <w:color w:val="auto"/>
                <w:kern w:val="0"/>
                <w:sz w:val="21"/>
                <w:szCs w:val="21"/>
                <w:highlight w:val="none"/>
              </w:rPr>
              <w:t>原奥园路污水泵站控制系统</w:t>
            </w:r>
          </w:p>
        </w:tc>
        <w:tc>
          <w:tcPr>
            <w:tcW w:w="1275"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Theme="minorEastAsia" w:hAnsiTheme="minorEastAsia" w:eastAsiaTheme="minorEastAsia" w:cstheme="minorEastAsia"/>
                <w:b w:val="0"/>
                <w:bCs w:val="0"/>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38000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90" w:type="dxa"/>
            <w:tcBorders>
              <w:top w:val="single" w:color="auto" w:sz="4" w:space="0"/>
              <w:left w:val="single" w:color="auto" w:sz="4" w:space="0"/>
              <w:bottom w:val="single" w:color="auto" w:sz="4" w:space="0"/>
              <w:right w:val="single" w:color="auto" w:sz="4" w:space="0"/>
            </w:tcBorders>
            <w:noWrap w:val="0"/>
            <w:vAlign w:val="center"/>
          </w:tcPr>
          <w:p>
            <w:pPr>
              <w:pStyle w:val="31"/>
              <w:jc w:val="center"/>
              <w:rPr>
                <w:rFonts w:hint="eastAsia"/>
                <w:b/>
                <w:bCs/>
                <w:color w:val="auto"/>
                <w:szCs w:val="21"/>
                <w:highlight w:val="none"/>
              </w:rPr>
            </w:pPr>
            <w:r>
              <w:rPr>
                <w:rFonts w:hint="eastAsia" w:asciiTheme="minorEastAsia" w:hAnsiTheme="minorEastAsia" w:eastAsiaTheme="minorEastAsia" w:cstheme="minorEastAsia"/>
                <w:color w:val="auto"/>
                <w:w w:val="99"/>
                <w:sz w:val="21"/>
                <w:szCs w:val="21"/>
                <w:highlight w:val="none"/>
                <w:lang w:val="en-US" w:eastAsia="zh-CN"/>
              </w:rPr>
              <w:t>4</w:t>
            </w:r>
          </w:p>
        </w:tc>
        <w:tc>
          <w:tcPr>
            <w:tcW w:w="1958" w:type="dxa"/>
            <w:gridSpan w:val="2"/>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b/>
                <w:bCs/>
                <w:color w:val="auto"/>
                <w:szCs w:val="21"/>
                <w:highlight w:val="none"/>
              </w:rPr>
            </w:pPr>
            <w:r>
              <w:rPr>
                <w:rFonts w:hint="eastAsia" w:asciiTheme="minorEastAsia" w:hAnsiTheme="minorEastAsia" w:eastAsiaTheme="minorEastAsia" w:cstheme="minorEastAsia"/>
                <w:color w:val="auto"/>
                <w:kern w:val="2"/>
                <w:sz w:val="21"/>
                <w:szCs w:val="21"/>
                <w:lang w:val="en-US" w:eastAsia="zh-CN" w:bidi="ar-SA"/>
              </w:rPr>
              <w:t>除臭系统</w:t>
            </w:r>
          </w:p>
        </w:tc>
        <w:tc>
          <w:tcPr>
            <w:tcW w:w="438" w:type="dxa"/>
            <w:tcBorders>
              <w:top w:val="single" w:color="auto" w:sz="4" w:space="0"/>
              <w:left w:val="single" w:color="auto" w:sz="4" w:space="0"/>
              <w:bottom w:val="single" w:color="auto" w:sz="4" w:space="0"/>
              <w:right w:val="single" w:color="auto" w:sz="4" w:space="0"/>
            </w:tcBorders>
            <w:noWrap w:val="0"/>
            <w:vAlign w:val="center"/>
          </w:tcPr>
          <w:p>
            <w:pPr>
              <w:pStyle w:val="31"/>
              <w:jc w:val="center"/>
              <w:rPr>
                <w:rFonts w:hint="eastAsia"/>
                <w:b/>
                <w:bCs/>
                <w:color w:val="auto"/>
                <w:szCs w:val="21"/>
                <w:highlight w:val="none"/>
              </w:rPr>
            </w:pPr>
            <w:r>
              <w:rPr>
                <w:rFonts w:hint="eastAsia" w:asciiTheme="minorEastAsia" w:hAnsiTheme="minorEastAsia" w:eastAsiaTheme="minorEastAsia" w:cstheme="minorEastAsia"/>
                <w:color w:val="auto"/>
                <w:kern w:val="2"/>
                <w:sz w:val="21"/>
                <w:szCs w:val="21"/>
                <w:lang w:val="en-US" w:eastAsia="zh-CN" w:bidi="ar-SA"/>
              </w:rPr>
              <w:t>1</w:t>
            </w:r>
          </w:p>
        </w:tc>
        <w:tc>
          <w:tcPr>
            <w:tcW w:w="55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b/>
                <w:bCs/>
                <w:color w:val="auto"/>
                <w:szCs w:val="21"/>
                <w:highlight w:val="none"/>
              </w:rPr>
            </w:pPr>
            <w:r>
              <w:rPr>
                <w:rFonts w:hint="eastAsia" w:ascii="黑体" w:hAnsi="黑体" w:eastAsia="黑体" w:cs="黑体"/>
                <w:color w:val="auto"/>
                <w:szCs w:val="21"/>
              </w:rPr>
              <w:t>套</w:t>
            </w:r>
          </w:p>
        </w:tc>
        <w:tc>
          <w:tcPr>
            <w:tcW w:w="47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Theme="minorEastAsia" w:hAnsiTheme="minorEastAsia" w:eastAsiaTheme="minorEastAsia" w:cstheme="minorEastAsia"/>
                <w:b w:val="0"/>
                <w:bCs w:val="0"/>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风量：5000-8100 m</w:t>
            </w:r>
            <w:r>
              <w:rPr>
                <w:rFonts w:hint="eastAsia" w:asciiTheme="minorEastAsia" w:hAnsiTheme="minorEastAsia" w:eastAsiaTheme="minorEastAsia" w:cstheme="minorEastAsia"/>
                <w:b w:val="0"/>
                <w:bCs w:val="0"/>
                <w:color w:val="auto"/>
                <w:sz w:val="21"/>
                <w:szCs w:val="21"/>
                <w:highlight w:val="none"/>
                <w:vertAlign w:val="superscript"/>
                <w:lang w:val="en-US" w:eastAsia="zh-CN"/>
              </w:rPr>
              <w:t>3</w:t>
            </w:r>
            <w:r>
              <w:rPr>
                <w:rFonts w:hint="eastAsia" w:asciiTheme="minorEastAsia" w:hAnsiTheme="minorEastAsia" w:eastAsiaTheme="minorEastAsia" w:cstheme="minorEastAsia"/>
                <w:b w:val="0"/>
                <w:bCs w:val="0"/>
                <w:color w:val="auto"/>
                <w:sz w:val="21"/>
                <w:szCs w:val="21"/>
                <w:highlight w:val="none"/>
                <w:lang w:val="en-US" w:eastAsia="zh-CN"/>
              </w:rPr>
              <w:t>/h</w:t>
            </w:r>
          </w:p>
          <w:p>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Theme="minorEastAsia" w:hAnsiTheme="minorEastAsia" w:eastAsiaTheme="minorEastAsia" w:cstheme="minorEastAsia"/>
                <w:b w:val="0"/>
                <w:bCs w:val="0"/>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压力：1200-2000 Pa</w:t>
            </w:r>
          </w:p>
          <w:p>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Theme="minorEastAsia" w:hAnsiTheme="minorEastAsia" w:eastAsiaTheme="minorEastAsia" w:cstheme="minorEastAsia"/>
                <w:b w:val="0"/>
                <w:bCs w:val="0"/>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转速：2900r/min</w:t>
            </w:r>
          </w:p>
          <w:p>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Theme="minorEastAsia" w:hAnsiTheme="minorEastAsia" w:eastAsiaTheme="minorEastAsia" w:cstheme="minorEastAsia"/>
                <w:b w:val="0"/>
                <w:bCs w:val="0"/>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尺寸：约800*800*1100mm</w:t>
            </w:r>
          </w:p>
          <w:p>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处理废气量：≥5000m³/h</w:t>
            </w:r>
          </w:p>
        </w:tc>
        <w:tc>
          <w:tcPr>
            <w:tcW w:w="1275"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Theme="minorEastAsia" w:hAnsiTheme="minorEastAsia" w:eastAsiaTheme="minorEastAsia" w:cstheme="minorEastAsia"/>
                <w:b w:val="0"/>
                <w:bCs w:val="0"/>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115800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690" w:type="dxa"/>
            <w:tcBorders>
              <w:top w:val="single" w:color="auto" w:sz="4" w:space="0"/>
              <w:left w:val="single" w:color="auto" w:sz="4" w:space="0"/>
              <w:bottom w:val="single" w:color="auto" w:sz="4" w:space="0"/>
              <w:right w:val="single" w:color="auto" w:sz="4" w:space="0"/>
            </w:tcBorders>
            <w:noWrap w:val="0"/>
            <w:vAlign w:val="center"/>
          </w:tcPr>
          <w:p>
            <w:pPr>
              <w:pStyle w:val="31"/>
              <w:jc w:val="center"/>
              <w:rPr>
                <w:rFonts w:hint="eastAsia"/>
                <w:b/>
                <w:bCs/>
                <w:color w:val="auto"/>
                <w:szCs w:val="21"/>
                <w:highlight w:val="none"/>
              </w:rPr>
            </w:pPr>
            <w:r>
              <w:rPr>
                <w:rFonts w:hint="eastAsia" w:asciiTheme="minorEastAsia" w:hAnsiTheme="minorEastAsia" w:eastAsiaTheme="minorEastAsia" w:cstheme="minorEastAsia"/>
                <w:color w:val="auto"/>
                <w:w w:val="99"/>
                <w:sz w:val="21"/>
                <w:szCs w:val="21"/>
                <w:highlight w:val="none"/>
                <w:lang w:val="en-US" w:eastAsia="zh-CN"/>
              </w:rPr>
              <w:t>5</w:t>
            </w:r>
          </w:p>
        </w:tc>
        <w:tc>
          <w:tcPr>
            <w:tcW w:w="1958" w:type="dxa"/>
            <w:gridSpan w:val="2"/>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b/>
                <w:bCs/>
                <w:color w:val="auto"/>
                <w:szCs w:val="21"/>
                <w:highlight w:val="none"/>
              </w:rPr>
            </w:pPr>
            <w:r>
              <w:rPr>
                <w:rFonts w:hint="eastAsia" w:asciiTheme="minorEastAsia" w:hAnsiTheme="minorEastAsia" w:eastAsiaTheme="minorEastAsia" w:cstheme="minorEastAsia"/>
                <w:color w:val="auto"/>
                <w:kern w:val="2"/>
                <w:sz w:val="21"/>
                <w:szCs w:val="21"/>
                <w:lang w:val="en-US" w:eastAsia="zh-CN" w:bidi="ar-SA"/>
              </w:rPr>
              <w:t>自动化控制系统</w:t>
            </w:r>
          </w:p>
        </w:tc>
        <w:tc>
          <w:tcPr>
            <w:tcW w:w="438" w:type="dxa"/>
            <w:tcBorders>
              <w:top w:val="single" w:color="auto" w:sz="4" w:space="0"/>
              <w:left w:val="single" w:color="auto" w:sz="4" w:space="0"/>
              <w:bottom w:val="single" w:color="auto" w:sz="4" w:space="0"/>
              <w:right w:val="single" w:color="auto" w:sz="4" w:space="0"/>
            </w:tcBorders>
            <w:noWrap w:val="0"/>
            <w:vAlign w:val="center"/>
          </w:tcPr>
          <w:p>
            <w:pPr>
              <w:pStyle w:val="31"/>
              <w:jc w:val="center"/>
              <w:rPr>
                <w:rFonts w:hint="eastAsia"/>
                <w:b/>
                <w:bCs/>
                <w:color w:val="auto"/>
                <w:szCs w:val="21"/>
                <w:highlight w:val="none"/>
              </w:rPr>
            </w:pPr>
            <w:r>
              <w:rPr>
                <w:rFonts w:hint="eastAsia" w:asciiTheme="minorEastAsia" w:hAnsiTheme="minorEastAsia" w:eastAsiaTheme="minorEastAsia" w:cstheme="minorEastAsia"/>
                <w:color w:val="auto"/>
                <w:kern w:val="2"/>
                <w:sz w:val="21"/>
                <w:szCs w:val="21"/>
                <w:lang w:val="en-US" w:eastAsia="zh-CN" w:bidi="ar-SA"/>
              </w:rPr>
              <w:t>1</w:t>
            </w:r>
          </w:p>
        </w:tc>
        <w:tc>
          <w:tcPr>
            <w:tcW w:w="55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b/>
                <w:bCs/>
                <w:color w:val="auto"/>
                <w:szCs w:val="21"/>
                <w:highlight w:val="none"/>
              </w:rPr>
            </w:pPr>
            <w:r>
              <w:rPr>
                <w:rFonts w:hint="eastAsia" w:ascii="黑体" w:hAnsi="黑体" w:eastAsia="黑体" w:cs="黑体"/>
                <w:color w:val="auto"/>
                <w:szCs w:val="21"/>
              </w:rPr>
              <w:t>套</w:t>
            </w:r>
          </w:p>
        </w:tc>
        <w:tc>
          <w:tcPr>
            <w:tcW w:w="47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color w:val="auto"/>
                <w:kern w:val="2"/>
                <w:sz w:val="21"/>
                <w:szCs w:val="21"/>
                <w:lang w:val="en-US" w:eastAsia="zh-CN" w:bidi="ar-SA"/>
              </w:rPr>
              <w:t>除臭系统配套控制系统，</w:t>
            </w:r>
            <w:r>
              <w:rPr>
                <w:rFonts w:hint="eastAsia" w:asciiTheme="minorEastAsia" w:hAnsiTheme="minorEastAsia" w:eastAsiaTheme="minorEastAsia" w:cstheme="minorEastAsia"/>
                <w:b w:val="0"/>
                <w:bCs w:val="0"/>
                <w:color w:val="auto"/>
                <w:sz w:val="21"/>
                <w:szCs w:val="21"/>
                <w:highlight w:val="none"/>
                <w:lang w:val="en-US" w:eastAsia="zh-CN"/>
              </w:rPr>
              <w:t>箱体尺寸：约50*60*25cm</w:t>
            </w:r>
          </w:p>
        </w:tc>
        <w:tc>
          <w:tcPr>
            <w:tcW w:w="1275"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Theme="minorEastAsia" w:hAnsiTheme="minorEastAsia" w:eastAsiaTheme="minorEastAsia" w:cstheme="minorEastAsia"/>
                <w:b w:val="0"/>
                <w:bCs w:val="0"/>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18700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690" w:type="dxa"/>
            <w:tcBorders>
              <w:top w:val="single" w:color="auto" w:sz="4" w:space="0"/>
              <w:left w:val="single" w:color="auto" w:sz="4" w:space="0"/>
              <w:bottom w:val="single" w:color="auto" w:sz="4" w:space="0"/>
              <w:right w:val="single" w:color="auto" w:sz="4" w:space="0"/>
            </w:tcBorders>
            <w:noWrap w:val="0"/>
            <w:vAlign w:val="center"/>
          </w:tcPr>
          <w:p>
            <w:pPr>
              <w:pStyle w:val="31"/>
              <w:jc w:val="center"/>
              <w:rPr>
                <w:rFonts w:hint="eastAsia"/>
                <w:b/>
                <w:bCs/>
                <w:color w:val="auto"/>
                <w:sz w:val="21"/>
                <w:szCs w:val="21"/>
                <w:highlight w:val="none"/>
              </w:rPr>
            </w:pPr>
            <w:r>
              <w:rPr>
                <w:rFonts w:hint="eastAsia" w:asciiTheme="minorEastAsia" w:hAnsiTheme="minorEastAsia" w:eastAsiaTheme="minorEastAsia" w:cstheme="minorEastAsia"/>
                <w:color w:val="auto"/>
                <w:w w:val="99"/>
                <w:sz w:val="21"/>
                <w:szCs w:val="21"/>
                <w:highlight w:val="none"/>
                <w:lang w:val="en-US" w:eastAsia="zh-CN"/>
              </w:rPr>
              <w:t>6</w:t>
            </w:r>
          </w:p>
        </w:tc>
        <w:tc>
          <w:tcPr>
            <w:tcW w:w="1958" w:type="dxa"/>
            <w:gridSpan w:val="2"/>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b/>
                <w:bCs/>
                <w:color w:val="auto"/>
                <w:sz w:val="21"/>
                <w:szCs w:val="21"/>
                <w:highlight w:val="none"/>
              </w:rPr>
            </w:pPr>
            <w:r>
              <w:rPr>
                <w:rFonts w:hint="eastAsia" w:asciiTheme="minorEastAsia" w:hAnsiTheme="minorEastAsia" w:eastAsiaTheme="minorEastAsia" w:cstheme="minorEastAsia"/>
                <w:color w:val="auto"/>
                <w:kern w:val="2"/>
                <w:sz w:val="21"/>
                <w:szCs w:val="21"/>
                <w:lang w:val="en-US" w:eastAsia="zh-CN" w:bidi="ar-SA"/>
              </w:rPr>
              <w:t>高分子自制除臭滤料</w:t>
            </w:r>
          </w:p>
        </w:tc>
        <w:tc>
          <w:tcPr>
            <w:tcW w:w="438"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both"/>
              <w:rPr>
                <w:rFonts w:hint="eastAsia" w:asciiTheme="minorEastAsia" w:hAnsiTheme="minorEastAsia" w:eastAsiaTheme="minorEastAsia" w:cstheme="minorEastAsia"/>
                <w:b w:val="0"/>
                <w:bCs w:val="0"/>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39</w:t>
            </w:r>
          </w:p>
        </w:tc>
        <w:tc>
          <w:tcPr>
            <w:tcW w:w="55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both"/>
              <w:rPr>
                <w:rFonts w:hint="eastAsia" w:asciiTheme="minorEastAsia" w:hAnsiTheme="minorEastAsia" w:eastAsiaTheme="minorEastAsia" w:cstheme="minorEastAsia"/>
                <w:b w:val="0"/>
                <w:bCs w:val="0"/>
                <w:color w:val="auto"/>
                <w:sz w:val="21"/>
                <w:szCs w:val="21"/>
                <w:highlight w:val="none"/>
                <w:lang w:eastAsia="zh-CN"/>
              </w:rPr>
            </w:pPr>
            <w:r>
              <w:rPr>
                <w:rFonts w:hint="eastAsia" w:asciiTheme="minorEastAsia" w:hAnsiTheme="minorEastAsia" w:eastAsiaTheme="minorEastAsia" w:cstheme="minorEastAsia"/>
                <w:b w:val="0"/>
                <w:bCs w:val="0"/>
                <w:color w:val="auto"/>
                <w:sz w:val="21"/>
                <w:szCs w:val="21"/>
                <w:highlight w:val="none"/>
                <w:lang w:eastAsia="zh-CN"/>
              </w:rPr>
              <w:t>立方</w:t>
            </w:r>
          </w:p>
        </w:tc>
        <w:tc>
          <w:tcPr>
            <w:tcW w:w="47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粒径5~10cm，含特质高效除臭菌种</w:t>
            </w:r>
          </w:p>
        </w:tc>
        <w:tc>
          <w:tcPr>
            <w:tcW w:w="1275"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Theme="minorEastAsia" w:hAnsiTheme="minorEastAsia" w:eastAsiaTheme="minorEastAsia" w:cstheme="minorEastAsia"/>
                <w:b w:val="0"/>
                <w:bCs w:val="0"/>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3100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90" w:type="dxa"/>
            <w:tcBorders>
              <w:top w:val="single" w:color="auto" w:sz="4" w:space="0"/>
              <w:left w:val="single" w:color="auto" w:sz="4" w:space="0"/>
              <w:bottom w:val="single" w:color="auto" w:sz="4" w:space="0"/>
              <w:right w:val="single" w:color="auto" w:sz="4" w:space="0"/>
            </w:tcBorders>
            <w:noWrap w:val="0"/>
            <w:vAlign w:val="center"/>
          </w:tcPr>
          <w:p>
            <w:pPr>
              <w:pStyle w:val="31"/>
              <w:jc w:val="center"/>
              <w:rPr>
                <w:rFonts w:hint="eastAsia"/>
                <w:b/>
                <w:bCs/>
                <w:color w:val="auto"/>
                <w:szCs w:val="21"/>
                <w:highlight w:val="none"/>
              </w:rPr>
            </w:pPr>
            <w:r>
              <w:rPr>
                <w:rFonts w:hint="eastAsia" w:asciiTheme="minorEastAsia" w:hAnsiTheme="minorEastAsia" w:eastAsiaTheme="minorEastAsia" w:cstheme="minorEastAsia"/>
                <w:color w:val="auto"/>
                <w:w w:val="99"/>
                <w:sz w:val="21"/>
                <w:szCs w:val="21"/>
                <w:highlight w:val="none"/>
                <w:lang w:val="en-US" w:eastAsia="zh-CN"/>
              </w:rPr>
              <w:t>7</w:t>
            </w:r>
          </w:p>
        </w:tc>
        <w:tc>
          <w:tcPr>
            <w:tcW w:w="1958" w:type="dxa"/>
            <w:gridSpan w:val="2"/>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b/>
                <w:bCs/>
                <w:color w:val="auto"/>
                <w:szCs w:val="21"/>
                <w:highlight w:val="none"/>
              </w:rPr>
            </w:pPr>
            <w:r>
              <w:rPr>
                <w:rFonts w:hint="eastAsia" w:asciiTheme="minorEastAsia" w:hAnsiTheme="minorEastAsia" w:eastAsiaTheme="minorEastAsia" w:cstheme="minorEastAsia"/>
                <w:color w:val="auto"/>
                <w:kern w:val="2"/>
                <w:sz w:val="21"/>
                <w:szCs w:val="21"/>
                <w:lang w:val="en-US" w:eastAsia="zh-CN" w:bidi="ar-SA"/>
              </w:rPr>
              <w:t>管道配件PVC</w:t>
            </w:r>
          </w:p>
        </w:tc>
        <w:tc>
          <w:tcPr>
            <w:tcW w:w="438"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Theme="minorEastAsia" w:hAnsiTheme="minorEastAsia" w:eastAsiaTheme="minorEastAsia" w:cstheme="minorEastAsia"/>
                <w:b w:val="0"/>
                <w:bCs w:val="0"/>
                <w:color w:val="auto"/>
                <w:szCs w:val="21"/>
                <w:highlight w:val="none"/>
                <w:lang w:val="en-US" w:eastAsia="zh-CN"/>
              </w:rPr>
            </w:pPr>
            <w:r>
              <w:rPr>
                <w:rFonts w:hint="eastAsia" w:asciiTheme="minorEastAsia" w:hAnsiTheme="minorEastAsia" w:eastAsiaTheme="minorEastAsia" w:cstheme="minorEastAsia"/>
                <w:b w:val="0"/>
                <w:bCs w:val="0"/>
                <w:color w:val="auto"/>
                <w:szCs w:val="21"/>
                <w:highlight w:val="none"/>
                <w:lang w:val="en-US" w:eastAsia="zh-CN"/>
              </w:rPr>
              <w:t>1</w:t>
            </w:r>
          </w:p>
        </w:tc>
        <w:tc>
          <w:tcPr>
            <w:tcW w:w="55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Theme="minorEastAsia" w:hAnsiTheme="minorEastAsia" w:eastAsiaTheme="minorEastAsia" w:cstheme="minorEastAsia"/>
                <w:b w:val="0"/>
                <w:bCs w:val="0"/>
                <w:color w:val="auto"/>
                <w:szCs w:val="21"/>
                <w:highlight w:val="none"/>
                <w:lang w:eastAsia="zh-CN"/>
              </w:rPr>
            </w:pPr>
            <w:r>
              <w:rPr>
                <w:rFonts w:hint="eastAsia" w:asciiTheme="minorEastAsia" w:hAnsiTheme="minorEastAsia" w:eastAsiaTheme="minorEastAsia" w:cstheme="minorEastAsia"/>
                <w:b w:val="0"/>
                <w:bCs w:val="0"/>
                <w:color w:val="auto"/>
                <w:szCs w:val="21"/>
                <w:highlight w:val="none"/>
                <w:lang w:eastAsia="zh-CN"/>
              </w:rPr>
              <w:t>批</w:t>
            </w:r>
          </w:p>
        </w:tc>
        <w:tc>
          <w:tcPr>
            <w:tcW w:w="47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color w:val="auto"/>
                <w:lang w:val="en-US" w:eastAsia="zh-CN"/>
              </w:rPr>
            </w:pPr>
            <w:r>
              <w:rPr>
                <w:rFonts w:hint="eastAsia"/>
                <w:color w:val="auto"/>
                <w:lang w:val="en-US" w:eastAsia="zh-CN"/>
              </w:rPr>
              <w:t>抽风管道：（管道尺寸：DN300）</w:t>
            </w:r>
          </w:p>
          <w:p>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color w:val="auto"/>
                <w:lang w:val="en-US" w:eastAsia="zh-CN"/>
              </w:rPr>
            </w:pPr>
            <w:r>
              <w:rPr>
                <w:rFonts w:hint="eastAsia"/>
                <w:color w:val="auto"/>
                <w:lang w:val="en-US" w:eastAsia="zh-CN"/>
              </w:rPr>
              <w:t>布气系统：（管道尺寸：DN300）</w:t>
            </w:r>
          </w:p>
          <w:p>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color w:val="auto"/>
                <w:lang w:val="en-US" w:eastAsia="zh-CN"/>
              </w:rPr>
            </w:pPr>
            <w:r>
              <w:rPr>
                <w:rFonts w:hint="eastAsia"/>
                <w:color w:val="auto"/>
                <w:lang w:val="en-US" w:eastAsia="zh-CN"/>
              </w:rPr>
              <w:t>喷淋系统（管道尺寸：DN32）</w:t>
            </w:r>
          </w:p>
        </w:tc>
        <w:tc>
          <w:tcPr>
            <w:tcW w:w="1275"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default" w:asciiTheme="minorEastAsia" w:hAnsiTheme="minorEastAsia" w:eastAsiaTheme="minorEastAsia" w:cstheme="minorEastAsia"/>
                <w:b w:val="0"/>
                <w:bCs w:val="0"/>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21000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9644"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40" w:lineRule="exact"/>
              <w:ind w:left="42" w:leftChars="20"/>
              <w:jc w:val="center"/>
              <w:textAlignment w:val="auto"/>
              <w:rPr>
                <w:rFonts w:hint="eastAsia" w:asciiTheme="minorEastAsia" w:hAnsiTheme="minorEastAsia" w:eastAsiaTheme="minorEastAsia" w:cstheme="minorEastAsia"/>
                <w:b/>
                <w:bCs/>
                <w:color w:val="auto"/>
                <w:kern w:val="0"/>
                <w:sz w:val="21"/>
                <w:szCs w:val="21"/>
                <w:highlight w:val="none"/>
              </w:rPr>
            </w:pPr>
            <w:r>
              <w:rPr>
                <w:rFonts w:hint="eastAsia" w:asciiTheme="minorEastAsia" w:hAnsiTheme="minorEastAsia" w:eastAsiaTheme="minorEastAsia" w:cstheme="minorEastAsia"/>
                <w:b/>
                <w:bCs/>
                <w:color w:val="auto"/>
                <w:kern w:val="0"/>
                <w:sz w:val="32"/>
                <w:szCs w:val="32"/>
                <w:highlight w:val="none"/>
              </w:rPr>
              <w:t>商务要求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295"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40" w:lineRule="exact"/>
              <w:ind w:left="42" w:leftChars="20"/>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售后服务及免费保修期</w:t>
            </w:r>
          </w:p>
        </w:tc>
        <w:tc>
          <w:tcPr>
            <w:tcW w:w="8349" w:type="dxa"/>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40" w:lineRule="exact"/>
              <w:ind w:left="42" w:leftChars="2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一、免费送货上门，免费安装调试合格，免费技术培训。按国家有关产品三包规定执行“三包”，整体免费质保期不少于</w:t>
            </w:r>
            <w:r>
              <w:rPr>
                <w:rFonts w:hint="eastAsia" w:asciiTheme="minorEastAsia" w:hAnsiTheme="minorEastAsia" w:eastAsiaTheme="minorEastAsia" w:cstheme="minorEastAsia"/>
                <w:color w:val="auto"/>
                <w:kern w:val="0"/>
                <w:sz w:val="21"/>
                <w:szCs w:val="21"/>
                <w:highlight w:val="none"/>
                <w:lang w:val="en-US" w:eastAsia="zh-CN"/>
              </w:rPr>
              <w:t>1</w:t>
            </w:r>
            <w:r>
              <w:rPr>
                <w:rFonts w:hint="eastAsia" w:asciiTheme="minorEastAsia" w:hAnsiTheme="minorEastAsia" w:eastAsiaTheme="minorEastAsia" w:cstheme="minorEastAsia"/>
                <w:color w:val="auto"/>
                <w:kern w:val="0"/>
                <w:sz w:val="21"/>
                <w:szCs w:val="21"/>
                <w:highlight w:val="none"/>
              </w:rPr>
              <w:t>年</w:t>
            </w:r>
            <w:r>
              <w:rPr>
                <w:rFonts w:hint="eastAsia" w:asciiTheme="minorEastAsia" w:hAnsiTheme="minorEastAsia" w:eastAsiaTheme="minorEastAsia" w:cstheme="minorEastAsia"/>
                <w:color w:val="auto"/>
                <w:kern w:val="0"/>
                <w:sz w:val="21"/>
                <w:szCs w:val="21"/>
                <w:highlight w:val="none"/>
                <w:lang w:eastAsia="zh-CN"/>
              </w:rPr>
              <w:t>，货物采购需求另有规定的按采购需求中规定执行</w:t>
            </w:r>
            <w:r>
              <w:rPr>
                <w:rFonts w:hint="eastAsia" w:asciiTheme="minorEastAsia" w:hAnsiTheme="minorEastAsia" w:eastAsiaTheme="minorEastAsia" w:cstheme="minorEastAsia"/>
                <w:color w:val="auto"/>
                <w:kern w:val="0"/>
                <w:sz w:val="21"/>
                <w:szCs w:val="21"/>
                <w:highlight w:val="none"/>
              </w:rPr>
              <w:t>。</w:t>
            </w:r>
          </w:p>
          <w:p>
            <w:pPr>
              <w:keepNext w:val="0"/>
              <w:keepLines w:val="0"/>
              <w:pageBreakBefore w:val="0"/>
              <w:widowControl w:val="0"/>
              <w:kinsoku/>
              <w:wordWrap/>
              <w:overflowPunct/>
              <w:topLinePunct w:val="0"/>
              <w:autoSpaceDE/>
              <w:autoSpaceDN/>
              <w:bidi w:val="0"/>
              <w:adjustRightInd w:val="0"/>
              <w:snapToGrid/>
              <w:spacing w:line="340" w:lineRule="exact"/>
              <w:ind w:left="42" w:leftChars="2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二、售后服务的内容和措施</w:t>
            </w:r>
          </w:p>
          <w:p>
            <w:pPr>
              <w:keepNext w:val="0"/>
              <w:keepLines w:val="0"/>
              <w:pageBreakBefore w:val="0"/>
              <w:widowControl w:val="0"/>
              <w:kinsoku/>
              <w:wordWrap/>
              <w:overflowPunct/>
              <w:topLinePunct w:val="0"/>
              <w:autoSpaceDE/>
              <w:autoSpaceDN/>
              <w:bidi w:val="0"/>
              <w:adjustRightInd w:val="0"/>
              <w:snapToGrid/>
              <w:spacing w:line="340" w:lineRule="exact"/>
              <w:ind w:left="42" w:leftChars="2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1、在使用过程中若产品发生质量问题或故障，在接到采购人通知后1个小时内响应，6小时内到达故障现场处理，一般故障处理时限不超过24小时修复。</w:t>
            </w:r>
          </w:p>
          <w:p>
            <w:pPr>
              <w:keepNext w:val="0"/>
              <w:keepLines w:val="0"/>
              <w:pageBreakBefore w:val="0"/>
              <w:widowControl w:val="0"/>
              <w:kinsoku/>
              <w:wordWrap/>
              <w:overflowPunct/>
              <w:topLinePunct w:val="0"/>
              <w:autoSpaceDE/>
              <w:autoSpaceDN/>
              <w:bidi w:val="0"/>
              <w:adjustRightInd w:val="0"/>
              <w:snapToGrid/>
              <w:spacing w:line="340" w:lineRule="exact"/>
              <w:ind w:left="42" w:leftChars="2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2、重大故障处理时限不超过48小时修复，若72小时内不能修复，必须提供同档次的设备给采购方使用。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295"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40" w:lineRule="exact"/>
              <w:ind w:left="42" w:leftChars="20"/>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交付使用时间</w:t>
            </w:r>
          </w:p>
          <w:p>
            <w:pPr>
              <w:keepNext w:val="0"/>
              <w:keepLines w:val="0"/>
              <w:pageBreakBefore w:val="0"/>
              <w:widowControl w:val="0"/>
              <w:kinsoku/>
              <w:wordWrap/>
              <w:overflowPunct/>
              <w:topLinePunct w:val="0"/>
              <w:autoSpaceDE/>
              <w:autoSpaceDN/>
              <w:bidi w:val="0"/>
              <w:adjustRightInd w:val="0"/>
              <w:snapToGrid/>
              <w:spacing w:line="340" w:lineRule="exact"/>
              <w:ind w:left="42" w:leftChars="20"/>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及地点</w:t>
            </w:r>
          </w:p>
        </w:tc>
        <w:tc>
          <w:tcPr>
            <w:tcW w:w="8349" w:type="dxa"/>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40" w:lineRule="exact"/>
              <w:ind w:left="42" w:leftChars="2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sz w:val="21"/>
                <w:szCs w:val="21"/>
                <w:highlight w:val="none"/>
              </w:rPr>
              <w:t>1、交付时间：</w:t>
            </w:r>
            <w:r>
              <w:rPr>
                <w:rFonts w:hint="eastAsia" w:asciiTheme="minorEastAsia" w:hAnsiTheme="minorEastAsia" w:eastAsiaTheme="minorEastAsia" w:cstheme="minorEastAsia"/>
                <w:color w:val="auto"/>
                <w:kern w:val="0"/>
                <w:sz w:val="21"/>
                <w:szCs w:val="21"/>
                <w:highlight w:val="none"/>
              </w:rPr>
              <w:t>自签订合同之日起</w:t>
            </w:r>
            <w:r>
              <w:rPr>
                <w:rFonts w:hint="eastAsia" w:asciiTheme="minorEastAsia" w:hAnsiTheme="minorEastAsia" w:eastAsiaTheme="minorEastAsia" w:cstheme="minorEastAsia"/>
                <w:color w:val="auto"/>
                <w:kern w:val="0"/>
                <w:sz w:val="21"/>
                <w:szCs w:val="21"/>
                <w:highlight w:val="none"/>
                <w:lang w:val="en-US" w:eastAsia="zh-CN"/>
              </w:rPr>
              <w:t>45</w:t>
            </w:r>
            <w:r>
              <w:rPr>
                <w:rFonts w:hint="eastAsia" w:asciiTheme="minorEastAsia" w:hAnsiTheme="minorEastAsia" w:eastAsiaTheme="minorEastAsia" w:cstheme="minorEastAsia"/>
                <w:color w:val="auto"/>
                <w:kern w:val="0"/>
                <w:sz w:val="21"/>
                <w:szCs w:val="21"/>
                <w:highlight w:val="none"/>
              </w:rPr>
              <w:t>日内安装调试并交付使用；延迟交货供应商应承担相应的责任。</w:t>
            </w:r>
          </w:p>
          <w:p>
            <w:pPr>
              <w:keepNext w:val="0"/>
              <w:keepLines w:val="0"/>
              <w:pageBreakBefore w:val="0"/>
              <w:widowControl w:val="0"/>
              <w:kinsoku/>
              <w:wordWrap/>
              <w:overflowPunct/>
              <w:topLinePunct w:val="0"/>
              <w:autoSpaceDE/>
              <w:autoSpaceDN/>
              <w:bidi w:val="0"/>
              <w:adjustRightInd w:val="0"/>
              <w:snapToGrid/>
              <w:spacing w:line="340" w:lineRule="exact"/>
              <w:ind w:left="42" w:leftChars="2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2、交付地点：采购人指定地点。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295"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40" w:lineRule="exact"/>
              <w:ind w:left="42" w:leftChars="20"/>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付款方式</w:t>
            </w:r>
          </w:p>
        </w:tc>
        <w:tc>
          <w:tcPr>
            <w:tcW w:w="8349" w:type="dxa"/>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40" w:lineRule="exact"/>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自产品验收合格交付使用之日起30日内</w:t>
            </w:r>
            <w:r>
              <w:rPr>
                <w:rFonts w:hint="eastAsia" w:asciiTheme="minorEastAsia" w:hAnsiTheme="minorEastAsia" w:eastAsiaTheme="minorEastAsia" w:cstheme="minorEastAsia"/>
                <w:color w:val="auto"/>
                <w:sz w:val="21"/>
                <w:szCs w:val="21"/>
                <w:highlight w:val="none"/>
                <w:lang w:eastAsia="zh-CN"/>
              </w:rPr>
              <w:t>一次性</w:t>
            </w:r>
            <w:r>
              <w:rPr>
                <w:rFonts w:hint="eastAsia" w:asciiTheme="minorEastAsia" w:hAnsiTheme="minorEastAsia" w:eastAsiaTheme="minorEastAsia" w:cstheme="minorEastAsia"/>
                <w:color w:val="auto"/>
                <w:sz w:val="21"/>
                <w:szCs w:val="21"/>
                <w:highlight w:val="none"/>
              </w:rPr>
              <w:t>付清(无息）。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295"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exact"/>
              <w:jc w:val="both"/>
              <w:textAlignment w:val="auto"/>
              <w:rPr>
                <w:rFonts w:hint="eastAsia" w:ascii="宋体" w:hAnsi="宋体" w:cs="宋体"/>
                <w:color w:val="auto"/>
                <w:kern w:val="0"/>
                <w:sz w:val="21"/>
                <w:szCs w:val="21"/>
                <w:highlight w:val="none"/>
              </w:rPr>
            </w:pPr>
          </w:p>
          <w:p>
            <w:pPr>
              <w:keepNext w:val="0"/>
              <w:keepLines w:val="0"/>
              <w:pageBreakBefore w:val="0"/>
              <w:widowControl w:val="0"/>
              <w:kinsoku/>
              <w:wordWrap/>
              <w:overflowPunct/>
              <w:topLinePunct w:val="0"/>
              <w:autoSpaceDE/>
              <w:autoSpaceDN/>
              <w:bidi w:val="0"/>
              <w:adjustRightInd w:val="0"/>
              <w:snapToGrid/>
              <w:spacing w:line="360" w:lineRule="exact"/>
              <w:ind w:left="42" w:leftChars="20"/>
              <w:textAlignment w:val="auto"/>
              <w:rPr>
                <w:rFonts w:hint="eastAsia" w:ascii="宋体" w:hAnsi="宋体" w:cs="宋体"/>
                <w:color w:val="auto"/>
                <w:kern w:val="0"/>
                <w:sz w:val="21"/>
                <w:szCs w:val="21"/>
                <w:highlight w:val="none"/>
              </w:rPr>
            </w:pPr>
          </w:p>
          <w:p>
            <w:pPr>
              <w:keepNext w:val="0"/>
              <w:keepLines w:val="0"/>
              <w:pageBreakBefore w:val="0"/>
              <w:widowControl w:val="0"/>
              <w:kinsoku/>
              <w:wordWrap/>
              <w:overflowPunct/>
              <w:topLinePunct w:val="0"/>
              <w:autoSpaceDE/>
              <w:autoSpaceDN/>
              <w:bidi w:val="0"/>
              <w:adjustRightInd w:val="0"/>
              <w:snapToGrid/>
              <w:spacing w:line="360" w:lineRule="exact"/>
              <w:ind w:left="42" w:leftChars="20"/>
              <w:jc w:val="center"/>
              <w:textAlignment w:val="auto"/>
              <w:rPr>
                <w:rFonts w:hint="eastAsia" w:ascii="宋体" w:hAnsi="宋体" w:cs="宋体"/>
                <w:color w:val="auto"/>
                <w:sz w:val="21"/>
                <w:szCs w:val="21"/>
                <w:highlight w:val="none"/>
              </w:rPr>
            </w:pPr>
            <w:r>
              <w:rPr>
                <w:rFonts w:hint="eastAsia" w:ascii="宋体" w:hAnsi="宋体" w:cs="宋体"/>
                <w:color w:val="auto"/>
                <w:kern w:val="0"/>
                <w:sz w:val="21"/>
                <w:szCs w:val="21"/>
                <w:highlight w:val="none"/>
              </w:rPr>
              <w:t>其他要求</w:t>
            </w:r>
          </w:p>
          <w:p>
            <w:pPr>
              <w:pStyle w:val="29"/>
              <w:keepNext w:val="0"/>
              <w:keepLines w:val="0"/>
              <w:pageBreakBefore w:val="0"/>
              <w:widowControl w:val="0"/>
              <w:kinsoku/>
              <w:wordWrap/>
              <w:overflowPunct/>
              <w:topLinePunct w:val="0"/>
              <w:autoSpaceDE/>
              <w:autoSpaceDN/>
              <w:bidi w:val="0"/>
              <w:snapToGrid/>
              <w:spacing w:line="360" w:lineRule="exact"/>
              <w:ind w:left="42" w:leftChars="20"/>
              <w:textAlignment w:val="auto"/>
              <w:rPr>
                <w:rFonts w:hint="eastAsia" w:ascii="宋体" w:hAnsi="宋体" w:eastAsia="宋体" w:cs="宋体"/>
                <w:bCs/>
                <w:color w:val="auto"/>
                <w:spacing w:val="10"/>
                <w:kern w:val="0"/>
                <w:sz w:val="21"/>
                <w:szCs w:val="21"/>
                <w:highlight w:val="none"/>
                <w:lang w:val="en-US" w:eastAsia="zh-CN" w:bidi="ar-SA"/>
              </w:rPr>
            </w:pPr>
          </w:p>
        </w:tc>
        <w:tc>
          <w:tcPr>
            <w:tcW w:w="8349" w:type="dxa"/>
            <w:gridSpan w:val="5"/>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tabs>
                <w:tab w:val="left" w:pos="312"/>
              </w:tabs>
              <w:kinsoku/>
              <w:wordWrap/>
              <w:overflowPunct/>
              <w:topLinePunct w:val="0"/>
              <w:autoSpaceDE/>
              <w:autoSpaceDN/>
              <w:bidi w:val="0"/>
              <w:adjustRightInd w:val="0"/>
              <w:snapToGrid/>
              <w:spacing w:line="360" w:lineRule="exact"/>
              <w:ind w:left="42" w:leftChars="20"/>
              <w:textAlignment w:val="auto"/>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color w:val="auto"/>
                <w:kern w:val="0"/>
                <w:sz w:val="21"/>
                <w:szCs w:val="21"/>
                <w:highlight w:val="none"/>
              </w:rPr>
              <w:t>1.</w:t>
            </w:r>
            <w:r>
              <w:rPr>
                <w:rFonts w:hint="eastAsia" w:asciiTheme="minorEastAsia" w:hAnsiTheme="minorEastAsia" w:eastAsiaTheme="minorEastAsia" w:cstheme="minorEastAsia"/>
                <w:bCs/>
                <w:color w:val="auto"/>
                <w:sz w:val="21"/>
                <w:szCs w:val="21"/>
                <w:highlight w:val="none"/>
              </w:rPr>
              <w:t xml:space="preserve"> 根据以上售后服务承诺范围，供应商于响应文件中必须提供售后服务承诺书（含免费保修期、交付使用期、技术服务、技术培训、售后服务的内容和措施等），否则，投标文件作无效处理。</w:t>
            </w:r>
            <w:r>
              <w:rPr>
                <w:rFonts w:hint="eastAsia" w:asciiTheme="minorEastAsia" w:hAnsiTheme="minorEastAsia" w:eastAsiaTheme="minorEastAsia" w:cstheme="minorEastAsia"/>
                <w:b/>
                <w:bCs w:val="0"/>
                <w:color w:val="auto"/>
                <w:sz w:val="21"/>
                <w:szCs w:val="21"/>
                <w:highlight w:val="none"/>
              </w:rPr>
              <w:t>供货时提供厂家授权书原件。</w:t>
            </w:r>
          </w:p>
          <w:p>
            <w:pPr>
              <w:pStyle w:val="29"/>
              <w:keepNext w:val="0"/>
              <w:keepLines w:val="0"/>
              <w:pageBreakBefore w:val="0"/>
              <w:widowControl w:val="0"/>
              <w:kinsoku/>
              <w:wordWrap/>
              <w:overflowPunct/>
              <w:topLinePunct w:val="0"/>
              <w:autoSpaceDE/>
              <w:autoSpaceDN/>
              <w:bidi w:val="0"/>
              <w:snapToGrid/>
              <w:spacing w:line="360" w:lineRule="exact"/>
              <w:ind w:left="42" w:leftChars="2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2.本项目采购预算金额为人</w:t>
            </w:r>
            <w:r>
              <w:rPr>
                <w:rFonts w:hint="eastAsia" w:asciiTheme="minorEastAsia" w:hAnsiTheme="minorEastAsia" w:eastAsiaTheme="minorEastAsia" w:cstheme="minorEastAsia"/>
                <w:color w:val="auto"/>
                <w:spacing w:val="0"/>
                <w:kern w:val="2"/>
                <w:sz w:val="21"/>
                <w:szCs w:val="21"/>
                <w:highlight w:val="none"/>
              </w:rPr>
              <w:t>民币:</w:t>
            </w:r>
            <w:r>
              <w:rPr>
                <w:rFonts w:hint="eastAsia" w:asciiTheme="minorEastAsia" w:hAnsiTheme="minorEastAsia" w:eastAsiaTheme="minorEastAsia" w:cstheme="minorEastAsia"/>
                <w:b/>
                <w:bCs w:val="0"/>
                <w:color w:val="auto"/>
                <w:spacing w:val="0"/>
                <w:kern w:val="2"/>
                <w:sz w:val="21"/>
                <w:szCs w:val="21"/>
                <w:highlight w:val="none"/>
                <w:lang w:eastAsia="zh-CN"/>
              </w:rPr>
              <w:t>壹佰零肆万柒仟伍佰元整（</w:t>
            </w:r>
            <w:r>
              <w:rPr>
                <w:rFonts w:hint="eastAsia" w:ascii="宋体" w:hAnsi="宋体" w:eastAsia="宋体" w:cs="宋体"/>
                <w:b/>
                <w:bCs w:val="0"/>
                <w:color w:val="auto"/>
                <w:spacing w:val="0"/>
                <w:kern w:val="2"/>
                <w:sz w:val="21"/>
                <w:szCs w:val="21"/>
                <w:highlight w:val="none"/>
                <w:lang w:eastAsia="zh-CN"/>
              </w:rPr>
              <w:t>￥</w:t>
            </w:r>
            <w:r>
              <w:rPr>
                <w:rFonts w:hint="eastAsia" w:asciiTheme="minorEastAsia" w:hAnsiTheme="minorEastAsia" w:eastAsiaTheme="minorEastAsia" w:cstheme="minorEastAsia"/>
                <w:b/>
                <w:bCs w:val="0"/>
                <w:color w:val="auto"/>
                <w:spacing w:val="0"/>
                <w:kern w:val="2"/>
                <w:sz w:val="21"/>
                <w:szCs w:val="21"/>
                <w:highlight w:val="none"/>
                <w:lang w:val="en-US" w:eastAsia="zh-CN"/>
              </w:rPr>
              <w:t>1047500.00</w:t>
            </w:r>
            <w:r>
              <w:rPr>
                <w:rFonts w:hint="eastAsia" w:asciiTheme="minorEastAsia" w:hAnsiTheme="minorEastAsia" w:eastAsiaTheme="minorEastAsia" w:cstheme="minorEastAsia"/>
                <w:b/>
                <w:bCs w:val="0"/>
                <w:color w:val="auto"/>
                <w:spacing w:val="0"/>
                <w:kern w:val="2"/>
                <w:sz w:val="21"/>
                <w:szCs w:val="21"/>
                <w:highlight w:val="none"/>
                <w:lang w:eastAsia="zh-CN"/>
              </w:rPr>
              <w:t>）</w:t>
            </w:r>
            <w:r>
              <w:rPr>
                <w:rFonts w:hint="eastAsia" w:asciiTheme="minorEastAsia" w:hAnsiTheme="minorEastAsia" w:eastAsiaTheme="minorEastAsia" w:cstheme="minorEastAsia"/>
                <w:color w:val="auto"/>
                <w:spacing w:val="0"/>
                <w:kern w:val="2"/>
                <w:sz w:val="21"/>
                <w:szCs w:val="21"/>
                <w:highlight w:val="none"/>
              </w:rPr>
              <w:t>，</w:t>
            </w:r>
            <w:r>
              <w:rPr>
                <w:rFonts w:hint="eastAsia" w:asciiTheme="minorEastAsia" w:hAnsiTheme="minorEastAsia" w:eastAsiaTheme="minorEastAsia" w:cstheme="minorEastAsia"/>
                <w:color w:val="auto"/>
                <w:sz w:val="21"/>
                <w:szCs w:val="21"/>
                <w:highlight w:val="none"/>
              </w:rPr>
              <w:t>总报价超出采购预算金额的，其响应文件按无效处理。</w:t>
            </w:r>
          </w:p>
          <w:p>
            <w:pPr>
              <w:pStyle w:val="29"/>
              <w:keepNext w:val="0"/>
              <w:keepLines w:val="0"/>
              <w:pageBreakBefore w:val="0"/>
              <w:widowControl w:val="0"/>
              <w:kinsoku/>
              <w:wordWrap/>
              <w:overflowPunct/>
              <w:topLinePunct w:val="0"/>
              <w:autoSpaceDE/>
              <w:autoSpaceDN/>
              <w:bidi w:val="0"/>
              <w:snapToGrid/>
              <w:spacing w:line="360" w:lineRule="exact"/>
              <w:ind w:left="42" w:leftChars="20"/>
              <w:textAlignment w:val="auto"/>
              <w:rPr>
                <w:rFonts w:hint="eastAsia" w:asciiTheme="minorEastAsia" w:hAnsiTheme="minorEastAsia" w:eastAsiaTheme="minorEastAsia" w:cstheme="minorEastAsia"/>
                <w:color w:val="auto"/>
                <w:kern w:val="2"/>
                <w:sz w:val="21"/>
                <w:szCs w:val="21"/>
                <w:highlight w:val="none"/>
                <w:lang w:bidi="ar"/>
              </w:rPr>
            </w:pP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color w:val="auto"/>
                <w:kern w:val="2"/>
                <w:sz w:val="21"/>
                <w:szCs w:val="21"/>
                <w:highlight w:val="none"/>
                <w:lang w:bidi="ar"/>
              </w:rPr>
              <w:t>签订合同后，成交供应商提供的产品必须是原装正品、全新、符合相关国家质量标准。设备到货安装前，采购人现场根据谈判文件要求、注册产品标准及谈判文件承诺逐条对应进行核验，核验不合格的不予验收，由此造成采购人经济损失的由成交供应商负责承担全部赔偿责任。</w:t>
            </w:r>
          </w:p>
          <w:p>
            <w:pPr>
              <w:pStyle w:val="29"/>
              <w:keepNext w:val="0"/>
              <w:keepLines w:val="0"/>
              <w:pageBreakBefore w:val="0"/>
              <w:widowControl w:val="0"/>
              <w:kinsoku/>
              <w:wordWrap/>
              <w:overflowPunct/>
              <w:topLinePunct w:val="0"/>
              <w:autoSpaceDE/>
              <w:autoSpaceDN/>
              <w:bidi w:val="0"/>
              <w:snapToGrid/>
              <w:spacing w:line="360" w:lineRule="exact"/>
              <w:ind w:left="42" w:leftChars="20"/>
              <w:textAlignment w:val="auto"/>
              <w:rPr>
                <w:rFonts w:hint="eastAsia" w:asciiTheme="minorEastAsia" w:hAnsiTheme="minorEastAsia" w:eastAsiaTheme="minorEastAsia" w:cstheme="minorEastAsia"/>
                <w:bCs/>
                <w:color w:val="auto"/>
                <w:spacing w:val="10"/>
                <w:kern w:val="2"/>
                <w:sz w:val="21"/>
                <w:szCs w:val="21"/>
                <w:highlight w:val="none"/>
                <w:lang w:val="en-US" w:eastAsia="zh-CN" w:bidi="ar"/>
              </w:rPr>
            </w:pPr>
            <w:r>
              <w:rPr>
                <w:rFonts w:hint="eastAsia" w:asciiTheme="minorEastAsia" w:hAnsiTheme="minorEastAsia" w:eastAsiaTheme="minorEastAsia" w:cstheme="minorEastAsia"/>
                <w:color w:val="auto"/>
                <w:kern w:val="2"/>
                <w:sz w:val="21"/>
                <w:szCs w:val="21"/>
                <w:highlight w:val="none"/>
                <w:lang w:val="en-US" w:eastAsia="zh-CN" w:bidi="ar"/>
              </w:rPr>
              <w:t>4</w:t>
            </w:r>
            <w:r>
              <w:rPr>
                <w:rFonts w:hint="eastAsia" w:asciiTheme="minorEastAsia" w:hAnsiTheme="minorEastAsia" w:eastAsiaTheme="minorEastAsia" w:cstheme="minorEastAsia"/>
                <w:color w:val="auto"/>
                <w:kern w:val="2"/>
                <w:sz w:val="21"/>
                <w:szCs w:val="21"/>
                <w:highlight w:val="none"/>
                <w:lang w:bidi="ar"/>
              </w:rPr>
              <w:t>.本项目货物不接受进口产品（即通过中国海关报关验放进入中国境内且产自关境外的产品）参与谈判，如有此类产品参与谈判的，响应文件作无效处理。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295" w:type="dxa"/>
            <w:gridSpan w:val="2"/>
            <w:tcBorders>
              <w:top w:val="single" w:color="auto" w:sz="4" w:space="0"/>
              <w:left w:val="single" w:color="auto" w:sz="4" w:space="0"/>
              <w:bottom w:val="single" w:color="auto" w:sz="4" w:space="0"/>
              <w:right w:val="single" w:color="auto" w:sz="4" w:space="0"/>
            </w:tcBorders>
            <w:noWrap w:val="0"/>
            <w:vAlign w:val="center"/>
          </w:tcPr>
          <w:p>
            <w:pPr>
              <w:pStyle w:val="29"/>
              <w:keepNext w:val="0"/>
              <w:keepLines w:val="0"/>
              <w:pageBreakBefore w:val="0"/>
              <w:widowControl w:val="0"/>
              <w:kinsoku/>
              <w:wordWrap/>
              <w:overflowPunct/>
              <w:topLinePunct w:val="0"/>
              <w:autoSpaceDE/>
              <w:autoSpaceDN/>
              <w:bidi w:val="0"/>
              <w:snapToGrid/>
              <w:spacing w:line="360" w:lineRule="exact"/>
              <w:ind w:left="42" w:leftChars="20"/>
              <w:jc w:val="center"/>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验收要求</w:t>
            </w:r>
          </w:p>
        </w:tc>
        <w:tc>
          <w:tcPr>
            <w:tcW w:w="8349" w:type="dxa"/>
            <w:gridSpan w:val="5"/>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numPr>
                <w:ilvl w:val="0"/>
                <w:numId w:val="5"/>
              </w:numPr>
              <w:kinsoku/>
              <w:wordWrap/>
              <w:overflowPunct/>
              <w:topLinePunct w:val="0"/>
              <w:autoSpaceDE/>
              <w:autoSpaceDN/>
              <w:bidi w:val="0"/>
              <w:adjustRightInd w:val="0"/>
              <w:snapToGrid/>
              <w:spacing w:line="360" w:lineRule="exact"/>
              <w:ind w:left="42" w:leftChars="20"/>
              <w:textAlignment w:val="auto"/>
              <w:rPr>
                <w:rFonts w:hint="eastAsia" w:asciiTheme="minorEastAsia" w:hAnsiTheme="minorEastAsia" w:eastAsiaTheme="minorEastAsia" w:cstheme="minorEastAsia"/>
                <w:bCs/>
                <w:color w:val="auto"/>
                <w:spacing w:val="10"/>
                <w:sz w:val="21"/>
                <w:szCs w:val="21"/>
                <w:highlight w:val="none"/>
                <w:lang w:bidi="ar"/>
              </w:rPr>
            </w:pPr>
            <w:r>
              <w:rPr>
                <w:rFonts w:hint="eastAsia" w:asciiTheme="minorEastAsia" w:hAnsiTheme="minorEastAsia" w:eastAsiaTheme="minorEastAsia" w:cstheme="minorEastAsia"/>
                <w:bCs/>
                <w:color w:val="auto"/>
                <w:spacing w:val="10"/>
                <w:sz w:val="21"/>
                <w:szCs w:val="21"/>
                <w:highlight w:val="none"/>
                <w:lang w:bidi="ar"/>
              </w:rPr>
              <w:t>采购人有权邀请相关专家检查验收；成交供应商必须服从监督管理。</w:t>
            </w:r>
          </w:p>
          <w:p>
            <w:pPr>
              <w:pStyle w:val="29"/>
              <w:keepNext w:val="0"/>
              <w:keepLines w:val="0"/>
              <w:pageBreakBefore w:val="0"/>
              <w:widowControl w:val="0"/>
              <w:kinsoku/>
              <w:wordWrap/>
              <w:overflowPunct/>
              <w:topLinePunct w:val="0"/>
              <w:autoSpaceDE/>
              <w:autoSpaceDN/>
              <w:bidi w:val="0"/>
              <w:snapToGrid/>
              <w:spacing w:line="360" w:lineRule="exact"/>
              <w:ind w:left="42" w:leftChars="2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2"/>
                <w:sz w:val="21"/>
                <w:szCs w:val="21"/>
                <w:highlight w:val="none"/>
                <w:lang w:bidi="ar"/>
              </w:rPr>
              <w:t>2、若发现相关产品不符合采购要求的，采购人有权退货及追究相关违约责任</w:t>
            </w:r>
          </w:p>
        </w:tc>
      </w:tr>
    </w:tbl>
    <w:p>
      <w:pPr>
        <w:jc w:val="center"/>
        <w:rPr>
          <w:b/>
          <w:bCs/>
          <w:color w:val="auto"/>
          <w:sz w:val="44"/>
          <w:szCs w:val="44"/>
          <w:highlight w:val="none"/>
        </w:rPr>
      </w:pPr>
      <w:bookmarkStart w:id="36" w:name="_Toc432264368"/>
      <w:bookmarkStart w:id="37" w:name="_Toc432277440"/>
      <w:r>
        <w:rPr>
          <w:rFonts w:hint="eastAsia" w:ascii="宋体" w:hAnsi="宋体" w:cs="宋体"/>
          <w:b/>
          <w:bCs/>
          <w:color w:val="auto"/>
          <w:szCs w:val="21"/>
          <w:highlight w:val="none"/>
        </w:rPr>
        <w:br w:type="page"/>
      </w:r>
      <w:r>
        <w:rPr>
          <w:rFonts w:hint="eastAsia"/>
          <w:b/>
          <w:bCs/>
          <w:color w:val="auto"/>
          <w:sz w:val="44"/>
          <w:szCs w:val="44"/>
          <w:highlight w:val="none"/>
        </w:rPr>
        <w:t>第四章  评审方法</w:t>
      </w:r>
      <w:bookmarkEnd w:id="36"/>
      <w:bookmarkEnd w:id="37"/>
    </w:p>
    <w:p>
      <w:pPr>
        <w:pStyle w:val="10"/>
        <w:spacing w:line="440" w:lineRule="exact"/>
        <w:ind w:firstLine="422" w:firstLineChars="200"/>
        <w:rPr>
          <w:rFonts w:hAnsi="宋体"/>
          <w:b/>
          <w:bCs/>
          <w:color w:val="auto"/>
          <w:szCs w:val="21"/>
          <w:highlight w:val="none"/>
        </w:rPr>
      </w:pPr>
      <w:r>
        <w:rPr>
          <w:rFonts w:hint="eastAsia" w:hAnsi="宋体"/>
          <w:b/>
          <w:bCs/>
          <w:color w:val="auto"/>
          <w:szCs w:val="21"/>
          <w:highlight w:val="none"/>
        </w:rPr>
        <w:t>一、评审依据</w:t>
      </w:r>
    </w:p>
    <w:p>
      <w:pPr>
        <w:pStyle w:val="10"/>
        <w:spacing w:line="440" w:lineRule="exact"/>
        <w:ind w:firstLine="420" w:firstLineChars="200"/>
        <w:rPr>
          <w:rFonts w:hAnsi="宋体"/>
          <w:bCs/>
          <w:color w:val="auto"/>
          <w:highlight w:val="none"/>
        </w:rPr>
      </w:pPr>
      <w:r>
        <w:rPr>
          <w:rFonts w:hint="eastAsia" w:hAnsi="宋体"/>
          <w:bCs/>
          <w:color w:val="auto"/>
          <w:highlight w:val="none"/>
        </w:rPr>
        <w:t>1. 评审依据：谈判小组以谈判文件和响应文件为评审依据。</w:t>
      </w:r>
    </w:p>
    <w:p>
      <w:pPr>
        <w:pStyle w:val="10"/>
        <w:spacing w:line="440" w:lineRule="exact"/>
        <w:ind w:firstLine="420" w:firstLineChars="200"/>
        <w:rPr>
          <w:rFonts w:hAnsi="宋体"/>
          <w:bCs/>
          <w:color w:val="auto"/>
          <w:highlight w:val="none"/>
        </w:rPr>
      </w:pPr>
      <w:r>
        <w:rPr>
          <w:rFonts w:hint="eastAsia" w:hAnsi="宋体"/>
          <w:bCs/>
          <w:color w:val="auto"/>
          <w:highlight w:val="none"/>
        </w:rPr>
        <w:t>2. 根据财库〔2012〕69号文规定，采购人和采购代理机构、竞争性谈判小组成员要严格遵守政府采购相关法律制度，依法履行各自职责，公正、客观、审慎地组织和参与评审工作。</w:t>
      </w:r>
    </w:p>
    <w:p>
      <w:pPr>
        <w:pStyle w:val="10"/>
        <w:spacing w:line="440" w:lineRule="exact"/>
        <w:ind w:firstLine="422" w:firstLineChars="200"/>
        <w:rPr>
          <w:rFonts w:hAnsi="宋体"/>
          <w:b/>
          <w:bCs/>
          <w:color w:val="auto"/>
          <w:szCs w:val="21"/>
          <w:highlight w:val="none"/>
        </w:rPr>
      </w:pPr>
      <w:r>
        <w:rPr>
          <w:rFonts w:hint="eastAsia" w:hAnsi="宋体"/>
          <w:b/>
          <w:bCs/>
          <w:color w:val="auto"/>
          <w:szCs w:val="21"/>
          <w:highlight w:val="none"/>
        </w:rPr>
        <w:t>二、评审办法</w:t>
      </w:r>
    </w:p>
    <w:p>
      <w:pPr>
        <w:pStyle w:val="10"/>
        <w:spacing w:line="440" w:lineRule="exact"/>
        <w:ind w:firstLine="420"/>
        <w:rPr>
          <w:rFonts w:hAnsi="宋体"/>
          <w:color w:val="auto"/>
          <w:kern w:val="0"/>
          <w:szCs w:val="21"/>
          <w:highlight w:val="none"/>
        </w:rPr>
      </w:pPr>
      <w:r>
        <w:rPr>
          <w:rFonts w:hint="eastAsia" w:hAnsi="宋体"/>
          <w:color w:val="auto"/>
          <w:kern w:val="0"/>
          <w:szCs w:val="21"/>
          <w:highlight w:val="none"/>
        </w:rPr>
        <w:t>1. 谈判小组应当从质量和服务均能满足竞争性谈判文件全部实质性响应要求的供应商中，按照评审报价由低到高顺序提出3名以上（含3名）成交候选人。</w:t>
      </w:r>
    </w:p>
    <w:p>
      <w:pPr>
        <w:pStyle w:val="10"/>
        <w:spacing w:line="440" w:lineRule="exact"/>
        <w:ind w:firstLine="420" w:firstLineChars="200"/>
        <w:rPr>
          <w:rFonts w:hAnsi="宋体"/>
          <w:color w:val="auto"/>
          <w:kern w:val="0"/>
          <w:szCs w:val="21"/>
          <w:highlight w:val="none"/>
        </w:rPr>
      </w:pPr>
      <w:r>
        <w:rPr>
          <w:rFonts w:hint="eastAsia" w:hAnsi="宋体"/>
          <w:color w:val="auto"/>
          <w:kern w:val="0"/>
          <w:szCs w:val="21"/>
          <w:highlight w:val="none"/>
        </w:rPr>
        <w:t>2. 按照《政府采购促进中小企业发展暂行办法》（财库[2011]181号）规定：</w:t>
      </w:r>
    </w:p>
    <w:p>
      <w:pPr>
        <w:pStyle w:val="10"/>
        <w:spacing w:line="380" w:lineRule="exact"/>
        <w:ind w:firstLine="420" w:firstLineChars="200"/>
        <w:rPr>
          <w:rFonts w:hint="eastAsia" w:hAnsi="宋体"/>
          <w:color w:val="auto"/>
          <w:kern w:val="0"/>
          <w:szCs w:val="21"/>
          <w:highlight w:val="none"/>
        </w:rPr>
      </w:pPr>
      <w:r>
        <w:rPr>
          <w:rFonts w:hint="eastAsia" w:hAnsi="宋体"/>
          <w:color w:val="auto"/>
          <w:kern w:val="0"/>
          <w:szCs w:val="21"/>
          <w:highlight w:val="none"/>
        </w:rPr>
        <w:t>（1）供应商认定为小型和微型企业且所提供的产品均为小型和微型企业产品的（以响应文件提供的符合规定的有关证明材料为准），最后报价给予6%的价格扣除，扣除后的价格为评审报价，即评审报价=最后报价×（1-6%）；</w:t>
      </w:r>
    </w:p>
    <w:p>
      <w:pPr>
        <w:pStyle w:val="10"/>
        <w:spacing w:line="380" w:lineRule="exact"/>
        <w:ind w:firstLine="420" w:firstLineChars="200"/>
        <w:rPr>
          <w:rFonts w:hAnsi="宋体"/>
          <w:color w:val="auto"/>
          <w:kern w:val="0"/>
          <w:szCs w:val="21"/>
          <w:highlight w:val="none"/>
        </w:rPr>
      </w:pPr>
      <w:r>
        <w:rPr>
          <w:rFonts w:hint="eastAsia" w:hAnsi="宋体"/>
          <w:color w:val="auto"/>
          <w:kern w:val="0"/>
          <w:szCs w:val="21"/>
          <w:highlight w:val="none"/>
        </w:rPr>
        <w:t>（2）供应商为大中型企业与小型、微型企业组成联合体参与谈判的，其中小型、微型企业的协议合同金额占到联合体协议合同总金额30%以上（含30%）的（供应商须于《联合体协议书》中明确约定小型、微型企业的协议合同金额及所占比例，该金额应与谈判报价表所报金额对应一致），联合体供应商最后报价给予2%的价格扣除，扣除后的价格为评审报价，即评审报价=最后报价×（1-2%）；</w:t>
      </w:r>
    </w:p>
    <w:p>
      <w:pPr>
        <w:pStyle w:val="10"/>
        <w:spacing w:line="440" w:lineRule="exact"/>
        <w:ind w:firstLine="420" w:firstLineChars="200"/>
        <w:rPr>
          <w:rFonts w:hAnsi="宋体"/>
          <w:color w:val="auto"/>
          <w:highlight w:val="none"/>
        </w:rPr>
      </w:pPr>
      <w:r>
        <w:rPr>
          <w:rFonts w:hint="eastAsia" w:hAnsi="宋体"/>
          <w:color w:val="auto"/>
          <w:highlight w:val="none"/>
        </w:rPr>
        <w:t>除上述情况外，评审报价=最后报价。</w:t>
      </w:r>
    </w:p>
    <w:p>
      <w:pPr>
        <w:pStyle w:val="10"/>
        <w:spacing w:line="440" w:lineRule="exact"/>
        <w:ind w:firstLine="422" w:firstLineChars="200"/>
        <w:rPr>
          <w:rFonts w:hAnsi="宋体"/>
          <w:b/>
          <w:color w:val="auto"/>
          <w:highlight w:val="none"/>
        </w:rPr>
      </w:pPr>
      <w:r>
        <w:rPr>
          <w:rFonts w:hint="eastAsia" w:hAnsi="宋体"/>
          <w:b/>
          <w:color w:val="auto"/>
          <w:highlight w:val="none"/>
        </w:rPr>
        <w:t>注：①小型、微型企业提供中型企业制造的货物的，视同为中型企业。②</w:t>
      </w:r>
      <w:r>
        <w:rPr>
          <w:rFonts w:hint="eastAsia" w:hAnsi="宋体"/>
          <w:b/>
          <w:color w:val="auto"/>
          <w:kern w:val="0"/>
          <w:szCs w:val="21"/>
          <w:highlight w:val="none"/>
        </w:rPr>
        <w:t>谈判小组应当按扣除后的报价由低到高进行排序，该扣除后报价仅作为评审报价排序，不作为合同签订报价，合同将按实际最后报价签订</w:t>
      </w:r>
      <w:r>
        <w:rPr>
          <w:rFonts w:hint="eastAsia" w:hAnsi="宋体"/>
          <w:b/>
          <w:color w:val="auto"/>
          <w:highlight w:val="none"/>
        </w:rPr>
        <w:t>。</w:t>
      </w:r>
    </w:p>
    <w:p>
      <w:pPr>
        <w:pStyle w:val="10"/>
        <w:spacing w:line="440" w:lineRule="exact"/>
        <w:ind w:firstLine="420" w:firstLineChars="200"/>
        <w:rPr>
          <w:rFonts w:hAnsi="宋体"/>
          <w:color w:val="auto"/>
          <w:kern w:val="0"/>
          <w:szCs w:val="21"/>
          <w:highlight w:val="none"/>
        </w:rPr>
      </w:pPr>
      <w:r>
        <w:rPr>
          <w:rFonts w:hint="eastAsia" w:hAnsi="宋体"/>
          <w:color w:val="auto"/>
          <w:kern w:val="0"/>
          <w:szCs w:val="21"/>
          <w:highlight w:val="none"/>
        </w:rPr>
        <w:t>3. 根据财政部、司法部关于政府采购支持监狱企业发展有关问题的通知（财库[2014]68号），监狱企业视同小型、微型企业，享受小型、微型企业评审中价格扣除的政府采购政策。</w:t>
      </w:r>
    </w:p>
    <w:p>
      <w:pPr>
        <w:pStyle w:val="10"/>
        <w:spacing w:line="380" w:lineRule="exact"/>
        <w:ind w:firstLine="411" w:firstLineChars="196"/>
        <w:rPr>
          <w:rFonts w:hint="eastAsia" w:hAnsi="宋体" w:cs="Times New Roman"/>
          <w:color w:val="auto"/>
          <w:szCs w:val="21"/>
          <w:highlight w:val="none"/>
        </w:rPr>
      </w:pPr>
      <w:r>
        <w:rPr>
          <w:rFonts w:hint="eastAsia" w:hAnsi="宋体"/>
          <w:color w:val="auto"/>
          <w:szCs w:val="21"/>
          <w:highlight w:val="none"/>
        </w:rPr>
        <w:t>4. 评审时，</w:t>
      </w:r>
      <w:r>
        <w:rPr>
          <w:rFonts w:hint="eastAsia" w:hAnsi="宋体"/>
          <w:color w:val="auto"/>
          <w:highlight w:val="none"/>
        </w:rPr>
        <w:t>应当将通过资格性审查和符合性审查各供应商的评审报价，按照</w:t>
      </w:r>
      <w:r>
        <w:rPr>
          <w:rFonts w:hint="eastAsia" w:hAnsi="宋体"/>
          <w:color w:val="auto"/>
          <w:kern w:val="0"/>
          <w:szCs w:val="21"/>
          <w:highlight w:val="none"/>
        </w:rPr>
        <w:t>由低到高顺序排序，</w:t>
      </w:r>
      <w:r>
        <w:rPr>
          <w:rFonts w:hint="eastAsia" w:hAnsi="宋体"/>
          <w:color w:val="auto"/>
          <w:highlight w:val="none"/>
        </w:rPr>
        <w:t>当评审</w:t>
      </w:r>
      <w:r>
        <w:rPr>
          <w:rFonts w:hint="eastAsia" w:hAnsi="宋体" w:cs="Times New Roman"/>
          <w:color w:val="auto"/>
          <w:szCs w:val="21"/>
          <w:highlight w:val="none"/>
        </w:rPr>
        <w:t>报价相同时，由采购人自主选择一个参加评审的供应商（优先采购节能/环保产品），其他报价无效。</w:t>
      </w:r>
    </w:p>
    <w:p>
      <w:pPr>
        <w:pStyle w:val="10"/>
        <w:spacing w:line="380" w:lineRule="exact"/>
        <w:ind w:firstLine="411" w:firstLineChars="196"/>
        <w:rPr>
          <w:rFonts w:hint="default" w:hAnsi="宋体" w:cs="Times New Roman"/>
          <w:color w:val="auto"/>
          <w:szCs w:val="21"/>
          <w:highlight w:val="none"/>
          <w:lang w:val="en-US" w:eastAsia="zh-CN"/>
        </w:rPr>
      </w:pPr>
      <w:r>
        <w:rPr>
          <w:rFonts w:hint="eastAsia" w:hAnsi="宋体" w:cs="Times New Roman"/>
          <w:color w:val="auto"/>
          <w:szCs w:val="21"/>
          <w:highlight w:val="none"/>
          <w:lang w:val="en-US" w:eastAsia="zh-CN"/>
        </w:rPr>
        <w:t>5.谈判小组认为供应商的报价明显低于其他通过</w:t>
      </w:r>
      <w:r>
        <w:rPr>
          <w:rFonts w:hint="eastAsia" w:hAnsi="宋体"/>
          <w:color w:val="auto"/>
          <w:highlight w:val="none"/>
        </w:rPr>
        <w:t>资格性</w:t>
      </w:r>
      <w:r>
        <w:rPr>
          <w:rFonts w:hint="eastAsia" w:hAnsi="宋体"/>
          <w:color w:val="auto"/>
          <w:highlight w:val="none"/>
          <w:lang w:eastAsia="zh-CN"/>
        </w:rPr>
        <w:t>和</w:t>
      </w:r>
      <w:r>
        <w:rPr>
          <w:rFonts w:hint="eastAsia" w:hAnsi="宋体" w:cs="Times New Roman"/>
          <w:color w:val="auto"/>
          <w:szCs w:val="21"/>
          <w:highlight w:val="none"/>
          <w:lang w:val="en-US" w:eastAsia="zh-CN"/>
        </w:rPr>
        <w:t>符合性审查供应商的报价，有可能影响产品质量或者不能诚信履约的，应当要求其在谈判现场合理的时间内提供书面说明，供应商不能证明其报价合理性或者不能提供相关证明材料的，谈判小组应当将其作为无效响应处理。</w:t>
      </w:r>
    </w:p>
    <w:p>
      <w:pPr>
        <w:pStyle w:val="10"/>
        <w:spacing w:line="380" w:lineRule="exact"/>
        <w:ind w:firstLine="411" w:firstLineChars="196"/>
        <w:rPr>
          <w:rFonts w:hint="eastAsia" w:hAnsi="宋体" w:cs="Times New Roman"/>
          <w:color w:val="auto"/>
          <w:szCs w:val="21"/>
          <w:highlight w:val="none"/>
        </w:rPr>
      </w:pPr>
      <w:r>
        <w:rPr>
          <w:rFonts w:hint="eastAsia" w:hAnsi="宋体" w:cs="Times New Roman"/>
          <w:color w:val="auto"/>
          <w:szCs w:val="21"/>
          <w:highlight w:val="none"/>
        </w:rPr>
        <w:t>三、成交候选人推荐原则</w:t>
      </w:r>
    </w:p>
    <w:p>
      <w:pPr>
        <w:pStyle w:val="10"/>
        <w:tabs>
          <w:tab w:val="left" w:pos="4214"/>
        </w:tabs>
        <w:spacing w:line="440" w:lineRule="exact"/>
        <w:ind w:firstLine="420" w:firstLineChars="200"/>
        <w:rPr>
          <w:rFonts w:hAnsi="宋体"/>
          <w:color w:val="auto"/>
          <w:szCs w:val="21"/>
          <w:highlight w:val="none"/>
        </w:rPr>
      </w:pPr>
      <w:r>
        <w:rPr>
          <w:rFonts w:hint="eastAsia" w:hAnsi="宋体"/>
          <w:color w:val="auto"/>
          <w:szCs w:val="21"/>
          <w:highlight w:val="none"/>
        </w:rPr>
        <w:t>（1）采购单位应当确定谈判小组推荐排名第一的成交候选人为成交供应商。</w:t>
      </w:r>
    </w:p>
    <w:p>
      <w:pPr>
        <w:pStyle w:val="10"/>
        <w:spacing w:line="440" w:lineRule="exact"/>
        <w:ind w:firstLine="447" w:firstLineChars="213"/>
        <w:rPr>
          <w:rFonts w:hAnsi="宋体"/>
          <w:color w:val="auto"/>
          <w:szCs w:val="21"/>
          <w:highlight w:val="none"/>
        </w:rPr>
      </w:pPr>
      <w:r>
        <w:rPr>
          <w:rFonts w:hint="eastAsia" w:hAnsi="宋体"/>
          <w:color w:val="auto"/>
          <w:szCs w:val="21"/>
          <w:highlight w:val="none"/>
        </w:rPr>
        <w:t>（2）排名第一的成交候选人放弃成交、因不可抗力提出不能履行合同，或者竞争性谈判文件规定应当提交履约保证金而在规定的期限内未能提交的，采购单位可以确定排名第二的成交候选人为成交供应商。</w:t>
      </w:r>
    </w:p>
    <w:p>
      <w:pPr>
        <w:pStyle w:val="10"/>
        <w:spacing w:line="440" w:lineRule="exact"/>
        <w:ind w:firstLine="420" w:firstLineChars="200"/>
        <w:rPr>
          <w:rFonts w:hAnsi="宋体"/>
          <w:color w:val="auto"/>
          <w:szCs w:val="21"/>
          <w:highlight w:val="none"/>
        </w:rPr>
      </w:pPr>
      <w:r>
        <w:rPr>
          <w:rFonts w:hint="eastAsia" w:hAnsi="宋体"/>
          <w:color w:val="auto"/>
          <w:szCs w:val="21"/>
          <w:highlight w:val="none"/>
        </w:rPr>
        <w:t>（3</w:t>
      </w:r>
      <w:r>
        <w:rPr>
          <w:rFonts w:hAnsi="宋体"/>
          <w:color w:val="auto"/>
          <w:szCs w:val="21"/>
          <w:highlight w:val="none"/>
        </w:rPr>
        <w:t>）</w:t>
      </w:r>
      <w:r>
        <w:rPr>
          <w:rFonts w:hint="eastAsia" w:hAnsi="宋体"/>
          <w:color w:val="auto"/>
          <w:szCs w:val="21"/>
          <w:highlight w:val="none"/>
        </w:rPr>
        <w:t>排名第二的成交候选人因前款规定的同样原因不能签订合同的，采购单位可以确定排名第三的成交候选人为成交供应商。</w:t>
      </w:r>
    </w:p>
    <w:p>
      <w:pPr>
        <w:pStyle w:val="10"/>
        <w:spacing w:line="360" w:lineRule="exact"/>
        <w:ind w:firstLine="420" w:firstLineChars="200"/>
        <w:rPr>
          <w:rFonts w:hAnsi="宋体"/>
          <w:color w:val="auto"/>
          <w:szCs w:val="21"/>
          <w:highlight w:val="none"/>
        </w:rPr>
      </w:pPr>
    </w:p>
    <w:p>
      <w:pPr>
        <w:widowControl/>
        <w:jc w:val="left"/>
        <w:rPr>
          <w:b/>
          <w:bCs/>
          <w:color w:val="auto"/>
          <w:kern w:val="44"/>
          <w:sz w:val="28"/>
          <w:szCs w:val="28"/>
          <w:highlight w:val="none"/>
        </w:rPr>
      </w:pPr>
      <w:bookmarkStart w:id="38" w:name="_Toc432277441"/>
      <w:bookmarkStart w:id="39" w:name="_Toc432264369"/>
      <w:r>
        <w:rPr>
          <w:color w:val="auto"/>
          <w:sz w:val="28"/>
          <w:szCs w:val="28"/>
          <w:highlight w:val="none"/>
        </w:rPr>
        <w:br w:type="page"/>
      </w:r>
    </w:p>
    <w:p>
      <w:pPr>
        <w:pStyle w:val="3"/>
        <w:spacing w:line="0" w:lineRule="atLeast"/>
        <w:jc w:val="center"/>
        <w:rPr>
          <w:color w:val="auto"/>
          <w:highlight w:val="none"/>
        </w:rPr>
      </w:pPr>
      <w:bookmarkStart w:id="40" w:name="_Toc20079"/>
      <w:r>
        <w:rPr>
          <w:rFonts w:hint="eastAsia"/>
          <w:color w:val="auto"/>
          <w:highlight w:val="none"/>
        </w:rPr>
        <w:t>第五章  采购合同（合同主要条款及格式</w:t>
      </w:r>
      <w:bookmarkEnd w:id="38"/>
      <w:bookmarkEnd w:id="39"/>
      <w:r>
        <w:rPr>
          <w:rFonts w:hint="eastAsia"/>
          <w:color w:val="auto"/>
          <w:highlight w:val="none"/>
        </w:rPr>
        <w:t>）</w:t>
      </w:r>
      <w:bookmarkEnd w:id="40"/>
    </w:p>
    <w:p>
      <w:pPr>
        <w:spacing w:line="360" w:lineRule="exact"/>
        <w:rPr>
          <w:color w:val="auto"/>
          <w:highlight w:val="none"/>
        </w:rPr>
      </w:pPr>
    </w:p>
    <w:p>
      <w:pPr>
        <w:widowControl/>
        <w:spacing w:line="400" w:lineRule="exact"/>
        <w:jc w:val="left"/>
        <w:rPr>
          <w:rFonts w:hint="eastAsia" w:eastAsia="宋体"/>
          <w:color w:val="auto"/>
          <w:szCs w:val="21"/>
          <w:highlight w:val="none"/>
          <w:lang w:eastAsia="zh-CN"/>
        </w:rPr>
      </w:pPr>
      <w:r>
        <w:rPr>
          <w:rFonts w:hint="eastAsia"/>
          <w:color w:val="auto"/>
          <w:szCs w:val="21"/>
          <w:highlight w:val="none"/>
        </w:rPr>
        <w:t>项目名称：</w:t>
      </w:r>
      <w:r>
        <w:rPr>
          <w:rFonts w:hint="eastAsia" w:ascii="宋体" w:hAnsi="宋体" w:cs="宋体"/>
          <w:color w:val="auto"/>
          <w:kern w:val="0"/>
          <w:szCs w:val="21"/>
          <w:highlight w:val="none"/>
          <w:lang w:eastAsia="zh-CN" w:bidi="ar"/>
        </w:rPr>
        <w:t>桂林市临桂区奥园南路提升泵站格栅机和除臭机设备采购项目</w:t>
      </w:r>
    </w:p>
    <w:p>
      <w:pPr>
        <w:widowControl/>
        <w:spacing w:line="400" w:lineRule="exact"/>
        <w:jc w:val="left"/>
        <w:rPr>
          <w:rFonts w:hint="eastAsia" w:eastAsia="宋体"/>
          <w:color w:val="auto"/>
          <w:szCs w:val="21"/>
          <w:highlight w:val="none"/>
          <w:lang w:eastAsia="zh-CN"/>
        </w:rPr>
      </w:pPr>
      <w:r>
        <w:rPr>
          <w:rFonts w:hint="eastAsia"/>
          <w:color w:val="auto"/>
          <w:szCs w:val="21"/>
          <w:highlight w:val="none"/>
        </w:rPr>
        <w:t>项目编号：</w:t>
      </w:r>
      <w:r>
        <w:rPr>
          <w:rFonts w:hint="eastAsia" w:ascii="宋体" w:hAnsi="宋体" w:cs="宋体"/>
          <w:color w:val="auto"/>
          <w:kern w:val="0"/>
          <w:szCs w:val="21"/>
          <w:highlight w:val="none"/>
          <w:lang w:eastAsia="zh-CN" w:bidi="ar"/>
        </w:rPr>
        <w:t>GLZC2020-J1-120061-DCZX</w:t>
      </w:r>
    </w:p>
    <w:p>
      <w:pPr>
        <w:spacing w:line="400" w:lineRule="exact"/>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u w:val="single"/>
          <w:lang w:val="en-US" w:eastAsia="zh-CN"/>
        </w:rPr>
        <w:t xml:space="preserve">                             </w:t>
      </w:r>
      <w:r>
        <w:rPr>
          <w:rFonts w:hint="eastAsia"/>
          <w:color w:val="auto"/>
          <w:highlight w:val="none"/>
          <w:u w:val="single"/>
        </w:rPr>
        <w:t xml:space="preserve">                       </w:t>
      </w:r>
      <w:r>
        <w:rPr>
          <w:rFonts w:hint="eastAsia"/>
          <w:color w:val="auto"/>
          <w:highlight w:val="none"/>
        </w:rPr>
        <w:t>（采购人）</w:t>
      </w:r>
    </w:p>
    <w:p>
      <w:pPr>
        <w:spacing w:line="400" w:lineRule="exact"/>
        <w:rPr>
          <w:color w:val="auto"/>
          <w:highlight w:val="none"/>
        </w:rPr>
      </w:pPr>
      <w:r>
        <w:rPr>
          <w:rFonts w:hint="eastAsia"/>
          <w:color w:val="auto"/>
          <w:highlight w:val="none"/>
        </w:rPr>
        <w:t>乙方：</w:t>
      </w:r>
      <w:r>
        <w:rPr>
          <w:rFonts w:hint="eastAsia"/>
          <w:color w:val="auto"/>
          <w:highlight w:val="none"/>
          <w:u w:val="single"/>
        </w:rPr>
        <w:t xml:space="preserve">        </w:t>
      </w:r>
      <w:r>
        <w:rPr>
          <w:rFonts w:hint="eastAsia"/>
          <w:i/>
          <w:iCs/>
          <w:color w:val="auto"/>
          <w:highlight w:val="none"/>
          <w:u w:val="single"/>
        </w:rPr>
        <w:t xml:space="preserve">成交后填写 </w:t>
      </w:r>
      <w:r>
        <w:rPr>
          <w:rFonts w:hint="eastAsia"/>
          <w:color w:val="auto"/>
          <w:highlight w:val="none"/>
          <w:u w:val="single"/>
        </w:rPr>
        <w:t xml:space="preserve">                                   </w:t>
      </w:r>
      <w:r>
        <w:rPr>
          <w:rFonts w:hint="eastAsia"/>
          <w:color w:val="auto"/>
          <w:highlight w:val="none"/>
        </w:rPr>
        <w:t>（成交供应商）</w:t>
      </w:r>
    </w:p>
    <w:p>
      <w:pPr>
        <w:spacing w:line="400" w:lineRule="exact"/>
        <w:rPr>
          <w:color w:val="auto"/>
          <w:highlight w:val="none"/>
        </w:rPr>
      </w:pPr>
    </w:p>
    <w:p>
      <w:pPr>
        <w:spacing w:line="400" w:lineRule="exact"/>
        <w:ind w:firstLine="420" w:firstLineChars="200"/>
        <w:rPr>
          <w:color w:val="auto"/>
          <w:highlight w:val="none"/>
        </w:rPr>
      </w:pPr>
      <w:r>
        <w:rPr>
          <w:rFonts w:hint="eastAsia"/>
          <w:color w:val="auto"/>
          <w:highlight w:val="none"/>
        </w:rPr>
        <w:t>根据《中华人民共和国政府采购法》、</w:t>
      </w:r>
      <w:r>
        <w:rPr>
          <w:rFonts w:hint="eastAsia" w:hAnsi="宋体"/>
          <w:color w:val="auto"/>
          <w:highlight w:val="none"/>
        </w:rPr>
        <w:t>《中华人民共和国政府采购法实施条例》、</w:t>
      </w:r>
      <w:r>
        <w:rPr>
          <w:rFonts w:hint="eastAsia"/>
          <w:color w:val="auto"/>
          <w:highlight w:val="none"/>
        </w:rPr>
        <w:t>《中华人民共和国合同法》等法律、法规规定，按照竞争性谈判文件（以下简称谈判文件）、竞争性谈判响应文件（以下简称响应文件）规定条款和成交供应商的承诺、甲乙双方签订本合同。</w:t>
      </w:r>
    </w:p>
    <w:p>
      <w:pPr>
        <w:spacing w:line="400" w:lineRule="exact"/>
        <w:ind w:firstLine="413" w:firstLineChars="196"/>
        <w:rPr>
          <w:b/>
          <w:color w:val="auto"/>
          <w:szCs w:val="21"/>
          <w:highlight w:val="none"/>
        </w:rPr>
      </w:pPr>
      <w:r>
        <w:rPr>
          <w:rFonts w:hint="eastAsia"/>
          <w:b/>
          <w:color w:val="auto"/>
          <w:szCs w:val="21"/>
          <w:highlight w:val="none"/>
        </w:rPr>
        <w:t>第一条　</w:t>
      </w:r>
      <w:r>
        <w:rPr>
          <w:rFonts w:hint="eastAsia" w:ascii="宋体" w:hAnsi="宋体"/>
          <w:b/>
          <w:color w:val="auto"/>
          <w:szCs w:val="21"/>
          <w:highlight w:val="none"/>
        </w:rPr>
        <w:t>合同标的及</w:t>
      </w:r>
      <w:r>
        <w:rPr>
          <w:rFonts w:hint="eastAsia"/>
          <w:b/>
          <w:color w:val="auto"/>
          <w:szCs w:val="21"/>
          <w:highlight w:val="none"/>
        </w:rPr>
        <w:t>合同金额</w:t>
      </w:r>
    </w:p>
    <w:tbl>
      <w:tblPr>
        <w:tblStyle w:val="15"/>
        <w:tblW w:w="9776"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232"/>
        <w:gridCol w:w="1445"/>
        <w:gridCol w:w="1483"/>
        <w:gridCol w:w="1073"/>
        <w:gridCol w:w="714"/>
        <w:gridCol w:w="1545"/>
        <w:gridCol w:w="15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709" w:type="dxa"/>
            <w:noWrap w:val="0"/>
            <w:vAlign w:val="center"/>
          </w:tcPr>
          <w:p>
            <w:pPr>
              <w:snapToGrid w:val="0"/>
              <w:spacing w:line="280" w:lineRule="exact"/>
              <w:jc w:val="center"/>
              <w:rPr>
                <w:rFonts w:ascii="宋体" w:hAnsi="宋体"/>
                <w:color w:val="auto"/>
                <w:szCs w:val="21"/>
                <w:highlight w:val="none"/>
              </w:rPr>
            </w:pPr>
            <w:r>
              <w:rPr>
                <w:rFonts w:hint="eastAsia" w:ascii="宋体" w:hAnsi="宋体"/>
                <w:color w:val="auto"/>
                <w:szCs w:val="21"/>
                <w:highlight w:val="none"/>
              </w:rPr>
              <w:t>项号</w:t>
            </w:r>
          </w:p>
        </w:tc>
        <w:tc>
          <w:tcPr>
            <w:tcW w:w="1232" w:type="dxa"/>
            <w:noWrap w:val="0"/>
            <w:vAlign w:val="center"/>
          </w:tcPr>
          <w:p>
            <w:pPr>
              <w:snapToGrid w:val="0"/>
              <w:spacing w:line="280" w:lineRule="exact"/>
              <w:jc w:val="center"/>
              <w:rPr>
                <w:rFonts w:ascii="宋体" w:hAnsi="宋体"/>
                <w:color w:val="auto"/>
                <w:szCs w:val="21"/>
                <w:highlight w:val="none"/>
              </w:rPr>
            </w:pPr>
            <w:r>
              <w:rPr>
                <w:rFonts w:hint="eastAsia" w:ascii="宋体" w:hAnsi="宋体"/>
                <w:color w:val="auto"/>
                <w:szCs w:val="21"/>
                <w:highlight w:val="none"/>
              </w:rPr>
              <w:t>货物名称</w:t>
            </w:r>
          </w:p>
        </w:tc>
        <w:tc>
          <w:tcPr>
            <w:tcW w:w="1445" w:type="dxa"/>
            <w:noWrap w:val="0"/>
            <w:vAlign w:val="center"/>
          </w:tcPr>
          <w:p>
            <w:pPr>
              <w:snapToGrid w:val="0"/>
              <w:spacing w:line="280" w:lineRule="exact"/>
              <w:jc w:val="center"/>
              <w:rPr>
                <w:rFonts w:ascii="宋体" w:hAnsi="宋体"/>
                <w:color w:val="auto"/>
                <w:szCs w:val="21"/>
                <w:highlight w:val="none"/>
              </w:rPr>
            </w:pPr>
            <w:r>
              <w:rPr>
                <w:rFonts w:hint="eastAsia" w:ascii="宋体" w:hAnsi="宋体"/>
                <w:color w:val="auto"/>
                <w:szCs w:val="30"/>
                <w:highlight w:val="none"/>
              </w:rPr>
              <w:t>厂家、品牌、规格型号</w:t>
            </w:r>
          </w:p>
        </w:tc>
        <w:tc>
          <w:tcPr>
            <w:tcW w:w="1483" w:type="dxa"/>
            <w:noWrap w:val="0"/>
            <w:vAlign w:val="center"/>
          </w:tcPr>
          <w:p>
            <w:pPr>
              <w:snapToGrid w:val="0"/>
              <w:spacing w:line="280" w:lineRule="exact"/>
              <w:jc w:val="center"/>
              <w:rPr>
                <w:rFonts w:ascii="宋体" w:hAnsi="宋体"/>
                <w:color w:val="auto"/>
                <w:szCs w:val="21"/>
                <w:highlight w:val="none"/>
              </w:rPr>
            </w:pPr>
            <w:r>
              <w:rPr>
                <w:rFonts w:hint="eastAsia" w:ascii="宋体"/>
                <w:color w:val="auto"/>
                <w:szCs w:val="21"/>
                <w:highlight w:val="none"/>
              </w:rPr>
              <w:t>技术参数、性能、配置</w:t>
            </w:r>
          </w:p>
        </w:tc>
        <w:tc>
          <w:tcPr>
            <w:tcW w:w="1073" w:type="dxa"/>
            <w:noWrap w:val="0"/>
            <w:vAlign w:val="center"/>
          </w:tcPr>
          <w:p>
            <w:pPr>
              <w:snapToGrid w:val="0"/>
              <w:spacing w:line="280" w:lineRule="exact"/>
              <w:jc w:val="center"/>
              <w:rPr>
                <w:rFonts w:ascii="宋体" w:hAnsi="宋体"/>
                <w:color w:val="auto"/>
                <w:szCs w:val="21"/>
                <w:highlight w:val="none"/>
              </w:rPr>
            </w:pPr>
            <w:r>
              <w:rPr>
                <w:rFonts w:hint="eastAsia" w:ascii="宋体" w:hAnsi="宋体"/>
                <w:color w:val="auto"/>
                <w:szCs w:val="21"/>
                <w:highlight w:val="none"/>
              </w:rPr>
              <w:t>数量</w:t>
            </w:r>
          </w:p>
          <w:p>
            <w:pPr>
              <w:snapToGrid w:val="0"/>
              <w:spacing w:line="280" w:lineRule="exact"/>
              <w:jc w:val="center"/>
              <w:rPr>
                <w:rFonts w:ascii="宋体" w:hAnsi="宋体"/>
                <w:color w:val="auto"/>
                <w:szCs w:val="21"/>
                <w:highlight w:val="none"/>
              </w:rPr>
            </w:pPr>
            <w:r>
              <w:rPr>
                <w:rFonts w:hint="eastAsia" w:ascii="宋体" w:hAnsi="宋体"/>
                <w:color w:val="auto"/>
                <w:szCs w:val="21"/>
                <w:highlight w:val="none"/>
              </w:rPr>
              <w:t>①</w:t>
            </w:r>
          </w:p>
        </w:tc>
        <w:tc>
          <w:tcPr>
            <w:tcW w:w="714" w:type="dxa"/>
            <w:noWrap w:val="0"/>
            <w:vAlign w:val="center"/>
          </w:tcPr>
          <w:p>
            <w:pPr>
              <w:snapToGrid w:val="0"/>
              <w:spacing w:line="280" w:lineRule="exact"/>
              <w:jc w:val="center"/>
              <w:rPr>
                <w:rFonts w:ascii="宋体" w:hAnsi="宋体"/>
                <w:color w:val="auto"/>
                <w:szCs w:val="21"/>
                <w:highlight w:val="none"/>
              </w:rPr>
            </w:pPr>
            <w:r>
              <w:rPr>
                <w:rFonts w:hint="eastAsia" w:ascii="宋体" w:hAnsi="宋体"/>
                <w:color w:val="auto"/>
                <w:szCs w:val="21"/>
                <w:highlight w:val="none"/>
              </w:rPr>
              <w:t>单位</w:t>
            </w:r>
          </w:p>
        </w:tc>
        <w:tc>
          <w:tcPr>
            <w:tcW w:w="1545" w:type="dxa"/>
            <w:noWrap w:val="0"/>
            <w:vAlign w:val="center"/>
          </w:tcPr>
          <w:p>
            <w:pPr>
              <w:snapToGrid w:val="0"/>
              <w:spacing w:line="280" w:lineRule="exact"/>
              <w:jc w:val="center"/>
              <w:rPr>
                <w:rFonts w:ascii="宋体" w:hAnsi="宋体"/>
                <w:color w:val="auto"/>
                <w:szCs w:val="21"/>
                <w:highlight w:val="none"/>
              </w:rPr>
            </w:pPr>
            <w:r>
              <w:rPr>
                <w:rFonts w:hint="eastAsia" w:ascii="宋体" w:hAnsi="宋体"/>
                <w:color w:val="auto"/>
                <w:szCs w:val="21"/>
                <w:highlight w:val="none"/>
              </w:rPr>
              <w:t>单价（元）</w:t>
            </w:r>
          </w:p>
          <w:p>
            <w:pPr>
              <w:snapToGrid w:val="0"/>
              <w:spacing w:line="280" w:lineRule="exact"/>
              <w:jc w:val="center"/>
              <w:rPr>
                <w:rFonts w:ascii="宋体" w:hAnsi="宋体"/>
                <w:color w:val="auto"/>
                <w:szCs w:val="21"/>
                <w:highlight w:val="none"/>
              </w:rPr>
            </w:pPr>
            <w:r>
              <w:rPr>
                <w:rFonts w:hint="eastAsia" w:ascii="宋体" w:hAnsi="宋体"/>
                <w:color w:val="auto"/>
                <w:szCs w:val="21"/>
                <w:highlight w:val="none"/>
              </w:rPr>
              <w:t>②</w:t>
            </w:r>
          </w:p>
        </w:tc>
        <w:tc>
          <w:tcPr>
            <w:tcW w:w="1575" w:type="dxa"/>
            <w:noWrap w:val="0"/>
            <w:vAlign w:val="center"/>
          </w:tcPr>
          <w:p>
            <w:pPr>
              <w:snapToGrid w:val="0"/>
              <w:spacing w:line="280" w:lineRule="exact"/>
              <w:jc w:val="center"/>
              <w:rPr>
                <w:rFonts w:ascii="宋体" w:hAnsi="宋体"/>
                <w:color w:val="auto"/>
                <w:szCs w:val="21"/>
                <w:highlight w:val="none"/>
              </w:rPr>
            </w:pPr>
            <w:r>
              <w:rPr>
                <w:rFonts w:hint="eastAsia" w:ascii="宋体" w:hAnsi="宋体"/>
                <w:b/>
                <w:color w:val="auto"/>
                <w:szCs w:val="21"/>
                <w:highlight w:val="none"/>
              </w:rPr>
              <w:t>单项合计金额</w:t>
            </w:r>
            <w:r>
              <w:rPr>
                <w:rFonts w:hint="eastAsia" w:ascii="宋体" w:hAnsi="宋体"/>
                <w:color w:val="auto"/>
                <w:szCs w:val="21"/>
                <w:highlight w:val="none"/>
              </w:rPr>
              <w:t>（元）</w:t>
            </w:r>
          </w:p>
          <w:p>
            <w:pPr>
              <w:snapToGrid w:val="0"/>
              <w:spacing w:line="280" w:lineRule="exact"/>
              <w:jc w:val="center"/>
              <w:rPr>
                <w:rFonts w:ascii="宋体" w:hAnsi="宋体"/>
                <w:color w:val="auto"/>
                <w:szCs w:val="21"/>
                <w:highlight w:val="none"/>
              </w:rPr>
            </w:pPr>
            <w:r>
              <w:rPr>
                <w:rFonts w:hint="eastAsia" w:ascii="宋体" w:hAnsi="宋体"/>
                <w:color w:val="auto"/>
                <w:szCs w:val="21"/>
                <w:highlight w:val="none"/>
              </w:rPr>
              <w:t>③＝①×②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709" w:type="dxa"/>
            <w:noWrap w:val="0"/>
            <w:vAlign w:val="center"/>
          </w:tcPr>
          <w:p>
            <w:pPr>
              <w:snapToGrid w:val="0"/>
              <w:spacing w:line="360" w:lineRule="auto"/>
              <w:jc w:val="center"/>
              <w:rPr>
                <w:rFonts w:ascii="宋体" w:hAnsi="宋体"/>
                <w:color w:val="auto"/>
                <w:szCs w:val="21"/>
                <w:highlight w:val="none"/>
              </w:rPr>
            </w:pPr>
            <w:r>
              <w:rPr>
                <w:rFonts w:hint="eastAsia" w:ascii="宋体" w:hAnsi="宋体"/>
                <w:color w:val="auto"/>
                <w:szCs w:val="21"/>
                <w:highlight w:val="none"/>
              </w:rPr>
              <w:t>1</w:t>
            </w:r>
          </w:p>
        </w:tc>
        <w:tc>
          <w:tcPr>
            <w:tcW w:w="1232" w:type="dxa"/>
            <w:noWrap w:val="0"/>
            <w:vAlign w:val="center"/>
          </w:tcPr>
          <w:p>
            <w:pPr>
              <w:snapToGrid w:val="0"/>
              <w:spacing w:line="360" w:lineRule="auto"/>
              <w:rPr>
                <w:rFonts w:ascii="宋体" w:hAnsi="宋体"/>
                <w:color w:val="auto"/>
                <w:szCs w:val="21"/>
                <w:highlight w:val="none"/>
              </w:rPr>
            </w:pPr>
          </w:p>
        </w:tc>
        <w:tc>
          <w:tcPr>
            <w:tcW w:w="1445" w:type="dxa"/>
            <w:noWrap w:val="0"/>
            <w:vAlign w:val="center"/>
          </w:tcPr>
          <w:p>
            <w:pPr>
              <w:snapToGrid w:val="0"/>
              <w:spacing w:line="360" w:lineRule="auto"/>
              <w:rPr>
                <w:rFonts w:ascii="宋体" w:hAnsi="宋体"/>
                <w:color w:val="auto"/>
                <w:szCs w:val="21"/>
                <w:highlight w:val="none"/>
              </w:rPr>
            </w:pPr>
          </w:p>
        </w:tc>
        <w:tc>
          <w:tcPr>
            <w:tcW w:w="1483" w:type="dxa"/>
            <w:noWrap w:val="0"/>
            <w:vAlign w:val="center"/>
          </w:tcPr>
          <w:p>
            <w:pPr>
              <w:snapToGrid w:val="0"/>
              <w:spacing w:line="360" w:lineRule="auto"/>
              <w:rPr>
                <w:rFonts w:ascii="宋体" w:hAnsi="宋体"/>
                <w:color w:val="auto"/>
                <w:szCs w:val="21"/>
                <w:highlight w:val="none"/>
              </w:rPr>
            </w:pPr>
          </w:p>
        </w:tc>
        <w:tc>
          <w:tcPr>
            <w:tcW w:w="1073" w:type="dxa"/>
            <w:noWrap w:val="0"/>
            <w:vAlign w:val="top"/>
          </w:tcPr>
          <w:p>
            <w:pPr>
              <w:snapToGrid w:val="0"/>
              <w:spacing w:line="360" w:lineRule="auto"/>
              <w:rPr>
                <w:rFonts w:ascii="宋体" w:hAnsi="宋体"/>
                <w:color w:val="auto"/>
                <w:szCs w:val="21"/>
                <w:highlight w:val="none"/>
              </w:rPr>
            </w:pPr>
          </w:p>
        </w:tc>
        <w:tc>
          <w:tcPr>
            <w:tcW w:w="714" w:type="dxa"/>
            <w:noWrap w:val="0"/>
            <w:vAlign w:val="top"/>
          </w:tcPr>
          <w:p>
            <w:pPr>
              <w:snapToGrid w:val="0"/>
              <w:spacing w:line="360" w:lineRule="auto"/>
              <w:rPr>
                <w:rFonts w:ascii="宋体" w:hAnsi="宋体"/>
                <w:color w:val="auto"/>
                <w:szCs w:val="21"/>
                <w:highlight w:val="none"/>
              </w:rPr>
            </w:pPr>
          </w:p>
        </w:tc>
        <w:tc>
          <w:tcPr>
            <w:tcW w:w="1545" w:type="dxa"/>
            <w:noWrap w:val="0"/>
            <w:vAlign w:val="center"/>
          </w:tcPr>
          <w:p>
            <w:pPr>
              <w:snapToGrid w:val="0"/>
              <w:spacing w:line="360" w:lineRule="auto"/>
              <w:rPr>
                <w:rFonts w:ascii="宋体" w:hAnsi="宋体"/>
                <w:color w:val="auto"/>
                <w:szCs w:val="21"/>
                <w:highlight w:val="none"/>
              </w:rPr>
            </w:pPr>
          </w:p>
        </w:tc>
        <w:tc>
          <w:tcPr>
            <w:tcW w:w="1575" w:type="dxa"/>
            <w:noWrap w:val="0"/>
            <w:vAlign w:val="center"/>
          </w:tcPr>
          <w:p>
            <w:pPr>
              <w:snapToGrid w:val="0"/>
              <w:spacing w:line="36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709" w:type="dxa"/>
            <w:noWrap w:val="0"/>
            <w:vAlign w:val="center"/>
          </w:tcPr>
          <w:p>
            <w:pPr>
              <w:snapToGrid w:val="0"/>
              <w:spacing w:line="360" w:lineRule="auto"/>
              <w:jc w:val="center"/>
              <w:rPr>
                <w:rFonts w:ascii="宋体" w:hAnsi="宋体"/>
                <w:color w:val="auto"/>
                <w:szCs w:val="21"/>
                <w:highlight w:val="none"/>
              </w:rPr>
            </w:pPr>
            <w:r>
              <w:rPr>
                <w:rFonts w:hint="eastAsia" w:ascii="宋体" w:hAnsi="宋体"/>
                <w:color w:val="auto"/>
                <w:szCs w:val="21"/>
                <w:highlight w:val="none"/>
              </w:rPr>
              <w:t>2</w:t>
            </w:r>
          </w:p>
        </w:tc>
        <w:tc>
          <w:tcPr>
            <w:tcW w:w="1232" w:type="dxa"/>
            <w:noWrap w:val="0"/>
            <w:vAlign w:val="center"/>
          </w:tcPr>
          <w:p>
            <w:pPr>
              <w:snapToGrid w:val="0"/>
              <w:spacing w:line="360" w:lineRule="auto"/>
              <w:rPr>
                <w:rFonts w:ascii="宋体" w:hAnsi="宋体"/>
                <w:color w:val="auto"/>
                <w:szCs w:val="21"/>
                <w:highlight w:val="none"/>
              </w:rPr>
            </w:pPr>
          </w:p>
        </w:tc>
        <w:tc>
          <w:tcPr>
            <w:tcW w:w="1445" w:type="dxa"/>
            <w:noWrap w:val="0"/>
            <w:vAlign w:val="center"/>
          </w:tcPr>
          <w:p>
            <w:pPr>
              <w:snapToGrid w:val="0"/>
              <w:spacing w:line="360" w:lineRule="auto"/>
              <w:rPr>
                <w:rFonts w:ascii="宋体" w:hAnsi="宋体"/>
                <w:color w:val="auto"/>
                <w:szCs w:val="21"/>
                <w:highlight w:val="none"/>
              </w:rPr>
            </w:pPr>
          </w:p>
        </w:tc>
        <w:tc>
          <w:tcPr>
            <w:tcW w:w="1483" w:type="dxa"/>
            <w:noWrap w:val="0"/>
            <w:vAlign w:val="center"/>
          </w:tcPr>
          <w:p>
            <w:pPr>
              <w:snapToGrid w:val="0"/>
              <w:spacing w:line="360" w:lineRule="auto"/>
              <w:rPr>
                <w:rFonts w:ascii="宋体" w:hAnsi="宋体"/>
                <w:color w:val="auto"/>
                <w:szCs w:val="21"/>
                <w:highlight w:val="none"/>
              </w:rPr>
            </w:pPr>
          </w:p>
        </w:tc>
        <w:tc>
          <w:tcPr>
            <w:tcW w:w="1073" w:type="dxa"/>
            <w:noWrap w:val="0"/>
            <w:vAlign w:val="top"/>
          </w:tcPr>
          <w:p>
            <w:pPr>
              <w:snapToGrid w:val="0"/>
              <w:spacing w:line="360" w:lineRule="auto"/>
              <w:rPr>
                <w:rFonts w:ascii="宋体" w:hAnsi="宋体"/>
                <w:color w:val="auto"/>
                <w:szCs w:val="21"/>
                <w:highlight w:val="none"/>
              </w:rPr>
            </w:pPr>
          </w:p>
        </w:tc>
        <w:tc>
          <w:tcPr>
            <w:tcW w:w="714" w:type="dxa"/>
            <w:noWrap w:val="0"/>
            <w:vAlign w:val="top"/>
          </w:tcPr>
          <w:p>
            <w:pPr>
              <w:snapToGrid w:val="0"/>
              <w:spacing w:line="360" w:lineRule="auto"/>
              <w:rPr>
                <w:rFonts w:ascii="宋体" w:hAnsi="宋体"/>
                <w:color w:val="auto"/>
                <w:szCs w:val="21"/>
                <w:highlight w:val="none"/>
              </w:rPr>
            </w:pPr>
          </w:p>
        </w:tc>
        <w:tc>
          <w:tcPr>
            <w:tcW w:w="1545" w:type="dxa"/>
            <w:noWrap w:val="0"/>
            <w:vAlign w:val="center"/>
          </w:tcPr>
          <w:p>
            <w:pPr>
              <w:snapToGrid w:val="0"/>
              <w:spacing w:line="360" w:lineRule="auto"/>
              <w:rPr>
                <w:rFonts w:ascii="宋体" w:hAnsi="宋体"/>
                <w:color w:val="auto"/>
                <w:szCs w:val="21"/>
                <w:highlight w:val="none"/>
              </w:rPr>
            </w:pPr>
          </w:p>
        </w:tc>
        <w:tc>
          <w:tcPr>
            <w:tcW w:w="1575" w:type="dxa"/>
            <w:noWrap w:val="0"/>
            <w:vAlign w:val="center"/>
          </w:tcPr>
          <w:p>
            <w:pPr>
              <w:snapToGrid w:val="0"/>
              <w:spacing w:line="36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709" w:type="dxa"/>
            <w:noWrap w:val="0"/>
            <w:vAlign w:val="center"/>
          </w:tcPr>
          <w:p>
            <w:pPr>
              <w:snapToGrid w:val="0"/>
              <w:spacing w:line="360" w:lineRule="auto"/>
              <w:jc w:val="center"/>
              <w:rPr>
                <w:rFonts w:ascii="宋体" w:hAnsi="宋体"/>
                <w:color w:val="auto"/>
                <w:szCs w:val="21"/>
                <w:highlight w:val="none"/>
              </w:rPr>
            </w:pPr>
            <w:r>
              <w:rPr>
                <w:rFonts w:ascii="宋体" w:hAnsi="宋体"/>
                <w:color w:val="auto"/>
                <w:szCs w:val="21"/>
                <w:highlight w:val="none"/>
              </w:rPr>
              <w:t>…</w:t>
            </w:r>
          </w:p>
        </w:tc>
        <w:tc>
          <w:tcPr>
            <w:tcW w:w="1232" w:type="dxa"/>
            <w:noWrap w:val="0"/>
            <w:vAlign w:val="center"/>
          </w:tcPr>
          <w:p>
            <w:pPr>
              <w:snapToGrid w:val="0"/>
              <w:spacing w:line="360" w:lineRule="auto"/>
              <w:rPr>
                <w:rFonts w:ascii="宋体" w:hAnsi="宋体"/>
                <w:color w:val="auto"/>
                <w:szCs w:val="21"/>
                <w:highlight w:val="none"/>
              </w:rPr>
            </w:pPr>
          </w:p>
        </w:tc>
        <w:tc>
          <w:tcPr>
            <w:tcW w:w="1445" w:type="dxa"/>
            <w:noWrap w:val="0"/>
            <w:vAlign w:val="center"/>
          </w:tcPr>
          <w:p>
            <w:pPr>
              <w:snapToGrid w:val="0"/>
              <w:spacing w:line="360" w:lineRule="auto"/>
              <w:rPr>
                <w:rFonts w:ascii="宋体" w:hAnsi="宋体"/>
                <w:color w:val="auto"/>
                <w:szCs w:val="21"/>
                <w:highlight w:val="none"/>
              </w:rPr>
            </w:pPr>
          </w:p>
        </w:tc>
        <w:tc>
          <w:tcPr>
            <w:tcW w:w="1483" w:type="dxa"/>
            <w:noWrap w:val="0"/>
            <w:vAlign w:val="center"/>
          </w:tcPr>
          <w:p>
            <w:pPr>
              <w:snapToGrid w:val="0"/>
              <w:spacing w:line="360" w:lineRule="auto"/>
              <w:rPr>
                <w:rFonts w:ascii="宋体" w:hAnsi="宋体"/>
                <w:color w:val="auto"/>
                <w:szCs w:val="21"/>
                <w:highlight w:val="none"/>
              </w:rPr>
            </w:pPr>
          </w:p>
        </w:tc>
        <w:tc>
          <w:tcPr>
            <w:tcW w:w="1073" w:type="dxa"/>
            <w:noWrap w:val="0"/>
            <w:vAlign w:val="top"/>
          </w:tcPr>
          <w:p>
            <w:pPr>
              <w:snapToGrid w:val="0"/>
              <w:spacing w:line="360" w:lineRule="auto"/>
              <w:rPr>
                <w:rFonts w:ascii="宋体" w:hAnsi="宋体"/>
                <w:color w:val="auto"/>
                <w:szCs w:val="21"/>
                <w:highlight w:val="none"/>
              </w:rPr>
            </w:pPr>
          </w:p>
        </w:tc>
        <w:tc>
          <w:tcPr>
            <w:tcW w:w="714" w:type="dxa"/>
            <w:noWrap w:val="0"/>
            <w:vAlign w:val="top"/>
          </w:tcPr>
          <w:p>
            <w:pPr>
              <w:snapToGrid w:val="0"/>
              <w:spacing w:line="360" w:lineRule="auto"/>
              <w:rPr>
                <w:rFonts w:ascii="宋体" w:hAnsi="宋体"/>
                <w:color w:val="auto"/>
                <w:szCs w:val="21"/>
                <w:highlight w:val="none"/>
              </w:rPr>
            </w:pPr>
          </w:p>
        </w:tc>
        <w:tc>
          <w:tcPr>
            <w:tcW w:w="1545" w:type="dxa"/>
            <w:noWrap w:val="0"/>
            <w:vAlign w:val="center"/>
          </w:tcPr>
          <w:p>
            <w:pPr>
              <w:snapToGrid w:val="0"/>
              <w:spacing w:line="360" w:lineRule="auto"/>
              <w:rPr>
                <w:rFonts w:ascii="宋体" w:hAnsi="宋体"/>
                <w:color w:val="auto"/>
                <w:szCs w:val="21"/>
                <w:highlight w:val="none"/>
              </w:rPr>
            </w:pPr>
          </w:p>
        </w:tc>
        <w:tc>
          <w:tcPr>
            <w:tcW w:w="1575" w:type="dxa"/>
            <w:noWrap w:val="0"/>
            <w:vAlign w:val="center"/>
          </w:tcPr>
          <w:p>
            <w:pPr>
              <w:snapToGrid w:val="0"/>
              <w:spacing w:line="36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8201" w:type="dxa"/>
            <w:gridSpan w:val="7"/>
            <w:noWrap w:val="0"/>
            <w:vAlign w:val="center"/>
          </w:tcPr>
          <w:p>
            <w:pPr>
              <w:snapToGrid w:val="0"/>
              <w:spacing w:line="360" w:lineRule="auto"/>
              <w:rPr>
                <w:rFonts w:ascii="宋体" w:hAnsi="宋体"/>
                <w:color w:val="auto"/>
                <w:szCs w:val="21"/>
                <w:highlight w:val="none"/>
              </w:rPr>
            </w:pPr>
            <w:r>
              <w:rPr>
                <w:rFonts w:hint="eastAsia" w:ascii="宋体" w:hAnsi="宋体"/>
                <w:color w:val="auto"/>
                <w:szCs w:val="21"/>
                <w:highlight w:val="none"/>
              </w:rPr>
              <w:t xml:space="preserve">                                                         合   计</w:t>
            </w:r>
          </w:p>
        </w:tc>
        <w:tc>
          <w:tcPr>
            <w:tcW w:w="1575" w:type="dxa"/>
            <w:noWrap w:val="0"/>
            <w:vAlign w:val="center"/>
          </w:tcPr>
          <w:p>
            <w:pPr>
              <w:snapToGrid w:val="0"/>
              <w:spacing w:line="360" w:lineRule="auto"/>
              <w:rPr>
                <w:rFonts w:ascii="宋体" w:hAnsi="宋体"/>
                <w:color w:val="auto"/>
                <w:szCs w:val="21"/>
                <w:highlight w:val="none"/>
              </w:rPr>
            </w:pPr>
          </w:p>
        </w:tc>
      </w:tr>
    </w:tbl>
    <w:p>
      <w:pPr>
        <w:spacing w:line="400" w:lineRule="exact"/>
        <w:ind w:firstLine="411" w:firstLineChars="196"/>
        <w:rPr>
          <w:color w:val="auto"/>
          <w:szCs w:val="21"/>
          <w:highlight w:val="none"/>
        </w:rPr>
      </w:pPr>
      <w:r>
        <w:rPr>
          <w:rFonts w:hint="eastAsia"/>
          <w:color w:val="auto"/>
          <w:szCs w:val="21"/>
          <w:highlight w:val="none"/>
        </w:rPr>
        <w:t>根据《成交通知书》的成交内容，合同的总金额为：（大写）</w:t>
      </w:r>
      <w:r>
        <w:rPr>
          <w:rFonts w:hint="eastAsia"/>
          <w:color w:val="auto"/>
          <w:szCs w:val="21"/>
          <w:highlight w:val="none"/>
          <w:u w:val="single"/>
        </w:rPr>
        <w:t>　　　　　　　　　　　　　　　　　</w:t>
      </w:r>
      <w:r>
        <w:rPr>
          <w:rFonts w:hint="eastAsia"/>
          <w:color w:val="auto"/>
          <w:szCs w:val="21"/>
          <w:highlight w:val="none"/>
        </w:rPr>
        <w:t>人民币（￥</w:t>
      </w:r>
      <w:r>
        <w:rPr>
          <w:rFonts w:hint="eastAsia"/>
          <w:color w:val="auto"/>
          <w:szCs w:val="21"/>
          <w:highlight w:val="none"/>
          <w:u w:val="single"/>
        </w:rPr>
        <w:t>　　　　　　　　　　　　　　　</w:t>
      </w:r>
      <w:r>
        <w:rPr>
          <w:rFonts w:hint="eastAsia"/>
          <w:color w:val="auto"/>
          <w:szCs w:val="21"/>
          <w:highlight w:val="none"/>
        </w:rPr>
        <w:t>元）</w:t>
      </w:r>
    </w:p>
    <w:p>
      <w:pPr>
        <w:spacing w:line="400" w:lineRule="exact"/>
        <w:ind w:firstLine="413" w:firstLineChars="196"/>
        <w:rPr>
          <w:b/>
          <w:color w:val="auto"/>
          <w:szCs w:val="21"/>
          <w:highlight w:val="none"/>
        </w:rPr>
      </w:pPr>
      <w:r>
        <w:rPr>
          <w:rFonts w:hint="eastAsia"/>
          <w:b/>
          <w:color w:val="auto"/>
          <w:szCs w:val="21"/>
          <w:highlight w:val="none"/>
        </w:rPr>
        <w:t>第二条  质量保证</w:t>
      </w:r>
    </w:p>
    <w:p>
      <w:pPr>
        <w:spacing w:line="400" w:lineRule="exact"/>
        <w:ind w:firstLine="411" w:firstLineChars="196"/>
        <w:rPr>
          <w:color w:val="auto"/>
          <w:szCs w:val="21"/>
          <w:highlight w:val="none"/>
        </w:rPr>
      </w:pPr>
      <w:r>
        <w:rPr>
          <w:rFonts w:hint="eastAsia"/>
          <w:color w:val="auto"/>
          <w:szCs w:val="21"/>
          <w:highlight w:val="none"/>
        </w:rPr>
        <w:t>1、乙方应按</w:t>
      </w:r>
      <w:r>
        <w:rPr>
          <w:rFonts w:hint="eastAsia"/>
          <w:color w:val="auto"/>
          <w:highlight w:val="none"/>
        </w:rPr>
        <w:t>响应</w:t>
      </w:r>
      <w:r>
        <w:rPr>
          <w:rFonts w:hint="eastAsia"/>
          <w:color w:val="auto"/>
          <w:szCs w:val="21"/>
          <w:highlight w:val="none"/>
        </w:rPr>
        <w:t>文件规定的货物型号、技术规格、技术参数、</w:t>
      </w:r>
      <w:r>
        <w:rPr>
          <w:rFonts w:hint="eastAsia" w:ascii="宋体"/>
          <w:color w:val="auto"/>
          <w:szCs w:val="21"/>
          <w:highlight w:val="none"/>
        </w:rPr>
        <w:t>性能、配置、</w:t>
      </w:r>
      <w:r>
        <w:rPr>
          <w:rFonts w:hint="eastAsia"/>
          <w:color w:val="auto"/>
          <w:szCs w:val="21"/>
          <w:highlight w:val="none"/>
        </w:rPr>
        <w:t>质量标准向甲方提供未经使用的全新原装产品，且在正常安装、使用和保养条件下，其使用寿命期内各项指标均达到质量标准。乙方提供的节能和环境标志产品必须是列入现行政府采购清单目录内的产品。</w:t>
      </w:r>
    </w:p>
    <w:p>
      <w:pPr>
        <w:spacing w:line="400" w:lineRule="exact"/>
        <w:ind w:firstLine="435"/>
        <w:rPr>
          <w:color w:val="auto"/>
          <w:szCs w:val="21"/>
          <w:highlight w:val="none"/>
        </w:rPr>
      </w:pPr>
      <w:r>
        <w:rPr>
          <w:rFonts w:hint="eastAsia"/>
          <w:color w:val="auto"/>
          <w:szCs w:val="21"/>
          <w:highlight w:val="none"/>
        </w:rPr>
        <w:t>2、乙方提供货物的质量保证期</w:t>
      </w:r>
      <w:r>
        <w:rPr>
          <w:rFonts w:hint="eastAsia"/>
          <w:color w:val="auto"/>
          <w:szCs w:val="21"/>
          <w:highlight w:val="none"/>
          <w:u w:val="single"/>
        </w:rPr>
        <w:t xml:space="preserve">   </w:t>
      </w:r>
      <w:r>
        <w:rPr>
          <w:rFonts w:hint="eastAsia"/>
          <w:i/>
          <w:iCs/>
          <w:color w:val="auto"/>
          <w:szCs w:val="21"/>
          <w:highlight w:val="none"/>
          <w:u w:val="single"/>
        </w:rPr>
        <w:t>按响应文件中承诺填写</w:t>
      </w:r>
      <w:r>
        <w:rPr>
          <w:rFonts w:hint="eastAsia"/>
          <w:color w:val="auto"/>
          <w:szCs w:val="21"/>
          <w:highlight w:val="none"/>
          <w:u w:val="single"/>
        </w:rPr>
        <w:t xml:space="preserve">     </w:t>
      </w:r>
      <w:r>
        <w:rPr>
          <w:rFonts w:hint="eastAsia"/>
          <w:color w:val="auto"/>
          <w:szCs w:val="21"/>
          <w:highlight w:val="none"/>
        </w:rPr>
        <w:t>。在质保期内因货物本身的质量问题发生故障，乙方应负责免费修理和更换零部件。对达不到技术要求者，根据实际情况，经双方协商，可按以下办法处理：</w:t>
      </w:r>
    </w:p>
    <w:p>
      <w:pPr>
        <w:spacing w:line="400" w:lineRule="exact"/>
        <w:ind w:firstLine="435"/>
        <w:rPr>
          <w:color w:val="auto"/>
          <w:szCs w:val="21"/>
          <w:highlight w:val="none"/>
        </w:rPr>
      </w:pPr>
      <w:r>
        <w:rPr>
          <w:rFonts w:hint="eastAsia"/>
          <w:color w:val="auto"/>
          <w:szCs w:val="21"/>
          <w:highlight w:val="none"/>
        </w:rPr>
        <w:t>（1）更换：由乙方承担所有发生的全部费用。</w:t>
      </w:r>
    </w:p>
    <w:p>
      <w:pPr>
        <w:spacing w:line="400" w:lineRule="exact"/>
        <w:ind w:firstLine="420" w:firstLineChars="200"/>
        <w:rPr>
          <w:color w:val="auto"/>
          <w:szCs w:val="21"/>
          <w:highlight w:val="none"/>
        </w:rPr>
      </w:pPr>
      <w:r>
        <w:rPr>
          <w:rFonts w:hint="eastAsia"/>
          <w:color w:val="auto"/>
          <w:szCs w:val="21"/>
          <w:highlight w:val="none"/>
        </w:rPr>
        <w:t>（2）贬值处理：由甲乙双方合议定价。</w:t>
      </w:r>
    </w:p>
    <w:p>
      <w:pPr>
        <w:spacing w:line="400" w:lineRule="exact"/>
        <w:ind w:firstLine="420" w:firstLineChars="200"/>
        <w:rPr>
          <w:rFonts w:hint="eastAsia"/>
          <w:color w:val="auto"/>
          <w:szCs w:val="21"/>
          <w:highlight w:val="none"/>
        </w:rPr>
      </w:pPr>
      <w:r>
        <w:rPr>
          <w:rFonts w:hint="eastAsia"/>
          <w:color w:val="auto"/>
          <w:szCs w:val="21"/>
          <w:highlight w:val="none"/>
        </w:rPr>
        <w:t>（3）退货处理：乙方应退还甲方支付的合同款，同时应承担该货物的直接费用（运输、保险、检验、贷款利息及银行手续费等）。</w:t>
      </w:r>
    </w:p>
    <w:p>
      <w:pPr>
        <w:spacing w:line="400" w:lineRule="exact"/>
        <w:ind w:firstLine="413" w:firstLineChars="196"/>
        <w:rPr>
          <w:b/>
          <w:color w:val="auto"/>
          <w:szCs w:val="21"/>
          <w:highlight w:val="none"/>
        </w:rPr>
      </w:pPr>
      <w:r>
        <w:rPr>
          <w:rFonts w:hint="eastAsia"/>
          <w:b/>
          <w:color w:val="auto"/>
          <w:szCs w:val="21"/>
          <w:highlight w:val="none"/>
        </w:rPr>
        <w:t>第三条  权力保证</w:t>
      </w:r>
    </w:p>
    <w:p>
      <w:pPr>
        <w:spacing w:line="400" w:lineRule="exact"/>
        <w:ind w:firstLine="411" w:firstLineChars="196"/>
        <w:rPr>
          <w:color w:val="auto"/>
          <w:szCs w:val="21"/>
          <w:highlight w:val="none"/>
        </w:rPr>
      </w:pPr>
      <w:r>
        <w:rPr>
          <w:rFonts w:hint="eastAsia"/>
          <w:color w:val="auto"/>
          <w:szCs w:val="21"/>
          <w:highlight w:val="none"/>
        </w:rPr>
        <w:t>1、 乙方应保证所提供货物在使用时不会侵犯任何第三方的专利权、商标权、工业设计权或其他权利。</w:t>
      </w:r>
    </w:p>
    <w:p>
      <w:pPr>
        <w:spacing w:line="400" w:lineRule="exact"/>
        <w:ind w:firstLine="420" w:firstLineChars="200"/>
        <w:rPr>
          <w:color w:val="auto"/>
          <w:szCs w:val="21"/>
          <w:highlight w:val="none"/>
        </w:rPr>
      </w:pPr>
      <w:r>
        <w:rPr>
          <w:rFonts w:hint="eastAsia"/>
          <w:color w:val="auto"/>
          <w:szCs w:val="21"/>
          <w:highlight w:val="none"/>
        </w:rPr>
        <w:t>2、乙方应按谈判文件规定的时间向甲方提供使用货物的有关技术资料。</w:t>
      </w:r>
    </w:p>
    <w:p>
      <w:pPr>
        <w:spacing w:line="400" w:lineRule="exact"/>
        <w:rPr>
          <w:color w:val="auto"/>
          <w:szCs w:val="21"/>
          <w:highlight w:val="none"/>
        </w:rPr>
      </w:pPr>
      <w:r>
        <w:rPr>
          <w:rFonts w:hint="eastAsia"/>
          <w:color w:val="auto"/>
          <w:szCs w:val="21"/>
          <w:highlight w:val="none"/>
        </w:rPr>
        <w:t xml:space="preserve">    3、乙方保证所交付的货物的所有权完全属于乙方且无任何抵押、质押、查封等产权瑕疵。</w:t>
      </w:r>
    </w:p>
    <w:p>
      <w:pPr>
        <w:spacing w:line="400" w:lineRule="exact"/>
        <w:ind w:firstLine="422" w:firstLineChars="200"/>
        <w:rPr>
          <w:b/>
          <w:color w:val="auto"/>
          <w:szCs w:val="21"/>
          <w:highlight w:val="none"/>
        </w:rPr>
      </w:pPr>
      <w:r>
        <w:rPr>
          <w:rFonts w:hint="eastAsia"/>
          <w:b/>
          <w:color w:val="auto"/>
          <w:szCs w:val="21"/>
          <w:highlight w:val="none"/>
        </w:rPr>
        <w:t>第四条  货物包装、运输</w:t>
      </w:r>
    </w:p>
    <w:p>
      <w:pPr>
        <w:spacing w:line="400" w:lineRule="exact"/>
        <w:ind w:firstLine="420" w:firstLineChars="200"/>
        <w:rPr>
          <w:color w:val="auto"/>
          <w:szCs w:val="21"/>
          <w:highlight w:val="none"/>
        </w:rPr>
      </w:pPr>
      <w:r>
        <w:rPr>
          <w:rFonts w:hint="eastAsia"/>
          <w:color w:val="auto"/>
          <w:szCs w:val="21"/>
          <w:highlight w:val="none"/>
        </w:rPr>
        <w:t>1、乙方应在货物发运前对其进行满足运输距离、防潮、防震、防锈和防破损装卸等要求包装，以保证货物安全运达甲方指定地点。</w:t>
      </w:r>
    </w:p>
    <w:p>
      <w:pPr>
        <w:numPr>
          <w:ilvl w:val="0"/>
          <w:numId w:val="6"/>
        </w:numPr>
        <w:spacing w:line="400" w:lineRule="exact"/>
        <w:rPr>
          <w:color w:val="auto"/>
          <w:szCs w:val="21"/>
          <w:highlight w:val="none"/>
        </w:rPr>
      </w:pPr>
      <w:r>
        <w:rPr>
          <w:rFonts w:hint="eastAsia"/>
          <w:color w:val="auto"/>
          <w:szCs w:val="21"/>
          <w:highlight w:val="none"/>
        </w:rPr>
        <w:t>使用说明书（货物属于进口产品的，供货时应同时附上中文使用说明书）、质量检验证明书、随配附件和工具以及清单一并附于货物内。</w:t>
      </w:r>
    </w:p>
    <w:p>
      <w:pPr>
        <w:spacing w:line="400" w:lineRule="exact"/>
        <w:ind w:firstLine="420" w:firstLineChars="200"/>
        <w:rPr>
          <w:color w:val="auto"/>
          <w:szCs w:val="21"/>
          <w:highlight w:val="none"/>
        </w:rPr>
      </w:pPr>
      <w:r>
        <w:rPr>
          <w:rFonts w:hint="eastAsia"/>
          <w:color w:val="auto"/>
          <w:szCs w:val="21"/>
          <w:highlight w:val="none"/>
        </w:rPr>
        <w:t>3、乙方在货物发运手续办理完毕后二十四小时内或货到甲方四十八小时前通知甲方，以准备接货。</w:t>
      </w:r>
    </w:p>
    <w:p>
      <w:pPr>
        <w:numPr>
          <w:ilvl w:val="0"/>
          <w:numId w:val="7"/>
        </w:numPr>
        <w:spacing w:line="400" w:lineRule="exact"/>
        <w:rPr>
          <w:color w:val="auto"/>
          <w:szCs w:val="21"/>
          <w:highlight w:val="none"/>
        </w:rPr>
      </w:pPr>
      <w:r>
        <w:rPr>
          <w:rFonts w:hint="eastAsia"/>
          <w:color w:val="auto"/>
          <w:szCs w:val="21"/>
          <w:highlight w:val="none"/>
        </w:rPr>
        <w:t>货物在交付甲方前发生的风险均由乙方负责。</w:t>
      </w:r>
    </w:p>
    <w:p>
      <w:pPr>
        <w:spacing w:line="400" w:lineRule="exact"/>
        <w:ind w:firstLine="413" w:firstLineChars="196"/>
        <w:rPr>
          <w:b/>
          <w:color w:val="auto"/>
          <w:szCs w:val="21"/>
          <w:highlight w:val="none"/>
        </w:rPr>
      </w:pPr>
      <w:r>
        <w:rPr>
          <w:rFonts w:hint="eastAsia"/>
          <w:b/>
          <w:color w:val="auto"/>
          <w:szCs w:val="21"/>
          <w:highlight w:val="none"/>
        </w:rPr>
        <w:t>第五条  交付</w:t>
      </w:r>
    </w:p>
    <w:p>
      <w:pPr>
        <w:adjustRightInd w:val="0"/>
        <w:spacing w:line="360" w:lineRule="exact"/>
        <w:ind w:firstLine="422" w:firstLineChars="200"/>
        <w:rPr>
          <w:rFonts w:hint="eastAsia"/>
          <w:b/>
          <w:bCs/>
          <w:color w:val="auto"/>
          <w:szCs w:val="21"/>
          <w:highlight w:val="none"/>
        </w:rPr>
      </w:pPr>
      <w:r>
        <w:rPr>
          <w:rFonts w:hint="eastAsia"/>
          <w:b/>
          <w:bCs/>
          <w:color w:val="auto"/>
          <w:szCs w:val="21"/>
          <w:highlight w:val="none"/>
        </w:rPr>
        <w:t>1、交付时间：</w:t>
      </w:r>
      <w:r>
        <w:rPr>
          <w:rFonts w:hint="eastAsia" w:ascii="宋体" w:hAnsi="宋体" w:cs="宋体"/>
          <w:color w:val="auto"/>
          <w:kern w:val="0"/>
          <w:szCs w:val="21"/>
          <w:highlight w:val="none"/>
        </w:rPr>
        <w:t>自签订合同之日起</w:t>
      </w:r>
      <w:r>
        <w:rPr>
          <w:rFonts w:hint="eastAsia" w:ascii="宋体" w:hAnsi="宋体" w:cs="宋体"/>
          <w:color w:val="auto"/>
          <w:kern w:val="0"/>
          <w:szCs w:val="21"/>
          <w:highlight w:val="none"/>
          <w:lang w:val="en-US" w:eastAsia="zh-CN"/>
        </w:rPr>
        <w:t>45</w:t>
      </w:r>
      <w:r>
        <w:rPr>
          <w:rFonts w:hint="eastAsia" w:ascii="宋体" w:hAnsi="宋体" w:cs="宋体"/>
          <w:color w:val="auto"/>
          <w:kern w:val="0"/>
          <w:szCs w:val="21"/>
          <w:highlight w:val="none"/>
        </w:rPr>
        <w:t>日内安装调试并交付使用；延迟交货供应商应承担相应的责任。</w:t>
      </w:r>
    </w:p>
    <w:p>
      <w:pPr>
        <w:adjustRightInd w:val="0"/>
        <w:spacing w:line="400" w:lineRule="exact"/>
        <w:ind w:firstLine="632" w:firstLineChars="300"/>
        <w:rPr>
          <w:rFonts w:hint="eastAsia" w:ascii="宋体" w:hAnsi="宋体" w:cs="宋体"/>
          <w:color w:val="auto"/>
          <w:szCs w:val="21"/>
          <w:highlight w:val="none"/>
        </w:rPr>
      </w:pPr>
      <w:r>
        <w:rPr>
          <w:rFonts w:hint="eastAsia"/>
          <w:b/>
          <w:bCs/>
          <w:color w:val="auto"/>
          <w:szCs w:val="21"/>
          <w:highlight w:val="none"/>
        </w:rPr>
        <w:t xml:space="preserve">交付地点： </w:t>
      </w:r>
      <w:r>
        <w:rPr>
          <w:rFonts w:hint="eastAsia" w:ascii="宋体" w:hAnsi="宋体" w:cs="宋体"/>
          <w:color w:val="auto"/>
          <w:szCs w:val="21"/>
          <w:highlight w:val="none"/>
        </w:rPr>
        <w:t>采购人指定地点。</w:t>
      </w:r>
    </w:p>
    <w:p>
      <w:pPr>
        <w:spacing w:line="400" w:lineRule="exact"/>
        <w:rPr>
          <w:color w:val="auto"/>
          <w:szCs w:val="21"/>
          <w:highlight w:val="none"/>
        </w:rPr>
      </w:pPr>
      <w:r>
        <w:rPr>
          <w:rFonts w:hint="eastAsia"/>
          <w:color w:val="auto"/>
          <w:szCs w:val="21"/>
          <w:highlight w:val="none"/>
        </w:rPr>
        <w:t xml:space="preserve">    2、乙方提供不符合谈判文件、</w:t>
      </w:r>
      <w:r>
        <w:rPr>
          <w:rFonts w:hint="eastAsia"/>
          <w:color w:val="auto"/>
          <w:highlight w:val="none"/>
        </w:rPr>
        <w:t>响应</w:t>
      </w:r>
      <w:r>
        <w:rPr>
          <w:rFonts w:hint="eastAsia"/>
          <w:color w:val="auto"/>
          <w:szCs w:val="21"/>
          <w:highlight w:val="none"/>
        </w:rPr>
        <w:t>文件和本合同规定的货物，甲方有权拒绝接受。</w:t>
      </w:r>
    </w:p>
    <w:p>
      <w:pPr>
        <w:spacing w:line="400" w:lineRule="exact"/>
        <w:ind w:firstLine="420"/>
        <w:rPr>
          <w:rFonts w:hint="eastAsia"/>
          <w:color w:val="auto"/>
          <w:szCs w:val="21"/>
          <w:highlight w:val="none"/>
        </w:rPr>
      </w:pPr>
      <w:r>
        <w:rPr>
          <w:rFonts w:hint="eastAsia"/>
          <w:color w:val="auto"/>
          <w:szCs w:val="21"/>
          <w:highlight w:val="none"/>
        </w:rPr>
        <w:t>3、乙方应将所有提供货物的装箱清单、用户手册、原厂保修卡、随机资料、工具和备用、备件等交付给甲方，货物属于进口产品的，供货时应同时附上中文使用说明书，如有缺失应及时补齐，否则视为逾期交货。</w:t>
      </w:r>
    </w:p>
    <w:p>
      <w:pPr>
        <w:pStyle w:val="29"/>
        <w:spacing w:line="400" w:lineRule="exact"/>
        <w:ind w:firstLine="420" w:firstLineChars="200"/>
        <w:rPr>
          <w:rFonts w:hint="eastAsia"/>
          <w:bCs w:val="0"/>
          <w:color w:val="auto"/>
          <w:spacing w:val="0"/>
          <w:kern w:val="2"/>
          <w:sz w:val="21"/>
          <w:szCs w:val="21"/>
          <w:highlight w:val="none"/>
        </w:rPr>
      </w:pPr>
      <w:r>
        <w:rPr>
          <w:rFonts w:hint="eastAsia"/>
          <w:bCs w:val="0"/>
          <w:color w:val="auto"/>
          <w:spacing w:val="0"/>
          <w:kern w:val="2"/>
          <w:sz w:val="21"/>
          <w:szCs w:val="21"/>
          <w:highlight w:val="none"/>
        </w:rPr>
        <w:t>4、乙方应按时运送至采购人指定地点交货，逾期交货的，采购人有权终止合同，由此造成的后果由成交供应商自行承担。</w:t>
      </w:r>
    </w:p>
    <w:p>
      <w:pPr>
        <w:spacing w:line="400" w:lineRule="exact"/>
        <w:ind w:left="413"/>
        <w:rPr>
          <w:rFonts w:hint="eastAsia"/>
          <w:b/>
          <w:color w:val="auto"/>
          <w:szCs w:val="21"/>
          <w:highlight w:val="none"/>
        </w:rPr>
      </w:pPr>
      <w:r>
        <w:rPr>
          <w:rFonts w:hint="eastAsia"/>
          <w:b/>
          <w:color w:val="auto"/>
          <w:szCs w:val="21"/>
          <w:highlight w:val="none"/>
        </w:rPr>
        <w:t>第六条  调试和验收</w:t>
      </w:r>
    </w:p>
    <w:p>
      <w:pPr>
        <w:spacing w:line="400" w:lineRule="exact"/>
        <w:ind w:firstLine="420" w:firstLineChars="200"/>
        <w:rPr>
          <w:rFonts w:hint="eastAsia"/>
          <w:bCs/>
          <w:color w:val="auto"/>
          <w:szCs w:val="21"/>
          <w:highlight w:val="none"/>
        </w:rPr>
      </w:pPr>
      <w:r>
        <w:rPr>
          <w:rFonts w:hint="eastAsia"/>
          <w:bCs/>
          <w:color w:val="auto"/>
          <w:szCs w:val="21"/>
          <w:highlight w:val="none"/>
        </w:rPr>
        <w:t>1、设备到货安装前，采购人现场根据谈判文件要求、注册产品标准及谈判文件承诺逐条对应进行核验，核验不合格的不予验收，由此造成采购人经济损失的由成交供应商负责承担全部赔偿责任。采购人有权邀请相关专家检查验收；成交供应商必须服从监督管理。</w:t>
      </w:r>
    </w:p>
    <w:p>
      <w:pPr>
        <w:spacing w:line="400" w:lineRule="exact"/>
        <w:ind w:firstLine="420" w:firstLineChars="200"/>
        <w:rPr>
          <w:color w:val="auto"/>
          <w:szCs w:val="21"/>
          <w:highlight w:val="none"/>
        </w:rPr>
      </w:pPr>
      <w:r>
        <w:rPr>
          <w:rFonts w:hint="eastAsia"/>
          <w:color w:val="auto"/>
          <w:szCs w:val="21"/>
          <w:highlight w:val="none"/>
        </w:rPr>
        <w:t>2、乙方交货前应对产品做出全面的检查和对验收文件进行整理，并列出清单，作为甲方验收和使用的技术条件依据，验收的结果应随货物交甲方。</w:t>
      </w:r>
    </w:p>
    <w:p>
      <w:pPr>
        <w:spacing w:line="400" w:lineRule="exact"/>
        <w:ind w:firstLine="420" w:firstLineChars="200"/>
        <w:rPr>
          <w:color w:val="auto"/>
          <w:szCs w:val="21"/>
          <w:highlight w:val="none"/>
        </w:rPr>
      </w:pPr>
      <w:r>
        <w:rPr>
          <w:rFonts w:hint="eastAsia"/>
          <w:color w:val="auto"/>
          <w:szCs w:val="21"/>
          <w:highlight w:val="none"/>
        </w:rPr>
        <w:t>3、甲方依据</w:t>
      </w:r>
      <w:r>
        <w:rPr>
          <w:rFonts w:hint="eastAsia"/>
          <w:color w:val="auto"/>
          <w:highlight w:val="none"/>
        </w:rPr>
        <w:t>响应</w:t>
      </w:r>
      <w:r>
        <w:rPr>
          <w:rFonts w:hint="eastAsia"/>
          <w:color w:val="auto"/>
          <w:szCs w:val="21"/>
          <w:highlight w:val="none"/>
        </w:rPr>
        <w:t>文件的技术规格要求和国家有关质量标准对货物进行现场初步验收，外观、说明书符合</w:t>
      </w:r>
      <w:r>
        <w:rPr>
          <w:rFonts w:hint="eastAsia" w:ascii="宋体" w:hAnsi="宋体"/>
          <w:color w:val="auto"/>
          <w:szCs w:val="21"/>
          <w:highlight w:val="none"/>
        </w:rPr>
        <w:t>响应</w:t>
      </w:r>
      <w:r>
        <w:rPr>
          <w:rFonts w:hint="eastAsia"/>
          <w:color w:val="auto"/>
          <w:szCs w:val="21"/>
          <w:highlight w:val="none"/>
        </w:rPr>
        <w:t>文件技术要求的，给予签收，初步验收不合格的不予签收。货到后，甲方应当在到货（安装、调试完）后七个工作日内进行验收，验收合格后由甲乙双方签署货物验收单并加盖公章，甲乙双方各执一份。</w:t>
      </w:r>
    </w:p>
    <w:p>
      <w:pPr>
        <w:spacing w:line="400" w:lineRule="exact"/>
        <w:ind w:firstLine="420" w:firstLineChars="200"/>
        <w:rPr>
          <w:color w:val="auto"/>
          <w:szCs w:val="21"/>
          <w:highlight w:val="none"/>
        </w:rPr>
      </w:pPr>
      <w:r>
        <w:rPr>
          <w:rFonts w:hint="eastAsia"/>
          <w:color w:val="auto"/>
          <w:szCs w:val="21"/>
          <w:highlight w:val="none"/>
        </w:rPr>
        <w:t>4、甲方对乙方提供的货物在使用前进行调试时，乙方需负责安装并培训甲方的使用操作人员，并协助甲方一起调试，直到符合技术要求，甲方才做最终验收。</w:t>
      </w:r>
    </w:p>
    <w:p>
      <w:pPr>
        <w:spacing w:line="400" w:lineRule="exact"/>
        <w:ind w:firstLine="420" w:firstLineChars="200"/>
        <w:rPr>
          <w:color w:val="auto"/>
          <w:szCs w:val="21"/>
          <w:highlight w:val="none"/>
        </w:rPr>
      </w:pPr>
      <w:r>
        <w:rPr>
          <w:rFonts w:hint="eastAsia"/>
          <w:color w:val="auto"/>
          <w:szCs w:val="21"/>
          <w:highlight w:val="none"/>
        </w:rPr>
        <w:t>5、对技术复杂的货物，甲方应请国家认可的专业检测机构参与初步验收及最终验收，并由其出具质量检测报告。</w:t>
      </w:r>
    </w:p>
    <w:p>
      <w:pPr>
        <w:spacing w:line="400" w:lineRule="exact"/>
        <w:ind w:left="420"/>
        <w:rPr>
          <w:color w:val="auto"/>
          <w:szCs w:val="21"/>
          <w:highlight w:val="none"/>
        </w:rPr>
      </w:pPr>
      <w:r>
        <w:rPr>
          <w:rFonts w:hint="eastAsia"/>
          <w:color w:val="auto"/>
          <w:szCs w:val="21"/>
          <w:highlight w:val="none"/>
        </w:rPr>
        <w:t>6、验收时乙方必须在现场，验收完毕后作出验收结果报告，验收费用由乙方负责。</w:t>
      </w:r>
    </w:p>
    <w:p>
      <w:pPr>
        <w:spacing w:line="400" w:lineRule="exact"/>
        <w:ind w:firstLine="420" w:firstLineChars="200"/>
        <w:rPr>
          <w:color w:val="auto"/>
          <w:szCs w:val="21"/>
          <w:highlight w:val="none"/>
        </w:rPr>
      </w:pPr>
      <w:r>
        <w:rPr>
          <w:rFonts w:hint="eastAsia"/>
          <w:color w:val="auto"/>
          <w:szCs w:val="21"/>
          <w:highlight w:val="none"/>
        </w:rPr>
        <w:t>7、甲方对验收有异议的，在验收后五个工作日内以书面形式向乙方提出，乙方应自收到甲方书面异议后</w:t>
      </w:r>
      <w:r>
        <w:rPr>
          <w:rFonts w:hint="eastAsia"/>
          <w:color w:val="auto"/>
          <w:szCs w:val="21"/>
          <w:highlight w:val="none"/>
          <w:u w:val="single"/>
        </w:rPr>
        <w:t xml:space="preserve">　3   </w:t>
      </w:r>
      <w:r>
        <w:rPr>
          <w:rFonts w:hint="eastAsia"/>
          <w:color w:val="auto"/>
          <w:szCs w:val="21"/>
          <w:highlight w:val="none"/>
        </w:rPr>
        <w:t>日内及时予以解决。</w:t>
      </w:r>
    </w:p>
    <w:p>
      <w:pPr>
        <w:spacing w:line="400" w:lineRule="exact"/>
        <w:ind w:firstLine="413" w:firstLineChars="196"/>
        <w:rPr>
          <w:b/>
          <w:color w:val="auto"/>
          <w:szCs w:val="21"/>
          <w:highlight w:val="none"/>
        </w:rPr>
      </w:pPr>
      <w:r>
        <w:rPr>
          <w:rFonts w:hint="eastAsia"/>
          <w:b/>
          <w:color w:val="auto"/>
          <w:szCs w:val="21"/>
          <w:highlight w:val="none"/>
        </w:rPr>
        <w:t>第八条  安装和培训</w:t>
      </w:r>
    </w:p>
    <w:p>
      <w:pPr>
        <w:spacing w:line="400" w:lineRule="exact"/>
        <w:ind w:firstLine="315" w:firstLineChars="150"/>
        <w:rPr>
          <w:color w:val="auto"/>
          <w:szCs w:val="21"/>
          <w:highlight w:val="none"/>
        </w:rPr>
      </w:pPr>
      <w:r>
        <w:rPr>
          <w:rFonts w:hint="eastAsia"/>
          <w:color w:val="auto"/>
          <w:szCs w:val="21"/>
          <w:highlight w:val="none"/>
        </w:rPr>
        <w:t xml:space="preserve"> 1、甲方应提供必要安装条件（如场地、电源、水源等）。</w:t>
      </w:r>
    </w:p>
    <w:p>
      <w:pPr>
        <w:spacing w:line="400" w:lineRule="exact"/>
        <w:ind w:firstLine="315" w:firstLineChars="150"/>
        <w:rPr>
          <w:rFonts w:hint="eastAsia"/>
          <w:color w:val="auto"/>
          <w:szCs w:val="21"/>
          <w:highlight w:val="none"/>
        </w:rPr>
      </w:pPr>
      <w:r>
        <w:rPr>
          <w:rFonts w:hint="eastAsia"/>
          <w:color w:val="auto"/>
          <w:szCs w:val="21"/>
          <w:highlight w:val="none"/>
        </w:rPr>
        <w:t xml:space="preserve"> 2、乙方负责甲方有关人员的培训。培训时间、地点：</w:t>
      </w:r>
      <w:r>
        <w:rPr>
          <w:rFonts w:hint="eastAsia"/>
          <w:color w:val="auto"/>
          <w:szCs w:val="21"/>
          <w:highlight w:val="none"/>
          <w:u w:val="single"/>
        </w:rPr>
        <w:t xml:space="preserve"> 采购人指定时间地点</w:t>
      </w:r>
      <w:r>
        <w:rPr>
          <w:rFonts w:hint="eastAsia"/>
          <w:color w:val="auto"/>
          <w:szCs w:val="21"/>
          <w:highlight w:val="none"/>
        </w:rPr>
        <w:t>。</w:t>
      </w:r>
    </w:p>
    <w:p>
      <w:pPr>
        <w:spacing w:line="400" w:lineRule="exact"/>
        <w:ind w:firstLine="413" w:firstLineChars="196"/>
        <w:rPr>
          <w:b/>
          <w:color w:val="auto"/>
          <w:szCs w:val="21"/>
          <w:highlight w:val="none"/>
        </w:rPr>
      </w:pPr>
      <w:r>
        <w:rPr>
          <w:rFonts w:hint="eastAsia"/>
          <w:b/>
          <w:color w:val="auto"/>
          <w:szCs w:val="21"/>
          <w:highlight w:val="none"/>
        </w:rPr>
        <w:t>第九条  售后服务、保修期</w:t>
      </w:r>
    </w:p>
    <w:p>
      <w:pPr>
        <w:spacing w:line="400" w:lineRule="exact"/>
        <w:ind w:firstLine="420" w:firstLineChars="200"/>
        <w:rPr>
          <w:rFonts w:hint="eastAsia"/>
          <w:color w:val="auto"/>
          <w:szCs w:val="21"/>
          <w:highlight w:val="none"/>
        </w:rPr>
      </w:pPr>
      <w:r>
        <w:rPr>
          <w:rFonts w:hint="eastAsia"/>
          <w:color w:val="auto"/>
          <w:szCs w:val="21"/>
          <w:highlight w:val="none"/>
        </w:rPr>
        <w:t>1、乙方应按照国家有关法律规定和“三包”规定以及</w:t>
      </w:r>
      <w:r>
        <w:rPr>
          <w:rFonts w:hint="eastAsia"/>
          <w:color w:val="auto"/>
          <w:highlight w:val="none"/>
        </w:rPr>
        <w:t>响应</w:t>
      </w:r>
      <w:r>
        <w:rPr>
          <w:rFonts w:hint="eastAsia"/>
          <w:color w:val="auto"/>
          <w:szCs w:val="21"/>
          <w:highlight w:val="none"/>
        </w:rPr>
        <w:t>文件和本合同所附的《服务承诺》，为甲方提供售后服务。</w:t>
      </w:r>
    </w:p>
    <w:p>
      <w:pPr>
        <w:spacing w:line="400" w:lineRule="exact"/>
        <w:ind w:firstLine="420" w:firstLineChars="200"/>
        <w:rPr>
          <w:color w:val="auto"/>
          <w:szCs w:val="21"/>
          <w:highlight w:val="none"/>
        </w:rPr>
      </w:pPr>
      <w:r>
        <w:rPr>
          <w:rFonts w:hint="eastAsia"/>
          <w:color w:val="auto"/>
          <w:szCs w:val="21"/>
          <w:highlight w:val="none"/>
        </w:rPr>
        <w:t>2、如在使用过程中发生质量问题，乙方在接到甲方通知后在响应文件承诺的时间内响应。</w:t>
      </w:r>
    </w:p>
    <w:p>
      <w:pPr>
        <w:spacing w:line="400" w:lineRule="exact"/>
        <w:ind w:firstLine="420" w:firstLineChars="200"/>
        <w:rPr>
          <w:color w:val="auto"/>
          <w:szCs w:val="21"/>
          <w:highlight w:val="none"/>
        </w:rPr>
      </w:pPr>
      <w:r>
        <w:rPr>
          <w:rFonts w:hint="eastAsia"/>
          <w:color w:val="auto"/>
          <w:szCs w:val="21"/>
          <w:highlight w:val="none"/>
        </w:rPr>
        <w:t>3、在质保期内，乙方应对货物出现的质量及安全问题负责处理解决并承担一切费用。</w:t>
      </w:r>
    </w:p>
    <w:p>
      <w:pPr>
        <w:spacing w:line="400" w:lineRule="exact"/>
        <w:ind w:firstLine="420" w:firstLineChars="200"/>
        <w:rPr>
          <w:rFonts w:hint="eastAsia"/>
          <w:color w:val="auto"/>
          <w:szCs w:val="21"/>
          <w:highlight w:val="none"/>
        </w:rPr>
      </w:pPr>
      <w:r>
        <w:rPr>
          <w:rFonts w:hint="eastAsia"/>
          <w:color w:val="auto"/>
          <w:szCs w:val="21"/>
          <w:highlight w:val="none"/>
        </w:rPr>
        <w:t>4、货物免费保修期为</w:t>
      </w:r>
      <w:r>
        <w:rPr>
          <w:rFonts w:hint="eastAsia"/>
          <w:color w:val="auto"/>
          <w:szCs w:val="21"/>
          <w:highlight w:val="none"/>
          <w:u w:val="single"/>
        </w:rPr>
        <w:t xml:space="preserve">  </w:t>
      </w:r>
      <w:r>
        <w:rPr>
          <w:rFonts w:hint="eastAsia" w:ascii="宋体" w:hAnsi="宋体"/>
          <w:color w:val="auto"/>
          <w:szCs w:val="21"/>
          <w:highlight w:val="none"/>
          <w:u w:val="single"/>
        </w:rPr>
        <w:t>按乙方响应文件中承诺且不低于</w:t>
      </w:r>
      <w:r>
        <w:rPr>
          <w:rFonts w:hint="eastAsia" w:ascii="宋体" w:hAnsi="宋体"/>
          <w:color w:val="auto"/>
          <w:szCs w:val="21"/>
          <w:highlight w:val="none"/>
          <w:u w:val="single"/>
          <w:lang w:val="en-US" w:eastAsia="zh-CN"/>
        </w:rPr>
        <w:t>1</w:t>
      </w:r>
      <w:r>
        <w:rPr>
          <w:rFonts w:hint="eastAsia" w:ascii="宋体" w:hAnsi="宋体"/>
          <w:color w:val="auto"/>
          <w:szCs w:val="21"/>
          <w:highlight w:val="none"/>
          <w:u w:val="single"/>
        </w:rPr>
        <w:t>年</w:t>
      </w:r>
      <w:r>
        <w:rPr>
          <w:rFonts w:hint="eastAsia" w:ascii="宋体" w:hAnsi="宋体"/>
          <w:color w:val="auto"/>
          <w:kern w:val="0"/>
          <w:szCs w:val="21"/>
          <w:highlight w:val="none"/>
          <w:u w:val="single"/>
        </w:rPr>
        <w:t>（“技术参数及性能配置要求”另有要求的按其要求进行质保）（自交货并验收合格之日起计）</w:t>
      </w:r>
      <w:r>
        <w:rPr>
          <w:rFonts w:hint="eastAsia"/>
          <w:color w:val="auto"/>
          <w:szCs w:val="21"/>
          <w:highlight w:val="none"/>
        </w:rPr>
        <w:t>，因人为因素出现的故障不在免费保修范围内。超过保修期的货物，终生维修，维修时只收部件成本费。</w:t>
      </w:r>
    </w:p>
    <w:p>
      <w:pPr>
        <w:spacing w:line="400" w:lineRule="exact"/>
        <w:ind w:firstLine="413" w:firstLineChars="196"/>
        <w:rPr>
          <w:b/>
          <w:color w:val="auto"/>
          <w:szCs w:val="21"/>
          <w:highlight w:val="none"/>
        </w:rPr>
      </w:pPr>
      <w:r>
        <w:rPr>
          <w:rFonts w:hint="eastAsia"/>
          <w:b/>
          <w:color w:val="auto"/>
          <w:szCs w:val="21"/>
          <w:highlight w:val="none"/>
        </w:rPr>
        <w:t>第十条  税费</w:t>
      </w:r>
    </w:p>
    <w:p>
      <w:pPr>
        <w:spacing w:line="400" w:lineRule="exact"/>
        <w:ind w:firstLine="411" w:firstLineChars="196"/>
        <w:rPr>
          <w:color w:val="auto"/>
          <w:szCs w:val="21"/>
          <w:highlight w:val="none"/>
        </w:rPr>
      </w:pPr>
      <w:r>
        <w:rPr>
          <w:rFonts w:hint="eastAsia"/>
          <w:color w:val="auto"/>
          <w:szCs w:val="21"/>
          <w:highlight w:val="none"/>
        </w:rPr>
        <w:t>本合同执行中相关的一切税费均由乙方负担。</w:t>
      </w:r>
    </w:p>
    <w:p>
      <w:pPr>
        <w:spacing w:line="400" w:lineRule="exact"/>
        <w:ind w:firstLine="413" w:firstLineChars="196"/>
        <w:rPr>
          <w:rFonts w:ascii="宋体" w:hAnsi="宋体"/>
          <w:color w:val="auto"/>
          <w:szCs w:val="21"/>
          <w:highlight w:val="none"/>
        </w:rPr>
      </w:pPr>
      <w:r>
        <w:rPr>
          <w:rFonts w:hint="eastAsia"/>
          <w:b/>
          <w:color w:val="auto"/>
          <w:szCs w:val="21"/>
          <w:highlight w:val="none"/>
        </w:rPr>
        <w:t>第十一条  付款方式：</w:t>
      </w:r>
      <w:r>
        <w:rPr>
          <w:rFonts w:hint="eastAsia" w:ascii="宋体" w:hAnsi="宋体" w:cs="宋体"/>
          <w:color w:val="auto"/>
          <w:sz w:val="21"/>
          <w:szCs w:val="21"/>
          <w:highlight w:val="none"/>
          <w:lang w:val="en-US" w:eastAsia="zh-CN"/>
        </w:rPr>
        <w:t>自产品验收合格交付使用之日起 30 日内</w:t>
      </w:r>
      <w:r>
        <w:rPr>
          <w:rFonts w:hint="eastAsia" w:ascii="宋体" w:hAnsi="宋体" w:cs="宋体"/>
          <w:color w:val="auto"/>
          <w:sz w:val="21"/>
          <w:szCs w:val="21"/>
          <w:highlight w:val="none"/>
          <w:lang w:eastAsia="zh-CN"/>
        </w:rPr>
        <w:t>一次性</w:t>
      </w:r>
      <w:r>
        <w:rPr>
          <w:rFonts w:hint="eastAsia" w:ascii="宋体" w:hAnsi="宋体" w:cs="宋体"/>
          <w:color w:val="auto"/>
          <w:sz w:val="21"/>
          <w:szCs w:val="21"/>
          <w:highlight w:val="none"/>
        </w:rPr>
        <w:t>付清(无息）</w:t>
      </w:r>
      <w:r>
        <w:rPr>
          <w:rFonts w:hint="eastAsia" w:ascii="宋体" w:hAnsi="宋体" w:cs="宋体"/>
          <w:color w:val="auto"/>
          <w:szCs w:val="21"/>
          <w:highlight w:val="none"/>
        </w:rPr>
        <w:t>。</w:t>
      </w:r>
    </w:p>
    <w:p>
      <w:pPr>
        <w:spacing w:line="400" w:lineRule="exact"/>
        <w:ind w:firstLine="413" w:firstLineChars="196"/>
        <w:rPr>
          <w:b/>
          <w:color w:val="auto"/>
          <w:szCs w:val="21"/>
          <w:highlight w:val="none"/>
        </w:rPr>
      </w:pPr>
      <w:r>
        <w:rPr>
          <w:rFonts w:hint="eastAsia"/>
          <w:b/>
          <w:color w:val="auto"/>
          <w:szCs w:val="21"/>
          <w:highlight w:val="none"/>
        </w:rPr>
        <w:t>第十二条  违约责任</w:t>
      </w:r>
    </w:p>
    <w:p>
      <w:pPr>
        <w:spacing w:line="400" w:lineRule="exact"/>
        <w:ind w:firstLine="420" w:firstLineChars="200"/>
        <w:rPr>
          <w:color w:val="auto"/>
          <w:szCs w:val="21"/>
          <w:highlight w:val="none"/>
        </w:rPr>
      </w:pPr>
      <w:r>
        <w:rPr>
          <w:rFonts w:hint="eastAsia"/>
          <w:color w:val="auto"/>
          <w:szCs w:val="21"/>
          <w:highlight w:val="none"/>
        </w:rPr>
        <w:t>1、乙方所提供的货物规格、技术标准、材料等质量不合格的，应及时更换，更换不及时的按逾期交货处罚，乙方应向甲方支付合同金额</w:t>
      </w:r>
      <w:r>
        <w:rPr>
          <w:rFonts w:hint="eastAsia"/>
          <w:color w:val="auto"/>
          <w:szCs w:val="21"/>
          <w:highlight w:val="none"/>
          <w:u w:val="single"/>
        </w:rPr>
        <w:t>　10　</w:t>
      </w:r>
      <w:r>
        <w:rPr>
          <w:rFonts w:hint="eastAsia"/>
          <w:color w:val="auto"/>
          <w:szCs w:val="21"/>
          <w:highlight w:val="none"/>
        </w:rPr>
        <w:t>%违约金并赔偿甲方经济损失。</w:t>
      </w:r>
    </w:p>
    <w:p>
      <w:pPr>
        <w:spacing w:line="400" w:lineRule="exact"/>
        <w:ind w:firstLine="359" w:firstLineChars="171"/>
        <w:rPr>
          <w:color w:val="auto"/>
          <w:szCs w:val="21"/>
          <w:highlight w:val="none"/>
        </w:rPr>
      </w:pPr>
      <w:r>
        <w:rPr>
          <w:rFonts w:hint="eastAsia"/>
          <w:color w:val="auto"/>
          <w:szCs w:val="21"/>
          <w:highlight w:val="none"/>
        </w:rPr>
        <w:t>2、乙方提供的货物如果侵犯了第三方合法权益而引发的任何纠纷或诉讼，均由乙方负责交涉并承担全部责任。</w:t>
      </w:r>
    </w:p>
    <w:p>
      <w:pPr>
        <w:spacing w:line="400" w:lineRule="exact"/>
        <w:ind w:firstLine="420" w:firstLineChars="200"/>
        <w:rPr>
          <w:rFonts w:hint="eastAsia"/>
          <w:color w:val="auto"/>
          <w:szCs w:val="21"/>
          <w:highlight w:val="none"/>
        </w:rPr>
      </w:pPr>
      <w:r>
        <w:rPr>
          <w:rFonts w:hint="eastAsia"/>
          <w:color w:val="auto"/>
          <w:szCs w:val="21"/>
          <w:highlight w:val="none"/>
        </w:rPr>
        <w:t>3、因包装、运输引起的货物损坏，按质量不合格处理。</w:t>
      </w:r>
    </w:p>
    <w:p>
      <w:pPr>
        <w:spacing w:line="400" w:lineRule="exact"/>
        <w:ind w:firstLine="420" w:firstLineChars="200"/>
        <w:rPr>
          <w:rFonts w:hint="eastAsia"/>
          <w:color w:val="auto"/>
          <w:szCs w:val="21"/>
          <w:highlight w:val="none"/>
        </w:rPr>
      </w:pPr>
      <w:r>
        <w:rPr>
          <w:rFonts w:hint="eastAsia"/>
          <w:color w:val="auto"/>
          <w:szCs w:val="21"/>
          <w:highlight w:val="none"/>
        </w:rPr>
        <w:t>4、乙方逾期交货的，逾期交货的，每延迟一日向采购人偿付合同总款5%的违约金。</w:t>
      </w:r>
    </w:p>
    <w:p>
      <w:pPr>
        <w:spacing w:line="400" w:lineRule="exact"/>
        <w:ind w:firstLine="420" w:firstLineChars="200"/>
        <w:rPr>
          <w:color w:val="auto"/>
          <w:szCs w:val="21"/>
          <w:highlight w:val="none"/>
        </w:rPr>
      </w:pPr>
      <w:r>
        <w:rPr>
          <w:rFonts w:hint="eastAsia"/>
          <w:color w:val="auto"/>
          <w:szCs w:val="21"/>
          <w:highlight w:val="none"/>
        </w:rPr>
        <w:t>5、甲方无故延期接受货物的，每天向乙方偿付合同金额</w:t>
      </w:r>
      <w:r>
        <w:rPr>
          <w:rFonts w:hint="eastAsia"/>
          <w:color w:val="auto"/>
          <w:szCs w:val="21"/>
          <w:highlight w:val="none"/>
          <w:u w:val="single"/>
        </w:rPr>
        <w:t>　3　</w:t>
      </w:r>
      <w:r>
        <w:rPr>
          <w:rFonts w:hint="eastAsia"/>
          <w:color w:val="auto"/>
          <w:szCs w:val="21"/>
          <w:highlight w:val="none"/>
        </w:rPr>
        <w:t>‰违约金，但违约金额不得超过合同金额</w:t>
      </w:r>
      <w:r>
        <w:rPr>
          <w:rFonts w:hint="eastAsia"/>
          <w:color w:val="auto"/>
          <w:szCs w:val="21"/>
          <w:highlight w:val="none"/>
          <w:u w:val="single"/>
        </w:rPr>
        <w:t>　3　</w:t>
      </w:r>
      <w:r>
        <w:rPr>
          <w:rFonts w:hint="eastAsia"/>
          <w:color w:val="auto"/>
          <w:szCs w:val="21"/>
          <w:highlight w:val="none"/>
        </w:rPr>
        <w:t>%，违约方承担因此给对方造成的经济损失：甲方延期付货款的，每天向乙方偿付合同金额</w:t>
      </w:r>
      <w:r>
        <w:rPr>
          <w:rFonts w:hint="eastAsia"/>
          <w:color w:val="auto"/>
          <w:szCs w:val="21"/>
          <w:highlight w:val="none"/>
          <w:u w:val="single"/>
        </w:rPr>
        <w:t>　3　</w:t>
      </w:r>
      <w:r>
        <w:rPr>
          <w:rFonts w:hint="eastAsia"/>
          <w:color w:val="auto"/>
          <w:szCs w:val="21"/>
          <w:highlight w:val="none"/>
        </w:rPr>
        <w:t>‰滞纳金，但滞纳金累计不得超过合同金额</w:t>
      </w:r>
      <w:r>
        <w:rPr>
          <w:rFonts w:hint="eastAsia"/>
          <w:color w:val="auto"/>
          <w:szCs w:val="21"/>
          <w:highlight w:val="none"/>
          <w:u w:val="single"/>
        </w:rPr>
        <w:t>　5　</w:t>
      </w:r>
      <w:r>
        <w:rPr>
          <w:rFonts w:hint="eastAsia"/>
          <w:color w:val="auto"/>
          <w:szCs w:val="21"/>
          <w:highlight w:val="none"/>
        </w:rPr>
        <w:t>%。</w:t>
      </w:r>
    </w:p>
    <w:p>
      <w:pPr>
        <w:spacing w:line="400" w:lineRule="exact"/>
        <w:ind w:firstLine="420" w:firstLineChars="200"/>
        <w:rPr>
          <w:color w:val="auto"/>
          <w:szCs w:val="21"/>
          <w:highlight w:val="none"/>
        </w:rPr>
      </w:pPr>
      <w:r>
        <w:rPr>
          <w:rFonts w:hint="eastAsia"/>
          <w:color w:val="auto"/>
          <w:szCs w:val="21"/>
          <w:highlight w:val="none"/>
        </w:rPr>
        <w:t>6、乙方未按本合同和</w:t>
      </w:r>
      <w:r>
        <w:rPr>
          <w:rFonts w:hint="eastAsia"/>
          <w:color w:val="auto"/>
          <w:highlight w:val="none"/>
        </w:rPr>
        <w:t>响应</w:t>
      </w:r>
      <w:r>
        <w:rPr>
          <w:rFonts w:hint="eastAsia"/>
          <w:color w:val="auto"/>
          <w:szCs w:val="21"/>
          <w:highlight w:val="none"/>
        </w:rPr>
        <w:t>文件中规定的服务承诺提供售后服务的，乙方应按本合同合同金额</w:t>
      </w:r>
      <w:r>
        <w:rPr>
          <w:rFonts w:hint="eastAsia"/>
          <w:color w:val="auto"/>
          <w:szCs w:val="21"/>
          <w:highlight w:val="none"/>
          <w:u w:val="single"/>
        </w:rPr>
        <w:t>　10　</w:t>
      </w:r>
      <w:r>
        <w:rPr>
          <w:rFonts w:hint="eastAsia"/>
          <w:color w:val="auto"/>
          <w:szCs w:val="21"/>
          <w:highlight w:val="none"/>
        </w:rPr>
        <w:t>%向甲方支付违约金。</w:t>
      </w:r>
    </w:p>
    <w:p>
      <w:pPr>
        <w:spacing w:line="400" w:lineRule="exact"/>
        <w:ind w:firstLine="420" w:firstLineChars="200"/>
        <w:rPr>
          <w:color w:val="auto"/>
          <w:szCs w:val="21"/>
          <w:highlight w:val="none"/>
        </w:rPr>
      </w:pPr>
      <w:r>
        <w:rPr>
          <w:rFonts w:hint="eastAsia"/>
          <w:color w:val="auto"/>
          <w:szCs w:val="21"/>
          <w:highlight w:val="none"/>
        </w:rPr>
        <w:t>7、乙方提供的货物在质保期内，因设计、工艺或材料的缺陷和其他质量原因造成的问题，由乙方负责，费用从质量保证金中扣除，不足另补。</w:t>
      </w:r>
    </w:p>
    <w:p>
      <w:pPr>
        <w:spacing w:line="400" w:lineRule="exact"/>
        <w:ind w:left="420"/>
        <w:rPr>
          <w:color w:val="auto"/>
          <w:szCs w:val="21"/>
          <w:highlight w:val="none"/>
        </w:rPr>
      </w:pPr>
      <w:r>
        <w:rPr>
          <w:rFonts w:hint="eastAsia"/>
          <w:color w:val="auto"/>
          <w:szCs w:val="21"/>
          <w:highlight w:val="none"/>
        </w:rPr>
        <w:t>8、其他违约行为按违约货款额</w:t>
      </w:r>
      <w:r>
        <w:rPr>
          <w:rFonts w:hint="eastAsia"/>
          <w:color w:val="auto"/>
          <w:szCs w:val="21"/>
          <w:highlight w:val="none"/>
          <w:u w:val="single"/>
        </w:rPr>
        <w:t>　10　</w:t>
      </w:r>
      <w:r>
        <w:rPr>
          <w:rFonts w:hint="eastAsia"/>
          <w:color w:val="auto"/>
          <w:szCs w:val="21"/>
          <w:highlight w:val="none"/>
        </w:rPr>
        <w:t>%收取违约金并赔偿经济损失。</w:t>
      </w:r>
    </w:p>
    <w:p>
      <w:pPr>
        <w:spacing w:line="400" w:lineRule="exact"/>
        <w:ind w:firstLine="413" w:firstLineChars="196"/>
        <w:rPr>
          <w:b/>
          <w:color w:val="auto"/>
          <w:szCs w:val="21"/>
          <w:highlight w:val="none"/>
        </w:rPr>
      </w:pPr>
      <w:r>
        <w:rPr>
          <w:rFonts w:hint="eastAsia"/>
          <w:b/>
          <w:color w:val="auto"/>
          <w:szCs w:val="21"/>
          <w:highlight w:val="none"/>
        </w:rPr>
        <w:t>第十三条  不可抗力事件处理</w:t>
      </w:r>
    </w:p>
    <w:p>
      <w:pPr>
        <w:spacing w:line="400" w:lineRule="exact"/>
        <w:ind w:firstLine="420" w:firstLineChars="200"/>
        <w:rPr>
          <w:color w:val="auto"/>
          <w:szCs w:val="21"/>
          <w:highlight w:val="none"/>
        </w:rPr>
      </w:pPr>
      <w:r>
        <w:rPr>
          <w:rFonts w:hint="eastAsia"/>
          <w:color w:val="auto"/>
          <w:szCs w:val="21"/>
          <w:highlight w:val="none"/>
        </w:rPr>
        <w:t>1、在合同有效期内，乙方因不可抗力事件导致不能履行合同，则合同履行期可延长，其延长期与不可抗力影响期相同。</w:t>
      </w:r>
    </w:p>
    <w:p>
      <w:pPr>
        <w:numPr>
          <w:ilvl w:val="0"/>
          <w:numId w:val="8"/>
        </w:numPr>
        <w:tabs>
          <w:tab w:val="left" w:pos="720"/>
          <w:tab w:val="clear" w:pos="780"/>
        </w:tabs>
        <w:spacing w:line="400" w:lineRule="exact"/>
        <w:ind w:left="720"/>
        <w:rPr>
          <w:color w:val="auto"/>
          <w:szCs w:val="21"/>
          <w:highlight w:val="none"/>
        </w:rPr>
      </w:pPr>
      <w:r>
        <w:rPr>
          <w:rFonts w:hint="eastAsia"/>
          <w:color w:val="auto"/>
          <w:szCs w:val="21"/>
          <w:highlight w:val="none"/>
        </w:rPr>
        <w:t>不可抗力事件发生后，应立即通知对方，并寄送有关权威机构出具的证明。</w:t>
      </w:r>
    </w:p>
    <w:p>
      <w:pPr>
        <w:numPr>
          <w:ilvl w:val="0"/>
          <w:numId w:val="8"/>
        </w:numPr>
        <w:tabs>
          <w:tab w:val="left" w:pos="720"/>
          <w:tab w:val="clear" w:pos="780"/>
        </w:tabs>
        <w:spacing w:line="400" w:lineRule="exact"/>
        <w:ind w:left="720"/>
        <w:rPr>
          <w:color w:val="auto"/>
          <w:szCs w:val="21"/>
          <w:highlight w:val="none"/>
        </w:rPr>
      </w:pPr>
      <w:r>
        <w:rPr>
          <w:rFonts w:hint="eastAsia"/>
          <w:color w:val="auto"/>
          <w:szCs w:val="21"/>
          <w:highlight w:val="none"/>
        </w:rPr>
        <w:t>不可抗力事件延续一百二十天以上，双方应通过友好协商，确定是否继续履行合同。</w:t>
      </w:r>
    </w:p>
    <w:p>
      <w:pPr>
        <w:spacing w:line="400" w:lineRule="exact"/>
        <w:ind w:firstLine="413" w:firstLineChars="196"/>
        <w:rPr>
          <w:b/>
          <w:color w:val="auto"/>
          <w:szCs w:val="21"/>
          <w:highlight w:val="none"/>
        </w:rPr>
      </w:pPr>
      <w:r>
        <w:rPr>
          <w:rFonts w:hint="eastAsia"/>
          <w:b/>
          <w:color w:val="auto"/>
          <w:szCs w:val="21"/>
          <w:highlight w:val="none"/>
        </w:rPr>
        <w:t>第十四条  合同争议解决</w:t>
      </w:r>
    </w:p>
    <w:p>
      <w:pPr>
        <w:spacing w:line="400" w:lineRule="exact"/>
        <w:ind w:firstLine="420" w:firstLineChars="200"/>
        <w:rPr>
          <w:color w:val="auto"/>
          <w:szCs w:val="21"/>
          <w:highlight w:val="none"/>
        </w:rPr>
      </w:pPr>
      <w:r>
        <w:rPr>
          <w:rFonts w:hint="eastAsia"/>
          <w:color w:val="auto"/>
          <w:szCs w:val="21"/>
          <w:highlight w:val="none"/>
        </w:rPr>
        <w:t>1、因货物质量问题发生争议的，应邀请国家认可的质量检测机构对货物质量进行鉴定。货物符合标准的，鉴定费由甲方承担；货物不符合标准的，鉴定费由乙方承担。</w:t>
      </w:r>
    </w:p>
    <w:p>
      <w:pPr>
        <w:spacing w:line="400" w:lineRule="exact"/>
        <w:ind w:firstLine="420" w:firstLineChars="200"/>
        <w:rPr>
          <w:color w:val="auto"/>
          <w:szCs w:val="21"/>
          <w:highlight w:val="none"/>
        </w:rPr>
      </w:pPr>
      <w:r>
        <w:rPr>
          <w:rFonts w:hint="eastAsia"/>
          <w:color w:val="auto"/>
          <w:szCs w:val="21"/>
          <w:highlight w:val="none"/>
        </w:rPr>
        <w:t>2、因履行本合同引起的或与本合同有关的争议，甲乙双方应首先通过友好协商解决，如果协商不能解决，可向</w:t>
      </w:r>
      <w:r>
        <w:rPr>
          <w:rFonts w:hint="eastAsia"/>
          <w:color w:val="auto"/>
          <w:szCs w:val="21"/>
          <w:highlight w:val="none"/>
          <w:lang w:eastAsia="zh-CN"/>
        </w:rPr>
        <w:t>兴安县</w:t>
      </w:r>
      <w:r>
        <w:rPr>
          <w:rFonts w:hint="eastAsia"/>
          <w:color w:val="auto"/>
          <w:szCs w:val="21"/>
          <w:highlight w:val="none"/>
        </w:rPr>
        <w:t>仲裁委员会申请仲裁或向</w:t>
      </w:r>
      <w:r>
        <w:rPr>
          <w:rFonts w:hint="eastAsia"/>
          <w:color w:val="auto"/>
          <w:szCs w:val="21"/>
          <w:highlight w:val="none"/>
          <w:lang w:eastAsia="zh-CN"/>
        </w:rPr>
        <w:t>兴安县</w:t>
      </w:r>
      <w:r>
        <w:rPr>
          <w:rFonts w:hint="eastAsia"/>
          <w:color w:val="auto"/>
          <w:szCs w:val="21"/>
          <w:highlight w:val="none"/>
        </w:rPr>
        <w:t>人民法院提起诉讼。</w:t>
      </w:r>
    </w:p>
    <w:p>
      <w:pPr>
        <w:spacing w:line="400" w:lineRule="exact"/>
        <w:ind w:left="435"/>
        <w:rPr>
          <w:color w:val="auto"/>
          <w:szCs w:val="21"/>
          <w:highlight w:val="none"/>
        </w:rPr>
      </w:pPr>
      <w:r>
        <w:rPr>
          <w:rFonts w:hint="eastAsia"/>
          <w:color w:val="auto"/>
          <w:szCs w:val="21"/>
          <w:highlight w:val="none"/>
        </w:rPr>
        <w:t>3、诉讼期间，本合同继续履行。</w:t>
      </w:r>
    </w:p>
    <w:p>
      <w:pPr>
        <w:spacing w:line="400" w:lineRule="exact"/>
        <w:ind w:firstLine="413" w:firstLineChars="196"/>
        <w:rPr>
          <w:b/>
          <w:color w:val="auto"/>
          <w:szCs w:val="21"/>
          <w:highlight w:val="none"/>
        </w:rPr>
      </w:pPr>
      <w:r>
        <w:rPr>
          <w:rFonts w:hint="eastAsia"/>
          <w:b/>
          <w:color w:val="auto"/>
          <w:szCs w:val="21"/>
          <w:highlight w:val="none"/>
        </w:rPr>
        <w:t>第十五条  合同生效及其它</w:t>
      </w:r>
    </w:p>
    <w:p>
      <w:pPr>
        <w:spacing w:line="400" w:lineRule="exact"/>
        <w:ind w:firstLine="420" w:firstLineChars="200"/>
        <w:rPr>
          <w:color w:val="auto"/>
          <w:szCs w:val="21"/>
          <w:highlight w:val="none"/>
        </w:rPr>
      </w:pPr>
      <w:r>
        <w:rPr>
          <w:rFonts w:hint="eastAsia"/>
          <w:color w:val="auto"/>
          <w:szCs w:val="21"/>
          <w:highlight w:val="none"/>
        </w:rPr>
        <w:t>1、合同经甲乙双方法定代表人（负责人）或授权代表签字并加盖单位公章后生效。</w:t>
      </w:r>
    </w:p>
    <w:p>
      <w:pPr>
        <w:spacing w:line="400" w:lineRule="exact"/>
        <w:ind w:firstLine="420" w:firstLineChars="200"/>
        <w:rPr>
          <w:color w:val="auto"/>
          <w:szCs w:val="21"/>
          <w:highlight w:val="none"/>
        </w:rPr>
      </w:pPr>
      <w:r>
        <w:rPr>
          <w:rFonts w:hint="eastAsia"/>
          <w:color w:val="auto"/>
          <w:szCs w:val="21"/>
          <w:highlight w:val="none"/>
        </w:rPr>
        <w:t>2、合同执行中涉及采购资金和采购内容修改或补充的，需经</w:t>
      </w:r>
      <w:r>
        <w:rPr>
          <w:rFonts w:hint="eastAsia"/>
          <w:color w:val="auto"/>
          <w:szCs w:val="21"/>
          <w:highlight w:val="none"/>
          <w:lang w:eastAsia="zh-CN"/>
        </w:rPr>
        <w:t>兴安县</w:t>
      </w:r>
      <w:r>
        <w:rPr>
          <w:rFonts w:hint="eastAsia"/>
          <w:color w:val="auto"/>
          <w:szCs w:val="21"/>
          <w:highlight w:val="none"/>
        </w:rPr>
        <w:t>财政部门审批，并签订书面补充协议报</w:t>
      </w:r>
      <w:r>
        <w:rPr>
          <w:rFonts w:hint="eastAsia"/>
          <w:color w:val="auto"/>
          <w:szCs w:val="21"/>
          <w:highlight w:val="none"/>
          <w:lang w:eastAsia="zh-CN"/>
        </w:rPr>
        <w:t xml:space="preserve">桂林市临桂区财政局政府采购监督管理股 </w:t>
      </w:r>
      <w:r>
        <w:rPr>
          <w:rFonts w:hint="eastAsia"/>
          <w:color w:val="auto"/>
          <w:szCs w:val="21"/>
          <w:highlight w:val="none"/>
        </w:rPr>
        <w:t>备案，方可作为主合同不可分割的一部分。</w:t>
      </w:r>
    </w:p>
    <w:p>
      <w:pPr>
        <w:spacing w:line="400" w:lineRule="exact"/>
        <w:ind w:left="435"/>
        <w:rPr>
          <w:color w:val="auto"/>
          <w:szCs w:val="21"/>
          <w:highlight w:val="none"/>
        </w:rPr>
      </w:pPr>
      <w:r>
        <w:rPr>
          <w:rFonts w:hint="eastAsia"/>
          <w:color w:val="auto"/>
          <w:szCs w:val="21"/>
          <w:highlight w:val="none"/>
        </w:rPr>
        <w:t>3、本合同未尽事宜，遵照《合同法》有关条文执行。</w:t>
      </w:r>
    </w:p>
    <w:p>
      <w:pPr>
        <w:spacing w:line="400" w:lineRule="exact"/>
        <w:ind w:firstLine="413" w:firstLineChars="196"/>
        <w:rPr>
          <w:b/>
          <w:color w:val="auto"/>
          <w:szCs w:val="21"/>
          <w:highlight w:val="none"/>
        </w:rPr>
      </w:pPr>
      <w:r>
        <w:rPr>
          <w:rFonts w:hint="eastAsia"/>
          <w:b/>
          <w:color w:val="auto"/>
          <w:szCs w:val="21"/>
          <w:highlight w:val="none"/>
        </w:rPr>
        <w:t>第十六条  合同的变更、终止与转让</w:t>
      </w:r>
    </w:p>
    <w:p>
      <w:pPr>
        <w:spacing w:line="400" w:lineRule="exact"/>
        <w:ind w:firstLine="420" w:firstLineChars="200"/>
        <w:rPr>
          <w:color w:val="auto"/>
          <w:szCs w:val="21"/>
          <w:highlight w:val="none"/>
        </w:rPr>
      </w:pPr>
      <w:r>
        <w:rPr>
          <w:rFonts w:hint="eastAsia"/>
          <w:color w:val="auto"/>
          <w:szCs w:val="21"/>
          <w:highlight w:val="none"/>
        </w:rPr>
        <w:t>1、除《中华人民共和国政府采购法》第五十条规定的情形外，本合同一经签订，甲乙双方不得擅自变更，中止或终止。</w:t>
      </w:r>
    </w:p>
    <w:p>
      <w:pPr>
        <w:numPr>
          <w:ilvl w:val="0"/>
          <w:numId w:val="9"/>
        </w:numPr>
        <w:spacing w:line="400" w:lineRule="exact"/>
        <w:rPr>
          <w:color w:val="auto"/>
          <w:szCs w:val="21"/>
          <w:highlight w:val="none"/>
        </w:rPr>
      </w:pPr>
      <w:r>
        <w:rPr>
          <w:rFonts w:hint="eastAsia"/>
          <w:color w:val="auto"/>
          <w:szCs w:val="21"/>
          <w:highlight w:val="none"/>
        </w:rPr>
        <w:t>乙方不得擅自转让(无进口资格的供应商委托进口货物除外)其应履行的合同义务。</w:t>
      </w:r>
    </w:p>
    <w:p>
      <w:pPr>
        <w:spacing w:line="400" w:lineRule="exact"/>
        <w:ind w:firstLine="413" w:firstLineChars="196"/>
        <w:rPr>
          <w:b/>
          <w:color w:val="auto"/>
          <w:szCs w:val="21"/>
          <w:highlight w:val="none"/>
        </w:rPr>
      </w:pPr>
      <w:r>
        <w:rPr>
          <w:rFonts w:hint="eastAsia"/>
          <w:b/>
          <w:color w:val="auto"/>
          <w:szCs w:val="21"/>
          <w:highlight w:val="none"/>
        </w:rPr>
        <w:t>第十七条  签订本合同依据</w:t>
      </w:r>
    </w:p>
    <w:p>
      <w:pPr>
        <w:spacing w:line="400" w:lineRule="exact"/>
        <w:ind w:left="420"/>
        <w:rPr>
          <w:color w:val="auto"/>
          <w:szCs w:val="21"/>
          <w:highlight w:val="none"/>
        </w:rPr>
      </w:pPr>
      <w:r>
        <w:rPr>
          <w:rFonts w:hint="eastAsia"/>
          <w:color w:val="auto"/>
          <w:szCs w:val="21"/>
          <w:highlight w:val="none"/>
        </w:rPr>
        <w:t>1、竞争性谈判文件；</w:t>
      </w:r>
    </w:p>
    <w:p>
      <w:pPr>
        <w:spacing w:line="400" w:lineRule="exact"/>
        <w:ind w:left="225" w:leftChars="107" w:firstLine="210" w:firstLineChars="100"/>
        <w:rPr>
          <w:rFonts w:hint="eastAsia"/>
          <w:color w:val="auto"/>
          <w:szCs w:val="21"/>
          <w:highlight w:val="none"/>
        </w:rPr>
      </w:pPr>
      <w:r>
        <w:rPr>
          <w:rFonts w:hint="eastAsia"/>
          <w:color w:val="auto"/>
          <w:szCs w:val="21"/>
          <w:highlight w:val="none"/>
        </w:rPr>
        <w:t>2. 乙方提供的响应（或应答）文件；</w:t>
      </w:r>
    </w:p>
    <w:p>
      <w:pPr>
        <w:spacing w:line="400" w:lineRule="exact"/>
        <w:ind w:left="225" w:leftChars="107" w:firstLine="210" w:firstLineChars="100"/>
        <w:rPr>
          <w:color w:val="auto"/>
          <w:szCs w:val="21"/>
          <w:highlight w:val="none"/>
        </w:rPr>
      </w:pPr>
      <w:r>
        <w:rPr>
          <w:rFonts w:hint="eastAsia"/>
          <w:color w:val="auto"/>
          <w:szCs w:val="21"/>
          <w:highlight w:val="none"/>
        </w:rPr>
        <w:t>3、售后服务承诺书；</w:t>
      </w:r>
    </w:p>
    <w:p>
      <w:pPr>
        <w:spacing w:line="400" w:lineRule="exact"/>
        <w:ind w:left="225" w:leftChars="107" w:firstLine="210" w:firstLineChars="100"/>
        <w:rPr>
          <w:color w:val="auto"/>
          <w:szCs w:val="21"/>
          <w:highlight w:val="none"/>
        </w:rPr>
      </w:pPr>
      <w:r>
        <w:rPr>
          <w:rFonts w:hint="eastAsia"/>
          <w:color w:val="auto"/>
          <w:szCs w:val="21"/>
          <w:highlight w:val="none"/>
        </w:rPr>
        <w:t xml:space="preserve">4、谈判中的谈判文件； </w:t>
      </w:r>
    </w:p>
    <w:p>
      <w:pPr>
        <w:spacing w:line="400" w:lineRule="exact"/>
        <w:ind w:left="225" w:leftChars="107" w:firstLine="210" w:firstLineChars="100"/>
        <w:rPr>
          <w:color w:val="auto"/>
          <w:szCs w:val="21"/>
          <w:highlight w:val="none"/>
        </w:rPr>
      </w:pPr>
      <w:r>
        <w:rPr>
          <w:rFonts w:hint="eastAsia"/>
          <w:color w:val="auto"/>
          <w:szCs w:val="21"/>
          <w:highlight w:val="none"/>
        </w:rPr>
        <w:t>5、成交通知书。</w:t>
      </w:r>
    </w:p>
    <w:p>
      <w:pPr>
        <w:spacing w:line="400" w:lineRule="exact"/>
        <w:ind w:firstLine="420" w:firstLineChars="200"/>
        <w:rPr>
          <w:rFonts w:ascii="宋体" w:hAnsi="宋体"/>
          <w:color w:val="auto"/>
          <w:highlight w:val="none"/>
        </w:rPr>
      </w:pPr>
      <w:r>
        <w:rPr>
          <w:rFonts w:hint="eastAsia" w:ascii="宋体" w:hAnsi="宋体"/>
          <w:color w:val="auto"/>
          <w:szCs w:val="21"/>
          <w:highlight w:val="none"/>
        </w:rPr>
        <w:t>本合同甲乙双方签字盖章后生效，一式四份，具有同等法律效力，甲、乙双方各一份。</w:t>
      </w:r>
      <w:r>
        <w:rPr>
          <w:rFonts w:hint="eastAsia" w:ascii="宋体" w:hAnsi="宋体"/>
          <w:color w:val="auto"/>
          <w:highlight w:val="none"/>
        </w:rPr>
        <w:t>政府采购合同双方自签订之日起1个工作日内将合同原件两份交采购代理机构。采购代理机构将政府采购合同在省级以上人民政府财政部门指定媒体上公告并于合同签订之日起7个工作日内将一份合同原件送</w:t>
      </w:r>
      <w:r>
        <w:rPr>
          <w:rFonts w:hint="eastAsia" w:ascii="宋体" w:hAnsi="宋体"/>
          <w:color w:val="auto"/>
          <w:highlight w:val="none"/>
          <w:lang w:eastAsia="zh-CN"/>
        </w:rPr>
        <w:t xml:space="preserve">桂林市临桂区财政局政府采购监督管理股 </w:t>
      </w:r>
      <w:r>
        <w:rPr>
          <w:rFonts w:hint="eastAsia" w:ascii="宋体" w:hAnsi="宋体"/>
          <w:color w:val="auto"/>
          <w:highlight w:val="none"/>
        </w:rPr>
        <w:t>备案，一份由采购代理机构存档。</w:t>
      </w:r>
    </w:p>
    <w:p>
      <w:pPr>
        <w:spacing w:line="400" w:lineRule="exact"/>
        <w:ind w:firstLine="420" w:firstLineChars="200"/>
        <w:rPr>
          <w:color w:val="auto"/>
          <w:szCs w:val="21"/>
          <w:highlight w:val="none"/>
        </w:rPr>
      </w:pPr>
      <w:r>
        <w:rPr>
          <w:rFonts w:hint="eastAsia"/>
          <w:color w:val="auto"/>
          <w:szCs w:val="21"/>
          <w:highlight w:val="none"/>
        </w:rPr>
        <w:t xml:space="preserve"> </w:t>
      </w:r>
    </w:p>
    <w:p>
      <w:pPr>
        <w:tabs>
          <w:tab w:val="left" w:pos="4320"/>
          <w:tab w:val="left" w:pos="4500"/>
        </w:tabs>
        <w:spacing w:line="400" w:lineRule="exact"/>
        <w:rPr>
          <w:color w:val="auto"/>
          <w:szCs w:val="21"/>
          <w:highlight w:val="none"/>
          <w:u w:val="single"/>
        </w:rPr>
      </w:pPr>
      <w:r>
        <w:rPr>
          <w:rFonts w:hint="eastAsia"/>
          <w:color w:val="auto"/>
          <w:szCs w:val="21"/>
          <w:highlight w:val="none"/>
        </w:rPr>
        <w:t>甲方名称（公章）：</w:t>
      </w:r>
      <w:r>
        <w:rPr>
          <w:rFonts w:hint="eastAsia"/>
          <w:color w:val="auto"/>
          <w:szCs w:val="21"/>
          <w:highlight w:val="none"/>
          <w:u w:val="single"/>
        </w:rPr>
        <w:t xml:space="preserve">                      </w:t>
      </w:r>
      <w:r>
        <w:rPr>
          <w:rFonts w:hint="eastAsia"/>
          <w:color w:val="auto"/>
          <w:szCs w:val="21"/>
          <w:highlight w:val="none"/>
        </w:rPr>
        <w:t xml:space="preserve">     乙方名称（公章，自然人除外）：</w:t>
      </w:r>
      <w:r>
        <w:rPr>
          <w:rFonts w:hint="eastAsia"/>
          <w:color w:val="auto"/>
          <w:szCs w:val="21"/>
          <w:highlight w:val="none"/>
          <w:u w:val="single"/>
        </w:rPr>
        <w:t xml:space="preserve">              </w:t>
      </w:r>
      <w:r>
        <w:rPr>
          <w:rFonts w:hint="eastAsia"/>
          <w:color w:val="auto"/>
          <w:szCs w:val="21"/>
          <w:highlight w:val="none"/>
        </w:rPr>
        <w:t>。</w:t>
      </w:r>
    </w:p>
    <w:p>
      <w:pPr>
        <w:spacing w:line="400" w:lineRule="exact"/>
        <w:rPr>
          <w:color w:val="auto"/>
          <w:szCs w:val="21"/>
          <w:highlight w:val="none"/>
        </w:rPr>
      </w:pPr>
      <w:r>
        <w:rPr>
          <w:rFonts w:hint="eastAsia"/>
          <w:color w:val="auto"/>
          <w:szCs w:val="21"/>
          <w:highlight w:val="none"/>
        </w:rPr>
        <w:t>法定代表人：</w:t>
      </w:r>
      <w:r>
        <w:rPr>
          <w:rFonts w:hint="eastAsia"/>
          <w:color w:val="auto"/>
          <w:szCs w:val="21"/>
          <w:highlight w:val="none"/>
          <w:u w:val="single"/>
        </w:rPr>
        <w:t xml:space="preserve">                           </w:t>
      </w:r>
      <w:r>
        <w:rPr>
          <w:rFonts w:hint="eastAsia"/>
          <w:color w:val="auto"/>
          <w:szCs w:val="21"/>
          <w:highlight w:val="none"/>
        </w:rPr>
        <w:t xml:space="preserve">     法定代表人（负责人或自然人）签字</w:t>
      </w:r>
    </w:p>
    <w:p>
      <w:pPr>
        <w:spacing w:line="400" w:lineRule="exact"/>
        <w:ind w:firstLine="4620" w:firstLineChars="2200"/>
        <w:rPr>
          <w:color w:val="auto"/>
          <w:szCs w:val="21"/>
          <w:highlight w:val="none"/>
          <w:u w:val="single"/>
        </w:rPr>
      </w:pPr>
      <w:r>
        <w:rPr>
          <w:rFonts w:hint="eastAsia"/>
          <w:color w:val="auto"/>
          <w:szCs w:val="21"/>
          <w:highlight w:val="none"/>
        </w:rPr>
        <w:t>（</w:t>
      </w:r>
      <w:r>
        <w:rPr>
          <w:rFonts w:hint="eastAsia" w:hAnsi="宋体"/>
          <w:color w:val="auto"/>
          <w:highlight w:val="none"/>
        </w:rPr>
        <w:t>属自然人的应在签名处加盖食指指印</w:t>
      </w:r>
      <w:r>
        <w:rPr>
          <w:rFonts w:hint="eastAsia"/>
          <w:color w:val="auto"/>
          <w:szCs w:val="21"/>
          <w:highlight w:val="none"/>
        </w:rPr>
        <w:t>）：</w:t>
      </w:r>
      <w:r>
        <w:rPr>
          <w:rFonts w:hint="eastAsia"/>
          <w:color w:val="auto"/>
          <w:szCs w:val="21"/>
          <w:highlight w:val="none"/>
          <w:u w:val="single"/>
        </w:rPr>
        <w:t xml:space="preserve">      。</w:t>
      </w:r>
    </w:p>
    <w:p>
      <w:pPr>
        <w:tabs>
          <w:tab w:val="left" w:pos="4680"/>
        </w:tabs>
        <w:spacing w:line="400" w:lineRule="exact"/>
        <w:rPr>
          <w:color w:val="auto"/>
          <w:szCs w:val="21"/>
          <w:highlight w:val="none"/>
          <w:u w:val="single"/>
        </w:rPr>
      </w:pPr>
      <w:r>
        <w:rPr>
          <w:rFonts w:hint="eastAsia"/>
          <w:color w:val="auto"/>
          <w:szCs w:val="21"/>
          <w:highlight w:val="none"/>
        </w:rPr>
        <w:t>委托代理人：</w:t>
      </w:r>
      <w:r>
        <w:rPr>
          <w:rFonts w:hint="eastAsia"/>
          <w:color w:val="auto"/>
          <w:szCs w:val="21"/>
          <w:highlight w:val="none"/>
          <w:u w:val="single"/>
        </w:rPr>
        <w:t xml:space="preserve">                           </w:t>
      </w:r>
      <w:r>
        <w:rPr>
          <w:rFonts w:hint="eastAsia"/>
          <w:color w:val="auto"/>
          <w:szCs w:val="21"/>
          <w:highlight w:val="none"/>
        </w:rPr>
        <w:t xml:space="preserve">     委托代理人：</w:t>
      </w:r>
      <w:r>
        <w:rPr>
          <w:rFonts w:hint="eastAsia"/>
          <w:color w:val="auto"/>
          <w:szCs w:val="21"/>
          <w:highlight w:val="none"/>
          <w:u w:val="single"/>
        </w:rPr>
        <w:t xml:space="preserve">                                 。</w:t>
      </w:r>
    </w:p>
    <w:p>
      <w:pPr>
        <w:tabs>
          <w:tab w:val="left" w:pos="5040"/>
        </w:tabs>
        <w:spacing w:line="400" w:lineRule="exact"/>
        <w:rPr>
          <w:color w:val="auto"/>
          <w:szCs w:val="21"/>
          <w:highlight w:val="none"/>
          <w:u w:val="single"/>
        </w:rPr>
      </w:pPr>
      <w:r>
        <w:rPr>
          <w:rFonts w:hint="eastAsia"/>
          <w:color w:val="auto"/>
          <w:szCs w:val="21"/>
          <w:highlight w:val="none"/>
        </w:rPr>
        <w:t>电  话：</w:t>
      </w:r>
      <w:r>
        <w:rPr>
          <w:rFonts w:hint="eastAsia"/>
          <w:color w:val="auto"/>
          <w:szCs w:val="21"/>
          <w:highlight w:val="none"/>
          <w:u w:val="single"/>
        </w:rPr>
        <w:t xml:space="preserve">                               </w:t>
      </w:r>
      <w:r>
        <w:rPr>
          <w:rFonts w:hint="eastAsia"/>
          <w:color w:val="auto"/>
          <w:szCs w:val="21"/>
          <w:highlight w:val="none"/>
        </w:rPr>
        <w:t xml:space="preserve">     电   话： </w:t>
      </w:r>
      <w:r>
        <w:rPr>
          <w:rFonts w:hint="eastAsia"/>
          <w:color w:val="auto"/>
          <w:szCs w:val="21"/>
          <w:highlight w:val="none"/>
          <w:u w:val="single"/>
        </w:rPr>
        <w:t xml:space="preserve">                                  。</w:t>
      </w:r>
    </w:p>
    <w:p>
      <w:pPr>
        <w:tabs>
          <w:tab w:val="left" w:pos="5040"/>
        </w:tabs>
        <w:spacing w:line="400" w:lineRule="exact"/>
        <w:rPr>
          <w:color w:val="auto"/>
          <w:szCs w:val="21"/>
          <w:highlight w:val="none"/>
        </w:rPr>
      </w:pPr>
      <w:r>
        <w:rPr>
          <w:rFonts w:hint="eastAsia"/>
          <w:color w:val="auto"/>
          <w:szCs w:val="21"/>
          <w:highlight w:val="none"/>
        </w:rPr>
        <w:t>开户名称：</w:t>
      </w:r>
      <w:r>
        <w:rPr>
          <w:rFonts w:hint="eastAsia"/>
          <w:color w:val="auto"/>
          <w:szCs w:val="21"/>
          <w:highlight w:val="none"/>
          <w:u w:val="single"/>
        </w:rPr>
        <w:t xml:space="preserve">                             </w:t>
      </w:r>
      <w:r>
        <w:rPr>
          <w:rFonts w:hint="eastAsia"/>
          <w:color w:val="auto"/>
          <w:szCs w:val="21"/>
          <w:highlight w:val="none"/>
        </w:rPr>
        <w:t xml:space="preserve">     开户名称：</w:t>
      </w:r>
      <w:r>
        <w:rPr>
          <w:rFonts w:hint="eastAsia"/>
          <w:color w:val="auto"/>
          <w:szCs w:val="21"/>
          <w:highlight w:val="none"/>
          <w:u w:val="single"/>
        </w:rPr>
        <w:t xml:space="preserve">                                  。</w:t>
      </w:r>
    </w:p>
    <w:p>
      <w:pPr>
        <w:tabs>
          <w:tab w:val="left" w:pos="5040"/>
        </w:tabs>
        <w:spacing w:line="400" w:lineRule="exact"/>
        <w:rPr>
          <w:color w:val="auto"/>
          <w:szCs w:val="21"/>
          <w:highlight w:val="none"/>
        </w:rPr>
      </w:pPr>
      <w:r>
        <w:rPr>
          <w:rFonts w:hint="eastAsia"/>
          <w:color w:val="auto"/>
          <w:szCs w:val="21"/>
          <w:highlight w:val="none"/>
        </w:rPr>
        <w:t>开户银行：</w:t>
      </w:r>
      <w:r>
        <w:rPr>
          <w:rFonts w:hint="eastAsia"/>
          <w:color w:val="auto"/>
          <w:szCs w:val="21"/>
          <w:highlight w:val="none"/>
          <w:u w:val="single"/>
        </w:rPr>
        <w:t xml:space="preserve">                             </w:t>
      </w:r>
      <w:r>
        <w:rPr>
          <w:rFonts w:hint="eastAsia"/>
          <w:color w:val="auto"/>
          <w:szCs w:val="21"/>
          <w:highlight w:val="none"/>
        </w:rPr>
        <w:t xml:space="preserve">     开户银行：</w:t>
      </w:r>
      <w:r>
        <w:rPr>
          <w:rFonts w:hint="eastAsia"/>
          <w:color w:val="auto"/>
          <w:szCs w:val="21"/>
          <w:highlight w:val="none"/>
          <w:u w:val="single"/>
        </w:rPr>
        <w:t xml:space="preserve">                                 。 </w:t>
      </w:r>
    </w:p>
    <w:p>
      <w:pPr>
        <w:tabs>
          <w:tab w:val="left" w:pos="5040"/>
        </w:tabs>
        <w:spacing w:line="400" w:lineRule="exact"/>
        <w:rPr>
          <w:color w:val="auto"/>
          <w:szCs w:val="21"/>
          <w:highlight w:val="none"/>
        </w:rPr>
      </w:pPr>
      <w:r>
        <w:rPr>
          <w:rFonts w:hint="eastAsia"/>
          <w:color w:val="auto"/>
          <w:szCs w:val="21"/>
          <w:highlight w:val="none"/>
        </w:rPr>
        <w:t>银行账号：</w:t>
      </w:r>
      <w:r>
        <w:rPr>
          <w:rFonts w:hint="eastAsia"/>
          <w:color w:val="auto"/>
          <w:szCs w:val="21"/>
          <w:highlight w:val="none"/>
          <w:u w:val="single"/>
        </w:rPr>
        <w:t xml:space="preserve">                             </w:t>
      </w:r>
      <w:r>
        <w:rPr>
          <w:rFonts w:hint="eastAsia"/>
          <w:color w:val="auto"/>
          <w:szCs w:val="21"/>
          <w:highlight w:val="none"/>
        </w:rPr>
        <w:t xml:space="preserve">     银行账号：</w:t>
      </w:r>
      <w:r>
        <w:rPr>
          <w:rFonts w:hint="eastAsia"/>
          <w:color w:val="auto"/>
          <w:szCs w:val="21"/>
          <w:highlight w:val="none"/>
          <w:u w:val="single"/>
        </w:rPr>
        <w:t xml:space="preserve">                                </w:t>
      </w:r>
      <w:r>
        <w:rPr>
          <w:rFonts w:hint="eastAsia"/>
          <w:color w:val="auto"/>
          <w:szCs w:val="21"/>
          <w:highlight w:val="none"/>
        </w:rPr>
        <w:t xml:space="preserve">  。</w:t>
      </w:r>
    </w:p>
    <w:p>
      <w:pPr>
        <w:tabs>
          <w:tab w:val="left" w:pos="5040"/>
        </w:tabs>
        <w:spacing w:line="400" w:lineRule="exact"/>
        <w:rPr>
          <w:color w:val="auto"/>
          <w:szCs w:val="21"/>
          <w:highlight w:val="none"/>
        </w:rPr>
      </w:pPr>
      <w:r>
        <w:rPr>
          <w:rFonts w:hint="eastAsia"/>
          <w:color w:val="auto"/>
          <w:szCs w:val="21"/>
          <w:highlight w:val="none"/>
        </w:rPr>
        <w:t>日    期：</w:t>
      </w:r>
      <w:r>
        <w:rPr>
          <w:rFonts w:hint="eastAsia"/>
          <w:color w:val="auto"/>
          <w:szCs w:val="21"/>
          <w:highlight w:val="none"/>
          <w:u w:val="single"/>
        </w:rPr>
        <w:t xml:space="preserve">                             </w:t>
      </w:r>
      <w:r>
        <w:rPr>
          <w:rFonts w:hint="eastAsia"/>
          <w:color w:val="auto"/>
          <w:szCs w:val="21"/>
          <w:highlight w:val="none"/>
        </w:rPr>
        <w:t xml:space="preserve">     日    期：</w:t>
      </w:r>
      <w:r>
        <w:rPr>
          <w:rFonts w:hint="eastAsia"/>
          <w:color w:val="auto"/>
          <w:szCs w:val="21"/>
          <w:highlight w:val="none"/>
          <w:u w:val="single"/>
        </w:rPr>
        <w:t xml:space="preserve">                                   。</w:t>
      </w:r>
    </w:p>
    <w:p>
      <w:pPr>
        <w:tabs>
          <w:tab w:val="left" w:pos="5040"/>
        </w:tabs>
        <w:spacing w:line="400" w:lineRule="exact"/>
        <w:rPr>
          <w:color w:val="auto"/>
          <w:szCs w:val="21"/>
          <w:highlight w:val="none"/>
        </w:rPr>
      </w:pPr>
    </w:p>
    <w:p>
      <w:pPr>
        <w:tabs>
          <w:tab w:val="left" w:pos="5040"/>
        </w:tabs>
        <w:spacing w:line="400" w:lineRule="exact"/>
        <w:rPr>
          <w:color w:val="auto"/>
          <w:szCs w:val="21"/>
          <w:highlight w:val="none"/>
        </w:rPr>
      </w:pPr>
    </w:p>
    <w:p>
      <w:pPr>
        <w:tabs>
          <w:tab w:val="left" w:pos="5040"/>
        </w:tabs>
        <w:spacing w:line="400" w:lineRule="exact"/>
        <w:rPr>
          <w:color w:val="auto"/>
          <w:szCs w:val="21"/>
          <w:highlight w:val="none"/>
        </w:rPr>
      </w:pPr>
    </w:p>
    <w:p>
      <w:pPr>
        <w:tabs>
          <w:tab w:val="left" w:pos="5040"/>
        </w:tabs>
        <w:spacing w:line="400" w:lineRule="exact"/>
        <w:rPr>
          <w:color w:val="auto"/>
          <w:szCs w:val="21"/>
          <w:highlight w:val="none"/>
        </w:rPr>
      </w:pPr>
    </w:p>
    <w:p>
      <w:pPr>
        <w:tabs>
          <w:tab w:val="left" w:pos="5040"/>
        </w:tabs>
        <w:spacing w:line="400" w:lineRule="exact"/>
        <w:rPr>
          <w:color w:val="auto"/>
          <w:szCs w:val="21"/>
          <w:highlight w:val="none"/>
        </w:rPr>
      </w:pPr>
    </w:p>
    <w:p>
      <w:pPr>
        <w:tabs>
          <w:tab w:val="left" w:pos="5040"/>
        </w:tabs>
        <w:spacing w:line="400" w:lineRule="exact"/>
        <w:rPr>
          <w:color w:val="auto"/>
          <w:szCs w:val="21"/>
          <w:highlight w:val="none"/>
        </w:rPr>
      </w:pPr>
    </w:p>
    <w:p>
      <w:pPr>
        <w:spacing w:line="440" w:lineRule="atLeast"/>
        <w:rPr>
          <w:b/>
          <w:color w:val="auto"/>
          <w:sz w:val="32"/>
          <w:szCs w:val="32"/>
          <w:highlight w:val="none"/>
        </w:rPr>
      </w:pPr>
    </w:p>
    <w:p>
      <w:pPr>
        <w:spacing w:line="440" w:lineRule="atLeast"/>
        <w:rPr>
          <w:b/>
          <w:color w:val="auto"/>
          <w:sz w:val="32"/>
          <w:szCs w:val="32"/>
          <w:highlight w:val="none"/>
        </w:rPr>
      </w:pPr>
    </w:p>
    <w:p>
      <w:pPr>
        <w:spacing w:line="440" w:lineRule="atLeast"/>
        <w:rPr>
          <w:b/>
          <w:color w:val="auto"/>
          <w:sz w:val="32"/>
          <w:szCs w:val="32"/>
          <w:highlight w:val="none"/>
        </w:rPr>
      </w:pPr>
    </w:p>
    <w:p>
      <w:pPr>
        <w:spacing w:line="440" w:lineRule="atLeast"/>
        <w:rPr>
          <w:b/>
          <w:color w:val="auto"/>
          <w:sz w:val="32"/>
          <w:szCs w:val="32"/>
          <w:highlight w:val="none"/>
        </w:rPr>
      </w:pPr>
    </w:p>
    <w:p>
      <w:pPr>
        <w:spacing w:line="440" w:lineRule="atLeast"/>
        <w:rPr>
          <w:b/>
          <w:color w:val="auto"/>
          <w:sz w:val="32"/>
          <w:szCs w:val="32"/>
          <w:highlight w:val="none"/>
        </w:rPr>
      </w:pPr>
    </w:p>
    <w:p>
      <w:pPr>
        <w:spacing w:line="440" w:lineRule="atLeast"/>
        <w:rPr>
          <w:b/>
          <w:color w:val="auto"/>
          <w:sz w:val="32"/>
          <w:szCs w:val="32"/>
          <w:highlight w:val="none"/>
        </w:rPr>
      </w:pPr>
    </w:p>
    <w:p>
      <w:pPr>
        <w:spacing w:line="440" w:lineRule="atLeast"/>
        <w:rPr>
          <w:b/>
          <w:color w:val="auto"/>
          <w:sz w:val="32"/>
          <w:szCs w:val="32"/>
          <w:highlight w:val="none"/>
        </w:rPr>
      </w:pPr>
    </w:p>
    <w:p>
      <w:pPr>
        <w:spacing w:line="440" w:lineRule="atLeast"/>
        <w:rPr>
          <w:b/>
          <w:color w:val="auto"/>
          <w:sz w:val="32"/>
          <w:szCs w:val="32"/>
          <w:highlight w:val="none"/>
        </w:rPr>
      </w:pPr>
    </w:p>
    <w:p>
      <w:pPr>
        <w:spacing w:line="440" w:lineRule="atLeast"/>
        <w:rPr>
          <w:b/>
          <w:color w:val="auto"/>
          <w:sz w:val="32"/>
          <w:szCs w:val="32"/>
          <w:highlight w:val="none"/>
        </w:rPr>
      </w:pPr>
    </w:p>
    <w:p>
      <w:pPr>
        <w:spacing w:line="440" w:lineRule="atLeast"/>
        <w:rPr>
          <w:b/>
          <w:color w:val="auto"/>
          <w:sz w:val="32"/>
          <w:szCs w:val="32"/>
          <w:highlight w:val="none"/>
        </w:rPr>
      </w:pPr>
    </w:p>
    <w:p>
      <w:pPr>
        <w:spacing w:line="440" w:lineRule="atLeast"/>
        <w:rPr>
          <w:b/>
          <w:color w:val="auto"/>
          <w:sz w:val="32"/>
          <w:szCs w:val="32"/>
          <w:highlight w:val="none"/>
        </w:rPr>
      </w:pPr>
    </w:p>
    <w:p>
      <w:pPr>
        <w:pStyle w:val="3"/>
        <w:spacing w:line="0" w:lineRule="atLeast"/>
        <w:jc w:val="center"/>
        <w:rPr>
          <w:color w:val="auto"/>
          <w:highlight w:val="none"/>
        </w:rPr>
      </w:pPr>
      <w:bookmarkStart w:id="41" w:name="_Toc432277442"/>
      <w:bookmarkStart w:id="42" w:name="_Toc432264370"/>
      <w:bookmarkStart w:id="43" w:name="_Toc721"/>
      <w:r>
        <w:rPr>
          <w:rFonts w:hint="eastAsia"/>
          <w:color w:val="auto"/>
          <w:highlight w:val="none"/>
        </w:rPr>
        <w:t>第六章  响应文件格式</w:t>
      </w:r>
      <w:bookmarkEnd w:id="41"/>
      <w:bookmarkEnd w:id="42"/>
      <w:bookmarkEnd w:id="43"/>
    </w:p>
    <w:p>
      <w:pPr>
        <w:spacing w:line="440" w:lineRule="atLeast"/>
        <w:rPr>
          <w:b/>
          <w:color w:val="auto"/>
          <w:sz w:val="28"/>
          <w:szCs w:val="28"/>
          <w:highlight w:val="none"/>
        </w:rPr>
      </w:pPr>
      <w:r>
        <w:rPr>
          <w:b/>
          <w:color w:val="auto"/>
          <w:sz w:val="28"/>
          <w:szCs w:val="28"/>
          <w:highlight w:val="none"/>
        </w:rPr>
        <w:br w:type="page"/>
      </w:r>
      <w:r>
        <w:rPr>
          <w:rFonts w:hint="eastAsia"/>
          <w:b/>
          <w:color w:val="auto"/>
          <w:sz w:val="28"/>
          <w:szCs w:val="28"/>
          <w:highlight w:val="none"/>
        </w:rPr>
        <w:t>1、响应函（必须提供）；</w:t>
      </w:r>
    </w:p>
    <w:p>
      <w:pPr>
        <w:spacing w:line="440" w:lineRule="atLeast"/>
        <w:rPr>
          <w:b/>
          <w:color w:val="auto"/>
          <w:sz w:val="24"/>
          <w:highlight w:val="none"/>
        </w:rPr>
      </w:pPr>
      <w:r>
        <w:rPr>
          <w:rFonts w:hint="eastAsia"/>
          <w:b/>
          <w:color w:val="auto"/>
          <w:sz w:val="24"/>
          <w:highlight w:val="none"/>
        </w:rPr>
        <w:t>附件：</w:t>
      </w:r>
    </w:p>
    <w:p>
      <w:pPr>
        <w:pStyle w:val="10"/>
        <w:ind w:firstLine="803" w:firstLineChars="250"/>
        <w:jc w:val="center"/>
        <w:rPr>
          <w:b/>
          <w:color w:val="auto"/>
          <w:sz w:val="32"/>
          <w:highlight w:val="none"/>
        </w:rPr>
      </w:pPr>
      <w:r>
        <w:rPr>
          <w:rFonts w:hint="eastAsia"/>
          <w:b/>
          <w:color w:val="auto"/>
          <w:sz w:val="32"/>
          <w:highlight w:val="none"/>
        </w:rPr>
        <w:t>响 应 函 （格 式）</w:t>
      </w:r>
    </w:p>
    <w:p>
      <w:pPr>
        <w:spacing w:line="240" w:lineRule="exact"/>
        <w:jc w:val="center"/>
        <w:rPr>
          <w:rFonts w:eastAsia="黑体"/>
          <w:color w:val="auto"/>
          <w:sz w:val="32"/>
          <w:highlight w:val="none"/>
        </w:rPr>
      </w:pPr>
    </w:p>
    <w:p>
      <w:pPr>
        <w:spacing w:line="400" w:lineRule="exact"/>
        <w:rPr>
          <w:rFonts w:hint="eastAsia" w:ascii="宋体" w:hAnsi="宋体"/>
          <w:color w:val="auto"/>
          <w:szCs w:val="21"/>
          <w:highlight w:val="none"/>
          <w:u w:val="single"/>
        </w:rPr>
      </w:pPr>
      <w:r>
        <w:rPr>
          <w:rFonts w:hint="eastAsia" w:ascii="宋体" w:hAnsi="宋体"/>
          <w:color w:val="auto"/>
          <w:szCs w:val="21"/>
          <w:highlight w:val="none"/>
        </w:rPr>
        <w:t>致</w:t>
      </w:r>
      <w:r>
        <w:rPr>
          <w:rFonts w:hint="eastAsia" w:ascii="宋体" w:hAnsi="宋体"/>
          <w:color w:val="auto"/>
          <w:szCs w:val="21"/>
          <w:highlight w:val="none"/>
          <w:u w:val="single"/>
        </w:rPr>
        <w:t>：大成工程咨询有限公司</w:t>
      </w:r>
    </w:p>
    <w:p>
      <w:pPr>
        <w:spacing w:line="400" w:lineRule="exact"/>
        <w:rPr>
          <w:color w:val="auto"/>
          <w:highlight w:val="none"/>
        </w:rPr>
      </w:pPr>
      <w:r>
        <w:rPr>
          <w:rFonts w:hint="eastAsia" w:ascii="宋体" w:hAnsi="宋体"/>
          <w:color w:val="auto"/>
          <w:szCs w:val="21"/>
          <w:highlight w:val="none"/>
          <w:u w:val="single"/>
        </w:rPr>
        <w:t xml:space="preserve">  </w:t>
      </w:r>
    </w:p>
    <w:p>
      <w:pPr>
        <w:spacing w:line="400" w:lineRule="exact"/>
        <w:rPr>
          <w:rFonts w:ascii="宋体" w:hAnsi="宋体"/>
          <w:color w:val="auto"/>
          <w:szCs w:val="21"/>
          <w:highlight w:val="none"/>
        </w:rPr>
      </w:pPr>
    </w:p>
    <w:p>
      <w:pPr>
        <w:pStyle w:val="10"/>
        <w:spacing w:line="400" w:lineRule="exact"/>
        <w:ind w:firstLine="420"/>
        <w:rPr>
          <w:color w:val="auto"/>
          <w:highlight w:val="none"/>
        </w:rPr>
      </w:pPr>
      <w:r>
        <w:rPr>
          <w:rFonts w:hint="eastAsia"/>
          <w:color w:val="auto"/>
          <w:highlight w:val="none"/>
        </w:rPr>
        <w:t>根据贵方</w:t>
      </w:r>
      <w:r>
        <w:rPr>
          <w:rFonts w:hint="eastAsia"/>
          <w:color w:val="auto"/>
          <w:highlight w:val="none"/>
          <w:u w:val="single"/>
        </w:rPr>
        <w:t xml:space="preserve">    （项目名称）             </w:t>
      </w:r>
      <w:r>
        <w:rPr>
          <w:rFonts w:hint="eastAsia"/>
          <w:color w:val="auto"/>
          <w:highlight w:val="none"/>
        </w:rPr>
        <w:t xml:space="preserve">项目谈判文件，项目编号： </w:t>
      </w:r>
      <w:r>
        <w:rPr>
          <w:rFonts w:hint="eastAsia"/>
          <w:color w:val="auto"/>
          <w:highlight w:val="none"/>
          <w:u w:val="single"/>
        </w:rPr>
        <w:t xml:space="preserve">         </w:t>
      </w:r>
      <w:r>
        <w:rPr>
          <w:rFonts w:hint="eastAsia"/>
          <w:color w:val="auto"/>
          <w:szCs w:val="21"/>
          <w:highlight w:val="none"/>
        </w:rPr>
        <w:t>，签字代表</w:t>
      </w:r>
      <w:r>
        <w:rPr>
          <w:rFonts w:hint="eastAsia"/>
          <w:color w:val="auto"/>
          <w:highlight w:val="none"/>
          <w:u w:val="single"/>
        </w:rPr>
        <w:t xml:space="preserve">         </w:t>
      </w:r>
      <w:r>
        <w:rPr>
          <w:rFonts w:hint="eastAsia"/>
          <w:color w:val="auto"/>
          <w:highlight w:val="none"/>
        </w:rPr>
        <w:t xml:space="preserve">（姓名）经正式授权并代表供应商 </w:t>
      </w:r>
      <w:r>
        <w:rPr>
          <w:rFonts w:hint="eastAsia"/>
          <w:color w:val="auto"/>
          <w:highlight w:val="none"/>
          <w:u w:val="single"/>
        </w:rPr>
        <w:t xml:space="preserve">                                  </w:t>
      </w:r>
      <w:r>
        <w:rPr>
          <w:rFonts w:hint="eastAsia"/>
          <w:color w:val="auto"/>
          <w:highlight w:val="none"/>
        </w:rPr>
        <w:t>，提交</w:t>
      </w:r>
      <w:r>
        <w:rPr>
          <w:rFonts w:hint="eastAsia" w:hAnsi="宋体"/>
          <w:color w:val="auto"/>
          <w:szCs w:val="21"/>
          <w:highlight w:val="none"/>
        </w:rPr>
        <w:t>响应</w:t>
      </w:r>
      <w:r>
        <w:rPr>
          <w:rFonts w:hint="eastAsia"/>
          <w:color w:val="auto"/>
          <w:highlight w:val="none"/>
        </w:rPr>
        <w:t>文件正本一份，副本四份。</w:t>
      </w:r>
    </w:p>
    <w:p>
      <w:pPr>
        <w:pStyle w:val="10"/>
        <w:spacing w:line="400" w:lineRule="exact"/>
        <w:ind w:firstLine="420"/>
        <w:rPr>
          <w:color w:val="auto"/>
          <w:highlight w:val="none"/>
        </w:rPr>
      </w:pPr>
      <w:r>
        <w:rPr>
          <w:rFonts w:hint="eastAsia"/>
          <w:color w:val="auto"/>
          <w:highlight w:val="none"/>
        </w:rPr>
        <w:t>据此函，签字代表宣布同意如下：</w:t>
      </w:r>
    </w:p>
    <w:p>
      <w:pPr>
        <w:pStyle w:val="10"/>
        <w:spacing w:line="400" w:lineRule="exact"/>
        <w:ind w:firstLine="420"/>
        <w:rPr>
          <w:color w:val="auto"/>
          <w:highlight w:val="none"/>
        </w:rPr>
      </w:pPr>
      <w:r>
        <w:rPr>
          <w:rFonts w:hint="eastAsia"/>
          <w:color w:val="auto"/>
          <w:highlight w:val="none"/>
        </w:rPr>
        <w:t>1、按谈判文件货物采购需求和竞标报价表：</w:t>
      </w:r>
    </w:p>
    <w:p>
      <w:pPr>
        <w:pStyle w:val="10"/>
        <w:spacing w:line="400" w:lineRule="exact"/>
        <w:ind w:firstLine="420"/>
        <w:rPr>
          <w:rFonts w:hint="eastAsia"/>
          <w:color w:val="auto"/>
          <w:highlight w:val="none"/>
        </w:rPr>
      </w:pPr>
      <w:r>
        <w:rPr>
          <w:rFonts w:hint="eastAsia"/>
          <w:color w:val="auto"/>
          <w:highlight w:val="none"/>
        </w:rPr>
        <w:t>竞标总报价（大写）</w:t>
      </w:r>
      <w:r>
        <w:rPr>
          <w:rFonts w:hint="eastAsia"/>
          <w:color w:val="auto"/>
          <w:highlight w:val="none"/>
          <w:u w:val="single"/>
        </w:rPr>
        <w:t xml:space="preserve">           </w:t>
      </w:r>
      <w:r>
        <w:rPr>
          <w:rFonts w:hint="eastAsia"/>
          <w:color w:val="auto"/>
          <w:highlight w:val="none"/>
        </w:rPr>
        <w:t>元人民币(￥</w:t>
      </w:r>
      <w:r>
        <w:rPr>
          <w:rFonts w:hint="eastAsia"/>
          <w:color w:val="auto"/>
          <w:highlight w:val="none"/>
          <w:u w:val="single"/>
        </w:rPr>
        <w:t xml:space="preserve">          </w:t>
      </w:r>
      <w:r>
        <w:rPr>
          <w:rFonts w:hint="eastAsia"/>
          <w:color w:val="auto"/>
          <w:highlight w:val="none"/>
        </w:rPr>
        <w:t>)；</w:t>
      </w:r>
    </w:p>
    <w:p>
      <w:pPr>
        <w:pStyle w:val="10"/>
        <w:spacing w:line="360" w:lineRule="exact"/>
        <w:ind w:firstLine="420"/>
        <w:rPr>
          <w:rFonts w:hint="eastAsia" w:hAnsi="宋体" w:cs="宋体"/>
          <w:color w:val="auto"/>
          <w:sz w:val="24"/>
          <w:szCs w:val="24"/>
          <w:highlight w:val="none"/>
        </w:rPr>
      </w:pPr>
      <w:r>
        <w:rPr>
          <w:rFonts w:hint="eastAsia" w:hAnsi="宋体" w:cs="宋体"/>
          <w:color w:val="auto"/>
          <w:sz w:val="24"/>
          <w:szCs w:val="24"/>
          <w:highlight w:val="none"/>
        </w:rPr>
        <w:t>…</w:t>
      </w:r>
    </w:p>
    <w:p>
      <w:pPr>
        <w:pStyle w:val="10"/>
        <w:spacing w:line="400" w:lineRule="exact"/>
        <w:ind w:firstLine="357" w:firstLineChars="170"/>
        <w:rPr>
          <w:color w:val="auto"/>
          <w:highlight w:val="none"/>
        </w:rPr>
      </w:pPr>
      <w:r>
        <w:rPr>
          <w:rFonts w:hint="eastAsia"/>
          <w:color w:val="auto"/>
          <w:highlight w:val="none"/>
        </w:rPr>
        <w:t>2、我方承诺已具备谈判文件规定的供应商资格条件。</w:t>
      </w:r>
    </w:p>
    <w:p>
      <w:pPr>
        <w:pStyle w:val="10"/>
        <w:spacing w:line="400" w:lineRule="exact"/>
        <w:ind w:firstLine="420"/>
        <w:rPr>
          <w:color w:val="auto"/>
          <w:highlight w:val="none"/>
        </w:rPr>
      </w:pPr>
      <w:r>
        <w:rPr>
          <w:rFonts w:hint="eastAsia"/>
          <w:color w:val="auto"/>
          <w:highlight w:val="none"/>
        </w:rPr>
        <w:t>3、我方已详细审核谈判文件，包括修改文件（如有的话）和有关附件，将自行承担因对全部谈判文件理解不正确或误解而产生的相应后果。</w:t>
      </w:r>
    </w:p>
    <w:p>
      <w:pPr>
        <w:pStyle w:val="10"/>
        <w:spacing w:line="400" w:lineRule="exact"/>
        <w:ind w:firstLine="420"/>
        <w:rPr>
          <w:b/>
          <w:color w:val="auto"/>
          <w:highlight w:val="none"/>
        </w:rPr>
      </w:pPr>
      <w:r>
        <w:rPr>
          <w:rFonts w:hint="eastAsia"/>
          <w:color w:val="auto"/>
          <w:highlight w:val="none"/>
        </w:rPr>
        <w:t>4、响应文件有效期：响应文件递交截止时间之日起90天。</w:t>
      </w:r>
    </w:p>
    <w:p>
      <w:pPr>
        <w:pStyle w:val="10"/>
        <w:spacing w:line="400" w:lineRule="exact"/>
        <w:ind w:firstLine="420"/>
        <w:rPr>
          <w:color w:val="auto"/>
          <w:highlight w:val="none"/>
        </w:rPr>
      </w:pPr>
      <w:r>
        <w:rPr>
          <w:rFonts w:hint="eastAsia"/>
          <w:color w:val="auto"/>
          <w:highlight w:val="none"/>
          <w:lang w:val="en-US" w:eastAsia="zh-CN"/>
        </w:rPr>
        <w:t>5</w:t>
      </w:r>
      <w:r>
        <w:rPr>
          <w:rFonts w:hint="eastAsia"/>
          <w:color w:val="auto"/>
          <w:highlight w:val="none"/>
        </w:rPr>
        <w:t>、如我方成交：</w:t>
      </w:r>
    </w:p>
    <w:p>
      <w:pPr>
        <w:pStyle w:val="10"/>
        <w:spacing w:line="400" w:lineRule="exact"/>
        <w:ind w:firstLine="420"/>
        <w:rPr>
          <w:color w:val="auto"/>
          <w:highlight w:val="none"/>
        </w:rPr>
      </w:pPr>
      <w:r>
        <w:rPr>
          <w:rFonts w:hint="eastAsia"/>
          <w:color w:val="auto"/>
          <w:highlight w:val="none"/>
        </w:rPr>
        <w:t>（1）我方承诺在收到成交通知书后，在成交通知书规定的期限内与采购人签订合同。</w:t>
      </w:r>
    </w:p>
    <w:p>
      <w:pPr>
        <w:pStyle w:val="10"/>
        <w:spacing w:line="400" w:lineRule="exact"/>
        <w:ind w:firstLine="420"/>
        <w:rPr>
          <w:color w:val="auto"/>
          <w:highlight w:val="none"/>
        </w:rPr>
      </w:pPr>
      <w:r>
        <w:rPr>
          <w:rFonts w:hint="eastAsia"/>
          <w:color w:val="auto"/>
          <w:highlight w:val="none"/>
        </w:rPr>
        <w:t>（2）我方承诺按照谈判文件规定递交履约担保。</w:t>
      </w:r>
    </w:p>
    <w:p>
      <w:pPr>
        <w:pStyle w:val="10"/>
        <w:spacing w:line="400" w:lineRule="exact"/>
        <w:ind w:firstLine="420"/>
        <w:rPr>
          <w:color w:val="auto"/>
          <w:highlight w:val="none"/>
        </w:rPr>
      </w:pPr>
      <w:r>
        <w:rPr>
          <w:rFonts w:hint="eastAsia"/>
          <w:color w:val="auto"/>
          <w:highlight w:val="none"/>
        </w:rPr>
        <w:t>（3）我方承诺本响应文件至本项目合同履行完毕止均保持有效，按谈判文件及政府采购法律、法规的规定履行合同责任和义务。</w:t>
      </w:r>
    </w:p>
    <w:p>
      <w:pPr>
        <w:pStyle w:val="10"/>
        <w:spacing w:line="400" w:lineRule="exact"/>
        <w:ind w:firstLine="420"/>
        <w:rPr>
          <w:color w:val="auto"/>
          <w:highlight w:val="none"/>
        </w:rPr>
      </w:pPr>
      <w:r>
        <w:rPr>
          <w:rFonts w:hint="eastAsia"/>
          <w:color w:val="auto"/>
          <w:highlight w:val="none"/>
        </w:rPr>
        <w:t>与</w:t>
      </w:r>
      <w:r>
        <w:rPr>
          <w:rFonts w:hint="eastAsia" w:hAnsi="宋体"/>
          <w:color w:val="auto"/>
          <w:highlight w:val="none"/>
        </w:rPr>
        <w:t>本项目有关</w:t>
      </w:r>
      <w:r>
        <w:rPr>
          <w:rFonts w:hint="eastAsia"/>
          <w:color w:val="auto"/>
          <w:highlight w:val="none"/>
        </w:rPr>
        <w:t>的正式通讯地址为：</w:t>
      </w:r>
    </w:p>
    <w:p>
      <w:pPr>
        <w:pStyle w:val="10"/>
        <w:spacing w:line="400" w:lineRule="exact"/>
        <w:ind w:firstLine="420"/>
        <w:rPr>
          <w:color w:val="auto"/>
          <w:highlight w:val="none"/>
        </w:rPr>
      </w:pPr>
    </w:p>
    <w:p>
      <w:pPr>
        <w:pStyle w:val="10"/>
        <w:spacing w:line="400" w:lineRule="exact"/>
        <w:ind w:firstLine="420"/>
        <w:rPr>
          <w:color w:val="auto"/>
          <w:highlight w:val="none"/>
          <w:u w:val="single"/>
        </w:rPr>
      </w:pPr>
      <w:r>
        <w:rPr>
          <w:rFonts w:hint="eastAsia"/>
          <w:color w:val="auto"/>
          <w:highlight w:val="none"/>
        </w:rPr>
        <w:t>地址：</w:t>
      </w:r>
      <w:r>
        <w:rPr>
          <w:rFonts w:hint="eastAsia"/>
          <w:color w:val="auto"/>
          <w:highlight w:val="none"/>
          <w:u w:val="single"/>
        </w:rPr>
        <w:t xml:space="preserve">                                   </w:t>
      </w:r>
      <w:r>
        <w:rPr>
          <w:rFonts w:hint="eastAsia"/>
          <w:color w:val="auto"/>
          <w:highlight w:val="none"/>
        </w:rPr>
        <w:t xml:space="preserve"> 邮编：</w:t>
      </w:r>
      <w:r>
        <w:rPr>
          <w:rFonts w:hint="eastAsia"/>
          <w:color w:val="auto"/>
          <w:highlight w:val="none"/>
          <w:u w:val="single"/>
        </w:rPr>
        <w:t xml:space="preserve">          </w:t>
      </w:r>
      <w:r>
        <w:rPr>
          <w:rFonts w:hint="eastAsia"/>
          <w:color w:val="auto"/>
          <w:highlight w:val="none"/>
        </w:rPr>
        <w:t xml:space="preserve">  电话、传真：</w:t>
      </w:r>
      <w:r>
        <w:rPr>
          <w:rFonts w:hint="eastAsia"/>
          <w:color w:val="auto"/>
          <w:highlight w:val="none"/>
          <w:u w:val="single"/>
        </w:rPr>
        <w:t xml:space="preserve">            </w:t>
      </w:r>
      <w:r>
        <w:rPr>
          <w:rFonts w:hint="eastAsia"/>
          <w:color w:val="auto"/>
          <w:highlight w:val="none"/>
        </w:rPr>
        <w:t>。</w:t>
      </w:r>
    </w:p>
    <w:p>
      <w:pPr>
        <w:pStyle w:val="10"/>
        <w:spacing w:line="400" w:lineRule="exact"/>
        <w:ind w:firstLine="420"/>
        <w:rPr>
          <w:color w:val="auto"/>
          <w:highlight w:val="none"/>
        </w:rPr>
      </w:pPr>
      <w:r>
        <w:rPr>
          <w:rFonts w:hint="eastAsia"/>
          <w:color w:val="auto"/>
          <w:highlight w:val="none"/>
        </w:rPr>
        <w:t>开户名称：</w:t>
      </w:r>
      <w:r>
        <w:rPr>
          <w:rFonts w:hint="eastAsia"/>
          <w:color w:val="auto"/>
          <w:highlight w:val="none"/>
          <w:u w:val="single"/>
        </w:rPr>
        <w:t xml:space="preserve">                                        ，</w:t>
      </w:r>
    </w:p>
    <w:p>
      <w:pPr>
        <w:pStyle w:val="10"/>
        <w:spacing w:line="400" w:lineRule="exact"/>
        <w:ind w:firstLine="420"/>
        <w:rPr>
          <w:color w:val="auto"/>
          <w:highlight w:val="none"/>
        </w:rPr>
      </w:pPr>
      <w:r>
        <w:rPr>
          <w:rFonts w:hint="eastAsia"/>
          <w:color w:val="auto"/>
          <w:highlight w:val="none"/>
        </w:rPr>
        <w:t>开户银行：</w:t>
      </w:r>
      <w:r>
        <w:rPr>
          <w:rFonts w:hint="eastAsia"/>
          <w:color w:val="auto"/>
          <w:highlight w:val="none"/>
          <w:u w:val="single"/>
        </w:rPr>
        <w:t xml:space="preserve">                               　       ，</w:t>
      </w:r>
    </w:p>
    <w:p>
      <w:pPr>
        <w:pStyle w:val="10"/>
        <w:spacing w:line="400" w:lineRule="exact"/>
        <w:ind w:firstLine="420"/>
        <w:rPr>
          <w:color w:val="auto"/>
          <w:highlight w:val="none"/>
        </w:rPr>
      </w:pPr>
      <w:r>
        <w:rPr>
          <w:rFonts w:hint="eastAsia"/>
          <w:color w:val="auto"/>
          <w:highlight w:val="none"/>
        </w:rPr>
        <w:t>账号：</w:t>
      </w:r>
      <w:r>
        <w:rPr>
          <w:rFonts w:hint="eastAsia"/>
          <w:color w:val="auto"/>
          <w:highlight w:val="none"/>
          <w:u w:val="single"/>
        </w:rPr>
        <w:t xml:space="preserve">                                   　　　   ，</w:t>
      </w:r>
    </w:p>
    <w:p>
      <w:pPr>
        <w:pStyle w:val="10"/>
        <w:spacing w:line="400" w:lineRule="exact"/>
        <w:ind w:firstLine="420"/>
        <w:rPr>
          <w:color w:val="auto"/>
          <w:highlight w:val="none"/>
        </w:rPr>
      </w:pPr>
      <w:r>
        <w:rPr>
          <w:rFonts w:hint="eastAsia" w:hAnsi="宋体"/>
          <w:color w:val="auto"/>
          <w:highlight w:val="none"/>
        </w:rPr>
        <w:t>供应商（公章，自然人除外）：</w:t>
      </w:r>
      <w:r>
        <w:rPr>
          <w:rFonts w:hint="eastAsia" w:hAnsi="宋体"/>
          <w:color w:val="auto"/>
          <w:highlight w:val="none"/>
          <w:u w:val="single"/>
        </w:rPr>
        <w:t xml:space="preserve">                                             </w:t>
      </w:r>
      <w:r>
        <w:rPr>
          <w:rFonts w:hint="eastAsia" w:hAnsi="宋体"/>
          <w:color w:val="auto"/>
          <w:highlight w:val="none"/>
        </w:rPr>
        <w:t xml:space="preserve"> 。</w:t>
      </w:r>
    </w:p>
    <w:p>
      <w:pPr>
        <w:pStyle w:val="10"/>
        <w:spacing w:line="400" w:lineRule="exact"/>
        <w:ind w:firstLine="420"/>
        <w:rPr>
          <w:color w:val="auto"/>
          <w:highlight w:val="none"/>
          <w:u w:val="single"/>
        </w:rPr>
      </w:pPr>
      <w:r>
        <w:rPr>
          <w:rFonts w:hint="eastAsia" w:hAnsi="宋体"/>
          <w:color w:val="auto"/>
          <w:highlight w:val="none"/>
        </w:rPr>
        <w:t>法定代表人或负责人或自然人或相应的委托代理人签字或盖章（属自然人的应在签名处加盖食指指印）：</w:t>
      </w:r>
    </w:p>
    <w:p>
      <w:pPr>
        <w:pStyle w:val="10"/>
        <w:spacing w:line="400" w:lineRule="exact"/>
        <w:ind w:firstLine="420"/>
        <w:rPr>
          <w:color w:val="auto"/>
          <w:highlight w:val="none"/>
          <w:u w:val="single"/>
        </w:rPr>
      </w:pPr>
      <w:r>
        <w:rPr>
          <w:rFonts w:hint="eastAsia"/>
          <w:color w:val="auto"/>
          <w:highlight w:val="none"/>
        </w:rPr>
        <w:t>响应日期：</w:t>
      </w:r>
      <w:r>
        <w:rPr>
          <w:rFonts w:hint="eastAsia"/>
          <w:color w:val="auto"/>
          <w:highlight w:val="none"/>
          <w:u w:val="single"/>
        </w:rPr>
        <w:t xml:space="preserve">                              ， </w:t>
      </w:r>
    </w:p>
    <w:p>
      <w:pPr>
        <w:pStyle w:val="10"/>
        <w:spacing w:line="400" w:lineRule="exact"/>
        <w:ind w:firstLine="420" w:firstLineChars="200"/>
        <w:rPr>
          <w:bCs/>
          <w:color w:val="auto"/>
          <w:highlight w:val="none"/>
        </w:rPr>
      </w:pPr>
      <w:r>
        <w:rPr>
          <w:rFonts w:hint="eastAsia"/>
          <w:color w:val="auto"/>
          <w:highlight w:val="none"/>
        </w:rPr>
        <w:t>注：响应函</w:t>
      </w:r>
      <w:r>
        <w:rPr>
          <w:rFonts w:hint="eastAsia" w:hAnsi="宋体"/>
          <w:color w:val="auto"/>
          <w:szCs w:val="21"/>
          <w:highlight w:val="none"/>
        </w:rPr>
        <w:t>须</w:t>
      </w:r>
      <w:r>
        <w:rPr>
          <w:rFonts w:hint="eastAsia" w:hAnsi="宋体"/>
          <w:color w:val="auto"/>
          <w:highlight w:val="none"/>
        </w:rPr>
        <w:t>由</w:t>
      </w:r>
      <w:r>
        <w:rPr>
          <w:rFonts w:hint="eastAsia" w:hAnsi="宋体"/>
          <w:color w:val="auto"/>
          <w:szCs w:val="21"/>
          <w:highlight w:val="none"/>
        </w:rPr>
        <w:t>法定代表人（负责人/自然人）或委托代理人签字或盖章（</w:t>
      </w:r>
      <w:r>
        <w:rPr>
          <w:rFonts w:hint="eastAsia" w:hAnsi="宋体"/>
          <w:color w:val="auto"/>
          <w:highlight w:val="none"/>
        </w:rPr>
        <w:t>属自然人的应在签名处加盖食指指印</w:t>
      </w:r>
      <w:r>
        <w:rPr>
          <w:rFonts w:hint="eastAsia" w:hAnsi="宋体"/>
          <w:bCs/>
          <w:color w:val="auto"/>
          <w:szCs w:val="21"/>
          <w:highlight w:val="none"/>
        </w:rPr>
        <w:t>）并加盖供应商公章（自然人除外）。</w:t>
      </w:r>
    </w:p>
    <w:p>
      <w:pPr>
        <w:pStyle w:val="10"/>
        <w:rPr>
          <w:rFonts w:hint="eastAsia"/>
          <w:b/>
          <w:color w:val="auto"/>
          <w:sz w:val="28"/>
          <w:szCs w:val="28"/>
          <w:highlight w:val="none"/>
        </w:rPr>
      </w:pPr>
      <w:r>
        <w:rPr>
          <w:rFonts w:hint="eastAsia"/>
          <w:b/>
          <w:color w:val="auto"/>
          <w:sz w:val="28"/>
          <w:szCs w:val="28"/>
          <w:highlight w:val="none"/>
        </w:rPr>
        <w:t>　</w:t>
      </w:r>
    </w:p>
    <w:p>
      <w:pPr>
        <w:pStyle w:val="10"/>
        <w:rPr>
          <w:rFonts w:hint="eastAsia"/>
          <w:b/>
          <w:color w:val="auto"/>
          <w:sz w:val="28"/>
          <w:szCs w:val="28"/>
          <w:highlight w:val="none"/>
        </w:rPr>
      </w:pPr>
    </w:p>
    <w:p>
      <w:pPr>
        <w:pStyle w:val="10"/>
        <w:rPr>
          <w:rFonts w:hint="eastAsia"/>
          <w:b/>
          <w:color w:val="auto"/>
          <w:sz w:val="28"/>
          <w:szCs w:val="28"/>
          <w:highlight w:val="none"/>
        </w:rPr>
      </w:pPr>
    </w:p>
    <w:p>
      <w:pPr>
        <w:pStyle w:val="10"/>
        <w:rPr>
          <w:rFonts w:hint="eastAsia"/>
          <w:b/>
          <w:color w:val="auto"/>
          <w:sz w:val="28"/>
          <w:szCs w:val="28"/>
          <w:highlight w:val="none"/>
        </w:rPr>
      </w:pPr>
    </w:p>
    <w:p>
      <w:pPr>
        <w:pStyle w:val="10"/>
        <w:rPr>
          <w:rFonts w:hint="eastAsia"/>
          <w:b/>
          <w:color w:val="auto"/>
          <w:sz w:val="28"/>
          <w:szCs w:val="28"/>
          <w:highlight w:val="none"/>
        </w:rPr>
      </w:pPr>
    </w:p>
    <w:p>
      <w:pPr>
        <w:pStyle w:val="10"/>
        <w:ind w:firstLine="281" w:firstLineChars="100"/>
        <w:rPr>
          <w:b/>
          <w:color w:val="auto"/>
          <w:sz w:val="32"/>
          <w:highlight w:val="none"/>
        </w:rPr>
      </w:pPr>
      <w:r>
        <w:rPr>
          <w:rFonts w:hint="eastAsia"/>
          <w:b/>
          <w:color w:val="auto"/>
          <w:sz w:val="28"/>
          <w:szCs w:val="28"/>
          <w:highlight w:val="none"/>
        </w:rPr>
        <w:t>2、供应商的法定代表人或负责人或自然人身份证正反两面复印件（必须提供）；</w:t>
      </w:r>
    </w:p>
    <w:p>
      <w:pPr>
        <w:tabs>
          <w:tab w:val="left" w:pos="1305"/>
        </w:tabs>
        <w:spacing w:line="400" w:lineRule="exact"/>
        <w:ind w:firstLine="281" w:firstLineChars="100"/>
        <w:rPr>
          <w:rFonts w:hint="eastAsia" w:ascii="宋体" w:hAnsi="Courier New"/>
          <w:b/>
          <w:color w:val="auto"/>
          <w:sz w:val="28"/>
          <w:szCs w:val="28"/>
          <w:highlight w:val="none"/>
        </w:rPr>
      </w:pPr>
    </w:p>
    <w:p>
      <w:pPr>
        <w:tabs>
          <w:tab w:val="left" w:pos="1305"/>
        </w:tabs>
        <w:spacing w:line="400" w:lineRule="exact"/>
        <w:ind w:firstLine="281" w:firstLineChars="100"/>
        <w:rPr>
          <w:rFonts w:hint="eastAsia" w:ascii="宋体" w:hAnsi="Courier New"/>
          <w:b/>
          <w:color w:val="auto"/>
          <w:sz w:val="28"/>
          <w:szCs w:val="28"/>
          <w:highlight w:val="none"/>
        </w:rPr>
      </w:pPr>
    </w:p>
    <w:p>
      <w:pPr>
        <w:tabs>
          <w:tab w:val="left" w:pos="1305"/>
        </w:tabs>
        <w:spacing w:line="400" w:lineRule="exact"/>
        <w:ind w:firstLine="281" w:firstLineChars="100"/>
        <w:rPr>
          <w:rFonts w:hint="eastAsia" w:ascii="宋体" w:hAnsi="Courier New"/>
          <w:b/>
          <w:color w:val="auto"/>
          <w:sz w:val="28"/>
          <w:szCs w:val="28"/>
          <w:highlight w:val="none"/>
        </w:rPr>
      </w:pPr>
    </w:p>
    <w:p>
      <w:pPr>
        <w:pStyle w:val="10"/>
        <w:numPr>
          <w:ilvl w:val="0"/>
          <w:numId w:val="0"/>
        </w:numPr>
        <w:ind w:left="420" w:leftChars="0"/>
        <w:jc w:val="both"/>
        <w:rPr>
          <w:rFonts w:hint="eastAsia"/>
          <w:b/>
          <w:color w:val="auto"/>
          <w:sz w:val="28"/>
          <w:szCs w:val="28"/>
          <w:highlight w:val="none"/>
          <w:lang w:eastAsia="zh-CN"/>
        </w:rPr>
      </w:pPr>
      <w:r>
        <w:rPr>
          <w:rFonts w:hint="eastAsia"/>
          <w:b/>
          <w:color w:val="auto"/>
          <w:sz w:val="28"/>
          <w:szCs w:val="28"/>
          <w:highlight w:val="none"/>
          <w:lang w:val="en-US" w:eastAsia="zh-CN"/>
        </w:rPr>
        <w:t>3、</w:t>
      </w:r>
      <w:r>
        <w:rPr>
          <w:rFonts w:hint="eastAsia"/>
          <w:b/>
          <w:color w:val="auto"/>
          <w:sz w:val="28"/>
          <w:szCs w:val="28"/>
          <w:highlight w:val="none"/>
        </w:rPr>
        <w:t>供应商的授权委托书原件、委托代理人身份证正反面复印件</w:t>
      </w:r>
      <w:r>
        <w:rPr>
          <w:rFonts w:hint="eastAsia"/>
          <w:b/>
          <w:color w:val="auto"/>
          <w:sz w:val="28"/>
          <w:szCs w:val="28"/>
          <w:highlight w:val="none"/>
          <w:lang w:eastAsia="zh-CN"/>
        </w:rPr>
        <w:t>以及由县级以上（含县级）社会养老保险经办机构出具的供应商为委托代理人交纳的2020年8月-10月社保证明复印件【属自然人的应提供由县级以上（含县级）社会养老保险经办机构出具的自然人本人及委托代理人所交纳的2020年8月-10月社保证明复印件】（委托代理时必须提供）</w:t>
      </w:r>
    </w:p>
    <w:p>
      <w:pPr>
        <w:pStyle w:val="10"/>
        <w:numPr>
          <w:ilvl w:val="0"/>
          <w:numId w:val="0"/>
        </w:numPr>
        <w:ind w:left="420" w:leftChars="0"/>
        <w:jc w:val="both"/>
        <w:rPr>
          <w:rFonts w:hint="eastAsia" w:eastAsia="宋体"/>
          <w:b/>
          <w:color w:val="auto"/>
          <w:sz w:val="28"/>
          <w:szCs w:val="28"/>
          <w:highlight w:val="none"/>
          <w:lang w:eastAsia="zh-CN"/>
        </w:rPr>
      </w:pPr>
    </w:p>
    <w:p>
      <w:pPr>
        <w:pStyle w:val="10"/>
        <w:numPr>
          <w:ilvl w:val="0"/>
          <w:numId w:val="0"/>
        </w:numPr>
        <w:ind w:left="420" w:leftChars="0" w:firstLine="2891" w:firstLineChars="900"/>
        <w:jc w:val="both"/>
        <w:rPr>
          <w:rFonts w:hint="eastAsia"/>
          <w:b/>
          <w:color w:val="auto"/>
          <w:sz w:val="32"/>
          <w:highlight w:val="none"/>
        </w:rPr>
      </w:pPr>
    </w:p>
    <w:p>
      <w:pPr>
        <w:pStyle w:val="10"/>
        <w:numPr>
          <w:ilvl w:val="0"/>
          <w:numId w:val="0"/>
        </w:numPr>
        <w:ind w:left="420" w:leftChars="0" w:firstLine="2891" w:firstLineChars="900"/>
        <w:jc w:val="both"/>
        <w:rPr>
          <w:b/>
          <w:color w:val="auto"/>
          <w:sz w:val="32"/>
          <w:highlight w:val="none"/>
        </w:rPr>
      </w:pPr>
      <w:r>
        <w:rPr>
          <w:rFonts w:hint="eastAsia"/>
          <w:b/>
          <w:color w:val="auto"/>
          <w:sz w:val="32"/>
          <w:highlight w:val="none"/>
        </w:rPr>
        <w:t>授权委托书（格式一）</w:t>
      </w:r>
    </w:p>
    <w:p>
      <w:pPr>
        <w:pStyle w:val="10"/>
        <w:rPr>
          <w:color w:val="auto"/>
          <w:highlight w:val="none"/>
        </w:rPr>
      </w:pPr>
    </w:p>
    <w:p>
      <w:pPr>
        <w:spacing w:line="400" w:lineRule="exact"/>
        <w:rPr>
          <w:rFonts w:hint="eastAsia"/>
          <w:color w:val="auto"/>
          <w:highlight w:val="none"/>
        </w:rPr>
      </w:pPr>
      <w:r>
        <w:rPr>
          <w:rFonts w:hint="eastAsia" w:ascii="宋体" w:hAnsi="宋体"/>
          <w:color w:val="auto"/>
          <w:szCs w:val="21"/>
          <w:highlight w:val="none"/>
        </w:rPr>
        <w:t>致：</w:t>
      </w:r>
      <w:r>
        <w:rPr>
          <w:rFonts w:hint="eastAsia" w:ascii="宋体" w:hAnsi="宋体"/>
          <w:color w:val="auto"/>
          <w:szCs w:val="21"/>
          <w:highlight w:val="none"/>
          <w:u w:val="single"/>
        </w:rPr>
        <w:t xml:space="preserve"> 大成工程咨询有限公司</w:t>
      </w:r>
    </w:p>
    <w:p>
      <w:pPr>
        <w:spacing w:line="400" w:lineRule="exact"/>
        <w:rPr>
          <w:rFonts w:ascii="宋体" w:hAnsi="宋体"/>
          <w:color w:val="auto"/>
          <w:szCs w:val="21"/>
          <w:highlight w:val="none"/>
        </w:rPr>
      </w:pPr>
    </w:p>
    <w:p>
      <w:pPr>
        <w:pStyle w:val="10"/>
        <w:spacing w:line="400" w:lineRule="exact"/>
        <w:ind w:firstLine="420" w:firstLineChars="200"/>
        <w:rPr>
          <w:rFonts w:hAnsi="宋体"/>
          <w:color w:val="auto"/>
          <w:highlight w:val="none"/>
        </w:rPr>
      </w:pPr>
      <w:r>
        <w:rPr>
          <w:rFonts w:hint="eastAsia" w:hAnsi="宋体"/>
          <w:color w:val="auto"/>
          <w:kern w:val="0"/>
          <w:highlight w:val="none"/>
        </w:rPr>
        <w:t>我</w:t>
      </w:r>
      <w:r>
        <w:rPr>
          <w:rFonts w:hint="eastAsia" w:hAnsi="宋体"/>
          <w:color w:val="auto"/>
          <w:kern w:val="0"/>
          <w:highlight w:val="none"/>
          <w:u w:val="single"/>
        </w:rPr>
        <w:t xml:space="preserve">              </w:t>
      </w:r>
      <w:r>
        <w:rPr>
          <w:rFonts w:hint="eastAsia" w:hAnsi="宋体"/>
          <w:color w:val="auto"/>
          <w:kern w:val="0"/>
          <w:highlight w:val="none"/>
        </w:rPr>
        <w:t>（姓名）系</w:t>
      </w:r>
      <w:r>
        <w:rPr>
          <w:rFonts w:hint="eastAsia" w:hAnsi="宋体"/>
          <w:color w:val="auto"/>
          <w:kern w:val="0"/>
          <w:highlight w:val="none"/>
          <w:u w:val="single"/>
        </w:rPr>
        <w:t xml:space="preserve">                              </w:t>
      </w:r>
      <w:r>
        <w:rPr>
          <w:rFonts w:hint="eastAsia" w:hAnsi="宋体"/>
          <w:color w:val="auto"/>
          <w:kern w:val="0"/>
          <w:highlight w:val="none"/>
        </w:rPr>
        <w:t>（供应商名称）的法定代表人（负责人），现授权委托本单位在职职工</w:t>
      </w:r>
      <w:r>
        <w:rPr>
          <w:rFonts w:hint="eastAsia" w:hAnsi="宋体"/>
          <w:color w:val="auto"/>
          <w:kern w:val="0"/>
          <w:highlight w:val="none"/>
          <w:u w:val="single"/>
        </w:rPr>
        <w:t xml:space="preserve">            </w:t>
      </w:r>
      <w:r>
        <w:rPr>
          <w:rFonts w:hint="eastAsia" w:hAnsi="宋体"/>
          <w:color w:val="auto"/>
          <w:kern w:val="0"/>
          <w:highlight w:val="none"/>
        </w:rPr>
        <w:t>（姓 名）以我公司名义参加</w:t>
      </w:r>
      <w:r>
        <w:rPr>
          <w:rFonts w:hint="eastAsia" w:hAnsi="宋体"/>
          <w:color w:val="auto"/>
          <w:kern w:val="0"/>
          <w:highlight w:val="none"/>
          <w:u w:val="single"/>
        </w:rPr>
        <w:t xml:space="preserve">      </w:t>
      </w:r>
      <w:r>
        <w:rPr>
          <w:rFonts w:hint="eastAsia" w:hAnsi="宋体"/>
          <w:color w:val="auto"/>
          <w:highlight w:val="none"/>
          <w:u w:val="single"/>
        </w:rPr>
        <w:t xml:space="preserve">（项目名称及项目编号）        </w:t>
      </w:r>
      <w:r>
        <w:rPr>
          <w:rFonts w:hint="eastAsia" w:hAnsi="宋体"/>
          <w:color w:val="auto"/>
          <w:highlight w:val="none"/>
        </w:rPr>
        <w:t>项目的谈判活动，并代表我方全权办理针对上述项目的谈判、签约等具体事务和签署相关文件。</w:t>
      </w:r>
    </w:p>
    <w:p>
      <w:pPr>
        <w:pStyle w:val="10"/>
        <w:spacing w:line="400" w:lineRule="exact"/>
        <w:ind w:firstLine="420" w:firstLineChars="200"/>
        <w:rPr>
          <w:rFonts w:hAnsi="宋体"/>
          <w:color w:val="auto"/>
          <w:highlight w:val="none"/>
        </w:rPr>
      </w:pPr>
      <w:r>
        <w:rPr>
          <w:rFonts w:hint="eastAsia" w:hAnsi="宋体"/>
          <w:color w:val="auto"/>
          <w:highlight w:val="none"/>
        </w:rPr>
        <w:t>我方对被授权人的签字事项负全部责任。</w:t>
      </w:r>
    </w:p>
    <w:p>
      <w:pPr>
        <w:pStyle w:val="10"/>
        <w:spacing w:line="400" w:lineRule="exact"/>
        <w:ind w:firstLine="420" w:firstLineChars="200"/>
        <w:rPr>
          <w:rFonts w:hAnsi="宋体"/>
          <w:color w:val="auto"/>
          <w:highlight w:val="none"/>
          <w:u w:val="single"/>
        </w:rPr>
      </w:pPr>
      <w:r>
        <w:rPr>
          <w:rFonts w:hint="eastAsia" w:hAnsi="宋体"/>
          <w:color w:val="auto"/>
          <w:highlight w:val="none"/>
        </w:rPr>
        <w:t>授权委托代理期限：从</w:t>
      </w:r>
      <w:r>
        <w:rPr>
          <w:rFonts w:hint="eastAsia" w:hAnsi="宋体"/>
          <w:color w:val="auto"/>
          <w:highlight w:val="none"/>
          <w:u w:val="single"/>
        </w:rPr>
        <w:t xml:space="preserve">       </w:t>
      </w:r>
      <w:r>
        <w:rPr>
          <w:rFonts w:hint="eastAsia" w:hAnsi="宋体"/>
          <w:color w:val="auto"/>
          <w:highlight w:val="none"/>
        </w:rPr>
        <w:t>年</w:t>
      </w:r>
      <w:r>
        <w:rPr>
          <w:rFonts w:hint="eastAsia" w:hAnsi="宋体"/>
          <w:color w:val="auto"/>
          <w:highlight w:val="none"/>
          <w:u w:val="single"/>
        </w:rPr>
        <w:t xml:space="preserve">     </w:t>
      </w:r>
      <w:r>
        <w:rPr>
          <w:rFonts w:hint="eastAsia" w:hAnsi="宋体"/>
          <w:color w:val="auto"/>
          <w:highlight w:val="none"/>
        </w:rPr>
        <w:t xml:space="preserve">月 </w:t>
      </w:r>
      <w:r>
        <w:rPr>
          <w:rFonts w:hint="eastAsia" w:hAnsi="宋体"/>
          <w:color w:val="auto"/>
          <w:highlight w:val="none"/>
          <w:u w:val="single"/>
        </w:rPr>
        <w:t xml:space="preserve">    </w:t>
      </w:r>
      <w:r>
        <w:rPr>
          <w:rFonts w:hint="eastAsia" w:hAnsi="宋体"/>
          <w:color w:val="auto"/>
          <w:highlight w:val="none"/>
        </w:rPr>
        <w:t xml:space="preserve"> 日起至</w:t>
      </w:r>
      <w:r>
        <w:rPr>
          <w:rFonts w:hint="eastAsia" w:hAnsi="宋体"/>
          <w:color w:val="auto"/>
          <w:highlight w:val="none"/>
          <w:u w:val="single"/>
        </w:rPr>
        <w:t xml:space="preserve">         </w:t>
      </w:r>
      <w:r>
        <w:rPr>
          <w:rFonts w:hint="eastAsia" w:hAnsi="宋体"/>
          <w:color w:val="auto"/>
          <w:highlight w:val="none"/>
        </w:rPr>
        <w:t>年</w:t>
      </w:r>
      <w:r>
        <w:rPr>
          <w:rFonts w:hint="eastAsia" w:hAnsi="宋体"/>
          <w:color w:val="auto"/>
          <w:highlight w:val="none"/>
          <w:u w:val="single"/>
        </w:rPr>
        <w:t xml:space="preserve">     </w:t>
      </w:r>
      <w:r>
        <w:rPr>
          <w:rFonts w:hint="eastAsia" w:hAnsi="宋体"/>
          <w:color w:val="auto"/>
          <w:highlight w:val="none"/>
        </w:rPr>
        <w:t xml:space="preserve">月 </w:t>
      </w:r>
      <w:r>
        <w:rPr>
          <w:rFonts w:hint="eastAsia" w:hAnsi="宋体"/>
          <w:color w:val="auto"/>
          <w:highlight w:val="none"/>
          <w:u w:val="single"/>
        </w:rPr>
        <w:t xml:space="preserve">     </w:t>
      </w:r>
      <w:r>
        <w:rPr>
          <w:rFonts w:hint="eastAsia" w:hAnsi="宋体"/>
          <w:color w:val="auto"/>
          <w:highlight w:val="none"/>
        </w:rPr>
        <w:t>日止。</w:t>
      </w:r>
    </w:p>
    <w:p>
      <w:pPr>
        <w:pStyle w:val="10"/>
        <w:spacing w:line="400" w:lineRule="exact"/>
        <w:rPr>
          <w:rFonts w:hAnsi="宋体"/>
          <w:color w:val="auto"/>
          <w:highlight w:val="none"/>
          <w:u w:val="single"/>
        </w:rPr>
      </w:pPr>
      <w:r>
        <w:rPr>
          <w:rFonts w:hint="eastAsia" w:hAnsi="宋体"/>
          <w:color w:val="auto"/>
          <w:highlight w:val="none"/>
        </w:rPr>
        <w:t xml:space="preserve">                                                                                             </w:t>
      </w:r>
    </w:p>
    <w:p>
      <w:pPr>
        <w:spacing w:line="400" w:lineRule="exact"/>
        <w:ind w:firstLine="420" w:firstLineChars="200"/>
        <w:rPr>
          <w:rFonts w:ascii="宋体" w:hAnsi="宋体"/>
          <w:color w:val="auto"/>
          <w:kern w:val="0"/>
          <w:highlight w:val="none"/>
        </w:rPr>
      </w:pPr>
      <w:r>
        <w:rPr>
          <w:rFonts w:hint="eastAsia" w:ascii="宋体" w:hAnsi="宋体"/>
          <w:color w:val="auto"/>
          <w:kern w:val="0"/>
          <w:highlight w:val="none"/>
        </w:rPr>
        <w:t>代理人无转委托权,特此委托。</w:t>
      </w:r>
      <w:r>
        <w:rPr>
          <w:rFonts w:ascii="宋体" w:hAnsi="宋体"/>
          <w:color w:val="auto"/>
          <w:kern w:val="0"/>
          <w:highlight w:val="none"/>
        </w:rPr>
        <w:t xml:space="preserve"> </w:t>
      </w:r>
    </w:p>
    <w:p>
      <w:pPr>
        <w:snapToGrid w:val="0"/>
        <w:spacing w:line="400" w:lineRule="exact"/>
        <w:ind w:firstLine="525"/>
        <w:outlineLvl w:val="4"/>
        <w:rPr>
          <w:rFonts w:ascii="宋体" w:hAnsi="宋体"/>
          <w:color w:val="auto"/>
          <w:szCs w:val="21"/>
          <w:highlight w:val="none"/>
        </w:rPr>
      </w:pPr>
    </w:p>
    <w:p>
      <w:pPr>
        <w:snapToGrid w:val="0"/>
        <w:spacing w:line="400" w:lineRule="exact"/>
        <w:ind w:firstLine="420"/>
        <w:outlineLvl w:val="4"/>
        <w:rPr>
          <w:rFonts w:ascii="宋体" w:hAnsi="宋体"/>
          <w:color w:val="auto"/>
          <w:szCs w:val="21"/>
          <w:highlight w:val="none"/>
        </w:rPr>
      </w:pPr>
      <w:r>
        <w:rPr>
          <w:rFonts w:hint="eastAsia" w:ascii="宋体" w:hAnsi="宋体"/>
          <w:color w:val="auto"/>
          <w:szCs w:val="21"/>
          <w:highlight w:val="none"/>
        </w:rPr>
        <w:t>我已在下面签字，以资证明。</w:t>
      </w:r>
    </w:p>
    <w:p>
      <w:pPr>
        <w:snapToGrid w:val="0"/>
        <w:spacing w:line="400" w:lineRule="exact"/>
        <w:ind w:firstLine="420"/>
        <w:outlineLvl w:val="4"/>
        <w:rPr>
          <w:rFonts w:ascii="宋体" w:hAnsi="宋体"/>
          <w:color w:val="auto"/>
          <w:szCs w:val="21"/>
          <w:highlight w:val="none"/>
        </w:rPr>
      </w:pPr>
    </w:p>
    <w:p>
      <w:pPr>
        <w:snapToGrid w:val="0"/>
        <w:spacing w:line="400" w:lineRule="exact"/>
        <w:ind w:firstLine="420"/>
        <w:outlineLvl w:val="4"/>
        <w:rPr>
          <w:rFonts w:ascii="宋体" w:hAnsi="宋体"/>
          <w:color w:val="auto"/>
          <w:szCs w:val="21"/>
          <w:highlight w:val="none"/>
        </w:rPr>
      </w:pPr>
    </w:p>
    <w:p>
      <w:pPr>
        <w:snapToGrid w:val="0"/>
        <w:spacing w:line="400" w:lineRule="exact"/>
        <w:ind w:firstLine="420"/>
        <w:outlineLvl w:val="4"/>
        <w:rPr>
          <w:rFonts w:ascii="宋体" w:hAnsi="宋体"/>
          <w:color w:val="auto"/>
          <w:szCs w:val="21"/>
          <w:highlight w:val="none"/>
          <w:u w:val="single"/>
        </w:rPr>
      </w:pPr>
      <w:r>
        <w:rPr>
          <w:rFonts w:hint="eastAsia" w:ascii="宋体" w:hAnsi="宋体"/>
          <w:color w:val="auto"/>
          <w:szCs w:val="21"/>
          <w:highlight w:val="none"/>
        </w:rPr>
        <w:t>供应商（公章）：</w:t>
      </w:r>
      <w:r>
        <w:rPr>
          <w:rFonts w:hint="eastAsia" w:ascii="宋体" w:hAnsi="宋体"/>
          <w:b/>
          <w:color w:val="auto"/>
          <w:szCs w:val="21"/>
          <w:highlight w:val="none"/>
          <w:u w:val="single"/>
        </w:rPr>
        <w:t xml:space="preserve">                                      </w:t>
      </w:r>
    </w:p>
    <w:p>
      <w:pPr>
        <w:snapToGrid w:val="0"/>
        <w:spacing w:line="400" w:lineRule="exact"/>
        <w:ind w:firstLine="420"/>
        <w:outlineLvl w:val="4"/>
        <w:rPr>
          <w:rFonts w:ascii="宋体" w:hAnsi="宋体"/>
          <w:color w:val="auto"/>
          <w:szCs w:val="21"/>
          <w:highlight w:val="none"/>
        </w:rPr>
      </w:pPr>
    </w:p>
    <w:p>
      <w:pPr>
        <w:snapToGrid w:val="0"/>
        <w:spacing w:line="400" w:lineRule="exact"/>
        <w:ind w:firstLine="420"/>
        <w:outlineLvl w:val="4"/>
        <w:rPr>
          <w:rFonts w:ascii="宋体" w:hAnsi="宋体"/>
          <w:color w:val="auto"/>
          <w:szCs w:val="21"/>
          <w:highlight w:val="none"/>
        </w:rPr>
      </w:pPr>
      <w:r>
        <w:rPr>
          <w:rFonts w:hint="eastAsia" w:ascii="宋体" w:hAnsi="宋体"/>
          <w:color w:val="auto"/>
          <w:szCs w:val="21"/>
          <w:highlight w:val="none"/>
        </w:rPr>
        <w:t>法定代表人（负责人）签字或盖章：</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pPr>
        <w:snapToGrid w:val="0"/>
        <w:spacing w:line="400" w:lineRule="exact"/>
        <w:outlineLvl w:val="4"/>
        <w:rPr>
          <w:rFonts w:ascii="宋体" w:hAnsi="宋体"/>
          <w:b/>
          <w:color w:val="auto"/>
          <w:sz w:val="28"/>
          <w:szCs w:val="28"/>
          <w:highlight w:val="none"/>
        </w:rPr>
      </w:pPr>
    </w:p>
    <w:p>
      <w:pPr>
        <w:pStyle w:val="10"/>
        <w:rPr>
          <w:rFonts w:hint="eastAsia" w:hAnsi="宋体"/>
          <w:b/>
          <w:color w:val="auto"/>
          <w:sz w:val="24"/>
          <w:szCs w:val="24"/>
          <w:highlight w:val="none"/>
        </w:rPr>
      </w:pPr>
      <w:r>
        <w:rPr>
          <w:rFonts w:hint="eastAsia" w:hAnsi="宋体"/>
          <w:b/>
          <w:color w:val="auto"/>
          <w:sz w:val="24"/>
          <w:szCs w:val="24"/>
          <w:highlight w:val="none"/>
        </w:rPr>
        <w:t>附：委托代理人有效的身份证正反两面复印件</w:t>
      </w:r>
      <w:r>
        <w:rPr>
          <w:rFonts w:hint="eastAsia" w:hAnsi="宋体"/>
          <w:b/>
          <w:color w:val="auto"/>
          <w:sz w:val="24"/>
          <w:szCs w:val="24"/>
          <w:highlight w:val="none"/>
          <w:lang w:eastAsia="zh-CN"/>
        </w:rPr>
        <w:t>以及由县级以上（含县级）社会养老保险经办机构出具的供应商为委托代理人交纳的2020年8月-10月社保证明复印件</w:t>
      </w:r>
    </w:p>
    <w:p>
      <w:pPr>
        <w:pStyle w:val="10"/>
        <w:rPr>
          <w:rFonts w:hint="eastAsia" w:hAnsi="宋体"/>
          <w:b/>
          <w:color w:val="auto"/>
          <w:sz w:val="24"/>
          <w:szCs w:val="24"/>
          <w:highlight w:val="none"/>
        </w:rPr>
      </w:pPr>
    </w:p>
    <w:p>
      <w:pPr>
        <w:pStyle w:val="10"/>
        <w:rPr>
          <w:rFonts w:hint="eastAsia" w:hAnsi="宋体"/>
          <w:b/>
          <w:color w:val="auto"/>
          <w:sz w:val="24"/>
          <w:szCs w:val="24"/>
          <w:highlight w:val="none"/>
        </w:rPr>
      </w:pPr>
    </w:p>
    <w:p>
      <w:pPr>
        <w:rPr>
          <w:rFonts w:hint="eastAsia"/>
          <w:b/>
          <w:color w:val="auto"/>
          <w:sz w:val="32"/>
          <w:highlight w:val="none"/>
        </w:rPr>
      </w:pPr>
      <w:r>
        <w:rPr>
          <w:rFonts w:hint="eastAsia"/>
          <w:b/>
          <w:color w:val="auto"/>
          <w:sz w:val="32"/>
          <w:highlight w:val="none"/>
        </w:rPr>
        <w:br w:type="page"/>
      </w:r>
    </w:p>
    <w:p>
      <w:pPr>
        <w:pStyle w:val="10"/>
        <w:rPr>
          <w:b/>
          <w:color w:val="auto"/>
          <w:sz w:val="32"/>
          <w:highlight w:val="none"/>
        </w:rPr>
      </w:pPr>
      <w:r>
        <w:rPr>
          <w:rFonts w:hint="eastAsia"/>
          <w:b/>
          <w:color w:val="auto"/>
          <w:sz w:val="32"/>
          <w:highlight w:val="none"/>
        </w:rPr>
        <w:t xml:space="preserve">                       </w:t>
      </w:r>
      <w:r>
        <w:rPr>
          <w:rFonts w:hint="eastAsia" w:hAnsi="宋体"/>
          <w:b/>
          <w:color w:val="auto"/>
          <w:sz w:val="32"/>
          <w:highlight w:val="none"/>
        </w:rPr>
        <w:t>授权委托书（格式二）</w:t>
      </w:r>
    </w:p>
    <w:p>
      <w:pPr>
        <w:pStyle w:val="10"/>
        <w:rPr>
          <w:b/>
          <w:color w:val="auto"/>
          <w:sz w:val="32"/>
          <w:highlight w:val="none"/>
        </w:rPr>
      </w:pPr>
    </w:p>
    <w:p>
      <w:pPr>
        <w:pStyle w:val="10"/>
        <w:rPr>
          <w:rFonts w:hint="eastAsia"/>
          <w:b/>
          <w:color w:val="auto"/>
          <w:sz w:val="32"/>
          <w:highlight w:val="none"/>
        </w:rPr>
      </w:pPr>
      <w:r>
        <w:rPr>
          <w:rFonts w:hint="eastAsia" w:hAnsi="宋体"/>
          <w:color w:val="auto"/>
          <w:szCs w:val="21"/>
          <w:highlight w:val="none"/>
        </w:rPr>
        <w:t>致：</w:t>
      </w:r>
      <w:r>
        <w:rPr>
          <w:rFonts w:hint="eastAsia" w:hAnsi="宋体"/>
          <w:color w:val="auto"/>
          <w:szCs w:val="21"/>
          <w:highlight w:val="none"/>
          <w:u w:val="single"/>
        </w:rPr>
        <w:t xml:space="preserve"> 大成工程咨询有限公司</w:t>
      </w:r>
    </w:p>
    <w:p>
      <w:pPr>
        <w:pStyle w:val="10"/>
        <w:rPr>
          <w:b/>
          <w:color w:val="auto"/>
          <w:sz w:val="32"/>
          <w:highlight w:val="none"/>
        </w:rPr>
      </w:pPr>
    </w:p>
    <w:p>
      <w:pPr>
        <w:pStyle w:val="10"/>
        <w:spacing w:line="340" w:lineRule="exact"/>
        <w:ind w:firstLine="420" w:firstLineChars="200"/>
        <w:rPr>
          <w:rFonts w:hAnsi="宋体"/>
          <w:color w:val="auto"/>
          <w:highlight w:val="none"/>
        </w:rPr>
      </w:pPr>
      <w:r>
        <w:rPr>
          <w:rFonts w:hint="eastAsia" w:hAnsi="宋体"/>
          <w:color w:val="auto"/>
          <w:kern w:val="0"/>
          <w:highlight w:val="none"/>
        </w:rPr>
        <w:t>我</w:t>
      </w:r>
      <w:r>
        <w:rPr>
          <w:rFonts w:hint="eastAsia" w:hAnsi="宋体"/>
          <w:color w:val="auto"/>
          <w:kern w:val="0"/>
          <w:highlight w:val="none"/>
          <w:u w:val="single"/>
        </w:rPr>
        <w:t xml:space="preserve">              </w:t>
      </w:r>
      <w:r>
        <w:rPr>
          <w:rFonts w:hint="eastAsia" w:hAnsi="宋体"/>
          <w:color w:val="auto"/>
          <w:kern w:val="0"/>
          <w:highlight w:val="none"/>
        </w:rPr>
        <w:t>（姓名）系自然人，现授权委托</w:t>
      </w:r>
      <w:r>
        <w:rPr>
          <w:rFonts w:hint="eastAsia" w:hAnsi="宋体"/>
          <w:color w:val="auto"/>
          <w:kern w:val="0"/>
          <w:highlight w:val="none"/>
          <w:u w:val="single"/>
        </w:rPr>
        <w:t xml:space="preserve">            </w:t>
      </w:r>
      <w:r>
        <w:rPr>
          <w:rFonts w:hint="eastAsia" w:hAnsi="宋体"/>
          <w:color w:val="auto"/>
          <w:kern w:val="0"/>
          <w:highlight w:val="none"/>
        </w:rPr>
        <w:t>（姓 名）以本人名义参加</w:t>
      </w:r>
      <w:r>
        <w:rPr>
          <w:rFonts w:hint="eastAsia" w:hAnsi="宋体"/>
          <w:color w:val="auto"/>
          <w:kern w:val="0"/>
          <w:highlight w:val="none"/>
          <w:u w:val="single"/>
        </w:rPr>
        <w:t xml:space="preserve">      </w:t>
      </w:r>
      <w:r>
        <w:rPr>
          <w:rFonts w:hint="eastAsia" w:hAnsi="宋体"/>
          <w:color w:val="auto"/>
          <w:highlight w:val="none"/>
          <w:u w:val="single"/>
        </w:rPr>
        <w:t xml:space="preserve">（项目名称及项目编号）        </w:t>
      </w:r>
      <w:r>
        <w:rPr>
          <w:rFonts w:hint="eastAsia" w:hAnsi="宋体"/>
          <w:color w:val="auto"/>
          <w:highlight w:val="none"/>
        </w:rPr>
        <w:t>项目的谈判活动，并代表本人全权办理针对上述项目的谈判、签约等具体事务和签署相关文件。</w:t>
      </w:r>
    </w:p>
    <w:p>
      <w:pPr>
        <w:pStyle w:val="10"/>
        <w:spacing w:line="340" w:lineRule="exact"/>
        <w:ind w:firstLine="420" w:firstLineChars="200"/>
        <w:rPr>
          <w:rFonts w:hAnsi="宋体"/>
          <w:color w:val="auto"/>
          <w:highlight w:val="none"/>
        </w:rPr>
      </w:pPr>
      <w:r>
        <w:rPr>
          <w:rFonts w:hint="eastAsia" w:hAnsi="宋体"/>
          <w:color w:val="auto"/>
          <w:highlight w:val="none"/>
        </w:rPr>
        <w:t>本人对被授权人的签字事项负全部责任。</w:t>
      </w:r>
    </w:p>
    <w:p>
      <w:pPr>
        <w:pStyle w:val="10"/>
        <w:spacing w:line="340" w:lineRule="exact"/>
        <w:ind w:firstLine="420" w:firstLineChars="200"/>
        <w:rPr>
          <w:rFonts w:hAnsi="宋体"/>
          <w:color w:val="auto"/>
          <w:highlight w:val="none"/>
          <w:u w:val="single"/>
        </w:rPr>
      </w:pPr>
      <w:r>
        <w:rPr>
          <w:rFonts w:hint="eastAsia" w:hAnsi="宋体"/>
          <w:color w:val="auto"/>
          <w:highlight w:val="none"/>
        </w:rPr>
        <w:t>授权委托代理期限：从</w:t>
      </w:r>
      <w:r>
        <w:rPr>
          <w:rFonts w:hint="eastAsia" w:hAnsi="宋体"/>
          <w:color w:val="auto"/>
          <w:highlight w:val="none"/>
          <w:u w:val="single"/>
        </w:rPr>
        <w:t xml:space="preserve">       </w:t>
      </w:r>
      <w:r>
        <w:rPr>
          <w:rFonts w:hint="eastAsia" w:hAnsi="宋体"/>
          <w:color w:val="auto"/>
          <w:highlight w:val="none"/>
        </w:rPr>
        <w:t>年</w:t>
      </w:r>
      <w:r>
        <w:rPr>
          <w:rFonts w:hint="eastAsia" w:hAnsi="宋体"/>
          <w:color w:val="auto"/>
          <w:highlight w:val="none"/>
          <w:u w:val="single"/>
        </w:rPr>
        <w:t xml:space="preserve">     </w:t>
      </w:r>
      <w:r>
        <w:rPr>
          <w:rFonts w:hint="eastAsia" w:hAnsi="宋体"/>
          <w:color w:val="auto"/>
          <w:highlight w:val="none"/>
        </w:rPr>
        <w:t xml:space="preserve">月 </w:t>
      </w:r>
      <w:r>
        <w:rPr>
          <w:rFonts w:hint="eastAsia" w:hAnsi="宋体"/>
          <w:color w:val="auto"/>
          <w:highlight w:val="none"/>
          <w:u w:val="single"/>
        </w:rPr>
        <w:t xml:space="preserve">    </w:t>
      </w:r>
      <w:r>
        <w:rPr>
          <w:rFonts w:hint="eastAsia" w:hAnsi="宋体"/>
          <w:color w:val="auto"/>
          <w:highlight w:val="none"/>
        </w:rPr>
        <w:t xml:space="preserve"> 日起至</w:t>
      </w:r>
      <w:r>
        <w:rPr>
          <w:rFonts w:hint="eastAsia" w:hAnsi="宋体"/>
          <w:color w:val="auto"/>
          <w:highlight w:val="none"/>
          <w:u w:val="single"/>
        </w:rPr>
        <w:t xml:space="preserve">         </w:t>
      </w:r>
      <w:r>
        <w:rPr>
          <w:rFonts w:hint="eastAsia" w:hAnsi="宋体"/>
          <w:color w:val="auto"/>
          <w:highlight w:val="none"/>
        </w:rPr>
        <w:t>年</w:t>
      </w:r>
      <w:r>
        <w:rPr>
          <w:rFonts w:hint="eastAsia" w:hAnsi="宋体"/>
          <w:color w:val="auto"/>
          <w:highlight w:val="none"/>
          <w:u w:val="single"/>
        </w:rPr>
        <w:t xml:space="preserve">     </w:t>
      </w:r>
      <w:r>
        <w:rPr>
          <w:rFonts w:hint="eastAsia" w:hAnsi="宋体"/>
          <w:color w:val="auto"/>
          <w:highlight w:val="none"/>
        </w:rPr>
        <w:t xml:space="preserve">月 </w:t>
      </w:r>
      <w:r>
        <w:rPr>
          <w:rFonts w:hint="eastAsia" w:hAnsi="宋体"/>
          <w:color w:val="auto"/>
          <w:highlight w:val="none"/>
          <w:u w:val="single"/>
        </w:rPr>
        <w:t xml:space="preserve">     </w:t>
      </w:r>
      <w:r>
        <w:rPr>
          <w:rFonts w:hint="eastAsia" w:hAnsi="宋体"/>
          <w:color w:val="auto"/>
          <w:highlight w:val="none"/>
        </w:rPr>
        <w:t>日止。</w:t>
      </w:r>
    </w:p>
    <w:p>
      <w:pPr>
        <w:pStyle w:val="10"/>
        <w:spacing w:line="340" w:lineRule="exact"/>
        <w:rPr>
          <w:rFonts w:hAnsi="宋体"/>
          <w:color w:val="auto"/>
          <w:highlight w:val="none"/>
          <w:u w:val="single"/>
        </w:rPr>
      </w:pPr>
      <w:r>
        <w:rPr>
          <w:rFonts w:hint="eastAsia" w:hAnsi="宋体"/>
          <w:color w:val="auto"/>
          <w:highlight w:val="none"/>
        </w:rPr>
        <w:t xml:space="preserve">                                                                                             </w:t>
      </w:r>
    </w:p>
    <w:p>
      <w:pPr>
        <w:spacing w:line="340" w:lineRule="exact"/>
        <w:ind w:firstLine="420" w:firstLineChars="200"/>
        <w:rPr>
          <w:rFonts w:ascii="宋体" w:hAnsi="宋体"/>
          <w:color w:val="auto"/>
          <w:kern w:val="0"/>
          <w:highlight w:val="none"/>
        </w:rPr>
      </w:pPr>
      <w:r>
        <w:rPr>
          <w:rFonts w:hint="eastAsia" w:ascii="宋体" w:hAnsi="宋体"/>
          <w:color w:val="auto"/>
          <w:kern w:val="0"/>
          <w:highlight w:val="none"/>
        </w:rPr>
        <w:t>代理人无转委托权,特此委托。</w:t>
      </w:r>
      <w:r>
        <w:rPr>
          <w:rFonts w:ascii="宋体" w:hAnsi="宋体"/>
          <w:color w:val="auto"/>
          <w:kern w:val="0"/>
          <w:highlight w:val="none"/>
        </w:rPr>
        <w:t xml:space="preserve"> </w:t>
      </w:r>
    </w:p>
    <w:p>
      <w:pPr>
        <w:snapToGrid w:val="0"/>
        <w:spacing w:line="340" w:lineRule="exact"/>
        <w:ind w:firstLine="525"/>
        <w:outlineLvl w:val="4"/>
        <w:rPr>
          <w:rFonts w:ascii="宋体" w:hAnsi="宋体"/>
          <w:color w:val="auto"/>
          <w:szCs w:val="21"/>
          <w:highlight w:val="none"/>
        </w:rPr>
      </w:pPr>
    </w:p>
    <w:p>
      <w:pPr>
        <w:snapToGrid w:val="0"/>
        <w:spacing w:line="340" w:lineRule="exact"/>
        <w:ind w:firstLine="420"/>
        <w:outlineLvl w:val="4"/>
        <w:rPr>
          <w:rFonts w:ascii="宋体" w:hAnsi="宋体"/>
          <w:color w:val="auto"/>
          <w:szCs w:val="21"/>
          <w:highlight w:val="none"/>
        </w:rPr>
      </w:pPr>
      <w:r>
        <w:rPr>
          <w:rFonts w:hint="eastAsia" w:ascii="宋体" w:hAnsi="宋体"/>
          <w:color w:val="auto"/>
          <w:szCs w:val="21"/>
          <w:highlight w:val="none"/>
        </w:rPr>
        <w:t>我已在下面签字，以资证明。</w:t>
      </w:r>
    </w:p>
    <w:p>
      <w:pPr>
        <w:snapToGrid w:val="0"/>
        <w:spacing w:line="340" w:lineRule="exact"/>
        <w:ind w:firstLine="420"/>
        <w:outlineLvl w:val="4"/>
        <w:rPr>
          <w:rFonts w:ascii="宋体" w:hAnsi="宋体"/>
          <w:color w:val="auto"/>
          <w:szCs w:val="21"/>
          <w:highlight w:val="none"/>
        </w:rPr>
      </w:pPr>
    </w:p>
    <w:p>
      <w:pPr>
        <w:pStyle w:val="10"/>
        <w:rPr>
          <w:rFonts w:hint="eastAsia" w:hAnsi="宋体"/>
          <w:b/>
          <w:color w:val="auto"/>
          <w:sz w:val="24"/>
          <w:szCs w:val="24"/>
          <w:highlight w:val="none"/>
        </w:rPr>
      </w:pPr>
      <w:r>
        <w:rPr>
          <w:rFonts w:hint="eastAsia" w:hAnsi="宋体"/>
          <w:color w:val="auto"/>
          <w:szCs w:val="21"/>
          <w:highlight w:val="none"/>
        </w:rPr>
        <w:t>自然人签字并在签名处加盖食指指印：</w:t>
      </w:r>
      <w:r>
        <w:rPr>
          <w:rFonts w:hint="eastAsia" w:hAnsi="宋体"/>
          <w:color w:val="auto"/>
          <w:szCs w:val="21"/>
          <w:highlight w:val="none"/>
          <w:u w:val="single"/>
        </w:rPr>
        <w:t xml:space="preserve">                  </w:t>
      </w:r>
      <w:r>
        <w:rPr>
          <w:rFonts w:hint="eastAsia" w:hAnsi="宋体"/>
          <w:color w:val="auto"/>
          <w:szCs w:val="21"/>
          <w:highlight w:val="none"/>
        </w:rPr>
        <w:t xml:space="preserve">     　　 </w:t>
      </w:r>
      <w:r>
        <w:rPr>
          <w:rFonts w:hint="eastAsia" w:hAnsi="宋体"/>
          <w:color w:val="auto"/>
          <w:szCs w:val="21"/>
          <w:highlight w:val="none"/>
          <w:u w:val="single"/>
        </w:rPr>
        <w:t xml:space="preserve">       </w:t>
      </w:r>
      <w:r>
        <w:rPr>
          <w:rFonts w:hint="eastAsia" w:hAnsi="宋体"/>
          <w:color w:val="auto"/>
          <w:szCs w:val="21"/>
          <w:highlight w:val="none"/>
        </w:rPr>
        <w:t>年</w:t>
      </w:r>
      <w:r>
        <w:rPr>
          <w:rFonts w:hint="eastAsia" w:hAnsi="宋体"/>
          <w:color w:val="auto"/>
          <w:szCs w:val="21"/>
          <w:highlight w:val="none"/>
          <w:u w:val="single"/>
        </w:rPr>
        <w:t xml:space="preserve">      </w:t>
      </w:r>
      <w:r>
        <w:rPr>
          <w:rFonts w:hint="eastAsia" w:hAnsi="宋体"/>
          <w:color w:val="auto"/>
          <w:szCs w:val="21"/>
          <w:highlight w:val="none"/>
        </w:rPr>
        <w:t>月</w:t>
      </w:r>
      <w:r>
        <w:rPr>
          <w:rFonts w:hint="eastAsia" w:hAnsi="宋体"/>
          <w:color w:val="auto"/>
          <w:szCs w:val="21"/>
          <w:highlight w:val="none"/>
          <w:u w:val="single"/>
        </w:rPr>
        <w:t xml:space="preserve">     </w:t>
      </w:r>
      <w:r>
        <w:rPr>
          <w:rFonts w:hint="eastAsia" w:hAnsi="宋体"/>
          <w:color w:val="auto"/>
          <w:szCs w:val="21"/>
          <w:highlight w:val="none"/>
        </w:rPr>
        <w:t>日</w:t>
      </w:r>
    </w:p>
    <w:p>
      <w:pPr>
        <w:pStyle w:val="10"/>
        <w:rPr>
          <w:rFonts w:hint="eastAsia" w:hAnsi="宋体"/>
          <w:b/>
          <w:color w:val="auto"/>
          <w:sz w:val="24"/>
          <w:szCs w:val="24"/>
          <w:highlight w:val="none"/>
        </w:rPr>
      </w:pPr>
    </w:p>
    <w:p>
      <w:pPr>
        <w:pStyle w:val="10"/>
        <w:spacing w:line="400" w:lineRule="exact"/>
        <w:rPr>
          <w:rFonts w:hint="eastAsia" w:hAnsi="宋体"/>
          <w:b/>
          <w:color w:val="auto"/>
          <w:sz w:val="24"/>
          <w:szCs w:val="24"/>
          <w:highlight w:val="none"/>
          <w:lang w:eastAsia="zh-CN"/>
        </w:rPr>
      </w:pPr>
      <w:r>
        <w:rPr>
          <w:rFonts w:hint="eastAsia" w:hAnsi="宋体"/>
          <w:b/>
          <w:color w:val="auto"/>
          <w:sz w:val="24"/>
          <w:szCs w:val="24"/>
          <w:highlight w:val="none"/>
        </w:rPr>
        <w:t>附：委托代理人有效的身份证正反两面复印件</w:t>
      </w:r>
      <w:r>
        <w:rPr>
          <w:rFonts w:hint="eastAsia" w:hAnsi="宋体"/>
          <w:b/>
          <w:color w:val="auto"/>
          <w:sz w:val="24"/>
          <w:szCs w:val="24"/>
          <w:highlight w:val="none"/>
          <w:lang w:eastAsia="zh-CN"/>
        </w:rPr>
        <w:t>以及提供由县级以上（含县级）社会养老保险经办机构出具的自然人本人及委托代理人所交纳的2020年8月-10月社保证明复印件</w:t>
      </w:r>
    </w:p>
    <w:p>
      <w:pPr>
        <w:pStyle w:val="10"/>
        <w:rPr>
          <w:b/>
          <w:color w:val="auto"/>
          <w:sz w:val="32"/>
          <w:highlight w:val="none"/>
        </w:rPr>
      </w:pPr>
    </w:p>
    <w:p>
      <w:pPr>
        <w:pStyle w:val="10"/>
        <w:rPr>
          <w:b/>
          <w:color w:val="auto"/>
          <w:sz w:val="32"/>
          <w:highlight w:val="none"/>
        </w:rPr>
      </w:pPr>
    </w:p>
    <w:p>
      <w:pPr>
        <w:pStyle w:val="10"/>
        <w:rPr>
          <w:rFonts w:hint="eastAsia"/>
          <w:b/>
          <w:color w:val="auto"/>
          <w:sz w:val="32"/>
          <w:highlight w:val="none"/>
          <w:lang w:val="en-US" w:eastAsia="zh-CN"/>
        </w:rPr>
      </w:pPr>
    </w:p>
    <w:p>
      <w:pPr>
        <w:pStyle w:val="10"/>
        <w:rPr>
          <w:b/>
          <w:color w:val="auto"/>
          <w:sz w:val="32"/>
          <w:highlight w:val="none"/>
        </w:rPr>
      </w:pPr>
      <w:r>
        <w:rPr>
          <w:rFonts w:hint="eastAsia"/>
          <w:b/>
          <w:color w:val="auto"/>
          <w:sz w:val="32"/>
          <w:highlight w:val="none"/>
          <w:lang w:val="en-US" w:eastAsia="zh-CN"/>
        </w:rPr>
        <w:t>4</w:t>
      </w:r>
      <w:r>
        <w:rPr>
          <w:rFonts w:hint="eastAsia"/>
          <w:b/>
          <w:color w:val="auto"/>
          <w:sz w:val="32"/>
          <w:highlight w:val="none"/>
        </w:rPr>
        <w:t>、供应商的法人或者其他组织营业执照等证明文件复印件（必须提供，自然人除外）；</w:t>
      </w:r>
    </w:p>
    <w:p>
      <w:pPr>
        <w:pStyle w:val="7"/>
        <w:overflowPunct w:val="0"/>
        <w:spacing w:line="360" w:lineRule="auto"/>
        <w:ind w:firstLine="643"/>
        <w:jc w:val="left"/>
        <w:rPr>
          <w:color w:val="auto"/>
          <w:highlight w:val="none"/>
        </w:rPr>
      </w:pPr>
    </w:p>
    <w:p>
      <w:pPr>
        <w:pStyle w:val="10"/>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hAnsi="宋体"/>
          <w:b/>
          <w:color w:val="auto"/>
          <w:szCs w:val="21"/>
          <w:highlight w:val="none"/>
          <w:lang w:eastAsia="zh-CN"/>
        </w:rPr>
      </w:pPr>
      <w:r>
        <w:rPr>
          <w:rFonts w:hint="eastAsia" w:hAnsi="宋体"/>
          <w:b/>
          <w:color w:val="auto"/>
          <w:szCs w:val="21"/>
          <w:highlight w:val="none"/>
        </w:rPr>
        <w:t>注：①法人包括企业法人、机关法人、事业单位法人和社会团体法人；其他组织主要包括合伙企业、非企业专业服务机构、个体工商户、农村承包经营户。②如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r>
        <w:rPr>
          <w:rFonts w:hint="eastAsia" w:hAnsi="宋体"/>
          <w:b/>
          <w:color w:val="auto"/>
          <w:szCs w:val="21"/>
          <w:highlight w:val="none"/>
          <w:lang w:eastAsia="zh-CN"/>
        </w:rPr>
        <w:t>；③未取得</w:t>
      </w:r>
      <w:r>
        <w:rPr>
          <w:rFonts w:hint="eastAsia" w:hAnsi="宋体"/>
          <w:b/>
          <w:color w:val="auto"/>
          <w:szCs w:val="21"/>
          <w:highlight w:val="none"/>
        </w:rPr>
        <w:t>“三证合一”</w:t>
      </w:r>
      <w:r>
        <w:rPr>
          <w:rFonts w:hint="eastAsia" w:hAnsi="宋体"/>
          <w:b/>
          <w:color w:val="auto"/>
          <w:szCs w:val="21"/>
          <w:highlight w:val="none"/>
          <w:lang w:eastAsia="zh-CN"/>
        </w:rPr>
        <w:t>的供应商还应提供有效的组织机构代码证复印件、税务登记证复印件</w:t>
      </w:r>
      <w:r>
        <w:rPr>
          <w:rFonts w:hint="eastAsia" w:hAnsi="宋体"/>
          <w:b/>
          <w:color w:val="auto"/>
          <w:szCs w:val="21"/>
          <w:highlight w:val="none"/>
        </w:rPr>
        <w:t>。</w:t>
      </w:r>
    </w:p>
    <w:p>
      <w:pPr>
        <w:pStyle w:val="10"/>
        <w:rPr>
          <w:rFonts w:hAnsi="宋体"/>
          <w:b/>
          <w:color w:val="auto"/>
          <w:szCs w:val="21"/>
          <w:highlight w:val="none"/>
        </w:rPr>
      </w:pPr>
    </w:p>
    <w:p>
      <w:pPr>
        <w:pStyle w:val="10"/>
        <w:rPr>
          <w:b/>
          <w:color w:val="auto"/>
          <w:sz w:val="32"/>
          <w:highlight w:val="none"/>
        </w:rPr>
      </w:pPr>
    </w:p>
    <w:p>
      <w:pPr>
        <w:pStyle w:val="10"/>
        <w:rPr>
          <w:b/>
          <w:color w:val="auto"/>
          <w:sz w:val="32"/>
          <w:highlight w:val="none"/>
        </w:rPr>
      </w:pPr>
    </w:p>
    <w:p>
      <w:pPr>
        <w:pStyle w:val="10"/>
        <w:rPr>
          <w:b/>
          <w:color w:val="auto"/>
          <w:sz w:val="32"/>
          <w:highlight w:val="none"/>
        </w:rPr>
      </w:pPr>
    </w:p>
    <w:p>
      <w:pPr>
        <w:pStyle w:val="29"/>
        <w:rPr>
          <w:rFonts w:hint="eastAsia"/>
          <w:b/>
          <w:color w:val="auto"/>
          <w:sz w:val="32"/>
          <w:szCs w:val="32"/>
          <w:highlight w:val="none"/>
          <w:lang w:val="en-US" w:eastAsia="zh-CN"/>
        </w:rPr>
      </w:pPr>
      <w:r>
        <w:rPr>
          <w:rFonts w:hint="eastAsia"/>
          <w:b/>
          <w:color w:val="auto"/>
          <w:sz w:val="32"/>
          <w:szCs w:val="32"/>
          <w:highlight w:val="none"/>
          <w:lang w:val="en-US" w:eastAsia="zh-CN"/>
        </w:rPr>
        <w:br w:type="page"/>
      </w:r>
    </w:p>
    <w:p>
      <w:pPr>
        <w:pStyle w:val="29"/>
        <w:rPr>
          <w:b/>
          <w:color w:val="auto"/>
          <w:sz w:val="32"/>
          <w:szCs w:val="32"/>
          <w:highlight w:val="none"/>
        </w:rPr>
      </w:pPr>
      <w:r>
        <w:rPr>
          <w:rFonts w:hint="eastAsia"/>
          <w:b/>
          <w:color w:val="auto"/>
          <w:sz w:val="32"/>
          <w:szCs w:val="32"/>
          <w:highlight w:val="none"/>
          <w:lang w:val="en-US" w:eastAsia="zh-CN"/>
        </w:rPr>
        <w:t>5</w:t>
      </w:r>
      <w:r>
        <w:rPr>
          <w:rFonts w:hint="eastAsia"/>
          <w:b/>
          <w:color w:val="auto"/>
          <w:sz w:val="32"/>
          <w:szCs w:val="32"/>
          <w:highlight w:val="none"/>
        </w:rPr>
        <w:t>、 供应商参加政府采购活动前3年内在经营活动中没有重大违法记录的书面声明（必须提供）</w:t>
      </w:r>
    </w:p>
    <w:p>
      <w:pPr>
        <w:pStyle w:val="10"/>
        <w:spacing w:line="400" w:lineRule="exact"/>
        <w:ind w:left="420" w:leftChars="200" w:firstLine="157" w:firstLineChars="49"/>
        <w:rPr>
          <w:b/>
          <w:color w:val="auto"/>
          <w:sz w:val="32"/>
          <w:szCs w:val="32"/>
          <w:highlight w:val="none"/>
        </w:rPr>
      </w:pPr>
      <w:r>
        <w:rPr>
          <w:rFonts w:hint="eastAsia"/>
          <w:b/>
          <w:color w:val="auto"/>
          <w:sz w:val="32"/>
          <w:szCs w:val="32"/>
          <w:highlight w:val="none"/>
        </w:rPr>
        <w:t xml:space="preserve">                       </w:t>
      </w:r>
    </w:p>
    <w:p>
      <w:pPr>
        <w:pStyle w:val="10"/>
        <w:spacing w:line="400" w:lineRule="exact"/>
        <w:ind w:left="420" w:leftChars="200" w:firstLine="157" w:firstLineChars="49"/>
        <w:rPr>
          <w:b/>
          <w:color w:val="auto"/>
          <w:sz w:val="32"/>
          <w:szCs w:val="32"/>
          <w:highlight w:val="none"/>
        </w:rPr>
      </w:pPr>
      <w:r>
        <w:rPr>
          <w:rFonts w:hint="eastAsia"/>
          <w:b/>
          <w:color w:val="auto"/>
          <w:sz w:val="32"/>
          <w:szCs w:val="32"/>
          <w:highlight w:val="none"/>
        </w:rPr>
        <w:t xml:space="preserve">附件： </w:t>
      </w:r>
    </w:p>
    <w:p>
      <w:pPr>
        <w:pStyle w:val="10"/>
        <w:spacing w:line="400" w:lineRule="exact"/>
        <w:jc w:val="center"/>
        <w:rPr>
          <w:b/>
          <w:color w:val="auto"/>
          <w:sz w:val="32"/>
          <w:szCs w:val="32"/>
          <w:highlight w:val="none"/>
        </w:rPr>
      </w:pPr>
      <w:r>
        <w:rPr>
          <w:rFonts w:hint="eastAsia"/>
          <w:b/>
          <w:color w:val="auto"/>
          <w:sz w:val="32"/>
          <w:szCs w:val="32"/>
          <w:highlight w:val="none"/>
        </w:rPr>
        <w:t>声   明</w:t>
      </w:r>
    </w:p>
    <w:p>
      <w:pPr>
        <w:snapToGrid w:val="0"/>
        <w:spacing w:line="400" w:lineRule="exact"/>
        <w:outlineLvl w:val="4"/>
        <w:rPr>
          <w:rFonts w:hint="eastAsia"/>
          <w:color w:val="auto"/>
          <w:highlight w:val="none"/>
        </w:rPr>
      </w:pPr>
      <w:r>
        <w:rPr>
          <w:rFonts w:hint="eastAsia" w:ascii="宋体" w:hAnsi="宋体"/>
          <w:b/>
          <w:color w:val="auto"/>
          <w:szCs w:val="21"/>
          <w:highlight w:val="none"/>
        </w:rPr>
        <w:t>致</w:t>
      </w:r>
      <w:r>
        <w:rPr>
          <w:rFonts w:hint="eastAsia" w:ascii="宋体" w:hAnsi="宋体"/>
          <w:color w:val="auto"/>
          <w:szCs w:val="21"/>
          <w:highlight w:val="none"/>
        </w:rPr>
        <w:t>：</w:t>
      </w:r>
      <w:r>
        <w:rPr>
          <w:rFonts w:hint="eastAsia"/>
          <w:color w:val="auto"/>
          <w:highlight w:val="none"/>
          <w:u w:val="single"/>
        </w:rPr>
        <w:t>大成工程咨询有限公司</w:t>
      </w:r>
    </w:p>
    <w:p>
      <w:pPr>
        <w:snapToGrid w:val="0"/>
        <w:spacing w:line="400" w:lineRule="exact"/>
        <w:outlineLvl w:val="4"/>
        <w:rPr>
          <w:rFonts w:ascii="宋体" w:hAnsi="宋体"/>
          <w:color w:val="auto"/>
          <w:szCs w:val="21"/>
          <w:highlight w:val="none"/>
          <w:u w:val="single"/>
        </w:rPr>
      </w:pPr>
    </w:p>
    <w:p>
      <w:pPr>
        <w:pStyle w:val="10"/>
        <w:spacing w:line="400" w:lineRule="exact"/>
        <w:ind w:firstLine="420" w:firstLineChars="200"/>
        <w:rPr>
          <w:color w:val="auto"/>
          <w:highlight w:val="none"/>
        </w:rPr>
      </w:pPr>
      <w:r>
        <w:rPr>
          <w:rFonts w:hint="eastAsia"/>
          <w:color w:val="auto"/>
          <w:highlight w:val="none"/>
        </w:rPr>
        <w:t>我公司郑重声明，在参加政府采购活动前3年内在经营活动中没有重大违法记录（重大违法记录是指供应商因违法经营受到刑事处罚或者责令停产停业、吊销许可证或者执照、较大数额罚款等行政处罚）。</w:t>
      </w:r>
    </w:p>
    <w:p>
      <w:pPr>
        <w:snapToGrid w:val="0"/>
        <w:spacing w:line="400" w:lineRule="exact"/>
        <w:outlineLvl w:val="4"/>
        <w:rPr>
          <w:rFonts w:ascii="宋体" w:hAnsi="宋体"/>
          <w:color w:val="auto"/>
          <w:szCs w:val="21"/>
          <w:highlight w:val="none"/>
        </w:rPr>
      </w:pPr>
    </w:p>
    <w:p>
      <w:pPr>
        <w:snapToGrid w:val="0"/>
        <w:spacing w:line="400" w:lineRule="exact"/>
        <w:ind w:firstLine="420"/>
        <w:outlineLvl w:val="4"/>
        <w:rPr>
          <w:rFonts w:ascii="宋体" w:hAnsi="宋体"/>
          <w:color w:val="auto"/>
          <w:szCs w:val="21"/>
          <w:highlight w:val="none"/>
        </w:rPr>
      </w:pPr>
    </w:p>
    <w:p>
      <w:pPr>
        <w:snapToGrid w:val="0"/>
        <w:spacing w:line="400" w:lineRule="exact"/>
        <w:ind w:firstLine="4935" w:firstLineChars="2350"/>
        <w:outlineLvl w:val="4"/>
        <w:rPr>
          <w:rFonts w:ascii="宋体" w:hAnsi="宋体"/>
          <w:color w:val="auto"/>
          <w:szCs w:val="21"/>
          <w:highlight w:val="none"/>
          <w:u w:val="single"/>
        </w:rPr>
      </w:pPr>
      <w:r>
        <w:rPr>
          <w:rFonts w:hint="eastAsia" w:ascii="宋体" w:hAnsi="宋体"/>
          <w:color w:val="auto"/>
          <w:szCs w:val="21"/>
          <w:highlight w:val="none"/>
        </w:rPr>
        <w:t>供应商（公章，自然人除外）：</w:t>
      </w:r>
      <w:r>
        <w:rPr>
          <w:rFonts w:hint="eastAsia" w:ascii="宋体" w:hAnsi="宋体"/>
          <w:color w:val="auto"/>
          <w:szCs w:val="21"/>
          <w:highlight w:val="none"/>
          <w:u w:val="single"/>
        </w:rPr>
        <w:t xml:space="preserve">                                         </w:t>
      </w:r>
    </w:p>
    <w:p>
      <w:pPr>
        <w:snapToGrid w:val="0"/>
        <w:spacing w:line="400" w:lineRule="exact"/>
        <w:ind w:firstLine="420"/>
        <w:outlineLvl w:val="4"/>
        <w:rPr>
          <w:rFonts w:ascii="宋体" w:hAnsi="宋体"/>
          <w:color w:val="auto"/>
          <w:szCs w:val="21"/>
          <w:highlight w:val="none"/>
        </w:rPr>
      </w:pPr>
    </w:p>
    <w:p>
      <w:pPr>
        <w:spacing w:line="340" w:lineRule="exact"/>
        <w:ind w:left="4935" w:leftChars="2350"/>
        <w:rPr>
          <w:rFonts w:ascii="宋体" w:hAnsi="宋体"/>
          <w:color w:val="auto"/>
          <w:szCs w:val="21"/>
          <w:highlight w:val="none"/>
          <w:u w:val="single"/>
        </w:rPr>
      </w:pPr>
      <w:r>
        <w:rPr>
          <w:rFonts w:hint="eastAsia" w:hAnsi="宋体"/>
          <w:color w:val="auto"/>
          <w:highlight w:val="none"/>
        </w:rPr>
        <w:t>法定代表人或负责人或自然人或相应的委托代理人签字或盖章（属自然人的应在签名处加盖食指指印）：</w:t>
      </w:r>
      <w:r>
        <w:rPr>
          <w:rFonts w:hint="eastAsia" w:ascii="宋体" w:hAnsi="宋体"/>
          <w:color w:val="auto"/>
          <w:szCs w:val="21"/>
          <w:highlight w:val="none"/>
          <w:u w:val="single"/>
        </w:rPr>
        <w:t xml:space="preserve">                        </w:t>
      </w:r>
    </w:p>
    <w:p>
      <w:pPr>
        <w:spacing w:line="340" w:lineRule="exact"/>
        <w:ind w:firstLine="420" w:firstLineChars="200"/>
        <w:rPr>
          <w:rFonts w:ascii="宋体" w:hAnsi="宋体"/>
          <w:color w:val="auto"/>
          <w:highlight w:val="none"/>
        </w:rPr>
      </w:pPr>
    </w:p>
    <w:p>
      <w:pPr>
        <w:spacing w:line="340" w:lineRule="exact"/>
        <w:ind w:firstLine="4935" w:firstLineChars="2350"/>
        <w:rPr>
          <w:b/>
          <w:color w:val="auto"/>
          <w:sz w:val="32"/>
          <w:highlight w:val="none"/>
        </w:rPr>
      </w:pPr>
      <w:r>
        <w:rPr>
          <w:rFonts w:hint="eastAsia" w:hAnsi="宋体"/>
          <w:color w:val="auto"/>
          <w:highlight w:val="none"/>
        </w:rPr>
        <w:t>日          期：</w:t>
      </w:r>
      <w:r>
        <w:rPr>
          <w:rFonts w:hint="eastAsia" w:hAnsi="宋体"/>
          <w:color w:val="auto"/>
          <w:highlight w:val="none"/>
          <w:u w:val="single"/>
        </w:rPr>
        <w:t xml:space="preserve">                         </w:t>
      </w:r>
      <w:r>
        <w:rPr>
          <w:rFonts w:hint="eastAsia"/>
          <w:color w:val="auto"/>
          <w:highlight w:val="none"/>
          <w:u w:val="single"/>
        </w:rPr>
        <w:t xml:space="preserve">                                </w:t>
      </w:r>
      <w:r>
        <w:rPr>
          <w:rFonts w:hint="eastAsia"/>
          <w:color w:val="auto"/>
          <w:highlight w:val="none"/>
        </w:rPr>
        <w:t xml:space="preserve">   </w:t>
      </w:r>
    </w:p>
    <w:p>
      <w:pPr>
        <w:pStyle w:val="10"/>
        <w:spacing w:line="320" w:lineRule="exact"/>
        <w:rPr>
          <w:rFonts w:hint="eastAsia" w:ascii="Times New Roman" w:hAnsi="Times New Roman"/>
          <w:b/>
          <w:color w:val="auto"/>
          <w:sz w:val="32"/>
          <w:szCs w:val="32"/>
          <w:highlight w:val="none"/>
        </w:rPr>
        <w:sectPr>
          <w:footerReference r:id="rId11" w:type="first"/>
          <w:footerReference r:id="rId10" w:type="default"/>
          <w:pgSz w:w="11906" w:h="16838"/>
          <w:pgMar w:top="1134" w:right="992" w:bottom="1134" w:left="1134" w:header="720" w:footer="720" w:gutter="0"/>
          <w:pgNumType w:fmt="decimal" w:start="1"/>
          <w:cols w:space="720" w:num="1"/>
          <w:titlePg/>
          <w:docGrid w:linePitch="312" w:charSpace="0"/>
        </w:sectPr>
      </w:pPr>
    </w:p>
    <w:p>
      <w:pPr>
        <w:pStyle w:val="10"/>
        <w:spacing w:line="320" w:lineRule="exact"/>
        <w:rPr>
          <w:rFonts w:hint="eastAsia" w:ascii="Times New Roman" w:hAnsi="Times New Roman"/>
          <w:b/>
          <w:color w:val="auto"/>
          <w:sz w:val="32"/>
          <w:szCs w:val="32"/>
          <w:highlight w:val="none"/>
        </w:rPr>
      </w:pPr>
    </w:p>
    <w:p>
      <w:pPr>
        <w:pStyle w:val="10"/>
        <w:spacing w:line="320" w:lineRule="exact"/>
        <w:rPr>
          <w:b/>
          <w:color w:val="auto"/>
          <w:sz w:val="28"/>
          <w:szCs w:val="28"/>
          <w:highlight w:val="none"/>
        </w:rPr>
      </w:pPr>
      <w:r>
        <w:rPr>
          <w:rFonts w:hint="eastAsia" w:ascii="Times New Roman" w:hAnsi="Times New Roman"/>
          <w:b/>
          <w:color w:val="auto"/>
          <w:sz w:val="32"/>
          <w:szCs w:val="32"/>
          <w:highlight w:val="none"/>
          <w:lang w:val="en-US" w:eastAsia="zh-CN"/>
        </w:rPr>
        <w:t>6</w:t>
      </w:r>
      <w:r>
        <w:rPr>
          <w:rFonts w:hint="eastAsia" w:ascii="Times New Roman" w:hAnsi="Times New Roman"/>
          <w:b/>
          <w:color w:val="auto"/>
          <w:sz w:val="32"/>
          <w:szCs w:val="32"/>
          <w:highlight w:val="none"/>
        </w:rPr>
        <w:t>、谈判报价明细表（格式见附件）（必须提供）；</w:t>
      </w:r>
    </w:p>
    <w:p>
      <w:pPr>
        <w:pStyle w:val="10"/>
        <w:spacing w:line="500" w:lineRule="exact"/>
        <w:ind w:left="420"/>
        <w:jc w:val="left"/>
        <w:rPr>
          <w:b/>
          <w:color w:val="auto"/>
          <w:sz w:val="28"/>
          <w:szCs w:val="28"/>
          <w:highlight w:val="none"/>
        </w:rPr>
      </w:pPr>
      <w:r>
        <w:rPr>
          <w:rFonts w:hint="eastAsia"/>
          <w:b/>
          <w:color w:val="auto"/>
          <w:sz w:val="24"/>
          <w:szCs w:val="24"/>
          <w:highlight w:val="none"/>
        </w:rPr>
        <w:t xml:space="preserve">附件：                                      </w:t>
      </w:r>
      <w:r>
        <w:rPr>
          <w:rFonts w:hint="eastAsia"/>
          <w:b/>
          <w:color w:val="auto"/>
          <w:sz w:val="32"/>
          <w:highlight w:val="none"/>
        </w:rPr>
        <w:t>谈判报价明细表（格式）</w:t>
      </w:r>
    </w:p>
    <w:tbl>
      <w:tblPr>
        <w:tblStyle w:val="15"/>
        <w:tblW w:w="12860"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11"/>
        <w:gridCol w:w="2402"/>
        <w:gridCol w:w="1476"/>
        <w:gridCol w:w="2819"/>
        <w:gridCol w:w="857"/>
        <w:gridCol w:w="711"/>
        <w:gridCol w:w="806"/>
        <w:gridCol w:w="2187"/>
        <w:gridCol w:w="109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86" w:hRule="atLeast"/>
        </w:trPr>
        <w:tc>
          <w:tcPr>
            <w:tcW w:w="511"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color w:val="auto"/>
                <w:highlight w:val="none"/>
              </w:rPr>
            </w:pPr>
            <w:r>
              <w:rPr>
                <w:rFonts w:hint="eastAsia" w:hAnsi="宋体"/>
                <w:color w:val="auto"/>
                <w:highlight w:val="none"/>
              </w:rPr>
              <w:t>项号</w:t>
            </w:r>
          </w:p>
        </w:tc>
        <w:tc>
          <w:tcPr>
            <w:tcW w:w="2402"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Ansi="宋体"/>
                <w:color w:val="auto"/>
                <w:highlight w:val="none"/>
              </w:rPr>
            </w:pPr>
            <w:r>
              <w:rPr>
                <w:rFonts w:hint="eastAsia" w:hAnsi="宋体"/>
                <w:color w:val="auto"/>
                <w:highlight w:val="none"/>
              </w:rPr>
              <w:t>货物名称</w:t>
            </w:r>
          </w:p>
        </w:tc>
        <w:tc>
          <w:tcPr>
            <w:tcW w:w="1476"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Ansi="宋体"/>
                <w:color w:val="auto"/>
                <w:highlight w:val="none"/>
              </w:rPr>
            </w:pPr>
            <w:r>
              <w:rPr>
                <w:rFonts w:hint="eastAsia" w:ascii="宋体"/>
                <w:color w:val="auto"/>
                <w:szCs w:val="21"/>
                <w:highlight w:val="none"/>
              </w:rPr>
              <w:t>生产厂家</w:t>
            </w:r>
          </w:p>
        </w:tc>
        <w:tc>
          <w:tcPr>
            <w:tcW w:w="2819"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color w:val="auto"/>
                <w:highlight w:val="none"/>
              </w:rPr>
            </w:pPr>
            <w:r>
              <w:rPr>
                <w:rFonts w:hint="eastAsia" w:ascii="宋体"/>
                <w:color w:val="auto"/>
                <w:szCs w:val="21"/>
                <w:highlight w:val="none"/>
              </w:rPr>
              <w:t>品牌、规格型号</w:t>
            </w:r>
          </w:p>
        </w:tc>
        <w:tc>
          <w:tcPr>
            <w:tcW w:w="857"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color w:val="auto"/>
                <w:highlight w:val="none"/>
              </w:rPr>
            </w:pPr>
            <w:r>
              <w:rPr>
                <w:rFonts w:hint="eastAsia" w:hAnsi="宋体"/>
                <w:color w:val="auto"/>
                <w:highlight w:val="none"/>
              </w:rPr>
              <w:t>数量</w:t>
            </w:r>
          </w:p>
          <w:p>
            <w:pPr>
              <w:spacing w:line="300" w:lineRule="exact"/>
              <w:jc w:val="center"/>
              <w:rPr>
                <w:rFonts w:hAnsi="宋体"/>
                <w:color w:val="auto"/>
                <w:highlight w:val="none"/>
              </w:rPr>
            </w:pPr>
            <w:r>
              <w:rPr>
                <w:rFonts w:hint="eastAsia" w:ascii="宋体" w:hAnsi="宋体"/>
                <w:color w:val="auto"/>
                <w:szCs w:val="21"/>
                <w:highlight w:val="none"/>
              </w:rPr>
              <w:t>①</w:t>
            </w:r>
          </w:p>
        </w:tc>
        <w:tc>
          <w:tcPr>
            <w:tcW w:w="711"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color w:val="auto"/>
                <w:highlight w:val="none"/>
              </w:rPr>
            </w:pPr>
            <w:r>
              <w:rPr>
                <w:rFonts w:hint="eastAsia" w:hAnsi="宋体"/>
                <w:color w:val="auto"/>
                <w:highlight w:val="none"/>
              </w:rPr>
              <w:t>单位</w:t>
            </w:r>
          </w:p>
        </w:tc>
        <w:tc>
          <w:tcPr>
            <w:tcW w:w="806"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color w:val="auto"/>
                <w:highlight w:val="none"/>
              </w:rPr>
            </w:pPr>
            <w:r>
              <w:rPr>
                <w:rFonts w:hint="eastAsia" w:hAnsi="宋体"/>
                <w:color w:val="auto"/>
                <w:highlight w:val="none"/>
              </w:rPr>
              <w:t>单价</w:t>
            </w:r>
          </w:p>
          <w:p>
            <w:pPr>
              <w:spacing w:line="300" w:lineRule="exact"/>
              <w:jc w:val="center"/>
              <w:rPr>
                <w:rFonts w:hAnsi="宋体"/>
                <w:color w:val="auto"/>
                <w:highlight w:val="none"/>
              </w:rPr>
            </w:pPr>
            <w:r>
              <w:rPr>
                <w:rFonts w:hint="eastAsia" w:ascii="宋体" w:hAnsi="宋体"/>
                <w:color w:val="auto"/>
                <w:szCs w:val="21"/>
                <w:highlight w:val="none"/>
              </w:rPr>
              <w:t>②</w:t>
            </w:r>
          </w:p>
        </w:tc>
        <w:tc>
          <w:tcPr>
            <w:tcW w:w="2187"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color w:val="auto"/>
                <w:highlight w:val="none"/>
              </w:rPr>
            </w:pPr>
            <w:r>
              <w:rPr>
                <w:rFonts w:hint="eastAsia" w:hAnsi="宋体"/>
                <w:color w:val="auto"/>
                <w:highlight w:val="none"/>
              </w:rPr>
              <w:t>单项合计=数量×单价</w:t>
            </w:r>
          </w:p>
          <w:p>
            <w:pPr>
              <w:spacing w:line="300" w:lineRule="exact"/>
              <w:jc w:val="center"/>
              <w:rPr>
                <w:rFonts w:hAnsi="宋体"/>
                <w:color w:val="auto"/>
                <w:highlight w:val="none"/>
              </w:rPr>
            </w:pPr>
            <w:r>
              <w:rPr>
                <w:rFonts w:hint="eastAsia" w:ascii="宋体" w:hAnsi="宋体"/>
                <w:color w:val="auto"/>
                <w:szCs w:val="21"/>
                <w:highlight w:val="none"/>
              </w:rPr>
              <w:t>③＝①×②</w:t>
            </w:r>
          </w:p>
        </w:tc>
        <w:tc>
          <w:tcPr>
            <w:tcW w:w="1091" w:type="dxa"/>
            <w:tcBorders>
              <w:bottom w:val="single" w:color="auto" w:sz="4" w:space="0"/>
            </w:tcBorders>
            <w:noWrap w:val="0"/>
            <w:vAlign w:val="center"/>
          </w:tcPr>
          <w:p>
            <w:pPr>
              <w:spacing w:line="300" w:lineRule="exact"/>
              <w:jc w:val="center"/>
              <w:rPr>
                <w:rFonts w:hAnsi="宋体"/>
                <w:color w:val="auto"/>
                <w:highlight w:val="none"/>
              </w:rPr>
            </w:pPr>
            <w:r>
              <w:rPr>
                <w:rFonts w:hint="eastAsia" w:hAnsi="宋体"/>
                <w:color w:val="auto"/>
                <w:highlight w:val="none"/>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8" w:hRule="atLeast"/>
        </w:trPr>
        <w:tc>
          <w:tcPr>
            <w:tcW w:w="511"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Cs/>
                <w:color w:val="auto"/>
                <w:highlight w:val="none"/>
              </w:rPr>
            </w:pPr>
            <w:r>
              <w:rPr>
                <w:rFonts w:hint="eastAsia" w:hAnsi="宋体"/>
                <w:bCs/>
                <w:color w:val="auto"/>
                <w:highlight w:val="none"/>
              </w:rPr>
              <w:t>1</w:t>
            </w:r>
          </w:p>
        </w:tc>
        <w:tc>
          <w:tcPr>
            <w:tcW w:w="2402"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1476"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color w:val="auto"/>
                <w:highlight w:val="none"/>
              </w:rPr>
            </w:pPr>
          </w:p>
        </w:tc>
        <w:tc>
          <w:tcPr>
            <w:tcW w:w="2819"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color w:val="auto"/>
                <w:highlight w:val="none"/>
              </w:rPr>
            </w:pPr>
          </w:p>
        </w:tc>
        <w:tc>
          <w:tcPr>
            <w:tcW w:w="857"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711"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806"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2187"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1091" w:type="dxa"/>
            <w:tcBorders>
              <w:top w:val="single" w:color="auto" w:sz="4" w:space="0"/>
              <w:bottom w:val="single" w:color="auto" w:sz="4" w:space="0"/>
            </w:tcBorders>
            <w:noWrap w:val="0"/>
            <w:vAlign w:val="center"/>
          </w:tcPr>
          <w:p>
            <w:pPr>
              <w:spacing w:line="300" w:lineRule="exact"/>
              <w:jc w:val="center"/>
              <w:rPr>
                <w:rFonts w:hAnsi="宋体"/>
                <w:b/>
                <w:bCs/>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8" w:hRule="atLeast"/>
        </w:trPr>
        <w:tc>
          <w:tcPr>
            <w:tcW w:w="511" w:type="dxa"/>
            <w:tcBorders>
              <w:top w:val="single" w:color="auto" w:sz="4" w:space="0"/>
              <w:left w:val="single" w:color="auto" w:sz="4" w:space="0"/>
              <w:right w:val="single" w:color="auto" w:sz="4" w:space="0"/>
            </w:tcBorders>
            <w:noWrap w:val="0"/>
            <w:vAlign w:val="center"/>
          </w:tcPr>
          <w:p>
            <w:pPr>
              <w:spacing w:line="300" w:lineRule="exact"/>
              <w:jc w:val="center"/>
              <w:rPr>
                <w:rFonts w:ascii="宋体" w:hAnsi="宋体"/>
                <w:color w:val="auto"/>
                <w:highlight w:val="none"/>
              </w:rPr>
            </w:pPr>
            <w:r>
              <w:rPr>
                <w:rFonts w:hint="eastAsia" w:ascii="宋体" w:hAnsi="宋体"/>
                <w:color w:val="auto"/>
                <w:highlight w:val="none"/>
              </w:rPr>
              <w:t>2</w:t>
            </w:r>
          </w:p>
        </w:tc>
        <w:tc>
          <w:tcPr>
            <w:tcW w:w="2402"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ascii="宋体" w:hAnsi="宋体"/>
                <w:color w:val="auto"/>
                <w:highlight w:val="none"/>
              </w:rPr>
            </w:pPr>
          </w:p>
        </w:tc>
        <w:tc>
          <w:tcPr>
            <w:tcW w:w="1476"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color w:val="auto"/>
                <w:highlight w:val="none"/>
              </w:rPr>
            </w:pPr>
          </w:p>
        </w:tc>
        <w:tc>
          <w:tcPr>
            <w:tcW w:w="2819"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color w:val="auto"/>
                <w:highlight w:val="none"/>
              </w:rPr>
            </w:pPr>
          </w:p>
        </w:tc>
        <w:tc>
          <w:tcPr>
            <w:tcW w:w="857"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711"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806"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2187"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1091" w:type="dxa"/>
            <w:tcBorders>
              <w:top w:val="single" w:color="auto" w:sz="4" w:space="0"/>
              <w:bottom w:val="single" w:color="auto" w:sz="4" w:space="0"/>
            </w:tcBorders>
            <w:noWrap w:val="0"/>
            <w:vAlign w:val="center"/>
          </w:tcPr>
          <w:p>
            <w:pPr>
              <w:spacing w:line="300" w:lineRule="exact"/>
              <w:jc w:val="center"/>
              <w:rPr>
                <w:rFonts w:hAnsi="宋体"/>
                <w:b/>
                <w:bCs/>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8" w:hRule="atLeast"/>
        </w:trPr>
        <w:tc>
          <w:tcPr>
            <w:tcW w:w="511" w:type="dxa"/>
            <w:tcBorders>
              <w:top w:val="single" w:color="auto" w:sz="4" w:space="0"/>
              <w:left w:val="single" w:color="auto" w:sz="4" w:space="0"/>
              <w:right w:val="single" w:color="auto" w:sz="4" w:space="0"/>
            </w:tcBorders>
            <w:noWrap w:val="0"/>
            <w:vAlign w:val="center"/>
          </w:tcPr>
          <w:p>
            <w:pPr>
              <w:spacing w:line="300" w:lineRule="exact"/>
              <w:jc w:val="center"/>
              <w:rPr>
                <w:rFonts w:ascii="宋体" w:hAnsi="宋体"/>
                <w:color w:val="auto"/>
                <w:highlight w:val="none"/>
              </w:rPr>
            </w:pPr>
            <w:r>
              <w:rPr>
                <w:rFonts w:hint="eastAsia" w:ascii="宋体" w:hAnsi="宋体"/>
                <w:color w:val="auto"/>
                <w:highlight w:val="none"/>
              </w:rPr>
              <w:t>…</w:t>
            </w:r>
          </w:p>
        </w:tc>
        <w:tc>
          <w:tcPr>
            <w:tcW w:w="2402"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ascii="宋体" w:hAnsi="宋体"/>
                <w:color w:val="auto"/>
                <w:highlight w:val="none"/>
              </w:rPr>
            </w:pPr>
          </w:p>
        </w:tc>
        <w:tc>
          <w:tcPr>
            <w:tcW w:w="1476"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color w:val="auto"/>
                <w:highlight w:val="none"/>
              </w:rPr>
            </w:pPr>
          </w:p>
        </w:tc>
        <w:tc>
          <w:tcPr>
            <w:tcW w:w="2819"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color w:val="auto"/>
                <w:highlight w:val="none"/>
              </w:rPr>
            </w:pPr>
          </w:p>
        </w:tc>
        <w:tc>
          <w:tcPr>
            <w:tcW w:w="857"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711"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806"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2187"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1091" w:type="dxa"/>
            <w:tcBorders>
              <w:top w:val="single" w:color="auto" w:sz="4" w:space="0"/>
              <w:bottom w:val="single" w:color="auto" w:sz="4" w:space="0"/>
            </w:tcBorders>
            <w:noWrap w:val="0"/>
            <w:vAlign w:val="center"/>
          </w:tcPr>
          <w:p>
            <w:pPr>
              <w:spacing w:line="300" w:lineRule="exact"/>
              <w:jc w:val="center"/>
              <w:rPr>
                <w:rFonts w:hAnsi="宋体"/>
                <w:b/>
                <w:bCs/>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8" w:hRule="atLeast"/>
        </w:trPr>
        <w:tc>
          <w:tcPr>
            <w:tcW w:w="511" w:type="dxa"/>
            <w:tcBorders>
              <w:top w:val="single" w:color="auto" w:sz="4" w:space="0"/>
              <w:left w:val="single" w:color="auto" w:sz="4" w:space="0"/>
              <w:right w:val="single" w:color="auto" w:sz="4" w:space="0"/>
            </w:tcBorders>
            <w:noWrap w:val="0"/>
            <w:vAlign w:val="center"/>
          </w:tcPr>
          <w:p>
            <w:pPr>
              <w:spacing w:line="300" w:lineRule="exact"/>
              <w:jc w:val="center"/>
              <w:rPr>
                <w:rFonts w:ascii="宋体" w:hAnsi="宋体"/>
                <w:color w:val="auto"/>
                <w:highlight w:val="none"/>
              </w:rPr>
            </w:pPr>
            <w:r>
              <w:rPr>
                <w:rFonts w:hint="eastAsia" w:ascii="宋体" w:hAnsi="宋体"/>
                <w:color w:val="auto"/>
                <w:highlight w:val="none"/>
              </w:rPr>
              <w:t>N</w:t>
            </w:r>
          </w:p>
        </w:tc>
        <w:tc>
          <w:tcPr>
            <w:tcW w:w="2402"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ascii="宋体" w:hAnsi="宋体"/>
                <w:color w:val="auto"/>
                <w:highlight w:val="none"/>
              </w:rPr>
            </w:pPr>
          </w:p>
        </w:tc>
        <w:tc>
          <w:tcPr>
            <w:tcW w:w="1476"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2819"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857"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711"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806"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2187"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1091" w:type="dxa"/>
            <w:tcBorders>
              <w:top w:val="single" w:color="auto" w:sz="4" w:space="0"/>
              <w:bottom w:val="single" w:color="auto" w:sz="4" w:space="0"/>
            </w:tcBorders>
            <w:noWrap w:val="0"/>
            <w:vAlign w:val="center"/>
          </w:tcPr>
          <w:p>
            <w:pPr>
              <w:spacing w:line="300" w:lineRule="exact"/>
              <w:jc w:val="center"/>
              <w:rPr>
                <w:rFonts w:hAnsi="宋体"/>
                <w:b/>
                <w:bCs/>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8" w:hRule="atLeast"/>
        </w:trPr>
        <w:tc>
          <w:tcPr>
            <w:tcW w:w="9582" w:type="dxa"/>
            <w:gridSpan w:val="7"/>
            <w:tcBorders>
              <w:top w:val="single" w:color="auto" w:sz="4" w:space="0"/>
              <w:left w:val="single" w:color="auto" w:sz="4" w:space="0"/>
              <w:right w:val="single" w:color="auto" w:sz="4" w:space="0"/>
            </w:tcBorders>
            <w:noWrap w:val="0"/>
            <w:vAlign w:val="center"/>
          </w:tcPr>
          <w:p>
            <w:pPr>
              <w:spacing w:line="300" w:lineRule="exact"/>
              <w:ind w:right="315"/>
              <w:jc w:val="right"/>
              <w:rPr>
                <w:rFonts w:hAnsi="宋体"/>
                <w:bCs/>
                <w:color w:val="auto"/>
                <w:highlight w:val="none"/>
              </w:rPr>
            </w:pPr>
            <w:r>
              <w:rPr>
                <w:rFonts w:hint="eastAsia" w:hAnsi="宋体"/>
                <w:bCs/>
                <w:color w:val="auto"/>
                <w:highlight w:val="none"/>
              </w:rPr>
              <w:t>合计金额</w:t>
            </w:r>
          </w:p>
        </w:tc>
        <w:tc>
          <w:tcPr>
            <w:tcW w:w="2187"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Ansi="宋体"/>
                <w:b/>
                <w:bCs/>
                <w:color w:val="auto"/>
                <w:highlight w:val="none"/>
              </w:rPr>
            </w:pPr>
          </w:p>
        </w:tc>
        <w:tc>
          <w:tcPr>
            <w:tcW w:w="1091" w:type="dxa"/>
            <w:tcBorders>
              <w:top w:val="single" w:color="auto" w:sz="4" w:space="0"/>
              <w:bottom w:val="single" w:color="auto" w:sz="4" w:space="0"/>
            </w:tcBorders>
            <w:noWrap w:val="0"/>
            <w:vAlign w:val="center"/>
          </w:tcPr>
          <w:p>
            <w:pPr>
              <w:spacing w:line="300" w:lineRule="exact"/>
              <w:jc w:val="center"/>
              <w:rPr>
                <w:rFonts w:hAnsi="宋体"/>
                <w:b/>
                <w:bCs/>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8" w:hRule="atLeast"/>
        </w:trPr>
        <w:tc>
          <w:tcPr>
            <w:tcW w:w="12860" w:type="dxa"/>
            <w:gridSpan w:val="9"/>
            <w:tcBorders>
              <w:top w:val="single" w:color="auto" w:sz="4" w:space="0"/>
              <w:left w:val="single" w:color="auto" w:sz="4" w:space="0"/>
              <w:bottom w:val="single" w:color="auto" w:sz="4" w:space="0"/>
            </w:tcBorders>
            <w:noWrap w:val="0"/>
            <w:vAlign w:val="center"/>
          </w:tcPr>
          <w:p>
            <w:pPr>
              <w:spacing w:line="300" w:lineRule="exact"/>
              <w:rPr>
                <w:rFonts w:hAnsi="宋体"/>
                <w:b/>
                <w:bCs/>
                <w:color w:val="auto"/>
                <w:highlight w:val="none"/>
              </w:rPr>
            </w:pPr>
            <w:r>
              <w:rPr>
                <w:rFonts w:hint="eastAsia" w:ascii="宋体" w:hAnsi="宋体"/>
                <w:color w:val="auto"/>
                <w:spacing w:val="-6"/>
                <w:highlight w:val="none"/>
              </w:rPr>
              <w:t>竞标总</w:t>
            </w:r>
            <w:r>
              <w:rPr>
                <w:rFonts w:ascii="宋体" w:hAnsi="宋体"/>
                <w:color w:val="auto"/>
                <w:spacing w:val="-6"/>
                <w:highlight w:val="none"/>
              </w:rPr>
              <w:t xml:space="preserve">报价（大写）：                                     </w:t>
            </w:r>
            <w:r>
              <w:rPr>
                <w:rFonts w:hint="eastAsia" w:ascii="宋体" w:hAnsi="宋体"/>
                <w:color w:val="auto"/>
                <w:spacing w:val="-6"/>
                <w:highlight w:val="none"/>
              </w:rPr>
              <w:t xml:space="preserve">                          </w:t>
            </w:r>
            <w:r>
              <w:rPr>
                <w:rFonts w:ascii="宋体" w:hAnsi="宋体"/>
                <w:color w:val="auto"/>
                <w:spacing w:val="-6"/>
                <w:highlight w:val="none"/>
              </w:rPr>
              <w:t xml:space="preserve">  </w:t>
            </w:r>
            <w:r>
              <w:rPr>
                <w:rFonts w:hint="eastAsia" w:ascii="宋体" w:hAnsi="宋体"/>
                <w:color w:val="auto"/>
                <w:spacing w:val="-6"/>
                <w:highlight w:val="none"/>
              </w:rPr>
              <w:t>元</w:t>
            </w:r>
            <w:r>
              <w:rPr>
                <w:rFonts w:ascii="宋体" w:hAnsi="宋体"/>
                <w:color w:val="auto"/>
                <w:spacing w:val="-6"/>
                <w:highlight w:val="none"/>
              </w:rPr>
              <w:t>人民币（￥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8" w:hRule="atLeast"/>
        </w:trPr>
        <w:tc>
          <w:tcPr>
            <w:tcW w:w="12860" w:type="dxa"/>
            <w:gridSpan w:val="9"/>
            <w:tcBorders>
              <w:top w:val="single" w:color="auto" w:sz="4" w:space="0"/>
              <w:left w:val="single" w:color="auto" w:sz="4" w:space="0"/>
              <w:bottom w:val="single" w:color="auto" w:sz="4" w:space="0"/>
            </w:tcBorders>
            <w:noWrap w:val="0"/>
            <w:vAlign w:val="center"/>
          </w:tcPr>
          <w:p>
            <w:pPr>
              <w:spacing w:line="300" w:lineRule="exact"/>
              <w:rPr>
                <w:rFonts w:ascii="宋体" w:hAnsi="宋体"/>
                <w:color w:val="auto"/>
                <w:spacing w:val="-6"/>
                <w:highlight w:val="none"/>
              </w:rPr>
            </w:pPr>
            <w:r>
              <w:rPr>
                <w:rFonts w:hint="eastAsia" w:ascii="宋体" w:hAnsi="宋体"/>
                <w:color w:val="auto"/>
                <w:spacing w:val="-6"/>
                <w:highlight w:val="none"/>
              </w:rPr>
              <w:t>交付使用期: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8" w:hRule="atLeast"/>
        </w:trPr>
        <w:tc>
          <w:tcPr>
            <w:tcW w:w="12860" w:type="dxa"/>
            <w:gridSpan w:val="9"/>
            <w:tcBorders>
              <w:top w:val="single" w:color="auto" w:sz="4" w:space="0"/>
              <w:left w:val="single" w:color="auto" w:sz="4" w:space="0"/>
              <w:bottom w:val="single" w:color="auto" w:sz="4" w:space="0"/>
            </w:tcBorders>
            <w:noWrap w:val="0"/>
            <w:vAlign w:val="center"/>
          </w:tcPr>
          <w:p>
            <w:pPr>
              <w:spacing w:line="300" w:lineRule="exact"/>
              <w:rPr>
                <w:rFonts w:ascii="宋体" w:hAnsi="宋体"/>
                <w:color w:val="auto"/>
                <w:spacing w:val="-6"/>
                <w:highlight w:val="none"/>
              </w:rPr>
            </w:pPr>
            <w:r>
              <w:rPr>
                <w:rFonts w:hint="eastAsia" w:ascii="宋体" w:hAnsi="宋体"/>
                <w:color w:val="auto"/>
                <w:spacing w:val="-6"/>
                <w:highlight w:val="none"/>
              </w:rPr>
              <w:t>免费保修期: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89" w:hRule="atLeast"/>
        </w:trPr>
        <w:tc>
          <w:tcPr>
            <w:tcW w:w="12860" w:type="dxa"/>
            <w:gridSpan w:val="9"/>
            <w:tcBorders>
              <w:top w:val="single" w:color="auto" w:sz="4" w:space="0"/>
              <w:left w:val="single" w:color="auto" w:sz="4" w:space="0"/>
              <w:bottom w:val="single" w:color="auto" w:sz="4" w:space="0"/>
            </w:tcBorders>
            <w:noWrap w:val="0"/>
            <w:vAlign w:val="center"/>
          </w:tcPr>
          <w:p>
            <w:pPr>
              <w:spacing w:line="340" w:lineRule="exact"/>
              <w:rPr>
                <w:rFonts w:ascii="宋体" w:hAnsi="宋体"/>
                <w:color w:val="auto"/>
                <w:spacing w:val="-6"/>
                <w:szCs w:val="21"/>
                <w:highlight w:val="none"/>
              </w:rPr>
            </w:pPr>
            <w:r>
              <w:rPr>
                <w:rFonts w:hint="eastAsia" w:ascii="宋体" w:hAnsi="宋体"/>
                <w:color w:val="auto"/>
                <w:spacing w:val="-6"/>
                <w:szCs w:val="21"/>
                <w:highlight w:val="none"/>
              </w:rPr>
              <w:t>其中：属于《</w:t>
            </w:r>
            <w:r>
              <w:rPr>
                <w:rFonts w:ascii="宋体" w:hAnsi="宋体"/>
                <w:color w:val="auto"/>
                <w:spacing w:val="-6"/>
                <w:szCs w:val="21"/>
                <w:highlight w:val="none"/>
              </w:rPr>
              <w:t>节能</w:t>
            </w:r>
            <w:r>
              <w:rPr>
                <w:rFonts w:hint="eastAsia" w:ascii="宋体" w:hAnsi="宋体"/>
                <w:color w:val="auto"/>
                <w:spacing w:val="-6"/>
                <w:szCs w:val="21"/>
                <w:highlight w:val="none"/>
              </w:rPr>
              <w:t>产品政府采购</w:t>
            </w:r>
            <w:r>
              <w:rPr>
                <w:rFonts w:ascii="宋体" w:hAnsi="宋体"/>
                <w:color w:val="auto"/>
                <w:spacing w:val="-6"/>
                <w:szCs w:val="21"/>
                <w:highlight w:val="none"/>
              </w:rPr>
              <w:t>清单</w:t>
            </w:r>
            <w:r>
              <w:rPr>
                <w:rFonts w:hint="eastAsia" w:ascii="宋体" w:hAnsi="宋体"/>
                <w:color w:val="auto"/>
                <w:spacing w:val="-6"/>
                <w:szCs w:val="21"/>
                <w:highlight w:val="none"/>
              </w:rPr>
              <w:t>》目录内产品的总金额为</w:t>
            </w:r>
            <w:r>
              <w:rPr>
                <w:rFonts w:ascii="宋体" w:hAnsi="宋体"/>
                <w:color w:val="auto"/>
                <w:spacing w:val="-6"/>
                <w:szCs w:val="21"/>
                <w:highlight w:val="none"/>
              </w:rPr>
              <w:t>人民币</w:t>
            </w:r>
            <w:r>
              <w:rPr>
                <w:rFonts w:hint="eastAsia" w:ascii="宋体" w:hAnsi="宋体"/>
                <w:color w:val="auto"/>
                <w:spacing w:val="-6"/>
                <w:szCs w:val="21"/>
                <w:highlight w:val="none"/>
              </w:rPr>
              <w:t>（大写）：               元</w:t>
            </w:r>
            <w:r>
              <w:rPr>
                <w:rFonts w:ascii="宋体" w:hAnsi="宋体"/>
                <w:color w:val="auto"/>
                <w:spacing w:val="-6"/>
                <w:szCs w:val="21"/>
                <w:highlight w:val="none"/>
              </w:rPr>
              <w:t xml:space="preserve">（￥         </w:t>
            </w:r>
            <w:r>
              <w:rPr>
                <w:rFonts w:hint="eastAsia" w:ascii="宋体" w:hAnsi="宋体"/>
                <w:color w:val="auto"/>
                <w:spacing w:val="-6"/>
                <w:szCs w:val="21"/>
                <w:highlight w:val="none"/>
              </w:rPr>
              <w:t xml:space="preserve">   </w:t>
            </w:r>
            <w:r>
              <w:rPr>
                <w:rFonts w:ascii="宋体" w:hAnsi="宋体"/>
                <w:color w:val="auto"/>
                <w:spacing w:val="-6"/>
                <w:szCs w:val="21"/>
                <w:highlight w:val="none"/>
              </w:rPr>
              <w:t>）</w:t>
            </w:r>
            <w:r>
              <w:rPr>
                <w:rFonts w:hint="eastAsia" w:ascii="宋体" w:hAnsi="宋体"/>
                <w:color w:val="auto"/>
                <w:spacing w:val="-6"/>
                <w:szCs w:val="21"/>
                <w:highlight w:val="none"/>
              </w:rPr>
              <w:t>；</w:t>
            </w:r>
          </w:p>
          <w:p>
            <w:pPr>
              <w:spacing w:line="340" w:lineRule="exact"/>
              <w:ind w:firstLine="594" w:firstLineChars="300"/>
              <w:rPr>
                <w:rFonts w:ascii="宋体" w:hAnsi="宋体"/>
                <w:color w:val="auto"/>
                <w:spacing w:val="-6"/>
                <w:szCs w:val="21"/>
                <w:highlight w:val="none"/>
              </w:rPr>
            </w:pPr>
            <w:r>
              <w:rPr>
                <w:rFonts w:hint="eastAsia" w:ascii="宋体" w:hAnsi="宋体"/>
                <w:color w:val="auto"/>
                <w:spacing w:val="-6"/>
                <w:szCs w:val="21"/>
                <w:highlight w:val="none"/>
              </w:rPr>
              <w:t>属于《环境标志产品政府采购清单》目录内产品的总金额为</w:t>
            </w:r>
            <w:r>
              <w:rPr>
                <w:rFonts w:ascii="宋体" w:hAnsi="宋体"/>
                <w:color w:val="auto"/>
                <w:spacing w:val="-6"/>
                <w:szCs w:val="21"/>
                <w:highlight w:val="none"/>
              </w:rPr>
              <w:t>人民币</w:t>
            </w:r>
            <w:r>
              <w:rPr>
                <w:rFonts w:hint="eastAsia" w:ascii="宋体" w:hAnsi="宋体"/>
                <w:color w:val="auto"/>
                <w:spacing w:val="-6"/>
                <w:szCs w:val="21"/>
                <w:highlight w:val="none"/>
              </w:rPr>
              <w:t>（大写）：                   元</w:t>
            </w:r>
            <w:r>
              <w:rPr>
                <w:rFonts w:ascii="宋体" w:hAnsi="宋体"/>
                <w:color w:val="auto"/>
                <w:spacing w:val="-6"/>
                <w:szCs w:val="21"/>
                <w:highlight w:val="none"/>
              </w:rPr>
              <w:t>（￥             ）</w:t>
            </w:r>
            <w:r>
              <w:rPr>
                <w:rFonts w:hint="eastAsia" w:ascii="宋体" w:hAnsi="宋体"/>
                <w:color w:val="auto"/>
                <w:spacing w:val="-6"/>
                <w:szCs w:val="21"/>
                <w:highlight w:val="none"/>
              </w:rPr>
              <w:t>。</w:t>
            </w:r>
          </w:p>
          <w:p>
            <w:pPr>
              <w:spacing w:line="340" w:lineRule="exact"/>
              <w:rPr>
                <w:rFonts w:hAnsi="宋体"/>
                <w:b/>
                <w:bCs/>
                <w:color w:val="auto"/>
                <w:highlight w:val="none"/>
              </w:rPr>
            </w:pPr>
            <w:r>
              <w:rPr>
                <w:rFonts w:hint="eastAsia" w:ascii="宋体" w:hAnsi="宋体"/>
                <w:b/>
                <w:color w:val="auto"/>
                <w:spacing w:val="-6"/>
                <w:szCs w:val="21"/>
                <w:highlight w:val="none"/>
              </w:rPr>
              <w:t>备注：若不属于《</w:t>
            </w:r>
            <w:r>
              <w:rPr>
                <w:rFonts w:ascii="宋体" w:hAnsi="宋体"/>
                <w:b/>
                <w:color w:val="auto"/>
                <w:spacing w:val="-6"/>
                <w:szCs w:val="21"/>
                <w:highlight w:val="none"/>
              </w:rPr>
              <w:t>节能</w:t>
            </w:r>
            <w:r>
              <w:rPr>
                <w:rFonts w:hint="eastAsia" w:ascii="宋体" w:hAnsi="宋体"/>
                <w:b/>
                <w:color w:val="auto"/>
                <w:spacing w:val="-6"/>
                <w:szCs w:val="21"/>
                <w:highlight w:val="none"/>
              </w:rPr>
              <w:t>产品政府采购</w:t>
            </w:r>
            <w:r>
              <w:rPr>
                <w:rFonts w:ascii="宋体" w:hAnsi="宋体"/>
                <w:b/>
                <w:color w:val="auto"/>
                <w:spacing w:val="-6"/>
                <w:szCs w:val="21"/>
                <w:highlight w:val="none"/>
              </w:rPr>
              <w:t>清单</w:t>
            </w:r>
            <w:r>
              <w:rPr>
                <w:rFonts w:hint="eastAsia" w:ascii="宋体" w:hAnsi="宋体"/>
                <w:b/>
                <w:color w:val="auto"/>
                <w:spacing w:val="-6"/>
                <w:szCs w:val="21"/>
                <w:highlight w:val="none"/>
              </w:rPr>
              <w:t>》及《环境标志产品政府采购清单》目录内产品的，则该处填写“无”字样。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2" w:hRule="atLeast"/>
        </w:trPr>
        <w:tc>
          <w:tcPr>
            <w:tcW w:w="12860" w:type="dxa"/>
            <w:gridSpan w:val="9"/>
            <w:tcBorders>
              <w:top w:val="single" w:color="auto" w:sz="4" w:space="0"/>
              <w:left w:val="single" w:color="auto" w:sz="4" w:space="0"/>
              <w:bottom w:val="single" w:color="auto" w:sz="4" w:space="0"/>
            </w:tcBorders>
            <w:noWrap w:val="0"/>
            <w:vAlign w:val="center"/>
          </w:tcPr>
          <w:p>
            <w:pPr>
              <w:spacing w:line="340" w:lineRule="exact"/>
              <w:rPr>
                <w:rFonts w:hAnsi="宋体"/>
                <w:b/>
                <w:bCs/>
                <w:color w:val="auto"/>
                <w:highlight w:val="none"/>
              </w:rPr>
            </w:pPr>
            <w:r>
              <w:rPr>
                <w:rFonts w:hint="eastAsia"/>
                <w:color w:val="auto"/>
                <w:highlight w:val="none"/>
              </w:rPr>
              <w:t>说明：竞标报价指本次采购范围货物价款、备品备件、专用工具、包装、运输、装卸、保险、税金、货到位以及安装、</w:t>
            </w:r>
            <w:r>
              <w:rPr>
                <w:rFonts w:hint="eastAsia"/>
                <w:color w:val="auto"/>
                <w:szCs w:val="21"/>
                <w:highlight w:val="none"/>
              </w:rPr>
              <w:t>安装所需辅材、</w:t>
            </w:r>
            <w:r>
              <w:rPr>
                <w:rFonts w:hint="eastAsia"/>
                <w:color w:val="auto"/>
                <w:highlight w:val="none"/>
              </w:rPr>
              <w:t>调试、检验、售后服务、培训、保修等全部费用，供应商综合考虑在报价中。</w:t>
            </w:r>
          </w:p>
        </w:tc>
      </w:tr>
    </w:tbl>
    <w:p>
      <w:pPr>
        <w:spacing w:line="340" w:lineRule="exact"/>
        <w:rPr>
          <w:color w:val="auto"/>
          <w:szCs w:val="21"/>
          <w:highlight w:val="none"/>
          <w:u w:val="single"/>
        </w:rPr>
      </w:pPr>
      <w:r>
        <w:rPr>
          <w:rFonts w:hint="eastAsia"/>
          <w:color w:val="auto"/>
          <w:szCs w:val="21"/>
          <w:highlight w:val="none"/>
        </w:rPr>
        <w:t>供应商（公章</w:t>
      </w:r>
      <w:r>
        <w:rPr>
          <w:rFonts w:hint="eastAsia" w:ascii="宋体" w:hAnsi="宋体"/>
          <w:color w:val="auto"/>
          <w:szCs w:val="21"/>
          <w:highlight w:val="none"/>
        </w:rPr>
        <w:t>，自然人除外</w:t>
      </w:r>
      <w:r>
        <w:rPr>
          <w:rFonts w:hint="eastAsia"/>
          <w:color w:val="auto"/>
          <w:szCs w:val="21"/>
          <w:highlight w:val="none"/>
        </w:rPr>
        <w:t>）：</w:t>
      </w:r>
      <w:r>
        <w:rPr>
          <w:rFonts w:hint="eastAsia"/>
          <w:color w:val="auto"/>
          <w:szCs w:val="21"/>
          <w:highlight w:val="none"/>
          <w:u w:val="single"/>
        </w:rPr>
        <w:t xml:space="preserve">                                        ；</w:t>
      </w:r>
    </w:p>
    <w:p>
      <w:pPr>
        <w:spacing w:line="340" w:lineRule="exact"/>
        <w:rPr>
          <w:rFonts w:ascii="宋体" w:hAnsi="宋体"/>
          <w:color w:val="auto"/>
          <w:szCs w:val="21"/>
          <w:highlight w:val="none"/>
          <w:u w:val="single"/>
        </w:rPr>
      </w:pPr>
      <w:r>
        <w:rPr>
          <w:rFonts w:hint="eastAsia" w:hAnsi="宋体"/>
          <w:color w:val="auto"/>
          <w:highlight w:val="none"/>
        </w:rPr>
        <w:t>法定代表人或负责人或自然人或相应的委托代理人签字或盖章（属自然人的应在签名处加盖食指指印）：</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pPr>
        <w:spacing w:line="340" w:lineRule="exact"/>
        <w:rPr>
          <w:color w:val="auto"/>
          <w:highlight w:val="none"/>
        </w:rPr>
      </w:pPr>
      <w:r>
        <w:rPr>
          <w:rFonts w:hint="eastAsia"/>
          <w:color w:val="auto"/>
          <w:szCs w:val="21"/>
          <w:highlight w:val="none"/>
        </w:rPr>
        <w:t>日期：</w:t>
      </w:r>
      <w:r>
        <w:rPr>
          <w:rFonts w:hint="eastAsia"/>
          <w:color w:val="auto"/>
          <w:szCs w:val="21"/>
          <w:highlight w:val="none"/>
          <w:u w:val="single"/>
        </w:rPr>
        <w:t xml:space="preserve">                        </w:t>
      </w:r>
      <w:r>
        <w:rPr>
          <w:rFonts w:hint="eastAsia"/>
          <w:color w:val="auto"/>
          <w:szCs w:val="21"/>
          <w:highlight w:val="none"/>
        </w:rPr>
        <w:t>。</w:t>
      </w:r>
    </w:p>
    <w:p>
      <w:pPr>
        <w:tabs>
          <w:tab w:val="left" w:pos="1305"/>
        </w:tabs>
        <w:spacing w:line="340" w:lineRule="exact"/>
        <w:ind w:firstLine="205" w:firstLineChars="98"/>
        <w:rPr>
          <w:rFonts w:ascii="宋体" w:hAnsi="宋体"/>
          <w:bCs/>
          <w:color w:val="auto"/>
          <w:szCs w:val="21"/>
          <w:highlight w:val="none"/>
        </w:rPr>
      </w:pPr>
      <w:r>
        <w:rPr>
          <w:rFonts w:hint="eastAsia" w:ascii="宋体" w:hAnsi="宋体"/>
          <w:bCs/>
          <w:color w:val="auto"/>
          <w:szCs w:val="21"/>
          <w:highlight w:val="none"/>
        </w:rPr>
        <w:t>注</w:t>
      </w:r>
      <w:r>
        <w:rPr>
          <w:rFonts w:hint="eastAsia" w:ascii="宋体" w:hAnsi="宋体"/>
          <w:b/>
          <w:bCs/>
          <w:color w:val="auto"/>
          <w:szCs w:val="21"/>
          <w:highlight w:val="none"/>
        </w:rPr>
        <w:t>：</w:t>
      </w:r>
      <w:r>
        <w:rPr>
          <w:rFonts w:hint="eastAsia" w:ascii="宋体" w:hAnsi="宋体"/>
          <w:bCs/>
          <w:color w:val="auto"/>
          <w:szCs w:val="21"/>
          <w:highlight w:val="none"/>
        </w:rPr>
        <w:t>1、各供应商</w:t>
      </w:r>
      <w:r>
        <w:rPr>
          <w:rFonts w:hint="eastAsia"/>
          <w:color w:val="auto"/>
          <w:szCs w:val="21"/>
          <w:highlight w:val="none"/>
        </w:rPr>
        <w:t>必须就“货物采购需求”中所竞项目的所有内容作完整唯一报价，否则，其响应文件无效。</w:t>
      </w:r>
    </w:p>
    <w:p>
      <w:pPr>
        <w:pStyle w:val="10"/>
        <w:spacing w:line="360" w:lineRule="exact"/>
        <w:ind w:firstLine="630" w:firstLineChars="300"/>
        <w:rPr>
          <w:rFonts w:hAnsi="宋体"/>
          <w:bCs/>
          <w:color w:val="auto"/>
          <w:szCs w:val="21"/>
          <w:highlight w:val="none"/>
        </w:rPr>
      </w:pPr>
      <w:r>
        <w:rPr>
          <w:rFonts w:hint="eastAsia"/>
          <w:color w:val="auto"/>
          <w:highlight w:val="none"/>
        </w:rPr>
        <w:t>2、</w:t>
      </w:r>
      <w:r>
        <w:rPr>
          <w:rFonts w:hint="eastAsia"/>
          <w:color w:val="auto"/>
          <w:szCs w:val="21"/>
          <w:highlight w:val="none"/>
        </w:rPr>
        <w:t>供应商</w:t>
      </w:r>
      <w:r>
        <w:rPr>
          <w:rFonts w:hint="eastAsia"/>
          <w:color w:val="auto"/>
          <w:highlight w:val="none"/>
        </w:rPr>
        <w:t>应根据所竞货物如实填写</w:t>
      </w:r>
      <w:r>
        <w:rPr>
          <w:rFonts w:hint="eastAsia"/>
          <w:color w:val="auto"/>
          <w:szCs w:val="21"/>
          <w:highlight w:val="none"/>
        </w:rPr>
        <w:t>谈判</w:t>
      </w:r>
      <w:r>
        <w:rPr>
          <w:rFonts w:hint="eastAsia"/>
          <w:color w:val="auto"/>
          <w:highlight w:val="none"/>
        </w:rPr>
        <w:t>报价明细表</w:t>
      </w:r>
      <w:r>
        <w:rPr>
          <w:rFonts w:hint="eastAsia" w:hAnsi="宋体"/>
          <w:bCs/>
          <w:color w:val="auto"/>
          <w:szCs w:val="21"/>
          <w:highlight w:val="none"/>
        </w:rPr>
        <w:t>的各项内容。</w:t>
      </w:r>
    </w:p>
    <w:p>
      <w:pPr>
        <w:pStyle w:val="10"/>
        <w:spacing w:line="360" w:lineRule="exact"/>
        <w:ind w:firstLine="630" w:firstLineChars="300"/>
        <w:rPr>
          <w:color w:val="auto"/>
          <w:highlight w:val="none"/>
        </w:rPr>
      </w:pPr>
      <w:r>
        <w:rPr>
          <w:rFonts w:hint="eastAsia"/>
          <w:color w:val="auto"/>
          <w:highlight w:val="none"/>
        </w:rPr>
        <w:t>3、</w:t>
      </w:r>
      <w:r>
        <w:rPr>
          <w:rFonts w:hint="eastAsia"/>
          <w:color w:val="auto"/>
          <w:szCs w:val="21"/>
          <w:highlight w:val="none"/>
        </w:rPr>
        <w:t>谈判</w:t>
      </w:r>
      <w:r>
        <w:rPr>
          <w:rFonts w:hint="eastAsia" w:hAnsi="宋体"/>
          <w:bCs/>
          <w:color w:val="auto"/>
          <w:szCs w:val="21"/>
          <w:highlight w:val="none"/>
        </w:rPr>
        <w:t>报价明细表须由法定代表人或负责人或自然人或委托代理人签字或盖章</w:t>
      </w:r>
      <w:r>
        <w:rPr>
          <w:rFonts w:hint="eastAsia" w:hAnsi="宋体"/>
          <w:color w:val="auto"/>
          <w:highlight w:val="none"/>
        </w:rPr>
        <w:t>（属自然人的应在签名处加盖食指指印）</w:t>
      </w:r>
      <w:r>
        <w:rPr>
          <w:rFonts w:hint="eastAsia" w:hAnsi="宋体"/>
          <w:bCs/>
          <w:color w:val="auto"/>
          <w:szCs w:val="21"/>
          <w:highlight w:val="none"/>
        </w:rPr>
        <w:t>并加盖</w:t>
      </w:r>
      <w:r>
        <w:rPr>
          <w:rFonts w:hint="eastAsia"/>
          <w:color w:val="auto"/>
          <w:szCs w:val="21"/>
          <w:highlight w:val="none"/>
        </w:rPr>
        <w:t>供应商</w:t>
      </w:r>
      <w:r>
        <w:rPr>
          <w:rFonts w:hint="eastAsia" w:hAnsi="宋体"/>
          <w:bCs/>
          <w:color w:val="auto"/>
          <w:szCs w:val="21"/>
          <w:highlight w:val="none"/>
        </w:rPr>
        <w:t>公章（</w:t>
      </w:r>
      <w:r>
        <w:rPr>
          <w:rFonts w:hint="eastAsia" w:hAnsi="宋体"/>
          <w:color w:val="auto"/>
          <w:szCs w:val="21"/>
          <w:highlight w:val="none"/>
        </w:rPr>
        <w:t>自然人除外</w:t>
      </w:r>
      <w:r>
        <w:rPr>
          <w:rFonts w:hint="eastAsia" w:hAnsi="宋体"/>
          <w:bCs/>
          <w:color w:val="auto"/>
          <w:szCs w:val="21"/>
          <w:highlight w:val="none"/>
        </w:rPr>
        <w:t>）。</w:t>
      </w:r>
      <w:r>
        <w:rPr>
          <w:rFonts w:hint="eastAsia"/>
          <w:b/>
          <w:bCs/>
          <w:color w:val="auto"/>
          <w:highlight w:val="none"/>
        </w:rPr>
        <w:t>当本表由多页构成时，需逐页加盖供应商公章</w:t>
      </w:r>
      <w:r>
        <w:rPr>
          <w:rFonts w:hint="eastAsia" w:hAnsi="宋体"/>
          <w:b/>
          <w:bCs/>
          <w:color w:val="auto"/>
          <w:highlight w:val="none"/>
        </w:rPr>
        <w:t>（属自然人的须逐页签字）</w:t>
      </w:r>
      <w:r>
        <w:rPr>
          <w:rFonts w:hint="eastAsia"/>
          <w:bCs/>
          <w:color w:val="auto"/>
          <w:highlight w:val="none"/>
        </w:rPr>
        <w:t>。</w:t>
      </w:r>
    </w:p>
    <w:p>
      <w:pPr>
        <w:spacing w:line="340" w:lineRule="exact"/>
        <w:ind w:firstLine="630" w:firstLineChars="300"/>
        <w:rPr>
          <w:b/>
          <w:color w:val="auto"/>
          <w:highlight w:val="none"/>
        </w:rPr>
        <w:sectPr>
          <w:pgSz w:w="16838" w:h="11906" w:orient="landscape"/>
          <w:pgMar w:top="1134" w:right="1134" w:bottom="992" w:left="1134" w:header="720" w:footer="720" w:gutter="0"/>
          <w:pgNumType w:fmt="decimal"/>
          <w:cols w:space="720" w:num="1"/>
          <w:titlePg/>
          <w:docGrid w:linePitch="312" w:charSpace="0"/>
        </w:sectPr>
      </w:pPr>
      <w:r>
        <w:rPr>
          <w:rFonts w:hint="eastAsia" w:ascii="宋体" w:hAnsi="宋体"/>
          <w:bCs/>
          <w:color w:val="auto"/>
          <w:szCs w:val="21"/>
          <w:highlight w:val="none"/>
        </w:rPr>
        <w:t>4、如全部或部分产品属于《</w:t>
      </w:r>
      <w:r>
        <w:rPr>
          <w:rFonts w:ascii="宋体" w:hAnsi="宋体"/>
          <w:bCs/>
          <w:color w:val="auto"/>
          <w:szCs w:val="21"/>
          <w:highlight w:val="none"/>
        </w:rPr>
        <w:t>节能</w:t>
      </w:r>
      <w:r>
        <w:rPr>
          <w:rFonts w:hint="eastAsia" w:ascii="宋体" w:hAnsi="宋体"/>
          <w:bCs/>
          <w:color w:val="auto"/>
          <w:szCs w:val="21"/>
          <w:highlight w:val="none"/>
        </w:rPr>
        <w:t>产品政府采购</w:t>
      </w:r>
      <w:r>
        <w:rPr>
          <w:rFonts w:ascii="宋体" w:hAnsi="宋体"/>
          <w:bCs/>
          <w:color w:val="auto"/>
          <w:szCs w:val="21"/>
          <w:highlight w:val="none"/>
        </w:rPr>
        <w:t>清单</w:t>
      </w:r>
      <w:r>
        <w:rPr>
          <w:rFonts w:hint="eastAsia" w:ascii="宋体" w:hAnsi="宋体"/>
          <w:bCs/>
          <w:color w:val="auto"/>
          <w:szCs w:val="21"/>
          <w:highlight w:val="none"/>
        </w:rPr>
        <w:t>》或《环境标志产品政府采购清单》目录范围</w:t>
      </w:r>
      <w:r>
        <w:rPr>
          <w:rFonts w:ascii="宋体" w:hAnsi="宋体"/>
          <w:bCs/>
          <w:color w:val="auto"/>
          <w:szCs w:val="21"/>
          <w:highlight w:val="none"/>
        </w:rPr>
        <w:t>的</w:t>
      </w:r>
      <w:r>
        <w:rPr>
          <w:rFonts w:hint="eastAsia" w:ascii="宋体" w:hAnsi="宋体"/>
          <w:bCs/>
          <w:color w:val="auto"/>
          <w:szCs w:val="21"/>
          <w:highlight w:val="none"/>
        </w:rPr>
        <w:t>，</w:t>
      </w:r>
      <w:r>
        <w:rPr>
          <w:rFonts w:hint="eastAsia"/>
          <w:color w:val="auto"/>
          <w:szCs w:val="21"/>
          <w:highlight w:val="none"/>
        </w:rPr>
        <w:t>供应商</w:t>
      </w:r>
      <w:r>
        <w:rPr>
          <w:rFonts w:hint="eastAsia" w:ascii="宋体" w:hAnsi="宋体"/>
          <w:bCs/>
          <w:color w:val="auto"/>
          <w:szCs w:val="21"/>
          <w:highlight w:val="none"/>
        </w:rPr>
        <w:t>应在本表备注栏内写明各分项货物</w:t>
      </w:r>
      <w:r>
        <w:rPr>
          <w:rFonts w:hint="eastAsia" w:ascii="宋体" w:hAnsi="宋体"/>
          <w:b/>
          <w:color w:val="auto"/>
          <w:szCs w:val="21"/>
          <w:highlight w:val="none"/>
        </w:rPr>
        <w:t>属于节能（或环境标志）产品政府采购清单第几类第几项序号的产品，以便谈判小组作为优先采购或评审的依据。</w:t>
      </w:r>
    </w:p>
    <w:p>
      <w:pPr>
        <w:pStyle w:val="10"/>
        <w:spacing w:line="400" w:lineRule="exact"/>
        <w:rPr>
          <w:b/>
          <w:color w:val="auto"/>
          <w:sz w:val="32"/>
          <w:szCs w:val="32"/>
          <w:highlight w:val="none"/>
        </w:rPr>
      </w:pPr>
      <w:r>
        <w:rPr>
          <w:rFonts w:hint="eastAsia"/>
          <w:b/>
          <w:color w:val="auto"/>
          <w:sz w:val="32"/>
          <w:szCs w:val="32"/>
          <w:highlight w:val="none"/>
          <w:lang w:val="en-US" w:eastAsia="zh-CN"/>
        </w:rPr>
        <w:t>7</w:t>
      </w:r>
      <w:r>
        <w:rPr>
          <w:rFonts w:hint="eastAsia"/>
          <w:b/>
          <w:color w:val="auto"/>
          <w:sz w:val="32"/>
          <w:szCs w:val="32"/>
          <w:highlight w:val="none"/>
        </w:rPr>
        <w:t>、技术规格及商务条款偏离表（必须提供）</w:t>
      </w:r>
    </w:p>
    <w:p>
      <w:pPr>
        <w:pStyle w:val="10"/>
        <w:rPr>
          <w:b/>
          <w:color w:val="auto"/>
          <w:sz w:val="24"/>
          <w:szCs w:val="24"/>
          <w:highlight w:val="none"/>
        </w:rPr>
      </w:pPr>
    </w:p>
    <w:p>
      <w:pPr>
        <w:pStyle w:val="10"/>
        <w:ind w:firstLine="354" w:firstLineChars="147"/>
        <w:rPr>
          <w:b/>
          <w:bCs/>
          <w:color w:val="auto"/>
          <w:sz w:val="32"/>
          <w:highlight w:val="none"/>
        </w:rPr>
      </w:pPr>
      <w:r>
        <w:rPr>
          <w:rFonts w:hint="eastAsia"/>
          <w:b/>
          <w:color w:val="auto"/>
          <w:sz w:val="24"/>
          <w:szCs w:val="24"/>
          <w:highlight w:val="none"/>
        </w:rPr>
        <w:t xml:space="preserve">附件：            </w:t>
      </w:r>
      <w:r>
        <w:rPr>
          <w:rFonts w:hint="eastAsia"/>
          <w:b/>
          <w:bCs/>
          <w:color w:val="auto"/>
          <w:sz w:val="32"/>
          <w:highlight w:val="none"/>
        </w:rPr>
        <w:t>技术规格</w:t>
      </w:r>
      <w:r>
        <w:rPr>
          <w:rFonts w:hint="eastAsia"/>
          <w:b/>
          <w:color w:val="auto"/>
          <w:sz w:val="32"/>
          <w:szCs w:val="32"/>
          <w:highlight w:val="none"/>
        </w:rPr>
        <w:t>及商务条款</w:t>
      </w:r>
      <w:r>
        <w:rPr>
          <w:rFonts w:hint="eastAsia"/>
          <w:b/>
          <w:bCs/>
          <w:color w:val="auto"/>
          <w:sz w:val="32"/>
          <w:highlight w:val="none"/>
        </w:rPr>
        <w:t>偏离表（格式）</w:t>
      </w:r>
    </w:p>
    <w:p>
      <w:pPr>
        <w:pStyle w:val="10"/>
        <w:rPr>
          <w:color w:val="auto"/>
          <w:highlight w:val="none"/>
        </w:rPr>
      </w:pPr>
    </w:p>
    <w:p>
      <w:pPr>
        <w:pStyle w:val="10"/>
        <w:rPr>
          <w:b/>
          <w:color w:val="auto"/>
          <w:sz w:val="24"/>
          <w:szCs w:val="24"/>
          <w:highlight w:val="none"/>
        </w:rPr>
      </w:pPr>
    </w:p>
    <w:tbl>
      <w:tblPr>
        <w:tblStyle w:val="15"/>
        <w:tblW w:w="970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1651"/>
        <w:gridCol w:w="3079"/>
        <w:gridCol w:w="2306"/>
        <w:gridCol w:w="1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812" w:type="dxa"/>
            <w:noWrap w:val="0"/>
            <w:vAlign w:val="center"/>
          </w:tcPr>
          <w:p>
            <w:pPr>
              <w:pStyle w:val="10"/>
              <w:spacing w:line="400" w:lineRule="exact"/>
              <w:jc w:val="center"/>
              <w:rPr>
                <w:color w:val="auto"/>
                <w:highlight w:val="none"/>
              </w:rPr>
            </w:pPr>
            <w:r>
              <w:rPr>
                <w:rFonts w:hint="eastAsia"/>
                <w:color w:val="auto"/>
                <w:highlight w:val="none"/>
              </w:rPr>
              <w:t>项号</w:t>
            </w:r>
          </w:p>
        </w:tc>
        <w:tc>
          <w:tcPr>
            <w:tcW w:w="1651" w:type="dxa"/>
            <w:noWrap w:val="0"/>
            <w:vAlign w:val="center"/>
          </w:tcPr>
          <w:p>
            <w:pPr>
              <w:pStyle w:val="10"/>
              <w:spacing w:line="400" w:lineRule="exact"/>
              <w:jc w:val="center"/>
              <w:rPr>
                <w:rFonts w:hint="eastAsia" w:eastAsia="宋体"/>
                <w:color w:val="auto"/>
                <w:highlight w:val="none"/>
                <w:lang w:val="en-US" w:eastAsia="zh-CN"/>
              </w:rPr>
            </w:pPr>
            <w:r>
              <w:rPr>
                <w:rFonts w:hint="eastAsia"/>
                <w:color w:val="auto"/>
                <w:highlight w:val="none"/>
              </w:rPr>
              <w:t>货物</w:t>
            </w:r>
            <w:r>
              <w:rPr>
                <w:rFonts w:hint="eastAsia"/>
                <w:color w:val="auto"/>
                <w:highlight w:val="none"/>
                <w:lang w:val="en-US" w:eastAsia="zh-CN"/>
              </w:rPr>
              <w:t>/条款</w:t>
            </w:r>
            <w:r>
              <w:rPr>
                <w:rFonts w:hint="eastAsia"/>
                <w:color w:val="auto"/>
                <w:highlight w:val="none"/>
              </w:rPr>
              <w:t>名称</w:t>
            </w:r>
          </w:p>
        </w:tc>
        <w:tc>
          <w:tcPr>
            <w:tcW w:w="3079" w:type="dxa"/>
            <w:noWrap w:val="0"/>
            <w:vAlign w:val="center"/>
          </w:tcPr>
          <w:p>
            <w:pPr>
              <w:pStyle w:val="10"/>
              <w:spacing w:line="300" w:lineRule="exact"/>
              <w:jc w:val="center"/>
              <w:rPr>
                <w:rFonts w:hint="eastAsia" w:eastAsia="宋体"/>
                <w:color w:val="auto"/>
                <w:highlight w:val="none"/>
                <w:lang w:val="en-US" w:eastAsia="zh-CN"/>
              </w:rPr>
            </w:pPr>
            <w:bookmarkStart w:id="44" w:name="_Toc254970700"/>
            <w:bookmarkStart w:id="45" w:name="_Toc254970559"/>
            <w:r>
              <w:rPr>
                <w:rFonts w:hint="eastAsia" w:hAnsi="宋体"/>
                <w:color w:val="auto"/>
                <w:highlight w:val="none"/>
              </w:rPr>
              <w:t>采购需求</w:t>
            </w:r>
            <w:bookmarkEnd w:id="44"/>
            <w:bookmarkEnd w:id="45"/>
            <w:r>
              <w:rPr>
                <w:rFonts w:hint="eastAsia" w:hAnsi="宋体"/>
                <w:color w:val="auto"/>
                <w:highlight w:val="none"/>
              </w:rPr>
              <w:t>（技术参数、性能、配置等要求）</w:t>
            </w:r>
            <w:r>
              <w:rPr>
                <w:rFonts w:hint="eastAsia" w:hAnsi="宋体"/>
                <w:color w:val="auto"/>
                <w:highlight w:val="none"/>
                <w:lang w:val="en-US" w:eastAsia="zh-CN"/>
              </w:rPr>
              <w:t>/商务条款要求</w:t>
            </w:r>
          </w:p>
        </w:tc>
        <w:tc>
          <w:tcPr>
            <w:tcW w:w="2306" w:type="dxa"/>
            <w:noWrap w:val="0"/>
            <w:vAlign w:val="center"/>
          </w:tcPr>
          <w:p>
            <w:pPr>
              <w:pStyle w:val="10"/>
              <w:spacing w:line="400" w:lineRule="exact"/>
              <w:jc w:val="center"/>
              <w:rPr>
                <w:rFonts w:hAnsi="宋体"/>
                <w:color w:val="auto"/>
                <w:highlight w:val="none"/>
              </w:rPr>
            </w:pPr>
            <w:r>
              <w:rPr>
                <w:rFonts w:hint="eastAsia" w:hAnsi="宋体"/>
                <w:color w:val="auto"/>
                <w:highlight w:val="none"/>
              </w:rPr>
              <w:t>响应文件的响应情况及偏离情况</w:t>
            </w:r>
          </w:p>
        </w:tc>
        <w:tc>
          <w:tcPr>
            <w:tcW w:w="1855" w:type="dxa"/>
            <w:noWrap w:val="0"/>
            <w:vAlign w:val="center"/>
          </w:tcPr>
          <w:p>
            <w:pPr>
              <w:pStyle w:val="10"/>
              <w:spacing w:line="400" w:lineRule="exact"/>
              <w:jc w:val="center"/>
              <w:rPr>
                <w:color w:val="auto"/>
                <w:highlight w:val="none"/>
              </w:rPr>
            </w:pPr>
            <w:bookmarkStart w:id="46" w:name="_Toc254970560"/>
            <w:bookmarkStart w:id="47" w:name="_Toc254970701"/>
            <w:r>
              <w:rPr>
                <w:rFonts w:hint="eastAsia" w:hAnsi="宋体"/>
                <w:color w:val="auto"/>
                <w:highlight w:val="none"/>
              </w:rPr>
              <w:t>偏离情况</w:t>
            </w:r>
            <w:bookmarkEnd w:id="46"/>
            <w:bookmarkEnd w:id="47"/>
            <w:r>
              <w:rPr>
                <w:rFonts w:hint="eastAsia" w:hAnsi="宋体"/>
                <w:color w:val="auto"/>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noWrap w:val="0"/>
            <w:vAlign w:val="top"/>
          </w:tcPr>
          <w:p>
            <w:pPr>
              <w:pStyle w:val="10"/>
              <w:spacing w:line="600" w:lineRule="exact"/>
              <w:jc w:val="center"/>
              <w:rPr>
                <w:color w:val="auto"/>
                <w:highlight w:val="none"/>
              </w:rPr>
            </w:pPr>
          </w:p>
        </w:tc>
        <w:tc>
          <w:tcPr>
            <w:tcW w:w="1651" w:type="dxa"/>
            <w:noWrap w:val="0"/>
            <w:vAlign w:val="center"/>
          </w:tcPr>
          <w:p>
            <w:pPr>
              <w:pStyle w:val="10"/>
              <w:spacing w:line="600" w:lineRule="exact"/>
              <w:jc w:val="center"/>
              <w:rPr>
                <w:color w:val="auto"/>
                <w:highlight w:val="none"/>
              </w:rPr>
            </w:pPr>
          </w:p>
        </w:tc>
        <w:tc>
          <w:tcPr>
            <w:tcW w:w="3079" w:type="dxa"/>
            <w:noWrap w:val="0"/>
            <w:vAlign w:val="center"/>
          </w:tcPr>
          <w:p>
            <w:pPr>
              <w:pStyle w:val="10"/>
              <w:spacing w:line="600" w:lineRule="exact"/>
              <w:jc w:val="center"/>
              <w:rPr>
                <w:color w:val="auto"/>
                <w:highlight w:val="none"/>
              </w:rPr>
            </w:pPr>
          </w:p>
        </w:tc>
        <w:tc>
          <w:tcPr>
            <w:tcW w:w="2306" w:type="dxa"/>
            <w:noWrap w:val="0"/>
            <w:vAlign w:val="top"/>
          </w:tcPr>
          <w:p>
            <w:pPr>
              <w:pStyle w:val="10"/>
              <w:spacing w:line="600" w:lineRule="exact"/>
              <w:jc w:val="center"/>
              <w:rPr>
                <w:color w:val="auto"/>
                <w:highlight w:val="none"/>
              </w:rPr>
            </w:pPr>
          </w:p>
        </w:tc>
        <w:tc>
          <w:tcPr>
            <w:tcW w:w="1855" w:type="dxa"/>
            <w:noWrap w:val="0"/>
            <w:vAlign w:val="center"/>
          </w:tcPr>
          <w:p>
            <w:pPr>
              <w:pStyle w:val="10"/>
              <w:spacing w:line="600" w:lineRule="exact"/>
              <w:jc w:val="cente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noWrap w:val="0"/>
            <w:vAlign w:val="top"/>
          </w:tcPr>
          <w:p>
            <w:pPr>
              <w:pStyle w:val="10"/>
              <w:spacing w:line="600" w:lineRule="exact"/>
              <w:rPr>
                <w:color w:val="auto"/>
                <w:highlight w:val="none"/>
              </w:rPr>
            </w:pPr>
          </w:p>
        </w:tc>
        <w:tc>
          <w:tcPr>
            <w:tcW w:w="1651" w:type="dxa"/>
            <w:noWrap w:val="0"/>
            <w:vAlign w:val="top"/>
          </w:tcPr>
          <w:p>
            <w:pPr>
              <w:pStyle w:val="10"/>
              <w:spacing w:line="600" w:lineRule="exact"/>
              <w:rPr>
                <w:color w:val="auto"/>
                <w:highlight w:val="none"/>
              </w:rPr>
            </w:pPr>
          </w:p>
        </w:tc>
        <w:tc>
          <w:tcPr>
            <w:tcW w:w="3079" w:type="dxa"/>
            <w:noWrap w:val="0"/>
            <w:vAlign w:val="top"/>
          </w:tcPr>
          <w:p>
            <w:pPr>
              <w:pStyle w:val="10"/>
              <w:spacing w:line="600" w:lineRule="exact"/>
              <w:rPr>
                <w:color w:val="auto"/>
                <w:highlight w:val="none"/>
              </w:rPr>
            </w:pPr>
          </w:p>
        </w:tc>
        <w:tc>
          <w:tcPr>
            <w:tcW w:w="2306" w:type="dxa"/>
            <w:noWrap w:val="0"/>
            <w:vAlign w:val="top"/>
          </w:tcPr>
          <w:p>
            <w:pPr>
              <w:pStyle w:val="10"/>
              <w:spacing w:line="600" w:lineRule="exact"/>
              <w:rPr>
                <w:color w:val="auto"/>
                <w:highlight w:val="none"/>
              </w:rPr>
            </w:pPr>
          </w:p>
        </w:tc>
        <w:tc>
          <w:tcPr>
            <w:tcW w:w="1855" w:type="dxa"/>
            <w:noWrap w:val="0"/>
            <w:vAlign w:val="top"/>
          </w:tcPr>
          <w:p>
            <w:pPr>
              <w:pStyle w:val="10"/>
              <w:spacing w:line="600" w:lineRule="exact"/>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noWrap w:val="0"/>
            <w:vAlign w:val="top"/>
          </w:tcPr>
          <w:p>
            <w:pPr>
              <w:pStyle w:val="10"/>
              <w:spacing w:line="600" w:lineRule="exact"/>
              <w:rPr>
                <w:color w:val="auto"/>
                <w:highlight w:val="none"/>
              </w:rPr>
            </w:pPr>
          </w:p>
        </w:tc>
        <w:tc>
          <w:tcPr>
            <w:tcW w:w="1651" w:type="dxa"/>
            <w:noWrap w:val="0"/>
            <w:vAlign w:val="top"/>
          </w:tcPr>
          <w:p>
            <w:pPr>
              <w:pStyle w:val="10"/>
              <w:spacing w:line="600" w:lineRule="exact"/>
              <w:rPr>
                <w:color w:val="auto"/>
                <w:highlight w:val="none"/>
              </w:rPr>
            </w:pPr>
          </w:p>
        </w:tc>
        <w:tc>
          <w:tcPr>
            <w:tcW w:w="3079" w:type="dxa"/>
            <w:noWrap w:val="0"/>
            <w:vAlign w:val="top"/>
          </w:tcPr>
          <w:p>
            <w:pPr>
              <w:pStyle w:val="10"/>
              <w:spacing w:line="600" w:lineRule="exact"/>
              <w:rPr>
                <w:color w:val="auto"/>
                <w:highlight w:val="none"/>
              </w:rPr>
            </w:pPr>
          </w:p>
        </w:tc>
        <w:tc>
          <w:tcPr>
            <w:tcW w:w="2306" w:type="dxa"/>
            <w:noWrap w:val="0"/>
            <w:vAlign w:val="top"/>
          </w:tcPr>
          <w:p>
            <w:pPr>
              <w:pStyle w:val="10"/>
              <w:spacing w:line="600" w:lineRule="exact"/>
              <w:rPr>
                <w:color w:val="auto"/>
                <w:highlight w:val="none"/>
              </w:rPr>
            </w:pPr>
          </w:p>
        </w:tc>
        <w:tc>
          <w:tcPr>
            <w:tcW w:w="1855" w:type="dxa"/>
            <w:noWrap w:val="0"/>
            <w:vAlign w:val="top"/>
          </w:tcPr>
          <w:p>
            <w:pPr>
              <w:pStyle w:val="10"/>
              <w:spacing w:line="600" w:lineRule="exact"/>
              <w:rPr>
                <w:color w:val="auto"/>
                <w:highlight w:val="none"/>
              </w:rPr>
            </w:pPr>
          </w:p>
        </w:tc>
      </w:tr>
    </w:tbl>
    <w:p>
      <w:pPr>
        <w:pStyle w:val="10"/>
        <w:rPr>
          <w:color w:val="auto"/>
          <w:highlight w:val="none"/>
          <w:u w:val="single"/>
        </w:rPr>
      </w:pPr>
    </w:p>
    <w:p>
      <w:pPr>
        <w:snapToGrid w:val="0"/>
        <w:spacing w:line="400" w:lineRule="exact"/>
        <w:ind w:firstLine="4200" w:firstLineChars="2000"/>
        <w:outlineLvl w:val="4"/>
        <w:rPr>
          <w:rFonts w:ascii="宋体" w:hAnsi="宋体"/>
          <w:color w:val="auto"/>
          <w:szCs w:val="21"/>
          <w:highlight w:val="none"/>
          <w:u w:val="single"/>
        </w:rPr>
      </w:pPr>
      <w:r>
        <w:rPr>
          <w:rFonts w:hint="eastAsia" w:ascii="宋体" w:hAnsi="宋体"/>
          <w:color w:val="auto"/>
          <w:szCs w:val="21"/>
          <w:highlight w:val="none"/>
        </w:rPr>
        <w:t>供应商（公章，自然人除外）：</w:t>
      </w:r>
      <w:r>
        <w:rPr>
          <w:rFonts w:hint="eastAsia" w:ascii="宋体" w:hAnsi="宋体"/>
          <w:color w:val="auto"/>
          <w:szCs w:val="21"/>
          <w:highlight w:val="none"/>
          <w:u w:val="single"/>
        </w:rPr>
        <w:t xml:space="preserve">                                         </w:t>
      </w:r>
    </w:p>
    <w:p>
      <w:pPr>
        <w:snapToGrid w:val="0"/>
        <w:spacing w:line="400" w:lineRule="exact"/>
        <w:ind w:firstLine="420"/>
        <w:outlineLvl w:val="4"/>
        <w:rPr>
          <w:rFonts w:ascii="宋体" w:hAnsi="宋体"/>
          <w:color w:val="auto"/>
          <w:szCs w:val="21"/>
          <w:highlight w:val="none"/>
        </w:rPr>
      </w:pPr>
    </w:p>
    <w:p>
      <w:pPr>
        <w:pStyle w:val="10"/>
        <w:ind w:firstLine="3465" w:firstLineChars="1650"/>
        <w:rPr>
          <w:rFonts w:hAnsi="宋体"/>
          <w:color w:val="auto"/>
          <w:highlight w:val="none"/>
        </w:rPr>
      </w:pPr>
      <w:r>
        <w:rPr>
          <w:rFonts w:hint="eastAsia" w:hAnsi="宋体"/>
          <w:color w:val="auto"/>
          <w:highlight w:val="none"/>
        </w:rPr>
        <w:t>法定代表人或负责人或自然人或相应的委托代理人签字</w:t>
      </w:r>
    </w:p>
    <w:p>
      <w:pPr>
        <w:pStyle w:val="10"/>
        <w:ind w:firstLine="3465" w:firstLineChars="1650"/>
        <w:rPr>
          <w:color w:val="auto"/>
          <w:highlight w:val="none"/>
          <w:u w:val="single"/>
        </w:rPr>
      </w:pPr>
      <w:r>
        <w:rPr>
          <w:rFonts w:hint="eastAsia" w:hAnsi="宋体"/>
          <w:color w:val="auto"/>
          <w:highlight w:val="none"/>
        </w:rPr>
        <w:t>或盖章（属自然人的应在签名处加盖食指指印）：</w:t>
      </w:r>
      <w:r>
        <w:rPr>
          <w:rFonts w:hint="eastAsia" w:hAnsi="宋体"/>
          <w:color w:val="auto"/>
          <w:szCs w:val="21"/>
          <w:highlight w:val="none"/>
          <w:u w:val="single"/>
        </w:rPr>
        <w:t xml:space="preserve">        </w:t>
      </w:r>
      <w:r>
        <w:rPr>
          <w:rFonts w:hint="eastAsia"/>
          <w:color w:val="auto"/>
          <w:highlight w:val="none"/>
          <w:u w:val="single"/>
        </w:rPr>
        <w:t xml:space="preserve"> </w:t>
      </w:r>
    </w:p>
    <w:p>
      <w:pPr>
        <w:pStyle w:val="10"/>
        <w:ind w:firstLine="420"/>
        <w:rPr>
          <w:color w:val="auto"/>
          <w:highlight w:val="none"/>
          <w:u w:val="single"/>
        </w:rPr>
      </w:pPr>
    </w:p>
    <w:p>
      <w:pPr>
        <w:rPr>
          <w:color w:val="auto"/>
          <w:highlight w:val="none"/>
        </w:rPr>
      </w:pPr>
    </w:p>
    <w:p>
      <w:pPr>
        <w:rPr>
          <w:color w:val="auto"/>
          <w:highlight w:val="none"/>
        </w:rPr>
      </w:pPr>
    </w:p>
    <w:p>
      <w:pPr>
        <w:pStyle w:val="10"/>
        <w:rPr>
          <w:rFonts w:hint="eastAsia"/>
          <w:b/>
          <w:bCs/>
          <w:color w:val="auto"/>
          <w:sz w:val="32"/>
          <w:szCs w:val="32"/>
          <w:highlight w:val="none"/>
        </w:rPr>
      </w:pPr>
      <w:r>
        <w:rPr>
          <w:rFonts w:hint="eastAsia"/>
          <w:b/>
          <w:bCs/>
          <w:color w:val="auto"/>
          <w:sz w:val="32"/>
          <w:szCs w:val="32"/>
          <w:highlight w:val="none"/>
          <w:lang w:val="en-US" w:eastAsia="zh-CN"/>
        </w:rPr>
        <w:t>8</w:t>
      </w:r>
      <w:r>
        <w:rPr>
          <w:rFonts w:hint="eastAsia"/>
          <w:b/>
          <w:bCs/>
          <w:color w:val="auto"/>
          <w:sz w:val="32"/>
          <w:szCs w:val="32"/>
          <w:highlight w:val="none"/>
        </w:rPr>
        <w:t>、“货物采购需求”需提供的有效证明文件（按货物采购需求提供）；</w:t>
      </w:r>
    </w:p>
    <w:p>
      <w:pPr>
        <w:pStyle w:val="10"/>
        <w:rPr>
          <w:rFonts w:hint="eastAsia"/>
          <w:b/>
          <w:bCs/>
          <w:color w:val="auto"/>
          <w:sz w:val="32"/>
          <w:szCs w:val="32"/>
          <w:highlight w:val="none"/>
        </w:rPr>
      </w:pPr>
    </w:p>
    <w:p>
      <w:pPr>
        <w:pStyle w:val="10"/>
        <w:rPr>
          <w:rFonts w:hint="eastAsia"/>
          <w:b/>
          <w:bCs/>
          <w:color w:val="auto"/>
          <w:sz w:val="32"/>
          <w:szCs w:val="32"/>
          <w:highlight w:val="none"/>
        </w:rPr>
      </w:pPr>
    </w:p>
    <w:p>
      <w:pPr>
        <w:pStyle w:val="10"/>
        <w:rPr>
          <w:rFonts w:hint="eastAsia"/>
          <w:b/>
          <w:bCs/>
          <w:color w:val="auto"/>
          <w:sz w:val="32"/>
          <w:szCs w:val="32"/>
          <w:highlight w:val="none"/>
        </w:rPr>
      </w:pPr>
    </w:p>
    <w:p>
      <w:pPr>
        <w:pStyle w:val="10"/>
        <w:rPr>
          <w:rFonts w:hint="eastAsia"/>
          <w:b/>
          <w:bCs/>
          <w:color w:val="auto"/>
          <w:sz w:val="32"/>
          <w:szCs w:val="32"/>
          <w:highlight w:val="none"/>
        </w:rPr>
      </w:pPr>
    </w:p>
    <w:p>
      <w:pPr>
        <w:pStyle w:val="10"/>
        <w:rPr>
          <w:rFonts w:hint="eastAsia"/>
          <w:b/>
          <w:bCs/>
          <w:color w:val="auto"/>
          <w:sz w:val="32"/>
          <w:szCs w:val="32"/>
          <w:highlight w:val="none"/>
        </w:rPr>
      </w:pPr>
    </w:p>
    <w:p>
      <w:pPr>
        <w:pStyle w:val="10"/>
        <w:rPr>
          <w:rFonts w:hint="eastAsia"/>
          <w:b/>
          <w:bCs/>
          <w:color w:val="auto"/>
          <w:sz w:val="32"/>
          <w:szCs w:val="32"/>
          <w:highlight w:val="none"/>
        </w:rPr>
      </w:pPr>
      <w:r>
        <w:rPr>
          <w:rFonts w:hint="eastAsia"/>
          <w:b/>
          <w:bCs/>
          <w:color w:val="auto"/>
          <w:sz w:val="32"/>
          <w:szCs w:val="32"/>
          <w:highlight w:val="none"/>
          <w:lang w:val="en-US" w:eastAsia="zh-CN"/>
        </w:rPr>
        <w:t>9</w:t>
      </w:r>
      <w:r>
        <w:rPr>
          <w:rFonts w:hint="eastAsia"/>
          <w:b/>
          <w:bCs/>
          <w:color w:val="auto"/>
          <w:sz w:val="32"/>
          <w:szCs w:val="32"/>
          <w:highlight w:val="none"/>
        </w:rPr>
        <w:t>、 节能方面的资质证书复印件（如有，请提供）；</w:t>
      </w:r>
    </w:p>
    <w:p>
      <w:pPr>
        <w:pStyle w:val="10"/>
        <w:rPr>
          <w:rFonts w:hint="eastAsia"/>
          <w:b/>
          <w:bCs/>
          <w:color w:val="auto"/>
          <w:sz w:val="32"/>
          <w:szCs w:val="32"/>
          <w:highlight w:val="none"/>
        </w:rPr>
      </w:pPr>
    </w:p>
    <w:p>
      <w:pPr>
        <w:pStyle w:val="10"/>
        <w:rPr>
          <w:rFonts w:hint="eastAsia"/>
          <w:b/>
          <w:bCs/>
          <w:color w:val="auto"/>
          <w:sz w:val="32"/>
          <w:szCs w:val="32"/>
          <w:highlight w:val="none"/>
        </w:rPr>
      </w:pPr>
    </w:p>
    <w:p>
      <w:pPr>
        <w:pStyle w:val="10"/>
        <w:rPr>
          <w:rFonts w:hint="eastAsia"/>
          <w:b/>
          <w:bCs/>
          <w:color w:val="auto"/>
          <w:sz w:val="32"/>
          <w:szCs w:val="32"/>
          <w:highlight w:val="none"/>
        </w:rPr>
      </w:pPr>
    </w:p>
    <w:p>
      <w:pPr>
        <w:pStyle w:val="10"/>
        <w:rPr>
          <w:rFonts w:hint="eastAsia"/>
          <w:b/>
          <w:bCs/>
          <w:color w:val="auto"/>
          <w:sz w:val="32"/>
          <w:szCs w:val="32"/>
          <w:highlight w:val="none"/>
        </w:rPr>
      </w:pPr>
    </w:p>
    <w:p>
      <w:pPr>
        <w:pStyle w:val="10"/>
        <w:rPr>
          <w:rFonts w:hint="eastAsia"/>
          <w:color w:val="auto"/>
          <w:highlight w:val="none"/>
        </w:rPr>
      </w:pPr>
      <w:r>
        <w:rPr>
          <w:rFonts w:hint="eastAsia"/>
          <w:b/>
          <w:bCs/>
          <w:color w:val="auto"/>
          <w:sz w:val="32"/>
          <w:szCs w:val="32"/>
          <w:highlight w:val="none"/>
          <w:lang w:val="en-US" w:eastAsia="zh-CN"/>
        </w:rPr>
        <w:t>10</w:t>
      </w:r>
      <w:r>
        <w:rPr>
          <w:rFonts w:hint="eastAsia"/>
          <w:b/>
          <w:bCs/>
          <w:color w:val="auto"/>
          <w:sz w:val="32"/>
          <w:szCs w:val="32"/>
          <w:highlight w:val="none"/>
        </w:rPr>
        <w:t>、环保方面的其他资质证书复印件（如有，请提供）；</w:t>
      </w:r>
    </w:p>
    <w:p>
      <w:pPr>
        <w:pStyle w:val="10"/>
        <w:rPr>
          <w:rFonts w:hint="eastAsia"/>
          <w:color w:val="auto"/>
          <w:highlight w:val="none"/>
        </w:rPr>
      </w:pPr>
    </w:p>
    <w:p>
      <w:pPr>
        <w:pStyle w:val="10"/>
        <w:rPr>
          <w:rFonts w:hint="eastAsia"/>
          <w:color w:val="auto"/>
          <w:highlight w:val="none"/>
        </w:rPr>
      </w:pPr>
    </w:p>
    <w:p>
      <w:pPr>
        <w:pStyle w:val="10"/>
        <w:rPr>
          <w:rFonts w:hint="eastAsia"/>
          <w:color w:val="auto"/>
          <w:highlight w:val="none"/>
        </w:rPr>
      </w:pPr>
    </w:p>
    <w:p>
      <w:pPr>
        <w:pStyle w:val="10"/>
        <w:rPr>
          <w:rFonts w:hint="eastAsia"/>
          <w:color w:val="auto"/>
          <w:highlight w:val="none"/>
        </w:rPr>
      </w:pPr>
    </w:p>
    <w:p>
      <w:pPr>
        <w:pStyle w:val="10"/>
        <w:rPr>
          <w:rFonts w:hint="eastAsia"/>
          <w:color w:val="auto"/>
          <w:highlight w:val="none"/>
        </w:rPr>
      </w:pPr>
    </w:p>
    <w:p>
      <w:pPr>
        <w:pStyle w:val="10"/>
        <w:rPr>
          <w:rFonts w:hint="eastAsia"/>
          <w:color w:val="auto"/>
          <w:highlight w:val="none"/>
        </w:rPr>
      </w:pPr>
    </w:p>
    <w:p>
      <w:pPr>
        <w:pStyle w:val="10"/>
        <w:rPr>
          <w:rFonts w:hint="eastAsia"/>
          <w:color w:val="auto"/>
          <w:highlight w:val="none"/>
        </w:rPr>
      </w:pPr>
    </w:p>
    <w:p>
      <w:pPr>
        <w:pStyle w:val="10"/>
        <w:rPr>
          <w:rFonts w:hint="eastAsia"/>
          <w:color w:val="auto"/>
          <w:highlight w:val="none"/>
        </w:rPr>
      </w:pPr>
    </w:p>
    <w:p>
      <w:pPr>
        <w:pStyle w:val="10"/>
        <w:rPr>
          <w:rFonts w:hint="eastAsia"/>
          <w:color w:val="auto"/>
          <w:highlight w:val="none"/>
        </w:rPr>
      </w:pPr>
    </w:p>
    <w:p>
      <w:pPr>
        <w:pStyle w:val="10"/>
        <w:rPr>
          <w:rFonts w:hint="eastAsia"/>
          <w:color w:val="auto"/>
          <w:highlight w:val="none"/>
        </w:rPr>
      </w:pPr>
    </w:p>
    <w:p>
      <w:pPr>
        <w:pStyle w:val="10"/>
        <w:rPr>
          <w:b/>
          <w:bCs/>
          <w:color w:val="auto"/>
          <w:sz w:val="32"/>
          <w:szCs w:val="32"/>
          <w:highlight w:val="none"/>
        </w:rPr>
      </w:pPr>
      <w:r>
        <w:rPr>
          <w:rFonts w:hint="eastAsia"/>
          <w:b/>
          <w:bCs/>
          <w:color w:val="auto"/>
          <w:sz w:val="32"/>
          <w:szCs w:val="32"/>
          <w:highlight w:val="none"/>
          <w:lang w:val="en-US" w:eastAsia="zh-CN"/>
        </w:rPr>
        <w:t>11</w:t>
      </w:r>
      <w:r>
        <w:rPr>
          <w:rFonts w:hint="eastAsia"/>
          <w:b/>
          <w:bCs/>
          <w:color w:val="auto"/>
          <w:sz w:val="32"/>
          <w:szCs w:val="32"/>
          <w:highlight w:val="none"/>
        </w:rPr>
        <w:t>、供应商的售后服务承诺书（含交付使用期、免费保修期、技术服务、技术培训、售后服务的内容和措施等）（必须提供）；</w:t>
      </w:r>
    </w:p>
    <w:p>
      <w:pPr>
        <w:pStyle w:val="10"/>
        <w:rPr>
          <w:b/>
          <w:bCs/>
          <w:color w:val="auto"/>
          <w:sz w:val="32"/>
          <w:szCs w:val="32"/>
          <w:highlight w:val="none"/>
        </w:rPr>
      </w:pPr>
    </w:p>
    <w:p>
      <w:pPr>
        <w:pStyle w:val="10"/>
        <w:rPr>
          <w:b/>
          <w:bCs/>
          <w:color w:val="auto"/>
          <w:sz w:val="32"/>
          <w:szCs w:val="32"/>
          <w:highlight w:val="none"/>
        </w:rPr>
      </w:pPr>
    </w:p>
    <w:p>
      <w:pPr>
        <w:pStyle w:val="10"/>
        <w:ind w:firstLine="2731" w:firstLineChars="850"/>
        <w:rPr>
          <w:rFonts w:hint="eastAsia" w:hAnsi="宋体"/>
          <w:b/>
          <w:bCs/>
          <w:color w:val="auto"/>
          <w:sz w:val="32"/>
          <w:szCs w:val="32"/>
          <w:highlight w:val="none"/>
        </w:rPr>
      </w:pPr>
      <w:r>
        <w:rPr>
          <w:rFonts w:hint="eastAsia" w:hAnsi="宋体"/>
          <w:b/>
          <w:bCs/>
          <w:color w:val="auto"/>
          <w:sz w:val="32"/>
          <w:szCs w:val="32"/>
          <w:highlight w:val="none"/>
        </w:rPr>
        <w:t>售后服务承诺书（格式）</w:t>
      </w:r>
    </w:p>
    <w:p>
      <w:pPr>
        <w:pStyle w:val="10"/>
        <w:ind w:firstLine="2731" w:firstLineChars="850"/>
        <w:rPr>
          <w:rFonts w:hint="eastAsia" w:hAnsi="宋体"/>
          <w:b/>
          <w:bCs/>
          <w:color w:val="auto"/>
          <w:sz w:val="32"/>
          <w:szCs w:val="32"/>
          <w:highlight w:val="none"/>
        </w:rPr>
      </w:pPr>
    </w:p>
    <w:p>
      <w:pPr>
        <w:pStyle w:val="10"/>
        <w:ind w:firstLine="2731" w:firstLineChars="850"/>
        <w:rPr>
          <w:rFonts w:hint="eastAsia" w:hAnsi="宋体"/>
          <w:b/>
          <w:bCs/>
          <w:color w:val="auto"/>
          <w:sz w:val="32"/>
          <w:szCs w:val="32"/>
          <w:highlight w:val="none"/>
        </w:rPr>
      </w:pPr>
    </w:p>
    <w:p>
      <w:pPr>
        <w:snapToGrid w:val="0"/>
        <w:spacing w:line="400" w:lineRule="exact"/>
        <w:ind w:firstLine="3570" w:firstLineChars="1700"/>
        <w:outlineLvl w:val="4"/>
        <w:rPr>
          <w:rFonts w:hint="eastAsia" w:ascii="宋体" w:hAnsi="宋体"/>
          <w:color w:val="auto"/>
          <w:szCs w:val="21"/>
          <w:highlight w:val="none"/>
          <w:u w:val="single"/>
        </w:rPr>
      </w:pPr>
      <w:r>
        <w:rPr>
          <w:rFonts w:hint="eastAsia" w:ascii="宋体" w:hAnsi="宋体"/>
          <w:color w:val="auto"/>
          <w:szCs w:val="21"/>
          <w:highlight w:val="none"/>
          <w:lang w:eastAsia="zh-CN"/>
        </w:rPr>
        <w:t>供应商</w:t>
      </w:r>
      <w:r>
        <w:rPr>
          <w:rFonts w:hint="eastAsia" w:ascii="宋体" w:hAnsi="宋体"/>
          <w:color w:val="auto"/>
          <w:szCs w:val="21"/>
          <w:highlight w:val="none"/>
        </w:rPr>
        <w:t>（公章，自然人除外）：</w:t>
      </w:r>
      <w:r>
        <w:rPr>
          <w:rFonts w:hint="eastAsia" w:ascii="宋体" w:hAnsi="宋体"/>
          <w:color w:val="auto"/>
          <w:szCs w:val="21"/>
          <w:highlight w:val="none"/>
          <w:u w:val="single"/>
        </w:rPr>
        <w:t xml:space="preserve">                                         </w:t>
      </w:r>
    </w:p>
    <w:p>
      <w:pPr>
        <w:snapToGrid w:val="0"/>
        <w:spacing w:line="400" w:lineRule="exact"/>
        <w:ind w:firstLine="420"/>
        <w:outlineLvl w:val="4"/>
        <w:rPr>
          <w:rFonts w:hint="eastAsia" w:ascii="宋体" w:hAnsi="宋体"/>
          <w:color w:val="auto"/>
          <w:szCs w:val="21"/>
          <w:highlight w:val="none"/>
        </w:rPr>
      </w:pPr>
    </w:p>
    <w:p>
      <w:pPr>
        <w:pStyle w:val="10"/>
        <w:spacing w:line="400" w:lineRule="exact"/>
        <w:ind w:left="2940" w:leftChars="1400" w:firstLine="525" w:firstLineChars="250"/>
        <w:rPr>
          <w:rFonts w:hint="eastAsia" w:hAnsi="宋体"/>
          <w:color w:val="auto"/>
          <w:highlight w:val="none"/>
        </w:rPr>
      </w:pPr>
      <w:r>
        <w:rPr>
          <w:rFonts w:hint="eastAsia" w:hAnsi="宋体"/>
          <w:color w:val="auto"/>
          <w:highlight w:val="none"/>
        </w:rPr>
        <w:t>法定代表人、负责人、自然人或相应的委托代理人签字或盖章</w:t>
      </w:r>
    </w:p>
    <w:p>
      <w:pPr>
        <w:pStyle w:val="10"/>
        <w:spacing w:line="400" w:lineRule="exact"/>
        <w:ind w:left="2940" w:leftChars="1400" w:firstLine="525" w:firstLineChars="250"/>
        <w:rPr>
          <w:rFonts w:hint="eastAsia" w:hAnsi="宋体"/>
          <w:color w:val="auto"/>
          <w:highlight w:val="none"/>
          <w:u w:val="single"/>
        </w:rPr>
      </w:pPr>
      <w:r>
        <w:rPr>
          <w:rFonts w:hint="eastAsia" w:hAnsi="宋体"/>
          <w:color w:val="auto"/>
          <w:highlight w:val="none"/>
        </w:rPr>
        <w:t>（属自然人的应在签名处加盖食指指印）：</w:t>
      </w:r>
      <w:r>
        <w:rPr>
          <w:rFonts w:hint="eastAsia" w:hAnsi="宋体"/>
          <w:color w:val="auto"/>
          <w:szCs w:val="21"/>
          <w:highlight w:val="none"/>
          <w:u w:val="single"/>
        </w:rPr>
        <w:t xml:space="preserve">                </w:t>
      </w:r>
    </w:p>
    <w:p>
      <w:pPr>
        <w:pStyle w:val="10"/>
        <w:rPr>
          <w:rFonts w:hint="eastAsia" w:hAnsi="宋体"/>
          <w:b/>
          <w:bCs/>
          <w:color w:val="auto"/>
          <w:sz w:val="32"/>
          <w:szCs w:val="32"/>
          <w:highlight w:val="none"/>
        </w:rPr>
      </w:pPr>
    </w:p>
    <w:p>
      <w:pPr>
        <w:pStyle w:val="10"/>
        <w:rPr>
          <w:rFonts w:hint="eastAsia" w:hAnsi="宋体"/>
          <w:b/>
          <w:bCs/>
          <w:color w:val="auto"/>
          <w:sz w:val="32"/>
          <w:szCs w:val="32"/>
          <w:highlight w:val="none"/>
        </w:rPr>
      </w:pPr>
    </w:p>
    <w:p>
      <w:pPr>
        <w:pStyle w:val="10"/>
        <w:rPr>
          <w:rFonts w:hint="eastAsia" w:hAnsi="宋体"/>
          <w:b/>
          <w:bCs/>
          <w:color w:val="auto"/>
          <w:sz w:val="32"/>
          <w:szCs w:val="32"/>
          <w:highlight w:val="none"/>
        </w:rPr>
      </w:pPr>
    </w:p>
    <w:p>
      <w:pPr>
        <w:pStyle w:val="10"/>
        <w:rPr>
          <w:rFonts w:hint="eastAsia" w:hAnsi="宋体"/>
          <w:b/>
          <w:bCs/>
          <w:color w:val="auto"/>
          <w:sz w:val="32"/>
          <w:szCs w:val="32"/>
          <w:highlight w:val="none"/>
        </w:rPr>
      </w:pPr>
    </w:p>
    <w:p>
      <w:pPr>
        <w:pStyle w:val="10"/>
        <w:rPr>
          <w:rFonts w:hint="eastAsia" w:hAnsi="宋体"/>
          <w:b/>
          <w:bCs/>
          <w:color w:val="auto"/>
          <w:sz w:val="32"/>
          <w:szCs w:val="32"/>
          <w:highlight w:val="none"/>
        </w:rPr>
      </w:pPr>
    </w:p>
    <w:p>
      <w:pPr>
        <w:pStyle w:val="10"/>
        <w:spacing w:line="400" w:lineRule="exact"/>
        <w:rPr>
          <w:rFonts w:hint="eastAsia" w:hAnsi="宋体"/>
          <w:bCs/>
          <w:color w:val="auto"/>
          <w:highlight w:val="none"/>
        </w:rPr>
      </w:pPr>
    </w:p>
    <w:p>
      <w:pPr>
        <w:pStyle w:val="10"/>
        <w:rPr>
          <w:rFonts w:hint="eastAsia" w:hAnsi="宋体"/>
          <w:b/>
          <w:bCs/>
          <w:color w:val="auto"/>
          <w:sz w:val="32"/>
          <w:szCs w:val="32"/>
          <w:highlight w:val="none"/>
        </w:rPr>
      </w:pPr>
      <w:r>
        <w:rPr>
          <w:rFonts w:hint="eastAsia" w:hAnsi="宋体"/>
          <w:b/>
          <w:bCs/>
          <w:color w:val="auto"/>
          <w:sz w:val="32"/>
          <w:szCs w:val="32"/>
          <w:highlight w:val="none"/>
          <w:lang w:val="en-US" w:eastAsia="zh-CN"/>
        </w:rPr>
        <w:t>12</w:t>
      </w:r>
      <w:r>
        <w:rPr>
          <w:rFonts w:hint="eastAsia" w:hAnsi="宋体"/>
          <w:b/>
          <w:bCs/>
          <w:color w:val="auto"/>
          <w:sz w:val="32"/>
          <w:szCs w:val="32"/>
          <w:highlight w:val="none"/>
        </w:rPr>
        <w:t>、项目实施人员一览表【如有，请提供】</w:t>
      </w:r>
    </w:p>
    <w:p>
      <w:pPr>
        <w:pStyle w:val="10"/>
        <w:rPr>
          <w:rFonts w:hint="eastAsia" w:hAnsi="宋体"/>
          <w:b/>
          <w:bCs/>
          <w:color w:val="auto"/>
          <w:sz w:val="32"/>
          <w:szCs w:val="32"/>
          <w:highlight w:val="none"/>
        </w:rPr>
      </w:pPr>
    </w:p>
    <w:p>
      <w:pPr>
        <w:pStyle w:val="10"/>
        <w:rPr>
          <w:rFonts w:hint="eastAsia" w:hAnsi="宋体"/>
          <w:b/>
          <w:bCs/>
          <w:color w:val="auto"/>
          <w:sz w:val="32"/>
          <w:szCs w:val="32"/>
          <w:highlight w:val="none"/>
        </w:rPr>
      </w:pPr>
    </w:p>
    <w:p>
      <w:pPr>
        <w:pStyle w:val="10"/>
        <w:rPr>
          <w:rFonts w:hint="eastAsia" w:hAnsi="宋体"/>
          <w:b/>
          <w:bCs/>
          <w:color w:val="auto"/>
          <w:sz w:val="32"/>
          <w:szCs w:val="32"/>
          <w:highlight w:val="none"/>
        </w:rPr>
      </w:pPr>
    </w:p>
    <w:p>
      <w:pPr>
        <w:pStyle w:val="10"/>
        <w:rPr>
          <w:rFonts w:hint="eastAsia" w:hAnsi="宋体"/>
          <w:b/>
          <w:bCs/>
          <w:color w:val="auto"/>
          <w:sz w:val="32"/>
          <w:szCs w:val="32"/>
          <w:highlight w:val="none"/>
        </w:rPr>
      </w:pPr>
      <w:r>
        <w:rPr>
          <w:rFonts w:hint="eastAsia" w:hAnsi="宋体"/>
          <w:b/>
          <w:bCs/>
          <w:color w:val="auto"/>
          <w:sz w:val="32"/>
          <w:szCs w:val="32"/>
          <w:highlight w:val="none"/>
          <w:lang w:val="en-US" w:eastAsia="zh-CN"/>
        </w:rPr>
        <w:t>13</w:t>
      </w:r>
      <w:r>
        <w:rPr>
          <w:rFonts w:hint="eastAsia" w:hAnsi="宋体"/>
          <w:b/>
          <w:bCs/>
          <w:color w:val="auto"/>
          <w:sz w:val="32"/>
          <w:szCs w:val="32"/>
          <w:highlight w:val="none"/>
        </w:rPr>
        <w:t>、供应商</w:t>
      </w:r>
      <w:r>
        <w:rPr>
          <w:rFonts w:hint="eastAsia" w:hAnsi="宋体"/>
          <w:b/>
          <w:bCs/>
          <w:color w:val="auto"/>
          <w:sz w:val="32"/>
          <w:szCs w:val="32"/>
          <w:highlight w:val="none"/>
          <w:u w:val="single"/>
        </w:rPr>
        <w:t>201</w:t>
      </w:r>
      <w:r>
        <w:rPr>
          <w:rFonts w:hint="eastAsia" w:hAnsi="宋体"/>
          <w:b/>
          <w:bCs/>
          <w:color w:val="auto"/>
          <w:sz w:val="32"/>
          <w:szCs w:val="32"/>
          <w:highlight w:val="none"/>
          <w:u w:val="single"/>
          <w:lang w:val="en-US" w:eastAsia="zh-CN"/>
        </w:rPr>
        <w:t>9</w:t>
      </w:r>
      <w:r>
        <w:rPr>
          <w:rFonts w:hint="eastAsia" w:hAnsi="宋体"/>
          <w:b/>
          <w:bCs/>
          <w:color w:val="auto"/>
          <w:sz w:val="32"/>
          <w:szCs w:val="32"/>
          <w:highlight w:val="none"/>
          <w:u w:val="single"/>
        </w:rPr>
        <w:t>年</w:t>
      </w:r>
      <w:r>
        <w:rPr>
          <w:rFonts w:hint="eastAsia" w:hAnsi="宋体"/>
          <w:b/>
          <w:bCs/>
          <w:color w:val="auto"/>
          <w:sz w:val="32"/>
          <w:szCs w:val="32"/>
          <w:highlight w:val="none"/>
        </w:rPr>
        <w:t>度通过中介审计的有效财务审计报告复印件（如有，请提供）</w:t>
      </w:r>
    </w:p>
    <w:p>
      <w:pPr>
        <w:pStyle w:val="10"/>
        <w:rPr>
          <w:rFonts w:hint="eastAsia" w:hAnsi="宋体"/>
          <w:b/>
          <w:bCs/>
          <w:color w:val="auto"/>
          <w:sz w:val="32"/>
          <w:szCs w:val="32"/>
          <w:highlight w:val="none"/>
        </w:rPr>
      </w:pPr>
    </w:p>
    <w:p>
      <w:pPr>
        <w:pStyle w:val="10"/>
        <w:rPr>
          <w:rFonts w:hint="eastAsia" w:hAnsi="宋体"/>
          <w:b/>
          <w:bCs/>
          <w:color w:val="auto"/>
          <w:sz w:val="32"/>
          <w:szCs w:val="32"/>
          <w:highlight w:val="none"/>
        </w:rPr>
      </w:pPr>
    </w:p>
    <w:p>
      <w:pPr>
        <w:pStyle w:val="10"/>
        <w:rPr>
          <w:rFonts w:hint="eastAsia" w:hAnsi="宋体"/>
          <w:b/>
          <w:bCs/>
          <w:color w:val="auto"/>
          <w:sz w:val="32"/>
          <w:szCs w:val="32"/>
          <w:highlight w:val="none"/>
        </w:rPr>
      </w:pPr>
    </w:p>
    <w:p>
      <w:pPr>
        <w:pStyle w:val="10"/>
        <w:rPr>
          <w:rFonts w:hAnsi="宋体"/>
          <w:b/>
          <w:bCs/>
          <w:color w:val="auto"/>
          <w:sz w:val="32"/>
          <w:szCs w:val="32"/>
          <w:highlight w:val="none"/>
        </w:rPr>
      </w:pPr>
      <w:r>
        <w:rPr>
          <w:rFonts w:hint="eastAsia" w:hAnsi="宋体"/>
          <w:b/>
          <w:bCs/>
          <w:color w:val="auto"/>
          <w:sz w:val="32"/>
          <w:szCs w:val="32"/>
          <w:highlight w:val="none"/>
          <w:lang w:val="en-US" w:eastAsia="zh-CN"/>
        </w:rPr>
        <w:t>14</w:t>
      </w:r>
      <w:r>
        <w:rPr>
          <w:rFonts w:hint="eastAsia" w:hAnsi="宋体"/>
          <w:b/>
          <w:bCs/>
          <w:color w:val="auto"/>
          <w:sz w:val="32"/>
          <w:szCs w:val="32"/>
          <w:highlight w:val="none"/>
        </w:rPr>
        <w:t>、供应商</w:t>
      </w:r>
      <w:r>
        <w:rPr>
          <w:rFonts w:hint="eastAsia" w:hAnsi="宋体"/>
          <w:b/>
          <w:bCs/>
          <w:color w:val="auto"/>
          <w:sz w:val="32"/>
          <w:szCs w:val="32"/>
          <w:highlight w:val="none"/>
          <w:u w:val="single"/>
          <w:lang w:val="en-US" w:eastAsia="zh-CN"/>
        </w:rPr>
        <w:t>2017</w:t>
      </w:r>
      <w:r>
        <w:rPr>
          <w:rFonts w:hint="eastAsia" w:hAnsi="宋体"/>
          <w:b/>
          <w:bCs/>
          <w:color w:val="auto"/>
          <w:sz w:val="32"/>
          <w:szCs w:val="32"/>
          <w:highlight w:val="none"/>
          <w:u w:val="single"/>
        </w:rPr>
        <w:t>年</w:t>
      </w:r>
      <w:r>
        <w:rPr>
          <w:rFonts w:hint="eastAsia" w:hAnsi="宋体"/>
          <w:b/>
          <w:bCs/>
          <w:color w:val="auto"/>
          <w:sz w:val="32"/>
          <w:szCs w:val="32"/>
          <w:highlight w:val="none"/>
        </w:rPr>
        <w:t>以来具有同类产品的销售业绩的相关证明材料（无不良记录，以中标、成交通知书或签订的销售合同为准，并能清晰反映所销售的货物名称、种类、金额）（如有，请提供）；</w:t>
      </w:r>
    </w:p>
    <w:p>
      <w:pPr>
        <w:spacing w:line="500" w:lineRule="exact"/>
        <w:rPr>
          <w:rFonts w:hint="eastAsia" w:ascii="宋体" w:hAnsi="宋体"/>
          <w:b/>
          <w:color w:val="auto"/>
          <w:sz w:val="32"/>
          <w:szCs w:val="32"/>
          <w:highlight w:val="none"/>
        </w:rPr>
      </w:pPr>
      <w:r>
        <w:rPr>
          <w:rFonts w:hint="eastAsia" w:hAnsi="宋体"/>
          <w:b/>
          <w:bCs/>
          <w:color w:val="auto"/>
          <w:sz w:val="32"/>
          <w:szCs w:val="32"/>
          <w:highlight w:val="none"/>
        </w:rPr>
        <w:br w:type="page"/>
      </w:r>
      <w:r>
        <w:rPr>
          <w:rFonts w:hint="eastAsia" w:ascii="宋体" w:hAnsi="宋体"/>
          <w:b/>
          <w:color w:val="auto"/>
          <w:sz w:val="32"/>
          <w:szCs w:val="32"/>
          <w:highlight w:val="none"/>
          <w:lang w:val="en-US" w:eastAsia="zh-CN"/>
        </w:rPr>
        <w:t>15</w:t>
      </w:r>
      <w:r>
        <w:rPr>
          <w:rFonts w:hint="eastAsia" w:ascii="宋体" w:hAnsi="宋体"/>
          <w:b/>
          <w:color w:val="auto"/>
          <w:sz w:val="32"/>
          <w:szCs w:val="32"/>
          <w:highlight w:val="none"/>
        </w:rPr>
        <w:t>. 投标人所投产品为广西工业产品的，如实提供《广西工业产品声明函》（如有，请提供）</w:t>
      </w:r>
    </w:p>
    <w:p>
      <w:pPr>
        <w:pStyle w:val="10"/>
        <w:ind w:firstLine="472" w:firstLineChars="147"/>
        <w:rPr>
          <w:rFonts w:hint="eastAsia" w:hAnsi="宋体"/>
          <w:b/>
          <w:color w:val="auto"/>
          <w:sz w:val="32"/>
          <w:szCs w:val="32"/>
          <w:highlight w:val="none"/>
        </w:rPr>
      </w:pPr>
    </w:p>
    <w:p>
      <w:pPr>
        <w:pStyle w:val="10"/>
        <w:ind w:firstLine="472" w:firstLineChars="147"/>
        <w:rPr>
          <w:rFonts w:hAnsi="宋体"/>
          <w:b/>
          <w:color w:val="auto"/>
          <w:sz w:val="32"/>
          <w:szCs w:val="32"/>
          <w:highlight w:val="none"/>
        </w:rPr>
      </w:pPr>
      <w:r>
        <w:rPr>
          <w:rFonts w:hint="eastAsia" w:hAnsi="宋体"/>
          <w:b/>
          <w:color w:val="auto"/>
          <w:sz w:val="32"/>
          <w:szCs w:val="32"/>
          <w:highlight w:val="none"/>
        </w:rPr>
        <w:t>附件：        广西工业产品声明函</w:t>
      </w:r>
    </w:p>
    <w:p>
      <w:pPr>
        <w:pStyle w:val="10"/>
        <w:spacing w:line="460" w:lineRule="exact"/>
        <w:jc w:val="center"/>
        <w:rPr>
          <w:rFonts w:hint="eastAsia" w:hAnsi="宋体"/>
          <w:color w:val="auto"/>
          <w:sz w:val="24"/>
          <w:szCs w:val="24"/>
          <w:highlight w:val="none"/>
        </w:rPr>
      </w:pPr>
      <w:r>
        <w:rPr>
          <w:rFonts w:hint="eastAsia" w:hAnsi="宋体"/>
          <w:color w:val="auto"/>
          <w:sz w:val="24"/>
          <w:szCs w:val="24"/>
          <w:highlight w:val="none"/>
        </w:rPr>
        <w:t xml:space="preserve">      本公司郑重声明，根据《招标采购促进广西工业产品产销对接实施细则》的规定，</w:t>
      </w:r>
    </w:p>
    <w:p>
      <w:pPr>
        <w:pStyle w:val="10"/>
        <w:spacing w:line="460" w:lineRule="exact"/>
        <w:ind w:left="239" w:leftChars="114"/>
        <w:rPr>
          <w:rFonts w:hint="eastAsia" w:hAnsi="宋体"/>
          <w:color w:val="auto"/>
          <w:sz w:val="24"/>
          <w:szCs w:val="24"/>
          <w:highlight w:val="none"/>
        </w:rPr>
      </w:pPr>
      <w:r>
        <w:rPr>
          <w:rFonts w:hint="eastAsia" w:hAnsi="宋体"/>
          <w:color w:val="auto"/>
          <w:sz w:val="24"/>
          <w:szCs w:val="24"/>
          <w:highlight w:val="none"/>
        </w:rPr>
        <w:t>本公司在本次投标</w:t>
      </w:r>
      <w:r>
        <w:rPr>
          <w:rFonts w:hAnsi="宋体"/>
          <w:color w:val="auto"/>
          <w:sz w:val="24"/>
          <w:szCs w:val="24"/>
          <w:highlight w:val="none"/>
        </w:rPr>
        <w:t>/</w:t>
      </w:r>
      <w:r>
        <w:rPr>
          <w:rFonts w:hint="eastAsia" w:hAnsi="宋体"/>
          <w:color w:val="auto"/>
          <w:sz w:val="24"/>
          <w:szCs w:val="24"/>
          <w:highlight w:val="none"/>
        </w:rPr>
        <w:t>竞标中或者工程项目中提供的下述产品为广西工业产品，详情如下：</w:t>
      </w:r>
    </w:p>
    <w:tbl>
      <w:tblPr>
        <w:tblStyle w:val="15"/>
        <w:tblW w:w="918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0"/>
        <w:gridCol w:w="1617"/>
        <w:gridCol w:w="903"/>
        <w:gridCol w:w="2160"/>
        <w:gridCol w:w="1087"/>
        <w:gridCol w:w="10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720" w:type="dxa"/>
            <w:noWrap w:val="0"/>
            <w:vAlign w:val="center"/>
          </w:tcPr>
          <w:p>
            <w:pPr>
              <w:pStyle w:val="10"/>
              <w:spacing w:line="360" w:lineRule="exact"/>
              <w:jc w:val="center"/>
              <w:rPr>
                <w:rFonts w:hint="eastAsia" w:hAnsi="宋体"/>
                <w:color w:val="auto"/>
                <w:szCs w:val="21"/>
                <w:highlight w:val="none"/>
              </w:rPr>
            </w:pPr>
            <w:r>
              <w:rPr>
                <w:rFonts w:hint="eastAsia" w:hAnsi="宋体"/>
                <w:color w:val="auto"/>
                <w:szCs w:val="21"/>
                <w:highlight w:val="none"/>
              </w:rPr>
              <w:t>序号</w:t>
            </w:r>
          </w:p>
        </w:tc>
        <w:tc>
          <w:tcPr>
            <w:tcW w:w="1620" w:type="dxa"/>
            <w:noWrap w:val="0"/>
            <w:vAlign w:val="center"/>
          </w:tcPr>
          <w:p>
            <w:pPr>
              <w:pStyle w:val="10"/>
              <w:spacing w:line="360" w:lineRule="exact"/>
              <w:jc w:val="center"/>
              <w:rPr>
                <w:rFonts w:hint="eastAsia" w:hAnsi="宋体"/>
                <w:color w:val="auto"/>
                <w:szCs w:val="21"/>
                <w:highlight w:val="none"/>
              </w:rPr>
            </w:pPr>
            <w:r>
              <w:rPr>
                <w:rFonts w:hint="eastAsia" w:hAnsi="宋体"/>
                <w:color w:val="auto"/>
                <w:szCs w:val="21"/>
                <w:highlight w:val="none"/>
              </w:rPr>
              <w:t>产品名称</w:t>
            </w:r>
          </w:p>
        </w:tc>
        <w:tc>
          <w:tcPr>
            <w:tcW w:w="1617" w:type="dxa"/>
            <w:noWrap w:val="0"/>
            <w:vAlign w:val="center"/>
          </w:tcPr>
          <w:p>
            <w:pPr>
              <w:pStyle w:val="10"/>
              <w:spacing w:line="360" w:lineRule="exact"/>
              <w:jc w:val="center"/>
              <w:rPr>
                <w:rFonts w:hint="eastAsia" w:hAnsi="宋体"/>
                <w:color w:val="auto"/>
                <w:szCs w:val="21"/>
                <w:highlight w:val="none"/>
              </w:rPr>
            </w:pPr>
            <w:r>
              <w:rPr>
                <w:rFonts w:hint="eastAsia" w:hAnsi="宋体"/>
                <w:color w:val="auto"/>
                <w:szCs w:val="21"/>
                <w:highlight w:val="none"/>
              </w:rPr>
              <w:t>型号和规格</w:t>
            </w:r>
          </w:p>
        </w:tc>
        <w:tc>
          <w:tcPr>
            <w:tcW w:w="903" w:type="dxa"/>
            <w:noWrap w:val="0"/>
            <w:vAlign w:val="center"/>
          </w:tcPr>
          <w:p>
            <w:pPr>
              <w:pStyle w:val="10"/>
              <w:spacing w:line="360" w:lineRule="exact"/>
              <w:jc w:val="center"/>
              <w:rPr>
                <w:rFonts w:hint="eastAsia" w:hAnsi="宋体"/>
                <w:color w:val="auto"/>
                <w:szCs w:val="21"/>
                <w:highlight w:val="none"/>
              </w:rPr>
            </w:pPr>
            <w:r>
              <w:rPr>
                <w:rFonts w:hint="eastAsia" w:hAnsi="宋体"/>
                <w:color w:val="auto"/>
                <w:szCs w:val="21"/>
                <w:highlight w:val="none"/>
              </w:rPr>
              <w:t>数量</w:t>
            </w:r>
          </w:p>
        </w:tc>
        <w:tc>
          <w:tcPr>
            <w:tcW w:w="2160" w:type="dxa"/>
            <w:noWrap w:val="0"/>
            <w:vAlign w:val="center"/>
          </w:tcPr>
          <w:p>
            <w:pPr>
              <w:pStyle w:val="10"/>
              <w:spacing w:line="360" w:lineRule="exact"/>
              <w:jc w:val="center"/>
              <w:rPr>
                <w:rFonts w:hint="eastAsia" w:hAnsi="宋体"/>
                <w:color w:val="auto"/>
                <w:szCs w:val="21"/>
                <w:highlight w:val="none"/>
              </w:rPr>
            </w:pPr>
            <w:r>
              <w:rPr>
                <w:rFonts w:hint="eastAsia" w:hAnsi="宋体"/>
                <w:color w:val="auto"/>
                <w:szCs w:val="21"/>
                <w:highlight w:val="none"/>
              </w:rPr>
              <w:t>制造厂商及原产地</w:t>
            </w:r>
          </w:p>
        </w:tc>
        <w:tc>
          <w:tcPr>
            <w:tcW w:w="1087" w:type="dxa"/>
            <w:noWrap w:val="0"/>
            <w:vAlign w:val="center"/>
          </w:tcPr>
          <w:p>
            <w:pPr>
              <w:pStyle w:val="10"/>
              <w:spacing w:line="360" w:lineRule="exact"/>
              <w:jc w:val="center"/>
              <w:rPr>
                <w:rFonts w:hint="eastAsia" w:hAnsi="宋体"/>
                <w:color w:val="auto"/>
                <w:szCs w:val="21"/>
                <w:highlight w:val="none"/>
              </w:rPr>
            </w:pPr>
            <w:r>
              <w:rPr>
                <w:rFonts w:hint="eastAsia" w:hAnsi="宋体"/>
                <w:color w:val="auto"/>
                <w:szCs w:val="21"/>
                <w:highlight w:val="none"/>
              </w:rPr>
              <w:t>投标价</w:t>
            </w:r>
          </w:p>
        </w:tc>
        <w:tc>
          <w:tcPr>
            <w:tcW w:w="1073" w:type="dxa"/>
            <w:noWrap w:val="0"/>
            <w:vAlign w:val="center"/>
          </w:tcPr>
          <w:p>
            <w:pPr>
              <w:pStyle w:val="10"/>
              <w:spacing w:line="360" w:lineRule="exact"/>
              <w:jc w:val="center"/>
              <w:rPr>
                <w:rFonts w:hint="eastAsia" w:hAnsi="宋体"/>
                <w:color w:val="auto"/>
                <w:szCs w:val="21"/>
                <w:highlight w:val="none"/>
              </w:rPr>
            </w:pPr>
            <w:r>
              <w:rPr>
                <w:rFonts w:hint="eastAsia" w:hAnsi="宋体"/>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20" w:type="dxa"/>
            <w:noWrap w:val="0"/>
            <w:vAlign w:val="center"/>
          </w:tcPr>
          <w:p>
            <w:pPr>
              <w:pStyle w:val="10"/>
              <w:spacing w:line="360" w:lineRule="exact"/>
              <w:jc w:val="center"/>
              <w:rPr>
                <w:rFonts w:hint="eastAsia" w:hAnsi="宋体"/>
                <w:color w:val="auto"/>
                <w:szCs w:val="21"/>
                <w:highlight w:val="none"/>
              </w:rPr>
            </w:pPr>
            <w:r>
              <w:rPr>
                <w:rFonts w:hint="eastAsia" w:hAnsi="宋体"/>
                <w:color w:val="auto"/>
                <w:szCs w:val="21"/>
                <w:highlight w:val="none"/>
              </w:rPr>
              <w:t>1</w:t>
            </w:r>
          </w:p>
        </w:tc>
        <w:tc>
          <w:tcPr>
            <w:tcW w:w="1620" w:type="dxa"/>
            <w:noWrap w:val="0"/>
            <w:vAlign w:val="center"/>
          </w:tcPr>
          <w:p>
            <w:pPr>
              <w:pStyle w:val="10"/>
              <w:spacing w:line="360" w:lineRule="exact"/>
              <w:jc w:val="center"/>
              <w:rPr>
                <w:rFonts w:hint="eastAsia" w:hAnsi="宋体"/>
                <w:color w:val="auto"/>
                <w:szCs w:val="21"/>
                <w:highlight w:val="none"/>
              </w:rPr>
            </w:pPr>
          </w:p>
        </w:tc>
        <w:tc>
          <w:tcPr>
            <w:tcW w:w="1617" w:type="dxa"/>
            <w:noWrap w:val="0"/>
            <w:vAlign w:val="center"/>
          </w:tcPr>
          <w:p>
            <w:pPr>
              <w:pStyle w:val="10"/>
              <w:spacing w:line="360" w:lineRule="exact"/>
              <w:jc w:val="center"/>
              <w:rPr>
                <w:rFonts w:hint="eastAsia" w:hAnsi="宋体"/>
                <w:color w:val="auto"/>
                <w:szCs w:val="21"/>
                <w:highlight w:val="none"/>
              </w:rPr>
            </w:pPr>
          </w:p>
        </w:tc>
        <w:tc>
          <w:tcPr>
            <w:tcW w:w="903" w:type="dxa"/>
            <w:noWrap w:val="0"/>
            <w:vAlign w:val="center"/>
          </w:tcPr>
          <w:p>
            <w:pPr>
              <w:pStyle w:val="10"/>
              <w:spacing w:line="360" w:lineRule="exact"/>
              <w:jc w:val="center"/>
              <w:rPr>
                <w:rFonts w:hint="eastAsia" w:hAnsi="宋体"/>
                <w:color w:val="auto"/>
                <w:szCs w:val="21"/>
                <w:highlight w:val="none"/>
              </w:rPr>
            </w:pPr>
          </w:p>
        </w:tc>
        <w:tc>
          <w:tcPr>
            <w:tcW w:w="2160" w:type="dxa"/>
            <w:noWrap w:val="0"/>
            <w:vAlign w:val="center"/>
          </w:tcPr>
          <w:p>
            <w:pPr>
              <w:pStyle w:val="10"/>
              <w:spacing w:line="360" w:lineRule="exact"/>
              <w:jc w:val="center"/>
              <w:rPr>
                <w:rFonts w:hint="eastAsia" w:hAnsi="宋体"/>
                <w:color w:val="auto"/>
                <w:szCs w:val="21"/>
                <w:highlight w:val="none"/>
              </w:rPr>
            </w:pPr>
          </w:p>
        </w:tc>
        <w:tc>
          <w:tcPr>
            <w:tcW w:w="1087" w:type="dxa"/>
            <w:noWrap w:val="0"/>
            <w:vAlign w:val="center"/>
          </w:tcPr>
          <w:p>
            <w:pPr>
              <w:pStyle w:val="10"/>
              <w:spacing w:line="360" w:lineRule="exact"/>
              <w:jc w:val="center"/>
              <w:rPr>
                <w:rFonts w:hint="eastAsia" w:hAnsi="宋体"/>
                <w:color w:val="auto"/>
                <w:szCs w:val="21"/>
                <w:highlight w:val="none"/>
              </w:rPr>
            </w:pPr>
          </w:p>
        </w:tc>
        <w:tc>
          <w:tcPr>
            <w:tcW w:w="1073" w:type="dxa"/>
            <w:noWrap w:val="0"/>
            <w:vAlign w:val="center"/>
          </w:tcPr>
          <w:p>
            <w:pPr>
              <w:pStyle w:val="10"/>
              <w:spacing w:line="360" w:lineRule="exact"/>
              <w:jc w:val="center"/>
              <w:rPr>
                <w:rFonts w:hint="eastAsia"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20" w:type="dxa"/>
            <w:noWrap w:val="0"/>
            <w:vAlign w:val="center"/>
          </w:tcPr>
          <w:p>
            <w:pPr>
              <w:pStyle w:val="10"/>
              <w:spacing w:line="360" w:lineRule="exact"/>
              <w:jc w:val="center"/>
              <w:rPr>
                <w:rFonts w:hint="eastAsia" w:hAnsi="宋体"/>
                <w:color w:val="auto"/>
                <w:szCs w:val="21"/>
                <w:highlight w:val="none"/>
              </w:rPr>
            </w:pPr>
            <w:r>
              <w:rPr>
                <w:rFonts w:hint="eastAsia" w:hAnsi="宋体"/>
                <w:color w:val="auto"/>
                <w:szCs w:val="21"/>
                <w:highlight w:val="none"/>
              </w:rPr>
              <w:t>2</w:t>
            </w:r>
          </w:p>
        </w:tc>
        <w:tc>
          <w:tcPr>
            <w:tcW w:w="1620" w:type="dxa"/>
            <w:noWrap w:val="0"/>
            <w:vAlign w:val="center"/>
          </w:tcPr>
          <w:p>
            <w:pPr>
              <w:pStyle w:val="10"/>
              <w:spacing w:line="360" w:lineRule="exact"/>
              <w:jc w:val="center"/>
              <w:rPr>
                <w:rFonts w:hint="eastAsia" w:hAnsi="宋体"/>
                <w:color w:val="auto"/>
                <w:szCs w:val="21"/>
                <w:highlight w:val="none"/>
              </w:rPr>
            </w:pPr>
          </w:p>
        </w:tc>
        <w:tc>
          <w:tcPr>
            <w:tcW w:w="1617" w:type="dxa"/>
            <w:noWrap w:val="0"/>
            <w:vAlign w:val="center"/>
          </w:tcPr>
          <w:p>
            <w:pPr>
              <w:pStyle w:val="10"/>
              <w:spacing w:line="360" w:lineRule="exact"/>
              <w:jc w:val="center"/>
              <w:rPr>
                <w:rFonts w:hint="eastAsia" w:hAnsi="宋体"/>
                <w:color w:val="auto"/>
                <w:szCs w:val="21"/>
                <w:highlight w:val="none"/>
              </w:rPr>
            </w:pPr>
          </w:p>
        </w:tc>
        <w:tc>
          <w:tcPr>
            <w:tcW w:w="903" w:type="dxa"/>
            <w:noWrap w:val="0"/>
            <w:vAlign w:val="center"/>
          </w:tcPr>
          <w:p>
            <w:pPr>
              <w:pStyle w:val="10"/>
              <w:spacing w:line="360" w:lineRule="exact"/>
              <w:jc w:val="center"/>
              <w:rPr>
                <w:rFonts w:hint="eastAsia" w:hAnsi="宋体"/>
                <w:color w:val="auto"/>
                <w:szCs w:val="21"/>
                <w:highlight w:val="none"/>
              </w:rPr>
            </w:pPr>
          </w:p>
        </w:tc>
        <w:tc>
          <w:tcPr>
            <w:tcW w:w="2160" w:type="dxa"/>
            <w:noWrap w:val="0"/>
            <w:vAlign w:val="center"/>
          </w:tcPr>
          <w:p>
            <w:pPr>
              <w:pStyle w:val="10"/>
              <w:spacing w:line="360" w:lineRule="exact"/>
              <w:jc w:val="center"/>
              <w:rPr>
                <w:rFonts w:hint="eastAsia" w:hAnsi="宋体"/>
                <w:color w:val="auto"/>
                <w:szCs w:val="21"/>
                <w:highlight w:val="none"/>
              </w:rPr>
            </w:pPr>
          </w:p>
        </w:tc>
        <w:tc>
          <w:tcPr>
            <w:tcW w:w="1087" w:type="dxa"/>
            <w:noWrap w:val="0"/>
            <w:vAlign w:val="center"/>
          </w:tcPr>
          <w:p>
            <w:pPr>
              <w:pStyle w:val="10"/>
              <w:spacing w:line="360" w:lineRule="exact"/>
              <w:jc w:val="center"/>
              <w:rPr>
                <w:rFonts w:hint="eastAsia" w:hAnsi="宋体"/>
                <w:color w:val="auto"/>
                <w:szCs w:val="21"/>
                <w:highlight w:val="none"/>
              </w:rPr>
            </w:pPr>
          </w:p>
        </w:tc>
        <w:tc>
          <w:tcPr>
            <w:tcW w:w="1073" w:type="dxa"/>
            <w:noWrap w:val="0"/>
            <w:vAlign w:val="center"/>
          </w:tcPr>
          <w:p>
            <w:pPr>
              <w:pStyle w:val="10"/>
              <w:spacing w:line="360" w:lineRule="exact"/>
              <w:jc w:val="center"/>
              <w:rPr>
                <w:rFonts w:hint="eastAsia"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20" w:type="dxa"/>
            <w:noWrap w:val="0"/>
            <w:vAlign w:val="center"/>
          </w:tcPr>
          <w:p>
            <w:pPr>
              <w:pStyle w:val="10"/>
              <w:spacing w:line="360" w:lineRule="exact"/>
              <w:jc w:val="center"/>
              <w:rPr>
                <w:rFonts w:hint="eastAsia" w:hAnsi="宋体"/>
                <w:color w:val="auto"/>
                <w:szCs w:val="21"/>
                <w:highlight w:val="none"/>
              </w:rPr>
            </w:pPr>
            <w:r>
              <w:rPr>
                <w:rFonts w:hAnsi="宋体"/>
                <w:color w:val="auto"/>
                <w:szCs w:val="21"/>
                <w:highlight w:val="none"/>
              </w:rPr>
              <w:t>……</w:t>
            </w:r>
          </w:p>
        </w:tc>
        <w:tc>
          <w:tcPr>
            <w:tcW w:w="1620" w:type="dxa"/>
            <w:noWrap w:val="0"/>
            <w:vAlign w:val="center"/>
          </w:tcPr>
          <w:p>
            <w:pPr>
              <w:pStyle w:val="10"/>
              <w:spacing w:line="360" w:lineRule="exact"/>
              <w:jc w:val="center"/>
              <w:rPr>
                <w:rFonts w:hint="eastAsia" w:hAnsi="宋体"/>
                <w:color w:val="auto"/>
                <w:szCs w:val="21"/>
                <w:highlight w:val="none"/>
              </w:rPr>
            </w:pPr>
          </w:p>
        </w:tc>
        <w:tc>
          <w:tcPr>
            <w:tcW w:w="1617" w:type="dxa"/>
            <w:noWrap w:val="0"/>
            <w:vAlign w:val="center"/>
          </w:tcPr>
          <w:p>
            <w:pPr>
              <w:pStyle w:val="10"/>
              <w:spacing w:line="360" w:lineRule="exact"/>
              <w:jc w:val="center"/>
              <w:rPr>
                <w:rFonts w:hint="eastAsia" w:hAnsi="宋体"/>
                <w:color w:val="auto"/>
                <w:szCs w:val="21"/>
                <w:highlight w:val="none"/>
              </w:rPr>
            </w:pPr>
          </w:p>
        </w:tc>
        <w:tc>
          <w:tcPr>
            <w:tcW w:w="903" w:type="dxa"/>
            <w:noWrap w:val="0"/>
            <w:vAlign w:val="center"/>
          </w:tcPr>
          <w:p>
            <w:pPr>
              <w:pStyle w:val="10"/>
              <w:spacing w:line="360" w:lineRule="exact"/>
              <w:jc w:val="center"/>
              <w:rPr>
                <w:rFonts w:hint="eastAsia" w:hAnsi="宋体"/>
                <w:color w:val="auto"/>
                <w:szCs w:val="21"/>
                <w:highlight w:val="none"/>
              </w:rPr>
            </w:pPr>
          </w:p>
        </w:tc>
        <w:tc>
          <w:tcPr>
            <w:tcW w:w="2160" w:type="dxa"/>
            <w:noWrap w:val="0"/>
            <w:vAlign w:val="center"/>
          </w:tcPr>
          <w:p>
            <w:pPr>
              <w:pStyle w:val="10"/>
              <w:spacing w:line="360" w:lineRule="exact"/>
              <w:jc w:val="center"/>
              <w:rPr>
                <w:rFonts w:hint="eastAsia" w:hAnsi="宋体"/>
                <w:color w:val="auto"/>
                <w:szCs w:val="21"/>
                <w:highlight w:val="none"/>
              </w:rPr>
            </w:pPr>
          </w:p>
        </w:tc>
        <w:tc>
          <w:tcPr>
            <w:tcW w:w="1087" w:type="dxa"/>
            <w:noWrap w:val="0"/>
            <w:vAlign w:val="center"/>
          </w:tcPr>
          <w:p>
            <w:pPr>
              <w:pStyle w:val="10"/>
              <w:spacing w:line="360" w:lineRule="exact"/>
              <w:jc w:val="center"/>
              <w:rPr>
                <w:rFonts w:hint="eastAsia" w:hAnsi="宋体"/>
                <w:color w:val="auto"/>
                <w:szCs w:val="21"/>
                <w:highlight w:val="none"/>
              </w:rPr>
            </w:pPr>
          </w:p>
        </w:tc>
        <w:tc>
          <w:tcPr>
            <w:tcW w:w="1073" w:type="dxa"/>
            <w:noWrap w:val="0"/>
            <w:vAlign w:val="center"/>
          </w:tcPr>
          <w:p>
            <w:pPr>
              <w:pStyle w:val="10"/>
              <w:spacing w:line="360" w:lineRule="exact"/>
              <w:jc w:val="center"/>
              <w:rPr>
                <w:rFonts w:hint="eastAsia"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trPr>
        <w:tc>
          <w:tcPr>
            <w:tcW w:w="720" w:type="dxa"/>
            <w:noWrap w:val="0"/>
            <w:vAlign w:val="center"/>
          </w:tcPr>
          <w:p>
            <w:pPr>
              <w:pStyle w:val="10"/>
              <w:spacing w:line="360" w:lineRule="exact"/>
              <w:jc w:val="center"/>
              <w:rPr>
                <w:rFonts w:hint="eastAsia" w:hAnsi="宋体"/>
                <w:color w:val="auto"/>
                <w:szCs w:val="21"/>
                <w:highlight w:val="none"/>
              </w:rPr>
            </w:pPr>
          </w:p>
        </w:tc>
        <w:tc>
          <w:tcPr>
            <w:tcW w:w="1620" w:type="dxa"/>
            <w:noWrap w:val="0"/>
            <w:vAlign w:val="center"/>
          </w:tcPr>
          <w:p>
            <w:pPr>
              <w:pStyle w:val="10"/>
              <w:spacing w:line="360" w:lineRule="exact"/>
              <w:jc w:val="center"/>
              <w:rPr>
                <w:rFonts w:hint="eastAsia" w:hAnsi="宋体"/>
                <w:color w:val="auto"/>
                <w:szCs w:val="21"/>
                <w:highlight w:val="none"/>
              </w:rPr>
            </w:pPr>
            <w:r>
              <w:rPr>
                <w:rFonts w:hint="eastAsia" w:hAnsi="宋体"/>
                <w:color w:val="auto"/>
                <w:szCs w:val="21"/>
                <w:highlight w:val="none"/>
              </w:rPr>
              <w:t>广西工业产品合计价格</w:t>
            </w:r>
          </w:p>
        </w:tc>
        <w:tc>
          <w:tcPr>
            <w:tcW w:w="2520" w:type="dxa"/>
            <w:gridSpan w:val="2"/>
            <w:noWrap w:val="0"/>
            <w:vAlign w:val="center"/>
          </w:tcPr>
          <w:p>
            <w:pPr>
              <w:pStyle w:val="10"/>
              <w:spacing w:line="360" w:lineRule="exact"/>
              <w:jc w:val="center"/>
              <w:rPr>
                <w:rFonts w:hint="eastAsia" w:hAnsi="宋体"/>
                <w:color w:val="auto"/>
                <w:szCs w:val="21"/>
                <w:highlight w:val="none"/>
              </w:rPr>
            </w:pPr>
          </w:p>
        </w:tc>
        <w:tc>
          <w:tcPr>
            <w:tcW w:w="2160" w:type="dxa"/>
            <w:noWrap w:val="0"/>
            <w:vAlign w:val="center"/>
          </w:tcPr>
          <w:p>
            <w:pPr>
              <w:pStyle w:val="10"/>
              <w:spacing w:line="360" w:lineRule="exact"/>
              <w:jc w:val="center"/>
              <w:rPr>
                <w:rFonts w:hint="eastAsia" w:hAnsi="宋体"/>
                <w:color w:val="auto"/>
                <w:szCs w:val="21"/>
                <w:highlight w:val="none"/>
              </w:rPr>
            </w:pPr>
            <w:r>
              <w:rPr>
                <w:rFonts w:hint="eastAsia" w:hAnsi="宋体"/>
                <w:color w:val="auto"/>
                <w:szCs w:val="21"/>
                <w:highlight w:val="none"/>
              </w:rPr>
              <w:t>占投标总价比例</w:t>
            </w:r>
          </w:p>
        </w:tc>
        <w:tc>
          <w:tcPr>
            <w:tcW w:w="2160" w:type="dxa"/>
            <w:gridSpan w:val="2"/>
            <w:noWrap w:val="0"/>
            <w:vAlign w:val="center"/>
          </w:tcPr>
          <w:p>
            <w:pPr>
              <w:pStyle w:val="10"/>
              <w:spacing w:line="360" w:lineRule="exact"/>
              <w:jc w:val="center"/>
              <w:rPr>
                <w:rFonts w:hint="eastAsia" w:hAnsi="宋体"/>
                <w:color w:val="auto"/>
                <w:szCs w:val="21"/>
                <w:highlight w:val="none"/>
              </w:rPr>
            </w:pPr>
          </w:p>
        </w:tc>
      </w:tr>
    </w:tbl>
    <w:p>
      <w:pPr>
        <w:pStyle w:val="10"/>
        <w:spacing w:line="460" w:lineRule="exact"/>
        <w:ind w:left="239" w:leftChars="114" w:firstLine="720" w:firstLineChars="300"/>
        <w:rPr>
          <w:rFonts w:hAnsi="宋体"/>
          <w:color w:val="auto"/>
          <w:sz w:val="24"/>
          <w:szCs w:val="24"/>
          <w:highlight w:val="none"/>
        </w:rPr>
      </w:pPr>
      <w:r>
        <w:rPr>
          <w:rFonts w:hint="eastAsia" w:hAnsi="宋体"/>
          <w:color w:val="auto"/>
          <w:sz w:val="24"/>
          <w:szCs w:val="24"/>
          <w:highlight w:val="none"/>
        </w:rPr>
        <w:t>本公司对上述声明的真实性负责。如有虚假，将依法承担相应责任。</w:t>
      </w:r>
    </w:p>
    <w:p>
      <w:pPr>
        <w:pStyle w:val="10"/>
        <w:spacing w:line="460" w:lineRule="exact"/>
        <w:ind w:left="239" w:leftChars="114" w:firstLine="240" w:firstLineChars="100"/>
        <w:rPr>
          <w:rFonts w:hint="eastAsia" w:hAnsi="宋体"/>
          <w:color w:val="auto"/>
          <w:sz w:val="24"/>
          <w:szCs w:val="24"/>
          <w:highlight w:val="none"/>
        </w:rPr>
      </w:pPr>
    </w:p>
    <w:p>
      <w:pPr>
        <w:pStyle w:val="10"/>
        <w:spacing w:line="460" w:lineRule="exact"/>
        <w:ind w:left="239" w:leftChars="114" w:firstLine="6240" w:firstLineChars="2600"/>
        <w:rPr>
          <w:rFonts w:hAnsi="宋体"/>
          <w:color w:val="auto"/>
          <w:sz w:val="24"/>
          <w:szCs w:val="24"/>
          <w:highlight w:val="none"/>
        </w:rPr>
      </w:pPr>
      <w:r>
        <w:rPr>
          <w:rFonts w:hint="eastAsia" w:hAnsi="宋体"/>
          <w:color w:val="auto"/>
          <w:sz w:val="24"/>
          <w:szCs w:val="24"/>
          <w:highlight w:val="none"/>
        </w:rPr>
        <w:t>企业名称（盖章）：</w:t>
      </w:r>
    </w:p>
    <w:p>
      <w:pPr>
        <w:pStyle w:val="10"/>
        <w:spacing w:line="460" w:lineRule="exact"/>
        <w:ind w:left="239" w:leftChars="114" w:firstLine="6600" w:firstLineChars="2750"/>
        <w:rPr>
          <w:rFonts w:hint="eastAsia" w:hAnsi="宋体"/>
          <w:color w:val="auto"/>
          <w:sz w:val="24"/>
          <w:szCs w:val="24"/>
          <w:highlight w:val="none"/>
        </w:rPr>
      </w:pPr>
      <w:r>
        <w:rPr>
          <w:rFonts w:hint="eastAsia" w:hAnsi="宋体"/>
          <w:color w:val="auto"/>
          <w:sz w:val="24"/>
          <w:szCs w:val="24"/>
          <w:highlight w:val="none"/>
        </w:rPr>
        <w:t>日</w:t>
      </w:r>
      <w:r>
        <w:rPr>
          <w:rFonts w:hAnsi="宋体"/>
          <w:color w:val="auto"/>
          <w:sz w:val="24"/>
          <w:szCs w:val="24"/>
          <w:highlight w:val="none"/>
        </w:rPr>
        <w:t xml:space="preserve"> </w:t>
      </w:r>
      <w:r>
        <w:rPr>
          <w:rFonts w:hint="eastAsia" w:hAnsi="宋体"/>
          <w:color w:val="auto"/>
          <w:sz w:val="24"/>
          <w:szCs w:val="24"/>
          <w:highlight w:val="none"/>
        </w:rPr>
        <w:t>期：</w:t>
      </w:r>
    </w:p>
    <w:p>
      <w:pPr>
        <w:pStyle w:val="10"/>
        <w:rPr>
          <w:rFonts w:hint="eastAsia" w:hAnsi="宋体"/>
          <w:b/>
          <w:bCs/>
          <w:color w:val="auto"/>
          <w:sz w:val="32"/>
          <w:szCs w:val="32"/>
          <w:highlight w:val="none"/>
        </w:rPr>
      </w:pPr>
    </w:p>
    <w:p>
      <w:pPr>
        <w:pStyle w:val="10"/>
        <w:spacing w:line="400" w:lineRule="exact"/>
        <w:ind w:right="4" w:rightChars="2"/>
        <w:rPr>
          <w:rFonts w:hAnsi="宋体"/>
          <w:b/>
          <w:color w:val="auto"/>
          <w:sz w:val="32"/>
          <w:szCs w:val="32"/>
          <w:highlight w:val="none"/>
        </w:rPr>
      </w:pPr>
    </w:p>
    <w:p>
      <w:pPr>
        <w:pStyle w:val="10"/>
        <w:spacing w:line="400" w:lineRule="exact"/>
        <w:ind w:right="4" w:rightChars="2"/>
        <w:rPr>
          <w:rFonts w:hAnsi="宋体"/>
          <w:b/>
          <w:color w:val="auto"/>
          <w:sz w:val="32"/>
          <w:szCs w:val="32"/>
          <w:highlight w:val="none"/>
        </w:rPr>
      </w:pPr>
    </w:p>
    <w:p>
      <w:pPr>
        <w:pStyle w:val="10"/>
        <w:spacing w:line="400" w:lineRule="exact"/>
        <w:ind w:right="4" w:rightChars="2"/>
        <w:rPr>
          <w:rFonts w:hAnsi="宋体"/>
          <w:b/>
          <w:color w:val="auto"/>
          <w:sz w:val="32"/>
          <w:szCs w:val="32"/>
          <w:highlight w:val="none"/>
        </w:rPr>
      </w:pPr>
    </w:p>
    <w:p>
      <w:pPr>
        <w:pStyle w:val="6"/>
        <w:rPr>
          <w:rFonts w:hAnsi="宋体"/>
          <w:b/>
          <w:color w:val="auto"/>
          <w:sz w:val="32"/>
          <w:szCs w:val="32"/>
          <w:highlight w:val="none"/>
        </w:rPr>
      </w:pPr>
    </w:p>
    <w:p>
      <w:pPr>
        <w:rPr>
          <w:rFonts w:hAnsi="宋体"/>
          <w:b/>
          <w:color w:val="auto"/>
          <w:sz w:val="32"/>
          <w:szCs w:val="32"/>
          <w:highlight w:val="none"/>
        </w:rPr>
      </w:pPr>
    </w:p>
    <w:p>
      <w:pPr>
        <w:pStyle w:val="29"/>
        <w:rPr>
          <w:rFonts w:hAnsi="宋体"/>
          <w:b/>
          <w:color w:val="auto"/>
          <w:sz w:val="32"/>
          <w:szCs w:val="32"/>
          <w:highlight w:val="none"/>
        </w:rPr>
      </w:pPr>
    </w:p>
    <w:p>
      <w:pPr>
        <w:pStyle w:val="29"/>
        <w:rPr>
          <w:rFonts w:hAnsi="宋体"/>
          <w:b/>
          <w:color w:val="auto"/>
          <w:sz w:val="32"/>
          <w:szCs w:val="32"/>
          <w:highlight w:val="none"/>
        </w:rPr>
      </w:pPr>
    </w:p>
    <w:p>
      <w:pPr>
        <w:pStyle w:val="29"/>
        <w:rPr>
          <w:rFonts w:hAnsi="宋体"/>
          <w:b/>
          <w:color w:val="auto"/>
          <w:sz w:val="32"/>
          <w:szCs w:val="32"/>
          <w:highlight w:val="none"/>
        </w:rPr>
      </w:pPr>
    </w:p>
    <w:p>
      <w:pPr>
        <w:pStyle w:val="29"/>
        <w:rPr>
          <w:rFonts w:hAnsi="宋体"/>
          <w:b/>
          <w:color w:val="auto"/>
          <w:sz w:val="32"/>
          <w:szCs w:val="32"/>
          <w:highlight w:val="none"/>
        </w:rPr>
      </w:pPr>
    </w:p>
    <w:p>
      <w:pPr>
        <w:pStyle w:val="29"/>
        <w:rPr>
          <w:rFonts w:hAnsi="宋体"/>
          <w:b/>
          <w:color w:val="auto"/>
          <w:sz w:val="32"/>
          <w:szCs w:val="32"/>
          <w:highlight w:val="none"/>
        </w:rPr>
      </w:pPr>
    </w:p>
    <w:p>
      <w:pPr>
        <w:pStyle w:val="29"/>
        <w:rPr>
          <w:rFonts w:hAnsi="宋体"/>
          <w:b/>
          <w:color w:val="auto"/>
          <w:sz w:val="32"/>
          <w:szCs w:val="32"/>
          <w:highlight w:val="none"/>
        </w:rPr>
      </w:pPr>
    </w:p>
    <w:p>
      <w:pPr>
        <w:pStyle w:val="29"/>
        <w:rPr>
          <w:rFonts w:hAnsi="宋体"/>
          <w:b/>
          <w:color w:val="auto"/>
          <w:sz w:val="32"/>
          <w:szCs w:val="32"/>
          <w:highlight w:val="none"/>
        </w:rPr>
      </w:pPr>
    </w:p>
    <w:p>
      <w:pPr>
        <w:pStyle w:val="29"/>
        <w:rPr>
          <w:rFonts w:hAnsi="宋体"/>
          <w:b/>
          <w:color w:val="auto"/>
          <w:sz w:val="32"/>
          <w:szCs w:val="32"/>
          <w:highlight w:val="none"/>
        </w:rPr>
      </w:pPr>
    </w:p>
    <w:p>
      <w:pPr>
        <w:pStyle w:val="29"/>
        <w:rPr>
          <w:rFonts w:hAnsi="宋体"/>
          <w:b/>
          <w:color w:val="auto"/>
          <w:sz w:val="32"/>
          <w:szCs w:val="32"/>
          <w:highlight w:val="none"/>
        </w:rPr>
      </w:pPr>
    </w:p>
    <w:p>
      <w:pPr>
        <w:pStyle w:val="29"/>
        <w:rPr>
          <w:rFonts w:hAnsi="宋体"/>
          <w:b/>
          <w:color w:val="auto"/>
          <w:sz w:val="32"/>
          <w:szCs w:val="32"/>
          <w:highlight w:val="none"/>
        </w:rPr>
      </w:pPr>
    </w:p>
    <w:p>
      <w:pPr>
        <w:pStyle w:val="29"/>
        <w:rPr>
          <w:rFonts w:hAnsi="宋体"/>
          <w:b/>
          <w:color w:val="auto"/>
          <w:sz w:val="32"/>
          <w:szCs w:val="32"/>
          <w:highlight w:val="none"/>
        </w:rPr>
      </w:pPr>
    </w:p>
    <w:p>
      <w:pPr>
        <w:pStyle w:val="29"/>
        <w:rPr>
          <w:rFonts w:hAnsi="宋体"/>
          <w:b/>
          <w:color w:val="auto"/>
          <w:sz w:val="32"/>
          <w:szCs w:val="32"/>
          <w:highlight w:val="none"/>
        </w:rPr>
      </w:pPr>
    </w:p>
    <w:p>
      <w:pPr>
        <w:pStyle w:val="10"/>
        <w:spacing w:line="400" w:lineRule="exact"/>
        <w:ind w:right="4" w:rightChars="2"/>
        <w:rPr>
          <w:rFonts w:hint="eastAsia" w:hAnsi="宋体"/>
          <w:b/>
          <w:color w:val="auto"/>
          <w:sz w:val="32"/>
          <w:szCs w:val="32"/>
          <w:highlight w:val="none"/>
        </w:rPr>
      </w:pPr>
    </w:p>
    <w:p>
      <w:pPr>
        <w:pStyle w:val="10"/>
        <w:spacing w:line="400" w:lineRule="exact"/>
        <w:ind w:right="4" w:rightChars="2"/>
        <w:rPr>
          <w:rFonts w:hAnsi="宋体"/>
          <w:b/>
          <w:color w:val="auto"/>
          <w:sz w:val="32"/>
          <w:szCs w:val="32"/>
          <w:highlight w:val="none"/>
        </w:rPr>
      </w:pPr>
      <w:r>
        <w:rPr>
          <w:rFonts w:hint="eastAsia" w:hAnsi="宋体"/>
          <w:b/>
          <w:color w:val="auto"/>
          <w:sz w:val="32"/>
          <w:szCs w:val="32"/>
          <w:highlight w:val="none"/>
          <w:lang w:val="en-US" w:eastAsia="zh-CN"/>
        </w:rPr>
        <w:t>16</w:t>
      </w:r>
      <w:r>
        <w:rPr>
          <w:rFonts w:hint="eastAsia" w:hAnsi="宋体"/>
          <w:b/>
          <w:color w:val="auto"/>
          <w:sz w:val="32"/>
          <w:szCs w:val="32"/>
          <w:highlight w:val="none"/>
        </w:rPr>
        <w:t>、 如产品如属于小型、微型企业的，须提供《中小企业声明函》(格式见附件)；属监狱企业的，请提供由省级以上监狱管理局、戒毒管理局（含新疆生产建设兵团）出具的属于监狱企业的证明文件复印件；（如有，请提供）。</w:t>
      </w:r>
    </w:p>
    <w:p>
      <w:pPr>
        <w:spacing w:before="65"/>
        <w:ind w:left="0" w:right="112" w:firstLine="0"/>
        <w:jc w:val="center"/>
        <w:rPr>
          <w:rFonts w:hint="eastAsia" w:ascii="宋体" w:hAnsi="宋体" w:eastAsia="宋体" w:cs="宋体"/>
          <w:b w:val="0"/>
          <w:bCs/>
          <w:color w:val="auto"/>
          <w:sz w:val="28"/>
          <w:szCs w:val="28"/>
          <w:highlight w:val="none"/>
        </w:rPr>
      </w:pPr>
      <w:r>
        <w:rPr>
          <w:rFonts w:hint="eastAsia" w:ascii="宋体" w:hAnsi="宋体"/>
          <w:b/>
          <w:bCs/>
          <w:color w:val="auto"/>
          <w:sz w:val="32"/>
          <w:szCs w:val="32"/>
          <w:highlight w:val="none"/>
          <w:lang w:val="en-US" w:eastAsia="zh-CN"/>
        </w:rPr>
        <w:t xml:space="preserve"> </w:t>
      </w:r>
      <w:r>
        <w:rPr>
          <w:rFonts w:hint="eastAsia" w:ascii="宋体" w:hAnsi="宋体" w:eastAsia="宋体" w:cs="宋体"/>
          <w:b w:val="0"/>
          <w:bCs/>
          <w:color w:val="auto"/>
          <w:sz w:val="28"/>
          <w:szCs w:val="28"/>
          <w:highlight w:val="none"/>
        </w:rPr>
        <w:t>中小企业声明函</w:t>
      </w:r>
    </w:p>
    <w:p>
      <w:pPr>
        <w:pStyle w:val="9"/>
        <w:spacing w:before="1"/>
        <w:rPr>
          <w:rFonts w:hint="eastAsia" w:ascii="宋体" w:hAnsi="宋体" w:eastAsia="宋体" w:cs="宋体"/>
          <w:b w:val="0"/>
          <w:bCs/>
          <w:color w:val="auto"/>
          <w:sz w:val="21"/>
          <w:szCs w:val="21"/>
          <w:highlight w:val="none"/>
        </w:rPr>
      </w:pPr>
    </w:p>
    <w:p>
      <w:pPr>
        <w:pStyle w:val="5"/>
        <w:pageBreakBefore w:val="0"/>
        <w:widowControl w:val="0"/>
        <w:tabs>
          <w:tab w:val="left" w:leader="underscore" w:pos="3584"/>
        </w:tabs>
        <w:kinsoku/>
        <w:wordWrap/>
        <w:overflowPunct/>
        <w:topLinePunct w:val="0"/>
        <w:autoSpaceDE/>
        <w:autoSpaceDN/>
        <w:bidi w:val="0"/>
        <w:adjustRightInd/>
        <w:snapToGrid/>
        <w:spacing w:line="400" w:lineRule="exact"/>
        <w:ind w:right="415" w:firstLine="504"/>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14"/>
          <w:sz w:val="21"/>
          <w:szCs w:val="21"/>
          <w:highlight w:val="none"/>
        </w:rPr>
        <w:t>本</w:t>
      </w:r>
      <w:r>
        <w:rPr>
          <w:rFonts w:hint="eastAsia" w:ascii="宋体" w:hAnsi="宋体" w:eastAsia="宋体" w:cs="宋体"/>
          <w:b w:val="0"/>
          <w:bCs/>
          <w:color w:val="auto"/>
          <w:spacing w:val="11"/>
          <w:sz w:val="21"/>
          <w:szCs w:val="21"/>
          <w:highlight w:val="none"/>
        </w:rPr>
        <w:t>公</w:t>
      </w:r>
      <w:r>
        <w:rPr>
          <w:rFonts w:hint="eastAsia" w:ascii="宋体" w:hAnsi="宋体" w:eastAsia="宋体" w:cs="宋体"/>
          <w:b w:val="0"/>
          <w:bCs/>
          <w:color w:val="auto"/>
          <w:spacing w:val="14"/>
          <w:sz w:val="21"/>
          <w:szCs w:val="21"/>
          <w:highlight w:val="none"/>
        </w:rPr>
        <w:t>司</w:t>
      </w:r>
      <w:r>
        <w:rPr>
          <w:rFonts w:hint="eastAsia" w:ascii="宋体" w:hAnsi="宋体" w:eastAsia="宋体" w:cs="宋体"/>
          <w:b w:val="0"/>
          <w:bCs/>
          <w:color w:val="auto"/>
          <w:spacing w:val="11"/>
          <w:sz w:val="21"/>
          <w:szCs w:val="21"/>
          <w:highlight w:val="none"/>
        </w:rPr>
        <w:t>郑重</w:t>
      </w:r>
      <w:r>
        <w:rPr>
          <w:rFonts w:hint="eastAsia" w:ascii="宋体" w:hAnsi="宋体" w:eastAsia="宋体" w:cs="宋体"/>
          <w:b w:val="0"/>
          <w:bCs/>
          <w:color w:val="auto"/>
          <w:spacing w:val="14"/>
          <w:sz w:val="21"/>
          <w:szCs w:val="21"/>
          <w:highlight w:val="none"/>
        </w:rPr>
        <w:t>声</w:t>
      </w:r>
      <w:r>
        <w:rPr>
          <w:rFonts w:hint="eastAsia" w:ascii="宋体" w:hAnsi="宋体" w:eastAsia="宋体" w:cs="宋体"/>
          <w:b w:val="0"/>
          <w:bCs/>
          <w:color w:val="auto"/>
          <w:spacing w:val="11"/>
          <w:sz w:val="21"/>
          <w:szCs w:val="21"/>
          <w:highlight w:val="none"/>
        </w:rPr>
        <w:t>明</w:t>
      </w:r>
      <w:r>
        <w:rPr>
          <w:rFonts w:hint="eastAsia" w:ascii="宋体" w:hAnsi="宋体" w:eastAsia="宋体" w:cs="宋体"/>
          <w:b w:val="0"/>
          <w:bCs/>
          <w:color w:val="auto"/>
          <w:spacing w:val="14"/>
          <w:sz w:val="21"/>
          <w:szCs w:val="21"/>
          <w:highlight w:val="none"/>
        </w:rPr>
        <w:t>，</w:t>
      </w:r>
      <w:r>
        <w:rPr>
          <w:rFonts w:hint="eastAsia" w:ascii="宋体" w:hAnsi="宋体" w:eastAsia="宋体" w:cs="宋体"/>
          <w:b w:val="0"/>
          <w:bCs/>
          <w:color w:val="auto"/>
          <w:spacing w:val="11"/>
          <w:sz w:val="21"/>
          <w:szCs w:val="21"/>
          <w:highlight w:val="none"/>
        </w:rPr>
        <w:t>根</w:t>
      </w:r>
      <w:r>
        <w:rPr>
          <w:rFonts w:hint="eastAsia" w:ascii="宋体" w:hAnsi="宋体" w:eastAsia="宋体" w:cs="宋体"/>
          <w:b w:val="0"/>
          <w:bCs/>
          <w:color w:val="auto"/>
          <w:spacing w:val="14"/>
          <w:sz w:val="21"/>
          <w:szCs w:val="21"/>
          <w:highlight w:val="none"/>
        </w:rPr>
        <w:t>据</w:t>
      </w:r>
      <w:r>
        <w:rPr>
          <w:rFonts w:hint="eastAsia" w:ascii="宋体" w:hAnsi="宋体" w:eastAsia="宋体" w:cs="宋体"/>
          <w:b w:val="0"/>
          <w:bCs/>
          <w:color w:val="auto"/>
          <w:spacing w:val="11"/>
          <w:sz w:val="21"/>
          <w:szCs w:val="21"/>
          <w:highlight w:val="none"/>
        </w:rPr>
        <w:t>《</w:t>
      </w:r>
      <w:r>
        <w:rPr>
          <w:rFonts w:hint="eastAsia" w:ascii="宋体" w:hAnsi="宋体" w:eastAsia="宋体" w:cs="宋体"/>
          <w:b w:val="0"/>
          <w:bCs/>
          <w:color w:val="auto"/>
          <w:spacing w:val="14"/>
          <w:sz w:val="21"/>
          <w:szCs w:val="21"/>
          <w:highlight w:val="none"/>
        </w:rPr>
        <w:t>政</w:t>
      </w:r>
      <w:r>
        <w:rPr>
          <w:rFonts w:hint="eastAsia" w:ascii="宋体" w:hAnsi="宋体" w:eastAsia="宋体" w:cs="宋体"/>
          <w:b w:val="0"/>
          <w:bCs/>
          <w:color w:val="auto"/>
          <w:spacing w:val="11"/>
          <w:sz w:val="21"/>
          <w:szCs w:val="21"/>
          <w:highlight w:val="none"/>
        </w:rPr>
        <w:t>府采</w:t>
      </w:r>
      <w:r>
        <w:rPr>
          <w:rFonts w:hint="eastAsia" w:ascii="宋体" w:hAnsi="宋体" w:eastAsia="宋体" w:cs="宋体"/>
          <w:b w:val="0"/>
          <w:bCs/>
          <w:color w:val="auto"/>
          <w:spacing w:val="14"/>
          <w:sz w:val="21"/>
          <w:szCs w:val="21"/>
          <w:highlight w:val="none"/>
        </w:rPr>
        <w:t>购</w:t>
      </w:r>
      <w:r>
        <w:rPr>
          <w:rFonts w:hint="eastAsia" w:ascii="宋体" w:hAnsi="宋体" w:eastAsia="宋体" w:cs="宋体"/>
          <w:b w:val="0"/>
          <w:bCs/>
          <w:color w:val="auto"/>
          <w:spacing w:val="11"/>
          <w:sz w:val="21"/>
          <w:szCs w:val="21"/>
          <w:highlight w:val="none"/>
        </w:rPr>
        <w:t>促</w:t>
      </w:r>
      <w:r>
        <w:rPr>
          <w:rFonts w:hint="eastAsia" w:ascii="宋体" w:hAnsi="宋体" w:eastAsia="宋体" w:cs="宋体"/>
          <w:b w:val="0"/>
          <w:bCs/>
          <w:color w:val="auto"/>
          <w:spacing w:val="14"/>
          <w:sz w:val="21"/>
          <w:szCs w:val="21"/>
          <w:highlight w:val="none"/>
        </w:rPr>
        <w:t>进</w:t>
      </w:r>
      <w:r>
        <w:rPr>
          <w:rFonts w:hint="eastAsia" w:ascii="宋体" w:hAnsi="宋体" w:eastAsia="宋体" w:cs="宋体"/>
          <w:b w:val="0"/>
          <w:bCs/>
          <w:color w:val="auto"/>
          <w:spacing w:val="11"/>
          <w:sz w:val="21"/>
          <w:szCs w:val="21"/>
          <w:highlight w:val="none"/>
        </w:rPr>
        <w:t>中</w:t>
      </w:r>
      <w:r>
        <w:rPr>
          <w:rFonts w:hint="eastAsia" w:ascii="宋体" w:hAnsi="宋体" w:eastAsia="宋体" w:cs="宋体"/>
          <w:b w:val="0"/>
          <w:bCs/>
          <w:color w:val="auto"/>
          <w:spacing w:val="14"/>
          <w:sz w:val="21"/>
          <w:szCs w:val="21"/>
          <w:highlight w:val="none"/>
        </w:rPr>
        <w:t>小</w:t>
      </w:r>
      <w:r>
        <w:rPr>
          <w:rFonts w:hint="eastAsia" w:ascii="宋体" w:hAnsi="宋体" w:eastAsia="宋体" w:cs="宋体"/>
          <w:b w:val="0"/>
          <w:bCs/>
          <w:color w:val="auto"/>
          <w:spacing w:val="11"/>
          <w:sz w:val="21"/>
          <w:szCs w:val="21"/>
          <w:highlight w:val="none"/>
        </w:rPr>
        <w:t>企</w:t>
      </w:r>
      <w:r>
        <w:rPr>
          <w:rFonts w:hint="eastAsia" w:ascii="宋体" w:hAnsi="宋体" w:eastAsia="宋体" w:cs="宋体"/>
          <w:b w:val="0"/>
          <w:bCs/>
          <w:color w:val="auto"/>
          <w:spacing w:val="14"/>
          <w:sz w:val="21"/>
          <w:szCs w:val="21"/>
          <w:highlight w:val="none"/>
        </w:rPr>
        <w:t>业</w:t>
      </w:r>
      <w:r>
        <w:rPr>
          <w:rFonts w:hint="eastAsia" w:ascii="宋体" w:hAnsi="宋体" w:eastAsia="宋体" w:cs="宋体"/>
          <w:b w:val="0"/>
          <w:bCs/>
          <w:color w:val="auto"/>
          <w:spacing w:val="11"/>
          <w:sz w:val="21"/>
          <w:szCs w:val="21"/>
          <w:highlight w:val="none"/>
        </w:rPr>
        <w:t>发展</w:t>
      </w:r>
      <w:r>
        <w:rPr>
          <w:rFonts w:hint="eastAsia" w:ascii="宋体" w:hAnsi="宋体" w:eastAsia="宋体" w:cs="宋体"/>
          <w:b w:val="0"/>
          <w:bCs/>
          <w:color w:val="auto"/>
          <w:spacing w:val="14"/>
          <w:sz w:val="21"/>
          <w:szCs w:val="21"/>
          <w:highlight w:val="none"/>
        </w:rPr>
        <w:t>暂</w:t>
      </w:r>
      <w:r>
        <w:rPr>
          <w:rFonts w:hint="eastAsia" w:ascii="宋体" w:hAnsi="宋体" w:eastAsia="宋体" w:cs="宋体"/>
          <w:b w:val="0"/>
          <w:bCs/>
          <w:color w:val="auto"/>
          <w:spacing w:val="11"/>
          <w:sz w:val="21"/>
          <w:szCs w:val="21"/>
          <w:highlight w:val="none"/>
        </w:rPr>
        <w:t>行</w:t>
      </w:r>
      <w:r>
        <w:rPr>
          <w:rFonts w:hint="eastAsia" w:ascii="宋体" w:hAnsi="宋体" w:eastAsia="宋体" w:cs="宋体"/>
          <w:b w:val="0"/>
          <w:bCs/>
          <w:color w:val="auto"/>
          <w:spacing w:val="14"/>
          <w:sz w:val="21"/>
          <w:szCs w:val="21"/>
          <w:highlight w:val="none"/>
        </w:rPr>
        <w:t>办</w:t>
      </w:r>
      <w:r>
        <w:rPr>
          <w:rFonts w:hint="eastAsia" w:ascii="宋体" w:hAnsi="宋体" w:eastAsia="宋体" w:cs="宋体"/>
          <w:b w:val="0"/>
          <w:bCs/>
          <w:color w:val="auto"/>
          <w:spacing w:val="11"/>
          <w:sz w:val="21"/>
          <w:szCs w:val="21"/>
          <w:highlight w:val="none"/>
        </w:rPr>
        <w:t>法</w:t>
      </w:r>
      <w:r>
        <w:rPr>
          <w:rFonts w:hint="eastAsia" w:ascii="宋体" w:hAnsi="宋体" w:eastAsia="宋体" w:cs="宋体"/>
          <w:b w:val="0"/>
          <w:bCs/>
          <w:color w:val="auto"/>
          <w:spacing w:val="-113"/>
          <w:sz w:val="21"/>
          <w:szCs w:val="21"/>
          <w:highlight w:val="none"/>
        </w:rPr>
        <w:t>》</w:t>
      </w:r>
      <w:r>
        <w:rPr>
          <w:rFonts w:hint="eastAsia" w:ascii="宋体" w:hAnsi="宋体" w:eastAsia="宋体" w:cs="宋体"/>
          <w:b w:val="0"/>
          <w:bCs/>
          <w:color w:val="auto"/>
          <w:spacing w:val="14"/>
          <w:sz w:val="21"/>
          <w:szCs w:val="21"/>
          <w:highlight w:val="none"/>
        </w:rPr>
        <w:t>（</w:t>
      </w:r>
      <w:r>
        <w:rPr>
          <w:rFonts w:hint="eastAsia" w:ascii="宋体" w:hAnsi="宋体" w:eastAsia="宋体" w:cs="宋体"/>
          <w:b w:val="0"/>
          <w:bCs/>
          <w:color w:val="auto"/>
          <w:spacing w:val="11"/>
          <w:sz w:val="21"/>
          <w:szCs w:val="21"/>
          <w:highlight w:val="none"/>
        </w:rPr>
        <w:t>财</w:t>
      </w:r>
      <w:r>
        <w:rPr>
          <w:rFonts w:hint="eastAsia" w:ascii="宋体" w:hAnsi="宋体" w:eastAsia="宋体" w:cs="宋体"/>
          <w:b w:val="0"/>
          <w:bCs/>
          <w:color w:val="auto"/>
          <w:spacing w:val="22"/>
          <w:sz w:val="21"/>
          <w:szCs w:val="21"/>
          <w:highlight w:val="none"/>
        </w:rPr>
        <w:t>库</w:t>
      </w:r>
      <w:r>
        <w:rPr>
          <w:rFonts w:hint="eastAsia" w:ascii="宋体" w:hAnsi="宋体" w:eastAsia="宋体" w:cs="宋体"/>
          <w:b w:val="0"/>
          <w:bCs/>
          <w:color w:val="auto"/>
          <w:spacing w:val="4"/>
          <w:sz w:val="21"/>
          <w:szCs w:val="21"/>
          <w:highlight w:val="none"/>
        </w:rPr>
        <w:t xml:space="preserve">[2011]181 </w:t>
      </w:r>
      <w:r>
        <w:rPr>
          <w:rFonts w:hint="eastAsia" w:ascii="宋体" w:hAnsi="宋体" w:eastAsia="宋体" w:cs="宋体"/>
          <w:b w:val="0"/>
          <w:bCs/>
          <w:color w:val="auto"/>
          <w:spacing w:val="14"/>
          <w:sz w:val="21"/>
          <w:szCs w:val="21"/>
          <w:highlight w:val="none"/>
        </w:rPr>
        <w:t>号</w:t>
      </w:r>
      <w:r>
        <w:rPr>
          <w:rFonts w:hint="eastAsia" w:ascii="宋体" w:hAnsi="宋体" w:eastAsia="宋体" w:cs="宋体"/>
          <w:b w:val="0"/>
          <w:bCs/>
          <w:color w:val="auto"/>
          <w:spacing w:val="11"/>
          <w:sz w:val="21"/>
          <w:szCs w:val="21"/>
          <w:highlight w:val="none"/>
        </w:rPr>
        <w:t>）</w:t>
      </w:r>
      <w:r>
        <w:rPr>
          <w:rFonts w:hint="eastAsia" w:ascii="宋体" w:hAnsi="宋体" w:eastAsia="宋体" w:cs="宋体"/>
          <w:b w:val="0"/>
          <w:bCs/>
          <w:color w:val="auto"/>
          <w:spacing w:val="14"/>
          <w:sz w:val="21"/>
          <w:szCs w:val="21"/>
          <w:highlight w:val="none"/>
        </w:rPr>
        <w:t>的</w:t>
      </w:r>
      <w:r>
        <w:rPr>
          <w:rFonts w:hint="eastAsia" w:ascii="宋体" w:hAnsi="宋体" w:eastAsia="宋体" w:cs="宋体"/>
          <w:b w:val="0"/>
          <w:bCs/>
          <w:color w:val="auto"/>
          <w:spacing w:val="11"/>
          <w:sz w:val="21"/>
          <w:szCs w:val="21"/>
          <w:highlight w:val="none"/>
        </w:rPr>
        <w:t>规定</w:t>
      </w:r>
      <w:r>
        <w:rPr>
          <w:rFonts w:hint="eastAsia" w:ascii="宋体" w:hAnsi="宋体" w:eastAsia="宋体" w:cs="宋体"/>
          <w:b w:val="0"/>
          <w:bCs/>
          <w:color w:val="auto"/>
          <w:spacing w:val="14"/>
          <w:sz w:val="21"/>
          <w:szCs w:val="21"/>
          <w:highlight w:val="none"/>
        </w:rPr>
        <w:t>，</w:t>
      </w:r>
      <w:r>
        <w:rPr>
          <w:rFonts w:hint="eastAsia" w:ascii="宋体" w:hAnsi="宋体" w:eastAsia="宋体" w:cs="宋体"/>
          <w:b w:val="0"/>
          <w:bCs/>
          <w:color w:val="auto"/>
          <w:spacing w:val="11"/>
          <w:sz w:val="21"/>
          <w:szCs w:val="21"/>
          <w:highlight w:val="none"/>
        </w:rPr>
        <w:t>本公司</w:t>
      </w:r>
      <w:r>
        <w:rPr>
          <w:rFonts w:hint="eastAsia" w:ascii="宋体" w:hAnsi="宋体" w:eastAsia="宋体" w:cs="宋体"/>
          <w:b w:val="0"/>
          <w:bCs/>
          <w:color w:val="auto"/>
          <w:sz w:val="21"/>
          <w:szCs w:val="21"/>
          <w:highlight w:val="none"/>
        </w:rPr>
        <w:t>为</w:t>
      </w:r>
      <w:r>
        <w:rPr>
          <w:rFonts w:hint="eastAsia" w:ascii="宋体" w:hAnsi="宋体" w:eastAsia="宋体" w:cs="宋体"/>
          <w:b w:val="0"/>
          <w:bCs/>
          <w:color w:val="auto"/>
          <w:sz w:val="21"/>
          <w:szCs w:val="21"/>
          <w:highlight w:val="none"/>
        </w:rPr>
        <w:tab/>
      </w:r>
      <w:r>
        <w:rPr>
          <w:rFonts w:hint="eastAsia" w:ascii="宋体" w:hAnsi="宋体" w:eastAsia="宋体" w:cs="宋体"/>
          <w:b w:val="0"/>
          <w:bCs/>
          <w:color w:val="auto"/>
          <w:spacing w:val="14"/>
          <w:sz w:val="21"/>
          <w:szCs w:val="21"/>
          <w:highlight w:val="none"/>
        </w:rPr>
        <w:t>（</w:t>
      </w:r>
      <w:r>
        <w:rPr>
          <w:rFonts w:hint="eastAsia" w:ascii="宋体" w:hAnsi="宋体" w:eastAsia="宋体" w:cs="宋体"/>
          <w:b w:val="0"/>
          <w:bCs/>
          <w:color w:val="auto"/>
          <w:spacing w:val="11"/>
          <w:sz w:val="21"/>
          <w:szCs w:val="21"/>
          <w:highlight w:val="none"/>
        </w:rPr>
        <w:t>请填</w:t>
      </w:r>
      <w:r>
        <w:rPr>
          <w:rFonts w:hint="eastAsia" w:ascii="宋体" w:hAnsi="宋体" w:eastAsia="宋体" w:cs="宋体"/>
          <w:b w:val="0"/>
          <w:bCs/>
          <w:color w:val="auto"/>
          <w:spacing w:val="14"/>
          <w:sz w:val="21"/>
          <w:szCs w:val="21"/>
          <w:highlight w:val="none"/>
        </w:rPr>
        <w:t>写</w:t>
      </w:r>
      <w:r>
        <w:rPr>
          <w:rFonts w:hint="eastAsia" w:ascii="宋体" w:hAnsi="宋体" w:eastAsia="宋体" w:cs="宋体"/>
          <w:b w:val="0"/>
          <w:bCs/>
          <w:color w:val="auto"/>
          <w:spacing w:val="11"/>
          <w:sz w:val="21"/>
          <w:szCs w:val="21"/>
          <w:highlight w:val="none"/>
        </w:rPr>
        <w:t>：</w:t>
      </w:r>
      <w:r>
        <w:rPr>
          <w:rFonts w:hint="eastAsia" w:ascii="宋体" w:hAnsi="宋体" w:eastAsia="宋体" w:cs="宋体"/>
          <w:b w:val="0"/>
          <w:bCs/>
          <w:color w:val="auto"/>
          <w:spacing w:val="14"/>
          <w:sz w:val="21"/>
          <w:szCs w:val="21"/>
          <w:highlight w:val="none"/>
        </w:rPr>
        <w:t>中</w:t>
      </w:r>
      <w:r>
        <w:rPr>
          <w:rFonts w:hint="eastAsia" w:ascii="宋体" w:hAnsi="宋体" w:eastAsia="宋体" w:cs="宋体"/>
          <w:b w:val="0"/>
          <w:bCs/>
          <w:color w:val="auto"/>
          <w:spacing w:val="11"/>
          <w:sz w:val="21"/>
          <w:szCs w:val="21"/>
          <w:highlight w:val="none"/>
        </w:rPr>
        <w:t>型</w:t>
      </w:r>
      <w:r>
        <w:rPr>
          <w:rFonts w:hint="eastAsia" w:ascii="宋体" w:hAnsi="宋体" w:eastAsia="宋体" w:cs="宋体"/>
          <w:b w:val="0"/>
          <w:bCs/>
          <w:color w:val="auto"/>
          <w:spacing w:val="14"/>
          <w:sz w:val="21"/>
          <w:szCs w:val="21"/>
          <w:highlight w:val="none"/>
        </w:rPr>
        <w:t>、</w:t>
      </w:r>
      <w:r>
        <w:rPr>
          <w:rFonts w:hint="eastAsia" w:ascii="宋体" w:hAnsi="宋体" w:eastAsia="宋体" w:cs="宋体"/>
          <w:b w:val="0"/>
          <w:bCs/>
          <w:color w:val="auto"/>
          <w:spacing w:val="11"/>
          <w:sz w:val="21"/>
          <w:szCs w:val="21"/>
          <w:highlight w:val="none"/>
        </w:rPr>
        <w:t>小型</w:t>
      </w:r>
      <w:r>
        <w:rPr>
          <w:rFonts w:hint="eastAsia" w:ascii="宋体" w:hAnsi="宋体" w:eastAsia="宋体" w:cs="宋体"/>
          <w:b w:val="0"/>
          <w:bCs/>
          <w:color w:val="auto"/>
          <w:spacing w:val="14"/>
          <w:sz w:val="21"/>
          <w:szCs w:val="21"/>
          <w:highlight w:val="none"/>
        </w:rPr>
        <w:t>、</w:t>
      </w:r>
      <w:r>
        <w:rPr>
          <w:rFonts w:hint="eastAsia" w:ascii="宋体" w:hAnsi="宋体" w:eastAsia="宋体" w:cs="宋体"/>
          <w:b w:val="0"/>
          <w:bCs/>
          <w:color w:val="auto"/>
          <w:spacing w:val="11"/>
          <w:sz w:val="21"/>
          <w:szCs w:val="21"/>
          <w:highlight w:val="none"/>
        </w:rPr>
        <w:t>微型）</w:t>
      </w:r>
      <w:r>
        <w:rPr>
          <w:rFonts w:hint="eastAsia" w:ascii="宋体" w:hAnsi="宋体" w:eastAsia="宋体" w:cs="宋体"/>
          <w:b w:val="0"/>
          <w:bCs/>
          <w:color w:val="auto"/>
          <w:spacing w:val="14"/>
          <w:sz w:val="21"/>
          <w:szCs w:val="21"/>
          <w:highlight w:val="none"/>
        </w:rPr>
        <w:t>企</w:t>
      </w:r>
      <w:r>
        <w:rPr>
          <w:rFonts w:hint="eastAsia" w:ascii="宋体" w:hAnsi="宋体" w:eastAsia="宋体" w:cs="宋体"/>
          <w:b w:val="0"/>
          <w:bCs/>
          <w:color w:val="auto"/>
          <w:spacing w:val="11"/>
          <w:sz w:val="21"/>
          <w:szCs w:val="21"/>
          <w:highlight w:val="none"/>
        </w:rPr>
        <w:t>业</w:t>
      </w:r>
      <w:r>
        <w:rPr>
          <w:rFonts w:hint="eastAsia" w:ascii="宋体" w:hAnsi="宋体" w:eastAsia="宋体" w:cs="宋体"/>
          <w:b w:val="0"/>
          <w:bCs/>
          <w:color w:val="auto"/>
          <w:spacing w:val="14"/>
          <w:sz w:val="21"/>
          <w:szCs w:val="21"/>
          <w:highlight w:val="none"/>
        </w:rPr>
        <w:t>。</w:t>
      </w:r>
      <w:r>
        <w:rPr>
          <w:rFonts w:hint="eastAsia" w:ascii="宋体" w:hAnsi="宋体" w:eastAsia="宋体" w:cs="宋体"/>
          <w:b w:val="0"/>
          <w:bCs/>
          <w:color w:val="auto"/>
          <w:spacing w:val="11"/>
          <w:sz w:val="21"/>
          <w:szCs w:val="21"/>
          <w:highlight w:val="none"/>
        </w:rPr>
        <w:t>即，</w:t>
      </w:r>
      <w:r>
        <w:rPr>
          <w:rFonts w:hint="eastAsia" w:ascii="宋体" w:hAnsi="宋体" w:eastAsia="宋体" w:cs="宋体"/>
          <w:b w:val="0"/>
          <w:bCs/>
          <w:color w:val="auto"/>
          <w:spacing w:val="14"/>
          <w:sz w:val="21"/>
          <w:szCs w:val="21"/>
          <w:highlight w:val="none"/>
        </w:rPr>
        <w:t>本</w:t>
      </w:r>
      <w:r>
        <w:rPr>
          <w:rFonts w:hint="eastAsia" w:ascii="宋体" w:hAnsi="宋体" w:eastAsia="宋体" w:cs="宋体"/>
          <w:b w:val="0"/>
          <w:bCs/>
          <w:color w:val="auto"/>
          <w:spacing w:val="11"/>
          <w:sz w:val="21"/>
          <w:szCs w:val="21"/>
          <w:highlight w:val="none"/>
        </w:rPr>
        <w:t>公司同</w:t>
      </w:r>
      <w:r>
        <w:rPr>
          <w:rFonts w:hint="eastAsia" w:ascii="宋体" w:hAnsi="宋体" w:eastAsia="宋体" w:cs="宋体"/>
          <w:b w:val="0"/>
          <w:bCs/>
          <w:color w:val="auto"/>
          <w:sz w:val="21"/>
          <w:szCs w:val="21"/>
          <w:highlight w:val="none"/>
        </w:rPr>
        <w:t>时</w:t>
      </w:r>
    </w:p>
    <w:p>
      <w:pPr>
        <w:pStyle w:val="5"/>
        <w:pageBreakBefore w:val="0"/>
        <w:widowControl w:val="0"/>
        <w:kinsoku/>
        <w:wordWrap/>
        <w:overflowPunct/>
        <w:topLinePunct w:val="0"/>
        <w:autoSpaceDE/>
        <w:autoSpaceDN/>
        <w:bidi w:val="0"/>
        <w:adjustRightInd/>
        <w:snapToGrid/>
        <w:spacing w:before="2" w:line="400" w:lineRule="exact"/>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满足以下条件：</w:t>
      </w:r>
    </w:p>
    <w:p>
      <w:pPr>
        <w:pStyle w:val="9"/>
        <w:pageBreakBefore w:val="0"/>
        <w:widowControl w:val="0"/>
        <w:kinsoku/>
        <w:wordWrap/>
        <w:overflowPunct/>
        <w:topLinePunct w:val="0"/>
        <w:autoSpaceDE/>
        <w:autoSpaceDN/>
        <w:bidi w:val="0"/>
        <w:adjustRightInd/>
        <w:snapToGrid/>
        <w:spacing w:before="11" w:line="400" w:lineRule="exact"/>
        <w:textAlignment w:val="auto"/>
        <w:rPr>
          <w:rFonts w:hint="eastAsia" w:ascii="宋体" w:hAnsi="宋体" w:eastAsia="宋体" w:cs="宋体"/>
          <w:b w:val="0"/>
          <w:bCs/>
          <w:color w:val="auto"/>
          <w:sz w:val="21"/>
          <w:szCs w:val="21"/>
          <w:highlight w:val="none"/>
        </w:rPr>
      </w:pPr>
    </w:p>
    <w:p>
      <w:pPr>
        <w:pStyle w:val="5"/>
        <w:pageBreakBefore w:val="0"/>
        <w:widowControl w:val="0"/>
        <w:numPr>
          <w:ilvl w:val="1"/>
          <w:numId w:val="10"/>
        </w:numPr>
        <w:tabs>
          <w:tab w:val="left" w:pos="1058"/>
          <w:tab w:val="left" w:leader="underscore" w:pos="1810"/>
        </w:tabs>
        <w:kinsoku/>
        <w:wordWrap/>
        <w:overflowPunct/>
        <w:topLinePunct w:val="0"/>
        <w:autoSpaceDE/>
        <w:autoSpaceDN/>
        <w:bidi w:val="0"/>
        <w:adjustRightInd/>
        <w:snapToGrid/>
        <w:spacing w:before="0" w:after="0" w:line="400" w:lineRule="exact"/>
        <w:ind w:left="298" w:right="425" w:firstLine="504"/>
        <w:jc w:val="both"/>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11"/>
          <w:sz w:val="21"/>
          <w:szCs w:val="21"/>
          <w:highlight w:val="none"/>
        </w:rPr>
        <w:t>根</w:t>
      </w:r>
      <w:r>
        <w:rPr>
          <w:rFonts w:hint="eastAsia" w:ascii="宋体" w:hAnsi="宋体" w:eastAsia="宋体" w:cs="宋体"/>
          <w:b w:val="0"/>
          <w:bCs/>
          <w:color w:val="auto"/>
          <w:spacing w:val="14"/>
          <w:sz w:val="21"/>
          <w:szCs w:val="21"/>
          <w:highlight w:val="none"/>
        </w:rPr>
        <w:t>据</w:t>
      </w:r>
      <w:r>
        <w:rPr>
          <w:rFonts w:hint="eastAsia" w:ascii="宋体" w:hAnsi="宋体" w:eastAsia="宋体" w:cs="宋体"/>
          <w:b w:val="0"/>
          <w:bCs/>
          <w:color w:val="auto"/>
          <w:spacing w:val="11"/>
          <w:sz w:val="21"/>
          <w:szCs w:val="21"/>
          <w:highlight w:val="none"/>
        </w:rPr>
        <w:t>《工</w:t>
      </w:r>
      <w:r>
        <w:rPr>
          <w:rFonts w:hint="eastAsia" w:ascii="宋体" w:hAnsi="宋体" w:eastAsia="宋体" w:cs="宋体"/>
          <w:b w:val="0"/>
          <w:bCs/>
          <w:color w:val="auto"/>
          <w:spacing w:val="14"/>
          <w:sz w:val="21"/>
          <w:szCs w:val="21"/>
          <w:highlight w:val="none"/>
        </w:rPr>
        <w:t>业</w:t>
      </w:r>
      <w:r>
        <w:rPr>
          <w:rFonts w:hint="eastAsia" w:ascii="宋体" w:hAnsi="宋体" w:eastAsia="宋体" w:cs="宋体"/>
          <w:b w:val="0"/>
          <w:bCs/>
          <w:color w:val="auto"/>
          <w:spacing w:val="11"/>
          <w:sz w:val="21"/>
          <w:szCs w:val="21"/>
          <w:highlight w:val="none"/>
        </w:rPr>
        <w:t>和信息</w:t>
      </w:r>
      <w:r>
        <w:rPr>
          <w:rFonts w:hint="eastAsia" w:ascii="宋体" w:hAnsi="宋体" w:eastAsia="宋体" w:cs="宋体"/>
          <w:b w:val="0"/>
          <w:bCs/>
          <w:color w:val="auto"/>
          <w:spacing w:val="14"/>
          <w:sz w:val="21"/>
          <w:szCs w:val="21"/>
          <w:highlight w:val="none"/>
        </w:rPr>
        <w:t>化</w:t>
      </w:r>
      <w:r>
        <w:rPr>
          <w:rFonts w:hint="eastAsia" w:ascii="宋体" w:hAnsi="宋体" w:eastAsia="宋体" w:cs="宋体"/>
          <w:b w:val="0"/>
          <w:bCs/>
          <w:color w:val="auto"/>
          <w:spacing w:val="11"/>
          <w:sz w:val="21"/>
          <w:szCs w:val="21"/>
          <w:highlight w:val="none"/>
        </w:rPr>
        <w:t>部</w:t>
      </w:r>
      <w:r>
        <w:rPr>
          <w:rFonts w:hint="eastAsia" w:ascii="宋体" w:hAnsi="宋体" w:eastAsia="宋体" w:cs="宋体"/>
          <w:b w:val="0"/>
          <w:bCs/>
          <w:color w:val="auto"/>
          <w:spacing w:val="14"/>
          <w:sz w:val="21"/>
          <w:szCs w:val="21"/>
          <w:highlight w:val="none"/>
        </w:rPr>
        <w:t>、</w:t>
      </w:r>
      <w:r>
        <w:rPr>
          <w:rFonts w:hint="eastAsia" w:ascii="宋体" w:hAnsi="宋体" w:eastAsia="宋体" w:cs="宋体"/>
          <w:b w:val="0"/>
          <w:bCs/>
          <w:color w:val="auto"/>
          <w:spacing w:val="11"/>
          <w:sz w:val="21"/>
          <w:szCs w:val="21"/>
          <w:highlight w:val="none"/>
        </w:rPr>
        <w:t>国家</w:t>
      </w:r>
      <w:r>
        <w:rPr>
          <w:rFonts w:hint="eastAsia" w:ascii="宋体" w:hAnsi="宋体" w:eastAsia="宋体" w:cs="宋体"/>
          <w:b w:val="0"/>
          <w:bCs/>
          <w:color w:val="auto"/>
          <w:spacing w:val="14"/>
          <w:sz w:val="21"/>
          <w:szCs w:val="21"/>
          <w:highlight w:val="none"/>
        </w:rPr>
        <w:t>统</w:t>
      </w:r>
      <w:r>
        <w:rPr>
          <w:rFonts w:hint="eastAsia" w:ascii="宋体" w:hAnsi="宋体" w:eastAsia="宋体" w:cs="宋体"/>
          <w:b w:val="0"/>
          <w:bCs/>
          <w:color w:val="auto"/>
          <w:spacing w:val="11"/>
          <w:sz w:val="21"/>
          <w:szCs w:val="21"/>
          <w:highlight w:val="none"/>
        </w:rPr>
        <w:t>计局、</w:t>
      </w:r>
      <w:r>
        <w:rPr>
          <w:rFonts w:hint="eastAsia" w:ascii="宋体" w:hAnsi="宋体" w:eastAsia="宋体" w:cs="宋体"/>
          <w:b w:val="0"/>
          <w:bCs/>
          <w:color w:val="auto"/>
          <w:spacing w:val="14"/>
          <w:sz w:val="21"/>
          <w:szCs w:val="21"/>
          <w:highlight w:val="none"/>
        </w:rPr>
        <w:t>国</w:t>
      </w:r>
      <w:r>
        <w:rPr>
          <w:rFonts w:hint="eastAsia" w:ascii="宋体" w:hAnsi="宋体" w:eastAsia="宋体" w:cs="宋体"/>
          <w:b w:val="0"/>
          <w:bCs/>
          <w:color w:val="auto"/>
          <w:spacing w:val="11"/>
          <w:sz w:val="21"/>
          <w:szCs w:val="21"/>
          <w:highlight w:val="none"/>
        </w:rPr>
        <w:t>家</w:t>
      </w:r>
      <w:r>
        <w:rPr>
          <w:rFonts w:hint="eastAsia" w:ascii="宋体" w:hAnsi="宋体" w:eastAsia="宋体" w:cs="宋体"/>
          <w:b w:val="0"/>
          <w:bCs/>
          <w:color w:val="auto"/>
          <w:spacing w:val="14"/>
          <w:sz w:val="21"/>
          <w:szCs w:val="21"/>
          <w:highlight w:val="none"/>
        </w:rPr>
        <w:t>发</w:t>
      </w:r>
      <w:r>
        <w:rPr>
          <w:rFonts w:hint="eastAsia" w:ascii="宋体" w:hAnsi="宋体" w:eastAsia="宋体" w:cs="宋体"/>
          <w:b w:val="0"/>
          <w:bCs/>
          <w:color w:val="auto"/>
          <w:spacing w:val="11"/>
          <w:sz w:val="21"/>
          <w:szCs w:val="21"/>
          <w:highlight w:val="none"/>
        </w:rPr>
        <w:t>展和</w:t>
      </w:r>
      <w:r>
        <w:rPr>
          <w:rFonts w:hint="eastAsia" w:ascii="宋体" w:hAnsi="宋体" w:eastAsia="宋体" w:cs="宋体"/>
          <w:b w:val="0"/>
          <w:bCs/>
          <w:color w:val="auto"/>
          <w:spacing w:val="14"/>
          <w:sz w:val="21"/>
          <w:szCs w:val="21"/>
          <w:highlight w:val="none"/>
        </w:rPr>
        <w:t>改</w:t>
      </w:r>
      <w:r>
        <w:rPr>
          <w:rFonts w:hint="eastAsia" w:ascii="宋体" w:hAnsi="宋体" w:eastAsia="宋体" w:cs="宋体"/>
          <w:b w:val="0"/>
          <w:bCs/>
          <w:color w:val="auto"/>
          <w:spacing w:val="11"/>
          <w:sz w:val="21"/>
          <w:szCs w:val="21"/>
          <w:highlight w:val="none"/>
        </w:rPr>
        <w:t>革委员</w:t>
      </w:r>
      <w:r>
        <w:rPr>
          <w:rFonts w:hint="eastAsia" w:ascii="宋体" w:hAnsi="宋体" w:eastAsia="宋体" w:cs="宋体"/>
          <w:b w:val="0"/>
          <w:bCs/>
          <w:color w:val="auto"/>
          <w:spacing w:val="14"/>
          <w:sz w:val="21"/>
          <w:szCs w:val="21"/>
          <w:highlight w:val="none"/>
        </w:rPr>
        <w:t>会</w:t>
      </w:r>
      <w:r>
        <w:rPr>
          <w:rFonts w:hint="eastAsia" w:ascii="宋体" w:hAnsi="宋体" w:eastAsia="宋体" w:cs="宋体"/>
          <w:b w:val="0"/>
          <w:bCs/>
          <w:color w:val="auto"/>
          <w:spacing w:val="11"/>
          <w:sz w:val="21"/>
          <w:szCs w:val="21"/>
          <w:highlight w:val="none"/>
        </w:rPr>
        <w:t>、</w:t>
      </w:r>
      <w:r>
        <w:rPr>
          <w:rFonts w:hint="eastAsia" w:ascii="宋体" w:hAnsi="宋体" w:eastAsia="宋体" w:cs="宋体"/>
          <w:b w:val="0"/>
          <w:bCs/>
          <w:color w:val="auto"/>
          <w:spacing w:val="14"/>
          <w:sz w:val="21"/>
          <w:szCs w:val="21"/>
          <w:highlight w:val="none"/>
        </w:rPr>
        <w:t>财</w:t>
      </w:r>
      <w:r>
        <w:rPr>
          <w:rFonts w:hint="eastAsia" w:ascii="宋体" w:hAnsi="宋体" w:eastAsia="宋体" w:cs="宋体"/>
          <w:b w:val="0"/>
          <w:bCs/>
          <w:color w:val="auto"/>
          <w:spacing w:val="11"/>
          <w:sz w:val="21"/>
          <w:szCs w:val="21"/>
          <w:highlight w:val="none"/>
        </w:rPr>
        <w:t>政部</w:t>
      </w:r>
      <w:r>
        <w:rPr>
          <w:rFonts w:hint="eastAsia" w:ascii="宋体" w:hAnsi="宋体" w:eastAsia="宋体" w:cs="宋体"/>
          <w:b w:val="0"/>
          <w:bCs/>
          <w:color w:val="auto"/>
          <w:spacing w:val="14"/>
          <w:sz w:val="21"/>
          <w:szCs w:val="21"/>
          <w:highlight w:val="none"/>
        </w:rPr>
        <w:t>关</w:t>
      </w:r>
      <w:r>
        <w:rPr>
          <w:rFonts w:hint="eastAsia" w:ascii="宋体" w:hAnsi="宋体" w:eastAsia="宋体" w:cs="宋体"/>
          <w:b w:val="0"/>
          <w:bCs/>
          <w:color w:val="auto"/>
          <w:spacing w:val="11"/>
          <w:sz w:val="21"/>
          <w:szCs w:val="21"/>
          <w:highlight w:val="none"/>
        </w:rPr>
        <w:t>于</w:t>
      </w:r>
      <w:r>
        <w:rPr>
          <w:rFonts w:hint="eastAsia" w:ascii="宋体" w:hAnsi="宋体" w:eastAsia="宋体" w:cs="宋体"/>
          <w:b w:val="0"/>
          <w:bCs/>
          <w:color w:val="auto"/>
          <w:sz w:val="21"/>
          <w:szCs w:val="21"/>
          <w:highlight w:val="none"/>
        </w:rPr>
        <w:t>印</w:t>
      </w:r>
      <w:r>
        <w:rPr>
          <w:rFonts w:hint="eastAsia" w:ascii="宋体" w:hAnsi="宋体" w:eastAsia="宋体" w:cs="宋体"/>
          <w:b w:val="0"/>
          <w:bCs/>
          <w:color w:val="auto"/>
          <w:spacing w:val="12"/>
          <w:sz w:val="21"/>
          <w:szCs w:val="21"/>
          <w:highlight w:val="none"/>
        </w:rPr>
        <w:t>发中小企业划型标准规定的通</w:t>
      </w:r>
      <w:r>
        <w:rPr>
          <w:rFonts w:hint="eastAsia" w:ascii="宋体" w:hAnsi="宋体" w:eastAsia="宋体" w:cs="宋体"/>
          <w:b w:val="0"/>
          <w:bCs/>
          <w:color w:val="auto"/>
          <w:spacing w:val="14"/>
          <w:sz w:val="21"/>
          <w:szCs w:val="21"/>
          <w:highlight w:val="none"/>
        </w:rPr>
        <w:t>知</w:t>
      </w:r>
      <w:r>
        <w:rPr>
          <w:rFonts w:hint="eastAsia" w:ascii="宋体" w:hAnsi="宋体" w:eastAsia="宋体" w:cs="宋体"/>
          <w:b w:val="0"/>
          <w:bCs/>
          <w:color w:val="auto"/>
          <w:spacing w:val="-128"/>
          <w:sz w:val="21"/>
          <w:szCs w:val="21"/>
          <w:highlight w:val="none"/>
        </w:rPr>
        <w:t>》</w:t>
      </w:r>
      <w:r>
        <w:rPr>
          <w:rFonts w:hint="eastAsia" w:ascii="宋体" w:hAnsi="宋体" w:eastAsia="宋体" w:cs="宋体"/>
          <w:b w:val="0"/>
          <w:bCs/>
          <w:color w:val="auto"/>
          <w:spacing w:val="12"/>
          <w:sz w:val="21"/>
          <w:szCs w:val="21"/>
          <w:highlight w:val="none"/>
        </w:rPr>
        <w:t>（工信部联企</w:t>
      </w:r>
      <w:r>
        <w:rPr>
          <w:rFonts w:hint="eastAsia" w:ascii="宋体" w:hAnsi="宋体" w:eastAsia="宋体" w:cs="宋体"/>
          <w:b w:val="0"/>
          <w:bCs/>
          <w:color w:val="auto"/>
          <w:spacing w:val="15"/>
          <w:sz w:val="21"/>
          <w:szCs w:val="21"/>
          <w:highlight w:val="none"/>
        </w:rPr>
        <w:t>业</w:t>
      </w:r>
      <w:r>
        <w:rPr>
          <w:rFonts w:hint="eastAsia" w:ascii="宋体" w:hAnsi="宋体" w:eastAsia="宋体" w:cs="宋体"/>
          <w:b w:val="0"/>
          <w:bCs/>
          <w:color w:val="auto"/>
          <w:spacing w:val="4"/>
          <w:sz w:val="21"/>
          <w:szCs w:val="21"/>
          <w:highlight w:val="none"/>
        </w:rPr>
        <w:t>[2011]300</w:t>
      </w:r>
      <w:r>
        <w:rPr>
          <w:rFonts w:hint="eastAsia" w:ascii="宋体" w:hAnsi="宋体" w:eastAsia="宋体" w:cs="宋体"/>
          <w:b w:val="0"/>
          <w:bCs/>
          <w:color w:val="auto"/>
          <w:spacing w:val="-48"/>
          <w:sz w:val="21"/>
          <w:szCs w:val="21"/>
          <w:highlight w:val="none"/>
        </w:rPr>
        <w:t xml:space="preserve"> </w:t>
      </w:r>
      <w:r>
        <w:rPr>
          <w:rFonts w:hint="eastAsia" w:ascii="宋体" w:hAnsi="宋体" w:eastAsia="宋体" w:cs="宋体"/>
          <w:b w:val="0"/>
          <w:bCs/>
          <w:color w:val="auto"/>
          <w:spacing w:val="11"/>
          <w:sz w:val="21"/>
          <w:szCs w:val="21"/>
          <w:highlight w:val="none"/>
        </w:rPr>
        <w:t>号</w:t>
      </w:r>
      <w:r>
        <w:rPr>
          <w:rFonts w:hint="eastAsia" w:ascii="宋体" w:hAnsi="宋体" w:eastAsia="宋体" w:cs="宋体"/>
          <w:b w:val="0"/>
          <w:bCs/>
          <w:color w:val="auto"/>
          <w:sz w:val="21"/>
          <w:szCs w:val="21"/>
          <w:highlight w:val="none"/>
        </w:rPr>
        <w:t>）</w:t>
      </w:r>
      <w:r>
        <w:rPr>
          <w:rFonts w:hint="eastAsia" w:ascii="宋体" w:hAnsi="宋体" w:eastAsia="宋体" w:cs="宋体"/>
          <w:b w:val="0"/>
          <w:bCs/>
          <w:color w:val="auto"/>
          <w:spacing w:val="11"/>
          <w:sz w:val="21"/>
          <w:szCs w:val="21"/>
          <w:highlight w:val="none"/>
        </w:rPr>
        <w:t>规定的划分标准</w:t>
      </w:r>
      <w:r>
        <w:rPr>
          <w:rFonts w:hint="eastAsia" w:ascii="宋体" w:hAnsi="宋体" w:eastAsia="宋体" w:cs="宋体"/>
          <w:b w:val="0"/>
          <w:bCs/>
          <w:color w:val="auto"/>
          <w:sz w:val="21"/>
          <w:szCs w:val="21"/>
          <w:highlight w:val="none"/>
        </w:rPr>
        <w:t>，本</w:t>
      </w:r>
      <w:r>
        <w:rPr>
          <w:rFonts w:hint="eastAsia" w:ascii="宋体" w:hAnsi="宋体" w:eastAsia="宋体" w:cs="宋体"/>
          <w:b w:val="0"/>
          <w:bCs/>
          <w:color w:val="auto"/>
          <w:spacing w:val="12"/>
          <w:sz w:val="21"/>
          <w:szCs w:val="21"/>
          <w:highlight w:val="none"/>
        </w:rPr>
        <w:t>公司为（请填写：中型、小型、微型）企业。</w:t>
      </w:r>
    </w:p>
    <w:p>
      <w:pPr>
        <w:pStyle w:val="5"/>
        <w:pageBreakBefore w:val="0"/>
        <w:widowControl w:val="0"/>
        <w:numPr>
          <w:ilvl w:val="0"/>
          <w:numId w:val="0"/>
        </w:numPr>
        <w:tabs>
          <w:tab w:val="left" w:pos="255"/>
          <w:tab w:val="left" w:pos="472"/>
          <w:tab w:val="left" w:leader="underscore" w:pos="3792"/>
          <w:tab w:val="center" w:pos="5010"/>
        </w:tabs>
        <w:kinsoku/>
        <w:wordWrap/>
        <w:overflowPunct/>
        <w:topLinePunct w:val="0"/>
        <w:autoSpaceDE/>
        <w:autoSpaceDN/>
        <w:bidi w:val="0"/>
        <w:adjustRightInd/>
        <w:snapToGrid/>
        <w:spacing w:before="2" w:after="0" w:line="400" w:lineRule="exact"/>
        <w:ind w:left="-1" w:leftChars="0" w:right="424" w:rightChars="0" w:firstLine="696" w:firstLineChars="300"/>
        <w:jc w:val="left"/>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11"/>
          <w:sz w:val="21"/>
          <w:szCs w:val="21"/>
          <w:highlight w:val="none"/>
          <w:lang w:val="en-US" w:eastAsia="zh-CN"/>
        </w:rPr>
        <w:t>2.</w:t>
      </w:r>
      <w:r>
        <w:rPr>
          <w:rFonts w:hint="eastAsia" w:ascii="宋体" w:hAnsi="宋体" w:eastAsia="宋体" w:cs="宋体"/>
          <w:b w:val="0"/>
          <w:bCs/>
          <w:color w:val="auto"/>
          <w:spacing w:val="11"/>
          <w:sz w:val="21"/>
          <w:szCs w:val="21"/>
          <w:highlight w:val="none"/>
          <w:lang w:eastAsia="zh-CN"/>
        </w:rPr>
        <w:tab/>
      </w:r>
      <w:r>
        <w:rPr>
          <w:rFonts w:hint="eastAsia" w:ascii="宋体" w:hAnsi="宋体" w:eastAsia="宋体" w:cs="宋体"/>
          <w:b w:val="0"/>
          <w:bCs/>
          <w:color w:val="auto"/>
          <w:spacing w:val="11"/>
          <w:sz w:val="21"/>
          <w:szCs w:val="21"/>
          <w:highlight w:val="none"/>
        </w:rPr>
        <w:t>本</w:t>
      </w:r>
      <w:r>
        <w:rPr>
          <w:rFonts w:hint="eastAsia" w:ascii="宋体" w:hAnsi="宋体" w:eastAsia="宋体" w:cs="宋体"/>
          <w:b w:val="0"/>
          <w:bCs/>
          <w:color w:val="auto"/>
          <w:spacing w:val="14"/>
          <w:sz w:val="21"/>
          <w:szCs w:val="21"/>
          <w:highlight w:val="none"/>
        </w:rPr>
        <w:t>公</w:t>
      </w:r>
      <w:r>
        <w:rPr>
          <w:rFonts w:hint="eastAsia" w:ascii="宋体" w:hAnsi="宋体" w:eastAsia="宋体" w:cs="宋体"/>
          <w:b w:val="0"/>
          <w:bCs/>
          <w:color w:val="auto"/>
          <w:spacing w:val="11"/>
          <w:sz w:val="21"/>
          <w:szCs w:val="21"/>
          <w:highlight w:val="none"/>
        </w:rPr>
        <w:t>司</w:t>
      </w:r>
      <w:r>
        <w:rPr>
          <w:rFonts w:hint="eastAsia" w:ascii="宋体" w:hAnsi="宋体" w:eastAsia="宋体" w:cs="宋体"/>
          <w:b w:val="0"/>
          <w:bCs/>
          <w:color w:val="auto"/>
          <w:spacing w:val="14"/>
          <w:sz w:val="21"/>
          <w:szCs w:val="21"/>
          <w:highlight w:val="none"/>
        </w:rPr>
        <w:t>参</w:t>
      </w:r>
      <w:r>
        <w:rPr>
          <w:rFonts w:hint="eastAsia" w:ascii="宋体" w:hAnsi="宋体" w:eastAsia="宋体" w:cs="宋体"/>
          <w:b w:val="0"/>
          <w:bCs/>
          <w:color w:val="auto"/>
          <w:spacing w:val="12"/>
          <w:sz w:val="21"/>
          <w:szCs w:val="21"/>
          <w:highlight w:val="none"/>
        </w:rPr>
        <w:t>加</w:t>
      </w:r>
      <w:r>
        <w:rPr>
          <w:rFonts w:hint="eastAsia" w:ascii="宋体" w:hAnsi="宋体" w:eastAsia="宋体" w:cs="宋体"/>
          <w:b w:val="0"/>
          <w:bCs/>
          <w:color w:val="auto"/>
          <w:spacing w:val="5"/>
          <w:sz w:val="21"/>
          <w:szCs w:val="21"/>
          <w:highlight w:val="none"/>
        </w:rPr>
        <w:t>______</w:t>
      </w:r>
      <w:r>
        <w:rPr>
          <w:rFonts w:hint="eastAsia" w:ascii="宋体" w:hAnsi="宋体" w:eastAsia="宋体" w:cs="宋体"/>
          <w:b w:val="0"/>
          <w:bCs/>
          <w:color w:val="auto"/>
          <w:spacing w:val="14"/>
          <w:sz w:val="21"/>
          <w:szCs w:val="21"/>
          <w:highlight w:val="none"/>
        </w:rPr>
        <w:t>单</w:t>
      </w:r>
      <w:r>
        <w:rPr>
          <w:rFonts w:hint="eastAsia" w:ascii="宋体" w:hAnsi="宋体" w:eastAsia="宋体" w:cs="宋体"/>
          <w:b w:val="0"/>
          <w:bCs/>
          <w:color w:val="auto"/>
          <w:spacing w:val="11"/>
          <w:sz w:val="21"/>
          <w:szCs w:val="21"/>
          <w:highlight w:val="none"/>
        </w:rPr>
        <w:t>位</w:t>
      </w:r>
      <w:r>
        <w:rPr>
          <w:rFonts w:hint="eastAsia" w:ascii="宋体" w:hAnsi="宋体" w:eastAsia="宋体" w:cs="宋体"/>
          <w:b w:val="0"/>
          <w:bCs/>
          <w:color w:val="auto"/>
          <w:sz w:val="21"/>
          <w:szCs w:val="21"/>
          <w:highlight w:val="none"/>
        </w:rPr>
        <w:t>的</w:t>
      </w:r>
      <w:r>
        <w:rPr>
          <w:rFonts w:hint="eastAsia" w:ascii="宋体" w:hAnsi="宋体" w:eastAsia="宋体" w:cs="宋体"/>
          <w:b w:val="0"/>
          <w:bCs/>
          <w:color w:val="auto"/>
          <w:sz w:val="21"/>
          <w:szCs w:val="21"/>
          <w:highlight w:val="none"/>
          <w:u w:val="single"/>
          <w:lang w:val="en-US" w:eastAsia="zh-CN"/>
        </w:rPr>
        <w:t xml:space="preserve">        </w:t>
      </w:r>
      <w:r>
        <w:rPr>
          <w:rFonts w:hint="eastAsia" w:ascii="宋体" w:hAnsi="宋体" w:eastAsia="宋体" w:cs="宋体"/>
          <w:b w:val="0"/>
          <w:bCs/>
          <w:color w:val="auto"/>
          <w:spacing w:val="14"/>
          <w:sz w:val="21"/>
          <w:szCs w:val="21"/>
          <w:highlight w:val="none"/>
        </w:rPr>
        <w:t>项</w:t>
      </w:r>
      <w:r>
        <w:rPr>
          <w:rFonts w:hint="eastAsia" w:ascii="宋体" w:hAnsi="宋体" w:eastAsia="宋体" w:cs="宋体"/>
          <w:b w:val="0"/>
          <w:bCs/>
          <w:color w:val="auto"/>
          <w:spacing w:val="11"/>
          <w:sz w:val="21"/>
          <w:szCs w:val="21"/>
          <w:highlight w:val="none"/>
        </w:rPr>
        <w:t>目采</w:t>
      </w:r>
      <w:r>
        <w:rPr>
          <w:rFonts w:hint="eastAsia" w:ascii="宋体" w:hAnsi="宋体" w:eastAsia="宋体" w:cs="宋体"/>
          <w:b w:val="0"/>
          <w:bCs/>
          <w:color w:val="auto"/>
          <w:spacing w:val="14"/>
          <w:sz w:val="21"/>
          <w:szCs w:val="21"/>
          <w:highlight w:val="none"/>
        </w:rPr>
        <w:t>购</w:t>
      </w:r>
      <w:r>
        <w:rPr>
          <w:rFonts w:hint="eastAsia" w:ascii="宋体" w:hAnsi="宋体" w:eastAsia="宋体" w:cs="宋体"/>
          <w:b w:val="0"/>
          <w:bCs/>
          <w:color w:val="auto"/>
          <w:spacing w:val="11"/>
          <w:sz w:val="21"/>
          <w:szCs w:val="21"/>
          <w:highlight w:val="none"/>
        </w:rPr>
        <w:t>活</w:t>
      </w:r>
      <w:r>
        <w:rPr>
          <w:rFonts w:hint="eastAsia" w:ascii="宋体" w:hAnsi="宋体" w:eastAsia="宋体" w:cs="宋体"/>
          <w:b w:val="0"/>
          <w:bCs/>
          <w:color w:val="auto"/>
          <w:spacing w:val="16"/>
          <w:sz w:val="21"/>
          <w:szCs w:val="21"/>
          <w:highlight w:val="none"/>
        </w:rPr>
        <w:t>动</w:t>
      </w:r>
      <w:r>
        <w:rPr>
          <w:rFonts w:hint="eastAsia" w:ascii="宋体" w:hAnsi="宋体" w:eastAsia="宋体" w:cs="宋体"/>
          <w:b w:val="0"/>
          <w:bCs/>
          <w:color w:val="auto"/>
          <w:spacing w:val="11"/>
          <w:sz w:val="21"/>
          <w:szCs w:val="21"/>
          <w:highlight w:val="none"/>
        </w:rPr>
        <w:t>提</w:t>
      </w:r>
      <w:r>
        <w:rPr>
          <w:rFonts w:hint="eastAsia" w:ascii="宋体" w:hAnsi="宋体" w:eastAsia="宋体" w:cs="宋体"/>
          <w:b w:val="0"/>
          <w:bCs/>
          <w:color w:val="auto"/>
          <w:spacing w:val="14"/>
          <w:sz w:val="21"/>
          <w:szCs w:val="21"/>
          <w:highlight w:val="none"/>
        </w:rPr>
        <w:t>供</w:t>
      </w:r>
      <w:r>
        <w:rPr>
          <w:rFonts w:hint="eastAsia" w:ascii="宋体" w:hAnsi="宋体" w:eastAsia="宋体" w:cs="宋体"/>
          <w:b w:val="0"/>
          <w:bCs/>
          <w:color w:val="auto"/>
          <w:spacing w:val="11"/>
          <w:sz w:val="21"/>
          <w:szCs w:val="21"/>
          <w:highlight w:val="none"/>
        </w:rPr>
        <w:t>本企</w:t>
      </w:r>
      <w:r>
        <w:rPr>
          <w:rFonts w:hint="eastAsia" w:ascii="宋体" w:hAnsi="宋体" w:eastAsia="宋体" w:cs="宋体"/>
          <w:b w:val="0"/>
          <w:bCs/>
          <w:color w:val="auto"/>
          <w:spacing w:val="14"/>
          <w:sz w:val="21"/>
          <w:szCs w:val="21"/>
          <w:highlight w:val="none"/>
        </w:rPr>
        <w:t>业</w:t>
      </w:r>
      <w:r>
        <w:rPr>
          <w:rFonts w:hint="eastAsia" w:ascii="宋体" w:hAnsi="宋体" w:eastAsia="宋体" w:cs="宋体"/>
          <w:b w:val="0"/>
          <w:bCs/>
          <w:color w:val="auto"/>
          <w:spacing w:val="11"/>
          <w:sz w:val="21"/>
          <w:szCs w:val="21"/>
          <w:highlight w:val="none"/>
        </w:rPr>
        <w:t>制</w:t>
      </w:r>
      <w:r>
        <w:rPr>
          <w:rFonts w:hint="eastAsia" w:ascii="宋体" w:hAnsi="宋体" w:eastAsia="宋体" w:cs="宋体"/>
          <w:b w:val="0"/>
          <w:bCs/>
          <w:color w:val="auto"/>
          <w:spacing w:val="14"/>
          <w:sz w:val="21"/>
          <w:szCs w:val="21"/>
          <w:highlight w:val="none"/>
        </w:rPr>
        <w:t>造</w:t>
      </w:r>
      <w:r>
        <w:rPr>
          <w:rFonts w:hint="eastAsia" w:ascii="宋体" w:hAnsi="宋体" w:eastAsia="宋体" w:cs="宋体"/>
          <w:b w:val="0"/>
          <w:bCs/>
          <w:color w:val="auto"/>
          <w:spacing w:val="11"/>
          <w:sz w:val="21"/>
          <w:szCs w:val="21"/>
          <w:highlight w:val="none"/>
        </w:rPr>
        <w:t>的</w:t>
      </w:r>
      <w:r>
        <w:rPr>
          <w:rFonts w:hint="eastAsia" w:ascii="宋体" w:hAnsi="宋体" w:eastAsia="宋体" w:cs="宋体"/>
          <w:b w:val="0"/>
          <w:bCs/>
          <w:color w:val="auto"/>
          <w:spacing w:val="14"/>
          <w:sz w:val="21"/>
          <w:szCs w:val="21"/>
          <w:highlight w:val="none"/>
        </w:rPr>
        <w:t>货</w:t>
      </w:r>
      <w:r>
        <w:rPr>
          <w:rFonts w:hint="eastAsia" w:ascii="宋体" w:hAnsi="宋体" w:eastAsia="宋体" w:cs="宋体"/>
          <w:b w:val="0"/>
          <w:bCs/>
          <w:color w:val="auto"/>
          <w:spacing w:val="11"/>
          <w:sz w:val="21"/>
          <w:szCs w:val="21"/>
          <w:highlight w:val="none"/>
        </w:rPr>
        <w:t>物</w:t>
      </w:r>
      <w:r>
        <w:rPr>
          <w:rFonts w:hint="eastAsia" w:ascii="宋体" w:hAnsi="宋体" w:eastAsia="宋体" w:cs="宋体"/>
          <w:b w:val="0"/>
          <w:bCs/>
          <w:color w:val="auto"/>
          <w:spacing w:val="14"/>
          <w:sz w:val="21"/>
          <w:szCs w:val="21"/>
          <w:highlight w:val="none"/>
        </w:rPr>
        <w:t>，</w:t>
      </w:r>
      <w:r>
        <w:rPr>
          <w:rFonts w:hint="eastAsia" w:ascii="宋体" w:hAnsi="宋体" w:eastAsia="宋体" w:cs="宋体"/>
          <w:b w:val="0"/>
          <w:bCs/>
          <w:color w:val="auto"/>
          <w:spacing w:val="11"/>
          <w:sz w:val="21"/>
          <w:szCs w:val="21"/>
          <w:highlight w:val="none"/>
        </w:rPr>
        <w:t>由本</w:t>
      </w:r>
      <w:r>
        <w:rPr>
          <w:rFonts w:hint="eastAsia" w:ascii="宋体" w:hAnsi="宋体" w:eastAsia="宋体" w:cs="宋体"/>
          <w:b w:val="0"/>
          <w:bCs/>
          <w:color w:val="auto"/>
          <w:sz w:val="21"/>
          <w:szCs w:val="21"/>
          <w:highlight w:val="none"/>
        </w:rPr>
        <w:t>企</w:t>
      </w:r>
      <w:r>
        <w:rPr>
          <w:rFonts w:hint="eastAsia" w:ascii="宋体" w:hAnsi="宋体" w:eastAsia="宋体" w:cs="宋体"/>
          <w:b w:val="0"/>
          <w:bCs/>
          <w:color w:val="auto"/>
          <w:spacing w:val="14"/>
          <w:sz w:val="21"/>
          <w:szCs w:val="21"/>
          <w:highlight w:val="none"/>
        </w:rPr>
        <w:t>业</w:t>
      </w:r>
      <w:r>
        <w:rPr>
          <w:rFonts w:hint="eastAsia" w:ascii="宋体" w:hAnsi="宋体" w:eastAsia="宋体" w:cs="宋体"/>
          <w:b w:val="0"/>
          <w:bCs/>
          <w:color w:val="auto"/>
          <w:spacing w:val="11"/>
          <w:sz w:val="21"/>
          <w:szCs w:val="21"/>
          <w:highlight w:val="none"/>
        </w:rPr>
        <w:t>承</w:t>
      </w:r>
      <w:r>
        <w:rPr>
          <w:rFonts w:hint="eastAsia" w:ascii="宋体" w:hAnsi="宋体" w:eastAsia="宋体" w:cs="宋体"/>
          <w:b w:val="0"/>
          <w:bCs/>
          <w:color w:val="auto"/>
          <w:spacing w:val="14"/>
          <w:sz w:val="21"/>
          <w:szCs w:val="21"/>
          <w:highlight w:val="none"/>
        </w:rPr>
        <w:t>担</w:t>
      </w:r>
      <w:r>
        <w:rPr>
          <w:rFonts w:hint="eastAsia" w:ascii="宋体" w:hAnsi="宋体" w:eastAsia="宋体" w:cs="宋体"/>
          <w:b w:val="0"/>
          <w:bCs/>
          <w:color w:val="auto"/>
          <w:spacing w:val="11"/>
          <w:sz w:val="21"/>
          <w:szCs w:val="21"/>
          <w:highlight w:val="none"/>
        </w:rPr>
        <w:t>工程</w:t>
      </w:r>
      <w:r>
        <w:rPr>
          <w:rFonts w:hint="eastAsia" w:ascii="宋体" w:hAnsi="宋体" w:eastAsia="宋体" w:cs="宋体"/>
          <w:b w:val="0"/>
          <w:bCs/>
          <w:color w:val="auto"/>
          <w:spacing w:val="14"/>
          <w:sz w:val="21"/>
          <w:szCs w:val="21"/>
          <w:highlight w:val="none"/>
        </w:rPr>
        <w:t>、</w:t>
      </w:r>
      <w:r>
        <w:rPr>
          <w:rFonts w:hint="eastAsia" w:ascii="宋体" w:hAnsi="宋体" w:eastAsia="宋体" w:cs="宋体"/>
          <w:b w:val="0"/>
          <w:bCs/>
          <w:color w:val="auto"/>
          <w:spacing w:val="11"/>
          <w:sz w:val="21"/>
          <w:szCs w:val="21"/>
          <w:highlight w:val="none"/>
        </w:rPr>
        <w:t>提供服</w:t>
      </w:r>
      <w:r>
        <w:rPr>
          <w:rFonts w:hint="eastAsia" w:ascii="宋体" w:hAnsi="宋体" w:eastAsia="宋体" w:cs="宋体"/>
          <w:b w:val="0"/>
          <w:bCs/>
          <w:color w:val="auto"/>
          <w:spacing w:val="14"/>
          <w:sz w:val="21"/>
          <w:szCs w:val="21"/>
          <w:highlight w:val="none"/>
        </w:rPr>
        <w:t>务</w:t>
      </w:r>
      <w:r>
        <w:rPr>
          <w:rFonts w:hint="eastAsia" w:ascii="宋体" w:hAnsi="宋体" w:eastAsia="宋体" w:cs="宋体"/>
          <w:b w:val="0"/>
          <w:bCs/>
          <w:color w:val="auto"/>
          <w:spacing w:val="11"/>
          <w:sz w:val="21"/>
          <w:szCs w:val="21"/>
          <w:highlight w:val="none"/>
        </w:rPr>
        <w:t>，</w:t>
      </w:r>
      <w:r>
        <w:rPr>
          <w:rFonts w:hint="eastAsia" w:ascii="宋体" w:hAnsi="宋体" w:eastAsia="宋体" w:cs="宋体"/>
          <w:b w:val="0"/>
          <w:bCs/>
          <w:color w:val="auto"/>
          <w:spacing w:val="14"/>
          <w:sz w:val="21"/>
          <w:szCs w:val="21"/>
          <w:highlight w:val="none"/>
        </w:rPr>
        <w:t>或</w:t>
      </w:r>
      <w:r>
        <w:rPr>
          <w:rFonts w:hint="eastAsia" w:ascii="宋体" w:hAnsi="宋体" w:eastAsia="宋体" w:cs="宋体"/>
          <w:b w:val="0"/>
          <w:bCs/>
          <w:color w:val="auto"/>
          <w:spacing w:val="11"/>
          <w:sz w:val="21"/>
          <w:szCs w:val="21"/>
          <w:highlight w:val="none"/>
        </w:rPr>
        <w:t>者提</w:t>
      </w:r>
      <w:r>
        <w:rPr>
          <w:rFonts w:hint="eastAsia" w:ascii="宋体" w:hAnsi="宋体" w:eastAsia="宋体" w:cs="宋体"/>
          <w:b w:val="0"/>
          <w:bCs/>
          <w:color w:val="auto"/>
          <w:spacing w:val="14"/>
          <w:sz w:val="21"/>
          <w:szCs w:val="21"/>
          <w:highlight w:val="none"/>
        </w:rPr>
        <w:t>供</w:t>
      </w:r>
      <w:r>
        <w:rPr>
          <w:rFonts w:hint="eastAsia" w:ascii="宋体" w:hAnsi="宋体" w:eastAsia="宋体" w:cs="宋体"/>
          <w:b w:val="0"/>
          <w:bCs/>
          <w:color w:val="auto"/>
          <w:spacing w:val="11"/>
          <w:sz w:val="21"/>
          <w:szCs w:val="21"/>
          <w:highlight w:val="none"/>
        </w:rPr>
        <w:t>其</w:t>
      </w:r>
      <w:r>
        <w:rPr>
          <w:rFonts w:hint="eastAsia" w:ascii="宋体" w:hAnsi="宋体" w:eastAsia="宋体" w:cs="宋体"/>
          <w:b w:val="0"/>
          <w:bCs/>
          <w:color w:val="auto"/>
          <w:sz w:val="21"/>
          <w:szCs w:val="21"/>
          <w:highlight w:val="none"/>
        </w:rPr>
        <w:t>他</w:t>
      </w:r>
      <w:r>
        <w:rPr>
          <w:rFonts w:hint="eastAsia" w:ascii="宋体" w:hAnsi="宋体" w:eastAsia="宋体" w:cs="宋体"/>
          <w:b w:val="0"/>
          <w:bCs/>
          <w:color w:val="auto"/>
          <w:sz w:val="21"/>
          <w:szCs w:val="21"/>
          <w:highlight w:val="none"/>
        </w:rPr>
        <w:tab/>
      </w:r>
      <w:r>
        <w:rPr>
          <w:rFonts w:hint="eastAsia" w:ascii="宋体" w:hAnsi="宋体" w:eastAsia="宋体" w:cs="宋体"/>
          <w:b w:val="0"/>
          <w:bCs/>
          <w:color w:val="auto"/>
          <w:sz w:val="21"/>
          <w:szCs w:val="21"/>
          <w:highlight w:val="none"/>
          <w:u w:val="single"/>
          <w:lang w:val="en-US" w:eastAsia="zh-CN"/>
        </w:rPr>
        <w:t xml:space="preserve">       </w:t>
      </w:r>
      <w:r>
        <w:rPr>
          <w:rFonts w:hint="eastAsia" w:ascii="宋体" w:hAnsi="宋体" w:eastAsia="宋体" w:cs="宋体"/>
          <w:b w:val="0"/>
          <w:bCs/>
          <w:color w:val="auto"/>
          <w:spacing w:val="14"/>
          <w:sz w:val="21"/>
          <w:szCs w:val="21"/>
          <w:highlight w:val="none"/>
        </w:rPr>
        <w:t>（</w:t>
      </w:r>
      <w:r>
        <w:rPr>
          <w:rFonts w:hint="eastAsia" w:ascii="宋体" w:hAnsi="宋体" w:eastAsia="宋体" w:cs="宋体"/>
          <w:b w:val="0"/>
          <w:bCs/>
          <w:color w:val="auto"/>
          <w:spacing w:val="11"/>
          <w:sz w:val="21"/>
          <w:szCs w:val="21"/>
          <w:highlight w:val="none"/>
        </w:rPr>
        <w:t>请填</w:t>
      </w:r>
      <w:r>
        <w:rPr>
          <w:rFonts w:hint="eastAsia" w:ascii="宋体" w:hAnsi="宋体" w:eastAsia="宋体" w:cs="宋体"/>
          <w:b w:val="0"/>
          <w:bCs/>
          <w:color w:val="auto"/>
          <w:spacing w:val="14"/>
          <w:sz w:val="21"/>
          <w:szCs w:val="21"/>
          <w:highlight w:val="none"/>
        </w:rPr>
        <w:t>写</w:t>
      </w:r>
      <w:r>
        <w:rPr>
          <w:rFonts w:hint="eastAsia" w:ascii="宋体" w:hAnsi="宋体" w:eastAsia="宋体" w:cs="宋体"/>
          <w:b w:val="0"/>
          <w:bCs/>
          <w:color w:val="auto"/>
          <w:spacing w:val="11"/>
          <w:sz w:val="21"/>
          <w:szCs w:val="21"/>
          <w:highlight w:val="none"/>
        </w:rPr>
        <w:t>：</w:t>
      </w:r>
      <w:r>
        <w:rPr>
          <w:rFonts w:hint="eastAsia" w:ascii="宋体" w:hAnsi="宋体" w:eastAsia="宋体" w:cs="宋体"/>
          <w:b w:val="0"/>
          <w:bCs/>
          <w:color w:val="auto"/>
          <w:spacing w:val="14"/>
          <w:sz w:val="21"/>
          <w:szCs w:val="21"/>
          <w:highlight w:val="none"/>
        </w:rPr>
        <w:t>中</w:t>
      </w:r>
      <w:r>
        <w:rPr>
          <w:rFonts w:hint="eastAsia" w:ascii="宋体" w:hAnsi="宋体" w:eastAsia="宋体" w:cs="宋体"/>
          <w:b w:val="0"/>
          <w:bCs/>
          <w:color w:val="auto"/>
          <w:spacing w:val="11"/>
          <w:sz w:val="21"/>
          <w:szCs w:val="21"/>
          <w:highlight w:val="none"/>
        </w:rPr>
        <w:t>型、</w:t>
      </w:r>
      <w:r>
        <w:rPr>
          <w:rFonts w:hint="eastAsia" w:ascii="宋体" w:hAnsi="宋体" w:eastAsia="宋体" w:cs="宋体"/>
          <w:b w:val="0"/>
          <w:bCs/>
          <w:color w:val="auto"/>
          <w:spacing w:val="14"/>
          <w:sz w:val="21"/>
          <w:szCs w:val="21"/>
          <w:highlight w:val="none"/>
        </w:rPr>
        <w:t>小</w:t>
      </w:r>
      <w:r>
        <w:rPr>
          <w:rFonts w:hint="eastAsia" w:ascii="宋体" w:hAnsi="宋体" w:eastAsia="宋体" w:cs="宋体"/>
          <w:b w:val="0"/>
          <w:bCs/>
          <w:color w:val="auto"/>
          <w:spacing w:val="11"/>
          <w:sz w:val="21"/>
          <w:szCs w:val="21"/>
          <w:highlight w:val="none"/>
        </w:rPr>
        <w:t>型</w:t>
      </w:r>
      <w:r>
        <w:rPr>
          <w:rFonts w:hint="eastAsia" w:ascii="宋体" w:hAnsi="宋体" w:eastAsia="宋体" w:cs="宋体"/>
          <w:b w:val="0"/>
          <w:bCs/>
          <w:color w:val="auto"/>
          <w:spacing w:val="14"/>
          <w:sz w:val="21"/>
          <w:szCs w:val="21"/>
          <w:highlight w:val="none"/>
        </w:rPr>
        <w:t>、</w:t>
      </w:r>
      <w:r>
        <w:rPr>
          <w:rFonts w:hint="eastAsia" w:ascii="宋体" w:hAnsi="宋体" w:eastAsia="宋体" w:cs="宋体"/>
          <w:b w:val="0"/>
          <w:bCs/>
          <w:color w:val="auto"/>
          <w:spacing w:val="11"/>
          <w:sz w:val="21"/>
          <w:szCs w:val="21"/>
          <w:highlight w:val="none"/>
        </w:rPr>
        <w:t>微型</w:t>
      </w:r>
      <w:r>
        <w:rPr>
          <w:rFonts w:hint="eastAsia" w:ascii="宋体" w:hAnsi="宋体" w:eastAsia="宋体" w:cs="宋体"/>
          <w:b w:val="0"/>
          <w:bCs/>
          <w:color w:val="auto"/>
          <w:spacing w:val="14"/>
          <w:sz w:val="21"/>
          <w:szCs w:val="21"/>
          <w:highlight w:val="none"/>
        </w:rPr>
        <w:t>）</w:t>
      </w:r>
      <w:r>
        <w:rPr>
          <w:rFonts w:hint="eastAsia" w:ascii="宋体" w:hAnsi="宋体" w:eastAsia="宋体" w:cs="宋体"/>
          <w:b w:val="0"/>
          <w:bCs/>
          <w:color w:val="auto"/>
          <w:spacing w:val="11"/>
          <w:sz w:val="21"/>
          <w:szCs w:val="21"/>
          <w:highlight w:val="none"/>
        </w:rPr>
        <w:t>企业</w:t>
      </w:r>
      <w:r>
        <w:rPr>
          <w:rFonts w:hint="eastAsia" w:ascii="宋体" w:hAnsi="宋体" w:eastAsia="宋体" w:cs="宋体"/>
          <w:b w:val="0"/>
          <w:bCs/>
          <w:color w:val="auto"/>
          <w:sz w:val="21"/>
          <w:szCs w:val="21"/>
          <w:highlight w:val="none"/>
        </w:rPr>
        <w:t>制造的货物。本条所称货物不包括使用大型企业注册商标的货物。</w:t>
      </w:r>
    </w:p>
    <w:p>
      <w:pPr>
        <w:pStyle w:val="9"/>
        <w:pageBreakBefore w:val="0"/>
        <w:widowControl w:val="0"/>
        <w:kinsoku/>
        <w:wordWrap/>
        <w:overflowPunct/>
        <w:topLinePunct w:val="0"/>
        <w:autoSpaceDE/>
        <w:autoSpaceDN/>
        <w:bidi w:val="0"/>
        <w:adjustRightInd/>
        <w:snapToGrid/>
        <w:spacing w:before="11" w:line="400" w:lineRule="exact"/>
        <w:textAlignment w:val="auto"/>
        <w:rPr>
          <w:rFonts w:hint="eastAsia" w:ascii="宋体" w:hAnsi="宋体" w:eastAsia="宋体" w:cs="宋体"/>
          <w:b w:val="0"/>
          <w:bCs/>
          <w:color w:val="auto"/>
          <w:sz w:val="21"/>
          <w:szCs w:val="21"/>
          <w:highlight w:val="none"/>
        </w:rPr>
      </w:pPr>
    </w:p>
    <w:p>
      <w:pPr>
        <w:pStyle w:val="5"/>
        <w:pageBreakBefore w:val="0"/>
        <w:widowControl w:val="0"/>
        <w:kinsoku/>
        <w:wordWrap/>
        <w:overflowPunct/>
        <w:topLinePunct w:val="0"/>
        <w:autoSpaceDE/>
        <w:autoSpaceDN/>
        <w:bidi w:val="0"/>
        <w:adjustRightInd/>
        <w:snapToGrid/>
        <w:spacing w:line="400" w:lineRule="exact"/>
        <w:ind w:left="802"/>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本公司对上述声明的真实性负责。如有虚假，将依法承担相应责任。</w:t>
      </w:r>
    </w:p>
    <w:p>
      <w:pPr>
        <w:pStyle w:val="9"/>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val="0"/>
          <w:bCs/>
          <w:color w:val="auto"/>
          <w:sz w:val="21"/>
          <w:szCs w:val="21"/>
          <w:highlight w:val="none"/>
        </w:rPr>
      </w:pPr>
    </w:p>
    <w:p>
      <w:pPr>
        <w:pStyle w:val="9"/>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val="0"/>
          <w:bCs/>
          <w:color w:val="auto"/>
          <w:sz w:val="21"/>
          <w:szCs w:val="21"/>
          <w:highlight w:val="none"/>
        </w:rPr>
      </w:pPr>
    </w:p>
    <w:p>
      <w:pPr>
        <w:pStyle w:val="9"/>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val="0"/>
          <w:bCs/>
          <w:color w:val="auto"/>
          <w:sz w:val="21"/>
          <w:szCs w:val="21"/>
          <w:highlight w:val="none"/>
        </w:rPr>
      </w:pPr>
    </w:p>
    <w:p>
      <w:pPr>
        <w:pStyle w:val="9"/>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val="0"/>
          <w:bCs/>
          <w:color w:val="auto"/>
          <w:sz w:val="21"/>
          <w:szCs w:val="21"/>
          <w:highlight w:val="none"/>
        </w:rPr>
      </w:pPr>
    </w:p>
    <w:p>
      <w:pPr>
        <w:pStyle w:val="9"/>
        <w:pageBreakBefore w:val="0"/>
        <w:widowControl w:val="0"/>
        <w:kinsoku/>
        <w:wordWrap/>
        <w:overflowPunct/>
        <w:topLinePunct w:val="0"/>
        <w:autoSpaceDE/>
        <w:autoSpaceDN/>
        <w:bidi w:val="0"/>
        <w:adjustRightInd/>
        <w:snapToGrid/>
        <w:spacing w:before="8" w:line="400" w:lineRule="exact"/>
        <w:textAlignment w:val="auto"/>
        <w:rPr>
          <w:rFonts w:hint="eastAsia" w:ascii="宋体" w:hAnsi="宋体" w:eastAsia="宋体" w:cs="宋体"/>
          <w:b w:val="0"/>
          <w:bCs/>
          <w:color w:val="auto"/>
          <w:sz w:val="21"/>
          <w:szCs w:val="21"/>
          <w:highlight w:val="none"/>
        </w:rPr>
      </w:pPr>
    </w:p>
    <w:p>
      <w:pPr>
        <w:pStyle w:val="5"/>
        <w:pageBreakBefore w:val="0"/>
        <w:widowControl w:val="0"/>
        <w:kinsoku/>
        <w:wordWrap/>
        <w:overflowPunct/>
        <w:topLinePunct w:val="0"/>
        <w:autoSpaceDE/>
        <w:autoSpaceDN/>
        <w:bidi w:val="0"/>
        <w:adjustRightInd/>
        <w:snapToGrid/>
        <w:spacing w:before="1" w:line="400" w:lineRule="exact"/>
        <w:ind w:left="4812" w:right="851"/>
        <w:jc w:val="center"/>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pacing w:val="11"/>
          <w:sz w:val="21"/>
          <w:szCs w:val="21"/>
          <w:highlight w:val="none"/>
        </w:rPr>
        <w:t>企业名称（</w:t>
      </w:r>
      <w:r>
        <w:rPr>
          <w:rFonts w:hint="eastAsia" w:ascii="宋体" w:hAnsi="宋体" w:eastAsia="宋体" w:cs="宋体"/>
          <w:b w:val="0"/>
          <w:bCs/>
          <w:color w:val="auto"/>
          <w:spacing w:val="12"/>
          <w:sz w:val="21"/>
          <w:szCs w:val="21"/>
          <w:highlight w:val="none"/>
        </w:rPr>
        <w:t>盖章</w:t>
      </w:r>
      <w:r>
        <w:rPr>
          <w:rFonts w:hint="eastAsia" w:ascii="宋体" w:hAnsi="宋体" w:eastAsia="宋体" w:cs="宋体"/>
          <w:b w:val="0"/>
          <w:bCs/>
          <w:color w:val="auto"/>
          <w:spacing w:val="-116"/>
          <w:sz w:val="21"/>
          <w:szCs w:val="21"/>
          <w:highlight w:val="none"/>
        </w:rPr>
        <w:t>）</w:t>
      </w:r>
      <w:r>
        <w:rPr>
          <w:rFonts w:hint="eastAsia" w:ascii="宋体" w:hAnsi="宋体" w:eastAsia="宋体" w:cs="宋体"/>
          <w:b w:val="0"/>
          <w:bCs/>
          <w:color w:val="auto"/>
          <w:sz w:val="21"/>
          <w:szCs w:val="21"/>
          <w:highlight w:val="none"/>
        </w:rPr>
        <w:t>：</w:t>
      </w:r>
    </w:p>
    <w:p>
      <w:pPr>
        <w:pStyle w:val="5"/>
        <w:pageBreakBefore w:val="0"/>
        <w:widowControl w:val="0"/>
        <w:tabs>
          <w:tab w:val="left" w:pos="1659"/>
        </w:tabs>
        <w:kinsoku/>
        <w:wordWrap/>
        <w:overflowPunct/>
        <w:topLinePunct w:val="0"/>
        <w:autoSpaceDE/>
        <w:autoSpaceDN/>
        <w:bidi w:val="0"/>
        <w:adjustRightInd/>
        <w:snapToGrid/>
        <w:spacing w:before="64" w:line="400" w:lineRule="exact"/>
        <w:ind w:left="1143"/>
        <w:jc w:val="center"/>
        <w:textAlignment w:val="auto"/>
        <w:rPr>
          <w:rFonts w:hint="eastAsia" w:ascii="宋体" w:hAnsi="宋体" w:eastAsia="宋体" w:cs="宋体"/>
          <w:b w:val="0"/>
          <w:bCs/>
          <w:color w:val="auto"/>
          <w:spacing w:val="12"/>
          <w:sz w:val="21"/>
          <w:szCs w:val="21"/>
          <w:highlight w:val="none"/>
        </w:rPr>
      </w:pPr>
      <w:r>
        <w:rPr>
          <w:rFonts w:hint="eastAsia" w:ascii="宋体" w:hAnsi="宋体" w:eastAsia="宋体" w:cs="宋体"/>
          <w:b w:val="0"/>
          <w:bCs/>
          <w:color w:val="auto"/>
          <w:sz w:val="21"/>
          <w:szCs w:val="21"/>
          <w:highlight w:val="none"/>
          <w:lang w:val="en-US" w:eastAsia="zh-CN"/>
        </w:rPr>
        <w:t xml:space="preserve">                  </w:t>
      </w:r>
      <w:r>
        <w:rPr>
          <w:rFonts w:hint="eastAsia" w:ascii="宋体" w:hAnsi="宋体" w:eastAsia="宋体" w:cs="宋体"/>
          <w:b w:val="0"/>
          <w:bCs/>
          <w:color w:val="auto"/>
          <w:sz w:val="21"/>
          <w:szCs w:val="21"/>
          <w:highlight w:val="none"/>
        </w:rPr>
        <w:t>日</w:t>
      </w:r>
      <w:r>
        <w:rPr>
          <w:rFonts w:hint="eastAsia" w:ascii="宋体" w:hAnsi="宋体" w:eastAsia="宋体" w:cs="宋体"/>
          <w:b w:val="0"/>
          <w:bCs/>
          <w:color w:val="auto"/>
          <w:sz w:val="21"/>
          <w:szCs w:val="21"/>
          <w:highlight w:val="none"/>
        </w:rPr>
        <w:tab/>
      </w:r>
      <w:r>
        <w:rPr>
          <w:rFonts w:hint="eastAsia" w:ascii="宋体" w:hAnsi="宋体" w:eastAsia="宋体" w:cs="宋体"/>
          <w:b w:val="0"/>
          <w:bCs/>
          <w:color w:val="auto"/>
          <w:spacing w:val="12"/>
          <w:sz w:val="21"/>
          <w:szCs w:val="21"/>
          <w:highlight w:val="none"/>
        </w:rPr>
        <w:t>期：</w:t>
      </w:r>
    </w:p>
    <w:p>
      <w:pPr>
        <w:rPr>
          <w:rFonts w:hint="eastAsia"/>
          <w:color w:val="auto"/>
          <w:highlight w:val="none"/>
        </w:rPr>
      </w:pPr>
    </w:p>
    <w:p>
      <w:pPr>
        <w:tabs>
          <w:tab w:val="left" w:pos="1305"/>
        </w:tabs>
        <w:spacing w:line="400" w:lineRule="atLeast"/>
        <w:ind w:firstLine="472" w:firstLineChars="196"/>
        <w:rPr>
          <w:rFonts w:ascii="宋体" w:hAnsi="宋体" w:eastAsia="宋体" w:cs="宋体"/>
          <w:b/>
          <w:color w:val="auto"/>
          <w:sz w:val="24"/>
          <w:highlight w:val="none"/>
        </w:rPr>
      </w:pPr>
      <w:r>
        <w:rPr>
          <w:rFonts w:hint="eastAsia" w:ascii="宋体" w:hAnsi="宋体" w:eastAsia="宋体" w:cs="宋体"/>
          <w:b/>
          <w:color w:val="auto"/>
          <w:sz w:val="24"/>
          <w:highlight w:val="none"/>
        </w:rPr>
        <w:t>注：</w:t>
      </w:r>
      <w:r>
        <w:rPr>
          <w:rFonts w:hint="eastAsia" w:ascii="宋体" w:hAnsi="宋体" w:eastAsia="宋体" w:cs="宋体"/>
          <w:b/>
          <w:color w:val="auto"/>
          <w:spacing w:val="12"/>
          <w:sz w:val="21"/>
          <w:szCs w:val="21"/>
          <w:highlight w:val="none"/>
          <w:lang w:val="en-US" w:eastAsia="zh-CN"/>
        </w:rPr>
        <w:t>中小企业在政府采购活动过程中，请根据自己的真实情况出具本声明函。依法享受中小企业优惠政策的，采购人或采购代理机构在公告中标结果时，同时公告其《中小企业声明函》，接受社会监督</w:t>
      </w:r>
      <w:r>
        <w:rPr>
          <w:rFonts w:hint="eastAsia" w:ascii="宋体" w:hAnsi="宋体" w:eastAsia="宋体" w:cs="宋体"/>
          <w:b/>
          <w:color w:val="auto"/>
          <w:sz w:val="24"/>
          <w:highlight w:val="none"/>
        </w:rPr>
        <w:t>。</w:t>
      </w:r>
    </w:p>
    <w:p>
      <w:pPr>
        <w:pStyle w:val="4"/>
        <w:rPr>
          <w:rFonts w:hint="eastAsia"/>
          <w:color w:val="auto"/>
          <w:highlight w:val="none"/>
        </w:rPr>
        <w:sectPr>
          <w:footerReference r:id="rId12" w:type="default"/>
          <w:pgSz w:w="11910" w:h="16840"/>
          <w:pgMar w:top="1580" w:right="720" w:bottom="920" w:left="1120" w:header="0" w:footer="642" w:gutter="0"/>
          <w:pgNumType w:fmt="decimal"/>
          <w:cols w:space="720" w:num="1"/>
        </w:sectPr>
      </w:pPr>
    </w:p>
    <w:p>
      <w:pPr>
        <w:tabs>
          <w:tab w:val="left" w:pos="1305"/>
        </w:tabs>
        <w:spacing w:line="380" w:lineRule="exact"/>
        <w:rPr>
          <w:rFonts w:hint="eastAsia" w:ascii="宋体" w:hAnsi="宋体"/>
          <w:b/>
          <w:bCs/>
          <w:color w:val="auto"/>
          <w:sz w:val="32"/>
          <w:szCs w:val="32"/>
          <w:highlight w:val="none"/>
        </w:rPr>
      </w:pPr>
      <w:r>
        <w:rPr>
          <w:rFonts w:hint="eastAsia" w:ascii="宋体" w:hAnsi="宋体"/>
          <w:b/>
          <w:bCs/>
          <w:color w:val="auto"/>
          <w:sz w:val="32"/>
          <w:szCs w:val="32"/>
          <w:highlight w:val="none"/>
          <w:lang w:val="en-US" w:eastAsia="zh-CN"/>
        </w:rPr>
        <w:t>17</w:t>
      </w:r>
      <w:r>
        <w:rPr>
          <w:rFonts w:hint="eastAsia" w:ascii="宋体" w:hAnsi="宋体"/>
          <w:b/>
          <w:bCs/>
          <w:color w:val="auto"/>
          <w:sz w:val="32"/>
          <w:szCs w:val="32"/>
          <w:highlight w:val="none"/>
        </w:rPr>
        <w:t>.符合条件的残疾人福利性单位在参加政府采购活动时，应当提供《残疾人福利性单位声明函》（见附件），并对声明的真实性负责</w:t>
      </w:r>
      <w:r>
        <w:rPr>
          <w:rFonts w:hint="eastAsia" w:ascii="宋体" w:hAnsi="宋体"/>
          <w:b/>
          <w:bCs/>
          <w:color w:val="auto"/>
          <w:sz w:val="32"/>
          <w:szCs w:val="32"/>
          <w:highlight w:val="none"/>
          <w:lang w:eastAsia="zh-CN"/>
        </w:rPr>
        <w:t>（如有，请提供）</w:t>
      </w:r>
      <w:r>
        <w:rPr>
          <w:rFonts w:hint="eastAsia" w:ascii="宋体" w:hAnsi="宋体"/>
          <w:b/>
          <w:bCs/>
          <w:color w:val="auto"/>
          <w:sz w:val="32"/>
          <w:szCs w:val="32"/>
          <w:highlight w:val="none"/>
        </w:rPr>
        <w:t>。</w:t>
      </w:r>
    </w:p>
    <w:p>
      <w:pPr>
        <w:pStyle w:val="10"/>
        <w:spacing w:line="400" w:lineRule="exact"/>
        <w:ind w:right="4" w:rightChars="2"/>
        <w:rPr>
          <w:rFonts w:hAnsi="宋体"/>
          <w:b/>
          <w:color w:val="auto"/>
          <w:sz w:val="32"/>
          <w:szCs w:val="32"/>
          <w:highlight w:val="none"/>
        </w:rPr>
      </w:pPr>
    </w:p>
    <w:p>
      <w:pPr>
        <w:spacing w:line="588" w:lineRule="exact"/>
        <w:jc w:val="center"/>
        <w:rPr>
          <w:rFonts w:ascii="仿宋_GB2312" w:eastAsia="仿宋_GB2312"/>
          <w:b/>
          <w:color w:val="auto"/>
          <w:spacing w:val="6"/>
          <w:sz w:val="32"/>
          <w:szCs w:val="32"/>
          <w:highlight w:val="none"/>
        </w:rPr>
      </w:pPr>
      <w:bookmarkStart w:id="48" w:name="OLE_LINK13"/>
      <w:bookmarkStart w:id="49" w:name="OLE_LINK14"/>
      <w:r>
        <w:rPr>
          <w:rFonts w:hint="eastAsia" w:ascii="仿宋_GB2312" w:eastAsia="仿宋_GB2312"/>
          <w:b/>
          <w:color w:val="auto"/>
          <w:spacing w:val="6"/>
          <w:sz w:val="32"/>
          <w:szCs w:val="32"/>
          <w:highlight w:val="none"/>
        </w:rPr>
        <w:t>残疾人福利性单位声明函</w:t>
      </w:r>
    </w:p>
    <w:bookmarkEnd w:id="48"/>
    <w:bookmarkEnd w:id="49"/>
    <w:p>
      <w:pPr>
        <w:spacing w:line="588" w:lineRule="exact"/>
        <w:rPr>
          <w:rFonts w:ascii="仿宋_GB2312" w:eastAsia="仿宋_GB2312"/>
          <w:b/>
          <w:color w:val="auto"/>
          <w:spacing w:val="6"/>
          <w:sz w:val="30"/>
          <w:szCs w:val="30"/>
          <w:highlight w:val="none"/>
        </w:rPr>
      </w:pPr>
    </w:p>
    <w:p>
      <w:pPr>
        <w:spacing w:line="588" w:lineRule="exact"/>
        <w:ind w:firstLine="444"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本单位郑重声明，根据《财政部 民政部 中国残疾人联合会关于促进残疾人就业政府采购政策的通知》（财库</w:t>
      </w:r>
      <w:r>
        <w:rPr>
          <w:rFonts w:hint="eastAsia" w:ascii="宋体" w:hAnsi="宋体" w:eastAsia="宋体" w:cs="宋体"/>
          <w:color w:val="auto"/>
          <w:sz w:val="21"/>
          <w:szCs w:val="21"/>
          <w:highlight w:val="none"/>
        </w:rPr>
        <w:t>〔2017〕 141</w:t>
      </w:r>
      <w:r>
        <w:rPr>
          <w:rFonts w:hint="eastAsia" w:ascii="宋体" w:hAnsi="宋体" w:eastAsia="宋体" w:cs="宋体"/>
          <w:color w:val="auto"/>
          <w:spacing w:val="6"/>
          <w:sz w:val="21"/>
          <w:szCs w:val="21"/>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444"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本单位对上述声明的真实性负责。如有虚假，将依法承担相应责任。</w:t>
      </w:r>
    </w:p>
    <w:p>
      <w:pPr>
        <w:spacing w:line="588" w:lineRule="exact"/>
        <w:ind w:firstLine="444" w:firstLineChars="200"/>
        <w:rPr>
          <w:rFonts w:hint="eastAsia" w:ascii="宋体" w:hAnsi="宋体" w:eastAsia="宋体" w:cs="宋体"/>
          <w:color w:val="auto"/>
          <w:spacing w:val="6"/>
          <w:sz w:val="21"/>
          <w:szCs w:val="21"/>
          <w:highlight w:val="none"/>
        </w:rPr>
      </w:pPr>
    </w:p>
    <w:p>
      <w:pPr>
        <w:spacing w:line="588" w:lineRule="exact"/>
        <w:ind w:firstLine="444" w:firstLineChars="200"/>
        <w:rPr>
          <w:rFonts w:hint="eastAsia" w:ascii="宋体" w:hAnsi="宋体" w:eastAsia="宋体" w:cs="宋体"/>
          <w:color w:val="auto"/>
          <w:spacing w:val="6"/>
          <w:sz w:val="21"/>
          <w:szCs w:val="21"/>
          <w:highlight w:val="none"/>
        </w:rPr>
      </w:pPr>
    </w:p>
    <w:p>
      <w:pPr>
        <w:tabs>
          <w:tab w:val="left" w:pos="4860"/>
        </w:tabs>
        <w:spacing w:line="588" w:lineRule="exact"/>
        <w:ind w:right="1560" w:firstLine="444" w:firstLineChars="200"/>
        <w:jc w:val="center"/>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lang w:val="en-US" w:eastAsia="zh-CN"/>
        </w:rPr>
        <w:t xml:space="preserve">                                         </w:t>
      </w:r>
      <w:r>
        <w:rPr>
          <w:rFonts w:hint="eastAsia" w:ascii="宋体" w:hAnsi="宋体" w:eastAsia="宋体" w:cs="宋体"/>
          <w:color w:val="auto"/>
          <w:spacing w:val="6"/>
          <w:sz w:val="21"/>
          <w:szCs w:val="21"/>
          <w:highlight w:val="none"/>
        </w:rPr>
        <w:t>单位名称（盖章）：</w:t>
      </w:r>
    </w:p>
    <w:p>
      <w:pPr>
        <w:tabs>
          <w:tab w:val="left" w:pos="4860"/>
        </w:tabs>
        <w:spacing w:line="588" w:lineRule="exact"/>
        <w:ind w:right="1560" w:firstLine="444" w:firstLineChars="200"/>
        <w:jc w:val="center"/>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lang w:val="en-US" w:eastAsia="zh-CN"/>
        </w:rPr>
        <w:t xml:space="preserve">                                            </w:t>
      </w:r>
      <w:r>
        <w:rPr>
          <w:rFonts w:hint="eastAsia" w:ascii="宋体" w:hAnsi="宋体" w:eastAsia="宋体" w:cs="宋体"/>
          <w:color w:val="auto"/>
          <w:spacing w:val="6"/>
          <w:sz w:val="21"/>
          <w:szCs w:val="21"/>
          <w:highlight w:val="none"/>
        </w:rPr>
        <w:t>日  期：</w:t>
      </w:r>
    </w:p>
    <w:p>
      <w:pPr>
        <w:pStyle w:val="10"/>
        <w:spacing w:line="400" w:lineRule="exact"/>
        <w:ind w:right="4" w:rightChars="2"/>
        <w:rPr>
          <w:rFonts w:hAnsi="宋体"/>
          <w:b/>
          <w:color w:val="auto"/>
          <w:sz w:val="32"/>
          <w:szCs w:val="32"/>
          <w:highlight w:val="none"/>
        </w:rPr>
      </w:pPr>
    </w:p>
    <w:p>
      <w:pPr>
        <w:pStyle w:val="10"/>
        <w:spacing w:line="400" w:lineRule="exact"/>
        <w:ind w:right="4" w:rightChars="2"/>
        <w:rPr>
          <w:rFonts w:hAnsi="宋体"/>
          <w:b/>
          <w:color w:val="auto"/>
          <w:sz w:val="32"/>
          <w:szCs w:val="32"/>
          <w:highlight w:val="none"/>
        </w:rPr>
      </w:pPr>
    </w:p>
    <w:p>
      <w:pPr>
        <w:tabs>
          <w:tab w:val="left" w:pos="1305"/>
        </w:tabs>
        <w:spacing w:line="400" w:lineRule="atLeast"/>
        <w:ind w:firstLine="472" w:firstLineChars="196"/>
        <w:rPr>
          <w:rFonts w:ascii="宋体" w:hAnsi="宋体" w:eastAsia="宋体" w:cs="宋体"/>
          <w:b/>
          <w:color w:val="auto"/>
          <w:sz w:val="24"/>
          <w:highlight w:val="none"/>
        </w:rPr>
      </w:pPr>
      <w:r>
        <w:rPr>
          <w:rFonts w:hint="eastAsia" w:ascii="宋体" w:hAnsi="宋体" w:eastAsia="宋体" w:cs="宋体"/>
          <w:b/>
          <w:color w:val="auto"/>
          <w:sz w:val="24"/>
          <w:highlight w:val="none"/>
        </w:rPr>
        <w:t>注：</w:t>
      </w:r>
      <w:r>
        <w:rPr>
          <w:rFonts w:hint="eastAsia" w:ascii="宋体" w:hAnsi="宋体" w:eastAsia="宋体" w:cs="宋体"/>
          <w:b/>
          <w:color w:val="auto"/>
          <w:spacing w:val="12"/>
          <w:sz w:val="21"/>
          <w:szCs w:val="21"/>
          <w:highlight w:val="none"/>
          <w:lang w:eastAsia="zh-CN"/>
        </w:rPr>
        <w:t>残疾人福利性单位</w:t>
      </w:r>
      <w:r>
        <w:rPr>
          <w:rFonts w:hint="eastAsia" w:ascii="宋体" w:hAnsi="宋体" w:eastAsia="宋体" w:cs="宋体"/>
          <w:b/>
          <w:color w:val="auto"/>
          <w:spacing w:val="12"/>
          <w:sz w:val="21"/>
          <w:szCs w:val="21"/>
          <w:highlight w:val="none"/>
          <w:lang w:val="en-US" w:eastAsia="zh-CN"/>
        </w:rPr>
        <w:t>在政府采购活动过程中，请根据自己的真实情况出具本声明函。依法享受残疾人福利性单位优惠政策的，采购人或采购代理机构在公告中标结果时，同时公告其《残疾人福利性单位声明函》，接受社会监督</w:t>
      </w:r>
      <w:r>
        <w:rPr>
          <w:rFonts w:hint="eastAsia" w:ascii="宋体" w:hAnsi="宋体" w:eastAsia="宋体" w:cs="宋体"/>
          <w:b/>
          <w:color w:val="auto"/>
          <w:sz w:val="24"/>
          <w:highlight w:val="none"/>
        </w:rPr>
        <w:t>。</w:t>
      </w:r>
    </w:p>
    <w:p>
      <w:pPr>
        <w:pStyle w:val="10"/>
        <w:spacing w:line="400" w:lineRule="exact"/>
        <w:ind w:right="4" w:rightChars="2"/>
        <w:rPr>
          <w:rFonts w:hAnsi="宋体"/>
          <w:b/>
          <w:color w:val="auto"/>
          <w:sz w:val="32"/>
          <w:szCs w:val="32"/>
          <w:highlight w:val="none"/>
        </w:rPr>
      </w:pPr>
    </w:p>
    <w:p>
      <w:pPr>
        <w:pStyle w:val="10"/>
        <w:spacing w:line="400" w:lineRule="exact"/>
        <w:ind w:right="4" w:rightChars="2"/>
        <w:rPr>
          <w:rFonts w:hAnsi="宋体"/>
          <w:b/>
          <w:color w:val="auto"/>
          <w:sz w:val="32"/>
          <w:szCs w:val="32"/>
          <w:highlight w:val="none"/>
        </w:rPr>
      </w:pPr>
    </w:p>
    <w:p>
      <w:pPr>
        <w:pStyle w:val="10"/>
        <w:spacing w:line="400" w:lineRule="exact"/>
        <w:ind w:right="4" w:rightChars="2"/>
        <w:rPr>
          <w:rFonts w:hAnsi="宋体"/>
          <w:b/>
          <w:color w:val="auto"/>
          <w:sz w:val="32"/>
          <w:szCs w:val="32"/>
          <w:highlight w:val="none"/>
        </w:rPr>
      </w:pPr>
    </w:p>
    <w:p>
      <w:pPr>
        <w:pStyle w:val="10"/>
        <w:spacing w:line="400" w:lineRule="exact"/>
        <w:ind w:right="4" w:rightChars="2"/>
        <w:rPr>
          <w:rFonts w:hint="eastAsia"/>
          <w:b/>
          <w:bCs/>
          <w:color w:val="auto"/>
          <w:sz w:val="32"/>
          <w:szCs w:val="32"/>
          <w:highlight w:val="none"/>
        </w:rPr>
      </w:pPr>
      <w:r>
        <w:rPr>
          <w:rFonts w:hint="eastAsia" w:hAnsi="宋体"/>
          <w:b/>
          <w:color w:val="auto"/>
          <w:sz w:val="32"/>
          <w:szCs w:val="32"/>
          <w:highlight w:val="none"/>
          <w:lang w:val="en-US" w:eastAsia="zh-CN"/>
        </w:rPr>
        <w:t>18</w:t>
      </w:r>
      <w:r>
        <w:rPr>
          <w:rFonts w:hint="eastAsia" w:hAnsi="宋体"/>
          <w:b/>
          <w:color w:val="auto"/>
          <w:sz w:val="32"/>
          <w:szCs w:val="32"/>
          <w:highlight w:val="none"/>
        </w:rPr>
        <w:t>、供应商可结合本项目的特点视自身情况自行提交相关证明材料。</w:t>
      </w:r>
    </w:p>
    <w:p>
      <w:pPr>
        <w:rPr>
          <w:color w:val="auto"/>
          <w:highlight w:val="none"/>
        </w:rPr>
      </w:pPr>
    </w:p>
    <w:sectPr>
      <w:footerReference r:id="rId13" w:type="default"/>
      <w:pgSz w:w="11906" w:h="16838"/>
      <w:pgMar w:top="1134" w:right="992" w:bottom="1134" w:left="1134" w:header="720" w:footer="720"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华文新魏">
    <w:panose1 w:val="02010800040101010101"/>
    <w:charset w:val="86"/>
    <w:family w:val="auto"/>
    <w:pitch w:val="default"/>
    <w:sig w:usb0="00000001" w:usb1="080F0000" w:usb2="00000000" w:usb3="00000000" w:csb0="00040000" w:csb1="00000000"/>
  </w:font>
  <w:font w:name="文鼎中隶简">
    <w:altName w:val="宋体"/>
    <w:panose1 w:val="00000000000000000000"/>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both"/>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1"/>
                            <w:jc w:val="both"/>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pPr>
                      <w:pStyle w:val="11"/>
                      <w:jc w:val="both"/>
                    </w:pPr>
                  </w:p>
                </w:txbxContent>
              </v:textbox>
            </v:shape>
          </w:pict>
        </mc:Fallback>
      </mc:AlternateContent>
    </w:r>
  </w:p>
  <w:p>
    <w:pPr>
      <w:pStyle w:val="1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360"/>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1"/>
                            <w:jc w:val="both"/>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pPr>
                      <w:pStyle w:val="11"/>
                      <w:jc w:val="both"/>
                    </w:pPr>
                  </w:p>
                </w:txbxContent>
              </v:textbox>
            </v:shape>
          </w:pict>
        </mc:Fallback>
      </mc:AlternateContent>
    </w:r>
  </w:p>
  <w:p>
    <w:pPr>
      <w:pStyle w:val="11"/>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360"/>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both"/>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1"/>
                            <w:jc w:val="both"/>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1fWDnscBAACZAwAADgAAAAAAAAABACAAAAAeAQAAZHJzL2Uyb0RvYy54&#10;bWxQSwUGAAAAAAYABgBZAQAAVwUAAAAA&#10;">
              <v:fill on="f" focussize="0,0"/>
              <v:stroke on="f"/>
              <v:imagedata o:title=""/>
              <o:lock v:ext="edit" aspectratio="f"/>
              <v:textbox inset="0mm,0mm,0mm,0mm" style="mso-fit-shape-to-text:t;">
                <w:txbxContent>
                  <w:p>
                    <w:pPr>
                      <w:pStyle w:val="11"/>
                      <w:jc w:val="both"/>
                    </w:pPr>
                  </w:p>
                </w:txbxContent>
              </v:textbox>
            </v:shape>
          </w:pict>
        </mc:Fallback>
      </mc:AlternateContent>
    </w:r>
  </w:p>
  <w:p>
    <w:pPr>
      <w:pStyle w:val="11"/>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F7DFB19"/>
    <w:multiLevelType w:val="singleLevel"/>
    <w:tmpl w:val="9F7DFB19"/>
    <w:lvl w:ilvl="0" w:tentative="0">
      <w:start w:val="1"/>
      <w:numFmt w:val="decimal"/>
      <w:suff w:val="nothing"/>
      <w:lvlText w:val="%1、"/>
      <w:lvlJc w:val="left"/>
    </w:lvl>
  </w:abstractNum>
  <w:abstractNum w:abstractNumId="1">
    <w:nsid w:val="046714CB"/>
    <w:multiLevelType w:val="multilevel"/>
    <w:tmpl w:val="046714CB"/>
    <w:lvl w:ilvl="0" w:tentative="0">
      <w:start w:val="4"/>
      <w:numFmt w:val="decimal"/>
      <w:lvlText w:val="%1、"/>
      <w:lvlJc w:val="left"/>
      <w:pPr>
        <w:tabs>
          <w:tab w:val="left" w:pos="780"/>
        </w:tabs>
        <w:ind w:left="780" w:hanging="360"/>
      </w:pPr>
      <w:rPr>
        <w:rFonts w:hint="default"/>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2">
    <w:nsid w:val="2B092D39"/>
    <w:multiLevelType w:val="multilevel"/>
    <w:tmpl w:val="2B092D39"/>
    <w:lvl w:ilvl="0" w:tentative="0">
      <w:start w:val="2"/>
      <w:numFmt w:val="decimal"/>
      <w:lvlText w:val="%1、"/>
      <w:lvlJc w:val="left"/>
      <w:pPr>
        <w:tabs>
          <w:tab w:val="left" w:pos="780"/>
        </w:tabs>
        <w:ind w:left="780" w:hanging="360"/>
      </w:pPr>
      <w:rPr>
        <w:rFonts w:hint="default"/>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3">
    <w:nsid w:val="377A23A3"/>
    <w:multiLevelType w:val="singleLevel"/>
    <w:tmpl w:val="377A23A3"/>
    <w:lvl w:ilvl="0" w:tentative="0">
      <w:start w:val="1"/>
      <w:numFmt w:val="chineseCounting"/>
      <w:suff w:val="nothing"/>
      <w:lvlText w:val="%1、"/>
      <w:lvlJc w:val="left"/>
      <w:rPr>
        <w:rFonts w:hint="eastAsia"/>
      </w:rPr>
    </w:lvl>
  </w:abstractNum>
  <w:abstractNum w:abstractNumId="4">
    <w:nsid w:val="57D75E65"/>
    <w:multiLevelType w:val="singleLevel"/>
    <w:tmpl w:val="57D75E65"/>
    <w:lvl w:ilvl="0" w:tentative="0">
      <w:start w:val="5"/>
      <w:numFmt w:val="decimal"/>
      <w:suff w:val="nothing"/>
      <w:lvlText w:val="%1、"/>
      <w:lvlJc w:val="left"/>
    </w:lvl>
  </w:abstractNum>
  <w:abstractNum w:abstractNumId="5">
    <w:nsid w:val="5AA8A673"/>
    <w:multiLevelType w:val="singleLevel"/>
    <w:tmpl w:val="5AA8A673"/>
    <w:lvl w:ilvl="0" w:tentative="0">
      <w:start w:val="2"/>
      <w:numFmt w:val="chineseCounting"/>
      <w:suff w:val="nothing"/>
      <w:lvlText w:val="%1、"/>
      <w:lvlJc w:val="left"/>
    </w:lvl>
  </w:abstractNum>
  <w:abstractNum w:abstractNumId="6">
    <w:nsid w:val="64E69668"/>
    <w:multiLevelType w:val="singleLevel"/>
    <w:tmpl w:val="64E69668"/>
    <w:lvl w:ilvl="0" w:tentative="0">
      <w:start w:val="31"/>
      <w:numFmt w:val="decimal"/>
      <w:suff w:val="nothing"/>
      <w:lvlText w:val="%1、"/>
      <w:lvlJc w:val="left"/>
    </w:lvl>
  </w:abstractNum>
  <w:abstractNum w:abstractNumId="7">
    <w:nsid w:val="65CD0074"/>
    <w:multiLevelType w:val="multilevel"/>
    <w:tmpl w:val="65CD0074"/>
    <w:lvl w:ilvl="0" w:tentative="0">
      <w:start w:val="2"/>
      <w:numFmt w:val="decimal"/>
      <w:lvlText w:val="%1."/>
      <w:lvlJc w:val="left"/>
      <w:pPr>
        <w:ind w:left="622" w:hanging="324"/>
      </w:pPr>
      <w:rPr>
        <w:rFonts w:hint="default" w:ascii="宋体" w:hAnsi="宋体" w:eastAsia="宋体" w:cs="宋体"/>
        <w:b/>
        <w:bCs/>
        <w:spacing w:val="1"/>
        <w:w w:val="98"/>
        <w:sz w:val="30"/>
        <w:szCs w:val="30"/>
        <w:lang w:val="zh-CN" w:eastAsia="zh-CN" w:bidi="zh-CN"/>
      </w:rPr>
    </w:lvl>
    <w:lvl w:ilvl="1" w:tentative="0">
      <w:start w:val="1"/>
      <w:numFmt w:val="decimal"/>
      <w:lvlText w:val="%2."/>
      <w:lvlJc w:val="left"/>
      <w:pPr>
        <w:ind w:left="298" w:hanging="255"/>
      </w:pPr>
      <w:rPr>
        <w:rFonts w:hint="default" w:ascii="宋体" w:hAnsi="宋体" w:eastAsia="宋体" w:cs="宋体"/>
        <w:spacing w:val="7"/>
        <w:w w:val="100"/>
        <w:sz w:val="22"/>
        <w:szCs w:val="22"/>
        <w:lang w:val="zh-CN" w:eastAsia="zh-CN" w:bidi="zh-CN"/>
      </w:rPr>
    </w:lvl>
    <w:lvl w:ilvl="2" w:tentative="0">
      <w:start w:val="0"/>
      <w:numFmt w:val="bullet"/>
      <w:lvlText w:val="•"/>
      <w:lvlJc w:val="left"/>
      <w:pPr>
        <w:ind w:left="1669" w:hanging="255"/>
      </w:pPr>
      <w:rPr>
        <w:rFonts w:hint="default"/>
        <w:lang w:val="zh-CN" w:eastAsia="zh-CN" w:bidi="zh-CN"/>
      </w:rPr>
    </w:lvl>
    <w:lvl w:ilvl="3" w:tentative="0">
      <w:start w:val="0"/>
      <w:numFmt w:val="bullet"/>
      <w:lvlText w:val="•"/>
      <w:lvlJc w:val="left"/>
      <w:pPr>
        <w:ind w:left="2719" w:hanging="255"/>
      </w:pPr>
      <w:rPr>
        <w:rFonts w:hint="default"/>
        <w:lang w:val="zh-CN" w:eastAsia="zh-CN" w:bidi="zh-CN"/>
      </w:rPr>
    </w:lvl>
    <w:lvl w:ilvl="4" w:tentative="0">
      <w:start w:val="0"/>
      <w:numFmt w:val="bullet"/>
      <w:lvlText w:val="•"/>
      <w:lvlJc w:val="left"/>
      <w:pPr>
        <w:ind w:left="3768" w:hanging="255"/>
      </w:pPr>
      <w:rPr>
        <w:rFonts w:hint="default"/>
        <w:lang w:val="zh-CN" w:eastAsia="zh-CN" w:bidi="zh-CN"/>
      </w:rPr>
    </w:lvl>
    <w:lvl w:ilvl="5" w:tentative="0">
      <w:start w:val="0"/>
      <w:numFmt w:val="bullet"/>
      <w:lvlText w:val="•"/>
      <w:lvlJc w:val="left"/>
      <w:pPr>
        <w:ind w:left="4818" w:hanging="255"/>
      </w:pPr>
      <w:rPr>
        <w:rFonts w:hint="default"/>
        <w:lang w:val="zh-CN" w:eastAsia="zh-CN" w:bidi="zh-CN"/>
      </w:rPr>
    </w:lvl>
    <w:lvl w:ilvl="6" w:tentative="0">
      <w:start w:val="0"/>
      <w:numFmt w:val="bullet"/>
      <w:lvlText w:val="•"/>
      <w:lvlJc w:val="left"/>
      <w:pPr>
        <w:ind w:left="5868" w:hanging="255"/>
      </w:pPr>
      <w:rPr>
        <w:rFonts w:hint="default"/>
        <w:lang w:val="zh-CN" w:eastAsia="zh-CN" w:bidi="zh-CN"/>
      </w:rPr>
    </w:lvl>
    <w:lvl w:ilvl="7" w:tentative="0">
      <w:start w:val="0"/>
      <w:numFmt w:val="bullet"/>
      <w:lvlText w:val="•"/>
      <w:lvlJc w:val="left"/>
      <w:pPr>
        <w:ind w:left="6917" w:hanging="255"/>
      </w:pPr>
      <w:rPr>
        <w:rFonts w:hint="default"/>
        <w:lang w:val="zh-CN" w:eastAsia="zh-CN" w:bidi="zh-CN"/>
      </w:rPr>
    </w:lvl>
    <w:lvl w:ilvl="8" w:tentative="0">
      <w:start w:val="0"/>
      <w:numFmt w:val="bullet"/>
      <w:lvlText w:val="•"/>
      <w:lvlJc w:val="left"/>
      <w:pPr>
        <w:ind w:left="7967" w:hanging="255"/>
      </w:pPr>
      <w:rPr>
        <w:rFonts w:hint="default"/>
        <w:lang w:val="zh-CN" w:eastAsia="zh-CN" w:bidi="zh-CN"/>
      </w:rPr>
    </w:lvl>
  </w:abstractNum>
  <w:abstractNum w:abstractNumId="8">
    <w:nsid w:val="661C7FDE"/>
    <w:multiLevelType w:val="multilevel"/>
    <w:tmpl w:val="661C7FDE"/>
    <w:lvl w:ilvl="0" w:tentative="0">
      <w:start w:val="2"/>
      <w:numFmt w:val="decimal"/>
      <w:lvlText w:val="%1、"/>
      <w:lvlJc w:val="left"/>
      <w:pPr>
        <w:tabs>
          <w:tab w:val="left" w:pos="780"/>
        </w:tabs>
        <w:ind w:left="780" w:hanging="360"/>
      </w:pPr>
      <w:rPr>
        <w:rFonts w:hint="default"/>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9">
    <w:nsid w:val="79A174EF"/>
    <w:multiLevelType w:val="multilevel"/>
    <w:tmpl w:val="79A174EF"/>
    <w:lvl w:ilvl="0" w:tentative="0">
      <w:start w:val="2"/>
      <w:numFmt w:val="decimal"/>
      <w:lvlText w:val="%1、"/>
      <w:lvlJc w:val="left"/>
      <w:pPr>
        <w:tabs>
          <w:tab w:val="left" w:pos="780"/>
        </w:tabs>
        <w:ind w:left="780" w:hanging="360"/>
      </w:pPr>
      <w:rPr>
        <w:rFonts w:hint="default"/>
      </w:rPr>
    </w:lvl>
    <w:lvl w:ilvl="1" w:tentative="0">
      <w:start w:val="10"/>
      <w:numFmt w:val="japaneseCounting"/>
      <w:lvlText w:val="第%2条、"/>
      <w:lvlJc w:val="left"/>
      <w:pPr>
        <w:tabs>
          <w:tab w:val="left" w:pos="1920"/>
        </w:tabs>
        <w:ind w:left="1920" w:hanging="1080"/>
      </w:pPr>
      <w:rPr>
        <w:rFonts w:hint="default"/>
      </w:r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num w:numId="1">
    <w:abstractNumId w:val="4"/>
  </w:num>
  <w:num w:numId="2">
    <w:abstractNumId w:val="6"/>
  </w:num>
  <w:num w:numId="3">
    <w:abstractNumId w:val="5"/>
  </w:num>
  <w:num w:numId="4">
    <w:abstractNumId w:val="3"/>
  </w:num>
  <w:num w:numId="5">
    <w:abstractNumId w:val="0"/>
  </w:num>
  <w:num w:numId="6">
    <w:abstractNumId w:val="9"/>
  </w:num>
  <w:num w:numId="7">
    <w:abstractNumId w:val="1"/>
  </w:num>
  <w:num w:numId="8">
    <w:abstractNumId w:val="8"/>
  </w:num>
  <w:num w:numId="9">
    <w:abstractNumId w:val="2"/>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2B130D4"/>
    <w:rsid w:val="00272314"/>
    <w:rsid w:val="00BF5A5E"/>
    <w:rsid w:val="00E832C9"/>
    <w:rsid w:val="011C483B"/>
    <w:rsid w:val="01510B65"/>
    <w:rsid w:val="01E828FD"/>
    <w:rsid w:val="0204731B"/>
    <w:rsid w:val="020C72F4"/>
    <w:rsid w:val="022C6E87"/>
    <w:rsid w:val="022D2086"/>
    <w:rsid w:val="02563472"/>
    <w:rsid w:val="026144BF"/>
    <w:rsid w:val="02982303"/>
    <w:rsid w:val="02B573C9"/>
    <w:rsid w:val="02FA5C34"/>
    <w:rsid w:val="03144DD0"/>
    <w:rsid w:val="031A2D26"/>
    <w:rsid w:val="032C78F6"/>
    <w:rsid w:val="03803DA9"/>
    <w:rsid w:val="03B06279"/>
    <w:rsid w:val="03E248A3"/>
    <w:rsid w:val="03E440E2"/>
    <w:rsid w:val="03F05870"/>
    <w:rsid w:val="042259F3"/>
    <w:rsid w:val="0431539F"/>
    <w:rsid w:val="04967559"/>
    <w:rsid w:val="049C0407"/>
    <w:rsid w:val="04A410F4"/>
    <w:rsid w:val="04AA33F4"/>
    <w:rsid w:val="04C27681"/>
    <w:rsid w:val="04E66C7C"/>
    <w:rsid w:val="05030C2F"/>
    <w:rsid w:val="05687031"/>
    <w:rsid w:val="056A086D"/>
    <w:rsid w:val="05831D85"/>
    <w:rsid w:val="058C1A3D"/>
    <w:rsid w:val="05A74B48"/>
    <w:rsid w:val="05F77381"/>
    <w:rsid w:val="06236700"/>
    <w:rsid w:val="062666C5"/>
    <w:rsid w:val="068120D2"/>
    <w:rsid w:val="068D1378"/>
    <w:rsid w:val="06BE095B"/>
    <w:rsid w:val="06CA45D9"/>
    <w:rsid w:val="06D02161"/>
    <w:rsid w:val="07046DEE"/>
    <w:rsid w:val="07086AA2"/>
    <w:rsid w:val="070C64EA"/>
    <w:rsid w:val="073F3C1E"/>
    <w:rsid w:val="074C0389"/>
    <w:rsid w:val="07584A8C"/>
    <w:rsid w:val="07F04E1C"/>
    <w:rsid w:val="0816661E"/>
    <w:rsid w:val="084021B8"/>
    <w:rsid w:val="084D2E42"/>
    <w:rsid w:val="08534F21"/>
    <w:rsid w:val="085F6A91"/>
    <w:rsid w:val="08A956D2"/>
    <w:rsid w:val="08BC3A93"/>
    <w:rsid w:val="08CF2B9B"/>
    <w:rsid w:val="08E9727B"/>
    <w:rsid w:val="091424EA"/>
    <w:rsid w:val="09275CE3"/>
    <w:rsid w:val="09671134"/>
    <w:rsid w:val="09800026"/>
    <w:rsid w:val="099C4E14"/>
    <w:rsid w:val="09BA1760"/>
    <w:rsid w:val="0A2C4466"/>
    <w:rsid w:val="0A355784"/>
    <w:rsid w:val="0A361C5D"/>
    <w:rsid w:val="0A4F7883"/>
    <w:rsid w:val="0A540EE0"/>
    <w:rsid w:val="0A6743DA"/>
    <w:rsid w:val="0A92411A"/>
    <w:rsid w:val="0AB248D6"/>
    <w:rsid w:val="0AB30F99"/>
    <w:rsid w:val="0B07370E"/>
    <w:rsid w:val="0B1B3BCC"/>
    <w:rsid w:val="0B1C5DA9"/>
    <w:rsid w:val="0B2E1167"/>
    <w:rsid w:val="0B746233"/>
    <w:rsid w:val="0BA73B6F"/>
    <w:rsid w:val="0C143367"/>
    <w:rsid w:val="0C147AB0"/>
    <w:rsid w:val="0C2B7179"/>
    <w:rsid w:val="0C9310D3"/>
    <w:rsid w:val="0CE906F6"/>
    <w:rsid w:val="0CF9299A"/>
    <w:rsid w:val="0D2D228F"/>
    <w:rsid w:val="0D362E50"/>
    <w:rsid w:val="0D595E21"/>
    <w:rsid w:val="0DA343DB"/>
    <w:rsid w:val="0DA77462"/>
    <w:rsid w:val="0E017966"/>
    <w:rsid w:val="0E502D40"/>
    <w:rsid w:val="0EAD2F97"/>
    <w:rsid w:val="0F433FCC"/>
    <w:rsid w:val="0F4B0A93"/>
    <w:rsid w:val="0F50754F"/>
    <w:rsid w:val="0F6D3D6E"/>
    <w:rsid w:val="1019259C"/>
    <w:rsid w:val="102A338B"/>
    <w:rsid w:val="10317F9A"/>
    <w:rsid w:val="10585F7E"/>
    <w:rsid w:val="109872B3"/>
    <w:rsid w:val="10BB0C8C"/>
    <w:rsid w:val="10BB7E87"/>
    <w:rsid w:val="113134DD"/>
    <w:rsid w:val="11482EA7"/>
    <w:rsid w:val="11933356"/>
    <w:rsid w:val="11990ECF"/>
    <w:rsid w:val="119C632B"/>
    <w:rsid w:val="11A8243C"/>
    <w:rsid w:val="11AC6EAA"/>
    <w:rsid w:val="11AD6C42"/>
    <w:rsid w:val="11B0392F"/>
    <w:rsid w:val="11C35CA2"/>
    <w:rsid w:val="11E26B30"/>
    <w:rsid w:val="11E535FB"/>
    <w:rsid w:val="12470390"/>
    <w:rsid w:val="12785D4C"/>
    <w:rsid w:val="127F7F8F"/>
    <w:rsid w:val="12A07A97"/>
    <w:rsid w:val="12B130D4"/>
    <w:rsid w:val="12D719FA"/>
    <w:rsid w:val="12F35EDE"/>
    <w:rsid w:val="1304799D"/>
    <w:rsid w:val="130C5D12"/>
    <w:rsid w:val="131367BD"/>
    <w:rsid w:val="132350F6"/>
    <w:rsid w:val="13263AAA"/>
    <w:rsid w:val="134348BB"/>
    <w:rsid w:val="135310D0"/>
    <w:rsid w:val="13532CFE"/>
    <w:rsid w:val="136030B8"/>
    <w:rsid w:val="139040B2"/>
    <w:rsid w:val="139D5D46"/>
    <w:rsid w:val="139D61CD"/>
    <w:rsid w:val="14085DA3"/>
    <w:rsid w:val="141E506D"/>
    <w:rsid w:val="143C24F8"/>
    <w:rsid w:val="146673DD"/>
    <w:rsid w:val="14762498"/>
    <w:rsid w:val="14853FD2"/>
    <w:rsid w:val="14CE5220"/>
    <w:rsid w:val="14D12F0B"/>
    <w:rsid w:val="15251E6F"/>
    <w:rsid w:val="15463103"/>
    <w:rsid w:val="1559141E"/>
    <w:rsid w:val="15DE66F4"/>
    <w:rsid w:val="15FB1631"/>
    <w:rsid w:val="160D2765"/>
    <w:rsid w:val="161D01FB"/>
    <w:rsid w:val="16702C9A"/>
    <w:rsid w:val="17113331"/>
    <w:rsid w:val="174B0D0A"/>
    <w:rsid w:val="174B750E"/>
    <w:rsid w:val="17A016B6"/>
    <w:rsid w:val="17EE1CEB"/>
    <w:rsid w:val="1800103D"/>
    <w:rsid w:val="181506FE"/>
    <w:rsid w:val="18156CFD"/>
    <w:rsid w:val="18315F15"/>
    <w:rsid w:val="1832253E"/>
    <w:rsid w:val="184E3849"/>
    <w:rsid w:val="18534C1D"/>
    <w:rsid w:val="188B6685"/>
    <w:rsid w:val="18A427EE"/>
    <w:rsid w:val="197061C5"/>
    <w:rsid w:val="19D2646D"/>
    <w:rsid w:val="1A3D0815"/>
    <w:rsid w:val="1A8F59F0"/>
    <w:rsid w:val="1ABD1721"/>
    <w:rsid w:val="1ACA01B8"/>
    <w:rsid w:val="1BC74B1B"/>
    <w:rsid w:val="1BCE0CFC"/>
    <w:rsid w:val="1C0D5164"/>
    <w:rsid w:val="1C342910"/>
    <w:rsid w:val="1C5C1D23"/>
    <w:rsid w:val="1C820355"/>
    <w:rsid w:val="1C8F5732"/>
    <w:rsid w:val="1CD4356B"/>
    <w:rsid w:val="1D4C4C36"/>
    <w:rsid w:val="1D6F6357"/>
    <w:rsid w:val="1D9E60FC"/>
    <w:rsid w:val="1DB94A3C"/>
    <w:rsid w:val="1DE81429"/>
    <w:rsid w:val="1E426D33"/>
    <w:rsid w:val="1E5B0C82"/>
    <w:rsid w:val="1E6835BE"/>
    <w:rsid w:val="1E7874F5"/>
    <w:rsid w:val="1ED8743D"/>
    <w:rsid w:val="1EEC32B6"/>
    <w:rsid w:val="1F472DFA"/>
    <w:rsid w:val="1F6D2D26"/>
    <w:rsid w:val="1F6E7C06"/>
    <w:rsid w:val="1F926E30"/>
    <w:rsid w:val="1F980B1C"/>
    <w:rsid w:val="1FEC6386"/>
    <w:rsid w:val="202214EC"/>
    <w:rsid w:val="20417E42"/>
    <w:rsid w:val="20861E1C"/>
    <w:rsid w:val="20F706EE"/>
    <w:rsid w:val="212C50E8"/>
    <w:rsid w:val="21974F55"/>
    <w:rsid w:val="21A65280"/>
    <w:rsid w:val="21A848E2"/>
    <w:rsid w:val="21EE55DB"/>
    <w:rsid w:val="21F70B3A"/>
    <w:rsid w:val="21F8154D"/>
    <w:rsid w:val="221B568E"/>
    <w:rsid w:val="22410B0D"/>
    <w:rsid w:val="22502AC6"/>
    <w:rsid w:val="22863358"/>
    <w:rsid w:val="22964DBB"/>
    <w:rsid w:val="22C20235"/>
    <w:rsid w:val="22D2023C"/>
    <w:rsid w:val="238C2D3C"/>
    <w:rsid w:val="23F6376C"/>
    <w:rsid w:val="23F74F4E"/>
    <w:rsid w:val="24111000"/>
    <w:rsid w:val="24166144"/>
    <w:rsid w:val="241F5166"/>
    <w:rsid w:val="246A522A"/>
    <w:rsid w:val="24706C8C"/>
    <w:rsid w:val="24786444"/>
    <w:rsid w:val="247D386B"/>
    <w:rsid w:val="24A36AB2"/>
    <w:rsid w:val="24DE4874"/>
    <w:rsid w:val="26587144"/>
    <w:rsid w:val="267A34B1"/>
    <w:rsid w:val="26A14FEC"/>
    <w:rsid w:val="26DB0FDF"/>
    <w:rsid w:val="26F273B9"/>
    <w:rsid w:val="27041C9E"/>
    <w:rsid w:val="27187AEC"/>
    <w:rsid w:val="27613D5D"/>
    <w:rsid w:val="27A01853"/>
    <w:rsid w:val="27FD6C49"/>
    <w:rsid w:val="2812307E"/>
    <w:rsid w:val="2867324A"/>
    <w:rsid w:val="2873060E"/>
    <w:rsid w:val="287F28F3"/>
    <w:rsid w:val="28815E71"/>
    <w:rsid w:val="28DD3AA6"/>
    <w:rsid w:val="28FE06A0"/>
    <w:rsid w:val="2905569B"/>
    <w:rsid w:val="29291DCF"/>
    <w:rsid w:val="293D03DD"/>
    <w:rsid w:val="29525630"/>
    <w:rsid w:val="29AC5A71"/>
    <w:rsid w:val="29CF7DAB"/>
    <w:rsid w:val="29F365AE"/>
    <w:rsid w:val="29F50092"/>
    <w:rsid w:val="29F81878"/>
    <w:rsid w:val="2A461AA0"/>
    <w:rsid w:val="2A5F548D"/>
    <w:rsid w:val="2AC60729"/>
    <w:rsid w:val="2AF1202E"/>
    <w:rsid w:val="2B183ACB"/>
    <w:rsid w:val="2B285499"/>
    <w:rsid w:val="2B2F7988"/>
    <w:rsid w:val="2B8C79CA"/>
    <w:rsid w:val="2B9A7A16"/>
    <w:rsid w:val="2BA524E8"/>
    <w:rsid w:val="2BCE4957"/>
    <w:rsid w:val="2BFF4562"/>
    <w:rsid w:val="2C0C7F88"/>
    <w:rsid w:val="2C5A1D32"/>
    <w:rsid w:val="2C5B12B6"/>
    <w:rsid w:val="2C656B1C"/>
    <w:rsid w:val="2CAC38B1"/>
    <w:rsid w:val="2CC11C0F"/>
    <w:rsid w:val="2CD42DC6"/>
    <w:rsid w:val="2CFE6BB7"/>
    <w:rsid w:val="2D6354A1"/>
    <w:rsid w:val="2D754A92"/>
    <w:rsid w:val="2DC800E0"/>
    <w:rsid w:val="2DC86C7A"/>
    <w:rsid w:val="2DD62B00"/>
    <w:rsid w:val="2DDD3FCB"/>
    <w:rsid w:val="2E0E2BB6"/>
    <w:rsid w:val="2E2A0789"/>
    <w:rsid w:val="2E4153A6"/>
    <w:rsid w:val="2E42328B"/>
    <w:rsid w:val="2F0839FD"/>
    <w:rsid w:val="2F382FA0"/>
    <w:rsid w:val="2F4326D1"/>
    <w:rsid w:val="2F4D3234"/>
    <w:rsid w:val="2F6722E5"/>
    <w:rsid w:val="2F6D5022"/>
    <w:rsid w:val="2FB0441A"/>
    <w:rsid w:val="2FB10196"/>
    <w:rsid w:val="2FF11079"/>
    <w:rsid w:val="2FF12B3D"/>
    <w:rsid w:val="30141A8B"/>
    <w:rsid w:val="304A730A"/>
    <w:rsid w:val="30594C98"/>
    <w:rsid w:val="30EE4C73"/>
    <w:rsid w:val="31074585"/>
    <w:rsid w:val="31084B0A"/>
    <w:rsid w:val="31507826"/>
    <w:rsid w:val="31592B7B"/>
    <w:rsid w:val="31C77A71"/>
    <w:rsid w:val="31F717DD"/>
    <w:rsid w:val="32670E8F"/>
    <w:rsid w:val="32972FBC"/>
    <w:rsid w:val="32B57432"/>
    <w:rsid w:val="33026B8A"/>
    <w:rsid w:val="33131A29"/>
    <w:rsid w:val="33590511"/>
    <w:rsid w:val="339519C4"/>
    <w:rsid w:val="33B11C37"/>
    <w:rsid w:val="346166BD"/>
    <w:rsid w:val="3499106D"/>
    <w:rsid w:val="34A73B86"/>
    <w:rsid w:val="35265D36"/>
    <w:rsid w:val="352921B0"/>
    <w:rsid w:val="354B3238"/>
    <w:rsid w:val="357A44E2"/>
    <w:rsid w:val="35EA47D5"/>
    <w:rsid w:val="35EC7624"/>
    <w:rsid w:val="35F17CB7"/>
    <w:rsid w:val="35FD7508"/>
    <w:rsid w:val="36052898"/>
    <w:rsid w:val="362E76BB"/>
    <w:rsid w:val="36567A31"/>
    <w:rsid w:val="365E3E04"/>
    <w:rsid w:val="36983E6E"/>
    <w:rsid w:val="36AE71A5"/>
    <w:rsid w:val="3732387E"/>
    <w:rsid w:val="373E18FE"/>
    <w:rsid w:val="373E35D3"/>
    <w:rsid w:val="37470824"/>
    <w:rsid w:val="37E20FA6"/>
    <w:rsid w:val="38207F0C"/>
    <w:rsid w:val="384970E9"/>
    <w:rsid w:val="386D7E72"/>
    <w:rsid w:val="38747561"/>
    <w:rsid w:val="38D91A40"/>
    <w:rsid w:val="392F6F3D"/>
    <w:rsid w:val="393D4B3F"/>
    <w:rsid w:val="39CF4289"/>
    <w:rsid w:val="39EA4EB7"/>
    <w:rsid w:val="3A3679CF"/>
    <w:rsid w:val="3A7A5BFF"/>
    <w:rsid w:val="3A820EB7"/>
    <w:rsid w:val="3AD26B2F"/>
    <w:rsid w:val="3B612FD4"/>
    <w:rsid w:val="3BA73074"/>
    <w:rsid w:val="3BAF6819"/>
    <w:rsid w:val="3BCA7A51"/>
    <w:rsid w:val="3BD15E12"/>
    <w:rsid w:val="3BEF5F39"/>
    <w:rsid w:val="3C7D7C48"/>
    <w:rsid w:val="3C885DE6"/>
    <w:rsid w:val="3C8930AB"/>
    <w:rsid w:val="3CAE2626"/>
    <w:rsid w:val="3D0D7D05"/>
    <w:rsid w:val="3D157DAF"/>
    <w:rsid w:val="3D730FC9"/>
    <w:rsid w:val="3D7D4DBB"/>
    <w:rsid w:val="3DA34E47"/>
    <w:rsid w:val="3DAB0485"/>
    <w:rsid w:val="3DAF5726"/>
    <w:rsid w:val="3DD0323F"/>
    <w:rsid w:val="3E426B8D"/>
    <w:rsid w:val="3E432770"/>
    <w:rsid w:val="3E4833A4"/>
    <w:rsid w:val="3E5E042A"/>
    <w:rsid w:val="3E8731EA"/>
    <w:rsid w:val="3E9229D7"/>
    <w:rsid w:val="3F8421BF"/>
    <w:rsid w:val="3FA74C78"/>
    <w:rsid w:val="3FAF4F0B"/>
    <w:rsid w:val="40362D98"/>
    <w:rsid w:val="40417B34"/>
    <w:rsid w:val="40531389"/>
    <w:rsid w:val="409D4DBA"/>
    <w:rsid w:val="40A33C22"/>
    <w:rsid w:val="40BA0C0E"/>
    <w:rsid w:val="40BA56DB"/>
    <w:rsid w:val="40DC03F7"/>
    <w:rsid w:val="410005A1"/>
    <w:rsid w:val="41294B40"/>
    <w:rsid w:val="41483221"/>
    <w:rsid w:val="41630CE5"/>
    <w:rsid w:val="416470F8"/>
    <w:rsid w:val="422A4239"/>
    <w:rsid w:val="42AC2021"/>
    <w:rsid w:val="42CA0A61"/>
    <w:rsid w:val="42DB216D"/>
    <w:rsid w:val="42F612DA"/>
    <w:rsid w:val="4327355C"/>
    <w:rsid w:val="432C7C61"/>
    <w:rsid w:val="435A688E"/>
    <w:rsid w:val="439C4C76"/>
    <w:rsid w:val="43A95358"/>
    <w:rsid w:val="43F04483"/>
    <w:rsid w:val="43F81CE3"/>
    <w:rsid w:val="44356FBD"/>
    <w:rsid w:val="44B4208B"/>
    <w:rsid w:val="44D51BBC"/>
    <w:rsid w:val="44DB51D2"/>
    <w:rsid w:val="4538493F"/>
    <w:rsid w:val="45457A57"/>
    <w:rsid w:val="45C60654"/>
    <w:rsid w:val="45CF2B7F"/>
    <w:rsid w:val="46376CAB"/>
    <w:rsid w:val="46712A84"/>
    <w:rsid w:val="46AA274D"/>
    <w:rsid w:val="46B63BFA"/>
    <w:rsid w:val="46C85CE9"/>
    <w:rsid w:val="46E46F26"/>
    <w:rsid w:val="474609DB"/>
    <w:rsid w:val="4763567D"/>
    <w:rsid w:val="477634A4"/>
    <w:rsid w:val="47937874"/>
    <w:rsid w:val="47AF0B02"/>
    <w:rsid w:val="47C97EEA"/>
    <w:rsid w:val="47ED1D57"/>
    <w:rsid w:val="484D3B31"/>
    <w:rsid w:val="48DF1269"/>
    <w:rsid w:val="48F96DFE"/>
    <w:rsid w:val="491D7693"/>
    <w:rsid w:val="491F2035"/>
    <w:rsid w:val="4991219A"/>
    <w:rsid w:val="49A46E27"/>
    <w:rsid w:val="4A0D6FE9"/>
    <w:rsid w:val="4A4E4726"/>
    <w:rsid w:val="4A642646"/>
    <w:rsid w:val="4AC9113C"/>
    <w:rsid w:val="4ADB0D85"/>
    <w:rsid w:val="4B0505E3"/>
    <w:rsid w:val="4B1F3262"/>
    <w:rsid w:val="4B232C43"/>
    <w:rsid w:val="4B59733D"/>
    <w:rsid w:val="4BDD370A"/>
    <w:rsid w:val="4BDF1C07"/>
    <w:rsid w:val="4BEC3836"/>
    <w:rsid w:val="4C0A684F"/>
    <w:rsid w:val="4C34018C"/>
    <w:rsid w:val="4C57611C"/>
    <w:rsid w:val="4C8A4294"/>
    <w:rsid w:val="4CD94BA3"/>
    <w:rsid w:val="4CE72DDB"/>
    <w:rsid w:val="4D2343DD"/>
    <w:rsid w:val="4D4B60AC"/>
    <w:rsid w:val="4D501326"/>
    <w:rsid w:val="4DB50F5A"/>
    <w:rsid w:val="4DCA4A27"/>
    <w:rsid w:val="4DE41B03"/>
    <w:rsid w:val="4E0D7243"/>
    <w:rsid w:val="4E430E67"/>
    <w:rsid w:val="4E4F2350"/>
    <w:rsid w:val="4E5973A5"/>
    <w:rsid w:val="4E697463"/>
    <w:rsid w:val="4E6E159B"/>
    <w:rsid w:val="4E9268A5"/>
    <w:rsid w:val="4EBB312A"/>
    <w:rsid w:val="4F481734"/>
    <w:rsid w:val="4F7F52DA"/>
    <w:rsid w:val="4F8C1D7E"/>
    <w:rsid w:val="4FA975A4"/>
    <w:rsid w:val="4FAC7315"/>
    <w:rsid w:val="4FC918F5"/>
    <w:rsid w:val="4FE5636E"/>
    <w:rsid w:val="50325070"/>
    <w:rsid w:val="50F652AA"/>
    <w:rsid w:val="51050E88"/>
    <w:rsid w:val="51442499"/>
    <w:rsid w:val="514762D6"/>
    <w:rsid w:val="519F07E3"/>
    <w:rsid w:val="51D059AE"/>
    <w:rsid w:val="52351DEC"/>
    <w:rsid w:val="52481461"/>
    <w:rsid w:val="527C3F02"/>
    <w:rsid w:val="52975C9A"/>
    <w:rsid w:val="52B04AC2"/>
    <w:rsid w:val="52C44741"/>
    <w:rsid w:val="53023F42"/>
    <w:rsid w:val="5339071F"/>
    <w:rsid w:val="53633AEE"/>
    <w:rsid w:val="53863B8A"/>
    <w:rsid w:val="53D611C5"/>
    <w:rsid w:val="53FD4AC7"/>
    <w:rsid w:val="54074176"/>
    <w:rsid w:val="5420510C"/>
    <w:rsid w:val="5432398C"/>
    <w:rsid w:val="54473BD7"/>
    <w:rsid w:val="54536AE8"/>
    <w:rsid w:val="54AA070A"/>
    <w:rsid w:val="54C50135"/>
    <w:rsid w:val="55141ACF"/>
    <w:rsid w:val="554C597F"/>
    <w:rsid w:val="55A339D2"/>
    <w:rsid w:val="55DA79F8"/>
    <w:rsid w:val="56446C9C"/>
    <w:rsid w:val="56792E51"/>
    <w:rsid w:val="56BC7633"/>
    <w:rsid w:val="56D27240"/>
    <w:rsid w:val="56DA4765"/>
    <w:rsid w:val="57512631"/>
    <w:rsid w:val="578B1B9A"/>
    <w:rsid w:val="57B6679E"/>
    <w:rsid w:val="580F329D"/>
    <w:rsid w:val="5813582D"/>
    <w:rsid w:val="582001D6"/>
    <w:rsid w:val="58406C57"/>
    <w:rsid w:val="58497F00"/>
    <w:rsid w:val="585070B5"/>
    <w:rsid w:val="5886473E"/>
    <w:rsid w:val="58A6194F"/>
    <w:rsid w:val="58AA1938"/>
    <w:rsid w:val="58AD049E"/>
    <w:rsid w:val="58E535FB"/>
    <w:rsid w:val="58ED5836"/>
    <w:rsid w:val="591C2988"/>
    <w:rsid w:val="59AF7AF5"/>
    <w:rsid w:val="59DB5EEC"/>
    <w:rsid w:val="59DC0E4F"/>
    <w:rsid w:val="59F17076"/>
    <w:rsid w:val="59F770ED"/>
    <w:rsid w:val="59FD5D24"/>
    <w:rsid w:val="5A0B3932"/>
    <w:rsid w:val="5A5B3B98"/>
    <w:rsid w:val="5A5D6BE1"/>
    <w:rsid w:val="5A822A05"/>
    <w:rsid w:val="5AB1622B"/>
    <w:rsid w:val="5ADB2304"/>
    <w:rsid w:val="5AE51B13"/>
    <w:rsid w:val="5B38751A"/>
    <w:rsid w:val="5B475C10"/>
    <w:rsid w:val="5BD306E2"/>
    <w:rsid w:val="5BD503BD"/>
    <w:rsid w:val="5BD8453E"/>
    <w:rsid w:val="5C013587"/>
    <w:rsid w:val="5C1C6633"/>
    <w:rsid w:val="5C436388"/>
    <w:rsid w:val="5CA87491"/>
    <w:rsid w:val="5CC04649"/>
    <w:rsid w:val="5D1F6E87"/>
    <w:rsid w:val="5D6A0706"/>
    <w:rsid w:val="5D976E8A"/>
    <w:rsid w:val="5DC90F29"/>
    <w:rsid w:val="5E111059"/>
    <w:rsid w:val="5E1F6794"/>
    <w:rsid w:val="5E261C72"/>
    <w:rsid w:val="5E446D3A"/>
    <w:rsid w:val="5EB0655B"/>
    <w:rsid w:val="5EEE4A41"/>
    <w:rsid w:val="5F164867"/>
    <w:rsid w:val="5F17060C"/>
    <w:rsid w:val="5F472635"/>
    <w:rsid w:val="5F793DC4"/>
    <w:rsid w:val="5FD82C78"/>
    <w:rsid w:val="5FE84081"/>
    <w:rsid w:val="5FF62501"/>
    <w:rsid w:val="6027088E"/>
    <w:rsid w:val="604C55F3"/>
    <w:rsid w:val="606D0F41"/>
    <w:rsid w:val="60A01C45"/>
    <w:rsid w:val="60B14920"/>
    <w:rsid w:val="60B32098"/>
    <w:rsid w:val="60D22FF1"/>
    <w:rsid w:val="60D40E98"/>
    <w:rsid w:val="60F23D55"/>
    <w:rsid w:val="61046142"/>
    <w:rsid w:val="610C294E"/>
    <w:rsid w:val="61181989"/>
    <w:rsid w:val="614B0BB5"/>
    <w:rsid w:val="618A0F16"/>
    <w:rsid w:val="61951A5E"/>
    <w:rsid w:val="61A11508"/>
    <w:rsid w:val="61B60697"/>
    <w:rsid w:val="61D301A3"/>
    <w:rsid w:val="61DB25A9"/>
    <w:rsid w:val="61EA5AF0"/>
    <w:rsid w:val="626363AC"/>
    <w:rsid w:val="628D4DD6"/>
    <w:rsid w:val="62A56FCC"/>
    <w:rsid w:val="631A18E5"/>
    <w:rsid w:val="634F7B4D"/>
    <w:rsid w:val="636A356C"/>
    <w:rsid w:val="63904157"/>
    <w:rsid w:val="63A52EE9"/>
    <w:rsid w:val="63CF39B1"/>
    <w:rsid w:val="63ED0F9C"/>
    <w:rsid w:val="64300766"/>
    <w:rsid w:val="645C7538"/>
    <w:rsid w:val="64B459FA"/>
    <w:rsid w:val="64B711DB"/>
    <w:rsid w:val="64CB24C1"/>
    <w:rsid w:val="64E46129"/>
    <w:rsid w:val="65440DF2"/>
    <w:rsid w:val="65752537"/>
    <w:rsid w:val="65A716AF"/>
    <w:rsid w:val="65D96F71"/>
    <w:rsid w:val="65DE19A2"/>
    <w:rsid w:val="65F96F74"/>
    <w:rsid w:val="661B45BA"/>
    <w:rsid w:val="668E04DF"/>
    <w:rsid w:val="66A8389A"/>
    <w:rsid w:val="66B161F3"/>
    <w:rsid w:val="66B8151A"/>
    <w:rsid w:val="66BC1CB8"/>
    <w:rsid w:val="66E44C91"/>
    <w:rsid w:val="676D1D4B"/>
    <w:rsid w:val="67772EF1"/>
    <w:rsid w:val="677A5452"/>
    <w:rsid w:val="677E3567"/>
    <w:rsid w:val="678163FC"/>
    <w:rsid w:val="67966C3A"/>
    <w:rsid w:val="67A859B2"/>
    <w:rsid w:val="67A929A1"/>
    <w:rsid w:val="67D906C4"/>
    <w:rsid w:val="68236B17"/>
    <w:rsid w:val="68CE5B33"/>
    <w:rsid w:val="69414351"/>
    <w:rsid w:val="696329EC"/>
    <w:rsid w:val="699833EE"/>
    <w:rsid w:val="69F2472F"/>
    <w:rsid w:val="6A291F24"/>
    <w:rsid w:val="6A4C11CA"/>
    <w:rsid w:val="6AB4077F"/>
    <w:rsid w:val="6B3F56B1"/>
    <w:rsid w:val="6B5E13CC"/>
    <w:rsid w:val="6B73284A"/>
    <w:rsid w:val="6C3732FC"/>
    <w:rsid w:val="6C664ECC"/>
    <w:rsid w:val="6C8079EF"/>
    <w:rsid w:val="6C904EBB"/>
    <w:rsid w:val="6D2B4B80"/>
    <w:rsid w:val="6D4F0E5A"/>
    <w:rsid w:val="6D6E1339"/>
    <w:rsid w:val="6D7605CA"/>
    <w:rsid w:val="6DBC5ECC"/>
    <w:rsid w:val="6DD235D1"/>
    <w:rsid w:val="6DFE7DC8"/>
    <w:rsid w:val="6E1426AA"/>
    <w:rsid w:val="6E257834"/>
    <w:rsid w:val="6E55026C"/>
    <w:rsid w:val="6E587E9E"/>
    <w:rsid w:val="6E65303C"/>
    <w:rsid w:val="6E6F6BD1"/>
    <w:rsid w:val="6ECE71E5"/>
    <w:rsid w:val="6EF50552"/>
    <w:rsid w:val="6F132FA7"/>
    <w:rsid w:val="6F406855"/>
    <w:rsid w:val="6F5F37D6"/>
    <w:rsid w:val="6F6B16B9"/>
    <w:rsid w:val="6FD20474"/>
    <w:rsid w:val="6FE2531A"/>
    <w:rsid w:val="70181C67"/>
    <w:rsid w:val="7020001C"/>
    <w:rsid w:val="70227D3C"/>
    <w:rsid w:val="704D7411"/>
    <w:rsid w:val="70543F3C"/>
    <w:rsid w:val="70575215"/>
    <w:rsid w:val="70614B27"/>
    <w:rsid w:val="71362BC5"/>
    <w:rsid w:val="714265BC"/>
    <w:rsid w:val="7165732B"/>
    <w:rsid w:val="71AA513C"/>
    <w:rsid w:val="71C83C44"/>
    <w:rsid w:val="71D54AD8"/>
    <w:rsid w:val="71D72F28"/>
    <w:rsid w:val="72222C41"/>
    <w:rsid w:val="72427AD9"/>
    <w:rsid w:val="72633327"/>
    <w:rsid w:val="727D3483"/>
    <w:rsid w:val="72AE3A5A"/>
    <w:rsid w:val="72B278B4"/>
    <w:rsid w:val="72D000E2"/>
    <w:rsid w:val="72EE2640"/>
    <w:rsid w:val="730E29B8"/>
    <w:rsid w:val="738C75B0"/>
    <w:rsid w:val="7396400A"/>
    <w:rsid w:val="73C328C7"/>
    <w:rsid w:val="73DB5661"/>
    <w:rsid w:val="73EA47E8"/>
    <w:rsid w:val="744414BF"/>
    <w:rsid w:val="745E4B9C"/>
    <w:rsid w:val="74756EBA"/>
    <w:rsid w:val="74B04CA4"/>
    <w:rsid w:val="74B549D3"/>
    <w:rsid w:val="74B74978"/>
    <w:rsid w:val="7555028D"/>
    <w:rsid w:val="75E36A5C"/>
    <w:rsid w:val="768330A0"/>
    <w:rsid w:val="768D6574"/>
    <w:rsid w:val="76A348C9"/>
    <w:rsid w:val="76E313B3"/>
    <w:rsid w:val="76F961D4"/>
    <w:rsid w:val="77053414"/>
    <w:rsid w:val="77055719"/>
    <w:rsid w:val="771F24C3"/>
    <w:rsid w:val="773C795C"/>
    <w:rsid w:val="77485636"/>
    <w:rsid w:val="776F2F8C"/>
    <w:rsid w:val="77824D6B"/>
    <w:rsid w:val="77855441"/>
    <w:rsid w:val="77CB15F1"/>
    <w:rsid w:val="78621C9F"/>
    <w:rsid w:val="789940D2"/>
    <w:rsid w:val="78D15204"/>
    <w:rsid w:val="79657C7D"/>
    <w:rsid w:val="79CF4DA2"/>
    <w:rsid w:val="79D11671"/>
    <w:rsid w:val="79DC3F0B"/>
    <w:rsid w:val="79E67032"/>
    <w:rsid w:val="79F415C6"/>
    <w:rsid w:val="79FC777B"/>
    <w:rsid w:val="7A1736AF"/>
    <w:rsid w:val="7A2E7B6A"/>
    <w:rsid w:val="7A3C5A20"/>
    <w:rsid w:val="7BEA57EF"/>
    <w:rsid w:val="7BF72E78"/>
    <w:rsid w:val="7BF904DC"/>
    <w:rsid w:val="7C4D1593"/>
    <w:rsid w:val="7C6C2241"/>
    <w:rsid w:val="7CA503A3"/>
    <w:rsid w:val="7D1417AD"/>
    <w:rsid w:val="7D1A74D7"/>
    <w:rsid w:val="7D202F93"/>
    <w:rsid w:val="7D4E2B03"/>
    <w:rsid w:val="7D555133"/>
    <w:rsid w:val="7D9721D0"/>
    <w:rsid w:val="7D985F91"/>
    <w:rsid w:val="7E047BB8"/>
    <w:rsid w:val="7E423C13"/>
    <w:rsid w:val="7E5A67DE"/>
    <w:rsid w:val="7E602D07"/>
    <w:rsid w:val="7E6C1285"/>
    <w:rsid w:val="7E7B43A6"/>
    <w:rsid w:val="7E7B587F"/>
    <w:rsid w:val="7E8022E5"/>
    <w:rsid w:val="7EB169DE"/>
    <w:rsid w:val="7EF40276"/>
    <w:rsid w:val="7F4D229E"/>
    <w:rsid w:val="7F5C6E4C"/>
    <w:rsid w:val="7F626CF5"/>
    <w:rsid w:val="7F7965EF"/>
    <w:rsid w:val="7FC02B1C"/>
    <w:rsid w:val="7FEA6E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kern w:val="0"/>
      <w:sz w:val="32"/>
      <w:szCs w:val="32"/>
    </w:rPr>
  </w:style>
  <w:style w:type="paragraph" w:styleId="5">
    <w:name w:val="heading 6"/>
    <w:basedOn w:val="1"/>
    <w:next w:val="1"/>
    <w:qFormat/>
    <w:uiPriority w:val="0"/>
    <w:pPr>
      <w:keepNext/>
      <w:keepLines/>
      <w:spacing w:before="240" w:after="64" w:line="320" w:lineRule="auto"/>
      <w:outlineLvl w:val="5"/>
    </w:pPr>
    <w:rPr>
      <w:rFonts w:ascii="Arial" w:hAnsi="Arial" w:eastAsia="黑体"/>
      <w:b/>
      <w:bCs/>
      <w:sz w:val="24"/>
    </w:rPr>
  </w:style>
  <w:style w:type="character" w:default="1" w:styleId="16">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customStyle="1" w:styleId="2">
    <w:name w:val="_Style 5"/>
    <w:qFormat/>
    <w:uiPriority w:val="1"/>
    <w:rPr>
      <w:rFonts w:ascii="Times New Roman" w:hAnsi="Times New Roman" w:eastAsia="宋体" w:cs="Times New Roman"/>
      <w:sz w:val="22"/>
      <w:szCs w:val="22"/>
      <w:lang w:val="en-US" w:eastAsia="zh-CN" w:bidi="ar-SA"/>
    </w:rPr>
  </w:style>
  <w:style w:type="paragraph" w:styleId="6">
    <w:name w:val="index 8"/>
    <w:basedOn w:val="1"/>
    <w:next w:val="1"/>
    <w:qFormat/>
    <w:uiPriority w:val="0"/>
    <w:pPr>
      <w:ind w:left="2940"/>
    </w:pPr>
  </w:style>
  <w:style w:type="paragraph" w:styleId="7">
    <w:name w:val="Normal Indent"/>
    <w:basedOn w:val="1"/>
    <w:qFormat/>
    <w:uiPriority w:val="0"/>
    <w:pPr>
      <w:ind w:firstLine="420"/>
    </w:pPr>
    <w:rPr>
      <w:szCs w:val="20"/>
    </w:rPr>
  </w:style>
  <w:style w:type="paragraph" w:styleId="8">
    <w:name w:val="annotation text"/>
    <w:basedOn w:val="1"/>
    <w:qFormat/>
    <w:uiPriority w:val="0"/>
    <w:pPr>
      <w:jc w:val="left"/>
    </w:pPr>
  </w:style>
  <w:style w:type="paragraph" w:styleId="9">
    <w:name w:val="Body Text"/>
    <w:basedOn w:val="1"/>
    <w:qFormat/>
    <w:uiPriority w:val="1"/>
    <w:rPr>
      <w:rFonts w:ascii="宋体" w:hAnsi="宋体" w:eastAsia="宋体" w:cs="宋体"/>
      <w:sz w:val="21"/>
      <w:szCs w:val="21"/>
      <w:lang w:val="zh-CN" w:eastAsia="zh-CN" w:bidi="zh-CN"/>
    </w:rPr>
  </w:style>
  <w:style w:type="paragraph" w:styleId="10">
    <w:name w:val="Plain Text"/>
    <w:basedOn w:val="1"/>
    <w:next w:val="6"/>
    <w:qFormat/>
    <w:uiPriority w:val="0"/>
    <w:rPr>
      <w:rFonts w:ascii="宋体" w:hAnsi="Courier New"/>
      <w:szCs w:val="20"/>
    </w:rPr>
  </w:style>
  <w:style w:type="paragraph" w:styleId="11">
    <w:name w:val="footer"/>
    <w:basedOn w:val="1"/>
    <w:qFormat/>
    <w:uiPriority w:val="99"/>
    <w:pPr>
      <w:tabs>
        <w:tab w:val="center" w:pos="4153"/>
        <w:tab w:val="right" w:pos="8306"/>
      </w:tabs>
      <w:snapToGrid w:val="0"/>
      <w:jc w:val="left"/>
    </w:pPr>
    <w:rPr>
      <w:sz w:val="18"/>
      <w:szCs w:val="18"/>
    </w:rPr>
  </w:style>
  <w:style w:type="paragraph" w:styleId="1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qFormat/>
    <w:uiPriority w:val="39"/>
    <w:pPr>
      <w:spacing w:before="120" w:after="120"/>
      <w:jc w:val="left"/>
    </w:pPr>
    <w:rPr>
      <w:rFonts w:ascii="Calibri" w:hAnsi="Calibri" w:cs="Calibri"/>
      <w:b/>
      <w:bCs/>
      <w:caps/>
      <w:sz w:val="20"/>
      <w:szCs w:val="20"/>
    </w:rPr>
  </w:style>
  <w:style w:type="paragraph" w:styleId="14">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7">
    <w:name w:val="Strong"/>
    <w:basedOn w:val="16"/>
    <w:qFormat/>
    <w:uiPriority w:val="0"/>
  </w:style>
  <w:style w:type="character" w:styleId="18">
    <w:name w:val="FollowedHyperlink"/>
    <w:basedOn w:val="16"/>
    <w:qFormat/>
    <w:uiPriority w:val="0"/>
    <w:rPr>
      <w:color w:val="800080"/>
      <w:u w:val="none"/>
    </w:rPr>
  </w:style>
  <w:style w:type="character" w:styleId="19">
    <w:name w:val="Emphasis"/>
    <w:basedOn w:val="16"/>
    <w:qFormat/>
    <w:uiPriority w:val="0"/>
  </w:style>
  <w:style w:type="character" w:styleId="20">
    <w:name w:val="HTML Definition"/>
    <w:basedOn w:val="16"/>
    <w:qFormat/>
    <w:uiPriority w:val="0"/>
  </w:style>
  <w:style w:type="character" w:styleId="21">
    <w:name w:val="HTML Typewriter"/>
    <w:basedOn w:val="16"/>
    <w:qFormat/>
    <w:uiPriority w:val="0"/>
    <w:rPr>
      <w:rFonts w:hint="default" w:ascii="monospace" w:hAnsi="monospace" w:eastAsia="monospace" w:cs="monospace"/>
      <w:sz w:val="20"/>
    </w:rPr>
  </w:style>
  <w:style w:type="character" w:styleId="22">
    <w:name w:val="HTML Acronym"/>
    <w:basedOn w:val="16"/>
    <w:qFormat/>
    <w:uiPriority w:val="0"/>
  </w:style>
  <w:style w:type="character" w:styleId="23">
    <w:name w:val="HTML Variable"/>
    <w:basedOn w:val="16"/>
    <w:qFormat/>
    <w:uiPriority w:val="0"/>
  </w:style>
  <w:style w:type="character" w:styleId="24">
    <w:name w:val="Hyperlink"/>
    <w:qFormat/>
    <w:uiPriority w:val="99"/>
    <w:rPr>
      <w:color w:val="333333"/>
      <w:u w:val="none"/>
    </w:rPr>
  </w:style>
  <w:style w:type="character" w:styleId="25">
    <w:name w:val="HTML Code"/>
    <w:basedOn w:val="16"/>
    <w:qFormat/>
    <w:uiPriority w:val="0"/>
    <w:rPr>
      <w:rFonts w:ascii="monospace" w:hAnsi="monospace" w:eastAsia="monospace" w:cs="monospace"/>
      <w:sz w:val="20"/>
    </w:rPr>
  </w:style>
  <w:style w:type="character" w:styleId="26">
    <w:name w:val="HTML Cite"/>
    <w:basedOn w:val="16"/>
    <w:qFormat/>
    <w:uiPriority w:val="0"/>
  </w:style>
  <w:style w:type="character" w:styleId="27">
    <w:name w:val="HTML Keyboard"/>
    <w:basedOn w:val="16"/>
    <w:qFormat/>
    <w:uiPriority w:val="0"/>
    <w:rPr>
      <w:rFonts w:hint="default" w:ascii="monospace" w:hAnsi="monospace" w:eastAsia="monospace" w:cs="monospace"/>
      <w:sz w:val="20"/>
    </w:rPr>
  </w:style>
  <w:style w:type="character" w:styleId="28">
    <w:name w:val="HTML Sample"/>
    <w:basedOn w:val="16"/>
    <w:qFormat/>
    <w:uiPriority w:val="0"/>
    <w:rPr>
      <w:rFonts w:hint="default" w:ascii="monospace" w:hAnsi="monospace" w:eastAsia="monospace" w:cs="monospace"/>
    </w:rPr>
  </w:style>
  <w:style w:type="paragraph" w:customStyle="1" w:styleId="29">
    <w:name w:val="表格文字"/>
    <w:basedOn w:val="1"/>
    <w:qFormat/>
    <w:uiPriority w:val="0"/>
    <w:pPr>
      <w:jc w:val="left"/>
    </w:pPr>
    <w:rPr>
      <w:bCs/>
      <w:spacing w:val="10"/>
      <w:kern w:val="0"/>
      <w:sz w:val="24"/>
    </w:rPr>
  </w:style>
  <w:style w:type="paragraph" w:customStyle="1" w:styleId="30">
    <w:name w:val="1"/>
    <w:basedOn w:val="1"/>
    <w:next w:val="10"/>
    <w:qFormat/>
    <w:uiPriority w:val="0"/>
    <w:rPr>
      <w:rFonts w:ascii="宋体" w:hAnsi="Courier New"/>
      <w:szCs w:val="20"/>
    </w:rPr>
  </w:style>
  <w:style w:type="paragraph" w:customStyle="1" w:styleId="31">
    <w:name w:val="Table Paragraph"/>
    <w:basedOn w:val="1"/>
    <w:qFormat/>
    <w:uiPriority w:val="1"/>
    <w:pPr>
      <w:jc w:val="left"/>
    </w:pPr>
    <w:rPr>
      <w:rFonts w:asciiTheme="minorHAnsi" w:hAnsiTheme="minorHAnsi" w:eastAsiaTheme="minorEastAsia" w:cstheme="minorBidi"/>
      <w:kern w:val="0"/>
      <w:sz w:val="22"/>
      <w:szCs w:val="22"/>
      <w:lang w:eastAsia="en-US"/>
    </w:rPr>
  </w:style>
  <w:style w:type="paragraph" w:styleId="32">
    <w:name w:val="List Paragraph"/>
    <w:basedOn w:val="1"/>
    <w:qFormat/>
    <w:uiPriority w:val="34"/>
    <w:pPr>
      <w:ind w:firstLine="420" w:firstLineChars="200"/>
    </w:pPr>
  </w:style>
  <w:style w:type="character" w:customStyle="1" w:styleId="33">
    <w:name w:val="font-line-11"/>
    <w:basedOn w:val="16"/>
    <w:qFormat/>
    <w:uiPriority w:val="0"/>
  </w:style>
  <w:style w:type="paragraph" w:customStyle="1" w:styleId="34">
    <w:name w:val="_Style 117"/>
    <w:basedOn w:val="1"/>
    <w:qFormat/>
    <w:uiPriority w:val="0"/>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2019-10-14T04:47:00Z</dcterms:created>
  <dc:creator>CD</dc:creator>
  <cp:lastModifiedBy>NTKO</cp:lastModifiedBy>
  <dcterms:modified xsi:type="dcterms:W3CDTF">2020-11-10T04:13:27Z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