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Theme="minorEastAsia" w:hAnsiTheme="minorEastAsia" w:eastAsiaTheme="minorEastAsia"/>
          <w:b/>
          <w:bCs/>
          <w:color w:val="auto"/>
          <w:spacing w:val="80"/>
          <w:sz w:val="56"/>
          <w:szCs w:val="22"/>
          <w:highlight w:val="none"/>
          <w:u w:val="none"/>
        </w:rPr>
      </w:pPr>
      <w:r>
        <w:rPr>
          <w:rFonts w:hint="eastAsia" w:asciiTheme="minorEastAsia" w:hAnsiTheme="minorEastAsia" w:eastAsiaTheme="minorEastAsia"/>
          <w:color w:val="auto"/>
          <w:sz w:val="56"/>
          <w:szCs w:val="22"/>
          <w:highlight w:val="none"/>
          <w:u w:val="none"/>
        </w:rPr>
        <w:t>中鼎誉润工程咨询有限公司</w:t>
      </w:r>
    </w:p>
    <w:p>
      <w:pPr>
        <w:spacing w:line="720" w:lineRule="exact"/>
        <w:rPr>
          <w:rFonts w:asciiTheme="minorEastAsia" w:hAnsiTheme="minorEastAsia" w:eastAsiaTheme="minorEastAsia"/>
          <w:b/>
          <w:bCs/>
          <w:color w:val="auto"/>
          <w:spacing w:val="80"/>
          <w:sz w:val="72"/>
          <w:highlight w:val="none"/>
          <w:u w:val="none"/>
        </w:rPr>
      </w:pPr>
    </w:p>
    <w:p>
      <w:pPr>
        <w:spacing w:before="165" w:beforeLines="50"/>
        <w:jc w:val="center"/>
        <w:rPr>
          <w:rFonts w:asciiTheme="minorEastAsia" w:hAnsiTheme="minorEastAsia" w:eastAsiaTheme="minorEastAsia"/>
          <w:b/>
          <w:color w:val="auto"/>
          <w:sz w:val="84"/>
          <w:szCs w:val="84"/>
          <w:highlight w:val="none"/>
          <w:u w:val="none"/>
        </w:rPr>
      </w:pPr>
    </w:p>
    <w:p>
      <w:pPr>
        <w:spacing w:before="165" w:beforeLines="50"/>
        <w:jc w:val="center"/>
        <w:rPr>
          <w:rFonts w:asciiTheme="minorEastAsia" w:hAnsiTheme="minorEastAsia" w:eastAsiaTheme="minorEastAsia"/>
          <w:b/>
          <w:color w:val="auto"/>
          <w:sz w:val="84"/>
          <w:szCs w:val="84"/>
          <w:highlight w:val="none"/>
          <w:u w:val="none"/>
        </w:rPr>
      </w:pPr>
      <w:r>
        <w:rPr>
          <w:rFonts w:hint="eastAsia" w:asciiTheme="minorEastAsia" w:hAnsiTheme="minorEastAsia" w:eastAsiaTheme="minorEastAsia"/>
          <w:b/>
          <w:color w:val="auto"/>
          <w:sz w:val="84"/>
          <w:szCs w:val="84"/>
          <w:highlight w:val="none"/>
          <w:u w:val="none"/>
        </w:rPr>
        <w:t>公  开  招  标</w:t>
      </w:r>
    </w:p>
    <w:p>
      <w:pPr>
        <w:snapToGrid w:val="0"/>
        <w:spacing w:before="165" w:beforeLines="50" w:line="360" w:lineRule="auto"/>
        <w:rPr>
          <w:rFonts w:asciiTheme="minorEastAsia" w:hAnsiTheme="minorEastAsia" w:eastAsiaTheme="minorEastAsia"/>
          <w:color w:val="auto"/>
          <w:sz w:val="30"/>
          <w:szCs w:val="72"/>
          <w:highlight w:val="none"/>
          <w:u w:val="none"/>
        </w:rPr>
      </w:pPr>
    </w:p>
    <w:p>
      <w:pPr>
        <w:pStyle w:val="8"/>
        <w:spacing w:line="360" w:lineRule="auto"/>
        <w:rPr>
          <w:rFonts w:asciiTheme="minorEastAsia" w:hAnsiTheme="minorEastAsia" w:eastAsiaTheme="minorEastAsia"/>
          <w:b/>
          <w:bCs/>
          <w:color w:val="auto"/>
          <w:sz w:val="32"/>
          <w:highlight w:val="none"/>
          <w:u w:val="none"/>
        </w:rPr>
      </w:pPr>
    </w:p>
    <w:p>
      <w:pPr>
        <w:pStyle w:val="8"/>
        <w:spacing w:line="360" w:lineRule="auto"/>
        <w:ind w:firstLine="1606" w:firstLineChars="500"/>
        <w:rPr>
          <w:rFonts w:asciiTheme="minorEastAsia" w:hAnsiTheme="minorEastAsia" w:eastAsiaTheme="minorEastAsia"/>
          <w:b/>
          <w:bCs/>
          <w:color w:val="auto"/>
          <w:w w:val="95"/>
          <w:sz w:val="32"/>
          <w:szCs w:val="32"/>
          <w:highlight w:val="none"/>
          <w:u w:val="none"/>
        </w:rPr>
      </w:pPr>
      <w:r>
        <w:rPr>
          <w:rFonts w:hint="eastAsia" w:asciiTheme="minorEastAsia" w:hAnsiTheme="minorEastAsia" w:eastAsiaTheme="minorEastAsia"/>
          <w:b/>
          <w:bCs/>
          <w:color w:val="auto"/>
          <w:sz w:val="32"/>
          <w:highlight w:val="none"/>
          <w:u w:val="none"/>
        </w:rPr>
        <w:t>项目名称：2020年广西妇幼保健机构能力建设项目</w:t>
      </w:r>
    </w:p>
    <w:p>
      <w:pPr>
        <w:pStyle w:val="8"/>
        <w:spacing w:line="360" w:lineRule="auto"/>
        <w:ind w:left="210" w:leftChars="100" w:firstLine="643" w:firstLineChars="200"/>
        <w:rPr>
          <w:rFonts w:asciiTheme="minorEastAsia" w:hAnsiTheme="minorEastAsia" w:eastAsiaTheme="minorEastAsia"/>
          <w:b/>
          <w:bCs/>
          <w:color w:val="auto"/>
          <w:w w:val="95"/>
          <w:sz w:val="32"/>
          <w:szCs w:val="32"/>
          <w:highlight w:val="none"/>
          <w:u w:val="none"/>
        </w:rPr>
      </w:pPr>
      <w:r>
        <w:rPr>
          <w:rFonts w:hint="eastAsia" w:asciiTheme="minorEastAsia" w:hAnsiTheme="minorEastAsia" w:eastAsiaTheme="minorEastAsia"/>
          <w:b/>
          <w:bCs/>
          <w:color w:val="auto"/>
          <w:sz w:val="32"/>
          <w:highlight w:val="none"/>
          <w:u w:val="none"/>
        </w:rPr>
        <w:t xml:space="preserve">     采购编号：QZZC2020-G1-50019-ZDYR</w:t>
      </w:r>
    </w:p>
    <w:p>
      <w:pPr>
        <w:pStyle w:val="8"/>
        <w:spacing w:line="360" w:lineRule="auto"/>
        <w:ind w:firstLine="2303" w:firstLineChars="717"/>
        <w:rPr>
          <w:rFonts w:asciiTheme="minorEastAsia" w:hAnsiTheme="minorEastAsia" w:eastAsiaTheme="minorEastAsia"/>
          <w:b/>
          <w:bCs/>
          <w:color w:val="auto"/>
          <w:sz w:val="32"/>
          <w:highlight w:val="none"/>
          <w:u w:val="none"/>
        </w:rPr>
      </w:pPr>
    </w:p>
    <w:p>
      <w:pPr>
        <w:pStyle w:val="8"/>
        <w:spacing w:line="360" w:lineRule="auto"/>
        <w:rPr>
          <w:rFonts w:asciiTheme="minorEastAsia" w:hAnsiTheme="minorEastAsia" w:eastAsiaTheme="minorEastAsia"/>
          <w:b/>
          <w:bCs/>
          <w:color w:val="auto"/>
          <w:sz w:val="32"/>
          <w:highlight w:val="none"/>
          <w:u w:val="none"/>
        </w:rPr>
      </w:pPr>
    </w:p>
    <w:p>
      <w:pPr>
        <w:pStyle w:val="8"/>
        <w:spacing w:line="360" w:lineRule="auto"/>
        <w:rPr>
          <w:rFonts w:asciiTheme="minorEastAsia" w:hAnsiTheme="minorEastAsia" w:eastAsiaTheme="minorEastAsia"/>
          <w:b/>
          <w:bCs/>
          <w:color w:val="auto"/>
          <w:sz w:val="32"/>
          <w:highlight w:val="none"/>
          <w:u w:val="none"/>
        </w:rPr>
      </w:pPr>
    </w:p>
    <w:p>
      <w:pPr>
        <w:pStyle w:val="8"/>
        <w:spacing w:line="360" w:lineRule="auto"/>
        <w:rPr>
          <w:rFonts w:asciiTheme="minorEastAsia" w:hAnsiTheme="minorEastAsia" w:eastAsiaTheme="minorEastAsia"/>
          <w:b/>
          <w:bCs/>
          <w:color w:val="auto"/>
          <w:sz w:val="32"/>
          <w:highlight w:val="none"/>
          <w:u w:val="none"/>
        </w:rPr>
      </w:pPr>
    </w:p>
    <w:p>
      <w:pPr>
        <w:pStyle w:val="8"/>
        <w:spacing w:line="360" w:lineRule="auto"/>
        <w:ind w:firstLine="1437" w:firstLineChars="211"/>
        <w:rPr>
          <w:rFonts w:asciiTheme="minorEastAsia" w:hAnsiTheme="minorEastAsia" w:eastAsiaTheme="minorEastAsia"/>
          <w:b/>
          <w:bCs/>
          <w:color w:val="auto"/>
          <w:w w:val="95"/>
          <w:sz w:val="32"/>
          <w:szCs w:val="32"/>
          <w:highlight w:val="none"/>
          <w:u w:val="none"/>
        </w:rPr>
      </w:pPr>
      <w:r>
        <w:rPr>
          <w:rFonts w:hint="eastAsia" w:asciiTheme="minorEastAsia" w:hAnsiTheme="minorEastAsia" w:eastAsiaTheme="minorEastAsia"/>
          <w:b/>
          <w:bCs/>
          <w:color w:val="auto"/>
          <w:spacing w:val="180"/>
          <w:sz w:val="32"/>
          <w:highlight w:val="none"/>
          <w:u w:val="none"/>
        </w:rPr>
        <w:t>采购人:</w:t>
      </w:r>
      <w:r>
        <w:rPr>
          <w:rFonts w:hint="eastAsia" w:asciiTheme="minorEastAsia" w:hAnsiTheme="minorEastAsia" w:eastAsiaTheme="minorEastAsia"/>
          <w:b/>
          <w:bCs/>
          <w:color w:val="auto"/>
          <w:sz w:val="32"/>
          <w:highlight w:val="none"/>
          <w:u w:val="none"/>
        </w:rPr>
        <w:t>灵山县妇幼保健院</w:t>
      </w:r>
    </w:p>
    <w:p>
      <w:pPr>
        <w:pStyle w:val="8"/>
        <w:spacing w:line="360" w:lineRule="auto"/>
        <w:ind w:firstLine="644" w:firstLineChars="211"/>
        <w:rPr>
          <w:rFonts w:asciiTheme="minorEastAsia" w:hAnsiTheme="minorEastAsia" w:eastAsiaTheme="minorEastAsia"/>
          <w:b/>
          <w:bCs/>
          <w:color w:val="auto"/>
          <w:w w:val="95"/>
          <w:sz w:val="32"/>
          <w:szCs w:val="32"/>
          <w:highlight w:val="none"/>
          <w:u w:val="none"/>
        </w:rPr>
      </w:pPr>
    </w:p>
    <w:p>
      <w:pPr>
        <w:pStyle w:val="8"/>
        <w:spacing w:line="360" w:lineRule="auto"/>
        <w:ind w:firstLine="644" w:firstLineChars="211"/>
        <w:rPr>
          <w:rFonts w:asciiTheme="minorEastAsia" w:hAnsiTheme="minorEastAsia" w:eastAsiaTheme="minorEastAsia"/>
          <w:b/>
          <w:bCs/>
          <w:color w:val="auto"/>
          <w:w w:val="95"/>
          <w:sz w:val="32"/>
          <w:szCs w:val="32"/>
          <w:highlight w:val="none"/>
          <w:u w:val="none"/>
        </w:rPr>
      </w:pPr>
    </w:p>
    <w:p>
      <w:pPr>
        <w:pStyle w:val="8"/>
        <w:spacing w:line="360" w:lineRule="auto"/>
        <w:ind w:firstLine="1430" w:firstLineChars="445"/>
        <w:rPr>
          <w:rFonts w:asciiTheme="minorEastAsia" w:hAnsiTheme="minorEastAsia" w:eastAsiaTheme="minorEastAsia"/>
          <w:b/>
          <w:bCs/>
          <w:color w:val="auto"/>
          <w:sz w:val="32"/>
          <w:highlight w:val="none"/>
          <w:u w:val="none"/>
        </w:rPr>
      </w:pPr>
      <w:r>
        <w:rPr>
          <w:rFonts w:hint="eastAsia" w:asciiTheme="minorEastAsia" w:hAnsiTheme="minorEastAsia" w:eastAsiaTheme="minorEastAsia"/>
          <w:b/>
          <w:bCs/>
          <w:color w:val="auto"/>
          <w:sz w:val="32"/>
          <w:highlight w:val="none"/>
          <w:u w:val="none"/>
        </w:rPr>
        <w:t>采购代理机构：中鼎誉润工程咨询有限公司</w:t>
      </w:r>
    </w:p>
    <w:p>
      <w:pPr>
        <w:pStyle w:val="8"/>
        <w:snapToGrid w:val="0"/>
        <w:spacing w:before="120" w:after="120" w:line="360" w:lineRule="auto"/>
        <w:rPr>
          <w:rFonts w:asciiTheme="minorEastAsia" w:hAnsiTheme="minorEastAsia" w:eastAsiaTheme="minorEastAsia"/>
          <w:b/>
          <w:bCs/>
          <w:color w:val="auto"/>
          <w:w w:val="95"/>
          <w:sz w:val="32"/>
          <w:szCs w:val="32"/>
          <w:highlight w:val="none"/>
          <w:u w:val="none"/>
        </w:rPr>
      </w:pPr>
    </w:p>
    <w:p>
      <w:pPr>
        <w:pStyle w:val="8"/>
        <w:snapToGrid w:val="0"/>
        <w:spacing w:before="120" w:after="120" w:line="360" w:lineRule="auto"/>
        <w:jc w:val="center"/>
        <w:rPr>
          <w:rFonts w:asciiTheme="minorEastAsia" w:hAnsiTheme="minorEastAsia" w:eastAsiaTheme="minorEastAsia"/>
          <w:b/>
          <w:bCs/>
          <w:color w:val="auto"/>
          <w:w w:val="95"/>
          <w:sz w:val="32"/>
          <w:szCs w:val="32"/>
          <w:highlight w:val="none"/>
          <w:u w:val="none"/>
        </w:rPr>
      </w:pPr>
      <w:r>
        <w:rPr>
          <w:rFonts w:hint="eastAsia" w:asciiTheme="minorEastAsia" w:hAnsiTheme="minorEastAsia" w:eastAsiaTheme="minorEastAsia"/>
          <w:b/>
          <w:bCs/>
          <w:color w:val="auto"/>
          <w:w w:val="95"/>
          <w:sz w:val="32"/>
          <w:szCs w:val="32"/>
          <w:highlight w:val="none"/>
          <w:u w:val="none"/>
        </w:rPr>
        <w:t xml:space="preserve">2020年11月 </w:t>
      </w:r>
    </w:p>
    <w:p>
      <w:pPr>
        <w:rPr>
          <w:rFonts w:asciiTheme="minorEastAsia" w:hAnsiTheme="minorEastAsia" w:eastAsiaTheme="minorEastAsia"/>
          <w:color w:val="auto"/>
          <w:highlight w:val="none"/>
          <w:u w:val="none"/>
        </w:rPr>
      </w:pPr>
    </w:p>
    <w:p>
      <w:pPr>
        <w:spacing w:before="165" w:beforeLines="50"/>
        <w:jc w:val="center"/>
        <w:rPr>
          <w:rFonts w:asciiTheme="minorEastAsia" w:hAnsiTheme="minorEastAsia" w:eastAsiaTheme="minorEastAsia"/>
          <w:b/>
          <w:color w:val="auto"/>
          <w:sz w:val="84"/>
          <w:szCs w:val="84"/>
          <w:highlight w:val="none"/>
          <w:u w:val="none"/>
        </w:rPr>
        <w:sectPr>
          <w:headerReference r:id="rId3" w:type="default"/>
          <w:footerReference r:id="rId4" w:type="default"/>
          <w:pgSz w:w="11906" w:h="16838"/>
          <w:pgMar w:top="1134" w:right="1134" w:bottom="1134" w:left="1134" w:header="720" w:footer="720" w:gutter="0"/>
          <w:pgNumType w:start="1"/>
          <w:cols w:space="720" w:num="1"/>
          <w:docGrid w:type="lines" w:linePitch="331" w:charSpace="0"/>
        </w:sectPr>
      </w:pPr>
    </w:p>
    <w:p>
      <w:pPr>
        <w:spacing w:before="156" w:beforeLines="50"/>
        <w:jc w:val="center"/>
        <w:rPr>
          <w:rFonts w:asciiTheme="minorEastAsia" w:hAnsiTheme="minorEastAsia" w:eastAsiaTheme="minorEastAsia"/>
          <w:b/>
          <w:color w:val="auto"/>
          <w:sz w:val="84"/>
          <w:szCs w:val="84"/>
          <w:highlight w:val="none"/>
          <w:u w:val="none"/>
        </w:rPr>
      </w:pPr>
    </w:p>
    <w:p>
      <w:pPr>
        <w:jc w:val="center"/>
        <w:rPr>
          <w:rFonts w:cs="宋体" w:asciiTheme="minorEastAsia" w:hAnsiTheme="minorEastAsia" w:eastAsiaTheme="minorEastAsia"/>
          <w:color w:val="auto"/>
          <w:sz w:val="44"/>
          <w:szCs w:val="44"/>
          <w:highlight w:val="none"/>
          <w:u w:val="none"/>
        </w:rPr>
      </w:pPr>
      <w:r>
        <w:rPr>
          <w:rFonts w:hint="eastAsia" w:cs="宋体" w:asciiTheme="minorEastAsia" w:hAnsiTheme="minorEastAsia" w:eastAsiaTheme="minorEastAsia"/>
          <w:color w:val="auto"/>
          <w:sz w:val="44"/>
          <w:szCs w:val="44"/>
          <w:highlight w:val="none"/>
          <w:u w:val="none"/>
        </w:rPr>
        <w:t>目    录</w:t>
      </w:r>
    </w:p>
    <w:p>
      <w:pPr>
        <w:jc w:val="center"/>
        <w:rPr>
          <w:rFonts w:cs="宋体" w:asciiTheme="minorEastAsia" w:hAnsiTheme="minorEastAsia" w:eastAsiaTheme="minorEastAsia"/>
          <w:color w:val="auto"/>
          <w:sz w:val="44"/>
          <w:szCs w:val="44"/>
          <w:highlight w:val="none"/>
          <w:u w:val="none"/>
        </w:rPr>
      </w:pPr>
    </w:p>
    <w:p>
      <w:pPr>
        <w:pStyle w:val="32"/>
        <w:tabs>
          <w:tab w:val="right" w:leader="dot" w:pos="9638"/>
        </w:tabs>
        <w:rPr>
          <w:rFonts w:cs="宋体" w:asciiTheme="minorEastAsia" w:hAnsiTheme="minorEastAsia" w:eastAsiaTheme="minorEastAsia"/>
          <w:color w:val="auto"/>
          <w:sz w:val="32"/>
          <w:szCs w:val="32"/>
          <w:highlight w:val="none"/>
          <w:u w:val="none"/>
        </w:rPr>
      </w:pPr>
      <w:r>
        <w:rPr>
          <w:color w:val="auto"/>
          <w:highlight w:val="none"/>
          <w:u w:val="none"/>
        </w:rPr>
        <w:fldChar w:fldCharType="begin"/>
      </w:r>
      <w:r>
        <w:rPr>
          <w:color w:val="auto"/>
          <w:highlight w:val="none"/>
          <w:u w:val="none"/>
        </w:rPr>
        <w:instrText xml:space="preserve"> HYPERLINK \l "_Toc1065_WPSOffice_Level1" </w:instrText>
      </w:r>
      <w:r>
        <w:rPr>
          <w:color w:val="auto"/>
          <w:highlight w:val="none"/>
          <w:u w:val="none"/>
        </w:rPr>
        <w:fldChar w:fldCharType="separate"/>
      </w:r>
      <w:r>
        <w:rPr>
          <w:rFonts w:hint="eastAsia" w:cs="宋体" w:asciiTheme="minorEastAsia" w:hAnsiTheme="minorEastAsia" w:eastAsiaTheme="minorEastAsia"/>
          <w:color w:val="auto"/>
          <w:sz w:val="32"/>
          <w:szCs w:val="32"/>
          <w:highlight w:val="none"/>
          <w:u w:val="none"/>
        </w:rPr>
        <w:t>第一章  公开招标公告</w:t>
      </w:r>
      <w:r>
        <w:rPr>
          <w:rFonts w:hint="eastAsia" w:cs="宋体" w:asciiTheme="minorEastAsia" w:hAnsiTheme="minorEastAsia" w:eastAsiaTheme="minorEastAsia"/>
          <w:color w:val="auto"/>
          <w:sz w:val="32"/>
          <w:szCs w:val="32"/>
          <w:highlight w:val="none"/>
          <w:u w:val="none"/>
        </w:rPr>
        <w:tab/>
      </w:r>
      <w:r>
        <w:rPr>
          <w:rFonts w:hint="eastAsia" w:cs="宋体" w:asciiTheme="minorEastAsia" w:hAnsiTheme="minorEastAsia" w:eastAsiaTheme="minorEastAsia"/>
          <w:color w:val="auto"/>
          <w:sz w:val="32"/>
          <w:szCs w:val="32"/>
          <w:highlight w:val="none"/>
          <w:u w:val="none"/>
        </w:rPr>
        <w:t>2</w:t>
      </w:r>
      <w:r>
        <w:rPr>
          <w:rFonts w:hint="eastAsia" w:cs="宋体" w:asciiTheme="minorEastAsia" w:hAnsiTheme="minorEastAsia" w:eastAsiaTheme="minorEastAsia"/>
          <w:color w:val="auto"/>
          <w:sz w:val="32"/>
          <w:szCs w:val="32"/>
          <w:highlight w:val="none"/>
          <w:u w:val="none"/>
        </w:rPr>
        <w:fldChar w:fldCharType="end"/>
      </w:r>
    </w:p>
    <w:p>
      <w:pPr>
        <w:pStyle w:val="32"/>
        <w:tabs>
          <w:tab w:val="right" w:leader="dot" w:pos="9638"/>
        </w:tabs>
        <w:rPr>
          <w:rFonts w:cs="宋体" w:asciiTheme="minorEastAsia" w:hAnsiTheme="minorEastAsia" w:eastAsiaTheme="minorEastAsia"/>
          <w:color w:val="auto"/>
          <w:sz w:val="32"/>
          <w:szCs w:val="32"/>
          <w:highlight w:val="none"/>
          <w:u w:val="none"/>
        </w:rPr>
      </w:pPr>
      <w:r>
        <w:rPr>
          <w:color w:val="auto"/>
          <w:highlight w:val="none"/>
          <w:u w:val="none"/>
        </w:rPr>
        <w:fldChar w:fldCharType="begin"/>
      </w:r>
      <w:r>
        <w:rPr>
          <w:color w:val="auto"/>
          <w:highlight w:val="none"/>
          <w:u w:val="none"/>
        </w:rPr>
        <w:instrText xml:space="preserve"> HYPERLINK \l "_Toc28431_WPSOffice_Level1" </w:instrText>
      </w:r>
      <w:r>
        <w:rPr>
          <w:color w:val="auto"/>
          <w:highlight w:val="none"/>
          <w:u w:val="none"/>
        </w:rPr>
        <w:fldChar w:fldCharType="separate"/>
      </w:r>
      <w:r>
        <w:rPr>
          <w:rFonts w:hint="eastAsia" w:cs="宋体" w:asciiTheme="minorEastAsia" w:hAnsiTheme="minorEastAsia" w:eastAsiaTheme="minorEastAsia"/>
          <w:color w:val="auto"/>
          <w:sz w:val="32"/>
          <w:szCs w:val="32"/>
          <w:highlight w:val="none"/>
          <w:u w:val="none"/>
        </w:rPr>
        <w:t>第二章  货物需求一览表</w:t>
      </w:r>
      <w:r>
        <w:rPr>
          <w:rFonts w:hint="eastAsia" w:cs="宋体" w:asciiTheme="minorEastAsia" w:hAnsiTheme="minorEastAsia" w:eastAsiaTheme="minorEastAsia"/>
          <w:color w:val="auto"/>
          <w:sz w:val="32"/>
          <w:szCs w:val="32"/>
          <w:highlight w:val="none"/>
          <w:u w:val="none"/>
        </w:rPr>
        <w:tab/>
      </w:r>
      <w:r>
        <w:rPr>
          <w:rFonts w:hint="eastAsia" w:cs="宋体" w:asciiTheme="minorEastAsia" w:hAnsiTheme="minorEastAsia" w:eastAsiaTheme="minorEastAsia"/>
          <w:color w:val="auto"/>
          <w:sz w:val="32"/>
          <w:szCs w:val="32"/>
          <w:highlight w:val="none"/>
          <w:u w:val="none"/>
        </w:rPr>
        <w:t>5</w:t>
      </w:r>
      <w:r>
        <w:rPr>
          <w:rFonts w:hint="eastAsia" w:cs="宋体" w:asciiTheme="minorEastAsia" w:hAnsiTheme="minorEastAsia" w:eastAsiaTheme="minorEastAsia"/>
          <w:color w:val="auto"/>
          <w:sz w:val="32"/>
          <w:szCs w:val="32"/>
          <w:highlight w:val="none"/>
          <w:u w:val="none"/>
        </w:rPr>
        <w:fldChar w:fldCharType="end"/>
      </w:r>
    </w:p>
    <w:p>
      <w:pPr>
        <w:pStyle w:val="32"/>
        <w:tabs>
          <w:tab w:val="right" w:leader="dot" w:pos="9638"/>
        </w:tabs>
        <w:rPr>
          <w:rFonts w:cs="宋体" w:asciiTheme="minorEastAsia" w:hAnsiTheme="minorEastAsia" w:eastAsiaTheme="minorEastAsia"/>
          <w:color w:val="auto"/>
          <w:sz w:val="32"/>
          <w:szCs w:val="32"/>
          <w:highlight w:val="none"/>
          <w:u w:val="none"/>
        </w:rPr>
      </w:pPr>
      <w:r>
        <w:rPr>
          <w:rFonts w:hint="eastAsia" w:cs="宋体" w:asciiTheme="minorEastAsia" w:hAnsiTheme="minorEastAsia" w:eastAsiaTheme="minorEastAsia"/>
          <w:color w:val="auto"/>
          <w:sz w:val="32"/>
          <w:szCs w:val="32"/>
          <w:highlight w:val="none"/>
          <w:u w:val="none"/>
        </w:rPr>
        <w:t xml:space="preserve">        A分标：货物需求一览表</w:t>
      </w:r>
      <w:r>
        <w:rPr>
          <w:rFonts w:hint="eastAsia" w:cs="宋体" w:asciiTheme="minorEastAsia" w:hAnsiTheme="minorEastAsia" w:eastAsiaTheme="minorEastAsia"/>
          <w:color w:val="auto"/>
          <w:sz w:val="32"/>
          <w:szCs w:val="32"/>
          <w:highlight w:val="none"/>
          <w:u w:val="none"/>
        </w:rPr>
        <w:tab/>
      </w:r>
      <w:r>
        <w:rPr>
          <w:rFonts w:hint="eastAsia" w:cs="宋体" w:asciiTheme="minorEastAsia" w:hAnsiTheme="minorEastAsia" w:eastAsiaTheme="minorEastAsia"/>
          <w:color w:val="auto"/>
          <w:sz w:val="32"/>
          <w:szCs w:val="32"/>
          <w:highlight w:val="none"/>
          <w:u w:val="none"/>
        </w:rPr>
        <w:t>5</w:t>
      </w:r>
    </w:p>
    <w:p>
      <w:pPr>
        <w:pStyle w:val="32"/>
        <w:tabs>
          <w:tab w:val="right" w:leader="dot" w:pos="9638"/>
        </w:tabs>
        <w:rPr>
          <w:rFonts w:cs="宋体" w:asciiTheme="minorEastAsia" w:hAnsiTheme="minorEastAsia" w:eastAsiaTheme="minorEastAsia"/>
          <w:color w:val="auto"/>
          <w:sz w:val="32"/>
          <w:szCs w:val="32"/>
          <w:highlight w:val="none"/>
          <w:u w:val="none"/>
        </w:rPr>
      </w:pPr>
      <w:r>
        <w:rPr>
          <w:rFonts w:hint="eastAsia" w:cs="宋体" w:asciiTheme="minorEastAsia" w:hAnsiTheme="minorEastAsia" w:eastAsiaTheme="minorEastAsia"/>
          <w:color w:val="auto"/>
          <w:sz w:val="32"/>
          <w:szCs w:val="32"/>
          <w:highlight w:val="none"/>
          <w:u w:val="none"/>
        </w:rPr>
        <w:t xml:space="preserve">        B分标：货物需求一览表</w:t>
      </w:r>
      <w:r>
        <w:rPr>
          <w:rFonts w:hint="eastAsia" w:cs="宋体" w:asciiTheme="minorEastAsia" w:hAnsiTheme="minorEastAsia" w:eastAsiaTheme="minorEastAsia"/>
          <w:color w:val="auto"/>
          <w:sz w:val="32"/>
          <w:szCs w:val="32"/>
          <w:highlight w:val="none"/>
          <w:u w:val="none"/>
        </w:rPr>
        <w:tab/>
      </w:r>
      <w:r>
        <w:rPr>
          <w:rFonts w:hint="eastAsia" w:cs="宋体" w:asciiTheme="minorEastAsia" w:hAnsiTheme="minorEastAsia" w:eastAsiaTheme="minorEastAsia"/>
          <w:color w:val="auto"/>
          <w:sz w:val="32"/>
          <w:szCs w:val="32"/>
          <w:highlight w:val="none"/>
          <w:u w:val="none"/>
        </w:rPr>
        <w:t>9</w:t>
      </w:r>
    </w:p>
    <w:p>
      <w:pPr>
        <w:pStyle w:val="32"/>
        <w:tabs>
          <w:tab w:val="right" w:leader="dot" w:pos="9638"/>
        </w:tabs>
        <w:rPr>
          <w:rFonts w:cs="宋体" w:asciiTheme="minorEastAsia" w:hAnsiTheme="minorEastAsia" w:eastAsiaTheme="minorEastAsia"/>
          <w:color w:val="auto"/>
          <w:sz w:val="32"/>
          <w:szCs w:val="32"/>
          <w:highlight w:val="none"/>
          <w:u w:val="none"/>
        </w:rPr>
      </w:pPr>
      <w:r>
        <w:rPr>
          <w:color w:val="auto"/>
          <w:highlight w:val="none"/>
          <w:u w:val="none"/>
        </w:rPr>
        <w:fldChar w:fldCharType="begin"/>
      </w:r>
      <w:r>
        <w:rPr>
          <w:color w:val="auto"/>
          <w:highlight w:val="none"/>
          <w:u w:val="none"/>
        </w:rPr>
        <w:instrText xml:space="preserve"> HYPERLINK \l "_Toc31350_WPSOffice_Level1" </w:instrText>
      </w:r>
      <w:r>
        <w:rPr>
          <w:color w:val="auto"/>
          <w:highlight w:val="none"/>
          <w:u w:val="none"/>
        </w:rPr>
        <w:fldChar w:fldCharType="separate"/>
      </w:r>
      <w:r>
        <w:rPr>
          <w:rFonts w:hint="eastAsia" w:cs="宋体" w:asciiTheme="minorEastAsia" w:hAnsiTheme="minorEastAsia" w:eastAsiaTheme="minorEastAsia"/>
          <w:color w:val="auto"/>
          <w:sz w:val="32"/>
          <w:szCs w:val="32"/>
          <w:highlight w:val="none"/>
          <w:u w:val="none"/>
        </w:rPr>
        <w:t>第三章  投标人须知</w:t>
      </w:r>
      <w:r>
        <w:rPr>
          <w:rFonts w:hint="eastAsia" w:cs="宋体" w:asciiTheme="minorEastAsia" w:hAnsiTheme="minorEastAsia" w:eastAsiaTheme="minorEastAsia"/>
          <w:color w:val="auto"/>
          <w:sz w:val="32"/>
          <w:szCs w:val="32"/>
          <w:highlight w:val="none"/>
          <w:u w:val="none"/>
        </w:rPr>
        <w:tab/>
      </w:r>
      <w:r>
        <w:rPr>
          <w:rFonts w:hint="eastAsia" w:cs="宋体" w:asciiTheme="minorEastAsia" w:hAnsiTheme="minorEastAsia" w:eastAsiaTheme="minorEastAsia"/>
          <w:color w:val="auto"/>
          <w:sz w:val="32"/>
          <w:szCs w:val="32"/>
          <w:highlight w:val="none"/>
          <w:u w:val="none"/>
        </w:rPr>
        <w:t>3</w:t>
      </w:r>
      <w:r>
        <w:rPr>
          <w:rFonts w:hint="eastAsia" w:cs="宋体" w:asciiTheme="minorEastAsia" w:hAnsiTheme="minorEastAsia" w:eastAsiaTheme="minorEastAsia"/>
          <w:color w:val="auto"/>
          <w:sz w:val="32"/>
          <w:szCs w:val="32"/>
          <w:highlight w:val="none"/>
          <w:u w:val="none"/>
        </w:rPr>
        <w:fldChar w:fldCharType="end"/>
      </w:r>
      <w:r>
        <w:rPr>
          <w:rFonts w:hint="eastAsia" w:cs="宋体" w:asciiTheme="minorEastAsia" w:hAnsiTheme="minorEastAsia" w:eastAsiaTheme="minorEastAsia"/>
          <w:color w:val="auto"/>
          <w:sz w:val="32"/>
          <w:szCs w:val="32"/>
          <w:highlight w:val="none"/>
          <w:u w:val="none"/>
        </w:rPr>
        <w:t>2</w:t>
      </w:r>
    </w:p>
    <w:p>
      <w:pPr>
        <w:pStyle w:val="32"/>
        <w:tabs>
          <w:tab w:val="right" w:leader="dot" w:pos="9638"/>
        </w:tabs>
        <w:rPr>
          <w:rFonts w:cs="宋体" w:asciiTheme="minorEastAsia" w:hAnsiTheme="minorEastAsia" w:eastAsiaTheme="minorEastAsia"/>
          <w:color w:val="auto"/>
          <w:sz w:val="32"/>
          <w:szCs w:val="32"/>
          <w:highlight w:val="none"/>
          <w:u w:val="none"/>
        </w:rPr>
      </w:pPr>
      <w:r>
        <w:rPr>
          <w:color w:val="auto"/>
          <w:highlight w:val="none"/>
          <w:u w:val="none"/>
        </w:rPr>
        <w:fldChar w:fldCharType="begin"/>
      </w:r>
      <w:r>
        <w:rPr>
          <w:color w:val="auto"/>
          <w:highlight w:val="none"/>
          <w:u w:val="none"/>
        </w:rPr>
        <w:instrText xml:space="preserve"> HYPERLINK \l "_Toc21165_WPSOffice_Level1" </w:instrText>
      </w:r>
      <w:r>
        <w:rPr>
          <w:color w:val="auto"/>
          <w:highlight w:val="none"/>
          <w:u w:val="none"/>
        </w:rPr>
        <w:fldChar w:fldCharType="separate"/>
      </w:r>
      <w:r>
        <w:rPr>
          <w:rFonts w:hint="eastAsia" w:cs="宋体" w:asciiTheme="minorEastAsia" w:hAnsiTheme="minorEastAsia" w:eastAsiaTheme="minorEastAsia"/>
          <w:color w:val="auto"/>
          <w:sz w:val="32"/>
          <w:szCs w:val="32"/>
          <w:highlight w:val="none"/>
          <w:u w:val="none"/>
        </w:rPr>
        <w:t>第四章  投标文件格式</w:t>
      </w:r>
      <w:r>
        <w:rPr>
          <w:rFonts w:hint="eastAsia" w:cs="宋体" w:asciiTheme="minorEastAsia" w:hAnsiTheme="minorEastAsia" w:eastAsiaTheme="minorEastAsia"/>
          <w:color w:val="auto"/>
          <w:sz w:val="32"/>
          <w:szCs w:val="32"/>
          <w:highlight w:val="none"/>
          <w:u w:val="none"/>
        </w:rPr>
        <w:tab/>
      </w:r>
      <w:r>
        <w:rPr>
          <w:rFonts w:hint="eastAsia" w:cs="宋体" w:asciiTheme="minorEastAsia" w:hAnsiTheme="minorEastAsia" w:eastAsiaTheme="minorEastAsia"/>
          <w:color w:val="auto"/>
          <w:sz w:val="32"/>
          <w:szCs w:val="32"/>
          <w:highlight w:val="none"/>
          <w:u w:val="none"/>
        </w:rPr>
        <w:t>4</w:t>
      </w:r>
      <w:r>
        <w:rPr>
          <w:rFonts w:hint="eastAsia" w:cs="宋体" w:asciiTheme="minorEastAsia" w:hAnsiTheme="minorEastAsia" w:eastAsiaTheme="minorEastAsia"/>
          <w:color w:val="auto"/>
          <w:sz w:val="32"/>
          <w:szCs w:val="32"/>
          <w:highlight w:val="none"/>
          <w:u w:val="none"/>
        </w:rPr>
        <w:fldChar w:fldCharType="end"/>
      </w:r>
      <w:r>
        <w:rPr>
          <w:rFonts w:hint="eastAsia" w:cs="宋体" w:asciiTheme="minorEastAsia" w:hAnsiTheme="minorEastAsia" w:eastAsiaTheme="minorEastAsia"/>
          <w:color w:val="auto"/>
          <w:sz w:val="32"/>
          <w:szCs w:val="32"/>
          <w:highlight w:val="none"/>
          <w:u w:val="none"/>
        </w:rPr>
        <w:t>3</w:t>
      </w:r>
    </w:p>
    <w:p>
      <w:pPr>
        <w:pStyle w:val="32"/>
        <w:tabs>
          <w:tab w:val="right" w:leader="dot" w:pos="9638"/>
        </w:tabs>
        <w:rPr>
          <w:rFonts w:cs="宋体" w:asciiTheme="minorEastAsia" w:hAnsiTheme="minorEastAsia" w:eastAsiaTheme="minorEastAsia"/>
          <w:color w:val="auto"/>
          <w:sz w:val="32"/>
          <w:szCs w:val="32"/>
          <w:highlight w:val="none"/>
          <w:u w:val="none"/>
        </w:rPr>
      </w:pPr>
      <w:r>
        <w:rPr>
          <w:color w:val="auto"/>
          <w:highlight w:val="none"/>
          <w:u w:val="none"/>
        </w:rPr>
        <w:fldChar w:fldCharType="begin"/>
      </w:r>
      <w:r>
        <w:rPr>
          <w:color w:val="auto"/>
          <w:highlight w:val="none"/>
          <w:u w:val="none"/>
        </w:rPr>
        <w:instrText xml:space="preserve"> HYPERLINK \l "_Toc17637_WPSOffice_Level1" </w:instrText>
      </w:r>
      <w:r>
        <w:rPr>
          <w:color w:val="auto"/>
          <w:highlight w:val="none"/>
          <w:u w:val="none"/>
        </w:rPr>
        <w:fldChar w:fldCharType="separate"/>
      </w:r>
      <w:r>
        <w:rPr>
          <w:rFonts w:hint="eastAsia" w:cs="宋体" w:asciiTheme="minorEastAsia" w:hAnsiTheme="minorEastAsia" w:eastAsiaTheme="minorEastAsia"/>
          <w:color w:val="auto"/>
          <w:sz w:val="32"/>
          <w:szCs w:val="32"/>
          <w:highlight w:val="none"/>
          <w:u w:val="none"/>
        </w:rPr>
        <w:t>第五章  合同条款及格式</w:t>
      </w:r>
      <w:r>
        <w:rPr>
          <w:rFonts w:hint="eastAsia" w:cs="宋体" w:asciiTheme="minorEastAsia" w:hAnsiTheme="minorEastAsia" w:eastAsiaTheme="minorEastAsia"/>
          <w:color w:val="auto"/>
          <w:sz w:val="32"/>
          <w:szCs w:val="32"/>
          <w:highlight w:val="none"/>
          <w:u w:val="none"/>
        </w:rPr>
        <w:tab/>
      </w:r>
      <w:r>
        <w:rPr>
          <w:rFonts w:hint="eastAsia" w:cs="宋体" w:asciiTheme="minorEastAsia" w:hAnsiTheme="minorEastAsia" w:eastAsiaTheme="minorEastAsia"/>
          <w:color w:val="auto"/>
          <w:sz w:val="32"/>
          <w:szCs w:val="32"/>
          <w:highlight w:val="none"/>
          <w:u w:val="none"/>
        </w:rPr>
        <w:t>5</w:t>
      </w:r>
      <w:r>
        <w:rPr>
          <w:rFonts w:hint="eastAsia" w:cs="宋体" w:asciiTheme="minorEastAsia" w:hAnsiTheme="minorEastAsia" w:eastAsiaTheme="minorEastAsia"/>
          <w:color w:val="auto"/>
          <w:sz w:val="32"/>
          <w:szCs w:val="32"/>
          <w:highlight w:val="none"/>
          <w:u w:val="none"/>
        </w:rPr>
        <w:fldChar w:fldCharType="end"/>
      </w:r>
      <w:r>
        <w:rPr>
          <w:rFonts w:hint="eastAsia" w:cs="宋体" w:asciiTheme="minorEastAsia" w:hAnsiTheme="minorEastAsia" w:eastAsiaTheme="minorEastAsia"/>
          <w:color w:val="auto"/>
          <w:sz w:val="32"/>
          <w:szCs w:val="32"/>
          <w:highlight w:val="none"/>
          <w:u w:val="none"/>
        </w:rPr>
        <w:t>9</w:t>
      </w:r>
    </w:p>
    <w:p>
      <w:pPr>
        <w:pStyle w:val="32"/>
        <w:tabs>
          <w:tab w:val="right" w:leader="dot" w:pos="9638"/>
        </w:tabs>
        <w:rPr>
          <w:rFonts w:cs="宋体" w:asciiTheme="minorEastAsia" w:hAnsiTheme="minorEastAsia" w:eastAsiaTheme="minorEastAsia"/>
          <w:color w:val="auto"/>
          <w:sz w:val="28"/>
          <w:szCs w:val="28"/>
          <w:highlight w:val="none"/>
          <w:u w:val="none"/>
        </w:rPr>
      </w:pPr>
      <w:r>
        <w:rPr>
          <w:color w:val="auto"/>
          <w:highlight w:val="none"/>
          <w:u w:val="none"/>
        </w:rPr>
        <w:fldChar w:fldCharType="begin"/>
      </w:r>
      <w:r>
        <w:rPr>
          <w:color w:val="auto"/>
          <w:highlight w:val="none"/>
          <w:u w:val="none"/>
        </w:rPr>
        <w:instrText xml:space="preserve"> HYPERLINK \l "_Toc23807_WPSOffice_Level1" </w:instrText>
      </w:r>
      <w:r>
        <w:rPr>
          <w:color w:val="auto"/>
          <w:highlight w:val="none"/>
          <w:u w:val="none"/>
        </w:rPr>
        <w:fldChar w:fldCharType="separate"/>
      </w:r>
      <w:r>
        <w:rPr>
          <w:rFonts w:hint="eastAsia" w:cs="宋体" w:asciiTheme="minorEastAsia" w:hAnsiTheme="minorEastAsia" w:eastAsiaTheme="minorEastAsia"/>
          <w:color w:val="auto"/>
          <w:sz w:val="32"/>
          <w:szCs w:val="32"/>
          <w:highlight w:val="none"/>
          <w:u w:val="none"/>
        </w:rPr>
        <w:t>第六章 评标方法</w:t>
      </w:r>
      <w:r>
        <w:rPr>
          <w:rFonts w:hint="eastAsia" w:cs="宋体" w:asciiTheme="minorEastAsia" w:hAnsiTheme="minorEastAsia" w:eastAsiaTheme="minorEastAsia"/>
          <w:color w:val="auto"/>
          <w:sz w:val="32"/>
          <w:szCs w:val="32"/>
          <w:highlight w:val="none"/>
          <w:u w:val="none"/>
        </w:rPr>
        <w:tab/>
      </w:r>
      <w:r>
        <w:rPr>
          <w:rFonts w:hint="eastAsia" w:cs="宋体" w:asciiTheme="minorEastAsia" w:hAnsiTheme="minorEastAsia" w:eastAsiaTheme="minorEastAsia"/>
          <w:color w:val="auto"/>
          <w:sz w:val="32"/>
          <w:szCs w:val="32"/>
          <w:highlight w:val="none"/>
          <w:u w:val="none"/>
        </w:rPr>
        <w:fldChar w:fldCharType="end"/>
      </w:r>
      <w:r>
        <w:rPr>
          <w:rFonts w:hint="eastAsia" w:cs="宋体" w:asciiTheme="minorEastAsia" w:hAnsiTheme="minorEastAsia" w:eastAsiaTheme="minorEastAsia"/>
          <w:color w:val="auto"/>
          <w:sz w:val="32"/>
          <w:szCs w:val="32"/>
          <w:highlight w:val="none"/>
          <w:u w:val="none"/>
        </w:rPr>
        <w:t>67</w:t>
      </w:r>
    </w:p>
    <w:p>
      <w:pPr>
        <w:pStyle w:val="8"/>
        <w:jc w:val="center"/>
        <w:outlineLvl w:val="0"/>
        <w:rPr>
          <w:rFonts w:cs="宋体" w:asciiTheme="minorEastAsia" w:hAnsiTheme="minorEastAsia" w:eastAsiaTheme="minorEastAsia"/>
          <w:b/>
          <w:bCs/>
          <w:caps/>
          <w:color w:val="auto"/>
          <w:sz w:val="28"/>
          <w:szCs w:val="28"/>
          <w:highlight w:val="none"/>
          <w:u w:val="none"/>
        </w:rPr>
      </w:pPr>
    </w:p>
    <w:p>
      <w:pPr>
        <w:pStyle w:val="8"/>
        <w:jc w:val="center"/>
        <w:outlineLvl w:val="0"/>
        <w:rPr>
          <w:rFonts w:asciiTheme="minorEastAsia" w:hAnsiTheme="minorEastAsia" w:eastAsiaTheme="minorEastAsia"/>
          <w:b/>
          <w:bCs/>
          <w:caps/>
          <w:color w:val="auto"/>
          <w:sz w:val="28"/>
          <w:szCs w:val="28"/>
          <w:highlight w:val="none"/>
          <w:u w:val="none"/>
        </w:rPr>
      </w:pPr>
    </w:p>
    <w:p>
      <w:pPr>
        <w:pStyle w:val="8"/>
        <w:jc w:val="center"/>
        <w:outlineLvl w:val="0"/>
        <w:rPr>
          <w:rFonts w:asciiTheme="minorEastAsia" w:hAnsiTheme="minorEastAsia" w:eastAsiaTheme="minorEastAsia"/>
          <w:b/>
          <w:bCs/>
          <w:caps/>
          <w:color w:val="auto"/>
          <w:sz w:val="28"/>
          <w:szCs w:val="28"/>
          <w:highlight w:val="none"/>
          <w:u w:val="none"/>
        </w:rPr>
      </w:pPr>
    </w:p>
    <w:p>
      <w:pPr>
        <w:pStyle w:val="8"/>
        <w:jc w:val="center"/>
        <w:outlineLvl w:val="0"/>
        <w:rPr>
          <w:rFonts w:asciiTheme="minorEastAsia" w:hAnsiTheme="minorEastAsia" w:eastAsiaTheme="minorEastAsia"/>
          <w:b/>
          <w:bCs/>
          <w:caps/>
          <w:color w:val="auto"/>
          <w:sz w:val="28"/>
          <w:szCs w:val="28"/>
          <w:highlight w:val="none"/>
          <w:u w:val="none"/>
        </w:rPr>
      </w:pPr>
    </w:p>
    <w:p>
      <w:pPr>
        <w:pStyle w:val="8"/>
        <w:jc w:val="center"/>
        <w:outlineLvl w:val="0"/>
        <w:rPr>
          <w:rFonts w:asciiTheme="minorEastAsia" w:hAnsiTheme="minorEastAsia" w:eastAsiaTheme="minorEastAsia"/>
          <w:b/>
          <w:bCs/>
          <w:caps/>
          <w:color w:val="auto"/>
          <w:sz w:val="28"/>
          <w:szCs w:val="28"/>
          <w:highlight w:val="none"/>
          <w:u w:val="none"/>
        </w:rPr>
      </w:pPr>
    </w:p>
    <w:p>
      <w:pPr>
        <w:pStyle w:val="8"/>
        <w:jc w:val="center"/>
        <w:outlineLvl w:val="0"/>
        <w:rPr>
          <w:rFonts w:asciiTheme="minorEastAsia" w:hAnsiTheme="minorEastAsia" w:eastAsiaTheme="minorEastAsia"/>
          <w:b/>
          <w:bCs/>
          <w:caps/>
          <w:color w:val="auto"/>
          <w:sz w:val="28"/>
          <w:szCs w:val="28"/>
          <w:highlight w:val="none"/>
          <w:u w:val="none"/>
        </w:rPr>
      </w:pPr>
    </w:p>
    <w:p>
      <w:pPr>
        <w:pStyle w:val="8"/>
        <w:jc w:val="center"/>
        <w:outlineLvl w:val="0"/>
        <w:rPr>
          <w:rFonts w:asciiTheme="minorEastAsia" w:hAnsiTheme="minorEastAsia" w:eastAsiaTheme="minorEastAsia"/>
          <w:b/>
          <w:bCs/>
          <w:caps/>
          <w:color w:val="auto"/>
          <w:sz w:val="28"/>
          <w:szCs w:val="28"/>
          <w:highlight w:val="none"/>
          <w:u w:val="none"/>
        </w:rPr>
      </w:pPr>
    </w:p>
    <w:p>
      <w:pPr>
        <w:pStyle w:val="8"/>
        <w:jc w:val="center"/>
        <w:outlineLvl w:val="0"/>
        <w:rPr>
          <w:rFonts w:asciiTheme="minorEastAsia" w:hAnsiTheme="minorEastAsia" w:eastAsiaTheme="minorEastAsia"/>
          <w:b/>
          <w:bCs/>
          <w:caps/>
          <w:color w:val="auto"/>
          <w:sz w:val="28"/>
          <w:szCs w:val="28"/>
          <w:highlight w:val="none"/>
          <w:u w:val="none"/>
        </w:rPr>
      </w:pPr>
    </w:p>
    <w:p>
      <w:pPr>
        <w:pStyle w:val="8"/>
        <w:jc w:val="center"/>
        <w:outlineLvl w:val="0"/>
        <w:rPr>
          <w:rFonts w:asciiTheme="minorEastAsia" w:hAnsiTheme="minorEastAsia" w:eastAsiaTheme="minorEastAsia"/>
          <w:b/>
          <w:bCs/>
          <w:caps/>
          <w:color w:val="auto"/>
          <w:sz w:val="28"/>
          <w:szCs w:val="28"/>
          <w:highlight w:val="none"/>
          <w:u w:val="none"/>
        </w:rPr>
      </w:pPr>
    </w:p>
    <w:p>
      <w:pPr>
        <w:pStyle w:val="8"/>
        <w:jc w:val="center"/>
        <w:outlineLvl w:val="0"/>
        <w:rPr>
          <w:rFonts w:asciiTheme="minorEastAsia" w:hAnsiTheme="minorEastAsia" w:eastAsiaTheme="minorEastAsia"/>
          <w:b/>
          <w:bCs/>
          <w:caps/>
          <w:color w:val="auto"/>
          <w:sz w:val="28"/>
          <w:szCs w:val="28"/>
          <w:highlight w:val="none"/>
          <w:u w:val="none"/>
        </w:rPr>
      </w:pPr>
    </w:p>
    <w:p>
      <w:pPr>
        <w:pStyle w:val="8"/>
        <w:jc w:val="center"/>
        <w:outlineLvl w:val="0"/>
        <w:rPr>
          <w:rFonts w:asciiTheme="minorEastAsia" w:hAnsiTheme="minorEastAsia" w:eastAsiaTheme="minorEastAsia"/>
          <w:b/>
          <w:bCs/>
          <w:caps/>
          <w:color w:val="auto"/>
          <w:sz w:val="28"/>
          <w:szCs w:val="28"/>
          <w:highlight w:val="none"/>
          <w:u w:val="none"/>
        </w:rPr>
      </w:pPr>
    </w:p>
    <w:p>
      <w:pPr>
        <w:pStyle w:val="8"/>
        <w:numPr>
          <w:ilvl w:val="0"/>
          <w:numId w:val="2"/>
        </w:numPr>
        <w:jc w:val="center"/>
        <w:outlineLvl w:val="0"/>
        <w:rPr>
          <w:rFonts w:hint="eastAsia" w:asciiTheme="minorEastAsia" w:hAnsiTheme="minorEastAsia" w:eastAsiaTheme="minorEastAsia"/>
          <w:b/>
          <w:color w:val="auto"/>
          <w:sz w:val="36"/>
          <w:highlight w:val="none"/>
          <w:u w:val="none"/>
        </w:rPr>
      </w:pPr>
      <w:r>
        <w:rPr>
          <w:rFonts w:hint="eastAsia" w:asciiTheme="minorEastAsia" w:hAnsiTheme="minorEastAsia" w:eastAsiaTheme="minorEastAsia"/>
          <w:b/>
          <w:color w:val="auto"/>
          <w:sz w:val="36"/>
          <w:highlight w:val="none"/>
          <w:u w:val="none"/>
        </w:rPr>
        <w:t xml:space="preserve"> 公告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color w:val="auto"/>
          <w:sz w:val="28"/>
          <w:szCs w:val="28"/>
          <w:highlight w:val="none"/>
          <w:u w:val="none"/>
        </w:rPr>
      </w:pPr>
      <w:r>
        <w:rPr>
          <w:rFonts w:hint="eastAsia" w:asciiTheme="minorEastAsia" w:hAnsiTheme="minorEastAsia" w:eastAsiaTheme="minorEastAsia"/>
          <w:color w:val="auto"/>
          <w:sz w:val="28"/>
          <w:szCs w:val="28"/>
          <w:highlight w:val="none"/>
          <w:u w:val="none"/>
        </w:rPr>
        <w:t>中鼎誉润工程咨询有限公司关于广西妇幼保健机构能力建设项目（项目编号：</w:t>
      </w:r>
      <w:r>
        <w:rPr>
          <w:rFonts w:hint="eastAsia" w:asciiTheme="minorEastAsia" w:hAnsiTheme="minorEastAsia" w:eastAsiaTheme="minorEastAsia"/>
          <w:color w:val="auto"/>
          <w:sz w:val="28"/>
          <w:szCs w:val="28"/>
          <w:highlight w:val="none"/>
          <w:u w:val="none"/>
          <w:lang w:eastAsia="zh-CN"/>
        </w:rPr>
        <w:t>QZZC2020-G1-5001</w:t>
      </w:r>
      <w:r>
        <w:rPr>
          <w:rFonts w:hint="eastAsia" w:asciiTheme="minorEastAsia" w:hAnsiTheme="minorEastAsia" w:eastAsiaTheme="minorEastAsia"/>
          <w:color w:val="auto"/>
          <w:sz w:val="28"/>
          <w:szCs w:val="28"/>
          <w:highlight w:val="none"/>
          <w:u w:val="none"/>
          <w:lang w:val="en-US" w:eastAsia="zh-CN"/>
        </w:rPr>
        <w:t>9</w:t>
      </w:r>
      <w:r>
        <w:rPr>
          <w:rFonts w:hint="eastAsia" w:asciiTheme="minorEastAsia" w:hAnsiTheme="minorEastAsia" w:eastAsiaTheme="minorEastAsia"/>
          <w:color w:val="auto"/>
          <w:sz w:val="28"/>
          <w:szCs w:val="28"/>
          <w:highlight w:val="none"/>
          <w:u w:val="none"/>
          <w:lang w:eastAsia="zh-CN"/>
        </w:rPr>
        <w:t>-ZDYR</w:t>
      </w:r>
      <w:r>
        <w:rPr>
          <w:rFonts w:hint="eastAsia" w:asciiTheme="minorEastAsia" w:hAnsiTheme="minorEastAsia" w:eastAsiaTheme="minorEastAsia"/>
          <w:color w:val="auto"/>
          <w:sz w:val="28"/>
          <w:szCs w:val="28"/>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ascii="宋体" w:hAnsi="宋体" w:cs="宋体"/>
          <w:color w:val="auto"/>
          <w:sz w:val="28"/>
          <w:szCs w:val="28"/>
          <w:highlight w:val="none"/>
          <w:u w:val="none"/>
        </w:rPr>
      </w:pPr>
      <w:r>
        <w:rPr>
          <w:rFonts w:hint="eastAsia" w:asciiTheme="minorEastAsia" w:hAnsiTheme="minorEastAsia" w:eastAsiaTheme="minorEastAsia"/>
          <w:color w:val="auto"/>
          <w:sz w:val="28"/>
          <w:szCs w:val="28"/>
          <w:highlight w:val="none"/>
          <w:u w:val="none"/>
        </w:rPr>
        <w:t>公开招标公告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60" w:lineRule="exact"/>
        <w:ind w:firstLine="420" w:firstLineChars="200"/>
        <w:textAlignment w:val="auto"/>
        <w:rPr>
          <w:rFonts w:ascii="宋体" w:hAnsi="宋体" w:cs="宋体"/>
          <w:color w:val="auto"/>
          <w:szCs w:val="21"/>
          <w:highlight w:val="none"/>
          <w:u w:val="none"/>
        </w:rPr>
      </w:pPr>
      <w:r>
        <w:rPr>
          <w:rFonts w:hint="eastAsia" w:ascii="宋体" w:hAnsi="宋体" w:cs="宋体"/>
          <w:color w:val="auto"/>
          <w:szCs w:val="21"/>
          <w:highlight w:val="none"/>
          <w:u w:val="none"/>
        </w:rPr>
        <w:t>项目概况</w:t>
      </w:r>
    </w:p>
    <w:p>
      <w:pPr>
        <w:pBdr>
          <w:top w:val="single" w:color="auto" w:sz="4" w:space="1"/>
          <w:left w:val="single" w:color="auto" w:sz="4" w:space="4"/>
          <w:bottom w:val="single" w:color="auto" w:sz="4" w:space="1"/>
          <w:right w:val="single" w:color="auto" w:sz="4" w:space="4"/>
        </w:pBd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2020年广西妇幼保健机构能力建设项目招标项目的潜在投标人应在中鼎誉润工程咨询有限公司钦州分公司灵山办事处（灵山县灵城镇江南路钻石公寓8号商铺（第二汽车站入站口）获取招标文件，并于</w:t>
      </w:r>
      <w:r>
        <w:rPr>
          <w:rFonts w:hint="eastAsia" w:ascii="宋体" w:hAnsi="宋体" w:cs="宋体"/>
          <w:color w:val="auto"/>
          <w:szCs w:val="21"/>
          <w:highlight w:val="none"/>
          <w:u w:val="none"/>
          <w:lang w:eastAsia="zh-CN"/>
        </w:rPr>
        <w:t>2020年12月21日10点00分</w:t>
      </w:r>
      <w:r>
        <w:rPr>
          <w:rFonts w:hint="eastAsia" w:ascii="宋体" w:hAnsi="宋体" w:cs="宋体"/>
          <w:bCs/>
          <w:color w:val="auto"/>
          <w:szCs w:val="21"/>
          <w:highlight w:val="none"/>
          <w:u w:val="none"/>
        </w:rPr>
        <w:t>（北京时间）前递交投标文件</w:t>
      </w:r>
      <w:r>
        <w:rPr>
          <w:rFonts w:hint="eastAsia" w:ascii="宋体" w:hAnsi="宋体" w:cs="宋体"/>
          <w:color w:val="auto"/>
          <w:szCs w:val="21"/>
          <w:highlight w:val="none"/>
          <w:u w:val="none"/>
        </w:rPr>
        <w:t>。</w:t>
      </w:r>
    </w:p>
    <w:p>
      <w:pPr>
        <w:pStyle w:val="4"/>
        <w:spacing w:before="0" w:after="0" w:line="240" w:lineRule="auto"/>
        <w:rPr>
          <w:rFonts w:ascii="宋体" w:hAnsi="宋体" w:eastAsia="宋体" w:cs="宋体"/>
          <w:b w:val="0"/>
          <w:color w:val="auto"/>
          <w:sz w:val="21"/>
          <w:szCs w:val="21"/>
          <w:highlight w:val="none"/>
          <w:u w:val="none"/>
        </w:rPr>
      </w:pPr>
      <w:bookmarkStart w:id="0" w:name="_Toc28359079"/>
      <w:bookmarkStart w:id="1" w:name="_Toc35393790"/>
      <w:bookmarkStart w:id="2" w:name="_Toc28359002"/>
      <w:bookmarkStart w:id="3" w:name="_Toc35393621"/>
      <w:bookmarkStart w:id="4" w:name="_Hlk24379207"/>
      <w:r>
        <w:rPr>
          <w:rFonts w:hint="eastAsia" w:ascii="宋体" w:hAnsi="宋体" w:eastAsia="宋体" w:cs="宋体"/>
          <w:b w:val="0"/>
          <w:color w:val="auto"/>
          <w:sz w:val="21"/>
          <w:szCs w:val="21"/>
          <w:highlight w:val="none"/>
          <w:u w:val="none"/>
        </w:rPr>
        <w:t>一、项目基本情况</w:t>
      </w:r>
      <w:bookmarkEnd w:id="0"/>
      <w:bookmarkEnd w:id="1"/>
      <w:bookmarkEnd w:id="2"/>
      <w:bookmarkEnd w:id="3"/>
    </w:p>
    <w:p>
      <w:p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项目编号：QZZC2020-G1-50019-ZDYR</w:t>
      </w:r>
    </w:p>
    <w:p>
      <w:p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项目名称：2020年广西妇幼保健机构能力建设项目</w:t>
      </w:r>
    </w:p>
    <w:bookmarkEnd w:id="4"/>
    <w:p>
      <w:p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预算金额：A分标：人民币叁拾伍万元整（￥</w:t>
      </w:r>
      <w:r>
        <w:rPr>
          <w:rFonts w:hint="eastAsia" w:ascii="宋体" w:hAnsi="宋体" w:cs="宋体"/>
          <w:color w:val="auto"/>
          <w:kern w:val="0"/>
          <w:szCs w:val="21"/>
          <w:highlight w:val="none"/>
          <w:u w:val="none"/>
        </w:rPr>
        <w:t>350000.00 元），B分标：人民币叁佰叁拾肆万陆仟元整（￥3346000.00元）；</w:t>
      </w:r>
    </w:p>
    <w:p>
      <w:p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最高限价：A分标：人民币叁拾伍万元整（￥</w:t>
      </w:r>
      <w:r>
        <w:rPr>
          <w:rFonts w:hint="eastAsia" w:ascii="宋体" w:hAnsi="宋体" w:cs="宋体"/>
          <w:color w:val="auto"/>
          <w:kern w:val="0"/>
          <w:szCs w:val="21"/>
          <w:highlight w:val="none"/>
          <w:u w:val="none"/>
        </w:rPr>
        <w:t>350000.00 元），B分标：人民币叁佰叁拾肆万陆仟元整（￥3346000.00元）；</w:t>
      </w:r>
    </w:p>
    <w:p>
      <w:p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采购需求：A分标：“云上妇幼”服务能力建设(远程医疗信息化系统1套), B分标：重点医疗设备购置(共28种104台医疗设备)，详见公开招标文件。</w:t>
      </w:r>
    </w:p>
    <w:p>
      <w:p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合同履行期限：</w:t>
      </w:r>
      <w:r>
        <w:rPr>
          <w:rFonts w:hint="eastAsia" w:ascii="宋体" w:hAnsi="宋体" w:cs="宋体"/>
          <w:color w:val="auto"/>
          <w:szCs w:val="21"/>
          <w:highlight w:val="none"/>
          <w:u w:val="none"/>
          <w:lang w:eastAsia="zh-CN"/>
        </w:rPr>
        <w:t>自签订合同之日起30日内完成安装与调试。</w:t>
      </w:r>
    </w:p>
    <w:p>
      <w:p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本项目不接受联合体投标。</w:t>
      </w:r>
    </w:p>
    <w:p>
      <w:pPr>
        <w:pStyle w:val="4"/>
        <w:numPr>
          <w:ilvl w:val="0"/>
          <w:numId w:val="3"/>
        </w:numPr>
        <w:spacing w:before="0" w:after="0" w:line="240" w:lineRule="auto"/>
        <w:rPr>
          <w:rFonts w:ascii="宋体" w:hAnsi="宋体" w:eastAsia="宋体" w:cs="宋体"/>
          <w:b w:val="0"/>
          <w:color w:val="auto"/>
          <w:sz w:val="21"/>
          <w:szCs w:val="21"/>
          <w:highlight w:val="none"/>
          <w:u w:val="none"/>
        </w:rPr>
      </w:pPr>
      <w:bookmarkStart w:id="5" w:name="_Toc28359003"/>
      <w:bookmarkStart w:id="6" w:name="_Toc28359080"/>
      <w:bookmarkStart w:id="7" w:name="_Toc35393791"/>
      <w:bookmarkStart w:id="8" w:name="_Toc35393622"/>
      <w:r>
        <w:rPr>
          <w:rFonts w:hint="eastAsia" w:ascii="宋体" w:hAnsi="宋体" w:eastAsia="宋体" w:cs="宋体"/>
          <w:b w:val="0"/>
          <w:color w:val="auto"/>
          <w:sz w:val="21"/>
          <w:szCs w:val="21"/>
          <w:highlight w:val="none"/>
          <w:u w:val="none"/>
        </w:rPr>
        <w:t>申请人的资格要求</w:t>
      </w:r>
      <w:bookmarkEnd w:id="5"/>
      <w:bookmarkEnd w:id="6"/>
      <w:bookmarkEnd w:id="7"/>
      <w:bookmarkEnd w:id="8"/>
    </w:p>
    <w:p>
      <w:p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1.满足《中华人民共和国政府采购法》第二十二条规定；</w:t>
      </w:r>
    </w:p>
    <w:p>
      <w:pPr>
        <w:ind w:firstLine="420" w:firstLineChars="200"/>
        <w:rPr>
          <w:rFonts w:ascii="宋体" w:hAnsi="宋体" w:cs="宋体"/>
          <w:color w:val="auto"/>
          <w:szCs w:val="21"/>
          <w:highlight w:val="none"/>
          <w:u w:val="none"/>
        </w:rPr>
      </w:pPr>
      <w:bookmarkStart w:id="9" w:name="_Toc28359081"/>
      <w:bookmarkStart w:id="10" w:name="_Toc28359004"/>
      <w:r>
        <w:rPr>
          <w:rFonts w:hint="eastAsia" w:ascii="宋体" w:hAnsi="宋体" w:cs="宋体"/>
          <w:color w:val="auto"/>
          <w:szCs w:val="21"/>
          <w:highlight w:val="none"/>
          <w:u w:val="none"/>
        </w:rPr>
        <w:t>2.落实政府采购政策需满足的资格要求：《政府采购促进中小企业发展暂行办法》（财库[2011]181号）等政府采购相关政策。</w:t>
      </w:r>
    </w:p>
    <w:p>
      <w:pPr>
        <w:pStyle w:val="27"/>
        <w:spacing w:line="240" w:lineRule="auto"/>
        <w:ind w:firstLine="420"/>
        <w:rPr>
          <w:rFonts w:cs="宋体"/>
          <w:color w:val="auto"/>
          <w:sz w:val="21"/>
          <w:szCs w:val="21"/>
          <w:highlight w:val="none"/>
          <w:u w:val="none"/>
        </w:rPr>
      </w:pPr>
      <w:r>
        <w:rPr>
          <w:rFonts w:hint="eastAsia" w:cs="宋体"/>
          <w:color w:val="auto"/>
          <w:sz w:val="21"/>
          <w:szCs w:val="21"/>
          <w:highlight w:val="none"/>
          <w:u w:val="none"/>
        </w:rPr>
        <w:t>3.本项目的特定资格要求：</w:t>
      </w:r>
    </w:p>
    <w:p>
      <w:pPr>
        <w:pStyle w:val="27"/>
        <w:spacing w:line="240" w:lineRule="auto"/>
        <w:ind w:firstLine="420"/>
        <w:rPr>
          <w:rFonts w:cs="宋体"/>
          <w:color w:val="auto"/>
          <w:sz w:val="21"/>
          <w:szCs w:val="21"/>
          <w:highlight w:val="none"/>
          <w:u w:val="none"/>
        </w:rPr>
      </w:pPr>
      <w:r>
        <w:rPr>
          <w:rFonts w:hint="eastAsia" w:cs="宋体"/>
          <w:color w:val="auto"/>
          <w:sz w:val="21"/>
          <w:szCs w:val="21"/>
          <w:highlight w:val="none"/>
          <w:u w:val="none"/>
        </w:rPr>
        <w:t>A分标：</w:t>
      </w:r>
    </w:p>
    <w:p>
      <w:pPr>
        <w:pStyle w:val="27"/>
        <w:spacing w:line="240" w:lineRule="auto"/>
        <w:ind w:firstLine="420"/>
        <w:rPr>
          <w:rFonts w:cs="宋体"/>
          <w:color w:val="auto"/>
          <w:sz w:val="21"/>
          <w:szCs w:val="21"/>
          <w:highlight w:val="none"/>
          <w:u w:val="none"/>
        </w:rPr>
      </w:pPr>
      <w:r>
        <w:rPr>
          <w:rFonts w:hint="eastAsia" w:cs="宋体"/>
          <w:color w:val="auto"/>
          <w:sz w:val="21"/>
          <w:szCs w:val="21"/>
          <w:highlight w:val="none"/>
          <w:u w:val="none"/>
        </w:rPr>
        <w:t>（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7"/>
        <w:spacing w:line="240" w:lineRule="auto"/>
        <w:ind w:firstLine="420"/>
        <w:rPr>
          <w:rFonts w:cs="宋体"/>
          <w:color w:val="auto"/>
          <w:sz w:val="21"/>
          <w:szCs w:val="21"/>
          <w:highlight w:val="none"/>
          <w:u w:val="none"/>
        </w:rPr>
      </w:pPr>
      <w:r>
        <w:rPr>
          <w:rFonts w:hint="eastAsia" w:cs="宋体"/>
          <w:color w:val="auto"/>
          <w:sz w:val="21"/>
          <w:szCs w:val="21"/>
          <w:highlight w:val="none"/>
          <w:u w:val="none"/>
        </w:rPr>
        <w:t>（2）竞标人参加采购活动前三年内，在经营活动中没有重大违法记录（须提供书面声明）。</w:t>
      </w:r>
    </w:p>
    <w:p>
      <w:pPr>
        <w:pStyle w:val="27"/>
        <w:spacing w:line="240" w:lineRule="auto"/>
        <w:ind w:firstLine="420"/>
        <w:rPr>
          <w:rFonts w:cs="宋体"/>
          <w:color w:val="auto"/>
          <w:sz w:val="21"/>
          <w:szCs w:val="21"/>
          <w:highlight w:val="none"/>
          <w:u w:val="none"/>
        </w:rPr>
      </w:pPr>
      <w:r>
        <w:rPr>
          <w:rFonts w:hint="eastAsia" w:cs="宋体"/>
          <w:color w:val="auto"/>
          <w:sz w:val="21"/>
          <w:szCs w:val="21"/>
          <w:highlight w:val="none"/>
          <w:u w:val="none"/>
        </w:rPr>
        <w:t>（3）竞标人对在“信用中国”网站(www.creditchina.gov.cn)、中国政府采购网(www.ccgp.gov.cn)等渠道列入失信被执行人、重大税收违法案件当事人名单、政府采购严重违法失信行为记录名单的供应商，不得参与本项目政府采购活动。</w:t>
      </w:r>
    </w:p>
    <w:p>
      <w:pPr>
        <w:pStyle w:val="27"/>
        <w:spacing w:line="240" w:lineRule="auto"/>
        <w:ind w:firstLine="420"/>
        <w:rPr>
          <w:rFonts w:cs="宋体"/>
          <w:color w:val="auto"/>
          <w:sz w:val="21"/>
          <w:szCs w:val="21"/>
          <w:highlight w:val="none"/>
          <w:u w:val="none"/>
        </w:rPr>
      </w:pPr>
      <w:r>
        <w:rPr>
          <w:rFonts w:hint="eastAsia" w:cs="宋体"/>
          <w:color w:val="auto"/>
          <w:sz w:val="21"/>
          <w:szCs w:val="21"/>
          <w:highlight w:val="none"/>
          <w:u w:val="none"/>
        </w:rPr>
        <w:t>B分标：</w:t>
      </w:r>
    </w:p>
    <w:p>
      <w:pPr>
        <w:pStyle w:val="27"/>
        <w:spacing w:line="240" w:lineRule="auto"/>
        <w:ind w:firstLine="420"/>
        <w:rPr>
          <w:rFonts w:cs="宋体"/>
          <w:color w:val="auto"/>
          <w:sz w:val="21"/>
          <w:szCs w:val="21"/>
          <w:highlight w:val="none"/>
          <w:u w:val="none"/>
        </w:rPr>
      </w:pPr>
      <w:r>
        <w:rPr>
          <w:rFonts w:hint="eastAsia" w:cs="宋体"/>
          <w:color w:val="auto"/>
          <w:sz w:val="21"/>
          <w:szCs w:val="21"/>
          <w:highlight w:val="none"/>
          <w:u w:val="none"/>
        </w:rPr>
        <w:t>（1）投标人应提供《中华人民共和国医疗器械注册证》（适用于第二类、第三类医疗器械）或《第一类医疗器械备案凭证》；如果投标人是投标产品制造厂家，应提供有效的《医疗器械生产许可证》;如果投标人是经营企业，应提供有效的《医疗器械经营许可证》；</w:t>
      </w:r>
    </w:p>
    <w:p>
      <w:pPr>
        <w:pStyle w:val="27"/>
        <w:spacing w:line="240" w:lineRule="auto"/>
        <w:ind w:firstLine="420"/>
        <w:rPr>
          <w:rFonts w:cs="宋体"/>
          <w:color w:val="auto"/>
          <w:sz w:val="21"/>
          <w:szCs w:val="21"/>
          <w:highlight w:val="none"/>
          <w:u w:val="none"/>
        </w:rPr>
      </w:pPr>
      <w:r>
        <w:rPr>
          <w:rFonts w:hint="eastAsia" w:cs="宋体"/>
          <w:color w:val="auto"/>
          <w:sz w:val="21"/>
          <w:szCs w:val="21"/>
          <w:highlight w:val="none"/>
          <w:u w:val="none"/>
        </w:rPr>
        <w:t>（2）竞标人参加采购活动前三年内，在经营活动中没有重大违法记录（须提供书面声明）。</w:t>
      </w:r>
    </w:p>
    <w:p>
      <w:pPr>
        <w:pStyle w:val="27"/>
        <w:spacing w:line="240" w:lineRule="auto"/>
        <w:ind w:firstLine="420"/>
        <w:rPr>
          <w:rFonts w:cs="宋体"/>
          <w:color w:val="auto"/>
          <w:sz w:val="21"/>
          <w:szCs w:val="21"/>
          <w:highlight w:val="none"/>
          <w:u w:val="none"/>
        </w:rPr>
      </w:pPr>
      <w:r>
        <w:rPr>
          <w:rFonts w:hint="eastAsia" w:cs="宋体"/>
          <w:color w:val="auto"/>
          <w:sz w:val="21"/>
          <w:szCs w:val="21"/>
          <w:highlight w:val="none"/>
          <w:u w:val="none"/>
        </w:rPr>
        <w:t>（3）竞标人对在“信用中国”网站(www.creditchina.gov.cn)、中国政府采购网(www.ccgp.gov.cn)等渠道列入失信被执行人、重大税收违法案件当事人名单、政府采购严重违法失信行为记录名单的供应商，不得参与本项目政府采购活动。</w:t>
      </w:r>
    </w:p>
    <w:p>
      <w:pPr>
        <w:pStyle w:val="27"/>
        <w:spacing w:line="240" w:lineRule="auto"/>
        <w:ind w:firstLine="420"/>
        <w:rPr>
          <w:rFonts w:cs="宋体"/>
          <w:color w:val="auto"/>
          <w:sz w:val="21"/>
          <w:szCs w:val="21"/>
          <w:highlight w:val="none"/>
          <w:u w:val="none"/>
        </w:rPr>
      </w:pPr>
      <w:r>
        <w:rPr>
          <w:rFonts w:hint="eastAsia" w:cs="宋体"/>
          <w:color w:val="auto"/>
          <w:sz w:val="21"/>
          <w:szCs w:val="21"/>
          <w:highlight w:val="none"/>
          <w:u w:val="none"/>
        </w:rPr>
        <w:t>4.本项目不接受联合体投标。</w:t>
      </w:r>
    </w:p>
    <w:p>
      <w:pPr>
        <w:pStyle w:val="4"/>
        <w:spacing w:before="0" w:after="0" w:line="240" w:lineRule="auto"/>
        <w:rPr>
          <w:rFonts w:ascii="宋体" w:hAnsi="宋体" w:eastAsia="宋体" w:cs="宋体"/>
          <w:b w:val="0"/>
          <w:color w:val="auto"/>
          <w:sz w:val="21"/>
          <w:szCs w:val="21"/>
          <w:highlight w:val="none"/>
          <w:u w:val="none"/>
        </w:rPr>
      </w:pPr>
      <w:bookmarkStart w:id="11" w:name="_Toc35393792"/>
      <w:bookmarkStart w:id="12" w:name="_Toc35393623"/>
      <w:r>
        <w:rPr>
          <w:rFonts w:hint="eastAsia" w:ascii="宋体" w:hAnsi="宋体" w:eastAsia="宋体" w:cs="宋体"/>
          <w:b w:val="0"/>
          <w:color w:val="auto"/>
          <w:sz w:val="21"/>
          <w:szCs w:val="21"/>
          <w:highlight w:val="none"/>
          <w:u w:val="none"/>
        </w:rPr>
        <w:t>三、获取招标文件</w:t>
      </w:r>
      <w:bookmarkEnd w:id="9"/>
      <w:bookmarkEnd w:id="10"/>
      <w:bookmarkEnd w:id="11"/>
      <w:bookmarkEnd w:id="12"/>
    </w:p>
    <w:p>
      <w:pPr>
        <w:ind w:firstLine="540"/>
        <w:rPr>
          <w:rFonts w:ascii="宋体" w:hAnsi="宋体" w:cs="宋体"/>
          <w:color w:val="auto"/>
          <w:szCs w:val="21"/>
          <w:highlight w:val="none"/>
          <w:u w:val="none"/>
        </w:rPr>
      </w:pPr>
      <w:r>
        <w:rPr>
          <w:rFonts w:hint="eastAsia" w:ascii="宋体" w:hAnsi="宋体" w:cs="宋体"/>
          <w:color w:val="auto"/>
          <w:szCs w:val="21"/>
          <w:highlight w:val="none"/>
          <w:u w:val="none"/>
        </w:rPr>
        <w:t>1.时间：2020年</w:t>
      </w:r>
      <w:r>
        <w:rPr>
          <w:rFonts w:hint="eastAsia" w:ascii="宋体" w:hAnsi="宋体" w:cs="宋体"/>
          <w:color w:val="auto"/>
          <w:szCs w:val="21"/>
          <w:highlight w:val="none"/>
          <w:u w:val="none"/>
          <w:lang w:val="en-US" w:eastAsia="zh-CN"/>
        </w:rPr>
        <w:t>11</w:t>
      </w:r>
      <w:r>
        <w:rPr>
          <w:rFonts w:hint="eastAsia" w:ascii="宋体" w:hAnsi="宋体" w:cs="宋体"/>
          <w:color w:val="auto"/>
          <w:szCs w:val="21"/>
          <w:highlight w:val="none"/>
          <w:u w:val="none"/>
        </w:rPr>
        <w:t>月</w:t>
      </w:r>
      <w:r>
        <w:rPr>
          <w:rFonts w:hint="eastAsia" w:ascii="宋体" w:hAnsi="宋体" w:cs="宋体"/>
          <w:color w:val="auto"/>
          <w:szCs w:val="21"/>
          <w:highlight w:val="none"/>
          <w:u w:val="none"/>
          <w:lang w:val="en-US" w:eastAsia="zh-CN"/>
        </w:rPr>
        <w:t>20</w:t>
      </w:r>
      <w:r>
        <w:rPr>
          <w:rFonts w:hint="eastAsia" w:ascii="宋体" w:hAnsi="宋体" w:cs="宋体"/>
          <w:color w:val="auto"/>
          <w:szCs w:val="21"/>
          <w:highlight w:val="none"/>
          <w:u w:val="none"/>
        </w:rPr>
        <w:t>日至2020年</w:t>
      </w:r>
      <w:r>
        <w:rPr>
          <w:rFonts w:hint="eastAsia" w:ascii="宋体" w:hAnsi="宋体" w:cs="宋体"/>
          <w:color w:val="auto"/>
          <w:szCs w:val="21"/>
          <w:highlight w:val="none"/>
          <w:u w:val="none"/>
          <w:lang w:val="en-US" w:eastAsia="zh-CN"/>
        </w:rPr>
        <w:t>11</w:t>
      </w:r>
      <w:r>
        <w:rPr>
          <w:rFonts w:hint="eastAsia" w:ascii="宋体" w:hAnsi="宋体" w:cs="宋体"/>
          <w:color w:val="auto"/>
          <w:szCs w:val="21"/>
          <w:highlight w:val="none"/>
          <w:u w:val="none"/>
        </w:rPr>
        <w:t>月</w:t>
      </w:r>
      <w:r>
        <w:rPr>
          <w:rFonts w:hint="eastAsia" w:ascii="宋体" w:hAnsi="宋体" w:cs="宋体"/>
          <w:color w:val="auto"/>
          <w:szCs w:val="21"/>
          <w:highlight w:val="none"/>
          <w:u w:val="none"/>
          <w:lang w:val="en-US" w:eastAsia="zh-CN"/>
        </w:rPr>
        <w:t>27</w:t>
      </w:r>
      <w:r>
        <w:rPr>
          <w:rFonts w:hint="eastAsia" w:ascii="宋体" w:hAnsi="宋体" w:cs="宋体"/>
          <w:color w:val="auto"/>
          <w:szCs w:val="21"/>
          <w:highlight w:val="none"/>
          <w:u w:val="none"/>
        </w:rPr>
        <w:t>日，每天上午8：30至11：00，下午15：00至17：00（北京时间，法定节假日除外）</w:t>
      </w:r>
    </w:p>
    <w:p>
      <w:pPr>
        <w:ind w:firstLine="540"/>
        <w:rPr>
          <w:rFonts w:ascii="宋体" w:hAnsi="宋体" w:cs="宋体"/>
          <w:color w:val="auto"/>
          <w:szCs w:val="21"/>
          <w:highlight w:val="none"/>
          <w:u w:val="none"/>
        </w:rPr>
      </w:pPr>
      <w:r>
        <w:rPr>
          <w:rFonts w:hint="eastAsia" w:ascii="宋体" w:hAnsi="宋体" w:cs="宋体"/>
          <w:color w:val="auto"/>
          <w:szCs w:val="21"/>
          <w:highlight w:val="none"/>
          <w:u w:val="none"/>
        </w:rPr>
        <w:t>2.地点：中鼎誉润工程咨询有限公司钦州分公司灵山办事处（灵山县灵城镇江南路钻石公寓8号商铺（第二汽车站入站口）</w:t>
      </w:r>
    </w:p>
    <w:p>
      <w:pPr>
        <w:ind w:firstLine="540"/>
        <w:rPr>
          <w:rFonts w:ascii="宋体" w:hAnsi="宋体" w:cs="宋体"/>
          <w:color w:val="auto"/>
          <w:szCs w:val="21"/>
          <w:highlight w:val="none"/>
          <w:u w:val="none"/>
        </w:rPr>
      </w:pPr>
      <w:r>
        <w:rPr>
          <w:rFonts w:hint="eastAsia" w:ascii="宋体" w:hAnsi="宋体" w:cs="宋体"/>
          <w:color w:val="auto"/>
          <w:szCs w:val="21"/>
          <w:highlight w:val="none"/>
          <w:u w:val="none"/>
        </w:rPr>
        <w:t>3.方式：投标人在购买招标文件时必须由投标单位法定代表人或委托代理人携带以下证件前往购买：(1)有效的营业执照、组织机构代码证、税务登记证（或加载有统一社会信用代码的营业执照）复印件；（2）法定代表人身份证复印件；（3）法定代表人授权委托书原件及委托代理人身份证(委托代理时必须提供，明确委托权限及时间)；（4）报名人需为报名单位职工，并提供相关证明，如劳动合同复印件和社保证明资料；（5）开户许可证复印件；（6）对在“信用中国”网站(www.creditchina.gov.cn)查询的失信被执行人查询、重大税收违法案件当事人查询、政府采购严重违法失信行名单查询的查询记录结果复印件（查询截止时间为本项目发布采购公告之日起至竞标截止时间中任意一天）【注：上述材料复印件需与原件相符，复印件必须清晰且加盖单位公章并持原件核查，否则无效,无法通过报名，通过报名者方可购买采购文件。（如发现提交的材料有造假行为，一经查实，取消报名资格并向有关部门举报）】</w:t>
      </w:r>
    </w:p>
    <w:p>
      <w:pPr>
        <w:ind w:firstLine="540"/>
        <w:rPr>
          <w:rFonts w:ascii="宋体" w:hAnsi="宋体" w:cs="宋体"/>
          <w:color w:val="auto"/>
          <w:szCs w:val="21"/>
          <w:highlight w:val="none"/>
          <w:u w:val="none"/>
        </w:rPr>
      </w:pPr>
      <w:r>
        <w:rPr>
          <w:rFonts w:hint="eastAsia" w:ascii="宋体" w:hAnsi="宋体" w:cs="宋体"/>
          <w:color w:val="auto"/>
          <w:szCs w:val="21"/>
          <w:highlight w:val="none"/>
          <w:u w:val="none"/>
        </w:rPr>
        <w:t>4.售价：公开招标采购文件工本费每本250元，售后不退。（不提供电子版采购文件）</w:t>
      </w:r>
    </w:p>
    <w:p>
      <w:pPr>
        <w:pStyle w:val="4"/>
        <w:spacing w:before="0" w:after="0" w:line="240" w:lineRule="auto"/>
        <w:rPr>
          <w:rFonts w:ascii="宋体" w:hAnsi="宋体" w:eastAsia="宋体" w:cs="宋体"/>
          <w:b w:val="0"/>
          <w:color w:val="auto"/>
          <w:sz w:val="21"/>
          <w:szCs w:val="21"/>
          <w:highlight w:val="none"/>
          <w:u w:val="none"/>
        </w:rPr>
      </w:pPr>
      <w:bookmarkStart w:id="13" w:name="_Toc28359082"/>
      <w:bookmarkStart w:id="14" w:name="_Toc28359005"/>
      <w:bookmarkStart w:id="15" w:name="_Toc35393793"/>
      <w:bookmarkStart w:id="16" w:name="_Toc35393624"/>
      <w:r>
        <w:rPr>
          <w:rFonts w:hint="eastAsia" w:ascii="宋体" w:hAnsi="宋体" w:eastAsia="宋体" w:cs="宋体"/>
          <w:b w:val="0"/>
          <w:color w:val="auto"/>
          <w:sz w:val="21"/>
          <w:szCs w:val="21"/>
          <w:highlight w:val="none"/>
          <w:u w:val="none"/>
        </w:rPr>
        <w:t>四、提交投标文件</w:t>
      </w:r>
      <w:bookmarkEnd w:id="13"/>
      <w:bookmarkEnd w:id="14"/>
      <w:r>
        <w:rPr>
          <w:rFonts w:hint="eastAsia" w:ascii="宋体" w:hAnsi="宋体" w:eastAsia="宋体" w:cs="宋体"/>
          <w:b w:val="0"/>
          <w:color w:val="auto"/>
          <w:sz w:val="21"/>
          <w:szCs w:val="21"/>
          <w:highlight w:val="none"/>
          <w:u w:val="none"/>
        </w:rPr>
        <w:t>截止时间、开标时间和地点</w:t>
      </w:r>
      <w:bookmarkEnd w:id="15"/>
      <w:bookmarkEnd w:id="16"/>
    </w:p>
    <w:p>
      <w:pPr>
        <w:ind w:firstLine="420" w:firstLineChars="200"/>
        <w:rPr>
          <w:rFonts w:ascii="宋体" w:hAnsi="宋体" w:cs="宋体"/>
          <w:bCs/>
          <w:color w:val="auto"/>
          <w:szCs w:val="21"/>
          <w:highlight w:val="none"/>
          <w:u w:val="none"/>
        </w:rPr>
      </w:pPr>
      <w:r>
        <w:rPr>
          <w:rFonts w:hint="eastAsia" w:ascii="宋体" w:hAnsi="宋体" w:cs="宋体"/>
          <w:bCs/>
          <w:color w:val="auto"/>
          <w:szCs w:val="21"/>
          <w:highlight w:val="none"/>
          <w:u w:val="none"/>
        </w:rPr>
        <w:t>1.提交投标文件截止时间、开标时间：</w:t>
      </w:r>
      <w:r>
        <w:rPr>
          <w:rFonts w:hint="eastAsia" w:ascii="宋体" w:hAnsi="宋体" w:cs="宋体"/>
          <w:bCs/>
          <w:color w:val="auto"/>
          <w:szCs w:val="21"/>
          <w:highlight w:val="none"/>
          <w:u w:val="none"/>
          <w:lang w:eastAsia="zh-CN"/>
        </w:rPr>
        <w:t>2020年12月21日10点00分</w:t>
      </w:r>
      <w:r>
        <w:rPr>
          <w:rFonts w:hint="eastAsia" w:ascii="宋体" w:hAnsi="宋体" w:cs="宋体"/>
          <w:bCs/>
          <w:color w:val="auto"/>
          <w:szCs w:val="21"/>
          <w:highlight w:val="none"/>
          <w:u w:val="none"/>
        </w:rPr>
        <w:t>（北京时间）</w:t>
      </w:r>
    </w:p>
    <w:p>
      <w:pPr>
        <w:ind w:firstLine="420" w:firstLineChars="200"/>
        <w:rPr>
          <w:rFonts w:ascii="宋体" w:hAnsi="宋体" w:cs="宋体"/>
          <w:bCs/>
          <w:color w:val="auto"/>
          <w:szCs w:val="21"/>
          <w:highlight w:val="none"/>
          <w:u w:val="none"/>
        </w:rPr>
      </w:pPr>
      <w:r>
        <w:rPr>
          <w:rFonts w:hint="eastAsia" w:ascii="宋体" w:hAnsi="宋体" w:cs="宋体"/>
          <w:color w:val="auto"/>
          <w:szCs w:val="21"/>
          <w:highlight w:val="none"/>
          <w:u w:val="none"/>
        </w:rPr>
        <w:t>2.地点：钦州市公共资源交易中心（钦州市金海湾东大街8号，市民服务中心三楼）。</w:t>
      </w:r>
    </w:p>
    <w:p>
      <w:pPr>
        <w:pStyle w:val="4"/>
        <w:spacing w:before="0" w:after="0" w:line="240" w:lineRule="auto"/>
        <w:rPr>
          <w:rFonts w:ascii="宋体" w:hAnsi="宋体" w:eastAsia="宋体" w:cs="宋体"/>
          <w:b w:val="0"/>
          <w:color w:val="auto"/>
          <w:sz w:val="21"/>
          <w:szCs w:val="21"/>
          <w:highlight w:val="none"/>
          <w:u w:val="none"/>
        </w:rPr>
      </w:pPr>
      <w:bookmarkStart w:id="17" w:name="_Toc28359084"/>
      <w:bookmarkStart w:id="18" w:name="_Toc28359007"/>
      <w:bookmarkStart w:id="19" w:name="_Toc35393625"/>
      <w:bookmarkStart w:id="20" w:name="_Toc35393794"/>
      <w:r>
        <w:rPr>
          <w:rFonts w:hint="eastAsia" w:ascii="宋体" w:hAnsi="宋体" w:eastAsia="宋体" w:cs="宋体"/>
          <w:b w:val="0"/>
          <w:color w:val="auto"/>
          <w:sz w:val="21"/>
          <w:szCs w:val="21"/>
          <w:highlight w:val="none"/>
          <w:u w:val="none"/>
        </w:rPr>
        <w:t>五、公告期限</w:t>
      </w:r>
      <w:bookmarkEnd w:id="17"/>
      <w:bookmarkEnd w:id="18"/>
      <w:bookmarkEnd w:id="19"/>
      <w:bookmarkEnd w:id="20"/>
    </w:p>
    <w:p>
      <w:pPr>
        <w:ind w:firstLine="420" w:firstLineChars="200"/>
        <w:rPr>
          <w:rFonts w:ascii="宋体" w:hAnsi="宋体" w:cs="宋体"/>
          <w:color w:val="auto"/>
          <w:kern w:val="0"/>
          <w:szCs w:val="21"/>
          <w:highlight w:val="none"/>
          <w:u w:val="none"/>
        </w:rPr>
      </w:pPr>
      <w:r>
        <w:rPr>
          <w:rFonts w:hint="eastAsia" w:ascii="宋体" w:hAnsi="宋体" w:cs="宋体"/>
          <w:color w:val="auto"/>
          <w:kern w:val="0"/>
          <w:szCs w:val="21"/>
          <w:highlight w:val="none"/>
          <w:u w:val="none"/>
        </w:rPr>
        <w:t>自本公告发布之日起5个工作日。</w:t>
      </w:r>
    </w:p>
    <w:p>
      <w:pPr>
        <w:pStyle w:val="4"/>
        <w:numPr>
          <w:ilvl w:val="0"/>
          <w:numId w:val="4"/>
        </w:numPr>
        <w:spacing w:before="0" w:after="0" w:line="240" w:lineRule="auto"/>
        <w:rPr>
          <w:rFonts w:ascii="宋体" w:hAnsi="宋体" w:eastAsia="宋体" w:cs="宋体"/>
          <w:b w:val="0"/>
          <w:color w:val="auto"/>
          <w:sz w:val="21"/>
          <w:szCs w:val="21"/>
          <w:highlight w:val="none"/>
          <w:u w:val="none"/>
        </w:rPr>
      </w:pPr>
      <w:bookmarkStart w:id="21" w:name="_Toc35393795"/>
      <w:bookmarkStart w:id="22" w:name="_Toc35393626"/>
      <w:r>
        <w:rPr>
          <w:rFonts w:hint="eastAsia" w:ascii="宋体" w:hAnsi="宋体" w:eastAsia="宋体" w:cs="宋体"/>
          <w:b w:val="0"/>
          <w:color w:val="auto"/>
          <w:sz w:val="21"/>
          <w:szCs w:val="21"/>
          <w:highlight w:val="none"/>
          <w:u w:val="none"/>
        </w:rPr>
        <w:t>其他补充事宜</w:t>
      </w:r>
      <w:bookmarkEnd w:id="21"/>
      <w:bookmarkEnd w:id="22"/>
      <w:r>
        <w:rPr>
          <w:rFonts w:hint="eastAsia" w:ascii="宋体" w:hAnsi="宋体" w:eastAsia="宋体" w:cs="宋体"/>
          <w:b w:val="0"/>
          <w:color w:val="auto"/>
          <w:sz w:val="21"/>
          <w:szCs w:val="21"/>
          <w:highlight w:val="none"/>
          <w:u w:val="none"/>
        </w:rPr>
        <w:t>：</w:t>
      </w:r>
      <w:bookmarkStart w:id="23" w:name="_Toc35393627"/>
      <w:bookmarkStart w:id="24" w:name="_Toc35393796"/>
      <w:bookmarkStart w:id="25" w:name="_Toc28359085"/>
      <w:bookmarkStart w:id="26" w:name="_Toc28359008"/>
    </w:p>
    <w:p>
      <w:pPr>
        <w:numPr>
          <w:ilvl w:val="0"/>
          <w:numId w:val="0"/>
        </w:num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lang w:val="en-US" w:eastAsia="zh-CN"/>
        </w:rPr>
        <w:t>1.</w:t>
      </w:r>
      <w:r>
        <w:rPr>
          <w:rFonts w:hint="eastAsia" w:ascii="宋体" w:hAnsi="宋体" w:cs="宋体"/>
          <w:color w:val="auto"/>
          <w:szCs w:val="21"/>
          <w:highlight w:val="none"/>
          <w:u w:val="none"/>
        </w:rPr>
        <w:t>投标保证金(人民币)：A分标：人民币陆仟元整元整（￥6000.00元）；B分标：人民币肆万元整（￥40000.00元）。</w:t>
      </w:r>
    </w:p>
    <w:p>
      <w:pPr>
        <w:rPr>
          <w:rFonts w:ascii="宋体" w:hAnsi="宋体" w:cs="宋体"/>
          <w:color w:val="auto"/>
          <w:szCs w:val="21"/>
          <w:highlight w:val="none"/>
          <w:u w:val="none"/>
        </w:rPr>
      </w:pPr>
      <w:r>
        <w:rPr>
          <w:rFonts w:hint="eastAsia" w:ascii="宋体" w:hAnsi="宋体" w:cs="宋体"/>
          <w:color w:val="auto"/>
          <w:szCs w:val="21"/>
          <w:highlight w:val="none"/>
          <w:u w:val="none"/>
        </w:rPr>
        <w:t xml:space="preserve">    投标人应于投标截止时间：</w:t>
      </w:r>
      <w:r>
        <w:rPr>
          <w:rFonts w:hint="eastAsia" w:ascii="宋体" w:hAnsi="宋体" w:cs="宋体"/>
          <w:bCs/>
          <w:color w:val="auto"/>
          <w:szCs w:val="21"/>
          <w:highlight w:val="none"/>
          <w:u w:val="none"/>
          <w:lang w:eastAsia="zh-CN"/>
        </w:rPr>
        <w:t>2020年12月21日10点00分</w:t>
      </w:r>
      <w:r>
        <w:rPr>
          <w:rFonts w:hint="eastAsia" w:ascii="宋体" w:hAnsi="宋体" w:cs="宋体"/>
          <w:color w:val="auto"/>
          <w:szCs w:val="21"/>
          <w:highlight w:val="none"/>
          <w:u w:val="none"/>
        </w:rPr>
        <w:t>前将保证金以电汇、转帐等非现金形式交至以下账户。</w:t>
      </w:r>
    </w:p>
    <w:p>
      <w:p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开户名称：钦州市公共资源交易中心</w:t>
      </w:r>
    </w:p>
    <w:p>
      <w:p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开户银行：钦州市区农村信用合作联社政务服务中心分社</w:t>
      </w:r>
    </w:p>
    <w:p>
      <w:pPr>
        <w:ind w:firstLine="420" w:firstLineChars="200"/>
        <w:rPr>
          <w:rFonts w:hint="eastAsia" w:ascii="宋体" w:hAnsi="宋体" w:eastAsia="宋体" w:cs="宋体"/>
          <w:color w:val="auto"/>
          <w:szCs w:val="21"/>
          <w:highlight w:val="none"/>
          <w:u w:val="none"/>
          <w:lang w:eastAsia="zh-CN"/>
        </w:rPr>
      </w:pPr>
      <w:r>
        <w:rPr>
          <w:rFonts w:hint="eastAsia" w:ascii="宋体" w:hAnsi="宋体" w:cs="宋体"/>
          <w:color w:val="auto"/>
          <w:szCs w:val="21"/>
          <w:highlight w:val="none"/>
          <w:u w:val="none"/>
          <w:lang w:eastAsia="zh-CN"/>
        </w:rPr>
        <w:t>银行账号：20298994252001023</w:t>
      </w:r>
    </w:p>
    <w:p>
      <w:p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注：保证金要求备注项目编号、分标号和用途。</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2.本项目需要落实的政府采购政策：《政府采购促进中小企业发展暂行办法》（财库[2011]181号）等政府采购相关政策。</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3.网上公告媒体查询：http://</w:t>
      </w:r>
      <w:r>
        <w:rPr>
          <w:color w:val="auto"/>
          <w:highlight w:val="none"/>
          <w:u w:val="none"/>
        </w:rPr>
        <w:fldChar w:fldCharType="begin"/>
      </w:r>
      <w:r>
        <w:rPr>
          <w:color w:val="auto"/>
          <w:highlight w:val="none"/>
          <w:u w:val="none"/>
        </w:rPr>
        <w:instrText xml:space="preserve"> HYPERLINK "http://www.ccgp/" </w:instrText>
      </w:r>
      <w:r>
        <w:rPr>
          <w:color w:val="auto"/>
          <w:highlight w:val="none"/>
          <w:u w:val="none"/>
        </w:rPr>
        <w:fldChar w:fldCharType="separate"/>
      </w:r>
      <w:r>
        <w:rPr>
          <w:rFonts w:hint="eastAsia" w:ascii="宋体" w:hAnsi="宋体" w:cs="宋体"/>
          <w:color w:val="auto"/>
          <w:szCs w:val="21"/>
          <w:highlight w:val="none"/>
          <w:u w:val="none"/>
        </w:rPr>
        <w:t>www.ccgp</w:t>
      </w:r>
      <w:r>
        <w:rPr>
          <w:rFonts w:hint="eastAsia" w:ascii="宋体" w:hAnsi="宋体" w:cs="宋体"/>
          <w:color w:val="auto"/>
          <w:szCs w:val="21"/>
          <w:highlight w:val="none"/>
          <w:u w:val="none"/>
        </w:rPr>
        <w:fldChar w:fldCharType="end"/>
      </w:r>
      <w:r>
        <w:rPr>
          <w:rFonts w:hint="eastAsia" w:ascii="宋体" w:hAnsi="宋体" w:cs="宋体"/>
          <w:color w:val="auto"/>
          <w:szCs w:val="21"/>
          <w:highlight w:val="none"/>
          <w:u w:val="none"/>
        </w:rPr>
        <w:t>.gov.cn（中国政府采购网）、                         http://zfcg.gxzf.gov.cn/（广西壮族自治区政府采购网）、http://ggzyjy.qinzhou.gov.cn/gxqzzbw/（钦州公共资源交易中心网）、http：//www.gxls.gov.cn（灵山人民政府网）。</w:t>
      </w:r>
    </w:p>
    <w:p>
      <w:pPr>
        <w:pStyle w:val="4"/>
        <w:spacing w:before="0" w:after="0" w:line="240" w:lineRule="auto"/>
        <w:rPr>
          <w:rFonts w:ascii="宋体" w:hAnsi="宋体" w:eastAsia="宋体" w:cs="宋体"/>
          <w:b w:val="0"/>
          <w:color w:val="auto"/>
          <w:sz w:val="21"/>
          <w:szCs w:val="21"/>
          <w:highlight w:val="none"/>
          <w:u w:val="none"/>
        </w:rPr>
      </w:pPr>
      <w:r>
        <w:rPr>
          <w:rFonts w:hint="eastAsia" w:ascii="宋体" w:hAnsi="宋体" w:eastAsia="宋体" w:cs="宋体"/>
          <w:b w:val="0"/>
          <w:color w:val="auto"/>
          <w:sz w:val="21"/>
          <w:szCs w:val="21"/>
          <w:highlight w:val="none"/>
          <w:u w:val="none"/>
        </w:rPr>
        <w:t>七、对本次招标提出询问，请按以下方式联系</w:t>
      </w:r>
      <w:bookmarkEnd w:id="23"/>
      <w:bookmarkEnd w:id="24"/>
      <w:bookmarkEnd w:id="25"/>
      <w:bookmarkEnd w:id="26"/>
    </w:p>
    <w:p>
      <w:pPr>
        <w:widowControl/>
        <w:ind w:firstLine="210" w:firstLineChars="100"/>
        <w:jc w:val="left"/>
        <w:rPr>
          <w:rFonts w:ascii="宋体" w:hAnsi="宋体" w:cs="宋体"/>
          <w:color w:val="auto"/>
          <w:szCs w:val="21"/>
          <w:highlight w:val="none"/>
          <w:u w:val="none"/>
        </w:rPr>
      </w:pPr>
      <w:r>
        <w:rPr>
          <w:rFonts w:hint="eastAsia" w:ascii="宋体" w:hAnsi="宋体" w:cs="宋体"/>
          <w:color w:val="auto"/>
          <w:szCs w:val="21"/>
          <w:highlight w:val="none"/>
          <w:u w:val="none"/>
        </w:rPr>
        <w:t>1.采购人信息</w:t>
      </w:r>
    </w:p>
    <w:p>
      <w:pPr>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名 称：灵山县妇幼保健院　</w:t>
      </w:r>
    </w:p>
    <w:p>
      <w:pPr>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地址：　广西钦州市灵山县三海街道东边塘街81号</w:t>
      </w:r>
    </w:p>
    <w:p>
      <w:pPr>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联系人：莫辉　　</w:t>
      </w:r>
    </w:p>
    <w:p>
      <w:pPr>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 xml:space="preserve">联系方式：　0777-6887630　 </w:t>
      </w:r>
      <w:bookmarkStart w:id="27" w:name="_Toc28359009"/>
      <w:bookmarkStart w:id="28" w:name="_Toc28359086"/>
    </w:p>
    <w:p>
      <w:pPr>
        <w:ind w:left="331" w:leftChars="133" w:hanging="52" w:hangingChars="25"/>
        <w:jc w:val="left"/>
        <w:rPr>
          <w:rFonts w:ascii="宋体" w:hAnsi="宋体" w:cs="宋体"/>
          <w:color w:val="auto"/>
          <w:szCs w:val="21"/>
          <w:highlight w:val="none"/>
          <w:u w:val="none"/>
        </w:rPr>
      </w:pPr>
      <w:r>
        <w:rPr>
          <w:rFonts w:hint="eastAsia" w:ascii="宋体" w:hAnsi="宋体" w:cs="宋体"/>
          <w:color w:val="auto"/>
          <w:szCs w:val="21"/>
          <w:highlight w:val="none"/>
          <w:u w:val="none"/>
        </w:rPr>
        <w:t>2.采购代理机构信息</w:t>
      </w:r>
      <w:bookmarkEnd w:id="27"/>
      <w:bookmarkEnd w:id="28"/>
    </w:p>
    <w:p>
      <w:p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名 称：　中鼎誉润工程咨询有限公司　　</w:t>
      </w:r>
    </w:p>
    <w:p>
      <w:p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地　址：　钦州高新技术产业开发区B1地块河东公寓36号楼B3号商铺1-2层　</w:t>
      </w:r>
    </w:p>
    <w:p>
      <w:pPr>
        <w:pStyle w:val="8"/>
        <w:ind w:firstLine="420" w:firstLineChars="200"/>
        <w:rPr>
          <w:rFonts w:hAnsi="宋体" w:cs="宋体"/>
          <w:color w:val="auto"/>
          <w:szCs w:val="21"/>
          <w:highlight w:val="none"/>
          <w:u w:val="none"/>
        </w:rPr>
      </w:pPr>
      <w:r>
        <w:rPr>
          <w:rFonts w:hint="eastAsia" w:hAnsi="宋体" w:cs="宋体"/>
          <w:color w:val="auto"/>
          <w:szCs w:val="21"/>
          <w:highlight w:val="none"/>
          <w:u w:val="none"/>
        </w:rPr>
        <w:t>项目联系人：赖冰生</w:t>
      </w:r>
    </w:p>
    <w:p>
      <w:p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电　话：0777-6668259　　</w:t>
      </w:r>
    </w:p>
    <w:p>
      <w:pPr>
        <w:rPr>
          <w:rFonts w:hint="eastAsia" w:ascii="宋体" w:hAnsi="宋体" w:cs="宋体"/>
          <w:color w:val="auto"/>
          <w:szCs w:val="21"/>
          <w:highlight w:val="none"/>
          <w:u w:val="none"/>
        </w:rPr>
      </w:pPr>
    </w:p>
    <w:p>
      <w:pPr>
        <w:rPr>
          <w:rFonts w:ascii="宋体" w:hAnsi="宋体" w:cs="宋体"/>
          <w:color w:val="auto"/>
          <w:szCs w:val="21"/>
          <w:highlight w:val="none"/>
          <w:u w:val="none"/>
        </w:rPr>
      </w:pPr>
      <w:r>
        <w:rPr>
          <w:rFonts w:hint="eastAsia" w:ascii="宋体" w:hAnsi="宋体" w:cs="宋体"/>
          <w:color w:val="auto"/>
          <w:szCs w:val="21"/>
          <w:highlight w:val="none"/>
          <w:u w:val="none"/>
        </w:rPr>
        <w:t xml:space="preserve">                                                中鼎誉润工程咨询有限公司</w:t>
      </w:r>
    </w:p>
    <w:p>
      <w:pPr>
        <w:rPr>
          <w:rFonts w:ascii="宋体" w:hAnsi="宋体" w:cs="宋体"/>
          <w:color w:val="auto"/>
          <w:szCs w:val="21"/>
          <w:highlight w:val="none"/>
          <w:u w:val="none"/>
        </w:rPr>
      </w:pPr>
      <w:r>
        <w:rPr>
          <w:rFonts w:hint="eastAsia" w:ascii="宋体" w:hAnsi="宋体" w:cs="宋体"/>
          <w:color w:val="auto"/>
          <w:szCs w:val="21"/>
          <w:highlight w:val="none"/>
          <w:u w:val="none"/>
        </w:rPr>
        <w:t xml:space="preserve">                                                    2020年</w:t>
      </w:r>
      <w:r>
        <w:rPr>
          <w:rFonts w:hint="eastAsia" w:ascii="宋体" w:hAnsi="宋体" w:cs="宋体"/>
          <w:color w:val="auto"/>
          <w:szCs w:val="21"/>
          <w:highlight w:val="none"/>
          <w:u w:val="none"/>
          <w:lang w:val="en-US" w:eastAsia="zh-CN"/>
        </w:rPr>
        <w:t>11</w:t>
      </w:r>
      <w:r>
        <w:rPr>
          <w:rFonts w:hint="eastAsia" w:ascii="宋体" w:hAnsi="宋体" w:cs="宋体"/>
          <w:color w:val="auto"/>
          <w:szCs w:val="21"/>
          <w:highlight w:val="none"/>
          <w:u w:val="none"/>
        </w:rPr>
        <w:t>月</w:t>
      </w:r>
      <w:r>
        <w:rPr>
          <w:rFonts w:hint="eastAsia" w:ascii="宋体" w:hAnsi="宋体" w:cs="宋体"/>
          <w:color w:val="auto"/>
          <w:szCs w:val="21"/>
          <w:highlight w:val="none"/>
          <w:u w:val="none"/>
          <w:lang w:val="en-US" w:eastAsia="zh-CN"/>
        </w:rPr>
        <w:t>20</w:t>
      </w:r>
      <w:r>
        <w:rPr>
          <w:rFonts w:hint="eastAsia" w:ascii="宋体" w:hAnsi="宋体" w:cs="宋体"/>
          <w:color w:val="auto"/>
          <w:szCs w:val="21"/>
          <w:highlight w:val="none"/>
          <w:u w:val="none"/>
        </w:rPr>
        <w:t>日</w:t>
      </w:r>
    </w:p>
    <w:p>
      <w:pPr>
        <w:rPr>
          <w:color w:val="auto"/>
          <w:highlight w:val="none"/>
          <w:u w:val="none"/>
        </w:rPr>
      </w:pPr>
    </w:p>
    <w:p>
      <w:pPr>
        <w:ind w:left="-17" w:leftChars="-8" w:firstLine="29" w:firstLineChars="8"/>
        <w:jc w:val="center"/>
        <w:rPr>
          <w:rFonts w:asciiTheme="minorEastAsia" w:hAnsiTheme="minorEastAsia" w:eastAsiaTheme="minorEastAsia"/>
          <w:b/>
          <w:color w:val="auto"/>
          <w:sz w:val="36"/>
          <w:highlight w:val="none"/>
          <w:u w:val="none"/>
        </w:rPr>
      </w:pPr>
      <w:r>
        <w:rPr>
          <w:rFonts w:hint="eastAsia" w:asciiTheme="minorEastAsia" w:hAnsiTheme="minorEastAsia" w:eastAsiaTheme="minorEastAsia"/>
          <w:b/>
          <w:color w:val="auto"/>
          <w:sz w:val="36"/>
          <w:highlight w:val="none"/>
          <w:u w:val="none"/>
        </w:rPr>
        <w:t>第二章  货物需求一览表</w:t>
      </w:r>
    </w:p>
    <w:p>
      <w:pPr>
        <w:adjustRightInd w:val="0"/>
        <w:spacing w:line="340" w:lineRule="exact"/>
        <w:rPr>
          <w:rFonts w:asciiTheme="minorEastAsia" w:hAnsiTheme="minorEastAsia" w:eastAsiaTheme="minorEastAsia"/>
          <w:b/>
          <w:color w:val="auto"/>
          <w:szCs w:val="21"/>
          <w:highlight w:val="none"/>
          <w:u w:val="none"/>
        </w:rPr>
      </w:pPr>
      <w:r>
        <w:rPr>
          <w:rFonts w:hint="eastAsia" w:asciiTheme="minorEastAsia" w:hAnsiTheme="minorEastAsia" w:eastAsiaTheme="minorEastAsia"/>
          <w:b/>
          <w:color w:val="auto"/>
          <w:szCs w:val="21"/>
          <w:highlight w:val="none"/>
          <w:u w:val="none"/>
        </w:rPr>
        <w:t>说明：</w:t>
      </w:r>
    </w:p>
    <w:p>
      <w:pPr>
        <w:adjustRightInd w:val="0"/>
        <w:spacing w:line="340" w:lineRule="exact"/>
        <w:ind w:left="6" w:firstLine="431"/>
        <w:rPr>
          <w:rFonts w:asciiTheme="minorEastAsia" w:hAnsiTheme="minorEastAsia" w:eastAsiaTheme="minorEastAsia"/>
          <w:color w:val="auto"/>
          <w:highlight w:val="none"/>
          <w:u w:val="none"/>
        </w:rPr>
      </w:pPr>
      <w:r>
        <w:rPr>
          <w:rFonts w:asciiTheme="minorEastAsia" w:hAnsiTheme="minorEastAsia" w:eastAsiaTheme="minorEastAsia"/>
          <w:color w:val="auto"/>
          <w:highlight w:val="none"/>
          <w:u w:val="none"/>
        </w:rPr>
        <w:t>1</w:t>
      </w:r>
      <w:r>
        <w:rPr>
          <w:rFonts w:hint="eastAsia" w:asciiTheme="minorEastAsia" w:hAnsiTheme="minorEastAsia" w:eastAsiaTheme="minorEastAsia"/>
          <w:color w:val="auto"/>
          <w:highlight w:val="none"/>
          <w:u w:val="none"/>
        </w:rPr>
        <w:t>、</w:t>
      </w:r>
      <w:r>
        <w:rPr>
          <w:rFonts w:asciiTheme="minorEastAsia" w:hAnsiTheme="minorEastAsia" w:eastAsiaTheme="minorEastAsia"/>
          <w:color w:val="auto"/>
          <w:szCs w:val="21"/>
          <w:highlight w:val="none"/>
          <w:u w:val="none"/>
        </w:rPr>
        <w:t>本</w:t>
      </w:r>
      <w:r>
        <w:rPr>
          <w:rFonts w:hint="eastAsia" w:asciiTheme="minorEastAsia" w:hAnsiTheme="minorEastAsia" w:eastAsiaTheme="minorEastAsia"/>
          <w:color w:val="auto"/>
          <w:szCs w:val="21"/>
          <w:highlight w:val="none"/>
          <w:u w:val="none"/>
        </w:rPr>
        <w:t>货物需求</w:t>
      </w:r>
      <w:r>
        <w:rPr>
          <w:rFonts w:asciiTheme="minorEastAsia" w:hAnsiTheme="minorEastAsia" w:eastAsiaTheme="minorEastAsia"/>
          <w:color w:val="auto"/>
          <w:szCs w:val="21"/>
          <w:highlight w:val="none"/>
          <w:u w:val="none"/>
        </w:rPr>
        <w:t>一览表中</w:t>
      </w:r>
      <w:r>
        <w:rPr>
          <w:rFonts w:hint="eastAsia" w:asciiTheme="minorEastAsia" w:hAnsiTheme="minorEastAsia" w:eastAsiaTheme="minorEastAsia"/>
          <w:color w:val="auto"/>
          <w:szCs w:val="21"/>
          <w:highlight w:val="none"/>
          <w:u w:val="none"/>
        </w:rPr>
        <w:t>所列的品牌、型号仅起参考作用，投标人可选用其他品牌、型号替代，但替代的品牌、型号在实质性要求和条件上要相当于或优于参考品牌、型号。</w:t>
      </w:r>
    </w:p>
    <w:p>
      <w:pPr>
        <w:spacing w:line="320" w:lineRule="exact"/>
        <w:ind w:firstLine="420" w:firstLineChars="20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2、凡在“</w:t>
      </w:r>
      <w:r>
        <w:rPr>
          <w:rFonts w:asciiTheme="minorEastAsia" w:hAnsiTheme="minorEastAsia" w:eastAsiaTheme="minorEastAsia"/>
          <w:color w:val="auto"/>
          <w:highlight w:val="none"/>
          <w:u w:val="none"/>
        </w:rPr>
        <w:t>技术参数要求</w:t>
      </w:r>
      <w:r>
        <w:rPr>
          <w:rFonts w:hint="eastAsia" w:asciiTheme="minorEastAsia" w:hAnsiTheme="minorEastAsia" w:eastAsiaTheme="minorEastAsia"/>
          <w:color w:val="auto"/>
          <w:highlight w:val="none"/>
          <w:u w:val="none"/>
        </w:rPr>
        <w:t>”中表述为“标配”或“标准配置”的设备，投标人应按第四章“投标文件格式”规定的格式在“投标产品技术资料表”中将其参数详细列明。</w:t>
      </w:r>
    </w:p>
    <w:p>
      <w:pPr>
        <w:spacing w:line="320" w:lineRule="exact"/>
        <w:ind w:firstLine="420" w:firstLineChars="20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3、本货物需求一览表中内容如与第五章“合同条款及格式”相关条款不一致的，以本表为准。</w:t>
      </w:r>
    </w:p>
    <w:p>
      <w:pPr>
        <w:spacing w:line="320" w:lineRule="exact"/>
        <w:ind w:firstLine="643" w:firstLineChars="200"/>
        <w:jc w:val="center"/>
        <w:rPr>
          <w:rFonts w:cs="宋体" w:asciiTheme="minorEastAsia" w:hAnsiTheme="minorEastAsia" w:eastAsiaTheme="minorEastAsia"/>
          <w:b/>
          <w:bCs/>
          <w:color w:val="auto"/>
          <w:kern w:val="0"/>
          <w:sz w:val="32"/>
          <w:szCs w:val="32"/>
          <w:highlight w:val="none"/>
          <w:u w:val="none"/>
        </w:rPr>
      </w:pPr>
    </w:p>
    <w:p>
      <w:pPr>
        <w:spacing w:line="320" w:lineRule="exact"/>
        <w:ind w:firstLine="643" w:firstLineChars="200"/>
        <w:jc w:val="center"/>
        <w:rPr>
          <w:rFonts w:asciiTheme="minorEastAsia" w:hAnsiTheme="minorEastAsia" w:eastAsiaTheme="minorEastAsia"/>
          <w:color w:val="auto"/>
          <w:highlight w:val="none"/>
          <w:u w:val="none"/>
        </w:rPr>
      </w:pPr>
      <w:r>
        <w:rPr>
          <w:rFonts w:hint="eastAsia" w:cs="宋体" w:asciiTheme="minorEastAsia" w:hAnsiTheme="minorEastAsia" w:eastAsiaTheme="minorEastAsia"/>
          <w:b/>
          <w:bCs/>
          <w:color w:val="auto"/>
          <w:kern w:val="0"/>
          <w:sz w:val="32"/>
          <w:szCs w:val="32"/>
          <w:highlight w:val="none"/>
          <w:u w:val="none"/>
        </w:rPr>
        <w:t>《A分标：货物需求一览表》</w:t>
      </w:r>
    </w:p>
    <w:tbl>
      <w:tblPr>
        <w:tblStyle w:val="18"/>
        <w:tblW w:w="10238" w:type="dxa"/>
        <w:tblInd w:w="-45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
      <w:tblGrid>
        <w:gridCol w:w="575"/>
        <w:gridCol w:w="1131"/>
        <w:gridCol w:w="7590"/>
        <w:gridCol w:w="387"/>
        <w:gridCol w:w="55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876" w:hRule="atLeast"/>
        </w:trPr>
        <w:tc>
          <w:tcPr>
            <w:tcW w:w="575" w:type="dxa"/>
            <w:tcBorders>
              <w:tl2br w:val="nil"/>
              <w:tr2bl w:val="nil"/>
            </w:tcBorders>
            <w:vAlign w:val="center"/>
          </w:tcPr>
          <w:p>
            <w:pPr>
              <w:widowControl/>
              <w:jc w:val="center"/>
              <w:textAlignment w:val="center"/>
              <w:rPr>
                <w:rFonts w:ascii="宋体" w:hAnsi="宋体" w:cs="宋体"/>
                <w:b/>
                <w:bCs/>
                <w:color w:val="auto"/>
                <w:szCs w:val="21"/>
                <w:highlight w:val="none"/>
                <w:u w:val="none"/>
              </w:rPr>
            </w:pPr>
            <w:r>
              <w:rPr>
                <w:rFonts w:hint="eastAsia" w:ascii="宋体" w:hAnsi="宋体" w:cs="宋体"/>
                <w:b/>
                <w:bCs/>
                <w:color w:val="auto"/>
                <w:kern w:val="0"/>
                <w:szCs w:val="21"/>
                <w:highlight w:val="none"/>
                <w:u w:val="none"/>
              </w:rPr>
              <w:t>序号</w:t>
            </w:r>
          </w:p>
        </w:tc>
        <w:tc>
          <w:tcPr>
            <w:tcW w:w="1131" w:type="dxa"/>
            <w:tcBorders>
              <w:tl2br w:val="nil"/>
              <w:tr2bl w:val="nil"/>
            </w:tcBorders>
            <w:vAlign w:val="center"/>
          </w:tcPr>
          <w:p>
            <w:pPr>
              <w:widowControl/>
              <w:jc w:val="center"/>
              <w:textAlignment w:val="center"/>
              <w:rPr>
                <w:rFonts w:ascii="宋体" w:hAnsi="宋体" w:cs="宋体"/>
                <w:b/>
                <w:bCs/>
                <w:color w:val="auto"/>
                <w:szCs w:val="21"/>
                <w:highlight w:val="none"/>
                <w:u w:val="none"/>
              </w:rPr>
            </w:pPr>
            <w:r>
              <w:rPr>
                <w:rFonts w:hint="eastAsia" w:ascii="宋体" w:hAnsi="宋体" w:cs="宋体"/>
                <w:b/>
                <w:bCs/>
                <w:color w:val="auto"/>
                <w:kern w:val="0"/>
                <w:szCs w:val="21"/>
                <w:highlight w:val="none"/>
                <w:u w:val="none"/>
              </w:rPr>
              <w:t>设备名称</w:t>
            </w:r>
          </w:p>
        </w:tc>
        <w:tc>
          <w:tcPr>
            <w:tcW w:w="7590" w:type="dxa"/>
            <w:tcBorders>
              <w:tl2br w:val="nil"/>
              <w:tr2bl w:val="nil"/>
            </w:tcBorders>
            <w:vAlign w:val="center"/>
          </w:tcPr>
          <w:p>
            <w:pPr>
              <w:widowControl/>
              <w:jc w:val="center"/>
              <w:textAlignment w:val="center"/>
              <w:rPr>
                <w:rFonts w:ascii="宋体" w:hAnsi="宋体" w:cs="宋体"/>
                <w:b/>
                <w:bCs/>
                <w:color w:val="auto"/>
                <w:szCs w:val="21"/>
                <w:highlight w:val="none"/>
                <w:u w:val="none"/>
              </w:rPr>
            </w:pPr>
            <w:r>
              <w:rPr>
                <w:rFonts w:hint="eastAsia" w:ascii="宋体" w:hAnsi="宋体" w:cs="宋体"/>
                <w:b/>
                <w:bCs/>
                <w:color w:val="auto"/>
                <w:szCs w:val="21"/>
                <w:highlight w:val="none"/>
                <w:u w:val="none"/>
              </w:rPr>
              <w:t>主要技术参数及功能要求</w:t>
            </w:r>
          </w:p>
        </w:tc>
        <w:tc>
          <w:tcPr>
            <w:tcW w:w="387" w:type="dxa"/>
            <w:tcBorders>
              <w:tl2br w:val="nil"/>
              <w:tr2bl w:val="nil"/>
            </w:tcBorders>
            <w:vAlign w:val="center"/>
          </w:tcPr>
          <w:p>
            <w:pPr>
              <w:widowControl/>
              <w:jc w:val="center"/>
              <w:textAlignment w:val="center"/>
              <w:rPr>
                <w:rFonts w:ascii="宋体" w:hAnsi="宋体" w:cs="宋体"/>
                <w:b/>
                <w:bCs/>
                <w:color w:val="auto"/>
                <w:szCs w:val="21"/>
                <w:highlight w:val="none"/>
                <w:u w:val="none"/>
              </w:rPr>
            </w:pPr>
            <w:r>
              <w:rPr>
                <w:rFonts w:hint="eastAsia" w:ascii="宋体" w:hAnsi="宋体" w:cs="宋体"/>
                <w:b/>
                <w:bCs/>
                <w:color w:val="auto"/>
                <w:kern w:val="0"/>
                <w:szCs w:val="21"/>
                <w:highlight w:val="none"/>
                <w:u w:val="none"/>
              </w:rPr>
              <w:t>单位</w:t>
            </w:r>
          </w:p>
        </w:tc>
        <w:tc>
          <w:tcPr>
            <w:tcW w:w="555" w:type="dxa"/>
            <w:tcBorders>
              <w:tl2br w:val="nil"/>
              <w:tr2bl w:val="nil"/>
            </w:tcBorders>
            <w:vAlign w:val="center"/>
          </w:tcPr>
          <w:p>
            <w:pPr>
              <w:widowControl/>
              <w:jc w:val="center"/>
              <w:textAlignment w:val="center"/>
              <w:rPr>
                <w:rFonts w:ascii="宋体" w:hAnsi="宋体" w:cs="宋体"/>
                <w:b/>
                <w:bCs/>
                <w:color w:val="auto"/>
                <w:szCs w:val="21"/>
                <w:highlight w:val="none"/>
                <w:u w:val="none"/>
              </w:rPr>
            </w:pPr>
            <w:r>
              <w:rPr>
                <w:rFonts w:hint="eastAsia" w:ascii="宋体" w:hAnsi="宋体" w:cs="宋体"/>
                <w:b/>
                <w:bCs/>
                <w:color w:val="auto"/>
                <w:kern w:val="0"/>
                <w:szCs w:val="21"/>
                <w:highlight w:val="none"/>
                <w:u w:val="none"/>
              </w:rPr>
              <w:t>数量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660" w:hRule="atLeast"/>
        </w:trPr>
        <w:tc>
          <w:tcPr>
            <w:tcW w:w="575" w:type="dxa"/>
            <w:tcBorders>
              <w:tl2br w:val="nil"/>
              <w:tr2bl w:val="nil"/>
            </w:tcBorders>
            <w:vAlign w:val="center"/>
          </w:tcPr>
          <w:p>
            <w:pPr>
              <w:spacing w:line="600" w:lineRule="exact"/>
              <w:jc w:val="center"/>
              <w:rPr>
                <w:rFonts w:ascii="宋体" w:hAnsi="宋体" w:cs="宋体"/>
                <w:bCs/>
                <w:color w:val="auto"/>
                <w:szCs w:val="21"/>
                <w:highlight w:val="none"/>
                <w:u w:val="none"/>
              </w:rPr>
            </w:pPr>
            <w:r>
              <w:rPr>
                <w:rFonts w:hint="eastAsia" w:ascii="宋体" w:hAnsi="宋体" w:cs="宋体"/>
                <w:bCs/>
                <w:color w:val="auto"/>
                <w:szCs w:val="21"/>
                <w:highlight w:val="none"/>
                <w:u w:val="none"/>
              </w:rPr>
              <w:t>1</w:t>
            </w:r>
          </w:p>
        </w:tc>
        <w:tc>
          <w:tcPr>
            <w:tcW w:w="1131" w:type="dxa"/>
            <w:tcBorders>
              <w:tl2br w:val="nil"/>
              <w:tr2bl w:val="nil"/>
            </w:tcBorders>
            <w:vAlign w:val="center"/>
          </w:tcPr>
          <w:p>
            <w:pPr>
              <w:jc w:val="center"/>
              <w:rPr>
                <w:rFonts w:ascii="宋体" w:hAnsi="宋体" w:cs="宋体"/>
                <w:color w:val="auto"/>
                <w:szCs w:val="21"/>
                <w:highlight w:val="none"/>
                <w:u w:val="none"/>
              </w:rPr>
            </w:pPr>
            <w:r>
              <w:rPr>
                <w:rFonts w:hint="eastAsia" w:ascii="宋体" w:hAnsi="宋体" w:cs="宋体"/>
                <w:color w:val="auto"/>
                <w:kern w:val="0"/>
                <w:szCs w:val="21"/>
                <w:highlight w:val="none"/>
                <w:u w:val="none"/>
              </w:rPr>
              <w:t>远程会诊终端</w:t>
            </w:r>
          </w:p>
        </w:tc>
        <w:tc>
          <w:tcPr>
            <w:tcW w:w="7590" w:type="dxa"/>
            <w:tcBorders>
              <w:tl2br w:val="nil"/>
              <w:tr2bl w:val="nil"/>
            </w:tcBorders>
            <w:vAlign w:val="center"/>
          </w:tcPr>
          <w:p>
            <w:pPr>
              <w:widowControl/>
              <w:ind w:left="178" w:leftChars="85"/>
              <w:jc w:val="left"/>
              <w:textAlignment w:val="center"/>
              <w:rPr>
                <w:rFonts w:ascii="宋体" w:hAnsi="宋体" w:cs="宋体"/>
                <w:color w:val="auto"/>
                <w:szCs w:val="21"/>
                <w:highlight w:val="none"/>
                <w:u w:val="none"/>
              </w:rPr>
            </w:pPr>
            <w:r>
              <w:rPr>
                <w:rFonts w:hint="eastAsia" w:ascii="宋体" w:hAnsi="宋体" w:cs="宋体"/>
                <w:color w:val="auto"/>
                <w:kern w:val="0"/>
                <w:szCs w:val="21"/>
                <w:highlight w:val="none"/>
                <w:u w:val="none"/>
              </w:rPr>
              <w:t>1、★分体式硬件终端，采用嵌入式实时操作系统；支持ITU H.323以及IETF SIP协议；要求与市局MCU实现无缝数字连接；当MCU不能使用时，可以与广西监管平台现有的远程会诊平台实现无缝数字连接；</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★2、终端具备2个高清视频输入接口；具备1个高清视频输出接口；</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3、终端具备3组音频输入，2组音频输出接口，具有1路数字全向麦克风接口。</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4、配备分体式高清镜头，支持720p 25帧/秒、720p 50帧/秒、1080p 25帧/秒、1080p 50帧/秒的视频采集；摄像头支持至少12倍光学变焦；支持可视预设位功能且摄像机预置位不少于10个；广角支持至少85度。</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5、配置覆盖半径至少7米的桌面全向数字麦克风一个，支持360度全向拾音，可扩展支持多个麦克风级联；设备具有自适应回声抑制、屏蔽GSM信号干扰、自动增益控制、自动噪音抑制功能。</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6、支持ITU-T G.711、G.728、G.722、G.722.1、G.722.1 Annex C、G.719以及AAC-LD等宽频率语音编码协议</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7、支持 H.261、H.263、H.264、H.264 High Profile、H.264 SVC 视频协议</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8、具备CIF、4CIF、720p 25fps、720p 50fps、1080p 25fps、1080p 50fps视频格式处理能力；</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9、为更有效地利用现有的网络带宽，在512Kbps速率实现720p 25帧/秒；在1Mbps速率实现1080p 25帧/秒动态高清视频质量；在1.7Mbps速率实现1080p 50帧/秒动态高清视频质量；发送双流时，在保证主路图像1080p 50帧/秒的同时，辅路数据内容分辨率也可达1080p 25帧/秒；在辅路传输动态图像时可以同时传输辅路声音。</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10、具备可靠的丢包恢复机制，在IP网络达到20%丢包时会议视音频质量清晰，无马赛克；为了适应移动视频接入，在丢包率50%的情况下，保持音频仍能保持音频通信质量清晰、连续、无破音；具有第三方权威检测报告；</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11、终端支持中文操作界面、中文Web界面管理，配备一个中文遥控器，支持遥控器开启及关闭终端；</w:t>
            </w:r>
          </w:p>
        </w:tc>
        <w:tc>
          <w:tcPr>
            <w:tcW w:w="387" w:type="dxa"/>
            <w:tcBorders>
              <w:tl2br w:val="nil"/>
              <w:tr2bl w:val="nil"/>
            </w:tcBorders>
            <w:vAlign w:val="center"/>
          </w:tcPr>
          <w:p>
            <w:pPr>
              <w:spacing w:line="480" w:lineRule="exact"/>
              <w:ind w:firstLine="210" w:firstLineChars="100"/>
              <w:rPr>
                <w:rFonts w:ascii="宋体" w:hAnsi="宋体" w:cs="宋体"/>
                <w:bCs/>
                <w:color w:val="auto"/>
                <w:szCs w:val="21"/>
                <w:highlight w:val="none"/>
                <w:u w:val="none"/>
              </w:rPr>
            </w:pPr>
            <w:r>
              <w:rPr>
                <w:rFonts w:hint="eastAsia" w:ascii="宋体" w:hAnsi="宋体" w:cs="宋体"/>
                <w:bCs/>
                <w:color w:val="auto"/>
                <w:szCs w:val="21"/>
                <w:highlight w:val="none"/>
                <w:u w:val="none"/>
              </w:rPr>
              <w:t>1</w:t>
            </w:r>
          </w:p>
        </w:tc>
        <w:tc>
          <w:tcPr>
            <w:tcW w:w="555" w:type="dxa"/>
            <w:tcBorders>
              <w:tl2br w:val="nil"/>
              <w:tr2bl w:val="nil"/>
            </w:tcBorders>
            <w:vAlign w:val="center"/>
          </w:tcPr>
          <w:p>
            <w:pPr>
              <w:spacing w:line="480" w:lineRule="exact"/>
              <w:ind w:firstLine="210" w:firstLineChars="100"/>
              <w:rPr>
                <w:rFonts w:ascii="宋体" w:hAnsi="宋体" w:cs="宋体"/>
                <w:bCs/>
                <w:color w:val="auto"/>
                <w:szCs w:val="21"/>
                <w:highlight w:val="none"/>
                <w:u w:val="none"/>
              </w:rPr>
            </w:pPr>
            <w:r>
              <w:rPr>
                <w:rFonts w:hint="eastAsia" w:ascii="宋体" w:hAnsi="宋体" w:cs="宋体"/>
                <w:bCs/>
                <w:color w:val="auto"/>
                <w:szCs w:val="21"/>
                <w:highlight w:val="none"/>
                <w:u w:val="none"/>
              </w:rPr>
              <w:t>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745" w:hRule="atLeast"/>
        </w:trPr>
        <w:tc>
          <w:tcPr>
            <w:tcW w:w="575" w:type="dxa"/>
            <w:tcBorders>
              <w:tl2br w:val="nil"/>
              <w:tr2bl w:val="nil"/>
            </w:tcBorders>
            <w:vAlign w:val="center"/>
          </w:tcPr>
          <w:p>
            <w:pPr>
              <w:spacing w:line="600" w:lineRule="exact"/>
              <w:jc w:val="center"/>
              <w:rPr>
                <w:rFonts w:ascii="宋体" w:hAnsi="宋体" w:cs="宋体"/>
                <w:color w:val="auto"/>
                <w:szCs w:val="21"/>
                <w:highlight w:val="none"/>
                <w:u w:val="none"/>
              </w:rPr>
            </w:pPr>
            <w:r>
              <w:rPr>
                <w:rFonts w:hint="eastAsia" w:ascii="宋体" w:hAnsi="宋体" w:cs="宋体"/>
                <w:color w:val="auto"/>
                <w:szCs w:val="21"/>
                <w:highlight w:val="none"/>
                <w:u w:val="none"/>
              </w:rPr>
              <w:t>2</w:t>
            </w:r>
          </w:p>
        </w:tc>
        <w:tc>
          <w:tcPr>
            <w:tcW w:w="1131" w:type="dxa"/>
            <w:tcBorders>
              <w:tl2br w:val="nil"/>
              <w:tr2bl w:val="nil"/>
            </w:tcBorders>
            <w:vAlign w:val="center"/>
          </w:tcPr>
          <w:p>
            <w:pPr>
              <w:jc w:val="center"/>
              <w:rPr>
                <w:rFonts w:ascii="宋体" w:hAnsi="宋体" w:cs="宋体"/>
                <w:color w:val="auto"/>
                <w:szCs w:val="21"/>
                <w:highlight w:val="none"/>
                <w:u w:val="none"/>
              </w:rPr>
            </w:pPr>
            <w:r>
              <w:rPr>
                <w:rFonts w:hint="eastAsia" w:ascii="宋体" w:hAnsi="宋体" w:cs="宋体"/>
                <w:color w:val="auto"/>
                <w:kern w:val="0"/>
                <w:szCs w:val="21"/>
                <w:highlight w:val="none"/>
                <w:u w:val="none"/>
              </w:rPr>
              <w:t>远程会诊监管平台扩容</w:t>
            </w:r>
          </w:p>
        </w:tc>
        <w:tc>
          <w:tcPr>
            <w:tcW w:w="7590" w:type="dxa"/>
            <w:tcBorders>
              <w:tl2br w:val="nil"/>
              <w:tr2bl w:val="nil"/>
            </w:tcBorders>
            <w:vAlign w:val="center"/>
          </w:tcPr>
          <w:p>
            <w:pPr>
              <w:widowControl/>
              <w:ind w:left="178" w:leftChars="85"/>
              <w:jc w:val="left"/>
              <w:textAlignment w:val="center"/>
              <w:rPr>
                <w:rFonts w:ascii="宋体" w:hAnsi="宋体" w:cs="宋体"/>
                <w:color w:val="auto"/>
                <w:szCs w:val="21"/>
                <w:highlight w:val="none"/>
                <w:u w:val="none"/>
              </w:rPr>
            </w:pPr>
            <w:r>
              <w:rPr>
                <w:rFonts w:hint="eastAsia" w:ascii="宋体" w:hAnsi="宋体" w:cs="宋体"/>
                <w:color w:val="auto"/>
                <w:kern w:val="0"/>
                <w:szCs w:val="21"/>
                <w:highlight w:val="none"/>
                <w:u w:val="none"/>
              </w:rPr>
              <w:t>1、 ★扩容远程监管平台系统3个点，包含宝利通硬件云MCU Clariti和注册管理服务器，</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2、 扩容的许可支持1080p 30帧分辨率，</w:t>
            </w:r>
          </w:p>
        </w:tc>
        <w:tc>
          <w:tcPr>
            <w:tcW w:w="387" w:type="dxa"/>
            <w:tcBorders>
              <w:tl2br w:val="nil"/>
              <w:tr2bl w:val="nil"/>
            </w:tcBorders>
            <w:vAlign w:val="center"/>
          </w:tcPr>
          <w:p>
            <w:pPr>
              <w:spacing w:line="480" w:lineRule="exact"/>
              <w:ind w:firstLine="210" w:firstLineChars="100"/>
              <w:rPr>
                <w:rFonts w:ascii="宋体" w:hAnsi="宋体" w:cs="宋体"/>
                <w:bCs/>
                <w:color w:val="auto"/>
                <w:szCs w:val="21"/>
                <w:highlight w:val="none"/>
                <w:u w:val="none"/>
              </w:rPr>
            </w:pPr>
            <w:r>
              <w:rPr>
                <w:rFonts w:hint="eastAsia" w:ascii="宋体" w:hAnsi="宋体" w:cs="宋体"/>
                <w:bCs/>
                <w:color w:val="auto"/>
                <w:szCs w:val="21"/>
                <w:highlight w:val="none"/>
                <w:u w:val="none"/>
              </w:rPr>
              <w:t>1</w:t>
            </w:r>
          </w:p>
        </w:tc>
        <w:tc>
          <w:tcPr>
            <w:tcW w:w="555" w:type="dxa"/>
            <w:tcBorders>
              <w:tl2br w:val="nil"/>
              <w:tr2bl w:val="nil"/>
            </w:tcBorders>
            <w:vAlign w:val="center"/>
          </w:tcPr>
          <w:p>
            <w:pPr>
              <w:spacing w:line="480" w:lineRule="exact"/>
              <w:ind w:firstLine="210" w:firstLineChars="100"/>
              <w:rPr>
                <w:rFonts w:ascii="宋体" w:hAnsi="宋体" w:cs="宋体"/>
                <w:bCs/>
                <w:color w:val="auto"/>
                <w:szCs w:val="21"/>
                <w:highlight w:val="none"/>
                <w:u w:val="none"/>
              </w:rPr>
            </w:pPr>
            <w:r>
              <w:rPr>
                <w:rFonts w:hint="eastAsia" w:ascii="宋体" w:hAnsi="宋体" w:cs="宋体"/>
                <w:bCs/>
                <w:color w:val="auto"/>
                <w:szCs w:val="21"/>
                <w:highlight w:val="none"/>
                <w:u w:val="none"/>
              </w:rPr>
              <w:t>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szCs w:val="21"/>
                <w:highlight w:val="none"/>
                <w:u w:val="none"/>
              </w:rPr>
            </w:pPr>
            <w:r>
              <w:rPr>
                <w:rFonts w:hint="eastAsia" w:ascii="宋体" w:hAnsi="宋体" w:cs="宋体"/>
                <w:color w:val="auto"/>
                <w:szCs w:val="21"/>
                <w:highlight w:val="none"/>
                <w:u w:val="none"/>
              </w:rPr>
              <w:t>3</w:t>
            </w:r>
          </w:p>
        </w:tc>
        <w:tc>
          <w:tcPr>
            <w:tcW w:w="1131" w:type="dxa"/>
            <w:tcBorders>
              <w:tl2br w:val="nil"/>
              <w:tr2bl w:val="nil"/>
            </w:tcBorders>
            <w:vAlign w:val="center"/>
          </w:tcPr>
          <w:p>
            <w:pPr>
              <w:jc w:val="center"/>
              <w:rPr>
                <w:rFonts w:ascii="宋体" w:hAnsi="宋体" w:cs="宋体"/>
                <w:color w:val="auto"/>
                <w:szCs w:val="21"/>
                <w:highlight w:val="none"/>
                <w:u w:val="none"/>
              </w:rPr>
            </w:pPr>
            <w:r>
              <w:rPr>
                <w:rFonts w:hint="eastAsia" w:ascii="宋体" w:hAnsi="宋体" w:cs="宋体"/>
                <w:color w:val="auto"/>
                <w:kern w:val="0"/>
                <w:szCs w:val="21"/>
                <w:highlight w:val="none"/>
                <w:u w:val="none"/>
              </w:rPr>
              <w:t>高清电视机</w:t>
            </w:r>
          </w:p>
        </w:tc>
        <w:tc>
          <w:tcPr>
            <w:tcW w:w="7590" w:type="dxa"/>
            <w:tcBorders>
              <w:bottom w:val="single" w:color="auto" w:sz="4" w:space="0"/>
              <w:tl2br w:val="nil"/>
              <w:tr2bl w:val="nil"/>
            </w:tcBorders>
            <w:vAlign w:val="center"/>
          </w:tcPr>
          <w:p>
            <w:pPr>
              <w:widowControl/>
              <w:jc w:val="left"/>
              <w:textAlignment w:val="center"/>
              <w:rPr>
                <w:rFonts w:ascii="宋体" w:hAnsi="宋体" w:cs="宋体"/>
                <w:color w:val="auto"/>
                <w:szCs w:val="21"/>
                <w:highlight w:val="none"/>
                <w:u w:val="none"/>
              </w:rPr>
            </w:pPr>
            <w:r>
              <w:rPr>
                <w:rFonts w:hint="eastAsia" w:ascii="宋体" w:hAnsi="宋体" w:cs="宋体"/>
                <w:color w:val="auto"/>
                <w:kern w:val="0"/>
                <w:szCs w:val="21"/>
                <w:highlight w:val="none"/>
                <w:u w:val="none"/>
              </w:rPr>
              <w:t xml:space="preserve"> 55寸</w:t>
            </w:r>
            <w:r>
              <w:rPr>
                <w:rStyle w:val="48"/>
                <w:rFonts w:hint="eastAsia" w:ascii="宋体" w:hAnsi="宋体" w:cs="宋体"/>
                <w:color w:val="auto"/>
                <w:sz w:val="21"/>
                <w:szCs w:val="21"/>
                <w:highlight w:val="none"/>
                <w:u w:val="none"/>
              </w:rPr>
              <w:t>4K</w:t>
            </w:r>
            <w:r>
              <w:rPr>
                <w:rStyle w:val="49"/>
                <w:rFonts w:hint="default"/>
                <w:color w:val="auto"/>
                <w:sz w:val="21"/>
                <w:szCs w:val="21"/>
                <w:highlight w:val="none"/>
                <w:u w:val="none"/>
              </w:rPr>
              <w:t>显示屏，具有</w:t>
            </w:r>
            <w:r>
              <w:rPr>
                <w:rStyle w:val="48"/>
                <w:rFonts w:hint="eastAsia" w:ascii="宋体" w:hAnsi="宋体" w:cs="宋体"/>
                <w:color w:val="auto"/>
                <w:sz w:val="21"/>
                <w:szCs w:val="21"/>
                <w:highlight w:val="none"/>
                <w:u w:val="none"/>
              </w:rPr>
              <w:t>2</w:t>
            </w:r>
            <w:r>
              <w:rPr>
                <w:rStyle w:val="49"/>
                <w:rFonts w:hint="default"/>
                <w:color w:val="auto"/>
                <w:sz w:val="21"/>
                <w:szCs w:val="21"/>
                <w:highlight w:val="none"/>
                <w:u w:val="none"/>
              </w:rPr>
              <w:t>个</w:t>
            </w:r>
            <w:r>
              <w:rPr>
                <w:rStyle w:val="48"/>
                <w:rFonts w:hint="eastAsia" w:ascii="宋体" w:hAnsi="宋体" w:cs="宋体"/>
                <w:color w:val="auto"/>
                <w:sz w:val="21"/>
                <w:szCs w:val="21"/>
                <w:highlight w:val="none"/>
                <w:u w:val="none"/>
              </w:rPr>
              <w:t>HDMI</w:t>
            </w:r>
            <w:r>
              <w:rPr>
                <w:rStyle w:val="49"/>
                <w:rFonts w:hint="default"/>
                <w:color w:val="auto"/>
                <w:sz w:val="21"/>
                <w:szCs w:val="21"/>
                <w:highlight w:val="none"/>
                <w:u w:val="none"/>
              </w:rPr>
              <w:t>输入接口</w:t>
            </w:r>
            <w:r>
              <w:rPr>
                <w:rStyle w:val="48"/>
                <w:rFonts w:hint="eastAsia" w:ascii="宋体" w:hAnsi="宋体" w:cs="宋体"/>
                <w:color w:val="auto"/>
                <w:sz w:val="21"/>
                <w:szCs w:val="21"/>
                <w:highlight w:val="none"/>
                <w:u w:val="none"/>
              </w:rPr>
              <w:t>.</w:t>
            </w:r>
          </w:p>
        </w:tc>
        <w:tc>
          <w:tcPr>
            <w:tcW w:w="387" w:type="dxa"/>
            <w:tcBorders>
              <w:tl2br w:val="nil"/>
              <w:tr2bl w:val="nil"/>
            </w:tcBorders>
            <w:vAlign w:val="center"/>
          </w:tcPr>
          <w:p>
            <w:pPr>
              <w:spacing w:line="480" w:lineRule="exact"/>
              <w:ind w:firstLine="210" w:firstLineChars="100"/>
              <w:rPr>
                <w:rFonts w:ascii="宋体" w:hAnsi="宋体" w:cs="宋体"/>
                <w:bCs/>
                <w:color w:val="auto"/>
                <w:szCs w:val="21"/>
                <w:highlight w:val="none"/>
                <w:u w:val="none"/>
              </w:rPr>
            </w:pPr>
            <w:r>
              <w:rPr>
                <w:rFonts w:hint="eastAsia" w:ascii="宋体" w:hAnsi="宋体" w:cs="宋体"/>
                <w:bCs/>
                <w:color w:val="auto"/>
                <w:szCs w:val="21"/>
                <w:highlight w:val="none"/>
                <w:u w:val="none"/>
              </w:rPr>
              <w:t>2</w:t>
            </w:r>
          </w:p>
        </w:tc>
        <w:tc>
          <w:tcPr>
            <w:tcW w:w="555" w:type="dxa"/>
            <w:tcBorders>
              <w:tl2br w:val="nil"/>
              <w:tr2bl w:val="nil"/>
            </w:tcBorders>
            <w:vAlign w:val="center"/>
          </w:tcPr>
          <w:p>
            <w:pPr>
              <w:spacing w:line="480" w:lineRule="exact"/>
              <w:ind w:firstLine="210" w:firstLineChars="100"/>
              <w:rPr>
                <w:rFonts w:ascii="宋体" w:hAnsi="宋体" w:cs="宋体"/>
                <w:bCs/>
                <w:color w:val="auto"/>
                <w:szCs w:val="21"/>
                <w:highlight w:val="none"/>
                <w:u w:val="none"/>
              </w:rPr>
            </w:pPr>
            <w:r>
              <w:rPr>
                <w:rFonts w:hint="eastAsia" w:ascii="宋体" w:hAnsi="宋体" w:cs="宋体"/>
                <w:bCs/>
                <w:color w:val="auto"/>
                <w:szCs w:val="21"/>
                <w:highlight w:val="none"/>
                <w:u w:val="none"/>
              </w:rPr>
              <w:t>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b/>
                <w:color w:val="auto"/>
                <w:kern w:val="0"/>
                <w:szCs w:val="21"/>
                <w:highlight w:val="none"/>
                <w:u w:val="none"/>
              </w:rPr>
            </w:pPr>
            <w:r>
              <w:rPr>
                <w:rFonts w:hint="eastAsia" w:ascii="宋体" w:hAnsi="宋体" w:cs="宋体"/>
                <w:b/>
                <w:color w:val="auto"/>
                <w:kern w:val="0"/>
                <w:szCs w:val="21"/>
                <w:highlight w:val="none"/>
                <w:u w:val="none"/>
              </w:rPr>
              <w:t>4</w:t>
            </w:r>
          </w:p>
        </w:tc>
        <w:tc>
          <w:tcPr>
            <w:tcW w:w="1131" w:type="dxa"/>
            <w:tcBorders>
              <w:tl2br w:val="nil"/>
              <w:tr2bl w:val="nil"/>
            </w:tcBorders>
            <w:vAlign w:val="center"/>
          </w:tcPr>
          <w:p>
            <w:pPr>
              <w:jc w:val="center"/>
              <w:rPr>
                <w:rFonts w:ascii="宋体" w:hAnsi="宋体" w:cs="宋体"/>
                <w:color w:val="auto"/>
                <w:szCs w:val="21"/>
                <w:highlight w:val="none"/>
                <w:u w:val="none"/>
              </w:rPr>
            </w:pPr>
            <w:r>
              <w:rPr>
                <w:rFonts w:hint="eastAsia" w:ascii="宋体" w:hAnsi="宋体" w:cs="宋体"/>
                <w:color w:val="auto"/>
                <w:kern w:val="0"/>
                <w:szCs w:val="21"/>
                <w:highlight w:val="none"/>
                <w:u w:val="none"/>
              </w:rPr>
              <w:t>移动推车</w:t>
            </w:r>
          </w:p>
        </w:tc>
        <w:tc>
          <w:tcPr>
            <w:tcW w:w="7590" w:type="dxa"/>
            <w:tcBorders>
              <w:bottom w:val="single" w:color="auto" w:sz="4" w:space="0"/>
              <w:tl2br w:val="nil"/>
              <w:tr2bl w:val="nil"/>
            </w:tcBorders>
            <w:vAlign w:val="center"/>
          </w:tcPr>
          <w:p>
            <w:pPr>
              <w:widowControl/>
              <w:ind w:firstLine="210" w:firstLineChars="100"/>
              <w:jc w:val="left"/>
              <w:textAlignment w:val="center"/>
              <w:rPr>
                <w:rFonts w:ascii="宋体" w:hAnsi="宋体" w:cs="宋体"/>
                <w:color w:val="auto"/>
                <w:szCs w:val="21"/>
                <w:highlight w:val="none"/>
                <w:u w:val="none"/>
              </w:rPr>
            </w:pPr>
            <w:r>
              <w:rPr>
                <w:rFonts w:hint="eastAsia" w:ascii="宋体" w:hAnsi="宋体" w:cs="宋体"/>
                <w:color w:val="auto"/>
                <w:kern w:val="0"/>
                <w:szCs w:val="21"/>
                <w:highlight w:val="none"/>
                <w:u w:val="none"/>
              </w:rPr>
              <w:t>支持两屏安装55-86寸电视机支架、铝钢结构、美观大方。</w:t>
            </w:r>
          </w:p>
        </w:tc>
        <w:tc>
          <w:tcPr>
            <w:tcW w:w="387" w:type="dxa"/>
            <w:tcBorders>
              <w:tl2br w:val="nil"/>
              <w:tr2bl w:val="nil"/>
            </w:tcBorders>
            <w:vAlign w:val="center"/>
          </w:tcPr>
          <w:p>
            <w:pPr>
              <w:spacing w:line="480" w:lineRule="exact"/>
              <w:ind w:firstLine="210" w:firstLineChars="100"/>
              <w:rPr>
                <w:rFonts w:ascii="宋体" w:hAnsi="宋体" w:cs="宋体"/>
                <w:bCs/>
                <w:color w:val="auto"/>
                <w:szCs w:val="21"/>
                <w:highlight w:val="none"/>
                <w:u w:val="none"/>
              </w:rPr>
            </w:pPr>
            <w:r>
              <w:rPr>
                <w:rFonts w:hint="eastAsia" w:ascii="宋体" w:hAnsi="宋体" w:cs="宋体"/>
                <w:bCs/>
                <w:color w:val="auto"/>
                <w:szCs w:val="21"/>
                <w:highlight w:val="none"/>
                <w:u w:val="none"/>
              </w:rPr>
              <w:t>2</w:t>
            </w:r>
          </w:p>
        </w:tc>
        <w:tc>
          <w:tcPr>
            <w:tcW w:w="555" w:type="dxa"/>
            <w:tcBorders>
              <w:tl2br w:val="nil"/>
              <w:tr2bl w:val="nil"/>
            </w:tcBorders>
            <w:vAlign w:val="center"/>
          </w:tcPr>
          <w:p>
            <w:pPr>
              <w:spacing w:line="480" w:lineRule="exact"/>
              <w:ind w:firstLine="210" w:firstLineChars="100"/>
              <w:rPr>
                <w:rFonts w:ascii="宋体" w:hAnsi="宋体" w:cs="宋体"/>
                <w:bCs/>
                <w:color w:val="auto"/>
                <w:szCs w:val="21"/>
                <w:highlight w:val="none"/>
                <w:u w:val="none"/>
              </w:rPr>
            </w:pPr>
            <w:r>
              <w:rPr>
                <w:rFonts w:hint="eastAsia" w:ascii="宋体" w:hAnsi="宋体" w:cs="宋体"/>
                <w:bCs/>
                <w:color w:val="auto"/>
                <w:szCs w:val="21"/>
                <w:highlight w:val="none"/>
                <w:u w:val="none"/>
              </w:rPr>
              <w:t>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b/>
                <w:color w:val="auto"/>
                <w:kern w:val="0"/>
                <w:szCs w:val="21"/>
                <w:highlight w:val="none"/>
                <w:u w:val="none"/>
              </w:rPr>
            </w:pPr>
            <w:r>
              <w:rPr>
                <w:rFonts w:hint="eastAsia" w:ascii="宋体" w:hAnsi="宋体" w:cs="宋体"/>
                <w:b/>
                <w:color w:val="auto"/>
                <w:kern w:val="0"/>
                <w:szCs w:val="21"/>
                <w:highlight w:val="none"/>
                <w:u w:val="none"/>
              </w:rPr>
              <w:t>5</w:t>
            </w:r>
          </w:p>
        </w:tc>
        <w:tc>
          <w:tcPr>
            <w:tcW w:w="1131" w:type="dxa"/>
            <w:tcBorders>
              <w:tl2br w:val="nil"/>
              <w:tr2bl w:val="nil"/>
            </w:tcBorders>
            <w:vAlign w:val="center"/>
          </w:tcPr>
          <w:p>
            <w:pPr>
              <w:jc w:val="center"/>
              <w:rPr>
                <w:rFonts w:ascii="宋体" w:hAnsi="宋体" w:cs="宋体"/>
                <w:color w:val="auto"/>
                <w:szCs w:val="21"/>
                <w:highlight w:val="none"/>
                <w:u w:val="none"/>
              </w:rPr>
            </w:pPr>
            <w:r>
              <w:rPr>
                <w:rFonts w:hint="eastAsia" w:ascii="宋体" w:hAnsi="宋体" w:cs="宋体"/>
                <w:color w:val="auto"/>
                <w:kern w:val="0"/>
                <w:szCs w:val="21"/>
                <w:highlight w:val="none"/>
                <w:u w:val="none"/>
              </w:rPr>
              <w:t>A4彩色打印/复印/扫描一体机</w:t>
            </w:r>
          </w:p>
        </w:tc>
        <w:tc>
          <w:tcPr>
            <w:tcW w:w="7590" w:type="dxa"/>
            <w:tcBorders>
              <w:bottom w:val="single" w:color="auto" w:sz="4" w:space="0"/>
              <w:tl2br w:val="nil"/>
              <w:tr2bl w:val="nil"/>
            </w:tcBorders>
            <w:vAlign w:val="center"/>
          </w:tcPr>
          <w:p>
            <w:pPr>
              <w:widowControl/>
              <w:ind w:left="178" w:leftChars="85"/>
              <w:jc w:val="left"/>
              <w:textAlignment w:val="center"/>
              <w:rPr>
                <w:rFonts w:ascii="宋体" w:hAnsi="宋体" w:cs="宋体"/>
                <w:color w:val="auto"/>
                <w:szCs w:val="21"/>
                <w:highlight w:val="none"/>
                <w:u w:val="none"/>
              </w:rPr>
            </w:pPr>
            <w:r>
              <w:rPr>
                <w:rFonts w:hint="eastAsia" w:ascii="宋体" w:hAnsi="宋体" w:cs="宋体"/>
                <w:color w:val="auto"/>
                <w:kern w:val="0"/>
                <w:szCs w:val="21"/>
                <w:highlight w:val="none"/>
                <w:u w:val="none"/>
              </w:rPr>
              <w:t>打印速度：黑白16PPM，彩色16PPM；</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打印分辨率：600dpi；内存：256 MB DDR，128 MB闪存；处理器：800MHz；进纸器容量：150页进纸盒，100页出纸盒；打印负荷：30000页/月；接口：高速 USB 2.0 端口; 1 个快速以太网 10/100Base-TX 端口；复印速度：黑白16PPM，彩色16PPM；复印分辨率：600dpi；扫描分辨率：1200dpi；自动开机关机；平板扫描。纸张处理：150页进纸盒；100页出纸盒保修：一年送修</w:t>
            </w:r>
          </w:p>
        </w:tc>
        <w:tc>
          <w:tcPr>
            <w:tcW w:w="387" w:type="dxa"/>
            <w:tcBorders>
              <w:tl2br w:val="nil"/>
              <w:tr2bl w:val="nil"/>
            </w:tcBorders>
            <w:vAlign w:val="center"/>
          </w:tcPr>
          <w:p>
            <w:pPr>
              <w:spacing w:line="480" w:lineRule="exact"/>
              <w:ind w:firstLine="210" w:firstLineChars="100"/>
              <w:rPr>
                <w:rFonts w:ascii="宋体" w:hAnsi="宋体" w:cs="宋体"/>
                <w:bCs/>
                <w:color w:val="auto"/>
                <w:szCs w:val="21"/>
                <w:highlight w:val="none"/>
                <w:u w:val="none"/>
              </w:rPr>
            </w:pPr>
            <w:r>
              <w:rPr>
                <w:rFonts w:hint="eastAsia" w:ascii="宋体" w:hAnsi="宋体" w:cs="宋体"/>
                <w:bCs/>
                <w:color w:val="auto"/>
                <w:szCs w:val="21"/>
                <w:highlight w:val="none"/>
                <w:u w:val="none"/>
              </w:rPr>
              <w:t>1</w:t>
            </w:r>
          </w:p>
        </w:tc>
        <w:tc>
          <w:tcPr>
            <w:tcW w:w="555" w:type="dxa"/>
            <w:tcBorders>
              <w:tl2br w:val="nil"/>
              <w:tr2bl w:val="nil"/>
            </w:tcBorders>
            <w:vAlign w:val="center"/>
          </w:tcPr>
          <w:p>
            <w:pPr>
              <w:spacing w:line="480" w:lineRule="exact"/>
              <w:ind w:firstLine="210" w:firstLineChars="100"/>
              <w:rPr>
                <w:rFonts w:ascii="宋体" w:hAnsi="宋体" w:cs="宋体"/>
                <w:bCs/>
                <w:color w:val="auto"/>
                <w:szCs w:val="21"/>
                <w:highlight w:val="none"/>
                <w:u w:val="none"/>
              </w:rPr>
            </w:pPr>
            <w:r>
              <w:rPr>
                <w:rFonts w:hint="eastAsia" w:ascii="宋体" w:hAnsi="宋体" w:cs="宋体"/>
                <w:bCs/>
                <w:color w:val="auto"/>
                <w:szCs w:val="21"/>
                <w:highlight w:val="none"/>
                <w:u w:val="none"/>
              </w:rPr>
              <w:t>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b/>
                <w:color w:val="auto"/>
                <w:kern w:val="0"/>
                <w:szCs w:val="21"/>
                <w:highlight w:val="none"/>
                <w:u w:val="none"/>
              </w:rPr>
            </w:pPr>
            <w:r>
              <w:rPr>
                <w:rFonts w:hint="eastAsia" w:ascii="宋体" w:hAnsi="宋体" w:cs="宋体"/>
                <w:b/>
                <w:color w:val="auto"/>
                <w:kern w:val="0"/>
                <w:szCs w:val="21"/>
                <w:highlight w:val="none"/>
                <w:u w:val="none"/>
              </w:rPr>
              <w:t>6</w:t>
            </w:r>
          </w:p>
        </w:tc>
        <w:tc>
          <w:tcPr>
            <w:tcW w:w="1131" w:type="dxa"/>
            <w:tcBorders>
              <w:tl2br w:val="nil"/>
              <w:tr2bl w:val="nil"/>
            </w:tcBorders>
            <w:vAlign w:val="center"/>
          </w:tcPr>
          <w:p>
            <w:pPr>
              <w:jc w:val="center"/>
              <w:rPr>
                <w:rFonts w:ascii="宋体" w:hAnsi="宋体" w:cs="宋体"/>
                <w:color w:val="auto"/>
                <w:szCs w:val="21"/>
                <w:highlight w:val="none"/>
                <w:u w:val="none"/>
              </w:rPr>
            </w:pPr>
            <w:r>
              <w:rPr>
                <w:rFonts w:hint="eastAsia" w:ascii="宋体" w:hAnsi="宋体" w:cs="宋体"/>
                <w:color w:val="auto"/>
                <w:kern w:val="0"/>
                <w:szCs w:val="21"/>
                <w:highlight w:val="none"/>
                <w:u w:val="none"/>
              </w:rPr>
              <w:t>一体机（含高清采集卡）</w:t>
            </w:r>
          </w:p>
        </w:tc>
        <w:tc>
          <w:tcPr>
            <w:tcW w:w="7590" w:type="dxa"/>
            <w:tcBorders>
              <w:bottom w:val="single" w:color="auto" w:sz="4" w:space="0"/>
              <w:tl2br w:val="nil"/>
              <w:tr2bl w:val="nil"/>
            </w:tcBorders>
            <w:vAlign w:val="center"/>
          </w:tcPr>
          <w:p>
            <w:pPr>
              <w:widowControl/>
              <w:ind w:firstLine="210" w:firstLineChars="100"/>
              <w:jc w:val="left"/>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CPU：i5处理器 2.7GHz双核心</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 xml:space="preserve"> 主板: Intel H81 chipset</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 xml:space="preserve"> 内存：4GB 金士顿 DDR-3; 1600MHz</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 xml:space="preserve"> 高分辨率VGA/DVI/HDMI图像采集卡，可采集高分辨的VGA/DVI/HDMI视频信号，</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 xml:space="preserve"> 高清输入格式：1920X1080P 60/50FPS      1920X1080P 30/25FPS，1920X1080I  60/50FPS       </w:t>
            </w:r>
          </w:p>
          <w:p>
            <w:pPr>
              <w:widowControl/>
              <w:ind w:firstLine="210" w:firstLineChars="100"/>
              <w:jc w:val="left"/>
              <w:textAlignment w:val="center"/>
              <w:rPr>
                <w:rFonts w:ascii="宋体" w:hAnsi="宋体" w:cs="宋体"/>
                <w:color w:val="auto"/>
                <w:szCs w:val="21"/>
                <w:highlight w:val="none"/>
                <w:u w:val="none"/>
              </w:rPr>
            </w:pPr>
            <w:r>
              <w:rPr>
                <w:rFonts w:hint="eastAsia" w:ascii="宋体" w:hAnsi="宋体" w:cs="宋体"/>
                <w:color w:val="auto"/>
                <w:kern w:val="0"/>
                <w:szCs w:val="21"/>
                <w:highlight w:val="none"/>
                <w:u w:val="none"/>
              </w:rPr>
              <w:t>1280X720P  60/50FPS</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DVI输入格式： 符合DVI 1.0标准，单连接</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VGA输入格式： 640X400-1920X1080</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输出图像格式： 大小：160X120-1920X1080</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Ø 采集信号：DVI / VGA / HDMI/ YPbPr等信号,输入路数：一路DVI/VGA</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Ø 输入接口：DVI-I接口</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Ø 板卡类型：PCI-E×4。</w:t>
            </w:r>
          </w:p>
        </w:tc>
        <w:tc>
          <w:tcPr>
            <w:tcW w:w="387" w:type="dxa"/>
            <w:tcBorders>
              <w:tl2br w:val="nil"/>
              <w:tr2bl w:val="nil"/>
            </w:tcBorders>
            <w:vAlign w:val="center"/>
          </w:tcPr>
          <w:p>
            <w:pPr>
              <w:spacing w:line="480" w:lineRule="exact"/>
              <w:ind w:firstLine="210" w:firstLineChars="100"/>
              <w:rPr>
                <w:rFonts w:ascii="宋体" w:hAnsi="宋体" w:cs="宋体"/>
                <w:bCs/>
                <w:color w:val="auto"/>
                <w:szCs w:val="21"/>
                <w:highlight w:val="none"/>
                <w:u w:val="none"/>
              </w:rPr>
            </w:pPr>
            <w:r>
              <w:rPr>
                <w:rFonts w:hint="eastAsia" w:ascii="宋体" w:hAnsi="宋体" w:cs="宋体"/>
                <w:bCs/>
                <w:color w:val="auto"/>
                <w:szCs w:val="21"/>
                <w:highlight w:val="none"/>
                <w:u w:val="none"/>
              </w:rPr>
              <w:t>1</w:t>
            </w:r>
          </w:p>
        </w:tc>
        <w:tc>
          <w:tcPr>
            <w:tcW w:w="555" w:type="dxa"/>
            <w:tcBorders>
              <w:tl2br w:val="nil"/>
              <w:tr2bl w:val="nil"/>
            </w:tcBorders>
            <w:vAlign w:val="center"/>
          </w:tcPr>
          <w:p>
            <w:pPr>
              <w:spacing w:line="480" w:lineRule="exact"/>
              <w:ind w:firstLine="210" w:firstLineChars="100"/>
              <w:rPr>
                <w:rFonts w:ascii="宋体" w:hAnsi="宋体" w:cs="宋体"/>
                <w:bCs/>
                <w:color w:val="auto"/>
                <w:szCs w:val="21"/>
                <w:highlight w:val="none"/>
                <w:u w:val="none"/>
              </w:rPr>
            </w:pPr>
            <w:r>
              <w:rPr>
                <w:rFonts w:hint="eastAsia" w:ascii="宋体" w:hAnsi="宋体" w:cs="宋体"/>
                <w:bCs/>
                <w:color w:val="auto"/>
                <w:szCs w:val="21"/>
                <w:highlight w:val="none"/>
                <w:u w:val="none"/>
              </w:rPr>
              <w:t>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b/>
                <w:color w:val="auto"/>
                <w:kern w:val="0"/>
                <w:szCs w:val="21"/>
                <w:highlight w:val="none"/>
                <w:u w:val="none"/>
              </w:rPr>
            </w:pPr>
            <w:r>
              <w:rPr>
                <w:rFonts w:hint="eastAsia" w:ascii="宋体" w:hAnsi="宋体" w:cs="宋体"/>
                <w:b/>
                <w:color w:val="auto"/>
                <w:kern w:val="0"/>
                <w:szCs w:val="21"/>
                <w:highlight w:val="none"/>
                <w:u w:val="none"/>
              </w:rPr>
              <w:t>7</w:t>
            </w:r>
          </w:p>
        </w:tc>
        <w:tc>
          <w:tcPr>
            <w:tcW w:w="1131" w:type="dxa"/>
            <w:tcBorders>
              <w:tl2br w:val="nil"/>
              <w:tr2bl w:val="nil"/>
            </w:tcBorders>
            <w:vAlign w:val="center"/>
          </w:tcPr>
          <w:p>
            <w:pPr>
              <w:jc w:val="center"/>
              <w:rPr>
                <w:rFonts w:ascii="宋体" w:hAnsi="宋体" w:cs="宋体"/>
                <w:color w:val="auto"/>
                <w:szCs w:val="21"/>
                <w:highlight w:val="none"/>
                <w:u w:val="none"/>
              </w:rPr>
            </w:pPr>
            <w:r>
              <w:rPr>
                <w:rFonts w:hint="eastAsia" w:ascii="宋体" w:hAnsi="宋体" w:cs="宋体"/>
                <w:color w:val="auto"/>
                <w:kern w:val="0"/>
                <w:szCs w:val="21"/>
                <w:highlight w:val="none"/>
                <w:u w:val="none"/>
              </w:rPr>
              <w:t>桌面USB摄像头</w:t>
            </w:r>
          </w:p>
        </w:tc>
        <w:tc>
          <w:tcPr>
            <w:tcW w:w="7590" w:type="dxa"/>
            <w:tcBorders>
              <w:bottom w:val="single" w:color="auto" w:sz="4" w:space="0"/>
              <w:tl2br w:val="nil"/>
              <w:tr2bl w:val="nil"/>
            </w:tcBorders>
            <w:vAlign w:val="center"/>
          </w:tcPr>
          <w:p>
            <w:pPr>
              <w:widowControl/>
              <w:ind w:firstLine="210" w:firstLineChars="100"/>
              <w:jc w:val="left"/>
              <w:textAlignment w:val="center"/>
              <w:rPr>
                <w:rFonts w:ascii="宋体" w:hAnsi="宋体" w:cs="宋体"/>
                <w:color w:val="auto"/>
                <w:szCs w:val="21"/>
                <w:highlight w:val="none"/>
                <w:u w:val="none"/>
              </w:rPr>
            </w:pPr>
            <w:r>
              <w:rPr>
                <w:rFonts w:hint="eastAsia" w:ascii="宋体" w:hAnsi="宋体" w:cs="宋体"/>
                <w:color w:val="auto"/>
                <w:kern w:val="0"/>
                <w:szCs w:val="21"/>
                <w:highlight w:val="none"/>
                <w:u w:val="none"/>
              </w:rPr>
              <w:t>高清会议摄像头，支持1080p 30帧，4倍数码变焦，90度广角，USB接口</w:t>
            </w:r>
          </w:p>
        </w:tc>
        <w:tc>
          <w:tcPr>
            <w:tcW w:w="387" w:type="dxa"/>
            <w:tcBorders>
              <w:tl2br w:val="nil"/>
              <w:tr2bl w:val="nil"/>
            </w:tcBorders>
            <w:vAlign w:val="center"/>
          </w:tcPr>
          <w:p>
            <w:pPr>
              <w:spacing w:line="480" w:lineRule="exact"/>
              <w:ind w:firstLine="210" w:firstLineChars="100"/>
              <w:rPr>
                <w:rFonts w:ascii="宋体" w:hAnsi="宋体" w:cs="宋体"/>
                <w:bCs/>
                <w:color w:val="auto"/>
                <w:szCs w:val="21"/>
                <w:highlight w:val="none"/>
                <w:u w:val="none"/>
              </w:rPr>
            </w:pPr>
            <w:r>
              <w:rPr>
                <w:rFonts w:hint="eastAsia" w:ascii="宋体" w:hAnsi="宋体" w:cs="宋体"/>
                <w:bCs/>
                <w:color w:val="auto"/>
                <w:szCs w:val="21"/>
                <w:highlight w:val="none"/>
                <w:u w:val="none"/>
              </w:rPr>
              <w:t>1</w:t>
            </w:r>
          </w:p>
        </w:tc>
        <w:tc>
          <w:tcPr>
            <w:tcW w:w="555" w:type="dxa"/>
            <w:tcBorders>
              <w:tl2br w:val="nil"/>
              <w:tr2bl w:val="nil"/>
            </w:tcBorders>
            <w:vAlign w:val="center"/>
          </w:tcPr>
          <w:p>
            <w:pPr>
              <w:spacing w:line="480" w:lineRule="exact"/>
              <w:ind w:firstLine="210" w:firstLineChars="100"/>
              <w:rPr>
                <w:rFonts w:ascii="宋体" w:hAnsi="宋体" w:cs="宋体"/>
                <w:bCs/>
                <w:color w:val="auto"/>
                <w:szCs w:val="21"/>
                <w:highlight w:val="none"/>
                <w:u w:val="none"/>
              </w:rPr>
            </w:pPr>
            <w:r>
              <w:rPr>
                <w:rFonts w:hint="eastAsia" w:ascii="宋体" w:hAnsi="宋体" w:cs="宋体"/>
                <w:bCs/>
                <w:color w:val="auto"/>
                <w:szCs w:val="21"/>
                <w:highlight w:val="none"/>
                <w:u w:val="none"/>
              </w:rPr>
              <w:t>个</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b/>
                <w:color w:val="auto"/>
                <w:kern w:val="0"/>
                <w:szCs w:val="21"/>
                <w:highlight w:val="none"/>
                <w:u w:val="none"/>
              </w:rPr>
            </w:pPr>
            <w:r>
              <w:rPr>
                <w:rFonts w:hint="eastAsia" w:ascii="宋体" w:hAnsi="宋体" w:cs="宋体"/>
                <w:b/>
                <w:color w:val="auto"/>
                <w:kern w:val="0"/>
                <w:szCs w:val="21"/>
                <w:highlight w:val="none"/>
                <w:u w:val="none"/>
              </w:rPr>
              <w:t>8</w:t>
            </w:r>
          </w:p>
        </w:tc>
        <w:tc>
          <w:tcPr>
            <w:tcW w:w="1131" w:type="dxa"/>
            <w:tcBorders>
              <w:tl2br w:val="nil"/>
              <w:tr2bl w:val="nil"/>
            </w:tcBorders>
            <w:vAlign w:val="center"/>
          </w:tcPr>
          <w:p>
            <w:pPr>
              <w:jc w:val="center"/>
              <w:rPr>
                <w:rFonts w:ascii="宋体" w:hAnsi="宋体" w:cs="宋体"/>
                <w:color w:val="auto"/>
                <w:szCs w:val="21"/>
                <w:highlight w:val="none"/>
                <w:u w:val="none"/>
              </w:rPr>
            </w:pPr>
            <w:r>
              <w:rPr>
                <w:rFonts w:hint="eastAsia" w:ascii="宋体" w:hAnsi="宋体" w:cs="宋体"/>
                <w:color w:val="auto"/>
                <w:kern w:val="0"/>
                <w:szCs w:val="21"/>
                <w:highlight w:val="none"/>
                <w:u w:val="none"/>
              </w:rPr>
              <w:t>桌面USB拾音扩声器</w:t>
            </w:r>
          </w:p>
        </w:tc>
        <w:tc>
          <w:tcPr>
            <w:tcW w:w="7590" w:type="dxa"/>
            <w:tcBorders>
              <w:bottom w:val="single" w:color="auto" w:sz="4" w:space="0"/>
              <w:tl2br w:val="nil"/>
              <w:tr2bl w:val="nil"/>
            </w:tcBorders>
            <w:vAlign w:val="center"/>
          </w:tcPr>
          <w:p>
            <w:pPr>
              <w:widowControl/>
              <w:ind w:firstLine="210" w:firstLineChars="100"/>
              <w:jc w:val="left"/>
              <w:textAlignment w:val="center"/>
              <w:rPr>
                <w:rFonts w:ascii="宋体" w:hAnsi="宋体" w:cs="宋体"/>
                <w:color w:val="auto"/>
                <w:szCs w:val="21"/>
                <w:highlight w:val="none"/>
                <w:u w:val="none"/>
              </w:rPr>
            </w:pPr>
            <w:r>
              <w:rPr>
                <w:rFonts w:hint="eastAsia" w:ascii="宋体" w:hAnsi="宋体" w:cs="宋体"/>
                <w:color w:val="auto"/>
                <w:kern w:val="0"/>
                <w:szCs w:val="21"/>
                <w:highlight w:val="none"/>
                <w:u w:val="none"/>
              </w:rPr>
              <w:t>全向拾音器和扩声器一体机，USB免驱动，拾音半径1.5米</w:t>
            </w:r>
          </w:p>
        </w:tc>
        <w:tc>
          <w:tcPr>
            <w:tcW w:w="387" w:type="dxa"/>
            <w:tcBorders>
              <w:tl2br w:val="nil"/>
              <w:tr2bl w:val="nil"/>
            </w:tcBorders>
            <w:vAlign w:val="center"/>
          </w:tcPr>
          <w:p>
            <w:pPr>
              <w:spacing w:line="480" w:lineRule="exact"/>
              <w:ind w:firstLine="210" w:firstLineChars="100"/>
              <w:rPr>
                <w:rFonts w:ascii="宋体" w:hAnsi="宋体" w:cs="宋体"/>
                <w:bCs/>
                <w:color w:val="auto"/>
                <w:szCs w:val="21"/>
                <w:highlight w:val="none"/>
                <w:u w:val="none"/>
              </w:rPr>
            </w:pPr>
            <w:r>
              <w:rPr>
                <w:rFonts w:hint="eastAsia" w:ascii="宋体" w:hAnsi="宋体" w:cs="宋体"/>
                <w:bCs/>
                <w:color w:val="auto"/>
                <w:szCs w:val="21"/>
                <w:highlight w:val="none"/>
                <w:u w:val="none"/>
              </w:rPr>
              <w:t>1</w:t>
            </w:r>
          </w:p>
        </w:tc>
        <w:tc>
          <w:tcPr>
            <w:tcW w:w="555" w:type="dxa"/>
            <w:tcBorders>
              <w:tl2br w:val="nil"/>
              <w:tr2bl w:val="nil"/>
            </w:tcBorders>
            <w:vAlign w:val="center"/>
          </w:tcPr>
          <w:p>
            <w:pPr>
              <w:spacing w:line="480" w:lineRule="exact"/>
              <w:ind w:firstLine="210" w:firstLineChars="100"/>
              <w:rPr>
                <w:rFonts w:ascii="宋体" w:hAnsi="宋体" w:cs="宋体"/>
                <w:bCs/>
                <w:color w:val="auto"/>
                <w:szCs w:val="21"/>
                <w:highlight w:val="none"/>
                <w:u w:val="none"/>
              </w:rPr>
            </w:pPr>
            <w:r>
              <w:rPr>
                <w:rFonts w:hint="eastAsia" w:ascii="宋体" w:hAnsi="宋体" w:cs="宋体"/>
                <w:bCs/>
                <w:color w:val="auto"/>
                <w:szCs w:val="21"/>
                <w:highlight w:val="none"/>
                <w:u w:val="none"/>
              </w:rPr>
              <w:t>个</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b/>
                <w:color w:val="auto"/>
                <w:kern w:val="0"/>
                <w:szCs w:val="21"/>
                <w:highlight w:val="none"/>
                <w:u w:val="none"/>
              </w:rPr>
            </w:pPr>
            <w:r>
              <w:rPr>
                <w:rFonts w:hint="eastAsia" w:ascii="宋体" w:hAnsi="宋体" w:cs="宋体"/>
                <w:b/>
                <w:color w:val="auto"/>
                <w:kern w:val="0"/>
                <w:szCs w:val="21"/>
                <w:highlight w:val="none"/>
                <w:u w:val="none"/>
              </w:rPr>
              <w:t>9</w:t>
            </w:r>
          </w:p>
        </w:tc>
        <w:tc>
          <w:tcPr>
            <w:tcW w:w="1131" w:type="dxa"/>
            <w:tcBorders>
              <w:tl2br w:val="nil"/>
              <w:tr2bl w:val="nil"/>
            </w:tcBorders>
            <w:vAlign w:val="center"/>
          </w:tcPr>
          <w:p>
            <w:pPr>
              <w:jc w:val="center"/>
              <w:rPr>
                <w:rFonts w:ascii="宋体" w:hAnsi="宋体" w:cs="宋体"/>
                <w:color w:val="auto"/>
                <w:szCs w:val="21"/>
                <w:highlight w:val="none"/>
                <w:u w:val="none"/>
              </w:rPr>
            </w:pPr>
            <w:r>
              <w:rPr>
                <w:rFonts w:hint="eastAsia" w:ascii="宋体" w:hAnsi="宋体" w:cs="宋体"/>
                <w:color w:val="auto"/>
                <w:kern w:val="0"/>
                <w:szCs w:val="21"/>
                <w:highlight w:val="none"/>
                <w:u w:val="none"/>
              </w:rPr>
              <w:t>地贫远程超声技术服务</w:t>
            </w:r>
          </w:p>
        </w:tc>
        <w:tc>
          <w:tcPr>
            <w:tcW w:w="7590" w:type="dxa"/>
            <w:tcBorders>
              <w:bottom w:val="single" w:color="auto" w:sz="4" w:space="0"/>
              <w:tl2br w:val="nil"/>
              <w:tr2bl w:val="nil"/>
            </w:tcBorders>
            <w:vAlign w:val="center"/>
          </w:tcPr>
          <w:p>
            <w:pPr>
              <w:widowControl/>
              <w:numPr>
                <w:ilvl w:val="0"/>
                <w:numId w:val="5"/>
              </w:numPr>
              <w:jc w:val="left"/>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★与用户现有彩超设备对接，并将超声设备影像传送至地贫远程诊断质量控制平台，并能完成</w:t>
            </w:r>
          </w:p>
          <w:p>
            <w:pPr>
              <w:widowControl/>
              <w:ind w:left="178" w:leftChars="85"/>
              <w:jc w:val="left"/>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图像采图、质控、打分等会诊要求，安装客户端并与区卫健委远程超声平台调试，实现互联互通，培训远程超声客户端操作流程。与自治区妇幼保健院实现对接联通。2、地贫远程超声会诊客户端</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（一）业务功能</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 xml:space="preserve">   会诊系统采用统一标准的数据格式，实现不同医疗机构、不同设备传输的数据可以通过平台进行分析、诊断、报告，采用数据安全加密传输数据，具备即时消息互动功能，根据远程诊疗流程，实现实时的远程超声诊断辅助设备数据采集和分析诊断。可选择实时音视频交互式会诊和离线会诊方式，具有普通会诊、点名会诊等应用场景功能，具有会诊申请、业务受理、会诊管理、会诊记录管理、会诊服务、会诊报告等功能。</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子系统具备质量控制功能，能够实现对上级医疗机构对下级医疗机构开展地贫超声检查的质量进行控制，对下级医院的工作进行评分；子系统提供关于地贫超声检查的标准，标准图谱、扫查方法等，供下级医院进行学习；</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1)会诊预约申请子系统须具有完整的会诊预约申请功能，预约基本信息和专家基本信息从主平台获取。申请医院能够新建会诊申请。新建会诊申请过程包括：患者信息获取、会诊申请信息获取、会诊信息确认、病历资料补录等步骤。对于尚未完成会诊的申请，可以进行修改。会诊申请信息填写的过程包括对拟邀请医院、病种、相关学科专家信息的查询与选择。</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（1）会诊预约申请支持普通会诊和点名会诊的会诊方式选择；</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（2）支持会诊医院、是否加急、专家职称的选择；患者信息获取，可以根据住院号、门诊号、姓名查询患者后选择采集患者在医院的历次诊疗数据；</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（3）支持会诊患者的资料以附件的方式上传；</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（4）会诊费用，支持在线收取会诊费用功能，支付方式支持微信支付，取消会诊时，会诊费用原路返回；</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2)会诊安排</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会诊申请提交后，专家医院进行专家安排、会诊时间安排等业务受理操作；会诊管理员根据会诊申请的情况安排会诊专家或拒绝会诊的申请；；退回的业务申请可进行资料补充和修改；业务申请提交后，系统可自动发送手机短信提醒相关人员受理相关业务。</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3)会诊管理</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（1）具有会诊流程管理功能，能够用流程的方式显示会诊的流程以及目前会诊的状态；</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（2）具有病历资料管理功能，可以下载查看上传的会诊资料；</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（3）具有会诊报告浏览功能；</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（4）具有会诊邀请功能，可以邀请第三方专家加入会诊；</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4)会诊报告</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具有会诊报告书写的功能，完成会诊报告的书写，具体如下：</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（1）会诊报告模板可以自定义设置；</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（2）具有报告知识库，少键盘录入工作量；</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（3）具有报告浏览及打印预览功能，如果报告已经打印，在报告上有“已打印”标识；</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（4）具有操作日志功能，书写报告、打印报告、修改报告、提交报告等操作的日志记录；</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（5）具有插入超声切面留图功能，把会诊过程中的切面图插入到报告中，形成图文报告；</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（6）具有超声检查参数录入功能，对检查参数的值给予正常和异常的提示，并且检查检查可以自动插入到报告中；</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（7）具有报告召回功能，专家医院可以召回会诊报告，完善修改后在提交；</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（8）会诊报告具有阳性和阴性的标识功能；</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5)超声设备动态影像采集与传输</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（1）支持通过多种接口方式从超声设备获取实时动态图像，包括但不仅限于HDMI、DVI、VGA、S-Video、DP接口等；</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（2）支持超声信号编码转换；</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（3）支持USB视频采集器；</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（4）超声信号传输与超声会诊视频会议设备对接，直接由视频会议设备采集超声视频信息，通过会议系统进行信号传输；</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（5）支持超声信号实时采集传输；</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（二）支持服务模块</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与主平台数据交换。</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1)通过数据交换接口与主平台对接。实现从主平台调用用户认证与权限信息、服务对象基本信息、</w:t>
            </w:r>
          </w:p>
          <w:p>
            <w:pPr>
              <w:widowControl/>
              <w:ind w:left="178" w:leftChars="85"/>
              <w:jc w:val="left"/>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医疗卫生人员和专家基本信息、医疗机构基本信息、远程医疗设备基本信息、短信服务信息等功能、服务。实现将子系统获取的如就诊时间、机构、医生、患者、疾病名称（国标版ICD-10）、诊断结果等结构化数据实时推送至主平台；如影像资料等非结构化数据提供数据接口供主平台随时调用。</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2)日志管理功能。</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3)子系统实时生成业务系统工作日志，并向主平台推送统一存储管理。</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4)短信接收发送功能。</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5)实现对远程医疗业务各个环节相关人员的信息提示，将业务申请情况、业务安排情况、诊疗结</w:t>
            </w:r>
          </w:p>
          <w:p>
            <w:pPr>
              <w:widowControl/>
              <w:ind w:left="178" w:leftChars="85"/>
              <w:jc w:val="left"/>
              <w:textAlignment w:val="center"/>
              <w:rPr>
                <w:rFonts w:ascii="宋体" w:hAnsi="宋体" w:cs="宋体"/>
                <w:color w:val="auto"/>
                <w:szCs w:val="21"/>
                <w:highlight w:val="none"/>
                <w:u w:val="none"/>
              </w:rPr>
            </w:pPr>
            <w:r>
              <w:rPr>
                <w:rFonts w:hint="eastAsia" w:ascii="宋体" w:hAnsi="宋体" w:cs="宋体"/>
                <w:color w:val="auto"/>
                <w:kern w:val="0"/>
                <w:szCs w:val="21"/>
                <w:highlight w:val="none"/>
                <w:u w:val="none"/>
              </w:rPr>
              <w:t>果等及时通知相关人员，主要包括申请端医务人员、专家端医务人员、平台管理员、患者等。提供规则设定、发送工具、查询统计功能。</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6)消息接收发送功能。</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7)提供消息接收服务和消息推送服务。消息推送服务实现服务器端向用户端信息推送。</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3、远程教训、远程指导模块</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1)教育资源库管理:建立医学教育资源库，实现对医学培训课件、典型临床案例、学术期刊等医学教育资源的管理，共享医学图书情报资源，为查阅医学文献提供便利，以提高医务人员的业务水平；（1）支持实时交互和点播两种培训模式，支持视频点播，视频直播；支持对系统相关操作的权限管理。（2）支持上级医院把具有典型意义的病历、案例分析等资料与下级医院共享，供医务人员参考学习。</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2)满足会诊中心会定期发起专家课堂教学，市县级医院超声医生加入课堂上课学习。专家老师从服务器中选择教学内容进行讲解，学员在客户端可以看到老师讲解的内容界面，能听到老师的声音。</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3)超声专家可以将一些超声教学资料和操作规范视频上传到专家课堂版块，普通超声医师可随时登录，观看学习。还可以通过该平台，开办专题培训班，平台注册的医师可在网上进行报名，进行远程实时学习。支持PC电脑端和移动APP、微信公众号多种渠道和方式</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4)远程地贫超声智能服务平台提供给用户的学习资料 ，包括PPT、PPDF、WORD等类型的学习资料，供用户免费下载。</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 xml:space="preserve">5)远程地贫超声智能服务平台预先录制好的国内权威专家的讲课视频，供用户在线观看。视频服务系统（VOD）具有以下鲜明特点：  </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6)采用客户端模式，拥有完整的视频服务系统，包括：独立视频服务器、网络视频流传输控制系统、应用管理系统、独立客户端解码器。</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7)支持各种国际标准和国际主流的视频音频格式，包括：MPEG1、VCD、SVCD、AVI、MPEG2、DVD、VOB、MPG、MPEG4、DIVX、ASF、WMV、RM、QUICKTIME、MP3、CD、MIDI、WAV、RA、AU等视音频格式。</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8)支持各种课件点播，包括：文本、图片、程序文件、动画（如FLASH）、超文本、POWERPOINT文件等。支持单路或多路MPEG流的广播、直播、转播和录播；可截取视频、音频或视音频片段、一个画面/声音。</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4、统计分析</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1)具有会诊概览查看功能，支持查看会诊数量、会诊费用、会诊数量趋势图、会诊申请医生排行榜、会诊专家医生排行榜，并且下级医院只能查看本医院的概览数据，会诊中心医院账号可以查看所有接入到本医院的所有概览数据。（提供功能截图）</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2)会诊总的数量，今天的会诊量、本月的会诊量、本季度的会诊量，本年度会诊量</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3)总的会诊费用、今天的会诊费用、本月的会诊费用、本季度的会诊费用，本年度会诊费用；（提供功能截图）</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4)已完成会诊的趋势图，可以按照本周、本月、指定时间段查看会诊数量的趋势图；</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5)会诊申请医生排榜，可以按照会诊申请医生排列，把申请数量最多的前5名会诊申请医生列出来。</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6)会诊专家排行榜，可以按照会诊专家排列，把会诊数量最多的前5名专家列出来。</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7)可以按照申请日期、会诊医院、会诊状态、患者姓名来查询会诊记录；</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5、移动会诊</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提供基于手机、平板电脑等移动终端的远程医疗相关功能，拓展业务范围，满足患者、专家医生、医技人员、行政服务人员等用户随时随地使用子系统业务功能的需求。具备手机APP进行可视对讲功能，实现专家医生随时随地为危重病人进行会诊。具体如下：</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1)支持IOS和Andriod随时通过手机加入会诊；</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2)移动端支持接收会诊申请；</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3)可手机与手机、</w:t>
            </w:r>
          </w:p>
        </w:tc>
        <w:tc>
          <w:tcPr>
            <w:tcW w:w="387" w:type="dxa"/>
            <w:tcBorders>
              <w:tl2br w:val="nil"/>
              <w:tr2bl w:val="nil"/>
            </w:tcBorders>
            <w:vAlign w:val="center"/>
          </w:tcPr>
          <w:p>
            <w:pPr>
              <w:spacing w:line="480" w:lineRule="exact"/>
              <w:ind w:firstLine="210" w:firstLineChars="100"/>
              <w:rPr>
                <w:rFonts w:ascii="宋体" w:hAnsi="宋体" w:cs="宋体"/>
                <w:bCs/>
                <w:color w:val="auto"/>
                <w:szCs w:val="21"/>
                <w:highlight w:val="none"/>
                <w:u w:val="none"/>
              </w:rPr>
            </w:pPr>
            <w:r>
              <w:rPr>
                <w:rFonts w:hint="eastAsia" w:ascii="宋体" w:hAnsi="宋体" w:cs="宋体"/>
                <w:bCs/>
                <w:color w:val="auto"/>
                <w:szCs w:val="21"/>
                <w:highlight w:val="none"/>
                <w:u w:val="none"/>
              </w:rPr>
              <w:t>1</w:t>
            </w:r>
          </w:p>
        </w:tc>
        <w:tc>
          <w:tcPr>
            <w:tcW w:w="555" w:type="dxa"/>
            <w:tcBorders>
              <w:tl2br w:val="nil"/>
              <w:tr2bl w:val="nil"/>
            </w:tcBorders>
            <w:vAlign w:val="center"/>
          </w:tcPr>
          <w:p>
            <w:pPr>
              <w:spacing w:line="480" w:lineRule="exact"/>
              <w:ind w:firstLine="210" w:firstLineChars="100"/>
              <w:rPr>
                <w:rFonts w:ascii="宋体" w:hAnsi="宋体" w:cs="宋体"/>
                <w:bCs/>
                <w:color w:val="auto"/>
                <w:szCs w:val="21"/>
                <w:highlight w:val="none"/>
                <w:u w:val="none"/>
              </w:rPr>
            </w:pPr>
            <w:r>
              <w:rPr>
                <w:rFonts w:hint="eastAsia" w:ascii="宋体" w:hAnsi="宋体" w:cs="宋体"/>
                <w:bCs/>
                <w:color w:val="auto"/>
                <w:szCs w:val="21"/>
                <w:highlight w:val="none"/>
                <w:u w:val="none"/>
              </w:rPr>
              <w:t>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285" w:hRule="atLeast"/>
        </w:trPr>
        <w:tc>
          <w:tcPr>
            <w:tcW w:w="10238" w:type="dxa"/>
            <w:gridSpan w:val="5"/>
            <w:tcBorders>
              <w:tl2br w:val="nil"/>
              <w:tr2bl w:val="nil"/>
            </w:tcBorders>
            <w:vAlign w:val="center"/>
          </w:tcPr>
          <w:p>
            <w:pPr>
              <w:adjustRightInd w:val="0"/>
              <w:snapToGrid w:val="0"/>
              <w:rPr>
                <w:rFonts w:ascii="宋体" w:hAnsi="宋体" w:cs="宋体"/>
                <w:b/>
                <w:bCs/>
                <w:color w:val="auto"/>
                <w:szCs w:val="21"/>
                <w:highlight w:val="none"/>
                <w:u w:val="none"/>
              </w:rPr>
            </w:pPr>
            <w:r>
              <w:rPr>
                <w:rFonts w:hint="eastAsia" w:ascii="宋体" w:hAnsi="宋体" w:cs="宋体"/>
                <w:b/>
                <w:bCs/>
                <w:color w:val="auto"/>
                <w:szCs w:val="21"/>
                <w:highlight w:val="none"/>
                <w:u w:val="none"/>
              </w:rPr>
              <w:t>售后服务及商务要求：</w:t>
            </w:r>
          </w:p>
          <w:p>
            <w:pPr>
              <w:widowControl/>
              <w:numPr>
                <w:ilvl w:val="0"/>
                <w:numId w:val="6"/>
              </w:numPr>
              <w:ind w:left="420"/>
              <w:jc w:val="left"/>
              <w:rPr>
                <w:rFonts w:ascii="宋体" w:hAnsi="宋体" w:cs="宋体"/>
                <w:color w:val="auto"/>
                <w:kern w:val="0"/>
                <w:szCs w:val="21"/>
                <w:highlight w:val="none"/>
                <w:u w:val="none"/>
              </w:rPr>
            </w:pPr>
            <w:r>
              <w:rPr>
                <w:rFonts w:hint="eastAsia" w:ascii="宋体" w:hAnsi="宋体" w:cs="宋体"/>
                <w:color w:val="auto"/>
                <w:kern w:val="0"/>
                <w:szCs w:val="21"/>
                <w:highlight w:val="none"/>
                <w:u w:val="none"/>
              </w:rPr>
              <w:t>签订合同时间：自成交通知书发出之日起5天内。</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二、交货期：</w:t>
            </w:r>
            <w:r>
              <w:rPr>
                <w:rFonts w:hint="eastAsia" w:ascii="宋体" w:hAnsi="宋体" w:cs="宋体"/>
                <w:color w:val="auto"/>
                <w:kern w:val="0"/>
                <w:szCs w:val="21"/>
                <w:highlight w:val="none"/>
                <w:u w:val="none"/>
                <w:lang w:eastAsia="zh-CN"/>
              </w:rPr>
              <w:t>自签订合同之日起30日内完成安装与调试。</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三、交货地点：采购人指定地点交货。</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 xml:space="preserve">四、售后服务及其他商务要求: </w:t>
            </w:r>
          </w:p>
          <w:p>
            <w:pPr>
              <w:widowControl/>
              <w:jc w:val="left"/>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（1)保修要求：仪器保修一年。其他按国家有关规定或厂家承诺实行“三包”，自验收合格后全免费上门。</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 xml:space="preserve">    （2）免费送货上门、免费为用户安装、调试设备、厂家技术人员现场免费培训操作人员到能熟练操作。接到用户故障通知后，投标人或厂家维保人员须在2小时内给予答复，需要到现场解决的，到达时间不得超过48小时，投标时提供故障无法排除时的应急解决方案、声明有无定期回访、有无其他增值服务、能否实现本地化服务等。</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 xml:space="preserve">    （3）装机时工程师免费在现场对用户的多名技术人员进行设备操作培训，保证操作人员能够熟练掌握各种设备和软件等常规使用方法，以及小故障的判断与解决。</w:t>
            </w:r>
          </w:p>
          <w:p>
            <w:pPr>
              <w:widowControl/>
              <w:ind w:firstLine="420" w:firstLineChars="200"/>
              <w:jc w:val="left"/>
              <w:rPr>
                <w:rFonts w:ascii="宋体" w:hAnsi="宋体" w:cs="宋体"/>
                <w:color w:val="auto"/>
                <w:kern w:val="0"/>
                <w:szCs w:val="21"/>
                <w:highlight w:val="none"/>
                <w:u w:val="none"/>
              </w:rPr>
            </w:pPr>
            <w:r>
              <w:rPr>
                <w:rFonts w:hint="eastAsia" w:ascii="宋体" w:hAnsi="宋体" w:cs="宋体"/>
                <w:color w:val="auto"/>
                <w:kern w:val="0"/>
                <w:szCs w:val="21"/>
                <w:highlight w:val="none"/>
                <w:u w:val="none"/>
              </w:rPr>
              <w:t>（4）投标人不是投标产品的生产厂家或国内总代理商的，必须提供投标产品生产厂家或国内总代理商针对本项目的授权书、有效供货证明以及售后服务承诺书，否则投标无效。</w:t>
            </w:r>
          </w:p>
          <w:p>
            <w:pPr>
              <w:widowControl/>
              <w:ind w:firstLine="420" w:firstLineChars="200"/>
              <w:jc w:val="left"/>
              <w:rPr>
                <w:rFonts w:ascii="宋体" w:hAnsi="宋体" w:cs="宋体"/>
                <w:color w:val="auto"/>
                <w:kern w:val="0"/>
                <w:szCs w:val="21"/>
                <w:highlight w:val="none"/>
                <w:u w:val="none"/>
              </w:rPr>
            </w:pPr>
            <w:r>
              <w:rPr>
                <w:rFonts w:hint="eastAsia" w:ascii="宋体" w:hAnsi="宋体" w:cs="宋体"/>
                <w:color w:val="auto"/>
                <w:kern w:val="0"/>
                <w:szCs w:val="21"/>
                <w:highlight w:val="none"/>
                <w:u w:val="none"/>
              </w:rPr>
              <w:t>（5）投标设备与招标技术要求如有偏离，必须在偏离表中一一列出。</w:t>
            </w:r>
          </w:p>
          <w:p>
            <w:pPr>
              <w:widowControl/>
              <w:ind w:firstLine="420" w:firstLineChars="200"/>
              <w:jc w:val="left"/>
              <w:rPr>
                <w:rFonts w:ascii="宋体" w:hAnsi="宋体" w:cs="宋体"/>
                <w:color w:val="auto"/>
                <w:kern w:val="0"/>
                <w:szCs w:val="21"/>
                <w:highlight w:val="none"/>
                <w:u w:val="none"/>
              </w:rPr>
            </w:pPr>
            <w:r>
              <w:rPr>
                <w:rFonts w:hint="eastAsia" w:ascii="宋体" w:hAnsi="宋体" w:cs="宋体"/>
                <w:color w:val="auto"/>
                <w:kern w:val="0"/>
                <w:szCs w:val="21"/>
                <w:highlight w:val="none"/>
                <w:u w:val="none"/>
              </w:rPr>
              <w:t>（6）投标人或产品制造厂家、区域总代理应能提供完善售后服务的承诺。</w:t>
            </w:r>
          </w:p>
          <w:p>
            <w:pPr>
              <w:widowControl/>
              <w:ind w:firstLine="420" w:firstLineChars="200"/>
              <w:jc w:val="left"/>
              <w:rPr>
                <w:rFonts w:ascii="宋体" w:hAnsi="宋体" w:cs="宋体"/>
                <w:color w:val="auto"/>
                <w:kern w:val="0"/>
                <w:szCs w:val="21"/>
                <w:highlight w:val="none"/>
                <w:u w:val="none"/>
              </w:rPr>
            </w:pPr>
            <w:r>
              <w:rPr>
                <w:rFonts w:hint="eastAsia" w:ascii="宋体" w:hAnsi="宋体" w:cs="宋体"/>
                <w:color w:val="auto"/>
                <w:kern w:val="0"/>
                <w:szCs w:val="21"/>
                <w:highlight w:val="none"/>
                <w:u w:val="none"/>
              </w:rPr>
              <w:t>（7）</w:t>
            </w:r>
            <w:r>
              <w:rPr>
                <w:rFonts w:hint="eastAsia" w:ascii="宋体" w:hAnsi="宋体" w:cs="宋体"/>
                <w:color w:val="auto"/>
                <w:szCs w:val="21"/>
                <w:highlight w:val="none"/>
                <w:u w:val="none"/>
              </w:rPr>
              <w:t>为确保产品质量，</w:t>
            </w:r>
            <w:r>
              <w:rPr>
                <w:rFonts w:hint="eastAsia" w:ascii="宋体" w:hAnsi="宋体" w:cs="宋体"/>
                <w:color w:val="auto"/>
                <w:kern w:val="0"/>
                <w:szCs w:val="21"/>
                <w:highlight w:val="none"/>
                <w:u w:val="none"/>
              </w:rPr>
              <w:t>货物需求一览表中带有“★”号的指标为关键指标，要求必须满足或优于要求指标，否则低于要求在技术部分评分中每项减5分，直至减完为止。</w:t>
            </w:r>
          </w:p>
          <w:p>
            <w:pPr>
              <w:widowControl/>
              <w:ind w:firstLine="420" w:firstLineChars="200"/>
              <w:jc w:val="left"/>
              <w:rPr>
                <w:rFonts w:ascii="宋体" w:hAnsi="宋体" w:cs="宋体"/>
                <w:color w:val="auto"/>
                <w:kern w:val="0"/>
                <w:szCs w:val="21"/>
                <w:highlight w:val="none"/>
                <w:u w:val="none"/>
              </w:rPr>
            </w:pPr>
            <w:r>
              <w:rPr>
                <w:rFonts w:hint="eastAsia" w:ascii="宋体" w:hAnsi="宋体" w:cs="宋体"/>
                <w:color w:val="auto"/>
                <w:kern w:val="0"/>
                <w:szCs w:val="21"/>
                <w:highlight w:val="none"/>
                <w:u w:val="none"/>
              </w:rPr>
              <w:t>（8）投标报价指货物、服务、随配附件、备品备件、工具、运抵指定交货地点的各种费用和安装、调试、验收、人员培训、税金、售后服务及其他所有成本、费用的总和。</w:t>
            </w:r>
          </w:p>
          <w:p>
            <w:pPr>
              <w:widowControl/>
              <w:ind w:firstLine="420" w:firstLineChars="200"/>
              <w:jc w:val="left"/>
              <w:rPr>
                <w:rFonts w:ascii="宋体" w:hAnsi="宋体" w:cs="宋体"/>
                <w:color w:val="auto"/>
                <w:kern w:val="0"/>
                <w:szCs w:val="21"/>
                <w:highlight w:val="none"/>
                <w:u w:val="none"/>
              </w:rPr>
            </w:pPr>
            <w:r>
              <w:rPr>
                <w:rFonts w:hint="eastAsia" w:ascii="宋体" w:hAnsi="宋体" w:cs="宋体"/>
                <w:color w:val="auto"/>
                <w:kern w:val="0"/>
                <w:szCs w:val="21"/>
                <w:highlight w:val="none"/>
                <w:u w:val="none"/>
              </w:rPr>
              <w:t>（9）货款支付方式：以第五章合同条款及格式为依据，由业主方和供应商方协商合同签订为准。</w:t>
            </w:r>
          </w:p>
          <w:p>
            <w:pPr>
              <w:widowControl/>
              <w:jc w:val="left"/>
              <w:rPr>
                <w:rFonts w:ascii="宋体" w:hAnsi="宋体" w:cs="宋体"/>
                <w:color w:val="auto"/>
                <w:kern w:val="0"/>
                <w:szCs w:val="21"/>
                <w:highlight w:val="none"/>
                <w:u w:val="none"/>
              </w:rPr>
            </w:pPr>
            <w:r>
              <w:rPr>
                <w:rFonts w:hint="eastAsia" w:ascii="宋体" w:hAnsi="宋体" w:cs="宋体"/>
                <w:color w:val="auto"/>
                <w:kern w:val="0"/>
                <w:szCs w:val="21"/>
                <w:highlight w:val="none"/>
                <w:u w:val="none"/>
              </w:rPr>
              <w:t xml:space="preserve">   ★（10）其他商务要求： 中标人在签订合同前，需要演示所供货产品能连接自治区建设的“远程超声诊断子平台”，以保证能满足“云上妇幼”服务能力建设所要求的内容，否则取消其中标资格，并承担相应的责任。</w:t>
            </w:r>
          </w:p>
          <w:p>
            <w:pPr>
              <w:widowControl/>
              <w:ind w:firstLine="420" w:firstLineChars="200"/>
              <w:jc w:val="left"/>
              <w:rPr>
                <w:rFonts w:ascii="宋体" w:hAnsi="宋体" w:cs="宋体"/>
                <w:color w:val="auto"/>
                <w:kern w:val="0"/>
                <w:szCs w:val="21"/>
                <w:highlight w:val="none"/>
                <w:u w:val="none"/>
              </w:rPr>
            </w:pPr>
          </w:p>
        </w:tc>
      </w:tr>
    </w:tbl>
    <w:p>
      <w:pPr>
        <w:spacing w:line="320" w:lineRule="exact"/>
        <w:ind w:firstLine="422" w:firstLineChars="200"/>
        <w:jc w:val="center"/>
        <w:rPr>
          <w:rFonts w:cs="宋体" w:asciiTheme="minorEastAsia" w:hAnsiTheme="minorEastAsia" w:eastAsiaTheme="minorEastAsia"/>
          <w:b/>
          <w:bCs/>
          <w:color w:val="auto"/>
          <w:kern w:val="0"/>
          <w:szCs w:val="21"/>
          <w:highlight w:val="none"/>
          <w:u w:val="none"/>
        </w:rPr>
      </w:pPr>
    </w:p>
    <w:p>
      <w:pPr>
        <w:spacing w:line="320" w:lineRule="exact"/>
        <w:ind w:firstLine="422" w:firstLineChars="200"/>
        <w:jc w:val="center"/>
        <w:rPr>
          <w:rFonts w:cs="宋体" w:asciiTheme="minorEastAsia" w:hAnsiTheme="minorEastAsia" w:eastAsiaTheme="minorEastAsia"/>
          <w:b/>
          <w:bCs/>
          <w:color w:val="auto"/>
          <w:kern w:val="0"/>
          <w:szCs w:val="21"/>
          <w:highlight w:val="none"/>
          <w:u w:val="none"/>
        </w:rPr>
      </w:pPr>
    </w:p>
    <w:p>
      <w:pPr>
        <w:pStyle w:val="2"/>
        <w:rPr>
          <w:rFonts w:cs="宋体" w:asciiTheme="minorEastAsia" w:hAnsiTheme="minorEastAsia" w:eastAsiaTheme="minorEastAsia"/>
          <w:b/>
          <w:bCs/>
          <w:color w:val="auto"/>
          <w:kern w:val="0"/>
          <w:szCs w:val="21"/>
          <w:highlight w:val="none"/>
          <w:u w:val="none"/>
        </w:rPr>
      </w:pPr>
    </w:p>
    <w:p>
      <w:pPr>
        <w:pStyle w:val="2"/>
        <w:rPr>
          <w:rFonts w:cs="宋体" w:asciiTheme="minorEastAsia" w:hAnsiTheme="minorEastAsia" w:eastAsiaTheme="minorEastAsia"/>
          <w:b/>
          <w:bCs/>
          <w:color w:val="auto"/>
          <w:kern w:val="0"/>
          <w:szCs w:val="21"/>
          <w:highlight w:val="none"/>
          <w:u w:val="none"/>
        </w:rPr>
      </w:pPr>
    </w:p>
    <w:p>
      <w:pPr>
        <w:pStyle w:val="2"/>
        <w:rPr>
          <w:rFonts w:cs="宋体" w:asciiTheme="minorEastAsia" w:hAnsiTheme="minorEastAsia" w:eastAsiaTheme="minorEastAsia"/>
          <w:b/>
          <w:bCs/>
          <w:color w:val="auto"/>
          <w:kern w:val="0"/>
          <w:szCs w:val="21"/>
          <w:highlight w:val="none"/>
          <w:u w:val="none"/>
        </w:rPr>
      </w:pPr>
    </w:p>
    <w:p>
      <w:pPr>
        <w:pStyle w:val="2"/>
        <w:rPr>
          <w:rFonts w:cs="宋体" w:asciiTheme="minorEastAsia" w:hAnsiTheme="minorEastAsia" w:eastAsiaTheme="minorEastAsia"/>
          <w:b/>
          <w:bCs/>
          <w:color w:val="auto"/>
          <w:kern w:val="0"/>
          <w:szCs w:val="21"/>
          <w:highlight w:val="none"/>
          <w:u w:val="none"/>
        </w:rPr>
      </w:pPr>
    </w:p>
    <w:p>
      <w:pPr>
        <w:pStyle w:val="2"/>
        <w:rPr>
          <w:rFonts w:cs="宋体" w:asciiTheme="minorEastAsia" w:hAnsiTheme="minorEastAsia" w:eastAsiaTheme="minorEastAsia"/>
          <w:b/>
          <w:bCs/>
          <w:color w:val="auto"/>
          <w:kern w:val="0"/>
          <w:szCs w:val="21"/>
          <w:highlight w:val="none"/>
          <w:u w:val="none"/>
        </w:rPr>
      </w:pPr>
    </w:p>
    <w:p>
      <w:pPr>
        <w:spacing w:line="320" w:lineRule="exact"/>
        <w:ind w:firstLine="643" w:firstLineChars="200"/>
        <w:jc w:val="center"/>
        <w:rPr>
          <w:rFonts w:cs="宋体" w:asciiTheme="minorEastAsia" w:hAnsiTheme="minorEastAsia" w:eastAsiaTheme="minorEastAsia"/>
          <w:b/>
          <w:bCs/>
          <w:color w:val="auto"/>
          <w:kern w:val="0"/>
          <w:sz w:val="32"/>
          <w:szCs w:val="32"/>
          <w:highlight w:val="none"/>
          <w:u w:val="none"/>
        </w:rPr>
      </w:pPr>
      <w:r>
        <w:rPr>
          <w:rFonts w:hint="eastAsia" w:cs="宋体" w:asciiTheme="minorEastAsia" w:hAnsiTheme="minorEastAsia" w:eastAsiaTheme="minorEastAsia"/>
          <w:b/>
          <w:bCs/>
          <w:color w:val="auto"/>
          <w:kern w:val="0"/>
          <w:sz w:val="32"/>
          <w:szCs w:val="32"/>
          <w:highlight w:val="none"/>
          <w:u w:val="none"/>
        </w:rPr>
        <w:t>《B分标：货物需求一览表》</w:t>
      </w:r>
    </w:p>
    <w:p>
      <w:pPr>
        <w:pStyle w:val="11"/>
        <w:rPr>
          <w:color w:val="auto"/>
          <w:highlight w:val="none"/>
          <w:u w:val="none"/>
        </w:rPr>
      </w:pPr>
    </w:p>
    <w:tbl>
      <w:tblPr>
        <w:tblStyle w:val="18"/>
        <w:tblW w:w="10238" w:type="dxa"/>
        <w:tblInd w:w="-45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
      <w:tblGrid>
        <w:gridCol w:w="575"/>
        <w:gridCol w:w="1131"/>
        <w:gridCol w:w="7410"/>
        <w:gridCol w:w="567"/>
        <w:gridCol w:w="55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285" w:hRule="atLeast"/>
        </w:trPr>
        <w:tc>
          <w:tcPr>
            <w:tcW w:w="575" w:type="dxa"/>
            <w:tcBorders>
              <w:tl2br w:val="nil"/>
              <w:tr2bl w:val="nil"/>
            </w:tcBorders>
            <w:vAlign w:val="center"/>
          </w:tcPr>
          <w:p>
            <w:pPr>
              <w:widowControl/>
              <w:jc w:val="center"/>
              <w:textAlignment w:val="center"/>
              <w:rPr>
                <w:rFonts w:ascii="宋体" w:hAnsi="宋体" w:cs="宋体"/>
                <w:color w:val="auto"/>
                <w:szCs w:val="21"/>
                <w:highlight w:val="none"/>
                <w:u w:val="none"/>
              </w:rPr>
            </w:pPr>
            <w:r>
              <w:rPr>
                <w:rFonts w:hint="eastAsia" w:ascii="宋体" w:hAnsi="宋体" w:cs="宋体"/>
                <w:color w:val="auto"/>
                <w:kern w:val="0"/>
                <w:szCs w:val="21"/>
                <w:highlight w:val="none"/>
                <w:u w:val="none"/>
              </w:rPr>
              <w:t>序号</w:t>
            </w:r>
          </w:p>
        </w:tc>
        <w:tc>
          <w:tcPr>
            <w:tcW w:w="1131" w:type="dxa"/>
            <w:tcBorders>
              <w:tl2br w:val="nil"/>
              <w:tr2bl w:val="nil"/>
            </w:tcBorders>
            <w:vAlign w:val="center"/>
          </w:tcPr>
          <w:p>
            <w:pPr>
              <w:widowControl/>
              <w:jc w:val="center"/>
              <w:textAlignment w:val="center"/>
              <w:rPr>
                <w:rFonts w:ascii="宋体" w:hAnsi="宋体" w:cs="宋体"/>
                <w:color w:val="auto"/>
                <w:szCs w:val="21"/>
                <w:highlight w:val="none"/>
                <w:u w:val="none"/>
              </w:rPr>
            </w:pPr>
            <w:r>
              <w:rPr>
                <w:rFonts w:hint="eastAsia" w:ascii="宋体" w:hAnsi="宋体" w:cs="宋体"/>
                <w:color w:val="auto"/>
                <w:kern w:val="0"/>
                <w:szCs w:val="21"/>
                <w:highlight w:val="none"/>
                <w:u w:val="none"/>
              </w:rPr>
              <w:t>设备名称</w:t>
            </w:r>
          </w:p>
        </w:tc>
        <w:tc>
          <w:tcPr>
            <w:tcW w:w="7410" w:type="dxa"/>
            <w:tcBorders>
              <w:tl2br w:val="nil"/>
              <w:tr2bl w:val="nil"/>
            </w:tcBorders>
            <w:vAlign w:val="center"/>
          </w:tcPr>
          <w:p>
            <w:pPr>
              <w:widowControl/>
              <w:jc w:val="center"/>
              <w:textAlignment w:val="center"/>
              <w:rPr>
                <w:rFonts w:ascii="宋体" w:hAnsi="宋体" w:cs="宋体"/>
                <w:color w:val="auto"/>
                <w:szCs w:val="21"/>
                <w:highlight w:val="none"/>
                <w:u w:val="none"/>
              </w:rPr>
            </w:pPr>
            <w:r>
              <w:rPr>
                <w:rFonts w:hint="eastAsia" w:ascii="宋体" w:hAnsi="宋体" w:cs="宋体"/>
                <w:color w:val="auto"/>
                <w:szCs w:val="21"/>
                <w:highlight w:val="none"/>
                <w:u w:val="none"/>
              </w:rPr>
              <w:t>主要技术参数及功能要求</w:t>
            </w:r>
          </w:p>
        </w:tc>
        <w:tc>
          <w:tcPr>
            <w:tcW w:w="567" w:type="dxa"/>
            <w:tcBorders>
              <w:tl2br w:val="nil"/>
              <w:tr2bl w:val="nil"/>
            </w:tcBorders>
            <w:vAlign w:val="center"/>
          </w:tcPr>
          <w:p>
            <w:pPr>
              <w:widowControl/>
              <w:jc w:val="center"/>
              <w:textAlignment w:val="center"/>
              <w:rPr>
                <w:rFonts w:ascii="宋体" w:hAnsi="宋体" w:cs="宋体"/>
                <w:color w:val="auto"/>
                <w:szCs w:val="21"/>
                <w:highlight w:val="none"/>
                <w:u w:val="none"/>
              </w:rPr>
            </w:pPr>
            <w:r>
              <w:rPr>
                <w:rFonts w:hint="eastAsia" w:ascii="宋体" w:hAnsi="宋体" w:cs="宋体"/>
                <w:color w:val="auto"/>
                <w:kern w:val="0"/>
                <w:szCs w:val="21"/>
                <w:highlight w:val="none"/>
                <w:u w:val="none"/>
              </w:rPr>
              <w:t>单位</w:t>
            </w:r>
          </w:p>
        </w:tc>
        <w:tc>
          <w:tcPr>
            <w:tcW w:w="555" w:type="dxa"/>
            <w:tcBorders>
              <w:tl2br w:val="nil"/>
              <w:tr2bl w:val="nil"/>
            </w:tcBorders>
            <w:vAlign w:val="center"/>
          </w:tcPr>
          <w:p>
            <w:pPr>
              <w:widowControl/>
              <w:jc w:val="center"/>
              <w:textAlignment w:val="center"/>
              <w:rPr>
                <w:rFonts w:ascii="宋体" w:hAnsi="宋体" w:cs="宋体"/>
                <w:color w:val="auto"/>
                <w:szCs w:val="21"/>
                <w:highlight w:val="none"/>
                <w:u w:val="none"/>
              </w:rPr>
            </w:pPr>
            <w:r>
              <w:rPr>
                <w:rFonts w:hint="eastAsia" w:ascii="宋体" w:hAnsi="宋体" w:cs="宋体"/>
                <w:color w:val="auto"/>
                <w:kern w:val="0"/>
                <w:szCs w:val="21"/>
                <w:highlight w:val="none"/>
                <w:u w:val="none"/>
              </w:rPr>
              <w:t>数量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2546" w:hRule="atLeast"/>
        </w:trPr>
        <w:tc>
          <w:tcPr>
            <w:tcW w:w="575" w:type="dxa"/>
            <w:tcBorders>
              <w:tl2br w:val="nil"/>
              <w:tr2bl w:val="nil"/>
            </w:tcBorders>
            <w:vAlign w:val="center"/>
          </w:tcPr>
          <w:p>
            <w:pPr>
              <w:jc w:val="center"/>
              <w:rPr>
                <w:rFonts w:ascii="宋体" w:hAnsi="宋体" w:cs="宋体"/>
                <w:color w:val="auto"/>
                <w:szCs w:val="21"/>
                <w:highlight w:val="none"/>
                <w:u w:val="none"/>
              </w:rPr>
            </w:pPr>
            <w:r>
              <w:rPr>
                <w:rFonts w:hint="eastAsia" w:ascii="宋体" w:hAnsi="宋体" w:cs="宋体"/>
                <w:color w:val="auto"/>
                <w:szCs w:val="21"/>
                <w:highlight w:val="none"/>
                <w:u w:val="none"/>
              </w:rPr>
              <w:t>1</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胎心监护仪</w:t>
            </w:r>
          </w:p>
        </w:tc>
        <w:tc>
          <w:tcPr>
            <w:tcW w:w="7410" w:type="dxa"/>
            <w:tcBorders>
              <w:tl2br w:val="nil"/>
              <w:tr2bl w:val="nil"/>
            </w:tcBorders>
          </w:tcPr>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超声工作频率：1MHz</w:t>
            </w:r>
          </w:p>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超声波束声强：Iob&lt;5mW/cm2</w:t>
            </w:r>
          </w:p>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胎心率测量范围：30～250bpm，精度：±1bpm</w:t>
            </w:r>
          </w:p>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具有智能干扰信号识别功能，在胎心波形显示区域自动标记干扰信号，干扰信号出现时自动报警，提醒医护人员排除干扰信号，保证胎心率的准确性及波形曲线不断线。</w:t>
            </w:r>
          </w:p>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★具有胎心信号强弱提示功能，交叉通道验证功能、双胎迹线分离功能。</w:t>
            </w:r>
          </w:p>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≥12寸TFT液晶显示屏，触摸屏， 0-90度可调，可多角度观察。</w:t>
            </w:r>
          </w:p>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应具有两个报警灯，生理、技术报警灯分开显示，方便区别报警类型。</w:t>
            </w:r>
          </w:p>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监护仪三种传感器（胎心率探头、宫缩压力探头、胎动探头）具有自动识别功能。</w:t>
            </w:r>
          </w:p>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标配双USB接口，可同时支持USB外接打印机和外接U盘存储病例。</w:t>
            </w:r>
          </w:p>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标配高灵敏度防水探头，可用于水中分娩。</w:t>
            </w:r>
          </w:p>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配备一体化探头支架，方便附件管理。</w:t>
            </w:r>
          </w:p>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内置大容量锂电池，可持续工作4小时以上。</w:t>
            </w:r>
          </w:p>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内置150mm宽行热敏打印机，满足临床使用需求。</w:t>
            </w:r>
          </w:p>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支持USB外置打印机，用A4纸打印报告，减少成本，长效保存病例。</w:t>
            </w:r>
          </w:p>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支持选段评分打印、定时打印、打印预览功能。</w:t>
            </w:r>
          </w:p>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监护曲线背景栅格暨纸张类型：30-240（美标），50-210（国标）、其它3种类型可选。</w:t>
            </w:r>
          </w:p>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支持打印报告生成图片，方便教学、存储。</w:t>
            </w:r>
          </w:p>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★支持中文手写输入功能。</w:t>
            </w:r>
          </w:p>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支持滑屏操作快速切换显示界面。</w:t>
            </w:r>
          </w:p>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★具有定时监护和定时打印功能，避免超时监护对胎儿造成影响。</w:t>
            </w:r>
          </w:p>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具有胎儿监护界面、大字体界面。</w:t>
            </w:r>
          </w:p>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内置专家评分系统，提供了NST/Fischer/改良Fischer/Krebs四种评分方法让医护人员灵活选择。</w:t>
            </w:r>
          </w:p>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具有智能电源管理功能，节能环保，可定时触发隐藏底部按钮，锁屏，待机，关机。</w:t>
            </w:r>
          </w:p>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具有数据掉电存储功能，回放功能，支持胎监数据回放60小时。</w:t>
            </w:r>
          </w:p>
          <w:p>
            <w:pPr>
              <w:numPr>
                <w:ilvl w:val="0"/>
                <w:numId w:val="7"/>
              </w:numPr>
              <w:tabs>
                <w:tab w:val="left" w:pos="540"/>
                <w:tab w:val="left" w:pos="900"/>
                <w:tab w:val="left" w:pos="1080"/>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内置通讯接口，支持有线/无线连接中央监护系统。</w:t>
            </w:r>
          </w:p>
          <w:p>
            <w:pPr>
              <w:tabs>
                <w:tab w:val="left" w:pos="540"/>
                <w:tab w:val="left" w:pos="900"/>
                <w:tab w:val="left" w:pos="1080"/>
              </w:tabs>
              <w:ind w:firstLine="210" w:firstLineChars="100"/>
              <w:jc w:val="left"/>
              <w:rPr>
                <w:rFonts w:ascii="宋体" w:hAnsi="宋体" w:cs="宋体"/>
                <w:color w:val="auto"/>
                <w:szCs w:val="21"/>
                <w:highlight w:val="none"/>
                <w:u w:val="none"/>
              </w:rPr>
            </w:pP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5</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506" w:hRule="atLeast"/>
        </w:trPr>
        <w:tc>
          <w:tcPr>
            <w:tcW w:w="575" w:type="dxa"/>
            <w:tcBorders>
              <w:tl2br w:val="nil"/>
              <w:tr2bl w:val="nil"/>
            </w:tcBorders>
            <w:vAlign w:val="center"/>
          </w:tcPr>
          <w:p>
            <w:pPr>
              <w:jc w:val="center"/>
              <w:rPr>
                <w:rFonts w:ascii="宋体" w:hAnsi="宋体" w:cs="宋体"/>
                <w:color w:val="auto"/>
                <w:szCs w:val="21"/>
                <w:highlight w:val="none"/>
                <w:u w:val="none"/>
              </w:rPr>
            </w:pPr>
            <w:r>
              <w:rPr>
                <w:rFonts w:hint="eastAsia" w:ascii="宋体" w:hAnsi="宋体" w:cs="宋体"/>
                <w:color w:val="auto"/>
                <w:szCs w:val="21"/>
                <w:highlight w:val="none"/>
                <w:u w:val="none"/>
              </w:rPr>
              <w:t>2</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多普勒胎心检测仪</w:t>
            </w:r>
          </w:p>
        </w:tc>
        <w:tc>
          <w:tcPr>
            <w:tcW w:w="7410" w:type="dxa"/>
            <w:tcBorders>
              <w:tl2br w:val="nil"/>
              <w:tr2bl w:val="nil"/>
            </w:tcBorders>
          </w:tcPr>
          <w:p>
            <w:pPr>
              <w:tabs>
                <w:tab w:val="left" w:pos="1200"/>
              </w:tabs>
              <w:ind w:firstLine="210" w:firstLineChars="100"/>
              <w:jc w:val="left"/>
              <w:rPr>
                <w:rFonts w:ascii="宋体" w:hAnsi="宋体" w:cs="宋体"/>
                <w:color w:val="auto"/>
                <w:szCs w:val="21"/>
                <w:highlight w:val="none"/>
                <w:u w:val="none"/>
              </w:rPr>
            </w:pPr>
            <w:r>
              <w:rPr>
                <w:rFonts w:hint="eastAsia" w:ascii="宋体" w:hAnsi="宋体" w:cs="宋体"/>
                <w:color w:val="auto"/>
                <w:szCs w:val="21"/>
                <w:highlight w:val="none"/>
                <w:u w:val="none"/>
              </w:rPr>
              <w:t>1.监护参数：胎心率（FHR）；</w:t>
            </w:r>
          </w:p>
          <w:p>
            <w:pPr>
              <w:tabs>
                <w:tab w:val="left" w:pos="1200"/>
              </w:tabs>
              <w:ind w:firstLine="210" w:firstLineChars="100"/>
              <w:jc w:val="left"/>
              <w:rPr>
                <w:rFonts w:ascii="宋体" w:hAnsi="宋体" w:cs="宋体"/>
                <w:color w:val="auto"/>
                <w:szCs w:val="21"/>
                <w:highlight w:val="none"/>
                <w:u w:val="none"/>
              </w:rPr>
            </w:pPr>
            <w:r>
              <w:rPr>
                <w:rFonts w:hint="eastAsia" w:ascii="宋体" w:hAnsi="宋体" w:cs="宋体"/>
                <w:color w:val="auto"/>
                <w:szCs w:val="21"/>
                <w:highlight w:val="none"/>
                <w:u w:val="none"/>
              </w:rPr>
              <w:t>2.</w:t>
            </w:r>
            <w:r>
              <w:rPr>
                <w:rFonts w:hint="eastAsia" w:ascii="宋体" w:hAnsi="宋体" w:cs="宋体"/>
                <w:color w:val="auto"/>
                <w:szCs w:val="21"/>
                <w:highlight w:val="none"/>
                <w:u w:val="none"/>
                <w:lang w:val="zh-CN"/>
              </w:rPr>
              <w:t>显示屏：</w:t>
            </w:r>
            <w:r>
              <w:rPr>
                <w:rFonts w:hint="eastAsia" w:ascii="宋体" w:hAnsi="宋体" w:cs="宋体"/>
                <w:color w:val="auto"/>
                <w:szCs w:val="21"/>
                <w:highlight w:val="none"/>
                <w:u w:val="none"/>
              </w:rPr>
              <w:t>2.4寸TFT显示屏</w:t>
            </w:r>
          </w:p>
          <w:p>
            <w:pPr>
              <w:tabs>
                <w:tab w:val="left" w:pos="1200"/>
              </w:tabs>
              <w:ind w:firstLine="210" w:firstLineChars="100"/>
              <w:jc w:val="left"/>
              <w:rPr>
                <w:rFonts w:ascii="宋体" w:hAnsi="宋体" w:cs="宋体"/>
                <w:color w:val="auto"/>
                <w:szCs w:val="21"/>
                <w:highlight w:val="none"/>
                <w:u w:val="none"/>
                <w:lang w:val="zh-CN"/>
              </w:rPr>
            </w:pPr>
            <w:r>
              <w:rPr>
                <w:rFonts w:hint="eastAsia" w:ascii="宋体" w:hAnsi="宋体" w:cs="宋体"/>
                <w:color w:val="auto"/>
                <w:szCs w:val="21"/>
                <w:highlight w:val="none"/>
                <w:u w:val="none"/>
              </w:rPr>
              <w:t>3.显示方式：数值显示</w:t>
            </w:r>
          </w:p>
          <w:p>
            <w:pPr>
              <w:tabs>
                <w:tab w:val="left" w:pos="1200"/>
              </w:tabs>
              <w:ind w:firstLine="210" w:firstLineChars="100"/>
              <w:jc w:val="left"/>
              <w:rPr>
                <w:rFonts w:ascii="宋体" w:hAnsi="宋体" w:cs="宋体"/>
                <w:color w:val="auto"/>
                <w:szCs w:val="21"/>
                <w:highlight w:val="none"/>
                <w:u w:val="none"/>
                <w:lang w:val="zh-CN"/>
              </w:rPr>
            </w:pPr>
            <w:r>
              <w:rPr>
                <w:rFonts w:hint="eastAsia" w:ascii="宋体" w:hAnsi="宋体" w:cs="宋体"/>
                <w:color w:val="auto"/>
                <w:szCs w:val="21"/>
                <w:highlight w:val="none"/>
                <w:u w:val="none"/>
              </w:rPr>
              <w:t xml:space="preserve">4.采用自相关计算技术，胎心率值更准确、稳定； </w:t>
            </w:r>
          </w:p>
          <w:p>
            <w:pPr>
              <w:tabs>
                <w:tab w:val="left" w:pos="1200"/>
              </w:tabs>
              <w:ind w:firstLine="210" w:firstLineChars="100"/>
              <w:jc w:val="left"/>
              <w:rPr>
                <w:rFonts w:ascii="宋体" w:hAnsi="宋体" w:cs="宋体"/>
                <w:color w:val="auto"/>
                <w:szCs w:val="21"/>
                <w:highlight w:val="none"/>
                <w:u w:val="none"/>
              </w:rPr>
            </w:pPr>
            <w:r>
              <w:rPr>
                <w:rFonts w:hint="eastAsia" w:ascii="宋体" w:hAnsi="宋体" w:cs="宋体"/>
                <w:color w:val="auto"/>
                <w:szCs w:val="21"/>
                <w:highlight w:val="none"/>
                <w:u w:val="none"/>
              </w:rPr>
              <w:t>5.综合灵敏度: ≥90db</w:t>
            </w:r>
          </w:p>
          <w:p>
            <w:pPr>
              <w:tabs>
                <w:tab w:val="left" w:pos="1200"/>
              </w:tabs>
              <w:ind w:firstLine="210" w:firstLineChars="100"/>
              <w:jc w:val="left"/>
              <w:rPr>
                <w:rFonts w:ascii="宋体" w:hAnsi="宋体" w:cs="宋体"/>
                <w:color w:val="auto"/>
                <w:szCs w:val="21"/>
                <w:highlight w:val="none"/>
                <w:u w:val="none"/>
              </w:rPr>
            </w:pPr>
            <w:r>
              <w:rPr>
                <w:rFonts w:hint="eastAsia" w:ascii="宋体" w:hAnsi="宋体" w:cs="宋体"/>
                <w:color w:val="auto"/>
                <w:szCs w:val="21"/>
                <w:highlight w:val="none"/>
                <w:u w:val="none"/>
              </w:rPr>
              <w:t>6.胎心率测量范围：50～210BPM</w:t>
            </w:r>
          </w:p>
          <w:p>
            <w:pPr>
              <w:tabs>
                <w:tab w:val="left" w:pos="1200"/>
              </w:tabs>
              <w:ind w:firstLine="210" w:firstLineChars="100"/>
              <w:jc w:val="left"/>
              <w:rPr>
                <w:rFonts w:ascii="宋体" w:hAnsi="宋体" w:cs="宋体"/>
                <w:color w:val="auto"/>
                <w:szCs w:val="21"/>
                <w:highlight w:val="none"/>
                <w:u w:val="none"/>
              </w:rPr>
            </w:pPr>
            <w:r>
              <w:rPr>
                <w:rFonts w:hint="eastAsia" w:ascii="宋体" w:hAnsi="宋体" w:cs="宋体"/>
                <w:color w:val="auto"/>
                <w:szCs w:val="21"/>
                <w:highlight w:val="none"/>
                <w:u w:val="none"/>
              </w:rPr>
              <w:t>7.测量误差：≤±2bpm</w:t>
            </w:r>
          </w:p>
          <w:p>
            <w:pPr>
              <w:tabs>
                <w:tab w:val="left" w:pos="1200"/>
              </w:tabs>
              <w:ind w:firstLine="210" w:firstLineChars="100"/>
              <w:jc w:val="left"/>
              <w:rPr>
                <w:rFonts w:ascii="宋体" w:hAnsi="宋体" w:cs="宋体"/>
                <w:color w:val="auto"/>
                <w:szCs w:val="21"/>
                <w:highlight w:val="none"/>
                <w:u w:val="none"/>
              </w:rPr>
            </w:pPr>
            <w:r>
              <w:rPr>
                <w:rFonts w:hint="eastAsia" w:ascii="宋体" w:hAnsi="宋体" w:cs="宋体"/>
                <w:color w:val="auto"/>
                <w:szCs w:val="21"/>
                <w:highlight w:val="none"/>
                <w:u w:val="none"/>
              </w:rPr>
              <w:t>8.工作模式：脉冲波多普勒</w:t>
            </w:r>
          </w:p>
          <w:p>
            <w:pPr>
              <w:tabs>
                <w:tab w:val="left" w:pos="1200"/>
              </w:tabs>
              <w:ind w:firstLine="210" w:firstLineChars="100"/>
              <w:jc w:val="left"/>
              <w:rPr>
                <w:rFonts w:ascii="宋体" w:hAnsi="宋体" w:cs="宋体"/>
                <w:color w:val="auto"/>
                <w:szCs w:val="21"/>
                <w:highlight w:val="none"/>
                <w:u w:val="none"/>
              </w:rPr>
            </w:pPr>
            <w:r>
              <w:rPr>
                <w:rFonts w:hint="eastAsia" w:ascii="宋体" w:hAnsi="宋体" w:cs="宋体"/>
                <w:color w:val="auto"/>
                <w:szCs w:val="21"/>
                <w:highlight w:val="none"/>
                <w:u w:val="none"/>
              </w:rPr>
              <w:t>9.超声强度：≤5mW/cm2</w:t>
            </w:r>
          </w:p>
          <w:p>
            <w:pPr>
              <w:tabs>
                <w:tab w:val="left" w:pos="1200"/>
              </w:tabs>
              <w:ind w:firstLine="210" w:firstLineChars="100"/>
              <w:jc w:val="left"/>
              <w:rPr>
                <w:rFonts w:ascii="宋体" w:hAnsi="宋体" w:cs="宋体"/>
                <w:color w:val="auto"/>
                <w:szCs w:val="21"/>
                <w:highlight w:val="none"/>
                <w:u w:val="none"/>
              </w:rPr>
            </w:pPr>
            <w:r>
              <w:rPr>
                <w:rFonts w:hint="eastAsia" w:ascii="宋体" w:hAnsi="宋体" w:cs="宋体"/>
                <w:color w:val="auto"/>
                <w:szCs w:val="21"/>
                <w:highlight w:val="none"/>
                <w:u w:val="none"/>
              </w:rPr>
              <w:t xml:space="preserve">10.工作频率：2.0MHz </w:t>
            </w:r>
          </w:p>
          <w:p>
            <w:pPr>
              <w:tabs>
                <w:tab w:val="left" w:pos="1200"/>
              </w:tabs>
              <w:ind w:firstLine="210" w:firstLineChars="100"/>
              <w:jc w:val="left"/>
              <w:rPr>
                <w:rFonts w:ascii="宋体" w:hAnsi="宋体" w:cs="宋体"/>
                <w:color w:val="auto"/>
                <w:szCs w:val="21"/>
                <w:highlight w:val="none"/>
                <w:u w:val="none"/>
              </w:rPr>
            </w:pPr>
            <w:r>
              <w:rPr>
                <w:rFonts w:hint="eastAsia" w:ascii="宋体" w:hAnsi="宋体" w:cs="宋体"/>
                <w:color w:val="auto"/>
                <w:szCs w:val="21"/>
                <w:highlight w:val="none"/>
                <w:u w:val="none"/>
              </w:rPr>
              <w:t>11.喇叭功率：1W</w:t>
            </w:r>
          </w:p>
          <w:p>
            <w:pPr>
              <w:tabs>
                <w:tab w:val="left" w:pos="1200"/>
              </w:tabs>
              <w:ind w:firstLine="210" w:firstLineChars="100"/>
              <w:jc w:val="left"/>
              <w:rPr>
                <w:rFonts w:ascii="宋体" w:hAnsi="宋体" w:cs="宋体"/>
                <w:color w:val="auto"/>
                <w:szCs w:val="21"/>
                <w:highlight w:val="none"/>
                <w:u w:val="none"/>
              </w:rPr>
            </w:pPr>
            <w:r>
              <w:rPr>
                <w:rFonts w:hint="eastAsia" w:ascii="宋体" w:hAnsi="宋体" w:cs="宋体"/>
                <w:color w:val="auto"/>
                <w:szCs w:val="21"/>
                <w:highlight w:val="none"/>
                <w:u w:val="none"/>
              </w:rPr>
              <w:t>12.内置可充电电池,容量2200mAh</w:t>
            </w:r>
          </w:p>
          <w:p>
            <w:pPr>
              <w:tabs>
                <w:tab w:val="left" w:pos="1200"/>
              </w:tabs>
              <w:ind w:firstLine="210" w:firstLineChars="100"/>
              <w:jc w:val="left"/>
              <w:rPr>
                <w:rFonts w:ascii="宋体" w:hAnsi="宋体" w:cs="宋体"/>
                <w:color w:val="auto"/>
                <w:szCs w:val="21"/>
                <w:highlight w:val="none"/>
                <w:u w:val="none"/>
              </w:rPr>
            </w:pPr>
            <w:r>
              <w:rPr>
                <w:rFonts w:hint="eastAsia" w:ascii="宋体" w:hAnsi="宋体" w:cs="宋体"/>
                <w:color w:val="auto"/>
                <w:szCs w:val="21"/>
                <w:highlight w:val="none"/>
                <w:u w:val="none"/>
              </w:rPr>
              <w:t>13.电池连续工作时间: 大于10小时</w:t>
            </w:r>
          </w:p>
          <w:p>
            <w:pPr>
              <w:tabs>
                <w:tab w:val="left" w:pos="1200"/>
              </w:tabs>
              <w:ind w:firstLine="210" w:firstLineChars="100"/>
              <w:jc w:val="left"/>
              <w:rPr>
                <w:rFonts w:ascii="宋体" w:hAnsi="宋体" w:cs="宋体"/>
                <w:color w:val="auto"/>
                <w:szCs w:val="21"/>
                <w:highlight w:val="none"/>
                <w:u w:val="none"/>
              </w:rPr>
            </w:pPr>
            <w:r>
              <w:rPr>
                <w:rFonts w:hint="eastAsia" w:ascii="宋体" w:hAnsi="宋体" w:cs="宋体"/>
                <w:color w:val="auto"/>
                <w:szCs w:val="21"/>
                <w:highlight w:val="none"/>
                <w:u w:val="none"/>
              </w:rPr>
              <w:t>14.自动关机：无信号、无按键操作时，5 分钟后自动关机</w:t>
            </w:r>
          </w:p>
          <w:p>
            <w:pPr>
              <w:tabs>
                <w:tab w:val="left" w:pos="1200"/>
              </w:tabs>
              <w:ind w:firstLine="210" w:firstLineChars="100"/>
              <w:jc w:val="left"/>
              <w:rPr>
                <w:rFonts w:ascii="宋体" w:hAnsi="宋体" w:cs="宋体"/>
                <w:color w:val="auto"/>
                <w:szCs w:val="21"/>
                <w:highlight w:val="none"/>
                <w:u w:val="none"/>
              </w:rPr>
            </w:pPr>
            <w:r>
              <w:rPr>
                <w:rFonts w:hint="eastAsia" w:ascii="宋体" w:hAnsi="宋体" w:cs="宋体"/>
                <w:color w:val="auto"/>
                <w:szCs w:val="21"/>
                <w:highlight w:val="none"/>
                <w:u w:val="none"/>
              </w:rPr>
              <w:t>15.工作指示：开机进入工作状态时为绿色。有胎心信号时,随着胎心率数值闪烁,当胎心率数值在110～160bpm之间时,该指示灯为绿色；反之为红色</w:t>
            </w:r>
          </w:p>
          <w:p>
            <w:pPr>
              <w:tabs>
                <w:tab w:val="left" w:pos="1200"/>
              </w:tabs>
              <w:ind w:firstLine="210" w:firstLineChars="100"/>
              <w:jc w:val="left"/>
              <w:rPr>
                <w:rFonts w:ascii="宋体" w:hAnsi="宋体" w:cs="宋体"/>
                <w:color w:val="auto"/>
                <w:szCs w:val="21"/>
                <w:highlight w:val="none"/>
                <w:u w:val="none"/>
              </w:rPr>
            </w:pPr>
            <w:r>
              <w:rPr>
                <w:rFonts w:hint="eastAsia" w:ascii="宋体" w:hAnsi="宋体" w:cs="宋体"/>
                <w:color w:val="auto"/>
                <w:szCs w:val="21"/>
                <w:highlight w:val="none"/>
                <w:u w:val="none"/>
              </w:rPr>
              <w:t>16.人机界面友善，仪器工作状态直观，操作简单，方便。</w:t>
            </w:r>
          </w:p>
          <w:p>
            <w:pPr>
              <w:tabs>
                <w:tab w:val="left" w:pos="1200"/>
              </w:tabs>
              <w:ind w:firstLine="210" w:firstLineChars="100"/>
              <w:jc w:val="left"/>
              <w:rPr>
                <w:rFonts w:ascii="宋体" w:hAnsi="宋体" w:cs="宋体"/>
                <w:color w:val="auto"/>
                <w:szCs w:val="21"/>
                <w:highlight w:val="none"/>
                <w:u w:val="none"/>
              </w:rPr>
            </w:pP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szCs w:val="21"/>
                <w:highlight w:val="none"/>
                <w:u w:val="none"/>
              </w:rPr>
            </w:pPr>
            <w:r>
              <w:rPr>
                <w:rFonts w:hint="eastAsia" w:ascii="宋体" w:hAnsi="宋体" w:cs="宋体"/>
                <w:color w:val="auto"/>
                <w:szCs w:val="21"/>
                <w:highlight w:val="none"/>
                <w:u w:val="none"/>
              </w:rPr>
              <w:t>3</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婴儿辐射保暖台</w:t>
            </w:r>
          </w:p>
        </w:tc>
        <w:tc>
          <w:tcPr>
            <w:tcW w:w="7410" w:type="dxa"/>
            <w:tcBorders>
              <w:bottom w:val="single" w:color="auto" w:sz="4" w:space="0"/>
              <w:tl2br w:val="nil"/>
              <w:tr2bl w:val="nil"/>
            </w:tcBorders>
          </w:tcPr>
          <w:p>
            <w:pPr>
              <w:numPr>
                <w:ilvl w:val="0"/>
                <w:numId w:val="8"/>
              </w:num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具有预热、手控、肤温三种温度控制模式；</w:t>
            </w:r>
          </w:p>
          <w:p>
            <w:pPr>
              <w:numPr>
                <w:ilvl w:val="0"/>
                <w:numId w:val="8"/>
              </w:num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设置温度与皮肤温度分屏显示；</w:t>
            </w:r>
          </w:p>
          <w:p>
            <w:pPr>
              <w:numPr>
                <w:ilvl w:val="0"/>
                <w:numId w:val="8"/>
              </w:num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★独立的超温保护系统；</w:t>
            </w:r>
          </w:p>
          <w:p>
            <w:pPr>
              <w:numPr>
                <w:ilvl w:val="0"/>
                <w:numId w:val="8"/>
              </w:num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辐射箱水平角度与婴儿床的倾斜角度可调；</w:t>
            </w:r>
          </w:p>
          <w:p>
            <w:pPr>
              <w:numPr>
                <w:ilvl w:val="0"/>
                <w:numId w:val="8"/>
              </w:num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婴儿床四周的有机玻璃档板可向下翻转或拆卸；</w:t>
            </w:r>
          </w:p>
          <w:p>
            <w:pPr>
              <w:numPr>
                <w:ilvl w:val="0"/>
                <w:numId w:val="8"/>
              </w:num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产品具有自检功能，多种故障报警提示；</w:t>
            </w:r>
          </w:p>
          <w:p>
            <w:pPr>
              <w:numPr>
                <w:ilvl w:val="0"/>
                <w:numId w:val="8"/>
              </w:num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前面板具有温度校正功能；</w:t>
            </w:r>
          </w:p>
          <w:p>
            <w:pPr>
              <w:numPr>
                <w:ilvl w:val="0"/>
                <w:numId w:val="8"/>
              </w:num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★具有肤温传感器脱落报警提示功能；</w:t>
            </w:r>
          </w:p>
          <w:p>
            <w:pPr>
              <w:numPr>
                <w:ilvl w:val="0"/>
                <w:numId w:val="8"/>
              </w:num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婴儿床下可放置X光射线拍片盒；</w:t>
            </w:r>
          </w:p>
          <w:p>
            <w:pPr>
              <w:numPr>
                <w:ilvl w:val="0"/>
                <w:numId w:val="8"/>
              </w:num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★具有数据储存功能；</w:t>
            </w:r>
          </w:p>
          <w:p>
            <w:pPr>
              <w:numPr>
                <w:ilvl w:val="0"/>
                <w:numId w:val="8"/>
              </w:num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具有APGAR评分计时功能；</w:t>
            </w:r>
          </w:p>
          <w:p>
            <w:pPr>
              <w:numPr>
                <w:ilvl w:val="0"/>
                <w:numId w:val="8"/>
              </w:num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具有RS-232接口。</w:t>
            </w:r>
          </w:p>
          <w:p>
            <w:pPr>
              <w:numPr>
                <w:ilvl w:val="0"/>
                <w:numId w:val="8"/>
              </w:num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工作电源：AC220V/ 50HZ；</w:t>
            </w:r>
          </w:p>
          <w:p>
            <w:pPr>
              <w:numPr>
                <w:ilvl w:val="0"/>
                <w:numId w:val="8"/>
              </w:num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输入功率：≤700VA；</w:t>
            </w:r>
          </w:p>
          <w:p>
            <w:pPr>
              <w:numPr>
                <w:ilvl w:val="0"/>
                <w:numId w:val="8"/>
              </w:num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控温方式：预热、手控、肤温三种控制 ；</w:t>
            </w:r>
          </w:p>
          <w:p>
            <w:pPr>
              <w:numPr>
                <w:ilvl w:val="0"/>
                <w:numId w:val="8"/>
              </w:num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肤温控温范围：32℃～37.5℃；</w:t>
            </w:r>
          </w:p>
          <w:p>
            <w:pPr>
              <w:numPr>
                <w:ilvl w:val="0"/>
                <w:numId w:val="8"/>
              </w:num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肤温显示范围：5℃～65℃；</w:t>
            </w:r>
          </w:p>
          <w:p>
            <w:pPr>
              <w:numPr>
                <w:ilvl w:val="0"/>
                <w:numId w:val="8"/>
              </w:num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控温精度：≤0.5℃；</w:t>
            </w:r>
          </w:p>
          <w:p>
            <w:pPr>
              <w:numPr>
                <w:ilvl w:val="0"/>
                <w:numId w:val="8"/>
              </w:num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★皮肤温度传感器精度：±0.2℃内；</w:t>
            </w:r>
          </w:p>
          <w:p>
            <w:pPr>
              <w:numPr>
                <w:ilvl w:val="0"/>
                <w:numId w:val="8"/>
              </w:num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 xml:space="preserve">床面温度均匀性：≤2℃； </w:t>
            </w:r>
          </w:p>
          <w:p>
            <w:pPr>
              <w:numPr>
                <w:ilvl w:val="0"/>
                <w:numId w:val="8"/>
              </w:num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★辐射箱水平角度：0°、30°、60°、90°双向转动；</w:t>
            </w:r>
          </w:p>
          <w:p>
            <w:pPr>
              <w:numPr>
                <w:ilvl w:val="0"/>
                <w:numId w:val="8"/>
              </w:num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婴儿床倾斜角度：无级可调；</w:t>
            </w:r>
          </w:p>
          <w:p>
            <w:pPr>
              <w:numPr>
                <w:ilvl w:val="0"/>
                <w:numId w:val="8"/>
              </w:num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APGAR评分计时：运行至50″～1′、4′50″～5′、9′50″～10′时发出声光提示；</w:t>
            </w:r>
          </w:p>
          <w:p>
            <w:pPr>
              <w:numPr>
                <w:ilvl w:val="0"/>
                <w:numId w:val="8"/>
              </w:num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故障报警：断电、传感器、偏差、超温、设置、检查和系统等；</w:t>
            </w: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3</w:t>
            </w:r>
          </w:p>
        </w:tc>
        <w:tc>
          <w:tcPr>
            <w:tcW w:w="555" w:type="dxa"/>
            <w:tcBorders>
              <w:tl2br w:val="nil"/>
              <w:tr2bl w:val="nil"/>
            </w:tcBorders>
            <w:vAlign w:val="center"/>
          </w:tcPr>
          <w:p>
            <w:pPr>
              <w:pStyle w:val="11"/>
              <w:jc w:val="center"/>
              <w:rPr>
                <w:rFonts w:ascii="宋体" w:hAnsi="宋体" w:cs="宋体"/>
                <w:color w:val="auto"/>
                <w:sz w:val="21"/>
                <w:szCs w:val="21"/>
                <w:highlight w:val="none"/>
                <w:u w:val="none"/>
              </w:rPr>
            </w:pPr>
            <w:r>
              <w:rPr>
                <w:rFonts w:hint="eastAsia" w:ascii="宋体" w:hAnsi="宋体" w:cs="宋体"/>
                <w:color w:val="auto"/>
                <w:sz w:val="21"/>
                <w:szCs w:val="21"/>
                <w:highlight w:val="none"/>
                <w:u w:val="none"/>
              </w:rPr>
              <w:t>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szCs w:val="21"/>
                <w:highlight w:val="none"/>
                <w:u w:val="none"/>
              </w:rPr>
            </w:pPr>
            <w:r>
              <w:rPr>
                <w:rFonts w:hint="eastAsia" w:ascii="宋体" w:hAnsi="宋体" w:cs="宋体"/>
                <w:color w:val="auto"/>
                <w:kern w:val="0"/>
                <w:szCs w:val="21"/>
                <w:highlight w:val="none"/>
                <w:u w:val="none"/>
              </w:rPr>
              <w:t>4</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腔镜器械烘干机</w:t>
            </w:r>
          </w:p>
        </w:tc>
        <w:tc>
          <w:tcPr>
            <w:tcW w:w="7410" w:type="dxa"/>
            <w:tcBorders>
              <w:bottom w:val="single" w:color="auto" w:sz="4" w:space="0"/>
              <w:tl2br w:val="nil"/>
              <w:tr2bl w:val="nil"/>
            </w:tcBorders>
          </w:tcPr>
          <w:p>
            <w:pPr>
              <w:pStyle w:val="11"/>
              <w:rPr>
                <w:rFonts w:ascii="宋体" w:hAnsi="宋体" w:cs="宋体"/>
                <w:color w:val="auto"/>
                <w:sz w:val="21"/>
                <w:szCs w:val="21"/>
                <w:highlight w:val="none"/>
                <w:u w:val="none"/>
              </w:rPr>
            </w:pPr>
            <w:r>
              <w:rPr>
                <w:rFonts w:hint="eastAsia" w:ascii="宋体" w:hAnsi="宋体" w:cs="宋体"/>
                <w:color w:val="auto"/>
                <w:sz w:val="21"/>
                <w:szCs w:val="21"/>
                <w:highlight w:val="none"/>
                <w:u w:val="none"/>
              </w:rPr>
              <w:t>一、主体要求：</w:t>
            </w:r>
          </w:p>
          <w:p>
            <w:pPr>
              <w:pStyle w:val="11"/>
              <w:numPr>
                <w:ilvl w:val="0"/>
                <w:numId w:val="9"/>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外观要求：整体全不锈钢拉丝外罩外观，整洁易于清理。</w:t>
            </w:r>
          </w:p>
          <w:p>
            <w:pPr>
              <w:numPr>
                <w:ilvl w:val="0"/>
                <w:numId w:val="9"/>
              </w:numPr>
              <w:rPr>
                <w:rFonts w:ascii="宋体" w:hAnsi="宋体" w:cs="宋体"/>
                <w:color w:val="auto"/>
                <w:szCs w:val="21"/>
                <w:highlight w:val="none"/>
                <w:u w:val="none"/>
              </w:rPr>
            </w:pPr>
            <w:r>
              <w:rPr>
                <w:rFonts w:hint="eastAsia" w:ascii="宋体" w:hAnsi="宋体" w:cs="宋体"/>
                <w:color w:val="auto"/>
                <w:szCs w:val="21"/>
                <w:highlight w:val="none"/>
                <w:u w:val="none"/>
              </w:rPr>
              <w:t>材质要求：舱体采用优质铝合金防锈板拼接成型，阳极氧化处理，表面光洁，提高热辐射效率，有利于腔内温度控制，有效提高干燥性能。</w:t>
            </w:r>
          </w:p>
          <w:p>
            <w:pPr>
              <w:pStyle w:val="11"/>
              <w:numPr>
                <w:ilvl w:val="0"/>
                <w:numId w:val="9"/>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★舱体结构：方形舱体，上下双舱体，分开独立运行，单舱一次可装载2个标配器械托盘的器械；舱体深度≥700mm，更适合较长硬镜类负载的干燥。</w:t>
            </w:r>
          </w:p>
          <w:p>
            <w:pPr>
              <w:numPr>
                <w:ilvl w:val="0"/>
                <w:numId w:val="9"/>
              </w:numPr>
              <w:rPr>
                <w:rFonts w:ascii="宋体" w:hAnsi="宋体" w:cs="宋体"/>
                <w:color w:val="auto"/>
                <w:szCs w:val="21"/>
                <w:highlight w:val="none"/>
                <w:u w:val="none"/>
              </w:rPr>
            </w:pPr>
            <w:r>
              <w:rPr>
                <w:rFonts w:hint="eastAsia" w:ascii="宋体" w:hAnsi="宋体" w:cs="宋体"/>
                <w:color w:val="auto"/>
                <w:szCs w:val="21"/>
                <w:highlight w:val="none"/>
                <w:u w:val="none"/>
              </w:rPr>
              <w:t>加热方式：柜体壁面加热方式，采用PTC加热膜，安全高效，升温均匀。</w:t>
            </w:r>
          </w:p>
          <w:p>
            <w:pPr>
              <w:pStyle w:val="11"/>
              <w:numPr>
                <w:ilvl w:val="0"/>
                <w:numId w:val="9"/>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保温材料：采用粘胶纤维保温层，厚度≥10mm，外覆绝缘布、防火性能好、有效阻止热量散失。</w:t>
            </w:r>
          </w:p>
          <w:p>
            <w:pPr>
              <w:rPr>
                <w:rFonts w:ascii="宋体" w:hAnsi="宋体" w:cs="宋体"/>
                <w:color w:val="auto"/>
                <w:szCs w:val="21"/>
                <w:highlight w:val="none"/>
                <w:u w:val="none"/>
              </w:rPr>
            </w:pPr>
            <w:r>
              <w:rPr>
                <w:rFonts w:hint="eastAsia" w:ascii="宋体" w:hAnsi="宋体" w:cs="宋体"/>
                <w:color w:val="auto"/>
                <w:szCs w:val="21"/>
                <w:highlight w:val="none"/>
                <w:u w:val="none"/>
              </w:rPr>
              <w:t>二、密封门要求：</w:t>
            </w:r>
          </w:p>
          <w:p>
            <w:pPr>
              <w:numPr>
                <w:ilvl w:val="0"/>
                <w:numId w:val="10"/>
              </w:numPr>
              <w:rPr>
                <w:rFonts w:ascii="宋体" w:hAnsi="宋体" w:cs="宋体"/>
                <w:color w:val="auto"/>
                <w:szCs w:val="21"/>
                <w:highlight w:val="none"/>
                <w:u w:val="none"/>
              </w:rPr>
            </w:pPr>
            <w:r>
              <w:rPr>
                <w:rFonts w:hint="eastAsia" w:ascii="宋体" w:hAnsi="宋体" w:cs="宋体"/>
                <w:color w:val="auto"/>
                <w:szCs w:val="21"/>
                <w:highlight w:val="none"/>
                <w:u w:val="none"/>
              </w:rPr>
              <w:t>密封门材质要求：门框采用不锈钢板焊接成型，强度高，不变形；门罩采用不锈钢拉丝板刨槽钣金折弯成型。前后双门结构，可做通道式隔断安装。</w:t>
            </w:r>
          </w:p>
          <w:p>
            <w:pPr>
              <w:pStyle w:val="11"/>
              <w:numPr>
                <w:ilvl w:val="0"/>
                <w:numId w:val="10"/>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门胶条要求：门胶条采用白色医用硅橡胶模压而成。</w:t>
            </w:r>
          </w:p>
          <w:p>
            <w:pPr>
              <w:numPr>
                <w:ilvl w:val="0"/>
                <w:numId w:val="10"/>
              </w:numPr>
              <w:rPr>
                <w:rFonts w:ascii="宋体" w:hAnsi="宋体" w:cs="宋体"/>
                <w:color w:val="auto"/>
                <w:szCs w:val="21"/>
                <w:highlight w:val="none"/>
                <w:u w:val="none"/>
              </w:rPr>
            </w:pPr>
            <w:r>
              <w:rPr>
                <w:rFonts w:hint="eastAsia" w:ascii="宋体" w:hAnsi="宋体" w:cs="宋体"/>
                <w:color w:val="auto"/>
                <w:szCs w:val="21"/>
                <w:highlight w:val="none"/>
                <w:u w:val="none"/>
              </w:rPr>
              <w:t>门密封要求：采用钢化玻璃密封，带有高透玻璃视窗，保证密封同时，可在运行中观察内部负载情况。</w:t>
            </w:r>
          </w:p>
          <w:p>
            <w:pPr>
              <w:pStyle w:val="11"/>
              <w:numPr>
                <w:ilvl w:val="0"/>
                <w:numId w:val="10"/>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★门锁装置：电动锁，自动检测门关位，安全方便，避免手动操作引起的误操作。</w:t>
            </w:r>
          </w:p>
          <w:p>
            <w:pPr>
              <w:rPr>
                <w:rFonts w:ascii="宋体" w:hAnsi="宋体" w:cs="宋体"/>
                <w:color w:val="auto"/>
                <w:szCs w:val="21"/>
                <w:highlight w:val="none"/>
                <w:u w:val="none"/>
              </w:rPr>
            </w:pPr>
            <w:r>
              <w:rPr>
                <w:rFonts w:hint="eastAsia" w:ascii="宋体" w:hAnsi="宋体" w:cs="宋体"/>
                <w:color w:val="auto"/>
                <w:szCs w:val="21"/>
                <w:highlight w:val="none"/>
                <w:u w:val="none"/>
              </w:rPr>
              <w:t>三、管路系统要求：</w:t>
            </w:r>
          </w:p>
          <w:p>
            <w:pPr>
              <w:pStyle w:val="11"/>
              <w:numPr>
                <w:ilvl w:val="0"/>
                <w:numId w:val="11"/>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泵：高效真空泵，运行平稳，低噪音，低震动，抽空速度快，维修保养方便。</w:t>
            </w:r>
          </w:p>
          <w:p>
            <w:pPr>
              <w:numPr>
                <w:ilvl w:val="0"/>
                <w:numId w:val="11"/>
              </w:numPr>
              <w:rPr>
                <w:rFonts w:ascii="宋体" w:hAnsi="宋体" w:cs="宋体"/>
                <w:color w:val="auto"/>
                <w:szCs w:val="21"/>
                <w:highlight w:val="none"/>
                <w:u w:val="none"/>
              </w:rPr>
            </w:pPr>
            <w:r>
              <w:rPr>
                <w:rFonts w:hint="eastAsia" w:ascii="宋体" w:hAnsi="宋体" w:cs="宋体"/>
                <w:color w:val="auto"/>
                <w:szCs w:val="21"/>
                <w:highlight w:val="none"/>
                <w:u w:val="none"/>
              </w:rPr>
              <w:t>控制阀：抽空阀采用电动执行器控制，更安全、可靠；回空阀为进口电磁阀，质量稳定、寿命长。</w:t>
            </w:r>
          </w:p>
          <w:p>
            <w:pPr>
              <w:pStyle w:val="11"/>
              <w:numPr>
                <w:ilvl w:val="0"/>
                <w:numId w:val="11"/>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过热保护：设备具有加热系统故障检测、保护、报警功能，采用知名品牌过热保护器，。保护阶段，程序停止运行，排出故障后，方可正常使用。</w:t>
            </w:r>
          </w:p>
          <w:p>
            <w:pPr>
              <w:numPr>
                <w:ilvl w:val="0"/>
                <w:numId w:val="11"/>
              </w:numPr>
              <w:rPr>
                <w:rFonts w:ascii="宋体" w:hAnsi="宋体" w:cs="宋体"/>
                <w:color w:val="auto"/>
                <w:szCs w:val="21"/>
                <w:highlight w:val="none"/>
                <w:u w:val="none"/>
              </w:rPr>
            </w:pPr>
            <w:r>
              <w:rPr>
                <w:rFonts w:hint="eastAsia" w:ascii="宋体" w:hAnsi="宋体" w:cs="宋体"/>
                <w:color w:val="auto"/>
                <w:szCs w:val="21"/>
                <w:highlight w:val="none"/>
                <w:u w:val="none"/>
              </w:rPr>
              <w:t>过滤器要求：进气采用高效空气过滤器过滤，过滤精度0.3μm，有效阻隔空气中的粉尘颗粒等进入舱体内。</w:t>
            </w:r>
          </w:p>
          <w:p>
            <w:pPr>
              <w:pStyle w:val="11"/>
              <w:rPr>
                <w:rFonts w:ascii="宋体" w:hAnsi="宋体" w:cs="宋体"/>
                <w:color w:val="auto"/>
                <w:sz w:val="21"/>
                <w:szCs w:val="21"/>
                <w:highlight w:val="none"/>
                <w:u w:val="none"/>
              </w:rPr>
            </w:pPr>
            <w:r>
              <w:rPr>
                <w:rFonts w:hint="eastAsia" w:ascii="宋体" w:hAnsi="宋体" w:cs="宋体"/>
                <w:color w:val="auto"/>
                <w:sz w:val="21"/>
                <w:szCs w:val="21"/>
                <w:highlight w:val="none"/>
                <w:u w:val="none"/>
              </w:rPr>
              <w:t>四、★控制系统要求：</w:t>
            </w:r>
          </w:p>
          <w:p>
            <w:pPr>
              <w:numPr>
                <w:ilvl w:val="0"/>
                <w:numId w:val="12"/>
              </w:numPr>
              <w:rPr>
                <w:rFonts w:ascii="宋体" w:hAnsi="宋体" w:cs="宋体"/>
                <w:color w:val="auto"/>
                <w:szCs w:val="21"/>
                <w:highlight w:val="none"/>
                <w:u w:val="none"/>
              </w:rPr>
            </w:pPr>
            <w:r>
              <w:rPr>
                <w:rFonts w:hint="eastAsia" w:ascii="宋体" w:hAnsi="宋体" w:cs="宋体"/>
                <w:color w:val="auto"/>
                <w:szCs w:val="21"/>
                <w:highlight w:val="none"/>
                <w:u w:val="none"/>
              </w:rPr>
              <w:t>采用PLC控制器，具有一个以太网接口和一个RS485/RS422接口；</w:t>
            </w:r>
          </w:p>
          <w:p>
            <w:pPr>
              <w:numPr>
                <w:ilvl w:val="0"/>
                <w:numId w:val="12"/>
              </w:numPr>
              <w:rPr>
                <w:rFonts w:ascii="宋体" w:hAnsi="宋体" w:cs="宋体"/>
                <w:color w:val="auto"/>
                <w:szCs w:val="21"/>
                <w:highlight w:val="none"/>
                <w:u w:val="none"/>
              </w:rPr>
            </w:pPr>
            <w:r>
              <w:rPr>
                <w:rFonts w:hint="eastAsia" w:ascii="宋体" w:hAnsi="宋体" w:cs="宋体"/>
                <w:color w:val="auto"/>
                <w:szCs w:val="21"/>
                <w:highlight w:val="none"/>
                <w:u w:val="none"/>
              </w:rPr>
              <w:t>采用7寸高清彩色触摸屏作为人机操作界面，可显示温度、压力、运行时间、报警信息等参数，触摸式操作，操作方便、简单；</w:t>
            </w:r>
          </w:p>
          <w:p>
            <w:pPr>
              <w:numPr>
                <w:ilvl w:val="0"/>
                <w:numId w:val="12"/>
              </w:numPr>
              <w:rPr>
                <w:rFonts w:ascii="宋体" w:hAnsi="宋体" w:cs="宋体"/>
                <w:color w:val="auto"/>
                <w:szCs w:val="21"/>
                <w:highlight w:val="none"/>
                <w:u w:val="none"/>
              </w:rPr>
            </w:pPr>
            <w:r>
              <w:rPr>
                <w:rFonts w:hint="eastAsia" w:ascii="宋体" w:hAnsi="宋体" w:cs="宋体"/>
                <w:color w:val="auto"/>
                <w:szCs w:val="21"/>
                <w:highlight w:val="none"/>
                <w:u w:val="none"/>
              </w:rPr>
              <w:t xml:space="preserve">触摸屏自带USB接口，可接入最大4G储存U盘，可记录运行数据和报警信息。 </w:t>
            </w:r>
          </w:p>
          <w:p>
            <w:pPr>
              <w:spacing w:line="400" w:lineRule="exact"/>
              <w:rPr>
                <w:rFonts w:ascii="宋体" w:hAnsi="宋体" w:cs="宋体"/>
                <w:color w:val="auto"/>
                <w:szCs w:val="21"/>
                <w:highlight w:val="none"/>
                <w:u w:val="none"/>
              </w:rPr>
            </w:pPr>
            <w:r>
              <w:rPr>
                <w:rFonts w:hint="eastAsia" w:ascii="宋体" w:hAnsi="宋体" w:cs="宋体"/>
                <w:color w:val="auto"/>
                <w:szCs w:val="21"/>
                <w:highlight w:val="none"/>
                <w:u w:val="none"/>
              </w:rPr>
              <w:t>五、★程序系统：</w:t>
            </w:r>
          </w:p>
          <w:p>
            <w:pPr>
              <w:pStyle w:val="11"/>
              <w:numPr>
                <w:ilvl w:val="0"/>
                <w:numId w:val="13"/>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内置12套程序，其中8套默认程序和4套自定义程序，用户可根据需求自行调节参数；</w:t>
            </w:r>
          </w:p>
          <w:p>
            <w:pPr>
              <w:pStyle w:val="11"/>
              <w:numPr>
                <w:ilvl w:val="0"/>
                <w:numId w:val="13"/>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温度可调范围：室温～65℃；</w:t>
            </w:r>
          </w:p>
          <w:p>
            <w:pPr>
              <w:pStyle w:val="11"/>
              <w:numPr>
                <w:ilvl w:val="0"/>
                <w:numId w:val="13"/>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控制压力：0~101kPa；</w:t>
            </w:r>
          </w:p>
          <w:p>
            <w:pPr>
              <w:pStyle w:val="11"/>
              <w:numPr>
                <w:ilvl w:val="0"/>
                <w:numId w:val="13"/>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操作权限：三级权限，防止误操作；</w:t>
            </w:r>
          </w:p>
          <w:p>
            <w:pPr>
              <w:pStyle w:val="11"/>
              <w:numPr>
                <w:ilvl w:val="0"/>
                <w:numId w:val="13"/>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智能模式：设备利用高精度传感器技术，智能判断腔内物品的干燥情况。物品干燥后，程序自动结束，实现一键干燥。程序运行全过程无时间限制，可对物品进行长时间干燥，对物品无任何损伤。</w:t>
            </w:r>
          </w:p>
          <w:p>
            <w:pPr>
              <w:rPr>
                <w:rFonts w:ascii="宋体" w:hAnsi="宋体" w:cs="宋体"/>
                <w:color w:val="auto"/>
                <w:szCs w:val="21"/>
                <w:highlight w:val="none"/>
                <w:u w:val="none"/>
              </w:rPr>
            </w:pPr>
            <w:r>
              <w:rPr>
                <w:rFonts w:hint="eastAsia" w:ascii="宋体" w:hAnsi="宋体" w:cs="宋体"/>
                <w:color w:val="auto"/>
                <w:szCs w:val="21"/>
                <w:highlight w:val="none"/>
                <w:u w:val="none"/>
              </w:rPr>
              <w:t>六、安全装置：</w:t>
            </w:r>
          </w:p>
          <w:p>
            <w:pPr>
              <w:pStyle w:val="11"/>
              <w:rPr>
                <w:rFonts w:ascii="宋体" w:hAnsi="宋体" w:cs="宋体"/>
                <w:color w:val="auto"/>
                <w:sz w:val="21"/>
                <w:szCs w:val="21"/>
                <w:highlight w:val="none"/>
                <w:u w:val="none"/>
              </w:rPr>
            </w:pPr>
            <w:r>
              <w:rPr>
                <w:rFonts w:hint="eastAsia" w:ascii="宋体" w:hAnsi="宋体" w:cs="宋体"/>
                <w:color w:val="auto"/>
                <w:sz w:val="21"/>
                <w:szCs w:val="21"/>
                <w:highlight w:val="none"/>
                <w:u w:val="none"/>
              </w:rPr>
              <w:t>设备带有防过载、短路保护装置，PLC实时限温保护，超温保护，真空泵热过载保护，门电机过载保护。</w:t>
            </w:r>
          </w:p>
          <w:p>
            <w:pPr>
              <w:rPr>
                <w:rFonts w:ascii="宋体" w:hAnsi="宋体" w:cs="宋体"/>
                <w:color w:val="auto"/>
                <w:szCs w:val="21"/>
                <w:highlight w:val="none"/>
                <w:u w:val="none"/>
              </w:rPr>
            </w:pPr>
            <w:r>
              <w:rPr>
                <w:rFonts w:hint="eastAsia" w:ascii="宋体" w:hAnsi="宋体" w:cs="宋体"/>
                <w:color w:val="auto"/>
                <w:kern w:val="0"/>
                <w:szCs w:val="21"/>
                <w:highlight w:val="none"/>
                <w:u w:val="none"/>
              </w:rPr>
              <w:t>七、容积要求：不小于100L。</w:t>
            </w: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w:t>
            </w:r>
          </w:p>
        </w:tc>
        <w:tc>
          <w:tcPr>
            <w:tcW w:w="555" w:type="dxa"/>
            <w:tcBorders>
              <w:tl2br w:val="nil"/>
              <w:tr2bl w:val="nil"/>
            </w:tcBorders>
            <w:vAlign w:val="center"/>
          </w:tcPr>
          <w:p>
            <w:pPr>
              <w:widowControl/>
              <w:jc w:val="center"/>
              <w:rPr>
                <w:rFonts w:ascii="宋体" w:hAnsi="宋体" w:cs="宋体"/>
                <w:color w:val="auto"/>
                <w:szCs w:val="21"/>
                <w:highlight w:val="none"/>
                <w:u w:val="none"/>
              </w:rPr>
            </w:pPr>
            <w:r>
              <w:rPr>
                <w:rFonts w:hint="eastAsia" w:ascii="宋体" w:hAnsi="宋体" w:cs="宋体"/>
                <w:color w:val="auto"/>
                <w:kern w:val="0"/>
                <w:szCs w:val="21"/>
                <w:highlight w:val="none"/>
                <w:u w:val="none"/>
              </w:rPr>
              <w:t>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5</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三目显微镜</w:t>
            </w:r>
          </w:p>
        </w:tc>
        <w:tc>
          <w:tcPr>
            <w:tcW w:w="7410" w:type="dxa"/>
            <w:tcBorders>
              <w:bottom w:val="single" w:color="auto" w:sz="4" w:space="0"/>
              <w:tl2br w:val="nil"/>
              <w:tr2bl w:val="nil"/>
            </w:tcBorders>
          </w:tcPr>
          <w:p>
            <w:pPr>
              <w:numPr>
                <w:ilvl w:val="0"/>
                <w:numId w:val="14"/>
              </w:numPr>
              <w:spacing w:line="360" w:lineRule="auto"/>
              <w:rPr>
                <w:rFonts w:ascii="宋体" w:hAnsi="宋体" w:cs="宋体"/>
                <w:color w:val="auto"/>
                <w:szCs w:val="21"/>
                <w:highlight w:val="none"/>
                <w:u w:val="none"/>
              </w:rPr>
            </w:pPr>
            <w:r>
              <w:rPr>
                <w:rFonts w:hint="eastAsia" w:ascii="宋体" w:hAnsi="宋体" w:cs="宋体"/>
                <w:color w:val="auto"/>
                <w:szCs w:val="21"/>
                <w:highlight w:val="none"/>
                <w:u w:val="none"/>
              </w:rPr>
              <w:t>观察方式：可作明场观察，可升级荧光、暗场、相差、简易偏光等观察方式。</w:t>
            </w:r>
          </w:p>
          <w:p>
            <w:pPr>
              <w:numPr>
                <w:ilvl w:val="0"/>
                <w:numId w:val="14"/>
              </w:numPr>
              <w:spacing w:line="360" w:lineRule="auto"/>
              <w:rPr>
                <w:rFonts w:ascii="宋体" w:hAnsi="宋体" w:cs="宋体"/>
                <w:color w:val="auto"/>
                <w:szCs w:val="21"/>
                <w:highlight w:val="none"/>
                <w:u w:val="none"/>
              </w:rPr>
            </w:pPr>
            <w:r>
              <w:rPr>
                <w:rFonts w:hint="eastAsia" w:ascii="宋体" w:hAnsi="宋体" w:cs="宋体"/>
                <w:color w:val="auto"/>
                <w:szCs w:val="21"/>
                <w:highlight w:val="none"/>
                <w:u w:val="none"/>
              </w:rPr>
              <w:t>放大倍率：20X-400X。</w:t>
            </w:r>
          </w:p>
          <w:p>
            <w:pPr>
              <w:numPr>
                <w:ilvl w:val="0"/>
                <w:numId w:val="14"/>
              </w:numPr>
              <w:spacing w:line="360" w:lineRule="auto"/>
              <w:rPr>
                <w:rFonts w:ascii="宋体" w:hAnsi="宋体" w:cs="宋体"/>
                <w:color w:val="auto"/>
                <w:szCs w:val="21"/>
                <w:highlight w:val="none"/>
                <w:u w:val="none"/>
              </w:rPr>
            </w:pPr>
            <w:r>
              <w:rPr>
                <w:rFonts w:hint="eastAsia" w:ascii="宋体" w:hAnsi="宋体" w:cs="宋体"/>
                <w:color w:val="auto"/>
                <w:szCs w:val="21"/>
                <w:highlight w:val="none"/>
                <w:u w:val="none"/>
              </w:rPr>
              <w:t>光学系统：齐焦距离≥60mm 的无限远光学系统，更长的齐焦距离可保证在呈现高对比度及最小杂光的清晰图像的同时，使得数值孔径更高、工作距离更长；物镜内置多一组色差校正镜片组，在物镜内部即可做到完全的色差校正。</w:t>
            </w:r>
          </w:p>
          <w:p>
            <w:pPr>
              <w:numPr>
                <w:ilvl w:val="0"/>
                <w:numId w:val="14"/>
              </w:numPr>
              <w:spacing w:line="360" w:lineRule="auto"/>
              <w:rPr>
                <w:rFonts w:ascii="宋体" w:hAnsi="宋体" w:cs="宋体"/>
                <w:color w:val="auto"/>
                <w:szCs w:val="21"/>
                <w:highlight w:val="none"/>
                <w:u w:val="none"/>
              </w:rPr>
            </w:pPr>
            <w:r>
              <w:rPr>
                <w:rFonts w:hint="eastAsia" w:ascii="宋体" w:hAnsi="宋体" w:cs="宋体"/>
                <w:color w:val="auto"/>
                <w:szCs w:val="21"/>
                <w:highlight w:val="none"/>
                <w:u w:val="none"/>
              </w:rPr>
              <w:t>★显微镜主机内置提供最佳成像照明的“复眼光学透镜”：由蝇眼多透镜组成的网状复眼光学系统，确保从低倍（1X）到高倍（100X），在观察、特别是拍照的时候，可以避免普通单个透镜形成的图象中央亮、四周暗的缺陷，使显微镜在任何放大倍率下都能够清晰地获得图像信息并保持整个视场发光范围内高亮度、均一性，在视野边缘处也可实现均匀明亮的照明，达到完美的数字成像。特别适合病理诊断观察和拍照。</w:t>
            </w:r>
          </w:p>
          <w:p>
            <w:pPr>
              <w:numPr>
                <w:ilvl w:val="0"/>
                <w:numId w:val="14"/>
              </w:numPr>
              <w:spacing w:line="360" w:lineRule="auto"/>
              <w:rPr>
                <w:rFonts w:ascii="宋体" w:hAnsi="宋体" w:cs="宋体"/>
                <w:color w:val="auto"/>
                <w:szCs w:val="21"/>
                <w:highlight w:val="none"/>
                <w:u w:val="none"/>
              </w:rPr>
            </w:pPr>
            <w:r>
              <w:rPr>
                <w:rFonts w:hint="eastAsia" w:ascii="宋体" w:hAnsi="宋体" w:cs="宋体"/>
                <w:color w:val="auto"/>
                <w:szCs w:val="21"/>
                <w:highlight w:val="none"/>
                <w:u w:val="none"/>
              </w:rPr>
              <w:t>★观察镜筒：防霉型大视野三目镜筒 F.O.V. 25mm，三档分光：100:0 / 20：80 / 0：100。</w:t>
            </w:r>
          </w:p>
          <w:p>
            <w:pPr>
              <w:numPr>
                <w:ilvl w:val="0"/>
                <w:numId w:val="14"/>
              </w:numPr>
              <w:spacing w:line="360" w:lineRule="auto"/>
              <w:rPr>
                <w:rFonts w:ascii="宋体" w:hAnsi="宋体" w:cs="宋体"/>
                <w:color w:val="auto"/>
                <w:szCs w:val="21"/>
                <w:highlight w:val="none"/>
                <w:u w:val="none"/>
              </w:rPr>
            </w:pPr>
            <w:r>
              <w:rPr>
                <w:rFonts w:hint="eastAsia" w:ascii="宋体" w:hAnsi="宋体" w:cs="宋体"/>
                <w:color w:val="auto"/>
                <w:szCs w:val="21"/>
                <w:highlight w:val="none"/>
                <w:u w:val="none"/>
              </w:rPr>
              <w:t>★目镜：10X/25mm 宽视野目镜，双目镜都带视度调节。</w:t>
            </w:r>
          </w:p>
          <w:p>
            <w:pPr>
              <w:numPr>
                <w:ilvl w:val="0"/>
                <w:numId w:val="14"/>
              </w:numPr>
              <w:spacing w:line="360" w:lineRule="auto"/>
              <w:rPr>
                <w:rFonts w:ascii="宋体" w:hAnsi="宋体" w:cs="宋体"/>
                <w:color w:val="auto"/>
                <w:szCs w:val="21"/>
                <w:highlight w:val="none"/>
                <w:u w:val="none"/>
              </w:rPr>
            </w:pPr>
            <w:r>
              <w:rPr>
                <w:rFonts w:hint="eastAsia" w:ascii="宋体" w:hAnsi="宋体" w:cs="宋体"/>
                <w:color w:val="auto"/>
                <w:szCs w:val="21"/>
                <w:highlight w:val="none"/>
                <w:u w:val="none"/>
              </w:rPr>
              <w:t>★调焦机构：同轴粗微调焦，微调旋钮可左右互换，粗调行程 30mm，粗调每转 9.33mm，最小微调刻度单位 1 微米。粗调扭矩可调，带上限位装置。具有重新调焦功能：可以设定锁定载物台的最高位置，防止载物台快速上升时切片意外碰到物镜。</w:t>
            </w:r>
          </w:p>
          <w:p>
            <w:pPr>
              <w:numPr>
                <w:ilvl w:val="0"/>
                <w:numId w:val="14"/>
              </w:numPr>
              <w:spacing w:line="360" w:lineRule="auto"/>
              <w:rPr>
                <w:rFonts w:ascii="宋体" w:hAnsi="宋体" w:cs="宋体"/>
                <w:color w:val="auto"/>
                <w:szCs w:val="21"/>
                <w:highlight w:val="none"/>
                <w:u w:val="none"/>
              </w:rPr>
            </w:pPr>
            <w:r>
              <w:rPr>
                <w:rFonts w:hint="eastAsia" w:ascii="宋体" w:hAnsi="宋体" w:cs="宋体"/>
                <w:color w:val="auto"/>
                <w:szCs w:val="21"/>
                <w:highlight w:val="none"/>
                <w:u w:val="none"/>
              </w:rPr>
              <w:t>★物镜转换器：六孔物镜转换器。</w:t>
            </w:r>
          </w:p>
          <w:p>
            <w:pPr>
              <w:numPr>
                <w:ilvl w:val="0"/>
                <w:numId w:val="14"/>
              </w:numPr>
              <w:spacing w:line="360" w:lineRule="auto"/>
              <w:rPr>
                <w:rFonts w:ascii="宋体" w:hAnsi="宋体" w:cs="宋体"/>
                <w:color w:val="auto"/>
                <w:szCs w:val="21"/>
                <w:highlight w:val="none"/>
                <w:u w:val="none"/>
              </w:rPr>
            </w:pPr>
            <w:r>
              <w:rPr>
                <w:rFonts w:hint="eastAsia" w:ascii="宋体" w:hAnsi="宋体" w:cs="宋体"/>
                <w:color w:val="auto"/>
                <w:szCs w:val="21"/>
                <w:highlight w:val="none"/>
                <w:u w:val="none"/>
              </w:rPr>
              <w:t>长工作距离平场消色差物镜：</w:t>
            </w:r>
          </w:p>
          <w:p>
            <w:pPr>
              <w:spacing w:line="360" w:lineRule="auto"/>
              <w:ind w:left="400"/>
              <w:rPr>
                <w:rFonts w:ascii="宋体" w:hAnsi="宋体" w:cs="宋体"/>
                <w:color w:val="auto"/>
                <w:szCs w:val="21"/>
                <w:highlight w:val="none"/>
                <w:u w:val="none"/>
              </w:rPr>
            </w:pPr>
            <w:r>
              <w:rPr>
                <w:rFonts w:hint="eastAsia" w:ascii="宋体" w:hAnsi="宋体" w:cs="宋体"/>
                <w:color w:val="auto"/>
                <w:szCs w:val="21"/>
                <w:highlight w:val="none"/>
                <w:u w:val="none"/>
              </w:rPr>
              <w:t>★（1） 4X（N.A. 0.10, W.D. 30.0mm）；</w:t>
            </w:r>
          </w:p>
          <w:p>
            <w:pPr>
              <w:spacing w:line="360" w:lineRule="auto"/>
              <w:ind w:left="400"/>
              <w:rPr>
                <w:rFonts w:ascii="宋体" w:hAnsi="宋体" w:cs="宋体"/>
                <w:color w:val="auto"/>
                <w:szCs w:val="21"/>
                <w:highlight w:val="none"/>
                <w:u w:val="none"/>
              </w:rPr>
            </w:pPr>
            <w:r>
              <w:rPr>
                <w:rFonts w:hint="eastAsia" w:ascii="宋体" w:hAnsi="宋体" w:cs="宋体"/>
                <w:color w:val="auto"/>
                <w:szCs w:val="21"/>
                <w:highlight w:val="none"/>
                <w:u w:val="none"/>
              </w:rPr>
              <w:t>（2） 10X（N.A. 0.25, W.D. 10.5mm）；</w:t>
            </w:r>
          </w:p>
          <w:p>
            <w:pPr>
              <w:spacing w:line="360" w:lineRule="auto"/>
              <w:ind w:left="400"/>
              <w:rPr>
                <w:rFonts w:ascii="宋体" w:hAnsi="宋体" w:cs="宋体"/>
                <w:color w:val="auto"/>
                <w:szCs w:val="21"/>
                <w:highlight w:val="none"/>
                <w:u w:val="none"/>
              </w:rPr>
            </w:pPr>
            <w:r>
              <w:rPr>
                <w:rFonts w:hint="eastAsia" w:ascii="宋体" w:hAnsi="宋体" w:cs="宋体"/>
                <w:color w:val="auto"/>
                <w:szCs w:val="21"/>
                <w:highlight w:val="none"/>
                <w:u w:val="none"/>
              </w:rPr>
              <w:t>（3） 20X（N.A. 0.40, W.D. 1.2mm）；</w:t>
            </w:r>
          </w:p>
          <w:p>
            <w:pPr>
              <w:spacing w:line="360" w:lineRule="auto"/>
              <w:ind w:left="400"/>
              <w:rPr>
                <w:rFonts w:ascii="宋体" w:hAnsi="宋体" w:cs="宋体"/>
                <w:color w:val="auto"/>
                <w:szCs w:val="21"/>
                <w:highlight w:val="none"/>
                <w:u w:val="none"/>
              </w:rPr>
            </w:pPr>
            <w:r>
              <w:rPr>
                <w:rFonts w:hint="eastAsia" w:ascii="宋体" w:hAnsi="宋体" w:cs="宋体"/>
                <w:color w:val="auto"/>
                <w:szCs w:val="21"/>
                <w:highlight w:val="none"/>
                <w:u w:val="none"/>
              </w:rPr>
              <w:t>（4） 40X（N.A. 0.65, W.D. 0.56mm）。</w:t>
            </w:r>
          </w:p>
          <w:p>
            <w:pPr>
              <w:numPr>
                <w:ilvl w:val="0"/>
                <w:numId w:val="14"/>
              </w:numPr>
              <w:spacing w:line="360" w:lineRule="auto"/>
              <w:rPr>
                <w:rFonts w:ascii="宋体" w:hAnsi="宋体" w:cs="宋体"/>
                <w:color w:val="auto"/>
                <w:szCs w:val="21"/>
                <w:highlight w:val="none"/>
                <w:u w:val="none"/>
              </w:rPr>
            </w:pPr>
            <w:r>
              <w:rPr>
                <w:rFonts w:hint="eastAsia" w:ascii="宋体" w:hAnsi="宋体" w:cs="宋体"/>
                <w:color w:val="auto"/>
                <w:szCs w:val="21"/>
                <w:highlight w:val="none"/>
                <w:u w:val="none"/>
              </w:rPr>
              <w:t>载物台：高抗磨损性、超硬防腐层表面载物台，右手低位控制，配有旋转机构以及扭矩调节机构，XY 移动行程 78mm×54mm，双切片标本夹。载物台 XY 移动手柄可以上下调整距离（离桌面高度）和调节松紧度，可以被设置成操作者习惯的模式，确保真正意上的单手操作（标本移动和调焦）。</w:t>
            </w:r>
          </w:p>
          <w:p>
            <w:pPr>
              <w:numPr>
                <w:ilvl w:val="0"/>
                <w:numId w:val="14"/>
              </w:numPr>
              <w:spacing w:line="360" w:lineRule="auto"/>
              <w:rPr>
                <w:rFonts w:ascii="宋体" w:hAnsi="宋体" w:cs="宋体"/>
                <w:color w:val="auto"/>
                <w:szCs w:val="21"/>
                <w:highlight w:val="none"/>
                <w:u w:val="none"/>
              </w:rPr>
            </w:pPr>
            <w:r>
              <w:rPr>
                <w:rFonts w:hint="eastAsia" w:ascii="宋体" w:hAnsi="宋体" w:cs="宋体"/>
                <w:color w:val="auto"/>
                <w:szCs w:val="21"/>
                <w:highlight w:val="none"/>
                <w:u w:val="none"/>
              </w:rPr>
              <w:t>定位式载物台手柄设计：载物台控制手柄在载物台移动时总是保持在同一位置，即使观察点需要不断进行切换时，操作者也可以舒适地将手放在桌上。</w:t>
            </w:r>
          </w:p>
          <w:p>
            <w:pPr>
              <w:numPr>
                <w:ilvl w:val="0"/>
                <w:numId w:val="14"/>
              </w:numPr>
              <w:spacing w:line="360" w:lineRule="auto"/>
              <w:rPr>
                <w:rFonts w:ascii="宋体" w:hAnsi="宋体" w:cs="宋体"/>
                <w:color w:val="auto"/>
                <w:szCs w:val="21"/>
                <w:highlight w:val="none"/>
                <w:u w:val="none"/>
              </w:rPr>
            </w:pPr>
            <w:r>
              <w:rPr>
                <w:rFonts w:hint="eastAsia" w:ascii="宋体" w:hAnsi="宋体" w:cs="宋体"/>
                <w:color w:val="auto"/>
                <w:szCs w:val="21"/>
                <w:highlight w:val="none"/>
                <w:u w:val="none"/>
              </w:rPr>
              <w:t>聚光镜：摇出式聚光器 N.A. 0.9，聚光镜调焦行程 27mm。</w:t>
            </w:r>
          </w:p>
          <w:p>
            <w:pPr>
              <w:numPr>
                <w:ilvl w:val="0"/>
                <w:numId w:val="14"/>
              </w:numPr>
              <w:spacing w:line="360" w:lineRule="auto"/>
              <w:rPr>
                <w:rFonts w:ascii="宋体" w:hAnsi="宋体" w:cs="宋体"/>
                <w:color w:val="auto"/>
                <w:szCs w:val="21"/>
                <w:highlight w:val="none"/>
                <w:u w:val="none"/>
              </w:rPr>
            </w:pPr>
            <w:r>
              <w:rPr>
                <w:rFonts w:hint="eastAsia" w:ascii="宋体" w:hAnsi="宋体" w:cs="宋体"/>
                <w:color w:val="auto"/>
                <w:szCs w:val="21"/>
                <w:highlight w:val="none"/>
                <w:u w:val="none"/>
              </w:rPr>
              <w:t>照明系统：长效高亮度白光 LED 光源，寿命 60000 小时，柯勒照明。复眼照明电路提供比传统系统更完善的照明条件。亮度控制旋钮具有预设功能。</w:t>
            </w:r>
          </w:p>
          <w:p>
            <w:pPr>
              <w:numPr>
                <w:ilvl w:val="0"/>
                <w:numId w:val="14"/>
              </w:numPr>
              <w:spacing w:line="360" w:lineRule="auto"/>
              <w:rPr>
                <w:rFonts w:ascii="宋体" w:hAnsi="宋体" w:cs="宋体"/>
                <w:color w:val="auto"/>
                <w:szCs w:val="21"/>
                <w:highlight w:val="none"/>
                <w:u w:val="none"/>
              </w:rPr>
            </w:pPr>
            <w:r>
              <w:rPr>
                <w:rFonts w:hint="eastAsia" w:ascii="宋体" w:hAnsi="宋体" w:cs="宋体"/>
                <w:color w:val="auto"/>
                <w:szCs w:val="21"/>
                <w:highlight w:val="none"/>
                <w:u w:val="none"/>
              </w:rPr>
              <w:t>显微镜机身带有图象拍摄按钮，可以控制本品牌数码成像系统快速照相，眼睛无需离开目镜，只需按下显微镜底座上的图象拍摄按钮即可获取清晰的图像。</w:t>
            </w:r>
          </w:p>
          <w:p>
            <w:pPr>
              <w:tabs>
                <w:tab w:val="left" w:pos="855"/>
              </w:tabs>
              <w:ind w:firstLine="210" w:firstLineChars="100"/>
              <w:jc w:val="left"/>
              <w:rPr>
                <w:rFonts w:ascii="宋体" w:hAnsi="宋体" w:cs="宋体"/>
                <w:color w:val="auto"/>
                <w:szCs w:val="21"/>
                <w:highlight w:val="none"/>
                <w:u w:val="none"/>
              </w:rPr>
            </w:pP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6</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生物显微镜</w:t>
            </w:r>
          </w:p>
        </w:tc>
        <w:tc>
          <w:tcPr>
            <w:tcW w:w="7410" w:type="dxa"/>
            <w:tcBorders>
              <w:bottom w:val="single" w:color="auto" w:sz="4" w:space="0"/>
              <w:tl2br w:val="nil"/>
              <w:tr2bl w:val="nil"/>
            </w:tcBorders>
          </w:tcPr>
          <w:p>
            <w:pPr>
              <w:numPr>
                <w:ilvl w:val="0"/>
                <w:numId w:val="15"/>
              </w:numPr>
              <w:rPr>
                <w:rFonts w:ascii="宋体" w:hAnsi="宋体" w:cs="宋体"/>
                <w:color w:val="auto"/>
                <w:szCs w:val="21"/>
                <w:highlight w:val="none"/>
                <w:u w:val="none"/>
              </w:rPr>
            </w:pPr>
            <w:r>
              <w:rPr>
                <w:rFonts w:hint="eastAsia" w:ascii="宋体" w:hAnsi="宋体" w:cs="宋体"/>
                <w:color w:val="auto"/>
                <w:szCs w:val="21"/>
                <w:highlight w:val="none"/>
                <w:u w:val="none"/>
              </w:rPr>
              <w:t>★显微镜主机：研究级正置全自动数码一体显微镜，自动显微镜定量细胞计数，同时实现单细胞水平细胞形态分析。</w:t>
            </w:r>
          </w:p>
          <w:p>
            <w:pPr>
              <w:numPr>
                <w:ilvl w:val="0"/>
                <w:numId w:val="15"/>
              </w:numPr>
              <w:rPr>
                <w:rFonts w:ascii="宋体" w:hAnsi="宋体" w:cs="宋体"/>
                <w:color w:val="auto"/>
                <w:szCs w:val="21"/>
                <w:highlight w:val="none"/>
                <w:u w:val="none"/>
              </w:rPr>
            </w:pPr>
            <w:r>
              <w:rPr>
                <w:rFonts w:hint="eastAsia" w:ascii="宋体" w:hAnsi="宋体" w:cs="宋体"/>
                <w:color w:val="auto"/>
                <w:szCs w:val="21"/>
                <w:highlight w:val="none"/>
                <w:u w:val="none"/>
              </w:rPr>
              <w:t>★光学系统：采用UIS无限远光学校正系统，物镜的齐焦距离（不包括盖玻片厚度）为45 mm，符合国际标准；</w:t>
            </w:r>
          </w:p>
          <w:p>
            <w:pPr>
              <w:numPr>
                <w:ilvl w:val="0"/>
                <w:numId w:val="15"/>
              </w:numPr>
              <w:rPr>
                <w:rFonts w:ascii="宋体" w:hAnsi="宋体" w:cs="宋体"/>
                <w:color w:val="auto"/>
                <w:szCs w:val="21"/>
                <w:highlight w:val="none"/>
                <w:u w:val="none"/>
              </w:rPr>
            </w:pPr>
            <w:r>
              <w:rPr>
                <w:rFonts w:hint="eastAsia" w:ascii="宋体" w:hAnsi="宋体" w:cs="宋体"/>
                <w:color w:val="auto"/>
                <w:szCs w:val="21"/>
                <w:highlight w:val="none"/>
                <w:u w:val="none"/>
              </w:rPr>
              <w:t>调焦：载物台垂直移动，行程不小于25mm，带聚焦粗调限位器，粗调旋钮扭矩可调，最小调节精度≤1微米；</w:t>
            </w:r>
          </w:p>
          <w:p>
            <w:pPr>
              <w:numPr>
                <w:ilvl w:val="0"/>
                <w:numId w:val="15"/>
              </w:numPr>
              <w:rPr>
                <w:rFonts w:ascii="宋体" w:hAnsi="宋体" w:cs="宋体"/>
                <w:color w:val="auto"/>
                <w:szCs w:val="21"/>
                <w:highlight w:val="none"/>
                <w:u w:val="none"/>
              </w:rPr>
            </w:pPr>
            <w:r>
              <w:rPr>
                <w:rFonts w:hint="eastAsia" w:ascii="宋体" w:hAnsi="宋体" w:cs="宋体"/>
                <w:color w:val="auto"/>
                <w:szCs w:val="21"/>
                <w:highlight w:val="none"/>
                <w:u w:val="none"/>
              </w:rPr>
              <w:t>照明装置：内置透射光柯勒照明器，卤素灯：12v/20w</w:t>
            </w:r>
          </w:p>
          <w:p>
            <w:pPr>
              <w:numPr>
                <w:ilvl w:val="0"/>
                <w:numId w:val="15"/>
              </w:numPr>
              <w:rPr>
                <w:rFonts w:ascii="宋体" w:hAnsi="宋体" w:cs="宋体"/>
                <w:color w:val="auto"/>
                <w:szCs w:val="21"/>
                <w:highlight w:val="none"/>
                <w:u w:val="none"/>
              </w:rPr>
            </w:pPr>
            <w:r>
              <w:rPr>
                <w:rFonts w:hint="eastAsia" w:ascii="宋体" w:hAnsi="宋体" w:cs="宋体"/>
                <w:color w:val="auto"/>
                <w:szCs w:val="21"/>
                <w:highlight w:val="none"/>
                <w:u w:val="none"/>
              </w:rPr>
              <w:t>物镜转换器：四孔物镜转换器；可实现软件自动切换，无需手动调整</w:t>
            </w:r>
          </w:p>
          <w:p>
            <w:pPr>
              <w:numPr>
                <w:ilvl w:val="0"/>
                <w:numId w:val="15"/>
              </w:numPr>
              <w:rPr>
                <w:rFonts w:ascii="宋体" w:hAnsi="宋体" w:cs="宋体"/>
                <w:color w:val="auto"/>
                <w:szCs w:val="21"/>
                <w:highlight w:val="none"/>
                <w:u w:val="none"/>
              </w:rPr>
            </w:pPr>
            <w:r>
              <w:rPr>
                <w:rFonts w:hint="eastAsia" w:ascii="宋体" w:hAnsi="宋体" w:cs="宋体"/>
                <w:color w:val="auto"/>
                <w:szCs w:val="21"/>
                <w:highlight w:val="none"/>
                <w:u w:val="none"/>
              </w:rPr>
              <w:t>观察筒：宽场三目观察筒，倾角为30°；</w:t>
            </w:r>
          </w:p>
          <w:p>
            <w:pPr>
              <w:numPr>
                <w:ilvl w:val="0"/>
                <w:numId w:val="15"/>
              </w:numPr>
              <w:rPr>
                <w:rFonts w:ascii="宋体" w:hAnsi="宋体" w:cs="宋体"/>
                <w:color w:val="auto"/>
                <w:szCs w:val="21"/>
                <w:highlight w:val="none"/>
                <w:u w:val="none"/>
              </w:rPr>
            </w:pPr>
            <w:r>
              <w:rPr>
                <w:rFonts w:hint="eastAsia" w:ascii="宋体" w:hAnsi="宋体" w:cs="宋体"/>
                <w:color w:val="auto"/>
                <w:szCs w:val="21"/>
                <w:highlight w:val="none"/>
                <w:u w:val="none"/>
              </w:rPr>
              <w:t>目镜：10X目镜</w:t>
            </w:r>
          </w:p>
          <w:p>
            <w:pPr>
              <w:numPr>
                <w:ilvl w:val="0"/>
                <w:numId w:val="15"/>
              </w:numPr>
              <w:rPr>
                <w:rFonts w:ascii="宋体" w:hAnsi="宋体" w:cs="宋体"/>
                <w:color w:val="auto"/>
                <w:szCs w:val="21"/>
                <w:highlight w:val="none"/>
                <w:u w:val="none"/>
              </w:rPr>
            </w:pPr>
            <w:r>
              <w:rPr>
                <w:rFonts w:hint="eastAsia" w:ascii="宋体" w:hAnsi="宋体" w:cs="宋体"/>
                <w:color w:val="auto"/>
                <w:szCs w:val="21"/>
                <w:highlight w:val="none"/>
                <w:u w:val="none"/>
              </w:rPr>
              <w:t>载物台：载物台能实现XYZ最小移动范围X轴70mm,Y轴50mm，载物台Z轴最小移动范围：25mm；</w:t>
            </w:r>
          </w:p>
          <w:p>
            <w:pPr>
              <w:numPr>
                <w:ilvl w:val="0"/>
                <w:numId w:val="15"/>
              </w:numPr>
              <w:rPr>
                <w:rFonts w:ascii="宋体" w:hAnsi="宋体" w:cs="宋体"/>
                <w:color w:val="auto"/>
                <w:szCs w:val="21"/>
                <w:highlight w:val="none"/>
                <w:u w:val="none"/>
              </w:rPr>
            </w:pPr>
            <w:r>
              <w:rPr>
                <w:rFonts w:hint="eastAsia" w:ascii="宋体" w:hAnsi="宋体" w:cs="宋体"/>
                <w:color w:val="auto"/>
                <w:szCs w:val="21"/>
                <w:highlight w:val="none"/>
                <w:u w:val="none"/>
              </w:rPr>
              <w:t>物镜：（4×） （10×）  （40×） （100×Oil）</w:t>
            </w:r>
          </w:p>
          <w:p>
            <w:pPr>
              <w:numPr>
                <w:ilvl w:val="0"/>
                <w:numId w:val="15"/>
              </w:numPr>
              <w:rPr>
                <w:rFonts w:ascii="宋体" w:hAnsi="宋体" w:cs="宋体"/>
                <w:color w:val="auto"/>
                <w:szCs w:val="21"/>
                <w:highlight w:val="none"/>
                <w:u w:val="none"/>
              </w:rPr>
            </w:pPr>
            <w:r>
              <w:rPr>
                <w:rFonts w:hint="eastAsia" w:ascii="宋体" w:hAnsi="宋体" w:cs="宋体"/>
                <w:color w:val="auto"/>
                <w:szCs w:val="21"/>
                <w:highlight w:val="none"/>
                <w:u w:val="none"/>
              </w:rPr>
              <w:t>切换不同放大倍数时显微镜能够自动识别，软件同步切换，自动标尺，无需手动调节；</w:t>
            </w:r>
          </w:p>
          <w:p>
            <w:pPr>
              <w:numPr>
                <w:ilvl w:val="0"/>
                <w:numId w:val="15"/>
              </w:numPr>
              <w:rPr>
                <w:rFonts w:ascii="宋体" w:hAnsi="宋体" w:cs="宋体"/>
                <w:color w:val="auto"/>
                <w:szCs w:val="21"/>
                <w:highlight w:val="none"/>
                <w:u w:val="none"/>
              </w:rPr>
            </w:pPr>
            <w:r>
              <w:rPr>
                <w:rFonts w:hint="eastAsia" w:ascii="宋体" w:hAnsi="宋体" w:cs="宋体"/>
                <w:color w:val="auto"/>
                <w:szCs w:val="21"/>
                <w:highlight w:val="none"/>
                <w:u w:val="none"/>
              </w:rPr>
              <w:t>芯片规格：1/2.5"(5.7x4.28)  英寸；</w:t>
            </w:r>
          </w:p>
          <w:p>
            <w:pPr>
              <w:numPr>
                <w:ilvl w:val="0"/>
                <w:numId w:val="15"/>
              </w:numPr>
              <w:rPr>
                <w:rFonts w:ascii="宋体" w:hAnsi="宋体" w:cs="宋体"/>
                <w:color w:val="auto"/>
                <w:szCs w:val="21"/>
                <w:highlight w:val="none"/>
                <w:u w:val="none"/>
              </w:rPr>
            </w:pPr>
            <w:r>
              <w:rPr>
                <w:rFonts w:hint="eastAsia" w:ascii="宋体" w:hAnsi="宋体" w:cs="宋体"/>
                <w:color w:val="auto"/>
                <w:szCs w:val="21"/>
                <w:highlight w:val="none"/>
                <w:u w:val="none"/>
              </w:rPr>
              <w:t>最大图像分辨率：14.2@2560x1922 38.3@1280x960 101.2@640x480（像素移动）；</w:t>
            </w:r>
          </w:p>
          <w:p>
            <w:pPr>
              <w:numPr>
                <w:ilvl w:val="0"/>
                <w:numId w:val="15"/>
              </w:numPr>
              <w:rPr>
                <w:rFonts w:ascii="宋体" w:hAnsi="宋体" w:cs="宋体"/>
                <w:color w:val="auto"/>
                <w:szCs w:val="21"/>
                <w:highlight w:val="none"/>
                <w:u w:val="none"/>
              </w:rPr>
            </w:pPr>
            <w:r>
              <w:rPr>
                <w:rFonts w:hint="eastAsia" w:ascii="宋体" w:hAnsi="宋体" w:cs="宋体"/>
                <w:color w:val="auto"/>
                <w:szCs w:val="21"/>
                <w:highlight w:val="none"/>
                <w:u w:val="none"/>
              </w:rPr>
              <w:t>感光灵敏度：1.76v/lux-sec；</w:t>
            </w:r>
          </w:p>
          <w:p>
            <w:pPr>
              <w:numPr>
                <w:ilvl w:val="0"/>
                <w:numId w:val="15"/>
              </w:numPr>
              <w:rPr>
                <w:rFonts w:ascii="宋体" w:hAnsi="宋体" w:cs="宋体"/>
                <w:color w:val="auto"/>
                <w:szCs w:val="21"/>
                <w:highlight w:val="none"/>
                <w:u w:val="none"/>
              </w:rPr>
            </w:pPr>
            <w:r>
              <w:rPr>
                <w:rFonts w:hint="eastAsia" w:ascii="宋体" w:hAnsi="宋体" w:cs="宋体"/>
                <w:color w:val="auto"/>
                <w:szCs w:val="21"/>
                <w:highlight w:val="none"/>
                <w:u w:val="none"/>
              </w:rPr>
              <w:t>图像速度：101.2@640x480；</w:t>
            </w:r>
          </w:p>
          <w:p>
            <w:pPr>
              <w:numPr>
                <w:ilvl w:val="0"/>
                <w:numId w:val="15"/>
              </w:numPr>
              <w:rPr>
                <w:rFonts w:ascii="宋体" w:hAnsi="宋体" w:cs="宋体"/>
                <w:color w:val="auto"/>
                <w:szCs w:val="21"/>
                <w:highlight w:val="none"/>
                <w:u w:val="none"/>
              </w:rPr>
            </w:pPr>
            <w:r>
              <w:rPr>
                <w:rFonts w:hint="eastAsia" w:ascii="宋体" w:hAnsi="宋体" w:cs="宋体"/>
                <w:color w:val="auto"/>
                <w:szCs w:val="21"/>
                <w:highlight w:val="none"/>
                <w:u w:val="none"/>
              </w:rPr>
              <w:t>测光模式：手动，自动；</w:t>
            </w:r>
          </w:p>
          <w:p>
            <w:pPr>
              <w:numPr>
                <w:ilvl w:val="0"/>
                <w:numId w:val="15"/>
              </w:numPr>
              <w:rPr>
                <w:rFonts w:ascii="宋体" w:hAnsi="宋体" w:cs="宋体"/>
                <w:color w:val="auto"/>
                <w:szCs w:val="21"/>
                <w:highlight w:val="none"/>
                <w:u w:val="none"/>
              </w:rPr>
            </w:pPr>
            <w:r>
              <w:rPr>
                <w:rFonts w:hint="eastAsia" w:ascii="宋体" w:hAnsi="宋体" w:cs="宋体"/>
                <w:color w:val="auto"/>
                <w:szCs w:val="21"/>
                <w:highlight w:val="none"/>
                <w:u w:val="none"/>
              </w:rPr>
              <w:t>曝光时间：0.05ms~2000ms；</w:t>
            </w:r>
          </w:p>
          <w:p>
            <w:pPr>
              <w:numPr>
                <w:ilvl w:val="0"/>
                <w:numId w:val="15"/>
              </w:numPr>
              <w:rPr>
                <w:rFonts w:ascii="宋体" w:hAnsi="宋体" w:cs="宋体"/>
                <w:color w:val="auto"/>
                <w:szCs w:val="21"/>
                <w:highlight w:val="none"/>
                <w:u w:val="none"/>
              </w:rPr>
            </w:pPr>
            <w:r>
              <w:rPr>
                <w:rFonts w:hint="eastAsia" w:ascii="宋体" w:hAnsi="宋体" w:cs="宋体"/>
                <w:color w:val="auto"/>
                <w:szCs w:val="21"/>
                <w:highlight w:val="none"/>
                <w:u w:val="none"/>
              </w:rPr>
              <w:t>制冷模式：自然冷却；</w:t>
            </w:r>
          </w:p>
          <w:p>
            <w:pPr>
              <w:numPr>
                <w:ilvl w:val="0"/>
                <w:numId w:val="15"/>
              </w:numPr>
              <w:rPr>
                <w:rFonts w:ascii="宋体" w:hAnsi="宋体" w:cs="宋体"/>
                <w:color w:val="auto"/>
                <w:szCs w:val="21"/>
                <w:highlight w:val="none"/>
                <w:u w:val="none"/>
              </w:rPr>
            </w:pPr>
            <w:r>
              <w:rPr>
                <w:rFonts w:hint="eastAsia" w:ascii="宋体" w:hAnsi="宋体" w:cs="宋体"/>
                <w:color w:val="auto"/>
                <w:szCs w:val="21"/>
                <w:highlight w:val="none"/>
                <w:u w:val="none"/>
              </w:rPr>
              <w:t>动态范围：67.7dB；</w:t>
            </w:r>
          </w:p>
          <w:p>
            <w:pPr>
              <w:numPr>
                <w:ilvl w:val="0"/>
                <w:numId w:val="15"/>
              </w:numPr>
              <w:rPr>
                <w:rFonts w:ascii="宋体" w:hAnsi="宋体" w:cs="宋体"/>
                <w:color w:val="auto"/>
                <w:szCs w:val="21"/>
                <w:highlight w:val="none"/>
                <w:u w:val="none"/>
              </w:rPr>
            </w:pPr>
            <w:r>
              <w:rPr>
                <w:rFonts w:hint="eastAsia" w:ascii="宋体" w:hAnsi="宋体" w:cs="宋体"/>
                <w:color w:val="auto"/>
                <w:szCs w:val="21"/>
                <w:highlight w:val="none"/>
                <w:u w:val="none"/>
              </w:rPr>
              <w:t>色彩模式：CMOS模式；</w:t>
            </w:r>
          </w:p>
          <w:p>
            <w:pPr>
              <w:numPr>
                <w:ilvl w:val="0"/>
                <w:numId w:val="15"/>
              </w:numPr>
              <w:rPr>
                <w:rFonts w:ascii="宋体" w:hAnsi="宋体" w:cs="宋体"/>
                <w:color w:val="auto"/>
                <w:szCs w:val="21"/>
                <w:highlight w:val="none"/>
                <w:u w:val="none"/>
              </w:rPr>
            </w:pPr>
            <w:r>
              <w:rPr>
                <w:rFonts w:hint="eastAsia" w:ascii="宋体" w:hAnsi="宋体" w:cs="宋体"/>
                <w:color w:val="auto"/>
                <w:szCs w:val="21"/>
                <w:highlight w:val="none"/>
                <w:u w:val="none"/>
              </w:rPr>
              <w:t>★数据接口：USB3.0；</w:t>
            </w:r>
          </w:p>
          <w:p>
            <w:pPr>
              <w:numPr>
                <w:ilvl w:val="0"/>
                <w:numId w:val="15"/>
              </w:numPr>
              <w:rPr>
                <w:rFonts w:ascii="宋体" w:hAnsi="宋体" w:cs="宋体"/>
                <w:color w:val="auto"/>
                <w:szCs w:val="21"/>
                <w:highlight w:val="none"/>
                <w:u w:val="none"/>
              </w:rPr>
            </w:pPr>
            <w:r>
              <w:rPr>
                <w:rFonts w:hint="eastAsia" w:ascii="宋体" w:hAnsi="宋体" w:cs="宋体"/>
                <w:color w:val="auto"/>
                <w:szCs w:val="21"/>
                <w:highlight w:val="none"/>
                <w:u w:val="none"/>
              </w:rPr>
              <w:t>图像处理：可与显微镜的智能型部件结合对图像数据进行快速处理，实现编码控制功能，能够实现自动图像拼接和景深扩展；</w:t>
            </w:r>
          </w:p>
          <w:p>
            <w:pPr>
              <w:numPr>
                <w:ilvl w:val="0"/>
                <w:numId w:val="15"/>
              </w:numPr>
              <w:rPr>
                <w:rFonts w:ascii="宋体" w:hAnsi="宋体" w:cs="宋体"/>
                <w:color w:val="auto"/>
                <w:szCs w:val="21"/>
                <w:highlight w:val="none"/>
                <w:u w:val="none"/>
              </w:rPr>
            </w:pPr>
            <w:r>
              <w:rPr>
                <w:rFonts w:hint="eastAsia" w:ascii="宋体" w:hAnsi="宋体" w:cs="宋体"/>
                <w:color w:val="auto"/>
                <w:szCs w:val="21"/>
                <w:highlight w:val="none"/>
                <w:u w:val="none"/>
              </w:rPr>
              <w:t>可以支持电动载物台进行切片等全区域扫描，并提供整体图像相对位置的参照；可以进行自动大标本的高分辨率全视野图像采集； 可以进行多位点采集，观察位点的位置信息可以存储，并随时调用；</w:t>
            </w:r>
          </w:p>
          <w:p>
            <w:pPr>
              <w:numPr>
                <w:ilvl w:val="0"/>
                <w:numId w:val="15"/>
              </w:numPr>
              <w:rPr>
                <w:rFonts w:ascii="宋体" w:hAnsi="宋体" w:cs="宋体"/>
                <w:color w:val="auto"/>
                <w:szCs w:val="21"/>
                <w:highlight w:val="none"/>
                <w:u w:val="none"/>
              </w:rPr>
            </w:pPr>
            <w:r>
              <w:rPr>
                <w:rFonts w:hint="eastAsia" w:ascii="宋体" w:hAnsi="宋体" w:cs="宋体"/>
                <w:color w:val="auto"/>
                <w:szCs w:val="21"/>
                <w:highlight w:val="none"/>
                <w:u w:val="none"/>
              </w:rPr>
              <w:t>成像电脑一台，与成像软件兼容；</w:t>
            </w:r>
          </w:p>
          <w:p>
            <w:pPr>
              <w:ind w:firstLine="210" w:firstLineChars="100"/>
              <w:rPr>
                <w:rFonts w:ascii="宋体" w:hAnsi="宋体" w:cs="宋体"/>
                <w:color w:val="auto"/>
                <w:szCs w:val="21"/>
                <w:highlight w:val="none"/>
                <w:u w:val="none"/>
              </w:rPr>
            </w:pP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7</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震动网筛式雾化器</w:t>
            </w:r>
          </w:p>
        </w:tc>
        <w:tc>
          <w:tcPr>
            <w:tcW w:w="7410" w:type="dxa"/>
            <w:tcBorders>
              <w:bottom w:val="single" w:color="auto" w:sz="4" w:space="0"/>
              <w:tl2br w:val="nil"/>
              <w:tr2bl w:val="nil"/>
            </w:tcBorders>
          </w:tcPr>
          <w:p>
            <w:pPr>
              <w:pStyle w:val="16"/>
              <w:spacing w:beforeAutospacing="0" w:afterAutospacing="0"/>
              <w:ind w:left="210" w:leftChars="100"/>
              <w:rPr>
                <w:rFonts w:ascii="宋体" w:hAnsi="宋体" w:cs="宋体"/>
                <w:color w:val="auto"/>
                <w:sz w:val="21"/>
                <w:szCs w:val="21"/>
                <w:highlight w:val="none"/>
                <w:u w:val="none"/>
              </w:rPr>
            </w:pPr>
            <w:r>
              <w:rPr>
                <w:rFonts w:hint="eastAsia" w:ascii="宋体" w:hAnsi="宋体" w:cs="宋体"/>
                <w:color w:val="auto"/>
                <w:sz w:val="21"/>
                <w:szCs w:val="21"/>
                <w:highlight w:val="none"/>
                <w:u w:val="none"/>
              </w:rPr>
              <w:t>一、产品适应症要求：</w:t>
            </w:r>
          </w:p>
          <w:p>
            <w:pPr>
              <w:pStyle w:val="16"/>
              <w:spacing w:beforeAutospacing="0" w:afterAutospacing="0"/>
              <w:ind w:left="210" w:leftChars="100"/>
              <w:rPr>
                <w:rFonts w:ascii="宋体" w:hAnsi="宋体" w:cs="宋体"/>
                <w:color w:val="auto"/>
                <w:sz w:val="21"/>
                <w:szCs w:val="21"/>
                <w:highlight w:val="none"/>
                <w:u w:val="none"/>
              </w:rPr>
            </w:pPr>
            <w:r>
              <w:rPr>
                <w:rFonts w:hint="eastAsia" w:ascii="宋体" w:hAnsi="宋体" w:cs="宋体"/>
                <w:color w:val="auto"/>
                <w:sz w:val="21"/>
                <w:szCs w:val="21"/>
                <w:highlight w:val="none"/>
                <w:u w:val="none"/>
              </w:rPr>
              <w:t>本产品适用于对处方药物进行雾化，以便患者吸入。设备可用于使用间断机械通气或其他正压呼吸辅助设备的患者。</w:t>
            </w:r>
          </w:p>
          <w:p>
            <w:pPr>
              <w:pStyle w:val="16"/>
              <w:spacing w:beforeAutospacing="0" w:afterAutospacing="0"/>
              <w:ind w:left="210" w:leftChars="100"/>
              <w:rPr>
                <w:rFonts w:ascii="宋体" w:hAnsi="宋体" w:cs="宋体"/>
                <w:color w:val="auto"/>
                <w:sz w:val="21"/>
                <w:szCs w:val="21"/>
                <w:highlight w:val="none"/>
                <w:u w:val="none"/>
              </w:rPr>
            </w:pPr>
            <w:r>
              <w:rPr>
                <w:rFonts w:hint="eastAsia" w:ascii="宋体" w:hAnsi="宋体" w:cs="宋体"/>
                <w:color w:val="auto"/>
                <w:sz w:val="21"/>
                <w:szCs w:val="21"/>
                <w:highlight w:val="none"/>
                <w:u w:val="none"/>
              </w:rPr>
              <w:t>二、性能要求：</w:t>
            </w:r>
          </w:p>
          <w:p>
            <w:pPr>
              <w:pStyle w:val="16"/>
              <w:numPr>
                <w:ilvl w:val="0"/>
                <w:numId w:val="16"/>
              </w:numPr>
              <w:spacing w:beforeAutospacing="0" w:afterAutospacing="0"/>
              <w:rPr>
                <w:rFonts w:ascii="宋体" w:hAnsi="宋体" w:cs="宋体"/>
                <w:color w:val="auto"/>
                <w:sz w:val="21"/>
                <w:szCs w:val="21"/>
                <w:highlight w:val="none"/>
                <w:u w:val="none"/>
              </w:rPr>
            </w:pPr>
            <w:r>
              <w:rPr>
                <w:rFonts w:hint="eastAsia" w:ascii="宋体" w:hAnsi="宋体" w:cs="宋体"/>
                <w:color w:val="auto"/>
                <w:sz w:val="21"/>
                <w:szCs w:val="21"/>
                <w:highlight w:val="none"/>
                <w:u w:val="none"/>
              </w:rPr>
              <w:t>采用非压缩或超声雾化工作模式；</w:t>
            </w:r>
          </w:p>
          <w:p>
            <w:pPr>
              <w:pStyle w:val="16"/>
              <w:numPr>
                <w:ilvl w:val="0"/>
                <w:numId w:val="16"/>
              </w:numPr>
              <w:spacing w:beforeAutospacing="0" w:afterAutospacing="0"/>
              <w:rPr>
                <w:rFonts w:ascii="宋体" w:hAnsi="宋体" w:cs="宋体"/>
                <w:color w:val="auto"/>
                <w:sz w:val="21"/>
                <w:szCs w:val="21"/>
                <w:highlight w:val="none"/>
                <w:u w:val="none"/>
              </w:rPr>
            </w:pPr>
            <w:r>
              <w:rPr>
                <w:rFonts w:hint="eastAsia" w:ascii="宋体" w:hAnsi="宋体" w:cs="宋体"/>
                <w:color w:val="auto"/>
                <w:sz w:val="21"/>
                <w:szCs w:val="21"/>
                <w:highlight w:val="none"/>
                <w:u w:val="none"/>
              </w:rPr>
              <w:t>能产生精细的适于肺内沉积的气溶胶药物颗粒；</w:t>
            </w:r>
          </w:p>
          <w:p>
            <w:pPr>
              <w:pStyle w:val="16"/>
              <w:numPr>
                <w:ilvl w:val="0"/>
                <w:numId w:val="16"/>
              </w:numPr>
              <w:spacing w:beforeAutospacing="0" w:afterAutospacing="0"/>
              <w:rPr>
                <w:rFonts w:ascii="宋体" w:hAnsi="宋体" w:cs="宋体"/>
                <w:color w:val="auto"/>
                <w:sz w:val="21"/>
                <w:szCs w:val="21"/>
                <w:highlight w:val="none"/>
                <w:u w:val="none"/>
              </w:rPr>
            </w:pPr>
            <w:r>
              <w:rPr>
                <w:rFonts w:hint="eastAsia" w:ascii="宋体" w:hAnsi="宋体" w:cs="宋体"/>
                <w:color w:val="auto"/>
                <w:sz w:val="21"/>
                <w:szCs w:val="21"/>
                <w:highlight w:val="none"/>
                <w:u w:val="none"/>
              </w:rPr>
              <w:t>★有效输送溶液、悬浮液、蛋白质和缩氨酸；</w:t>
            </w:r>
          </w:p>
          <w:p>
            <w:pPr>
              <w:pStyle w:val="16"/>
              <w:numPr>
                <w:ilvl w:val="0"/>
                <w:numId w:val="16"/>
              </w:numPr>
              <w:spacing w:beforeAutospacing="0" w:afterAutospacing="0"/>
              <w:rPr>
                <w:rFonts w:ascii="宋体" w:hAnsi="宋体" w:cs="宋体"/>
                <w:color w:val="auto"/>
                <w:sz w:val="21"/>
                <w:szCs w:val="21"/>
                <w:highlight w:val="none"/>
                <w:u w:val="none"/>
              </w:rPr>
            </w:pPr>
            <w:r>
              <w:rPr>
                <w:rFonts w:hint="eastAsia" w:ascii="宋体" w:hAnsi="宋体" w:cs="宋体"/>
                <w:color w:val="auto"/>
                <w:sz w:val="21"/>
                <w:szCs w:val="21"/>
                <w:highlight w:val="none"/>
                <w:u w:val="none"/>
              </w:rPr>
              <w:t>可以通过接头连接到呼吸机以及脱机、手持面罩，适用于治疗婴儿到成人患者；</w:t>
            </w:r>
          </w:p>
          <w:p>
            <w:pPr>
              <w:pStyle w:val="16"/>
              <w:numPr>
                <w:ilvl w:val="0"/>
                <w:numId w:val="16"/>
              </w:numPr>
              <w:spacing w:beforeAutospacing="0" w:afterAutospacing="0"/>
              <w:rPr>
                <w:rFonts w:ascii="宋体" w:hAnsi="宋体" w:cs="宋体"/>
                <w:color w:val="auto"/>
                <w:sz w:val="21"/>
                <w:szCs w:val="21"/>
                <w:highlight w:val="none"/>
                <w:u w:val="none"/>
              </w:rPr>
            </w:pPr>
            <w:r>
              <w:rPr>
                <w:rFonts w:hint="eastAsia" w:ascii="宋体" w:hAnsi="宋体" w:cs="宋体"/>
                <w:color w:val="auto"/>
                <w:sz w:val="21"/>
                <w:szCs w:val="21"/>
                <w:highlight w:val="none"/>
                <w:u w:val="none"/>
              </w:rPr>
              <w:t>产生的微粒大小要求：</w:t>
            </w:r>
          </w:p>
          <w:p>
            <w:pPr>
              <w:pStyle w:val="16"/>
              <w:spacing w:beforeAutospacing="0" w:afterAutospacing="0"/>
              <w:ind w:left="400"/>
              <w:rPr>
                <w:rFonts w:ascii="宋体" w:hAnsi="宋体" w:cs="宋体"/>
                <w:color w:val="auto"/>
                <w:sz w:val="21"/>
                <w:szCs w:val="21"/>
                <w:highlight w:val="none"/>
                <w:u w:val="none"/>
              </w:rPr>
            </w:pPr>
            <w:r>
              <w:rPr>
                <w:rFonts w:hint="eastAsia" w:ascii="宋体" w:hAnsi="宋体" w:cs="宋体"/>
                <w:color w:val="auto"/>
                <w:sz w:val="21"/>
                <w:szCs w:val="21"/>
                <w:highlight w:val="none"/>
                <w:u w:val="none"/>
              </w:rPr>
              <w:t>（1）采用Andersen级联冲击式采样器进行测量：</w:t>
            </w:r>
          </w:p>
          <w:p>
            <w:pPr>
              <w:pStyle w:val="16"/>
              <w:spacing w:beforeAutospacing="0" w:afterAutospacing="0"/>
              <w:ind w:left="400" w:firstLine="420" w:firstLineChars="200"/>
              <w:rPr>
                <w:rFonts w:ascii="宋体" w:hAnsi="宋体" w:cs="宋体"/>
                <w:color w:val="auto"/>
                <w:sz w:val="21"/>
                <w:szCs w:val="21"/>
                <w:highlight w:val="none"/>
                <w:u w:val="none"/>
              </w:rPr>
            </w:pPr>
            <w:r>
              <w:rPr>
                <w:rFonts w:hint="eastAsia" w:ascii="宋体" w:hAnsi="宋体" w:cs="宋体"/>
                <w:color w:val="auto"/>
                <w:sz w:val="21"/>
                <w:szCs w:val="21"/>
                <w:highlight w:val="none"/>
                <w:u w:val="none"/>
              </w:rPr>
              <w:t>规格范围：1~5µm</w:t>
            </w:r>
          </w:p>
          <w:p>
            <w:pPr>
              <w:pStyle w:val="16"/>
              <w:spacing w:beforeAutospacing="0" w:afterAutospacing="0"/>
              <w:ind w:left="400" w:firstLine="420" w:firstLineChars="200"/>
              <w:rPr>
                <w:rFonts w:ascii="宋体" w:hAnsi="宋体" w:cs="宋体"/>
                <w:color w:val="auto"/>
                <w:sz w:val="21"/>
                <w:szCs w:val="21"/>
                <w:highlight w:val="none"/>
                <w:u w:val="none"/>
              </w:rPr>
            </w:pPr>
            <w:r>
              <w:rPr>
                <w:rFonts w:hint="eastAsia" w:ascii="宋体" w:hAnsi="宋体" w:cs="宋体"/>
                <w:color w:val="auto"/>
                <w:sz w:val="21"/>
                <w:szCs w:val="21"/>
                <w:highlight w:val="none"/>
                <w:u w:val="none"/>
              </w:rPr>
              <w:t>测试平均值：3.1µm</w:t>
            </w:r>
          </w:p>
          <w:p>
            <w:pPr>
              <w:pStyle w:val="16"/>
              <w:spacing w:beforeAutospacing="0" w:afterAutospacing="0"/>
              <w:ind w:left="400"/>
              <w:rPr>
                <w:rFonts w:ascii="宋体" w:hAnsi="宋体" w:cs="宋体"/>
                <w:color w:val="auto"/>
                <w:sz w:val="21"/>
                <w:szCs w:val="21"/>
                <w:highlight w:val="none"/>
                <w:u w:val="none"/>
              </w:rPr>
            </w:pPr>
            <w:r>
              <w:rPr>
                <w:rFonts w:hint="eastAsia" w:ascii="宋体" w:hAnsi="宋体" w:cs="宋体"/>
                <w:color w:val="auto"/>
                <w:sz w:val="21"/>
                <w:szCs w:val="21"/>
                <w:highlight w:val="none"/>
                <w:u w:val="none"/>
              </w:rPr>
              <w:t>（2）采用Marple 298级联冲击式采样器进行测量：</w:t>
            </w:r>
          </w:p>
          <w:p>
            <w:pPr>
              <w:pStyle w:val="16"/>
              <w:spacing w:beforeAutospacing="0" w:afterAutospacing="0"/>
              <w:ind w:left="400" w:firstLine="420" w:firstLineChars="200"/>
              <w:rPr>
                <w:rFonts w:ascii="宋体" w:hAnsi="宋体" w:cs="宋体"/>
                <w:color w:val="auto"/>
                <w:sz w:val="21"/>
                <w:szCs w:val="21"/>
                <w:highlight w:val="none"/>
                <w:u w:val="none"/>
              </w:rPr>
            </w:pPr>
            <w:r>
              <w:rPr>
                <w:rFonts w:hint="eastAsia" w:ascii="宋体" w:hAnsi="宋体" w:cs="宋体"/>
                <w:color w:val="auto"/>
                <w:sz w:val="21"/>
                <w:szCs w:val="21"/>
                <w:highlight w:val="none"/>
                <w:u w:val="none"/>
              </w:rPr>
              <w:t>规格范围：1.5~6.2µm</w:t>
            </w:r>
          </w:p>
          <w:p>
            <w:pPr>
              <w:pStyle w:val="16"/>
              <w:spacing w:beforeAutospacing="0" w:afterAutospacing="0"/>
              <w:ind w:left="400" w:firstLine="420" w:firstLineChars="200"/>
              <w:rPr>
                <w:rFonts w:ascii="宋体" w:hAnsi="宋体" w:cs="宋体"/>
                <w:color w:val="auto"/>
                <w:sz w:val="21"/>
                <w:szCs w:val="21"/>
                <w:highlight w:val="none"/>
                <w:u w:val="none"/>
              </w:rPr>
            </w:pPr>
            <w:r>
              <w:rPr>
                <w:rFonts w:hint="eastAsia" w:ascii="宋体" w:hAnsi="宋体" w:cs="宋体"/>
                <w:color w:val="auto"/>
                <w:sz w:val="21"/>
                <w:szCs w:val="21"/>
                <w:highlight w:val="none"/>
                <w:u w:val="none"/>
              </w:rPr>
              <w:t>测试平均值：3.9µm</w:t>
            </w:r>
          </w:p>
          <w:p>
            <w:pPr>
              <w:pStyle w:val="16"/>
              <w:numPr>
                <w:ilvl w:val="0"/>
                <w:numId w:val="16"/>
              </w:numPr>
              <w:spacing w:beforeAutospacing="0" w:afterAutospacing="0"/>
              <w:rPr>
                <w:rFonts w:ascii="宋体" w:hAnsi="宋体" w:cs="宋体"/>
                <w:color w:val="auto"/>
                <w:sz w:val="21"/>
                <w:szCs w:val="21"/>
                <w:highlight w:val="none"/>
                <w:u w:val="none"/>
              </w:rPr>
            </w:pPr>
            <w:r>
              <w:rPr>
                <w:rFonts w:hint="eastAsia" w:ascii="宋体" w:hAnsi="宋体" w:cs="宋体"/>
                <w:color w:val="auto"/>
                <w:sz w:val="21"/>
                <w:szCs w:val="21"/>
                <w:highlight w:val="none"/>
                <w:u w:val="none"/>
              </w:rPr>
              <w:t>气雾输出要求：</w:t>
            </w:r>
          </w:p>
          <w:p>
            <w:pPr>
              <w:pStyle w:val="16"/>
              <w:spacing w:beforeAutospacing="0" w:afterAutospacing="0"/>
              <w:ind w:left="400" w:firstLine="420" w:firstLineChars="200"/>
              <w:rPr>
                <w:rFonts w:ascii="宋体" w:hAnsi="宋体" w:cs="宋体"/>
                <w:color w:val="auto"/>
                <w:sz w:val="21"/>
                <w:szCs w:val="21"/>
                <w:highlight w:val="none"/>
                <w:u w:val="none"/>
              </w:rPr>
            </w:pPr>
            <w:r>
              <w:rPr>
                <w:rFonts w:hint="eastAsia" w:ascii="宋体" w:hAnsi="宋体" w:cs="宋体"/>
                <w:color w:val="auto"/>
                <w:sz w:val="21"/>
                <w:szCs w:val="21"/>
                <w:highlight w:val="none"/>
                <w:u w:val="none"/>
              </w:rPr>
              <w:t>气雾输出流速：0.24ml/min</w:t>
            </w:r>
          </w:p>
          <w:p>
            <w:pPr>
              <w:pStyle w:val="16"/>
              <w:spacing w:beforeAutospacing="0" w:afterAutospacing="0"/>
              <w:ind w:left="400" w:firstLine="420" w:firstLineChars="200"/>
              <w:rPr>
                <w:rFonts w:ascii="宋体" w:hAnsi="宋体" w:cs="宋体"/>
                <w:color w:val="auto"/>
                <w:sz w:val="21"/>
                <w:szCs w:val="21"/>
                <w:highlight w:val="none"/>
                <w:u w:val="none"/>
              </w:rPr>
            </w:pPr>
            <w:r>
              <w:rPr>
                <w:rFonts w:hint="eastAsia" w:ascii="宋体" w:hAnsi="宋体" w:cs="宋体"/>
                <w:color w:val="auto"/>
                <w:sz w:val="21"/>
                <w:szCs w:val="21"/>
                <w:highlight w:val="none"/>
                <w:u w:val="none"/>
              </w:rPr>
              <w:t>气雾输出：每2.0ml药剂喷出1.08ml</w:t>
            </w:r>
          </w:p>
          <w:p>
            <w:pPr>
              <w:pStyle w:val="16"/>
              <w:numPr>
                <w:ilvl w:val="0"/>
                <w:numId w:val="16"/>
              </w:numPr>
              <w:spacing w:beforeAutospacing="0" w:afterAutospacing="0"/>
              <w:rPr>
                <w:rFonts w:ascii="宋体" w:hAnsi="宋体" w:cs="宋体"/>
                <w:color w:val="auto"/>
                <w:sz w:val="21"/>
                <w:szCs w:val="21"/>
                <w:highlight w:val="none"/>
                <w:u w:val="none"/>
              </w:rPr>
            </w:pPr>
            <w:r>
              <w:rPr>
                <w:rFonts w:hint="eastAsia" w:ascii="宋体" w:hAnsi="宋体" w:cs="宋体"/>
                <w:color w:val="auto"/>
                <w:sz w:val="21"/>
                <w:szCs w:val="21"/>
                <w:highlight w:val="none"/>
                <w:u w:val="none"/>
              </w:rPr>
              <w:t>★残余容积要求：3ml药剂的残留量小于0.1ml</w:t>
            </w:r>
          </w:p>
          <w:p>
            <w:pPr>
              <w:pStyle w:val="16"/>
              <w:numPr>
                <w:ilvl w:val="0"/>
                <w:numId w:val="16"/>
              </w:numPr>
              <w:spacing w:beforeAutospacing="0" w:afterAutospacing="0"/>
              <w:rPr>
                <w:rFonts w:ascii="宋体" w:hAnsi="宋体" w:cs="宋体"/>
                <w:color w:val="auto"/>
                <w:sz w:val="21"/>
                <w:szCs w:val="21"/>
                <w:highlight w:val="none"/>
                <w:u w:val="none"/>
              </w:rPr>
            </w:pPr>
            <w:r>
              <w:rPr>
                <w:rFonts w:hint="eastAsia" w:ascii="宋体" w:hAnsi="宋体" w:cs="宋体"/>
                <w:color w:val="auto"/>
                <w:sz w:val="21"/>
                <w:szCs w:val="21"/>
                <w:highlight w:val="none"/>
                <w:u w:val="none"/>
              </w:rPr>
              <w:t>肺沉积要求：</w:t>
            </w:r>
          </w:p>
          <w:p>
            <w:pPr>
              <w:pStyle w:val="16"/>
              <w:spacing w:beforeAutospacing="0" w:afterAutospacing="0"/>
              <w:ind w:left="400" w:firstLine="210" w:firstLineChars="100"/>
              <w:rPr>
                <w:rFonts w:ascii="宋体" w:hAnsi="宋体" w:cs="宋体"/>
                <w:color w:val="auto"/>
                <w:sz w:val="21"/>
                <w:szCs w:val="21"/>
                <w:highlight w:val="none"/>
                <w:u w:val="none"/>
              </w:rPr>
            </w:pPr>
            <w:r>
              <w:rPr>
                <w:rFonts w:hint="eastAsia" w:ascii="宋体" w:hAnsi="宋体" w:cs="宋体"/>
                <w:color w:val="auto"/>
                <w:sz w:val="21"/>
                <w:szCs w:val="21"/>
                <w:highlight w:val="none"/>
                <w:u w:val="none"/>
              </w:rPr>
              <w:t>（1）★17%的肺沉积</w:t>
            </w:r>
          </w:p>
          <w:p>
            <w:pPr>
              <w:pStyle w:val="16"/>
              <w:spacing w:beforeAutospacing="0" w:afterAutospacing="0"/>
              <w:ind w:left="400" w:firstLine="210" w:firstLineChars="100"/>
              <w:rPr>
                <w:rFonts w:ascii="宋体" w:hAnsi="宋体" w:cs="宋体"/>
                <w:color w:val="auto"/>
                <w:sz w:val="21"/>
                <w:szCs w:val="21"/>
                <w:highlight w:val="none"/>
                <w:u w:val="none"/>
              </w:rPr>
            </w:pPr>
            <w:r>
              <w:rPr>
                <w:rFonts w:hint="eastAsia" w:ascii="宋体" w:hAnsi="宋体" w:cs="宋体"/>
                <w:color w:val="auto"/>
                <w:sz w:val="21"/>
                <w:szCs w:val="21"/>
                <w:highlight w:val="none"/>
                <w:u w:val="none"/>
              </w:rPr>
              <w:t>（2）★在新生儿机械通气条件下，可以提供25倍传统SVN雾化器的药物输送效能</w:t>
            </w:r>
          </w:p>
          <w:p>
            <w:pPr>
              <w:pStyle w:val="16"/>
              <w:numPr>
                <w:ilvl w:val="0"/>
                <w:numId w:val="16"/>
              </w:numPr>
              <w:spacing w:beforeAutospacing="0" w:afterAutospacing="0"/>
              <w:rPr>
                <w:rFonts w:ascii="宋体" w:hAnsi="宋体" w:cs="宋体"/>
                <w:color w:val="auto"/>
                <w:sz w:val="21"/>
                <w:szCs w:val="21"/>
                <w:highlight w:val="none"/>
                <w:u w:val="none"/>
              </w:rPr>
            </w:pPr>
            <w:r>
              <w:rPr>
                <w:rFonts w:hint="eastAsia" w:ascii="宋体" w:hAnsi="宋体" w:cs="宋体"/>
                <w:color w:val="auto"/>
                <w:sz w:val="21"/>
                <w:szCs w:val="21"/>
                <w:highlight w:val="none"/>
                <w:u w:val="none"/>
              </w:rPr>
              <w:t>雾化时间可以调节控制，30分钟或6小时。</w:t>
            </w:r>
          </w:p>
          <w:p>
            <w:pPr>
              <w:pStyle w:val="16"/>
              <w:numPr>
                <w:ilvl w:val="0"/>
                <w:numId w:val="16"/>
              </w:numPr>
              <w:spacing w:beforeAutospacing="0" w:afterAutospacing="0"/>
              <w:rPr>
                <w:rFonts w:ascii="宋体" w:hAnsi="宋体" w:cs="宋体"/>
                <w:color w:val="auto"/>
                <w:sz w:val="21"/>
                <w:szCs w:val="21"/>
                <w:highlight w:val="none"/>
                <w:u w:val="none"/>
              </w:rPr>
            </w:pPr>
            <w:r>
              <w:rPr>
                <w:rFonts w:hint="eastAsia" w:ascii="宋体" w:hAnsi="宋体" w:cs="宋体"/>
                <w:color w:val="auto"/>
                <w:sz w:val="21"/>
                <w:szCs w:val="21"/>
                <w:highlight w:val="none"/>
                <w:u w:val="none"/>
              </w:rPr>
              <w:t>适合通气雾化模式如下：有创以及无创机械通气雾化，高流量氧疗以及自主呼吸患者面罩或咬嘴雾化，高频振荡通气模式。</w:t>
            </w:r>
          </w:p>
          <w:p>
            <w:pPr>
              <w:pStyle w:val="16"/>
              <w:spacing w:beforeAutospacing="0" w:afterAutospacing="0"/>
              <w:ind w:left="210" w:leftChars="100"/>
              <w:rPr>
                <w:rFonts w:ascii="宋体" w:hAnsi="宋体" w:cs="宋体"/>
                <w:color w:val="auto"/>
                <w:sz w:val="21"/>
                <w:szCs w:val="21"/>
                <w:highlight w:val="none"/>
                <w:u w:val="none"/>
              </w:rPr>
            </w:pP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2</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8</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新生儿/小儿持续气道正压呼吸支持系统</w:t>
            </w:r>
          </w:p>
        </w:tc>
        <w:tc>
          <w:tcPr>
            <w:tcW w:w="7410" w:type="dxa"/>
            <w:tcBorders>
              <w:bottom w:val="single" w:color="auto" w:sz="4" w:space="0"/>
              <w:tl2br w:val="nil"/>
              <w:tr2bl w:val="nil"/>
            </w:tcBorders>
          </w:tcPr>
          <w:p>
            <w:pPr>
              <w:numPr>
                <w:ilvl w:val="0"/>
                <w:numId w:val="17"/>
              </w:numPr>
              <w:rPr>
                <w:rFonts w:ascii="宋体" w:hAnsi="宋体" w:cs="宋体"/>
                <w:color w:val="auto"/>
                <w:szCs w:val="21"/>
                <w:highlight w:val="none"/>
                <w:u w:val="none"/>
              </w:rPr>
            </w:pPr>
            <w:r>
              <w:rPr>
                <w:rFonts w:hint="eastAsia" w:ascii="宋体" w:hAnsi="宋体" w:cs="宋体"/>
                <w:color w:val="auto"/>
                <w:szCs w:val="21"/>
                <w:highlight w:val="none"/>
                <w:u w:val="none"/>
              </w:rPr>
              <w:t>院内转运系统是将从产房或救护车运回高危婴儿转运到NICU进行救治,或转运到有关科室检查治疗, 转运过程中防止可能存在患儿出现病情变化的风险；</w:t>
            </w:r>
          </w:p>
          <w:p>
            <w:pPr>
              <w:numPr>
                <w:ilvl w:val="0"/>
                <w:numId w:val="17"/>
              </w:numPr>
              <w:rPr>
                <w:rFonts w:ascii="宋体" w:hAnsi="宋体" w:cs="宋体"/>
                <w:color w:val="auto"/>
                <w:szCs w:val="21"/>
                <w:highlight w:val="none"/>
                <w:u w:val="none"/>
              </w:rPr>
            </w:pPr>
            <w:r>
              <w:rPr>
                <w:rFonts w:hint="eastAsia" w:ascii="宋体" w:hAnsi="宋体" w:cs="宋体"/>
                <w:color w:val="auto"/>
                <w:szCs w:val="21"/>
                <w:highlight w:val="none"/>
                <w:u w:val="none"/>
              </w:rPr>
              <w:t>★婴儿转运系统车上配置了，复苏设备(T组合)，空氧混合仪，CPAP，空气压缩机，氧气瓶，充电电池，移动转运推车；</w:t>
            </w:r>
          </w:p>
          <w:p>
            <w:pPr>
              <w:numPr>
                <w:ilvl w:val="0"/>
                <w:numId w:val="17"/>
              </w:numPr>
              <w:rPr>
                <w:rFonts w:ascii="宋体" w:hAnsi="宋体" w:cs="宋体"/>
                <w:color w:val="auto"/>
                <w:szCs w:val="21"/>
                <w:highlight w:val="none"/>
                <w:u w:val="none"/>
              </w:rPr>
            </w:pPr>
            <w:r>
              <w:rPr>
                <w:rFonts w:hint="eastAsia" w:ascii="宋体" w:hAnsi="宋体" w:cs="宋体"/>
                <w:color w:val="auto"/>
                <w:szCs w:val="21"/>
                <w:highlight w:val="none"/>
                <w:u w:val="none"/>
              </w:rPr>
              <w:t>CPAP发生器通过CPAP压力杠设置3到10cm水柱震荡气体压力；</w:t>
            </w:r>
          </w:p>
          <w:p>
            <w:pPr>
              <w:numPr>
                <w:ilvl w:val="0"/>
                <w:numId w:val="17"/>
              </w:numPr>
              <w:rPr>
                <w:rFonts w:ascii="宋体" w:hAnsi="宋体" w:cs="宋体"/>
                <w:color w:val="auto"/>
                <w:szCs w:val="21"/>
                <w:highlight w:val="none"/>
                <w:u w:val="none"/>
              </w:rPr>
            </w:pPr>
            <w:r>
              <w:rPr>
                <w:rFonts w:hint="eastAsia" w:ascii="宋体" w:hAnsi="宋体" w:cs="宋体"/>
                <w:color w:val="auto"/>
                <w:szCs w:val="21"/>
                <w:highlight w:val="none"/>
                <w:u w:val="none"/>
              </w:rPr>
              <w:t>安全、受控吸气峰压PIP，扩张新生儿的肺部并提供 最佳的氧合作用；</w:t>
            </w:r>
          </w:p>
          <w:p>
            <w:pPr>
              <w:numPr>
                <w:ilvl w:val="0"/>
                <w:numId w:val="17"/>
              </w:numPr>
              <w:rPr>
                <w:rFonts w:ascii="宋体" w:hAnsi="宋体" w:cs="宋体"/>
                <w:color w:val="auto"/>
                <w:szCs w:val="21"/>
                <w:highlight w:val="none"/>
                <w:u w:val="none"/>
              </w:rPr>
            </w:pPr>
            <w:r>
              <w:rPr>
                <w:rFonts w:hint="eastAsia" w:ascii="宋体" w:hAnsi="宋体" w:cs="宋体"/>
                <w:color w:val="auto"/>
                <w:szCs w:val="21"/>
                <w:highlight w:val="none"/>
                <w:u w:val="none"/>
              </w:rPr>
              <w:t>CPAP/PEEP，使肺部在呼气时保持张开的状态，从而避免粘连受损并维持功能残气量；</w:t>
            </w:r>
          </w:p>
          <w:p>
            <w:pPr>
              <w:numPr>
                <w:ilvl w:val="0"/>
                <w:numId w:val="17"/>
              </w:numPr>
              <w:rPr>
                <w:rFonts w:ascii="宋体" w:hAnsi="宋体" w:cs="宋体"/>
                <w:color w:val="auto"/>
                <w:szCs w:val="21"/>
                <w:highlight w:val="none"/>
                <w:u w:val="none"/>
              </w:rPr>
            </w:pPr>
            <w:r>
              <w:rPr>
                <w:rFonts w:hint="eastAsia" w:ascii="宋体" w:hAnsi="宋体" w:cs="宋体"/>
                <w:color w:val="auto"/>
                <w:szCs w:val="21"/>
                <w:highlight w:val="none"/>
                <w:u w:val="none"/>
              </w:rPr>
              <w:t>用于有自主呼吸的新生儿，提供持续正压通气支持；</w:t>
            </w:r>
          </w:p>
          <w:p>
            <w:pPr>
              <w:numPr>
                <w:ilvl w:val="0"/>
                <w:numId w:val="17"/>
              </w:numPr>
              <w:rPr>
                <w:rFonts w:ascii="宋体" w:hAnsi="宋体" w:cs="宋体"/>
                <w:color w:val="auto"/>
                <w:szCs w:val="21"/>
                <w:highlight w:val="none"/>
                <w:u w:val="none"/>
              </w:rPr>
            </w:pPr>
            <w:r>
              <w:rPr>
                <w:rFonts w:hint="eastAsia" w:ascii="宋体" w:hAnsi="宋体" w:cs="宋体"/>
                <w:color w:val="auto"/>
                <w:szCs w:val="21"/>
                <w:highlight w:val="none"/>
                <w:u w:val="none"/>
              </w:rPr>
              <w:t>低功耗大容量UPS,续航时间约2小时；</w:t>
            </w:r>
          </w:p>
          <w:p>
            <w:pPr>
              <w:numPr>
                <w:ilvl w:val="0"/>
                <w:numId w:val="17"/>
              </w:numPr>
              <w:rPr>
                <w:rFonts w:ascii="宋体" w:hAnsi="宋体" w:cs="宋体"/>
                <w:color w:val="auto"/>
                <w:szCs w:val="21"/>
                <w:highlight w:val="none"/>
                <w:u w:val="none"/>
              </w:rPr>
            </w:pPr>
            <w:r>
              <w:rPr>
                <w:rFonts w:hint="eastAsia" w:ascii="宋体" w:hAnsi="宋体" w:cs="宋体"/>
                <w:color w:val="auto"/>
                <w:szCs w:val="21"/>
                <w:highlight w:val="none"/>
                <w:u w:val="none"/>
              </w:rPr>
              <w:t>氧浓度（FiO2）调节范围：21%～100%   精度：&lt;±3% ；</w:t>
            </w:r>
          </w:p>
          <w:p>
            <w:pPr>
              <w:numPr>
                <w:ilvl w:val="0"/>
                <w:numId w:val="17"/>
              </w:numPr>
              <w:rPr>
                <w:rFonts w:ascii="宋体" w:hAnsi="宋体" w:cs="宋体"/>
                <w:color w:val="auto"/>
                <w:szCs w:val="21"/>
                <w:highlight w:val="none"/>
                <w:u w:val="none"/>
              </w:rPr>
            </w:pPr>
            <w:r>
              <w:rPr>
                <w:rFonts w:hint="eastAsia" w:ascii="宋体" w:hAnsi="宋体" w:cs="宋体"/>
                <w:color w:val="auto"/>
                <w:szCs w:val="21"/>
                <w:highlight w:val="none"/>
                <w:u w:val="none"/>
              </w:rPr>
              <w:t>★流量调节：0.1-1,1～10LPM     精度：&lt;±3%；</w:t>
            </w:r>
          </w:p>
          <w:p>
            <w:pPr>
              <w:numPr>
                <w:ilvl w:val="0"/>
                <w:numId w:val="17"/>
              </w:numPr>
              <w:rPr>
                <w:rFonts w:ascii="宋体" w:hAnsi="宋体" w:cs="宋体"/>
                <w:color w:val="auto"/>
                <w:szCs w:val="21"/>
                <w:highlight w:val="none"/>
                <w:u w:val="none"/>
              </w:rPr>
            </w:pPr>
            <w:r>
              <w:rPr>
                <w:rFonts w:hint="eastAsia" w:ascii="宋体" w:hAnsi="宋体" w:cs="宋体"/>
                <w:color w:val="auto"/>
                <w:szCs w:val="21"/>
                <w:highlight w:val="none"/>
                <w:u w:val="none"/>
              </w:rPr>
              <w:t>持续气道正压(CPAP)调节:     3厘米水柱～10厘米水柱；</w:t>
            </w:r>
          </w:p>
          <w:p>
            <w:pPr>
              <w:numPr>
                <w:ilvl w:val="0"/>
                <w:numId w:val="17"/>
              </w:numPr>
              <w:rPr>
                <w:rFonts w:ascii="宋体" w:hAnsi="宋体" w:cs="宋体"/>
                <w:color w:val="auto"/>
                <w:szCs w:val="21"/>
                <w:highlight w:val="none"/>
                <w:u w:val="none"/>
              </w:rPr>
            </w:pPr>
            <w:r>
              <w:rPr>
                <w:rFonts w:hint="eastAsia" w:ascii="宋体" w:hAnsi="宋体" w:cs="宋体"/>
                <w:color w:val="auto"/>
                <w:szCs w:val="21"/>
                <w:highlight w:val="none"/>
                <w:u w:val="none"/>
              </w:rPr>
              <w:t>气源提供：空气：0.3MPa～0.4MPa；氧气：0.3MPa～0.4MPa；</w:t>
            </w:r>
          </w:p>
          <w:p>
            <w:pPr>
              <w:numPr>
                <w:ilvl w:val="0"/>
                <w:numId w:val="17"/>
              </w:numPr>
              <w:rPr>
                <w:rFonts w:ascii="宋体" w:hAnsi="宋体" w:cs="宋体"/>
                <w:color w:val="auto"/>
                <w:szCs w:val="21"/>
                <w:highlight w:val="none"/>
                <w:u w:val="none"/>
              </w:rPr>
            </w:pPr>
            <w:r>
              <w:rPr>
                <w:rFonts w:hint="eastAsia" w:ascii="宋体" w:hAnsi="宋体" w:cs="宋体"/>
                <w:color w:val="auto"/>
                <w:szCs w:val="21"/>
                <w:highlight w:val="none"/>
                <w:u w:val="none"/>
              </w:rPr>
              <w:t>供气压差报警：供气压力差在0.05MPa～0.12MPa，声音报警；</w:t>
            </w:r>
          </w:p>
          <w:p>
            <w:pPr>
              <w:numPr>
                <w:ilvl w:val="0"/>
                <w:numId w:val="17"/>
              </w:numPr>
              <w:rPr>
                <w:rFonts w:ascii="宋体" w:hAnsi="宋体" w:cs="宋体"/>
                <w:color w:val="auto"/>
                <w:szCs w:val="21"/>
                <w:highlight w:val="none"/>
                <w:u w:val="none"/>
              </w:rPr>
            </w:pPr>
            <w:r>
              <w:rPr>
                <w:rFonts w:hint="eastAsia" w:ascii="宋体" w:hAnsi="宋体" w:cs="宋体"/>
                <w:color w:val="auto"/>
                <w:szCs w:val="21"/>
                <w:highlight w:val="none"/>
                <w:u w:val="none"/>
              </w:rPr>
              <w:t>最大压力（MAX-P）、吸气峰压（PIP）、CPAP/PEEP压力；</w:t>
            </w:r>
          </w:p>
          <w:p>
            <w:pPr>
              <w:numPr>
                <w:ilvl w:val="0"/>
                <w:numId w:val="17"/>
              </w:numPr>
              <w:rPr>
                <w:rFonts w:ascii="宋体" w:hAnsi="宋体" w:cs="宋体"/>
                <w:color w:val="auto"/>
                <w:szCs w:val="21"/>
                <w:highlight w:val="none"/>
                <w:u w:val="none"/>
              </w:rPr>
            </w:pPr>
            <w:r>
              <w:rPr>
                <w:rFonts w:hint="eastAsia" w:ascii="宋体" w:hAnsi="宋体" w:cs="宋体"/>
                <w:color w:val="auto"/>
                <w:szCs w:val="21"/>
                <w:highlight w:val="none"/>
                <w:u w:val="none"/>
              </w:rPr>
              <w:t>报警时间：&gt;60s；</w:t>
            </w:r>
          </w:p>
          <w:p>
            <w:pPr>
              <w:numPr>
                <w:ilvl w:val="0"/>
                <w:numId w:val="17"/>
              </w:numPr>
              <w:rPr>
                <w:rFonts w:ascii="宋体" w:hAnsi="宋体" w:cs="宋体"/>
                <w:color w:val="auto"/>
                <w:szCs w:val="21"/>
                <w:highlight w:val="none"/>
                <w:u w:val="none"/>
              </w:rPr>
            </w:pPr>
            <w:r>
              <w:rPr>
                <w:rFonts w:hint="eastAsia" w:ascii="宋体" w:hAnsi="宋体" w:cs="宋体"/>
                <w:color w:val="auto"/>
                <w:szCs w:val="21"/>
                <w:highlight w:val="none"/>
                <w:u w:val="none"/>
              </w:rPr>
              <w:t>报警燥声:  &gt;57dB(A)；</w:t>
            </w:r>
          </w:p>
          <w:p>
            <w:pPr>
              <w:numPr>
                <w:ilvl w:val="0"/>
                <w:numId w:val="17"/>
              </w:numPr>
              <w:rPr>
                <w:rFonts w:ascii="宋体" w:hAnsi="宋体" w:cs="宋体"/>
                <w:color w:val="auto"/>
                <w:szCs w:val="21"/>
                <w:highlight w:val="none"/>
                <w:u w:val="none"/>
              </w:rPr>
            </w:pPr>
            <w:r>
              <w:rPr>
                <w:rFonts w:hint="eastAsia" w:ascii="宋体" w:hAnsi="宋体" w:cs="宋体"/>
                <w:color w:val="auto"/>
                <w:szCs w:val="21"/>
                <w:highlight w:val="none"/>
                <w:u w:val="none"/>
              </w:rPr>
              <w:t>医用空压机配套使用，提供医用压缩空气源；</w:t>
            </w:r>
          </w:p>
          <w:p>
            <w:pPr>
              <w:numPr>
                <w:ilvl w:val="0"/>
                <w:numId w:val="17"/>
              </w:numPr>
              <w:rPr>
                <w:rFonts w:ascii="宋体" w:hAnsi="宋体" w:cs="宋体"/>
                <w:color w:val="auto"/>
                <w:szCs w:val="21"/>
                <w:highlight w:val="none"/>
                <w:u w:val="none"/>
              </w:rPr>
            </w:pPr>
            <w:r>
              <w:rPr>
                <w:rFonts w:hint="eastAsia" w:ascii="宋体" w:hAnsi="宋体" w:cs="宋体"/>
                <w:color w:val="auto"/>
                <w:szCs w:val="21"/>
                <w:highlight w:val="none"/>
                <w:u w:val="none"/>
              </w:rPr>
              <w:t>启动方式：高温过热保护功能；</w:t>
            </w:r>
          </w:p>
          <w:p>
            <w:pPr>
              <w:numPr>
                <w:ilvl w:val="0"/>
                <w:numId w:val="17"/>
              </w:numPr>
              <w:rPr>
                <w:rFonts w:ascii="宋体" w:hAnsi="宋体" w:cs="宋体"/>
                <w:color w:val="auto"/>
                <w:szCs w:val="21"/>
                <w:highlight w:val="none"/>
                <w:u w:val="none"/>
              </w:rPr>
            </w:pPr>
            <w:r>
              <w:rPr>
                <w:rFonts w:hint="eastAsia" w:ascii="宋体" w:hAnsi="宋体" w:cs="宋体"/>
                <w:color w:val="auto"/>
                <w:szCs w:val="21"/>
                <w:highlight w:val="none"/>
                <w:u w:val="none"/>
              </w:rPr>
              <w:t>输出压力：0.012Mpa-0,018Mpa；</w:t>
            </w:r>
          </w:p>
          <w:p>
            <w:pPr>
              <w:numPr>
                <w:ilvl w:val="0"/>
                <w:numId w:val="17"/>
              </w:numPr>
              <w:rPr>
                <w:rFonts w:ascii="宋体" w:hAnsi="宋体" w:cs="宋体"/>
                <w:color w:val="auto"/>
                <w:szCs w:val="21"/>
                <w:highlight w:val="none"/>
                <w:u w:val="none"/>
              </w:rPr>
            </w:pPr>
            <w:r>
              <w:rPr>
                <w:rFonts w:hint="eastAsia" w:ascii="宋体" w:hAnsi="宋体" w:cs="宋体"/>
                <w:color w:val="auto"/>
                <w:szCs w:val="21"/>
                <w:highlight w:val="none"/>
                <w:u w:val="none"/>
              </w:rPr>
              <w:t>输出流量：≥10L/min(20L/min)；</w:t>
            </w:r>
          </w:p>
          <w:p>
            <w:pPr>
              <w:numPr>
                <w:ilvl w:val="0"/>
                <w:numId w:val="17"/>
              </w:numPr>
              <w:rPr>
                <w:rFonts w:ascii="宋体" w:hAnsi="宋体" w:cs="宋体"/>
                <w:color w:val="auto"/>
                <w:szCs w:val="21"/>
                <w:highlight w:val="none"/>
                <w:u w:val="none"/>
              </w:rPr>
            </w:pPr>
            <w:r>
              <w:rPr>
                <w:rFonts w:hint="eastAsia" w:ascii="宋体" w:hAnsi="宋体" w:cs="宋体"/>
                <w:color w:val="auto"/>
                <w:szCs w:val="21"/>
                <w:highlight w:val="none"/>
                <w:u w:val="none"/>
              </w:rPr>
              <w:t>噪音：≤55Db(A)；</w:t>
            </w:r>
          </w:p>
          <w:p>
            <w:pPr>
              <w:numPr>
                <w:ilvl w:val="0"/>
                <w:numId w:val="17"/>
              </w:numPr>
              <w:rPr>
                <w:rFonts w:ascii="宋体" w:hAnsi="宋体" w:cs="宋体"/>
                <w:color w:val="auto"/>
                <w:szCs w:val="21"/>
                <w:highlight w:val="none"/>
                <w:u w:val="none"/>
              </w:rPr>
            </w:pPr>
            <w:r>
              <w:rPr>
                <w:rFonts w:hint="eastAsia" w:ascii="宋体" w:hAnsi="宋体" w:cs="宋体"/>
                <w:color w:val="auto"/>
                <w:szCs w:val="21"/>
                <w:highlight w:val="none"/>
                <w:u w:val="none"/>
              </w:rPr>
              <w:t>过热保护：120℃；</w:t>
            </w:r>
          </w:p>
          <w:p>
            <w:pPr>
              <w:numPr>
                <w:ilvl w:val="0"/>
                <w:numId w:val="17"/>
              </w:numPr>
              <w:rPr>
                <w:rFonts w:ascii="宋体" w:hAnsi="宋体" w:cs="宋体"/>
                <w:color w:val="auto"/>
                <w:szCs w:val="21"/>
                <w:highlight w:val="none"/>
                <w:u w:val="none"/>
              </w:rPr>
            </w:pPr>
            <w:r>
              <w:rPr>
                <w:rFonts w:hint="eastAsia" w:ascii="宋体" w:hAnsi="宋体" w:cs="宋体"/>
                <w:color w:val="auto"/>
                <w:szCs w:val="21"/>
                <w:highlight w:val="none"/>
                <w:u w:val="none"/>
              </w:rPr>
              <w:t>电源：a.c.220V ,  50Hz；</w:t>
            </w:r>
          </w:p>
          <w:p>
            <w:pPr>
              <w:numPr>
                <w:ilvl w:val="0"/>
                <w:numId w:val="17"/>
              </w:numPr>
              <w:rPr>
                <w:rFonts w:ascii="宋体" w:hAnsi="宋体" w:cs="宋体"/>
                <w:color w:val="auto"/>
                <w:szCs w:val="21"/>
                <w:highlight w:val="none"/>
                <w:u w:val="none"/>
              </w:rPr>
            </w:pPr>
            <w:r>
              <w:rPr>
                <w:rFonts w:hint="eastAsia" w:ascii="宋体" w:hAnsi="宋体" w:cs="宋体"/>
                <w:color w:val="auto"/>
                <w:szCs w:val="21"/>
                <w:highlight w:val="none"/>
                <w:u w:val="none"/>
              </w:rPr>
              <w:t>最大功率：30VA；</w:t>
            </w:r>
          </w:p>
          <w:p>
            <w:pPr>
              <w:numPr>
                <w:ilvl w:val="0"/>
                <w:numId w:val="17"/>
              </w:numPr>
              <w:rPr>
                <w:rFonts w:ascii="宋体" w:hAnsi="宋体" w:cs="宋体"/>
                <w:color w:val="auto"/>
                <w:szCs w:val="21"/>
                <w:highlight w:val="none"/>
                <w:u w:val="none"/>
              </w:rPr>
            </w:pPr>
            <w:r>
              <w:rPr>
                <w:rFonts w:hint="eastAsia" w:ascii="宋体" w:hAnsi="宋体" w:cs="宋体"/>
                <w:color w:val="auto"/>
                <w:szCs w:val="21"/>
                <w:highlight w:val="none"/>
                <w:u w:val="none"/>
              </w:rPr>
              <w:t>最大承重20Kg；</w:t>
            </w:r>
          </w:p>
          <w:p>
            <w:pPr>
              <w:ind w:firstLine="210" w:firstLineChars="100"/>
              <w:rPr>
                <w:rFonts w:ascii="宋体" w:hAnsi="宋体" w:cs="宋体"/>
                <w:color w:val="auto"/>
                <w:szCs w:val="21"/>
                <w:highlight w:val="none"/>
                <w:u w:val="none"/>
              </w:rPr>
            </w:pP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9</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新生儿中央监护系统（1拖6）</w:t>
            </w:r>
          </w:p>
        </w:tc>
        <w:tc>
          <w:tcPr>
            <w:tcW w:w="7410" w:type="dxa"/>
            <w:tcBorders>
              <w:bottom w:val="single" w:color="auto" w:sz="4" w:space="0"/>
              <w:tl2br w:val="nil"/>
              <w:tr2bl w:val="nil"/>
            </w:tcBorders>
          </w:tcPr>
          <w:p>
            <w:pPr>
              <w:pStyle w:val="45"/>
              <w:tabs>
                <w:tab w:val="left" w:pos="555"/>
              </w:tabs>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一、中央监护系统</w:t>
            </w:r>
          </w:p>
          <w:p>
            <w:pPr>
              <w:pStyle w:val="45"/>
              <w:tabs>
                <w:tab w:val="left" w:pos="555"/>
              </w:tabs>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中央监护系统可支持包括：心电（ECG），呼吸（RESP），无创血压（NIBP）,血氧(SPO2),脉率(PR)，体温(TEMP)，有创血压(IBP)，呼末二氧化碳（ETCO2），麻醉气体（AG）,无创心排（ICG），有创心输出量（C.O.），麻醉深度（BIS）、胎心率（FHR）、胎动（FM）、宫缩压（TOCO）等参数的显示和数据存储。</w:t>
            </w:r>
          </w:p>
          <w:p>
            <w:pPr>
              <w:pStyle w:val="45"/>
              <w:numPr>
                <w:ilvl w:val="0"/>
                <w:numId w:val="18"/>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lang w:val="zh-CN"/>
              </w:rPr>
              <w:t>★具有混合联网功能，支持同时连接病人监护仪、遥测监护仪、胎儿监护仪。</w:t>
            </w:r>
          </w:p>
          <w:p>
            <w:pPr>
              <w:pStyle w:val="45"/>
              <w:numPr>
                <w:ilvl w:val="0"/>
                <w:numId w:val="18"/>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★多屏显示：单屏、双屏可选，最多可支持四屏显示。</w:t>
            </w:r>
          </w:p>
          <w:p>
            <w:pPr>
              <w:pStyle w:val="45"/>
              <w:numPr>
                <w:ilvl w:val="0"/>
                <w:numId w:val="18"/>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★一套中央监护系统最多可同时连接128床，满足科室不同病床数量的集中监护需要。</w:t>
            </w:r>
          </w:p>
          <w:p>
            <w:pPr>
              <w:pStyle w:val="45"/>
              <w:numPr>
                <w:ilvl w:val="0"/>
                <w:numId w:val="18"/>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中央监护系统与床旁机双向遥控，可实现病人信息、血压参数、心电参数以及参数报警范围等设置的双向控制，使操作更省时、更有效、更方便。</w:t>
            </w:r>
          </w:p>
          <w:p>
            <w:pPr>
              <w:pStyle w:val="45"/>
              <w:numPr>
                <w:ilvl w:val="0"/>
                <w:numId w:val="18"/>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可显示床旁机的所有报警功能，并可根据报警优先级进行提示。</w:t>
            </w:r>
          </w:p>
          <w:p>
            <w:pPr>
              <w:pStyle w:val="45"/>
              <w:numPr>
                <w:ilvl w:val="0"/>
                <w:numId w:val="18"/>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具有病人管理功能，支持查询、编辑、删除操作。</w:t>
            </w:r>
          </w:p>
          <w:p>
            <w:pPr>
              <w:pStyle w:val="45"/>
              <w:numPr>
                <w:ilvl w:val="0"/>
                <w:numId w:val="18"/>
              </w:numPr>
              <w:tabs>
                <w:tab w:val="left" w:pos="555"/>
              </w:tabs>
              <w:ind w:firstLineChars="0"/>
              <w:rPr>
                <w:rFonts w:ascii="宋体" w:hAnsi="宋体" w:cs="宋体"/>
                <w:color w:val="auto"/>
                <w:szCs w:val="21"/>
                <w:highlight w:val="none"/>
                <w:u w:val="none"/>
                <w:lang w:val="zh-CN"/>
              </w:rPr>
            </w:pPr>
            <w:r>
              <w:rPr>
                <w:rFonts w:hint="eastAsia" w:ascii="宋体" w:hAnsi="宋体" w:cs="宋体"/>
                <w:color w:val="auto"/>
                <w:szCs w:val="21"/>
                <w:highlight w:val="none"/>
                <w:u w:val="none"/>
                <w:lang w:val="zh-CN"/>
              </w:rPr>
              <w:t>支持多条件查询，可通过病历号、病人姓名等信息进行查询。</w:t>
            </w:r>
          </w:p>
          <w:p>
            <w:pPr>
              <w:pStyle w:val="45"/>
              <w:numPr>
                <w:ilvl w:val="0"/>
                <w:numId w:val="18"/>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支持病人数据回顾，包括：所有病人、病人信息、波形回顾、报警回顾、趋势回顾、C.O.回顾，支持数据的导入、导出。</w:t>
            </w:r>
          </w:p>
          <w:p>
            <w:pPr>
              <w:pStyle w:val="45"/>
              <w:numPr>
                <w:ilvl w:val="0"/>
                <w:numId w:val="18"/>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lang w:val="zh-CN"/>
              </w:rPr>
              <w:t>海量数据存储，</w:t>
            </w:r>
            <w:r>
              <w:rPr>
                <w:rFonts w:hint="eastAsia" w:ascii="宋体" w:hAnsi="宋体" w:cs="宋体"/>
                <w:color w:val="auto"/>
                <w:szCs w:val="21"/>
                <w:highlight w:val="none"/>
                <w:u w:val="none"/>
              </w:rPr>
              <w:t>支持20,000 个历史病人监护数据的存储与回顾。</w:t>
            </w:r>
          </w:p>
          <w:p>
            <w:pPr>
              <w:pStyle w:val="45"/>
              <w:numPr>
                <w:ilvl w:val="0"/>
                <w:numId w:val="18"/>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具有五种计算功能：药物计算、血液动力学计算、通气计算、氧合计算、肾功能计算。</w:t>
            </w:r>
          </w:p>
          <w:p>
            <w:pPr>
              <w:pStyle w:val="45"/>
              <w:numPr>
                <w:ilvl w:val="0"/>
                <w:numId w:val="18"/>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使用权限管理，数据的导入导出、报警静音设置、用户设置、系统修改设置等敏感问题需得到密码授权才能操作，充分保证数据安全。</w:t>
            </w:r>
          </w:p>
          <w:p>
            <w:pPr>
              <w:pStyle w:val="45"/>
              <w:numPr>
                <w:ilvl w:val="0"/>
                <w:numId w:val="18"/>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lang w:val="zh-CN"/>
              </w:rPr>
              <w:t>支持HL7协议，支持连接医院HIS等临床系统。</w:t>
            </w:r>
          </w:p>
          <w:p>
            <w:pPr>
              <w:pStyle w:val="45"/>
              <w:tabs>
                <w:tab w:val="left" w:pos="555"/>
              </w:tabs>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二、急救转运专用监护仪</w:t>
            </w:r>
          </w:p>
          <w:p>
            <w:pPr>
              <w:pStyle w:val="45"/>
              <w:numPr>
                <w:ilvl w:val="0"/>
                <w:numId w:val="19"/>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产品适用于院内转运、院外转运、急诊科床边监护、手术室、ICU、CCU病房监护及床边监护的急救转运监护仪。</w:t>
            </w:r>
          </w:p>
          <w:p>
            <w:pPr>
              <w:pStyle w:val="45"/>
              <w:numPr>
                <w:ilvl w:val="0"/>
                <w:numId w:val="19"/>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≦4.3英寸彩色触摸屏显示，触摸操作。</w:t>
            </w:r>
          </w:p>
          <w:p>
            <w:pPr>
              <w:pStyle w:val="45"/>
              <w:numPr>
                <w:ilvl w:val="0"/>
                <w:numId w:val="19"/>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仪器具有主菜单、血压测量、报警消除等快捷按键，方便医护人员操作。</w:t>
            </w:r>
          </w:p>
          <w:p>
            <w:pPr>
              <w:pStyle w:val="45"/>
              <w:numPr>
                <w:ilvl w:val="0"/>
                <w:numId w:val="19"/>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★可作为复合参数模块接入大主机工作，与大主机进行数据交换，前后双屏同时显示。</w:t>
            </w:r>
          </w:p>
          <w:p>
            <w:pPr>
              <w:pStyle w:val="45"/>
              <w:numPr>
                <w:ilvl w:val="0"/>
                <w:numId w:val="19"/>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主机自带固定式提手，无需外接转运底座。</w:t>
            </w:r>
          </w:p>
          <w:p>
            <w:pPr>
              <w:pStyle w:val="45"/>
              <w:numPr>
                <w:ilvl w:val="0"/>
                <w:numId w:val="19"/>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★可配急救监护专用包，防水抗震，可放置急救用品，便于野外携带和使用。</w:t>
            </w:r>
          </w:p>
          <w:p>
            <w:pPr>
              <w:pStyle w:val="45"/>
              <w:numPr>
                <w:ilvl w:val="0"/>
                <w:numId w:val="19"/>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支持3/5/12导联ECG测量，具有智能导联脱落和多导同步分析功能。</w:t>
            </w:r>
          </w:p>
          <w:p>
            <w:pPr>
              <w:pStyle w:val="45"/>
              <w:numPr>
                <w:ilvl w:val="0"/>
                <w:numId w:val="19"/>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心率测量范围：成人15-300bpm，小儿/新生儿15-350bpm，分辨率±1bpm。</w:t>
            </w:r>
          </w:p>
          <w:p>
            <w:pPr>
              <w:pStyle w:val="45"/>
              <w:numPr>
                <w:ilvl w:val="0"/>
                <w:numId w:val="19"/>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呼吸测量范围：成人0-120rpm，小儿/新生儿0-150rpm。</w:t>
            </w:r>
          </w:p>
          <w:p>
            <w:pPr>
              <w:pStyle w:val="45"/>
              <w:numPr>
                <w:ilvl w:val="0"/>
                <w:numId w:val="19"/>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窒息报警范围：成人10-60s，儿童/新生儿10-20s，测量误差为±5s。</w:t>
            </w:r>
          </w:p>
          <w:p>
            <w:pPr>
              <w:pStyle w:val="45"/>
              <w:numPr>
                <w:ilvl w:val="0"/>
                <w:numId w:val="19"/>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可选全球金标准的Masimo血氧，测量范围为1 ％～100％；在70％～100％范围内，成人/儿童测量精度为±2％（非运动状态下）、±3％（运动状态下），新生儿为±3％（非运动状态和运动状态下）。</w:t>
            </w:r>
          </w:p>
          <w:p>
            <w:pPr>
              <w:pStyle w:val="45"/>
              <w:numPr>
                <w:ilvl w:val="0"/>
                <w:numId w:val="19"/>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具有灌注指数PI显示，帮助医生判断测量结果的可靠性。</w:t>
            </w:r>
          </w:p>
          <w:p>
            <w:pPr>
              <w:pStyle w:val="45"/>
              <w:numPr>
                <w:ilvl w:val="0"/>
                <w:numId w:val="19"/>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NIBP静态压力测量范围：0-300mmHg，精度±3mmHg。</w:t>
            </w:r>
          </w:p>
          <w:p>
            <w:pPr>
              <w:pStyle w:val="45"/>
              <w:numPr>
                <w:ilvl w:val="0"/>
                <w:numId w:val="19"/>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NIBP具有手动、自动、连续测量模式，具有整点测量功能，更符合临床记录习惯，提高护理效率。</w:t>
            </w:r>
          </w:p>
          <w:p>
            <w:pPr>
              <w:pStyle w:val="45"/>
              <w:numPr>
                <w:ilvl w:val="0"/>
                <w:numId w:val="19"/>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NIBP可选择初始充气压力，提升测量的精准性和患者的舒适性。</w:t>
            </w:r>
          </w:p>
          <w:p>
            <w:pPr>
              <w:pStyle w:val="45"/>
              <w:numPr>
                <w:ilvl w:val="0"/>
                <w:numId w:val="19"/>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★支持中文手写输入。</w:t>
            </w:r>
          </w:p>
          <w:p>
            <w:pPr>
              <w:pStyle w:val="45"/>
              <w:numPr>
                <w:ilvl w:val="0"/>
                <w:numId w:val="19"/>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具有按键背光灯功能。</w:t>
            </w:r>
          </w:p>
          <w:p>
            <w:pPr>
              <w:pStyle w:val="45"/>
              <w:numPr>
                <w:ilvl w:val="0"/>
                <w:numId w:val="19"/>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支持标准界面、大字体界面显示。</w:t>
            </w:r>
          </w:p>
          <w:p>
            <w:pPr>
              <w:pStyle w:val="45"/>
              <w:numPr>
                <w:ilvl w:val="0"/>
                <w:numId w:val="19"/>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内置大容量锂电池，持续供电≥2小时，可外接锂电池延长供电时间8小时以上。</w:t>
            </w:r>
          </w:p>
          <w:p>
            <w:pPr>
              <w:pStyle w:val="45"/>
              <w:numPr>
                <w:ilvl w:val="0"/>
                <w:numId w:val="19"/>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支持连接同品牌中央监护系统。</w:t>
            </w:r>
          </w:p>
          <w:p>
            <w:pPr>
              <w:pStyle w:val="45"/>
              <w:tabs>
                <w:tab w:val="left" w:pos="555"/>
              </w:tabs>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三、新生儿专用监护仪</w:t>
            </w:r>
          </w:p>
          <w:p>
            <w:pPr>
              <w:pStyle w:val="45"/>
              <w:tabs>
                <w:tab w:val="left" w:pos="555"/>
              </w:tabs>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（1）硬件结构：</w:t>
            </w:r>
          </w:p>
          <w:p>
            <w:pPr>
              <w:pStyle w:val="45"/>
              <w:numPr>
                <w:ilvl w:val="0"/>
                <w:numId w:val="20"/>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固定式提手，便于携带；</w:t>
            </w:r>
          </w:p>
          <w:p>
            <w:pPr>
              <w:pStyle w:val="45"/>
              <w:numPr>
                <w:ilvl w:val="0"/>
                <w:numId w:val="20"/>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≥8英寸LED背光液晶屏，标配触摸屏；</w:t>
            </w:r>
          </w:p>
          <w:p>
            <w:pPr>
              <w:pStyle w:val="45"/>
              <w:numPr>
                <w:ilvl w:val="0"/>
                <w:numId w:val="20"/>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具有两个独立报警灯，生理、技术报警灯分开显示，直观判断报警类型；</w:t>
            </w:r>
          </w:p>
          <w:p>
            <w:pPr>
              <w:pStyle w:val="45"/>
              <w:numPr>
                <w:ilvl w:val="0"/>
                <w:numId w:val="20"/>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具有VGA接口，支持外接显示器；</w:t>
            </w:r>
          </w:p>
          <w:p>
            <w:pPr>
              <w:pStyle w:val="45"/>
              <w:tabs>
                <w:tab w:val="left" w:pos="555"/>
              </w:tabs>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（2）监测参数：</w:t>
            </w:r>
          </w:p>
          <w:p>
            <w:pPr>
              <w:pStyle w:val="45"/>
              <w:numPr>
                <w:ilvl w:val="0"/>
                <w:numId w:val="21"/>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专用于新生儿监护，无成人和小儿测量模式，保证测量安全；</w:t>
            </w:r>
          </w:p>
          <w:p>
            <w:pPr>
              <w:pStyle w:val="45"/>
              <w:numPr>
                <w:ilvl w:val="0"/>
                <w:numId w:val="21"/>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支持3/5导心电监测；</w:t>
            </w:r>
          </w:p>
          <w:p>
            <w:pPr>
              <w:pStyle w:val="45"/>
              <w:numPr>
                <w:ilvl w:val="0"/>
                <w:numId w:val="21"/>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具有ECG波形级联显示功能；</w:t>
            </w:r>
          </w:p>
          <w:p>
            <w:pPr>
              <w:pStyle w:val="45"/>
              <w:numPr>
                <w:ilvl w:val="0"/>
                <w:numId w:val="21"/>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配置新生儿专用夹式心电导联线、新生儿专用电极片；</w:t>
            </w:r>
          </w:p>
          <w:p>
            <w:pPr>
              <w:pStyle w:val="45"/>
              <w:numPr>
                <w:ilvl w:val="0"/>
                <w:numId w:val="21"/>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★要求标配Masimo SET血氧监测；</w:t>
            </w:r>
          </w:p>
          <w:p>
            <w:pPr>
              <w:pStyle w:val="45"/>
              <w:numPr>
                <w:ilvl w:val="0"/>
                <w:numId w:val="21"/>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SPO2测量范围：1％～100％；在70％～100％范围内，为±3％（非运动状态和运动状态）；</w:t>
            </w:r>
          </w:p>
          <w:p>
            <w:pPr>
              <w:pStyle w:val="45"/>
              <w:numPr>
                <w:ilvl w:val="0"/>
                <w:numId w:val="21"/>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支持PI灌注指数显示，有效反映外周血管灌注情况；</w:t>
            </w:r>
          </w:p>
          <w:p>
            <w:pPr>
              <w:pStyle w:val="45"/>
              <w:numPr>
                <w:ilvl w:val="0"/>
                <w:numId w:val="21"/>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NIBP静态压力测量范围：0～150mmHg，精度±3mmHg；</w:t>
            </w:r>
          </w:p>
          <w:p>
            <w:pPr>
              <w:pStyle w:val="45"/>
              <w:numPr>
                <w:ilvl w:val="0"/>
                <w:numId w:val="21"/>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NIBP可选择初始充气压力，提升测量的准确性和患者舒适性；</w:t>
            </w:r>
          </w:p>
          <w:p>
            <w:pPr>
              <w:pStyle w:val="45"/>
              <w:numPr>
                <w:ilvl w:val="0"/>
                <w:numId w:val="21"/>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配置1-4号四种规格大小的新生儿专用血压袖套，医护人员可根据患者情况灵活选择合适的大小；</w:t>
            </w:r>
          </w:p>
          <w:p>
            <w:pPr>
              <w:pStyle w:val="45"/>
              <w:numPr>
                <w:ilvl w:val="0"/>
                <w:numId w:val="21"/>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呼末二氧化碳测量范围0mmHg～190mmHg；</w:t>
            </w:r>
          </w:p>
          <w:p>
            <w:pPr>
              <w:pStyle w:val="45"/>
              <w:numPr>
                <w:ilvl w:val="0"/>
                <w:numId w:val="21"/>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可升级选配新生儿窒息唤醒功能；</w:t>
            </w:r>
          </w:p>
          <w:p>
            <w:pPr>
              <w:pStyle w:val="45"/>
              <w:numPr>
                <w:ilvl w:val="0"/>
                <w:numId w:val="21"/>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★可升级选配氧浓度监测功能；</w:t>
            </w:r>
          </w:p>
          <w:p>
            <w:pPr>
              <w:pStyle w:val="45"/>
              <w:tabs>
                <w:tab w:val="left" w:pos="555"/>
              </w:tabs>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（3）系统功能：</w:t>
            </w:r>
          </w:p>
          <w:p>
            <w:pPr>
              <w:pStyle w:val="45"/>
              <w:numPr>
                <w:ilvl w:val="0"/>
                <w:numId w:val="22"/>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★支持手写输入功能</w:t>
            </w:r>
          </w:p>
          <w:p>
            <w:pPr>
              <w:pStyle w:val="45"/>
              <w:numPr>
                <w:ilvl w:val="0"/>
                <w:numId w:val="22"/>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支持显示屏亮度1-100级调节</w:t>
            </w:r>
          </w:p>
          <w:p>
            <w:pPr>
              <w:pStyle w:val="45"/>
              <w:numPr>
                <w:ilvl w:val="0"/>
                <w:numId w:val="22"/>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具备大字体界面，呼吸氧合图界面，趋势共存界面，它床观察界面及标准界面等多种显示界面；</w:t>
            </w:r>
          </w:p>
          <w:p>
            <w:pPr>
              <w:pStyle w:val="45"/>
              <w:numPr>
                <w:ilvl w:val="0"/>
                <w:numId w:val="22"/>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支持不少于160小时趋势数据、200 次参数报警事件、2000组NIBP测量数据、48 小时波形全息回顾；</w:t>
            </w:r>
          </w:p>
          <w:p>
            <w:pPr>
              <w:pStyle w:val="45"/>
              <w:numPr>
                <w:ilvl w:val="0"/>
                <w:numId w:val="22"/>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 xml:space="preserve">支持不少于2000组窒息唤醒数据回顾； </w:t>
            </w:r>
          </w:p>
          <w:p>
            <w:pPr>
              <w:pStyle w:val="45"/>
              <w:numPr>
                <w:ilvl w:val="0"/>
                <w:numId w:val="22"/>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具有夜间避免打扰患者休息的夜间模式；</w:t>
            </w:r>
          </w:p>
          <w:p>
            <w:pPr>
              <w:pStyle w:val="45"/>
              <w:numPr>
                <w:ilvl w:val="0"/>
                <w:numId w:val="22"/>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支持按键背光灯，方便夜间操作；</w:t>
            </w:r>
          </w:p>
          <w:p>
            <w:pPr>
              <w:pStyle w:val="45"/>
              <w:numPr>
                <w:ilvl w:val="0"/>
                <w:numId w:val="22"/>
              </w:numPr>
              <w:tabs>
                <w:tab w:val="left" w:pos="555"/>
              </w:tabs>
              <w:ind w:firstLineChars="0"/>
              <w:rPr>
                <w:rFonts w:ascii="宋体" w:hAnsi="宋体" w:cs="宋体"/>
                <w:color w:val="auto"/>
                <w:szCs w:val="21"/>
                <w:highlight w:val="none"/>
                <w:u w:val="none"/>
              </w:rPr>
            </w:pPr>
            <w:r>
              <w:rPr>
                <w:rFonts w:hint="eastAsia" w:ascii="宋体" w:hAnsi="宋体" w:cs="宋体"/>
                <w:color w:val="auto"/>
                <w:szCs w:val="21"/>
                <w:highlight w:val="none"/>
                <w:u w:val="none"/>
              </w:rPr>
              <w:t>内置通讯接口，支持连接中央监护系统；</w:t>
            </w:r>
          </w:p>
          <w:p>
            <w:pPr>
              <w:pStyle w:val="45"/>
              <w:tabs>
                <w:tab w:val="left" w:pos="555"/>
              </w:tabs>
              <w:ind w:firstLine="210" w:firstLineChars="100"/>
              <w:rPr>
                <w:rFonts w:ascii="宋体" w:hAnsi="宋体" w:cs="宋体"/>
                <w:color w:val="auto"/>
                <w:szCs w:val="21"/>
                <w:highlight w:val="none"/>
                <w:u w:val="none"/>
              </w:rPr>
            </w:pP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10</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呼吸机</w:t>
            </w:r>
          </w:p>
        </w:tc>
        <w:tc>
          <w:tcPr>
            <w:tcW w:w="7410" w:type="dxa"/>
            <w:tcBorders>
              <w:bottom w:val="single" w:color="auto" w:sz="4" w:space="0"/>
              <w:tl2br w:val="nil"/>
              <w:tr2bl w:val="nil"/>
            </w:tcBorders>
          </w:tcPr>
          <w:p>
            <w:pPr>
              <w:pStyle w:val="30"/>
              <w:numPr>
                <w:ilvl w:val="0"/>
                <w:numId w:val="23"/>
              </w:numPr>
              <w:spacing w:line="30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≤8英寸TFT液晶显示屏，触控屏。</w:t>
            </w:r>
          </w:p>
          <w:p>
            <w:pPr>
              <w:pStyle w:val="30"/>
              <w:numPr>
                <w:ilvl w:val="0"/>
                <w:numId w:val="23"/>
              </w:numPr>
              <w:spacing w:line="30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监测参数：压力（气道压力/呼末正压、平均压、气道峰压）、氧浓度、自主呼吸频率、吸呼比、呼气时间、流量。</w:t>
            </w:r>
          </w:p>
          <w:p>
            <w:pPr>
              <w:pStyle w:val="30"/>
              <w:numPr>
                <w:ilvl w:val="0"/>
                <w:numId w:val="23"/>
              </w:numPr>
              <w:spacing w:line="30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图形显示：压力－时间波形、流量柱状图显示流量。</w:t>
            </w:r>
          </w:p>
          <w:p>
            <w:pPr>
              <w:pStyle w:val="30"/>
              <w:numPr>
                <w:ilvl w:val="0"/>
                <w:numId w:val="23"/>
              </w:numPr>
              <w:spacing w:line="30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内置电子空氧混合器，氧浓度调节范围：21%-100%,误差≤±3%。</w:t>
            </w:r>
          </w:p>
          <w:p>
            <w:pPr>
              <w:pStyle w:val="30"/>
              <w:numPr>
                <w:ilvl w:val="0"/>
                <w:numId w:val="23"/>
              </w:numPr>
              <w:spacing w:line="30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使用包含科恩达效应和气流切换原理气道正压发生器，可兼容Infant Flow LP、Medijet、NV FLOW、Neo.Flow四种压力发生器。</w:t>
            </w:r>
          </w:p>
          <w:p>
            <w:pPr>
              <w:pStyle w:val="30"/>
              <w:numPr>
                <w:ilvl w:val="0"/>
                <w:numId w:val="23"/>
              </w:numPr>
              <w:spacing w:line="30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★标配NCPAP、NIPPV、SNIPPV、HFNC四种通气模式，还具有快氧通气和手动通气两种辅助通气模式。</w:t>
            </w:r>
          </w:p>
          <w:p>
            <w:pPr>
              <w:pStyle w:val="30"/>
              <w:numPr>
                <w:ilvl w:val="0"/>
                <w:numId w:val="23"/>
              </w:numPr>
              <w:spacing w:line="30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在NCPAP/SNIPPV通气模式下，具有自主呼吸频率监测和显示功能。</w:t>
            </w:r>
          </w:p>
          <w:p>
            <w:pPr>
              <w:pStyle w:val="30"/>
              <w:numPr>
                <w:ilvl w:val="0"/>
                <w:numId w:val="23"/>
              </w:numPr>
              <w:spacing w:line="30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腹部呼吸传感器触发灵敏度可调节，设置范围1-10级。</w:t>
            </w:r>
          </w:p>
          <w:p>
            <w:pPr>
              <w:pStyle w:val="30"/>
              <w:numPr>
                <w:ilvl w:val="0"/>
                <w:numId w:val="23"/>
              </w:numPr>
              <w:spacing w:line="30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在NCPAP通气模式下具有窒息唤醒功能，且唤醒次数1-5次可调节。</w:t>
            </w:r>
          </w:p>
          <w:p>
            <w:pPr>
              <w:pStyle w:val="30"/>
              <w:numPr>
                <w:ilvl w:val="0"/>
                <w:numId w:val="23"/>
              </w:numPr>
              <w:spacing w:line="30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在HFNC高流量氧疗通气模式下具有压力监测功能。</w:t>
            </w:r>
          </w:p>
          <w:p>
            <w:pPr>
              <w:pStyle w:val="30"/>
              <w:numPr>
                <w:ilvl w:val="0"/>
                <w:numId w:val="23"/>
              </w:numPr>
              <w:spacing w:line="30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参数设置范围：</w:t>
            </w:r>
          </w:p>
          <w:p>
            <w:pPr>
              <w:pStyle w:val="30"/>
              <w:spacing w:line="300" w:lineRule="auto"/>
              <w:ind w:left="420" w:firstLine="0" w:firstLineChars="0"/>
              <w:rPr>
                <w:rFonts w:ascii="宋体" w:hAnsi="宋体" w:cs="宋体"/>
                <w:color w:val="auto"/>
                <w:szCs w:val="21"/>
                <w:highlight w:val="none"/>
                <w:u w:val="none"/>
              </w:rPr>
            </w:pPr>
            <w:r>
              <w:rPr>
                <w:rFonts w:hint="eastAsia" w:ascii="宋体" w:hAnsi="宋体" w:cs="宋体"/>
                <w:color w:val="auto"/>
                <w:szCs w:val="21"/>
                <w:highlight w:val="none"/>
                <w:u w:val="none"/>
              </w:rPr>
              <w:t>11.1  吸气压力：3-20cmH</w:t>
            </w:r>
            <w:r>
              <w:rPr>
                <w:rFonts w:hint="eastAsia" w:ascii="宋体" w:hAnsi="宋体" w:cs="宋体"/>
                <w:color w:val="auto"/>
                <w:szCs w:val="21"/>
                <w:highlight w:val="none"/>
                <w:u w:val="none"/>
                <w:vertAlign w:val="subscript"/>
              </w:rPr>
              <w:t>2</w:t>
            </w:r>
            <w:r>
              <w:rPr>
                <w:rFonts w:hint="eastAsia" w:ascii="宋体" w:hAnsi="宋体" w:cs="宋体"/>
                <w:color w:val="auto"/>
                <w:szCs w:val="21"/>
                <w:highlight w:val="none"/>
                <w:u w:val="none"/>
              </w:rPr>
              <w:t xml:space="preserve">O </w:t>
            </w:r>
          </w:p>
          <w:p>
            <w:pPr>
              <w:pStyle w:val="30"/>
              <w:spacing w:line="300" w:lineRule="auto"/>
              <w:ind w:left="420" w:firstLine="0" w:firstLineChars="0"/>
              <w:rPr>
                <w:rFonts w:ascii="宋体" w:hAnsi="宋体" w:cs="宋体"/>
                <w:color w:val="auto"/>
                <w:szCs w:val="21"/>
                <w:highlight w:val="none"/>
                <w:u w:val="none"/>
              </w:rPr>
            </w:pPr>
            <w:r>
              <w:rPr>
                <w:rFonts w:hint="eastAsia" w:ascii="宋体" w:hAnsi="宋体" w:cs="宋体"/>
                <w:color w:val="auto"/>
                <w:szCs w:val="21"/>
                <w:highlight w:val="none"/>
                <w:u w:val="none"/>
              </w:rPr>
              <w:t>11.2  呼末正压PEEP：1-13 cmH2O</w:t>
            </w:r>
          </w:p>
          <w:p>
            <w:pPr>
              <w:pStyle w:val="30"/>
              <w:spacing w:line="300" w:lineRule="auto"/>
              <w:ind w:left="420" w:firstLine="0" w:firstLineChars="0"/>
              <w:rPr>
                <w:rFonts w:ascii="宋体" w:hAnsi="宋体" w:cs="宋体"/>
                <w:color w:val="auto"/>
                <w:szCs w:val="21"/>
                <w:highlight w:val="none"/>
                <w:u w:val="none"/>
              </w:rPr>
            </w:pPr>
            <w:r>
              <w:rPr>
                <w:rFonts w:hint="eastAsia" w:ascii="宋体" w:hAnsi="宋体" w:cs="宋体"/>
                <w:color w:val="auto"/>
                <w:szCs w:val="21"/>
                <w:highlight w:val="none"/>
                <w:u w:val="none"/>
              </w:rPr>
              <w:t>11.3  窒息唤醒压力：3-20cmH</w:t>
            </w:r>
            <w:r>
              <w:rPr>
                <w:rFonts w:hint="eastAsia" w:ascii="宋体" w:hAnsi="宋体" w:cs="宋体"/>
                <w:color w:val="auto"/>
                <w:szCs w:val="21"/>
                <w:highlight w:val="none"/>
                <w:u w:val="none"/>
                <w:vertAlign w:val="subscript"/>
              </w:rPr>
              <w:t>2</w:t>
            </w:r>
            <w:r>
              <w:rPr>
                <w:rFonts w:hint="eastAsia" w:ascii="宋体" w:hAnsi="宋体" w:cs="宋体"/>
                <w:color w:val="auto"/>
                <w:szCs w:val="21"/>
                <w:highlight w:val="none"/>
                <w:u w:val="none"/>
              </w:rPr>
              <w:t>O</w:t>
            </w:r>
          </w:p>
          <w:p>
            <w:pPr>
              <w:pStyle w:val="30"/>
              <w:spacing w:line="300" w:lineRule="auto"/>
              <w:ind w:left="420" w:firstLine="0" w:firstLineChars="0"/>
              <w:rPr>
                <w:rFonts w:ascii="宋体" w:hAnsi="宋体" w:cs="宋体"/>
                <w:color w:val="auto"/>
                <w:szCs w:val="21"/>
                <w:highlight w:val="none"/>
                <w:u w:val="none"/>
              </w:rPr>
            </w:pPr>
            <w:r>
              <w:rPr>
                <w:rFonts w:hint="eastAsia" w:ascii="宋体" w:hAnsi="宋体" w:cs="宋体"/>
                <w:color w:val="auto"/>
                <w:szCs w:val="21"/>
                <w:highlight w:val="none"/>
                <w:u w:val="none"/>
              </w:rPr>
              <w:t>11.4  窒息间隔：OFF，1s-30s</w:t>
            </w:r>
          </w:p>
          <w:p>
            <w:pPr>
              <w:pStyle w:val="30"/>
              <w:spacing w:line="300" w:lineRule="auto"/>
              <w:ind w:left="420" w:firstLine="0" w:firstLineChars="0"/>
              <w:rPr>
                <w:rFonts w:ascii="宋体" w:hAnsi="宋体" w:cs="宋体"/>
                <w:color w:val="auto"/>
                <w:szCs w:val="21"/>
                <w:highlight w:val="none"/>
                <w:u w:val="none"/>
              </w:rPr>
            </w:pPr>
            <w:r>
              <w:rPr>
                <w:rFonts w:hint="eastAsia" w:ascii="宋体" w:hAnsi="宋体" w:cs="宋体"/>
                <w:color w:val="auto"/>
                <w:szCs w:val="21"/>
                <w:highlight w:val="none"/>
                <w:u w:val="none"/>
              </w:rPr>
              <w:t>11.5  吸气时间：0.1-15s</w:t>
            </w:r>
          </w:p>
          <w:p>
            <w:pPr>
              <w:pStyle w:val="30"/>
              <w:spacing w:line="300" w:lineRule="auto"/>
              <w:ind w:left="420" w:firstLine="0" w:firstLineChars="0"/>
              <w:rPr>
                <w:rFonts w:ascii="宋体" w:hAnsi="宋体" w:cs="宋体"/>
                <w:color w:val="auto"/>
                <w:szCs w:val="21"/>
                <w:highlight w:val="none"/>
                <w:u w:val="none"/>
              </w:rPr>
            </w:pPr>
            <w:r>
              <w:rPr>
                <w:rFonts w:hint="eastAsia" w:ascii="宋体" w:hAnsi="宋体" w:cs="宋体"/>
                <w:color w:val="auto"/>
                <w:szCs w:val="21"/>
                <w:highlight w:val="none"/>
                <w:u w:val="none"/>
              </w:rPr>
              <w:t>11.6  呼吸频率：1-120bpm</w:t>
            </w:r>
          </w:p>
          <w:p>
            <w:pPr>
              <w:pStyle w:val="30"/>
              <w:numPr>
                <w:ilvl w:val="0"/>
                <w:numId w:val="23"/>
              </w:numPr>
              <w:spacing w:line="30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参数监测范围：</w:t>
            </w:r>
          </w:p>
          <w:p>
            <w:pPr>
              <w:pStyle w:val="30"/>
              <w:spacing w:line="300" w:lineRule="auto"/>
              <w:ind w:left="420" w:firstLine="0" w:firstLineChars="0"/>
              <w:rPr>
                <w:rFonts w:ascii="宋体" w:hAnsi="宋体" w:cs="宋体"/>
                <w:color w:val="auto"/>
                <w:szCs w:val="21"/>
                <w:highlight w:val="none"/>
                <w:u w:val="none"/>
              </w:rPr>
            </w:pPr>
            <w:r>
              <w:rPr>
                <w:rFonts w:hint="eastAsia" w:ascii="宋体" w:hAnsi="宋体" w:cs="宋体"/>
                <w:color w:val="auto"/>
                <w:szCs w:val="21"/>
                <w:highlight w:val="none"/>
                <w:u w:val="none"/>
              </w:rPr>
              <w:t>12.1  气道压力：﹣10cmH2O-100cmH2O</w:t>
            </w:r>
          </w:p>
          <w:p>
            <w:pPr>
              <w:pStyle w:val="30"/>
              <w:spacing w:line="300" w:lineRule="auto"/>
              <w:ind w:left="420" w:firstLine="0" w:firstLineChars="0"/>
              <w:rPr>
                <w:rFonts w:ascii="宋体" w:hAnsi="宋体" w:cs="宋体"/>
                <w:color w:val="auto"/>
                <w:szCs w:val="21"/>
                <w:highlight w:val="none"/>
                <w:u w:val="none"/>
              </w:rPr>
            </w:pPr>
            <w:r>
              <w:rPr>
                <w:rFonts w:hint="eastAsia" w:ascii="宋体" w:hAnsi="宋体" w:cs="宋体"/>
                <w:color w:val="auto"/>
                <w:szCs w:val="21"/>
                <w:highlight w:val="none"/>
                <w:u w:val="none"/>
              </w:rPr>
              <w:t>12.2  自主呼吸频率：0-200bpm</w:t>
            </w:r>
          </w:p>
          <w:p>
            <w:pPr>
              <w:pStyle w:val="30"/>
              <w:spacing w:line="300" w:lineRule="auto"/>
              <w:ind w:left="420" w:firstLine="0" w:firstLineChars="0"/>
              <w:rPr>
                <w:rFonts w:ascii="宋体" w:hAnsi="宋体" w:cs="宋体"/>
                <w:color w:val="auto"/>
                <w:szCs w:val="21"/>
                <w:highlight w:val="none"/>
                <w:u w:val="none"/>
              </w:rPr>
            </w:pPr>
            <w:r>
              <w:rPr>
                <w:rFonts w:hint="eastAsia" w:ascii="宋体" w:hAnsi="宋体" w:cs="宋体"/>
                <w:color w:val="auto"/>
                <w:szCs w:val="21"/>
                <w:highlight w:val="none"/>
                <w:u w:val="none"/>
              </w:rPr>
              <w:t>12.3  流量：0-40L/min</w:t>
            </w:r>
          </w:p>
          <w:p>
            <w:pPr>
              <w:pStyle w:val="30"/>
              <w:spacing w:line="300" w:lineRule="auto"/>
              <w:ind w:left="420" w:firstLine="0" w:firstLineChars="0"/>
              <w:rPr>
                <w:rFonts w:ascii="宋体" w:hAnsi="宋体" w:cs="宋体"/>
                <w:color w:val="auto"/>
                <w:szCs w:val="21"/>
                <w:highlight w:val="none"/>
                <w:u w:val="none"/>
              </w:rPr>
            </w:pPr>
            <w:r>
              <w:rPr>
                <w:rFonts w:hint="eastAsia" w:ascii="宋体" w:hAnsi="宋体" w:cs="宋体"/>
                <w:color w:val="auto"/>
                <w:szCs w:val="21"/>
                <w:highlight w:val="none"/>
                <w:u w:val="none"/>
              </w:rPr>
              <w:t>12.4  呼气时间：0.4s-30s</w:t>
            </w:r>
          </w:p>
          <w:p>
            <w:pPr>
              <w:pStyle w:val="30"/>
              <w:spacing w:line="300" w:lineRule="auto"/>
              <w:ind w:left="420" w:firstLine="0" w:firstLineChars="0"/>
              <w:rPr>
                <w:rFonts w:ascii="宋体" w:hAnsi="宋体" w:cs="宋体"/>
                <w:color w:val="auto"/>
                <w:szCs w:val="21"/>
                <w:highlight w:val="none"/>
                <w:u w:val="none"/>
              </w:rPr>
            </w:pPr>
            <w:r>
              <w:rPr>
                <w:rFonts w:hint="eastAsia" w:ascii="宋体" w:hAnsi="宋体" w:cs="宋体"/>
                <w:color w:val="auto"/>
                <w:szCs w:val="21"/>
                <w:highlight w:val="none"/>
                <w:u w:val="none"/>
              </w:rPr>
              <w:t>12.5  吸呼比：1:1-1:10</w:t>
            </w:r>
          </w:p>
          <w:p>
            <w:pPr>
              <w:pStyle w:val="30"/>
              <w:numPr>
                <w:ilvl w:val="0"/>
                <w:numId w:val="23"/>
              </w:numPr>
              <w:spacing w:line="30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应具有压力泄露补偿功能。</w:t>
            </w:r>
          </w:p>
          <w:p>
            <w:pPr>
              <w:pStyle w:val="30"/>
              <w:numPr>
                <w:ilvl w:val="0"/>
                <w:numId w:val="23"/>
              </w:numPr>
              <w:spacing w:line="30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具有氧浓度自动校准功能。</w:t>
            </w:r>
          </w:p>
          <w:p>
            <w:pPr>
              <w:pStyle w:val="30"/>
              <w:numPr>
                <w:ilvl w:val="0"/>
                <w:numId w:val="23"/>
              </w:numPr>
              <w:spacing w:line="30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可选配通气过程中氧浓度在线校准功能。</w:t>
            </w:r>
          </w:p>
          <w:p>
            <w:pPr>
              <w:pStyle w:val="30"/>
              <w:numPr>
                <w:ilvl w:val="0"/>
                <w:numId w:val="23"/>
              </w:numPr>
              <w:spacing w:line="30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具有锁屏功能，可选择开启或关闭锁屏。</w:t>
            </w:r>
          </w:p>
          <w:p>
            <w:pPr>
              <w:pStyle w:val="30"/>
              <w:numPr>
                <w:ilvl w:val="0"/>
                <w:numId w:val="23"/>
              </w:numPr>
              <w:spacing w:line="30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具有开机自检功能，自检信息图形指示功能，能直观指示自检状态。</w:t>
            </w:r>
          </w:p>
          <w:p>
            <w:pPr>
              <w:pStyle w:val="30"/>
              <w:numPr>
                <w:ilvl w:val="0"/>
                <w:numId w:val="23"/>
              </w:numPr>
              <w:spacing w:line="30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可存储120小时趋势图/趋势表，2000条报警日记，并能掉电保存及报警回顾。</w:t>
            </w:r>
          </w:p>
          <w:p>
            <w:pPr>
              <w:pStyle w:val="30"/>
              <w:numPr>
                <w:ilvl w:val="0"/>
                <w:numId w:val="23"/>
              </w:numPr>
              <w:spacing w:line="30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配置内置加热丝式重复使用呼吸管路，呼吸管路可高温高压消毒。</w:t>
            </w:r>
          </w:p>
          <w:p>
            <w:pPr>
              <w:pStyle w:val="30"/>
              <w:numPr>
                <w:ilvl w:val="0"/>
                <w:numId w:val="23"/>
              </w:numPr>
              <w:spacing w:line="30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应具有湿化器外挂导轨，空压机安装底盘，吊臂、水袋支架安装座。</w:t>
            </w:r>
          </w:p>
          <w:p>
            <w:pPr>
              <w:pStyle w:val="30"/>
              <w:numPr>
                <w:ilvl w:val="0"/>
                <w:numId w:val="23"/>
              </w:numPr>
              <w:spacing w:line="30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★标配医用空气压缩机，与呼吸机主机同一品牌。</w:t>
            </w:r>
          </w:p>
          <w:p>
            <w:pPr>
              <w:pStyle w:val="30"/>
              <w:numPr>
                <w:ilvl w:val="0"/>
                <w:numId w:val="23"/>
              </w:numPr>
              <w:spacing w:line="30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内置大容量锂电池，充满可使用≥4小时。</w:t>
            </w:r>
          </w:p>
          <w:p>
            <w:pPr>
              <w:pStyle w:val="30"/>
              <w:numPr>
                <w:ilvl w:val="0"/>
                <w:numId w:val="23"/>
              </w:numPr>
              <w:spacing w:line="30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具有USB接口、RS232接口、网络接口、外部12-24V直流电源输入接口。</w:t>
            </w:r>
          </w:p>
          <w:p>
            <w:pPr>
              <w:pStyle w:val="30"/>
              <w:numPr>
                <w:ilvl w:val="0"/>
                <w:numId w:val="23"/>
              </w:numPr>
              <w:spacing w:line="30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具有空气气源内置积水杯，用于过滤空气气源中的水汽。</w:t>
            </w:r>
          </w:p>
          <w:p>
            <w:pPr>
              <w:ind w:firstLine="100"/>
              <w:rPr>
                <w:rFonts w:ascii="宋体" w:hAnsi="宋体" w:cs="宋体"/>
                <w:color w:val="auto"/>
                <w:szCs w:val="21"/>
                <w:highlight w:val="none"/>
                <w:u w:val="none"/>
              </w:rPr>
            </w:pP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2</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11</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心电监护仪</w:t>
            </w:r>
          </w:p>
        </w:tc>
        <w:tc>
          <w:tcPr>
            <w:tcW w:w="7410" w:type="dxa"/>
            <w:tcBorders>
              <w:bottom w:val="single" w:color="auto" w:sz="4" w:space="0"/>
              <w:tl2br w:val="nil"/>
              <w:tr2bl w:val="nil"/>
            </w:tcBorders>
          </w:tcPr>
          <w:p>
            <w:pPr>
              <w:numPr>
                <w:ilvl w:val="0"/>
                <w:numId w:val="24"/>
              </w:num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一体式监护仪,可用于监护成人,儿童,新生儿患者；</w:t>
            </w:r>
          </w:p>
          <w:p>
            <w:pPr>
              <w:numPr>
                <w:ilvl w:val="0"/>
                <w:numId w:val="24"/>
              </w:num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&gt;10寸彩色LED显示，彩色高分辨率达800*600，8通道波形显示、可升级触摸屏；</w:t>
            </w:r>
          </w:p>
          <w:p>
            <w:pPr>
              <w:numPr>
                <w:ilvl w:val="0"/>
                <w:numId w:val="24"/>
              </w:num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360度报警灯，保证任何方向都可观察到报警信息；</w:t>
            </w:r>
          </w:p>
          <w:p>
            <w:pPr>
              <w:numPr>
                <w:ilvl w:val="0"/>
                <w:numId w:val="24"/>
              </w:num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主机带电池和记录仪重量&lt;3.5kg；</w:t>
            </w:r>
          </w:p>
          <w:p>
            <w:pPr>
              <w:numPr>
                <w:ilvl w:val="0"/>
                <w:numId w:val="24"/>
              </w:num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标准配置可监测心电，呼吸，无创血压，血氧饱和度，脉搏；</w:t>
            </w:r>
          </w:p>
          <w:p>
            <w:pPr>
              <w:numPr>
                <w:ilvl w:val="0"/>
                <w:numId w:val="24"/>
              </w:num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3/5导心电测量，算法通过全球权威数据库AHA和MIT-BIH验证；</w:t>
            </w:r>
          </w:p>
          <w:p>
            <w:pPr>
              <w:numPr>
                <w:ilvl w:val="0"/>
                <w:numId w:val="24"/>
              </w:num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★心电和呼吸采用全球领先ASIC芯片技术，功耗更低，稳定性更高；</w:t>
            </w:r>
          </w:p>
          <w:p>
            <w:pPr>
              <w:numPr>
                <w:ilvl w:val="0"/>
                <w:numId w:val="24"/>
              </w:num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★可显示PI血氧灌注指数，有效反映血氧灌注情况；</w:t>
            </w:r>
          </w:p>
          <w:p>
            <w:pPr>
              <w:numPr>
                <w:ilvl w:val="0"/>
                <w:numId w:val="24"/>
              </w:num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可选全球金标准的Masimo血氧算法、Nellcor血氧算法；</w:t>
            </w:r>
          </w:p>
          <w:p>
            <w:pPr>
              <w:numPr>
                <w:ilvl w:val="0"/>
                <w:numId w:val="24"/>
              </w:num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支持中/英文字符输入；</w:t>
            </w:r>
          </w:p>
          <w:p>
            <w:pPr>
              <w:numPr>
                <w:ilvl w:val="0"/>
                <w:numId w:val="24"/>
              </w:num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具有三级声光报警，参数报警级别可调；</w:t>
            </w:r>
          </w:p>
          <w:p>
            <w:pPr>
              <w:numPr>
                <w:ilvl w:val="0"/>
                <w:numId w:val="24"/>
              </w:num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★具备报警集中设置功能；</w:t>
            </w:r>
          </w:p>
          <w:p>
            <w:pPr>
              <w:numPr>
                <w:ilvl w:val="0"/>
                <w:numId w:val="24"/>
              </w:num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具备血液动力学、药物计算功能，氧合计算,通气计算,肾功能计算；</w:t>
            </w:r>
          </w:p>
          <w:p>
            <w:pPr>
              <w:numPr>
                <w:ilvl w:val="0"/>
                <w:numId w:val="24"/>
              </w:num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可升级掉电存储功能、具备Nurse Call报警功能；</w:t>
            </w:r>
          </w:p>
          <w:p>
            <w:pPr>
              <w:numPr>
                <w:ilvl w:val="0"/>
                <w:numId w:val="24"/>
              </w:num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具备120小时趋势图表、100个报警事件、100个心律失常、1000组NIBP测量的数据存储和回顾功能,48小时全息波形回顾；</w:t>
            </w:r>
          </w:p>
          <w:p>
            <w:pPr>
              <w:numPr>
                <w:ilvl w:val="0"/>
                <w:numId w:val="24"/>
              </w:num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他床观察功能，无需中央站即可进行隔床跨室观察其他联网床位监护信息；</w:t>
            </w:r>
          </w:p>
          <w:p>
            <w:pPr>
              <w:ind w:left="709"/>
              <w:rPr>
                <w:rFonts w:hint="eastAsia" w:ascii="宋体" w:hAnsi="宋体" w:cs="宋体"/>
                <w:color w:val="auto"/>
                <w:szCs w:val="21"/>
                <w:highlight w:val="none"/>
                <w:u w:val="none"/>
              </w:rPr>
            </w:pPr>
            <w:r>
              <w:rPr>
                <w:rFonts w:hint="eastAsia" w:ascii="宋体" w:hAnsi="宋体" w:cs="宋体"/>
                <w:color w:val="auto"/>
                <w:szCs w:val="21"/>
                <w:highlight w:val="none"/>
                <w:u w:val="none"/>
              </w:rPr>
              <w:t>17.具备趋势共存界面、呼吸氧合图界面，大字体显示界面，及标准显示界面等多种显示界面</w:t>
            </w:r>
          </w:p>
          <w:p>
            <w:pPr>
              <w:ind w:left="709"/>
              <w:rPr>
                <w:rFonts w:ascii="宋体" w:hAnsi="宋体" w:cs="宋体"/>
                <w:color w:val="auto"/>
                <w:szCs w:val="21"/>
                <w:highlight w:val="none"/>
                <w:u w:val="none"/>
              </w:rPr>
            </w:pPr>
            <w:r>
              <w:rPr>
                <w:rFonts w:hint="eastAsia" w:ascii="宋体" w:hAnsi="宋体" w:cs="宋体"/>
                <w:color w:val="auto"/>
                <w:szCs w:val="21"/>
                <w:highlight w:val="none"/>
                <w:u w:val="none"/>
              </w:rPr>
              <w:t>18.配置锂电池；</w:t>
            </w:r>
          </w:p>
          <w:p>
            <w:pPr>
              <w:autoSpaceDE w:val="0"/>
              <w:autoSpaceDN w:val="0"/>
              <w:adjustRightInd w:val="0"/>
              <w:spacing w:line="360" w:lineRule="auto"/>
              <w:ind w:left="180" w:firstLine="480" w:firstLineChars="200"/>
              <w:jc w:val="left"/>
              <w:rPr>
                <w:rFonts w:ascii="宋体" w:hAnsi="宋体" w:cs="宋体"/>
                <w:color w:val="auto"/>
                <w:kern w:val="0"/>
                <w:sz w:val="24"/>
                <w:highlight w:val="none"/>
                <w:u w:val="none"/>
              </w:rPr>
            </w:pPr>
            <w:r>
              <w:rPr>
                <w:rStyle w:val="46"/>
                <w:rFonts w:hint="eastAsia" w:ascii="宋体" w:hAnsi="宋体" w:cs="宋体"/>
                <w:color w:val="auto"/>
                <w:sz w:val="24"/>
                <w:highlight w:val="none"/>
                <w:u w:val="none"/>
              </w:rPr>
              <w:t>19.</w:t>
            </w:r>
            <w:r>
              <w:rPr>
                <w:rFonts w:hint="eastAsia" w:ascii="宋体" w:hAnsi="宋体"/>
                <w:color w:val="auto"/>
                <w:sz w:val="24"/>
                <w:highlight w:val="none"/>
                <w:u w:val="none"/>
              </w:rPr>
              <w:t xml:space="preserve"> 具备有线、无线、有线/无线、有线/无线/遥测混合联网功能</w:t>
            </w:r>
            <w:r>
              <w:rPr>
                <w:rFonts w:hint="eastAsia" w:ascii="宋体" w:hAnsi="宋体" w:cs="宋体"/>
                <w:color w:val="auto"/>
                <w:szCs w:val="21"/>
                <w:highlight w:val="none"/>
                <w:u w:val="none"/>
              </w:rPr>
              <w:t>；</w:t>
            </w:r>
          </w:p>
          <w:p>
            <w:pPr>
              <w:ind w:left="709"/>
              <w:rPr>
                <w:rFonts w:ascii="宋体" w:hAnsi="宋体" w:cs="宋体"/>
                <w:color w:val="auto"/>
                <w:szCs w:val="21"/>
                <w:highlight w:val="none"/>
                <w:u w:val="none"/>
              </w:rPr>
            </w:pPr>
            <w:r>
              <w:rPr>
                <w:rFonts w:hint="eastAsia" w:ascii="宋体" w:hAnsi="宋体" w:cs="宋体"/>
                <w:color w:val="auto"/>
                <w:szCs w:val="21"/>
                <w:highlight w:val="none"/>
                <w:u w:val="none"/>
              </w:rPr>
              <w:t>20.整机无风扇设计，降低环境噪音干扰；</w:t>
            </w: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2</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12</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全自动洗胃机</w:t>
            </w:r>
          </w:p>
        </w:tc>
        <w:tc>
          <w:tcPr>
            <w:tcW w:w="7410" w:type="dxa"/>
            <w:tcBorders>
              <w:bottom w:val="single" w:color="auto" w:sz="4" w:space="0"/>
              <w:tl2br w:val="nil"/>
              <w:tr2bl w:val="nil"/>
            </w:tcBorders>
          </w:tcPr>
          <w:p>
            <w:pPr>
              <w:numPr>
                <w:ilvl w:val="0"/>
                <w:numId w:val="25"/>
              </w:numPr>
              <w:spacing w:line="220" w:lineRule="atLeast"/>
              <w:rPr>
                <w:rFonts w:ascii="宋体" w:hAnsi="宋体" w:cs="宋体"/>
                <w:color w:val="auto"/>
                <w:szCs w:val="21"/>
                <w:highlight w:val="none"/>
                <w:u w:val="none"/>
              </w:rPr>
            </w:pPr>
            <w:r>
              <w:rPr>
                <w:rFonts w:hint="eastAsia" w:ascii="宋体" w:hAnsi="宋体" w:cs="宋体"/>
                <w:color w:val="auto"/>
                <w:szCs w:val="21"/>
                <w:highlight w:val="none"/>
                <w:u w:val="none"/>
              </w:rPr>
              <w:t>釆用电磁泵作为冲液和口吸液的动力源。通过控制电路来控制冲泵。冲阀和吸泵。吸阀以完成冲吸洗胃两过程，达到高效胃的目的。</w:t>
            </w:r>
          </w:p>
          <w:p>
            <w:pPr>
              <w:numPr>
                <w:ilvl w:val="0"/>
                <w:numId w:val="25"/>
              </w:numPr>
              <w:spacing w:line="220" w:lineRule="atLeast"/>
              <w:rPr>
                <w:rFonts w:ascii="宋体" w:hAnsi="宋体" w:cs="宋体"/>
                <w:color w:val="auto"/>
                <w:szCs w:val="21"/>
                <w:highlight w:val="none"/>
                <w:u w:val="none"/>
              </w:rPr>
            </w:pPr>
            <w:r>
              <w:rPr>
                <w:rFonts w:hint="eastAsia" w:ascii="宋体" w:hAnsi="宋体" w:cs="宋体"/>
                <w:color w:val="auto"/>
                <w:szCs w:val="21"/>
                <w:highlight w:val="none"/>
                <w:u w:val="none"/>
              </w:rPr>
              <w:t>电源电压：-220V±22V、50Hz±1Hz；</w:t>
            </w:r>
          </w:p>
          <w:p>
            <w:pPr>
              <w:numPr>
                <w:ilvl w:val="0"/>
                <w:numId w:val="25"/>
              </w:numPr>
              <w:spacing w:line="220" w:lineRule="atLeast"/>
              <w:rPr>
                <w:rFonts w:ascii="宋体" w:hAnsi="宋体" w:cs="宋体"/>
                <w:color w:val="auto"/>
                <w:szCs w:val="21"/>
                <w:highlight w:val="none"/>
                <w:u w:val="none"/>
              </w:rPr>
            </w:pPr>
            <w:r>
              <w:rPr>
                <w:rFonts w:hint="eastAsia" w:ascii="宋体" w:hAnsi="宋体" w:cs="宋体"/>
                <w:color w:val="auto"/>
                <w:szCs w:val="21"/>
                <w:highlight w:val="none"/>
                <w:u w:val="none"/>
              </w:rPr>
              <w:t>输入功率：250VA；</w:t>
            </w:r>
          </w:p>
          <w:p>
            <w:pPr>
              <w:numPr>
                <w:ilvl w:val="0"/>
                <w:numId w:val="25"/>
              </w:numPr>
              <w:spacing w:line="220" w:lineRule="atLeast"/>
              <w:rPr>
                <w:rFonts w:ascii="宋体" w:hAnsi="宋体" w:cs="宋体"/>
                <w:color w:val="auto"/>
                <w:szCs w:val="21"/>
                <w:highlight w:val="none"/>
                <w:u w:val="none"/>
              </w:rPr>
            </w:pPr>
            <w:r>
              <w:rPr>
                <w:rFonts w:hint="eastAsia" w:ascii="宋体" w:hAnsi="宋体" w:cs="宋体"/>
                <w:color w:val="auto"/>
                <w:szCs w:val="21"/>
                <w:highlight w:val="none"/>
                <w:u w:val="none"/>
              </w:rPr>
              <w:t>流量:&gt;2L/min；</w:t>
            </w:r>
          </w:p>
          <w:p>
            <w:pPr>
              <w:numPr>
                <w:ilvl w:val="0"/>
                <w:numId w:val="25"/>
              </w:numPr>
              <w:spacing w:line="220" w:lineRule="atLeast"/>
              <w:rPr>
                <w:rFonts w:ascii="宋体" w:hAnsi="宋体" w:cs="宋体"/>
                <w:color w:val="auto"/>
                <w:szCs w:val="21"/>
                <w:highlight w:val="none"/>
                <w:u w:val="none"/>
              </w:rPr>
            </w:pPr>
            <w:r>
              <w:rPr>
                <w:rFonts w:hint="eastAsia" w:ascii="宋体" w:hAnsi="宋体" w:cs="宋体"/>
                <w:color w:val="auto"/>
                <w:szCs w:val="21"/>
                <w:highlight w:val="none"/>
                <w:u w:val="none"/>
              </w:rPr>
              <w:t>自控：冲液为250-350ml/次；</w:t>
            </w:r>
          </w:p>
          <w:p>
            <w:pPr>
              <w:numPr>
                <w:ilvl w:val="0"/>
                <w:numId w:val="25"/>
              </w:numPr>
              <w:spacing w:line="220" w:lineRule="atLeast"/>
              <w:rPr>
                <w:rFonts w:ascii="宋体" w:hAnsi="宋体" w:cs="宋体"/>
                <w:color w:val="auto"/>
                <w:szCs w:val="21"/>
                <w:highlight w:val="none"/>
                <w:u w:val="none"/>
              </w:rPr>
            </w:pPr>
            <w:r>
              <w:rPr>
                <w:rFonts w:hint="eastAsia" w:ascii="宋体" w:hAnsi="宋体" w:cs="宋体"/>
                <w:color w:val="auto"/>
                <w:szCs w:val="21"/>
                <w:highlight w:val="none"/>
                <w:u w:val="none"/>
              </w:rPr>
              <w:t>噪音:&lt;65dB(A)；</w:t>
            </w:r>
          </w:p>
          <w:p>
            <w:pPr>
              <w:numPr>
                <w:ilvl w:val="0"/>
                <w:numId w:val="25"/>
              </w:numPr>
              <w:spacing w:line="220" w:lineRule="atLeast"/>
              <w:rPr>
                <w:rFonts w:ascii="宋体" w:hAnsi="宋体" w:cs="宋体"/>
                <w:color w:val="auto"/>
                <w:szCs w:val="21"/>
                <w:highlight w:val="none"/>
                <w:u w:val="none"/>
              </w:rPr>
            </w:pPr>
            <w:r>
              <w:rPr>
                <w:rFonts w:hint="eastAsia" w:ascii="宋体" w:hAnsi="宋体" w:cs="宋体"/>
                <w:color w:val="auto"/>
                <w:szCs w:val="21"/>
                <w:highlight w:val="none"/>
                <w:u w:val="none"/>
              </w:rPr>
              <w:t>贮液桶:10L/只,2只一组；</w:t>
            </w:r>
          </w:p>
          <w:p>
            <w:pPr>
              <w:numPr>
                <w:ilvl w:val="0"/>
                <w:numId w:val="25"/>
              </w:numPr>
              <w:spacing w:line="220" w:lineRule="atLeast"/>
              <w:rPr>
                <w:rFonts w:ascii="宋体" w:hAnsi="宋体" w:cs="宋体"/>
                <w:color w:val="auto"/>
                <w:szCs w:val="21"/>
                <w:highlight w:val="none"/>
                <w:u w:val="none"/>
              </w:rPr>
            </w:pPr>
            <w:r>
              <w:rPr>
                <w:rFonts w:hint="eastAsia" w:ascii="宋体" w:hAnsi="宋体" w:cs="宋体"/>
                <w:color w:val="auto"/>
                <w:szCs w:val="21"/>
                <w:highlight w:val="none"/>
                <w:u w:val="none"/>
              </w:rPr>
              <w:t>烙丝管：T1AL250V，φ5*20(网电源用)；</w:t>
            </w: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13</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中央监护系统（1拖6）</w:t>
            </w:r>
          </w:p>
        </w:tc>
        <w:tc>
          <w:tcPr>
            <w:tcW w:w="7410" w:type="dxa"/>
            <w:tcBorders>
              <w:bottom w:val="single" w:color="auto" w:sz="4" w:space="0"/>
              <w:tl2br w:val="nil"/>
              <w:tr2bl w:val="nil"/>
            </w:tcBorders>
          </w:tcPr>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基本要求：适用于对成人、小儿和新生儿的监护，含ST段测量及心律失常分析，需通过国家三类注册证明。</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监测心电、血氧、脉博、无创血压、呼吸、体温等基础参数，可升级Masimo/Nellcor SPO2、2IBP、ETCO2、AG、C.O.、BIS等参数。</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便携式一体化插件式监护仪，可用于监护成人、儿童、新生儿患者。</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≥10.4英寸高清触摸屏，触控操作。</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hint="eastAsia" w:ascii="宋体" w:hAnsi="宋体" w:cs="宋体"/>
                <w:color w:val="auto"/>
                <w:szCs w:val="21"/>
                <w:highlight w:val="none"/>
                <w:u w:val="none"/>
              </w:rPr>
              <w:t>★</w:t>
            </w:r>
            <w:r>
              <w:rPr>
                <w:rFonts w:asciiTheme="minorHAnsi" w:hAnsiTheme="minorHAnsi" w:cstheme="minorHAnsi"/>
                <w:color w:val="auto"/>
                <w:szCs w:val="21"/>
                <w:highlight w:val="none"/>
                <w:u w:val="none"/>
              </w:rPr>
              <w:t>双报警灯设计，生理报警和技术报警有各自独立的报警灯和报警信息。</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整机无风扇，降低环境噪音干扰，适合手术室ICU等环境。</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kern w:val="44"/>
                <w:szCs w:val="21"/>
                <w:highlight w:val="none"/>
                <w:u w:val="none"/>
              </w:rPr>
              <w:t>固定式提手，提动时稳固安全。</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右侧按键板设计，人性化，符合操作习惯。</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心电：支持3/5/12导心电测量，导联自动识别。</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心率测量范围：成人15-300bpm，小儿/新生儿15-350bpm，分辨率±1bpm。</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加±650mV的直流极化电压，灵敏度变化范围±5%。</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具有监护、诊断、手术、ST模式。</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具有心律失常分析和ST段功能。</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呼吸测量范围：成人0-120rpm，小儿/新生儿0-150rpm。</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窒息报警范围：成人10-60s，儿童/新生儿10-20s，测量误差为±5s。</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具有心动干扰（CVA）识别功能。</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hint="eastAsia" w:ascii="宋体" w:hAnsi="宋体" w:cs="宋体"/>
                <w:color w:val="auto"/>
                <w:szCs w:val="21"/>
                <w:highlight w:val="none"/>
                <w:u w:val="none"/>
              </w:rPr>
              <w:t>★</w:t>
            </w:r>
            <w:r>
              <w:rPr>
                <w:rFonts w:asciiTheme="minorHAnsi" w:hAnsiTheme="minorHAnsi" w:cstheme="minorHAnsi"/>
                <w:color w:val="auto"/>
                <w:szCs w:val="21"/>
                <w:highlight w:val="none"/>
                <w:u w:val="none"/>
              </w:rPr>
              <w:t>血氧：可选全球金标准的 Masimo血氧，测量范围为1 ％ ～100％；在70％～100％范围内，成人/儿童测量精度为±2％（非运动状态下）、±3％（运动状态下），新生儿为±3％（非运动状态和运动状态下）。</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NIBP静态压力测量范围：0-300mmHg，精度±3mmHg。</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NIBP具有手动、自动、连续测量模式。</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NIBP具有整点测量功能，更符合临床记录习惯，提高护理效率。</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可选择初始充气压力，提升测量的精准性和患者的舒适性。</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具有辅助静脉穿刺功能。</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hint="eastAsia" w:ascii="宋体" w:hAnsi="宋体" w:cs="宋体"/>
                <w:color w:val="auto"/>
                <w:szCs w:val="21"/>
                <w:highlight w:val="none"/>
                <w:u w:val="none"/>
              </w:rPr>
              <w:t>★</w:t>
            </w:r>
            <w:r>
              <w:rPr>
                <w:rFonts w:asciiTheme="minorHAnsi" w:hAnsiTheme="minorHAnsi" w:cstheme="minorHAnsi"/>
                <w:color w:val="auto"/>
                <w:szCs w:val="21"/>
                <w:highlight w:val="none"/>
                <w:u w:val="none"/>
              </w:rPr>
              <w:t>支持手写中文输入。</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可存储、回放不少于48小时波形全息回顾。</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支持标准界面、列表界面、趋势共存界面、大字体界面、全屏7导界面、全屏12导界面等多种界面可选。</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具有夜间模式，避免夜间打扰患者休息。</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 xml:space="preserve">具有屏幕亮度自动调节功能，可根据光线亮度的不同自动调节屏幕亮度。 </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具有药物计算、血液动力学计算、通气计算、氧合计算、肾功能计算。</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可选内置3通道热敏记录仪，实时记录时间可设为：8秒、16秒、32秒、连续。</w:t>
            </w:r>
          </w:p>
          <w:p>
            <w:pPr>
              <w:pStyle w:val="30"/>
              <w:numPr>
                <w:ilvl w:val="0"/>
                <w:numId w:val="26"/>
              </w:numPr>
              <w:spacing w:line="360" w:lineRule="auto"/>
              <w:ind w:firstLineChars="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标配大容量锂电池，使用时间≥3小时。</w:t>
            </w:r>
          </w:p>
          <w:p>
            <w:pPr>
              <w:numPr>
                <w:ilvl w:val="0"/>
                <w:numId w:val="26"/>
              </w:numPr>
              <w:spacing w:line="360" w:lineRule="auto"/>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支持连接同品牌中央监护系统。</w:t>
            </w:r>
          </w:p>
          <w:p>
            <w:pPr>
              <w:ind w:firstLine="210" w:firstLineChars="100"/>
              <w:rPr>
                <w:rFonts w:asciiTheme="minorHAnsi" w:hAnsiTheme="minorHAnsi" w:cstheme="minorHAnsi"/>
                <w:color w:val="auto"/>
                <w:szCs w:val="21"/>
                <w:highlight w:val="none"/>
                <w:u w:val="none"/>
              </w:rPr>
            </w:pP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14</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功能床</w:t>
            </w:r>
          </w:p>
        </w:tc>
        <w:tc>
          <w:tcPr>
            <w:tcW w:w="7410" w:type="dxa"/>
            <w:tcBorders>
              <w:bottom w:val="single" w:color="auto" w:sz="4" w:space="0"/>
              <w:tl2br w:val="nil"/>
              <w:tr2bl w:val="nil"/>
            </w:tcBorders>
          </w:tcPr>
          <w:p>
            <w:pPr>
              <w:ind w:firstLine="210" w:firstLineChars="10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1、规格：</w:t>
            </w:r>
            <w:r>
              <w:rPr>
                <w:rFonts w:hint="eastAsia" w:asciiTheme="minorHAnsi" w:hAnsiTheme="minorHAnsi" w:cstheme="minorHAnsi"/>
                <w:color w:val="auto"/>
                <w:szCs w:val="21"/>
                <w:highlight w:val="none"/>
                <w:u w:val="none"/>
              </w:rPr>
              <w:t>约</w:t>
            </w:r>
            <w:r>
              <w:rPr>
                <w:rFonts w:asciiTheme="minorHAnsi" w:hAnsiTheme="minorHAnsi" w:cstheme="minorHAnsi"/>
                <w:color w:val="auto"/>
                <w:szCs w:val="21"/>
                <w:highlight w:val="none"/>
                <w:u w:val="none"/>
              </w:rPr>
              <w:t>2080*970*500mm；</w:t>
            </w:r>
          </w:p>
          <w:p>
            <w:pPr>
              <w:ind w:firstLine="210" w:firstLineChars="10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2、功能：背部升降0～85°，腿部升降0～45°，床头尾板可拆。</w:t>
            </w:r>
          </w:p>
          <w:p>
            <w:pPr>
              <w:ind w:firstLine="210" w:firstLineChars="10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3、材质及要求：床架、床板碳钢制造，并经二度磷化镀锌后静电抗菌粉体喷涂，ABS强化床头尾板，床面一次冲压成型，有透气长孔，铝合金护栏、前后侧伏，使用安全、便捷、牢固、不夹手、不积灰尘，手摇系统具有空转限位结构装置，延长手摇系统使用年限。</w:t>
            </w:r>
          </w:p>
          <w:p>
            <w:pPr>
              <w:ind w:firstLine="210" w:firstLineChars="100"/>
              <w:rPr>
                <w:rFonts w:asciiTheme="minorHAnsi" w:hAnsiTheme="minorHAnsi" w:cstheme="minorHAnsi"/>
                <w:color w:val="auto"/>
                <w:szCs w:val="21"/>
                <w:highlight w:val="none"/>
                <w:u w:val="none"/>
              </w:rPr>
            </w:pPr>
            <w:r>
              <w:rPr>
                <w:rFonts w:asciiTheme="minorHAnsi" w:hAnsiTheme="minorHAnsi" w:cstheme="minorHAnsi"/>
                <w:color w:val="auto"/>
                <w:szCs w:val="21"/>
                <w:highlight w:val="none"/>
                <w:u w:val="none"/>
              </w:rPr>
              <w:t>4、标准配置：ABS床头尾板1对，手摇安全限位摇杆2支，4个5寸豪华双刹静音轮，输液架插孔4个，输液杆1支，铝合金护栏1付，引流挂钩2个，病号插卡1个，杂物架1个。</w:t>
            </w:r>
          </w:p>
          <w:p>
            <w:pPr>
              <w:ind w:firstLine="210" w:firstLineChars="100"/>
              <w:rPr>
                <w:rFonts w:asciiTheme="minorHAnsi" w:hAnsiTheme="minorHAnsi" w:cstheme="minorHAnsi"/>
                <w:color w:val="auto"/>
                <w:szCs w:val="21"/>
                <w:highlight w:val="none"/>
                <w:u w:val="none"/>
              </w:rPr>
            </w:pP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12</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15</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床头柜</w:t>
            </w:r>
          </w:p>
        </w:tc>
        <w:tc>
          <w:tcPr>
            <w:tcW w:w="7410" w:type="dxa"/>
            <w:tcBorders>
              <w:bottom w:val="single" w:color="auto" w:sz="4" w:space="0"/>
              <w:tl2br w:val="nil"/>
              <w:tr2bl w:val="nil"/>
            </w:tcBorders>
          </w:tcPr>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1、规格：</w:t>
            </w:r>
            <w:r>
              <w:rPr>
                <w:rFonts w:hint="eastAsia" w:asciiTheme="minorHAnsi" w:hAnsiTheme="minorHAnsi" w:cstheme="minorHAnsi"/>
                <w:color w:val="auto"/>
                <w:szCs w:val="21"/>
                <w:highlight w:val="none"/>
                <w:u w:val="none"/>
              </w:rPr>
              <w:t>约</w:t>
            </w:r>
            <w:r>
              <w:rPr>
                <w:rFonts w:hint="eastAsia" w:ascii="宋体" w:hAnsi="宋体" w:cs="宋体"/>
                <w:color w:val="auto"/>
                <w:szCs w:val="21"/>
                <w:highlight w:val="none"/>
                <w:u w:val="none"/>
              </w:rPr>
              <w:t>480×450×770mm</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2、材料：采用进口ABS材料注塑而成。</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3、凹顶，柜两侧有折叠毛巾挂架，餐板一块，一个抽屉单开柜门， 柜内有层板，光泽、耐用，防水、防霉。</w:t>
            </w:r>
          </w:p>
          <w:p>
            <w:pPr>
              <w:ind w:firstLine="210" w:firstLineChars="100"/>
              <w:rPr>
                <w:rFonts w:ascii="宋体" w:hAnsi="宋体" w:cs="宋体"/>
                <w:color w:val="auto"/>
                <w:szCs w:val="21"/>
                <w:highlight w:val="none"/>
                <w:u w:val="none"/>
              </w:rPr>
            </w:pP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20</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只</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16</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陪人椅</w:t>
            </w:r>
          </w:p>
        </w:tc>
        <w:tc>
          <w:tcPr>
            <w:tcW w:w="7410" w:type="dxa"/>
            <w:tcBorders>
              <w:bottom w:val="single" w:color="auto" w:sz="4" w:space="0"/>
              <w:tl2br w:val="nil"/>
              <w:tr2bl w:val="nil"/>
            </w:tcBorders>
          </w:tcPr>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★1、椅架纵梁采用φ38*1.2mm的圆钢管制成；椅架横梁采用φ25*25*1.0mm方钢管制成；背部支撑管、腿部支撑管采用φ25*1.2的圆钢管制成；椅座载力≥120kg;</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★2、椅垫规格:第一板椅垫:550*510*35; 第二板椅垫:550*510*35;第三板椅垫:750*510*35；椅面皮革采用PVC阻燃压延仿皮,高密度海绵，枕头厚度125mm，颜色可按客户要求选配，常规颜色为蓝色，配优质扶手；</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3、陪人椅折叠展开自如，拉开可作为单人床使用,折叠可作为座；</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4、脚轮:采用尼龙材质的万向脚轮，脚轮直径为φ55mm，脚轮硬度高、耐磨性好、燥声小，经久耐用，还配有φ38的内防滑胶塞；</w:t>
            </w: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30</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17</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脑双频指数监测(麻醉深度检测)</w:t>
            </w:r>
          </w:p>
        </w:tc>
        <w:tc>
          <w:tcPr>
            <w:tcW w:w="7410" w:type="dxa"/>
            <w:tcBorders>
              <w:bottom w:val="single" w:color="auto" w:sz="4" w:space="0"/>
              <w:tl2br w:val="nil"/>
              <w:tr2bl w:val="nil"/>
            </w:tcBorders>
          </w:tcPr>
          <w:p>
            <w:pPr>
              <w:numPr>
                <w:ilvl w:val="0"/>
                <w:numId w:val="27"/>
              </w:numPr>
              <w:tabs>
                <w:tab w:val="left" w:pos="726"/>
              </w:tabs>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★监测采用业界公认的金标准的脑电双频指数（BIS）技术，模块化设计，配合监护仪使用，即插即用；</w:t>
            </w:r>
          </w:p>
          <w:p>
            <w:pPr>
              <w:numPr>
                <w:ilvl w:val="0"/>
                <w:numId w:val="27"/>
              </w:numPr>
              <w:tabs>
                <w:tab w:val="left" w:pos="726"/>
              </w:tabs>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脑电双频指数显示范围0-100；</w:t>
            </w:r>
          </w:p>
          <w:p>
            <w:pPr>
              <w:numPr>
                <w:ilvl w:val="0"/>
                <w:numId w:val="27"/>
              </w:numPr>
              <w:tabs>
                <w:tab w:val="left" w:pos="726"/>
              </w:tabs>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肌电活动（EMG）通过棒图显示，监测范围：30-55dB；</w:t>
            </w:r>
          </w:p>
          <w:p>
            <w:pPr>
              <w:numPr>
                <w:ilvl w:val="0"/>
                <w:numId w:val="27"/>
              </w:numPr>
              <w:tabs>
                <w:tab w:val="left" w:pos="726"/>
              </w:tabs>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抑制比（SR）监测；</w:t>
            </w:r>
          </w:p>
          <w:p>
            <w:pPr>
              <w:numPr>
                <w:ilvl w:val="0"/>
                <w:numId w:val="27"/>
              </w:numPr>
              <w:tabs>
                <w:tab w:val="left" w:pos="726"/>
              </w:tabs>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频谱边缘频率（SEF）监测；</w:t>
            </w:r>
          </w:p>
          <w:p>
            <w:pPr>
              <w:numPr>
                <w:ilvl w:val="0"/>
                <w:numId w:val="27"/>
              </w:numPr>
              <w:tabs>
                <w:tab w:val="left" w:pos="726"/>
              </w:tabs>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信号质量指数（SQI）实时监测，范围：0-100%；</w:t>
            </w:r>
          </w:p>
          <w:p>
            <w:pPr>
              <w:numPr>
                <w:ilvl w:val="0"/>
                <w:numId w:val="27"/>
              </w:numPr>
              <w:tabs>
                <w:tab w:val="left" w:pos="726"/>
              </w:tabs>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总功率（TP）监测，监测范围（40-100dB）；</w:t>
            </w:r>
          </w:p>
          <w:p>
            <w:pPr>
              <w:numPr>
                <w:ilvl w:val="0"/>
                <w:numId w:val="27"/>
              </w:numPr>
              <w:tabs>
                <w:tab w:val="left" w:pos="726"/>
              </w:tabs>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波形显示区提供脑电波形或BIS趋势显示；</w:t>
            </w:r>
          </w:p>
          <w:p>
            <w:pPr>
              <w:numPr>
                <w:ilvl w:val="0"/>
                <w:numId w:val="27"/>
              </w:numPr>
              <w:tabs>
                <w:tab w:val="left" w:pos="726"/>
              </w:tabs>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脑电波形扫描速度：6.25 mm/s、12.5 mm/s、25 mm/s、50 mm/s；</w:t>
            </w: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18</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妇科冷冻外科装置</w:t>
            </w:r>
          </w:p>
        </w:tc>
        <w:tc>
          <w:tcPr>
            <w:tcW w:w="7410" w:type="dxa"/>
            <w:tcBorders>
              <w:bottom w:val="single" w:color="auto" w:sz="4" w:space="0"/>
              <w:tl2br w:val="nil"/>
              <w:tr2bl w:val="nil"/>
            </w:tcBorders>
          </w:tcPr>
          <w:p>
            <w:pPr>
              <w:spacing w:line="360" w:lineRule="auto"/>
              <w:rPr>
                <w:rFonts w:ascii="宋体" w:hAnsi="宋体" w:cs="宋体"/>
                <w:color w:val="auto"/>
                <w:szCs w:val="21"/>
                <w:highlight w:val="none"/>
                <w:u w:val="none"/>
              </w:rPr>
            </w:pPr>
            <w:r>
              <w:rPr>
                <w:rFonts w:hint="eastAsia" w:ascii="宋体" w:hAnsi="宋体" w:cs="宋体"/>
                <w:color w:val="auto"/>
                <w:szCs w:val="21"/>
                <w:highlight w:val="none"/>
                <w:u w:val="none"/>
              </w:rPr>
              <w:t>一、使用要求：</w:t>
            </w:r>
          </w:p>
          <w:p>
            <w:pPr>
              <w:spacing w:line="360" w:lineRule="auto"/>
              <w:rPr>
                <w:rFonts w:ascii="宋体" w:hAnsi="宋体" w:cs="宋体"/>
                <w:color w:val="auto"/>
                <w:szCs w:val="21"/>
                <w:highlight w:val="none"/>
                <w:u w:val="none"/>
              </w:rPr>
            </w:pPr>
            <w:r>
              <w:rPr>
                <w:rFonts w:hint="eastAsia" w:ascii="宋体" w:hAnsi="宋体" w:cs="宋体"/>
                <w:color w:val="auto"/>
                <w:szCs w:val="21"/>
                <w:highlight w:val="none"/>
                <w:u w:val="none"/>
              </w:rPr>
              <w:t xml:space="preserve">   医院妇科科室，可由护士操作，简单、有效解决85%宫颈疾病患者。</w:t>
            </w:r>
          </w:p>
          <w:p>
            <w:pPr>
              <w:spacing w:line="360" w:lineRule="auto"/>
              <w:rPr>
                <w:rFonts w:ascii="宋体" w:hAnsi="宋体" w:cs="宋体"/>
                <w:color w:val="auto"/>
                <w:szCs w:val="21"/>
                <w:highlight w:val="none"/>
                <w:u w:val="none"/>
              </w:rPr>
            </w:pPr>
            <w:r>
              <w:rPr>
                <w:rFonts w:hint="eastAsia" w:ascii="宋体" w:hAnsi="宋体" w:cs="宋体"/>
                <w:color w:val="auto"/>
                <w:szCs w:val="21"/>
                <w:highlight w:val="none"/>
                <w:u w:val="none"/>
              </w:rPr>
              <w:t>二、关键性能要求：</w:t>
            </w:r>
          </w:p>
          <w:p>
            <w:pPr>
              <w:spacing w:line="360" w:lineRule="auto"/>
              <w:ind w:left="764" w:leftChars="114" w:hanging="525" w:hangingChars="250"/>
              <w:rPr>
                <w:rFonts w:ascii="宋体" w:hAnsi="宋体" w:cs="宋体"/>
                <w:color w:val="auto"/>
                <w:szCs w:val="21"/>
                <w:highlight w:val="none"/>
                <w:u w:val="none"/>
              </w:rPr>
            </w:pPr>
            <w:r>
              <w:rPr>
                <w:rFonts w:hint="eastAsia" w:ascii="宋体" w:hAnsi="宋体" w:cs="宋体"/>
                <w:color w:val="auto"/>
                <w:szCs w:val="21"/>
                <w:highlight w:val="none"/>
                <w:u w:val="none"/>
              </w:rPr>
              <w:t>（1）适应症：用于子宫颈低度病变：有症状宫颈糜烂，宫颈炎，HPV持续感染，CIN1，CIN2，CIN3。</w:t>
            </w:r>
          </w:p>
          <w:p>
            <w:pPr>
              <w:spacing w:line="360" w:lineRule="auto"/>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（2）可由经培训的医生操作，减少医生工作量。</w:t>
            </w:r>
          </w:p>
          <w:p>
            <w:pPr>
              <w:spacing w:line="360" w:lineRule="auto"/>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（3）配合医用二氧化碳使用，制冷温度达到-67℃。</w:t>
            </w:r>
          </w:p>
          <w:p>
            <w:pPr>
              <w:spacing w:line="360" w:lineRule="auto"/>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（4）设备不产生烟雾，可以保留妇女子宫机能，不影响生育。</w:t>
            </w:r>
          </w:p>
          <w:p>
            <w:pPr>
              <w:spacing w:line="360" w:lineRule="auto"/>
              <w:rPr>
                <w:rFonts w:ascii="宋体" w:hAnsi="宋体" w:cs="宋体"/>
                <w:color w:val="auto"/>
                <w:szCs w:val="21"/>
                <w:highlight w:val="none"/>
                <w:u w:val="none"/>
              </w:rPr>
            </w:pPr>
            <w:r>
              <w:rPr>
                <w:rFonts w:hint="eastAsia" w:ascii="宋体" w:hAnsi="宋体" w:cs="宋体"/>
                <w:color w:val="auto"/>
                <w:szCs w:val="21"/>
                <w:highlight w:val="none"/>
                <w:u w:val="none"/>
              </w:rPr>
              <w:t>三、设备硬件参数要求：</w:t>
            </w:r>
          </w:p>
          <w:p>
            <w:pPr>
              <w:spacing w:line="360" w:lineRule="auto"/>
              <w:ind w:left="869" w:leftChars="114" w:hanging="630" w:hangingChars="300"/>
              <w:rPr>
                <w:rFonts w:ascii="宋体" w:hAnsi="宋体" w:cs="宋体"/>
                <w:color w:val="auto"/>
                <w:szCs w:val="21"/>
                <w:highlight w:val="none"/>
                <w:u w:val="none"/>
              </w:rPr>
            </w:pPr>
            <w:r>
              <w:rPr>
                <w:rFonts w:hint="eastAsia" w:ascii="宋体" w:hAnsi="宋体" w:cs="宋体"/>
                <w:color w:val="auto"/>
                <w:szCs w:val="21"/>
                <w:highlight w:val="none"/>
                <w:u w:val="none"/>
              </w:rPr>
              <w:t>（1）★冷冻治疗枪将冻融功能集成于冷冻装置内，占地不超过0.25平方米。</w:t>
            </w:r>
          </w:p>
          <w:p>
            <w:pPr>
              <w:spacing w:line="360" w:lineRule="auto"/>
              <w:ind w:left="479" w:leftChars="228"/>
              <w:rPr>
                <w:rFonts w:ascii="宋体" w:hAnsi="宋体" w:cs="宋体"/>
                <w:color w:val="auto"/>
                <w:szCs w:val="21"/>
                <w:highlight w:val="none"/>
                <w:u w:val="none"/>
              </w:rPr>
            </w:pPr>
            <w:r>
              <w:rPr>
                <w:rFonts w:hint="eastAsia" w:ascii="宋体" w:hAnsi="宋体" w:cs="宋体"/>
                <w:color w:val="auto"/>
                <w:szCs w:val="21"/>
                <w:highlight w:val="none"/>
                <w:u w:val="none"/>
              </w:rPr>
              <w:t>是一个气动探针系统，体长345mm，高150mm，枪管长度170mm,包含以下组成部分：冷冻头，通气管，压力表，压力表插座，通气筒，触发器。</w:t>
            </w:r>
          </w:p>
          <w:p>
            <w:pPr>
              <w:spacing w:line="360" w:lineRule="auto"/>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（2）设备压力表范围0-150 kg/cm2。</w:t>
            </w:r>
          </w:p>
          <w:p>
            <w:pPr>
              <w:spacing w:line="360" w:lineRule="auto"/>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（3）★ 三个调节档开关：</w:t>
            </w:r>
          </w:p>
          <w:p>
            <w:pPr>
              <w:spacing w:line="360" w:lineRule="auto"/>
              <w:rPr>
                <w:rFonts w:ascii="宋体" w:hAnsi="宋体" w:cs="宋体"/>
                <w:color w:val="auto"/>
                <w:szCs w:val="21"/>
                <w:highlight w:val="none"/>
                <w:u w:val="none"/>
              </w:rPr>
            </w:pPr>
            <w:r>
              <w:rPr>
                <w:rFonts w:hint="eastAsia" w:ascii="宋体" w:hAnsi="宋体" w:cs="宋体"/>
                <w:color w:val="auto"/>
                <w:szCs w:val="21"/>
                <w:highlight w:val="none"/>
                <w:u w:val="none"/>
              </w:rPr>
              <w:t xml:space="preserve">   1、关闭位置-完全不受力位置；</w:t>
            </w:r>
          </w:p>
          <w:p>
            <w:pPr>
              <w:spacing w:line="360" w:lineRule="auto"/>
              <w:ind w:left="615" w:hanging="615" w:hangingChars="293"/>
              <w:rPr>
                <w:rFonts w:ascii="宋体" w:hAnsi="宋体" w:cs="宋体"/>
                <w:color w:val="auto"/>
                <w:szCs w:val="21"/>
                <w:highlight w:val="none"/>
                <w:u w:val="none"/>
              </w:rPr>
            </w:pPr>
            <w:r>
              <w:rPr>
                <w:rFonts w:hint="eastAsia" w:ascii="宋体" w:hAnsi="宋体" w:cs="宋体"/>
                <w:color w:val="auto"/>
                <w:szCs w:val="21"/>
                <w:highlight w:val="none"/>
                <w:u w:val="none"/>
              </w:rPr>
              <w:t xml:space="preserve">   2、冷冻位置-按下激发装置直到听到“咔嚓”声，为了方便起见，激发装置会自动闭锁在这个位置，所以没有必要一直用力按激发装置；</w:t>
            </w:r>
          </w:p>
          <w:p>
            <w:pPr>
              <w:spacing w:line="360" w:lineRule="auto"/>
              <w:rPr>
                <w:rFonts w:ascii="宋体" w:hAnsi="宋体" w:cs="宋体"/>
                <w:color w:val="auto"/>
                <w:szCs w:val="21"/>
                <w:highlight w:val="none"/>
                <w:u w:val="none"/>
              </w:rPr>
            </w:pPr>
            <w:r>
              <w:rPr>
                <w:rFonts w:hint="eastAsia" w:ascii="宋体" w:hAnsi="宋体" w:cs="宋体"/>
                <w:color w:val="auto"/>
                <w:szCs w:val="21"/>
                <w:highlight w:val="none"/>
                <w:u w:val="none"/>
              </w:rPr>
              <w:t xml:space="preserve">   3、解冻位置-完全按下激发装置，并保持不动；</w:t>
            </w:r>
          </w:p>
          <w:p>
            <w:pPr>
              <w:spacing w:line="360" w:lineRule="auto"/>
              <w:ind w:left="554" w:leftChars="114" w:hanging="315" w:hangingChars="150"/>
              <w:rPr>
                <w:rFonts w:ascii="宋体" w:hAnsi="宋体" w:cs="宋体"/>
                <w:color w:val="auto"/>
                <w:szCs w:val="21"/>
                <w:highlight w:val="none"/>
                <w:u w:val="none"/>
              </w:rPr>
            </w:pPr>
            <w:r>
              <w:rPr>
                <w:rFonts w:hint="eastAsia" w:ascii="宋体" w:hAnsi="宋体" w:cs="宋体"/>
                <w:color w:val="auto"/>
                <w:szCs w:val="21"/>
                <w:highlight w:val="none"/>
                <w:u w:val="none"/>
              </w:rPr>
              <w:t>（4）镀金探头，1905-19毫米×5毫米,1910-19毫米×10毫米,2507-25毫米×7毫米，保证冷热传导性能。</w:t>
            </w:r>
          </w:p>
          <w:p>
            <w:pPr>
              <w:spacing w:line="360" w:lineRule="auto"/>
              <w:ind w:left="554" w:leftChars="114" w:hanging="315" w:hangingChars="150"/>
              <w:rPr>
                <w:rFonts w:ascii="宋体" w:hAnsi="宋体" w:cs="宋体"/>
                <w:color w:val="auto"/>
                <w:szCs w:val="21"/>
                <w:highlight w:val="none"/>
                <w:u w:val="none"/>
              </w:rPr>
            </w:pPr>
            <w:r>
              <w:rPr>
                <w:rFonts w:hint="eastAsia" w:ascii="宋体" w:hAnsi="宋体" w:cs="宋体"/>
                <w:color w:val="auto"/>
                <w:szCs w:val="21"/>
                <w:highlight w:val="none"/>
                <w:u w:val="none"/>
              </w:rPr>
              <w:t>（5）治疗模式，冷冻3分钟，解冻5分钟，冷冻3分钟。解冻程序，10秒内探头自动除霜。</w:t>
            </w:r>
          </w:p>
          <w:p>
            <w:pPr>
              <w:spacing w:line="360" w:lineRule="auto"/>
              <w:ind w:left="554" w:leftChars="114" w:hanging="315" w:hangingChars="150"/>
              <w:rPr>
                <w:rFonts w:ascii="宋体" w:hAnsi="宋体" w:cs="宋体"/>
                <w:color w:val="auto"/>
                <w:szCs w:val="21"/>
                <w:highlight w:val="none"/>
                <w:u w:val="none"/>
              </w:rPr>
            </w:pPr>
            <w:r>
              <w:rPr>
                <w:rFonts w:hint="eastAsia" w:ascii="宋体" w:hAnsi="宋体" w:cs="宋体"/>
                <w:color w:val="auto"/>
                <w:szCs w:val="21"/>
                <w:highlight w:val="none"/>
                <w:u w:val="none"/>
              </w:rPr>
              <w:t>（6）消毒：探头高温高压消毒20分钟或者纯净水蒸煮20分钟，手柄，探管，酒精或消毒液擦拭。</w:t>
            </w:r>
          </w:p>
          <w:p>
            <w:pPr>
              <w:spacing w:line="360" w:lineRule="auto"/>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（7）探头规格可选，可用于不同程度和范围的病变。</w:t>
            </w:r>
          </w:p>
          <w:p>
            <w:pPr>
              <w:spacing w:line="360" w:lineRule="auto"/>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（8）设备功能行使的操作步骤在5步以内。</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 xml:space="preserve">（9）设备利用液气转换原理，无需用电，节约成本。  </w:t>
            </w: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19</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CO2培养箱（气套式触摸屏）</w:t>
            </w:r>
          </w:p>
        </w:tc>
        <w:tc>
          <w:tcPr>
            <w:tcW w:w="7410" w:type="dxa"/>
            <w:tcBorders>
              <w:bottom w:val="single" w:color="auto" w:sz="4" w:space="0"/>
              <w:tl2br w:val="nil"/>
              <w:tr2bl w:val="nil"/>
            </w:tcBorders>
          </w:tcPr>
          <w:p>
            <w:pPr>
              <w:ind w:left="400"/>
              <w:jc w:val="left"/>
              <w:rPr>
                <w:rFonts w:ascii="宋体" w:hAnsi="宋体" w:cs="宋体"/>
                <w:color w:val="auto"/>
                <w:szCs w:val="21"/>
                <w:highlight w:val="none"/>
                <w:u w:val="none"/>
              </w:rPr>
            </w:pPr>
            <w:r>
              <w:rPr>
                <w:rFonts w:hint="eastAsia" w:ascii="宋体" w:hAnsi="宋体" w:cs="宋体"/>
                <w:color w:val="auto"/>
                <w:szCs w:val="21"/>
                <w:highlight w:val="none"/>
                <w:u w:val="none"/>
              </w:rPr>
              <w:t>1.类型：气套式触摸屏；</w:t>
            </w:r>
          </w:p>
          <w:p>
            <w:pPr>
              <w:ind w:left="400"/>
              <w:jc w:val="left"/>
              <w:rPr>
                <w:rFonts w:ascii="宋体" w:hAnsi="宋体" w:cs="宋体"/>
                <w:color w:val="auto"/>
                <w:szCs w:val="21"/>
                <w:highlight w:val="none"/>
                <w:u w:val="none"/>
              </w:rPr>
            </w:pPr>
            <w:r>
              <w:rPr>
                <w:rFonts w:hint="eastAsia" w:ascii="宋体" w:hAnsi="宋体" w:cs="宋体"/>
                <w:color w:val="auto"/>
                <w:szCs w:val="21"/>
                <w:highlight w:val="none"/>
                <w:u w:val="none"/>
              </w:rPr>
              <w:t>2.界面显示：约7.0寸触摸屏；</w:t>
            </w:r>
          </w:p>
          <w:p>
            <w:pPr>
              <w:ind w:left="400"/>
              <w:jc w:val="left"/>
              <w:rPr>
                <w:rFonts w:ascii="宋体" w:hAnsi="宋体" w:cs="宋体"/>
                <w:color w:val="auto"/>
                <w:szCs w:val="21"/>
                <w:highlight w:val="none"/>
                <w:u w:val="none"/>
              </w:rPr>
            </w:pPr>
            <w:r>
              <w:rPr>
                <w:rFonts w:hint="eastAsia" w:ascii="宋体" w:hAnsi="宋体" w:cs="宋体"/>
                <w:color w:val="auto"/>
                <w:szCs w:val="21"/>
                <w:highlight w:val="none"/>
                <w:u w:val="none"/>
              </w:rPr>
              <w:t>3.外形尺寸≧（L×D×H）：600mm×596mm×921mm；</w:t>
            </w:r>
          </w:p>
          <w:p>
            <w:pPr>
              <w:ind w:left="400"/>
              <w:jc w:val="left"/>
              <w:rPr>
                <w:rFonts w:ascii="宋体" w:hAnsi="宋体" w:cs="宋体"/>
                <w:color w:val="auto"/>
                <w:szCs w:val="21"/>
                <w:highlight w:val="none"/>
                <w:u w:val="none"/>
              </w:rPr>
            </w:pPr>
            <w:r>
              <w:rPr>
                <w:rFonts w:hint="eastAsia" w:ascii="宋体" w:hAnsi="宋体" w:cs="宋体"/>
                <w:color w:val="auto"/>
                <w:szCs w:val="21"/>
                <w:highlight w:val="none"/>
                <w:u w:val="none"/>
              </w:rPr>
              <w:t>4.工作室尺寸≧（L×D×H）：398mm×446mm×498mm；</w:t>
            </w:r>
          </w:p>
          <w:p>
            <w:pPr>
              <w:ind w:left="400"/>
              <w:jc w:val="left"/>
              <w:rPr>
                <w:rFonts w:ascii="宋体" w:hAnsi="宋体" w:cs="宋体"/>
                <w:color w:val="auto"/>
                <w:szCs w:val="21"/>
                <w:highlight w:val="none"/>
                <w:u w:val="none"/>
              </w:rPr>
            </w:pPr>
            <w:r>
              <w:rPr>
                <w:rFonts w:hint="eastAsia" w:ascii="宋体" w:hAnsi="宋体" w:cs="宋体"/>
                <w:color w:val="auto"/>
                <w:szCs w:val="21"/>
                <w:highlight w:val="none"/>
                <w:u w:val="none"/>
              </w:rPr>
              <w:t>5.公称容积：80L；</w:t>
            </w:r>
          </w:p>
          <w:p>
            <w:pPr>
              <w:ind w:left="400"/>
              <w:jc w:val="left"/>
              <w:rPr>
                <w:rFonts w:ascii="宋体" w:hAnsi="宋体" w:cs="宋体"/>
                <w:color w:val="auto"/>
                <w:szCs w:val="21"/>
                <w:highlight w:val="none"/>
                <w:u w:val="none"/>
              </w:rPr>
            </w:pPr>
            <w:r>
              <w:rPr>
                <w:rFonts w:hint="eastAsia" w:ascii="宋体" w:hAnsi="宋体" w:cs="宋体"/>
                <w:color w:val="auto"/>
                <w:szCs w:val="21"/>
                <w:highlight w:val="none"/>
                <w:u w:val="none"/>
              </w:rPr>
              <w:t>6.额定功率：600W；</w:t>
            </w:r>
          </w:p>
          <w:p>
            <w:pPr>
              <w:ind w:left="400"/>
              <w:jc w:val="left"/>
              <w:rPr>
                <w:rFonts w:ascii="宋体" w:hAnsi="宋体" w:cs="宋体"/>
                <w:color w:val="auto"/>
                <w:szCs w:val="21"/>
                <w:highlight w:val="none"/>
                <w:u w:val="none"/>
              </w:rPr>
            </w:pPr>
            <w:r>
              <w:rPr>
                <w:rFonts w:hint="eastAsia" w:ascii="宋体" w:hAnsi="宋体" w:cs="宋体"/>
                <w:color w:val="auto"/>
                <w:szCs w:val="21"/>
                <w:highlight w:val="none"/>
                <w:u w:val="none"/>
              </w:rPr>
              <w:t>7.控温方式：PT100；</w:t>
            </w:r>
          </w:p>
          <w:p>
            <w:pPr>
              <w:ind w:left="400"/>
              <w:jc w:val="left"/>
              <w:rPr>
                <w:rFonts w:ascii="宋体" w:hAnsi="宋体" w:cs="宋体"/>
                <w:color w:val="auto"/>
                <w:szCs w:val="21"/>
                <w:highlight w:val="none"/>
                <w:u w:val="none"/>
              </w:rPr>
            </w:pPr>
            <w:r>
              <w:rPr>
                <w:rFonts w:hint="eastAsia" w:ascii="宋体" w:hAnsi="宋体" w:cs="宋体"/>
                <w:color w:val="auto"/>
                <w:szCs w:val="21"/>
                <w:highlight w:val="none"/>
                <w:u w:val="none"/>
              </w:rPr>
              <w:t>8.控温范围：Rt+5--60℃；</w:t>
            </w:r>
          </w:p>
          <w:p>
            <w:pPr>
              <w:ind w:left="400"/>
              <w:jc w:val="left"/>
              <w:rPr>
                <w:rFonts w:ascii="宋体" w:hAnsi="宋体" w:cs="宋体"/>
                <w:color w:val="auto"/>
                <w:szCs w:val="21"/>
                <w:highlight w:val="none"/>
                <w:u w:val="none"/>
              </w:rPr>
            </w:pPr>
            <w:r>
              <w:rPr>
                <w:rFonts w:hint="eastAsia" w:ascii="宋体" w:hAnsi="宋体" w:cs="宋体"/>
                <w:color w:val="auto"/>
                <w:szCs w:val="21"/>
                <w:highlight w:val="none"/>
                <w:u w:val="none"/>
              </w:rPr>
              <w:t>9.温度波动：±0.2（@37）℃；</w:t>
            </w:r>
          </w:p>
          <w:p>
            <w:pPr>
              <w:numPr>
                <w:ilvl w:val="0"/>
                <w:numId w:val="27"/>
              </w:numPr>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温度均匀性：±0.3（@37）℃；</w:t>
            </w:r>
          </w:p>
          <w:p>
            <w:pPr>
              <w:numPr>
                <w:ilvl w:val="0"/>
                <w:numId w:val="27"/>
              </w:numPr>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CO2控制方式：IR红外线传感器（VAISALA）；</w:t>
            </w:r>
          </w:p>
          <w:p>
            <w:pPr>
              <w:numPr>
                <w:ilvl w:val="0"/>
                <w:numId w:val="27"/>
              </w:numPr>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浓度控制范围：0--20（vol%）；</w:t>
            </w:r>
          </w:p>
          <w:p>
            <w:pPr>
              <w:numPr>
                <w:ilvl w:val="0"/>
                <w:numId w:val="27"/>
              </w:numPr>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浓度控制误差：±0.1（vol%）；</w:t>
            </w:r>
          </w:p>
          <w:p>
            <w:pPr>
              <w:numPr>
                <w:ilvl w:val="0"/>
                <w:numId w:val="27"/>
              </w:numPr>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浓度均匀性：±0.2（vol%）；</w:t>
            </w:r>
          </w:p>
          <w:p>
            <w:pPr>
              <w:numPr>
                <w:ilvl w:val="0"/>
                <w:numId w:val="27"/>
              </w:numPr>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相对湿度：≥90%RH，增湿盘自然蒸发（该参数不显示）；</w:t>
            </w:r>
          </w:p>
          <w:p>
            <w:pPr>
              <w:numPr>
                <w:ilvl w:val="0"/>
                <w:numId w:val="27"/>
              </w:numPr>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环境温度：5—30℃，建议25±2℃；</w:t>
            </w:r>
          </w:p>
          <w:p>
            <w:pPr>
              <w:numPr>
                <w:ilvl w:val="0"/>
                <w:numId w:val="27"/>
              </w:numPr>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过滤器种类：高效过滤器，针对直径大于等于0.3μm的颗粒，过滤效率达99.5%；</w:t>
            </w:r>
          </w:p>
          <w:p>
            <w:pPr>
              <w:numPr>
                <w:ilvl w:val="0"/>
                <w:numId w:val="27"/>
              </w:numPr>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隔板：标配2块，最多可增加至6块；</w:t>
            </w:r>
          </w:p>
          <w:p>
            <w:pPr>
              <w:numPr>
                <w:ilvl w:val="0"/>
                <w:numId w:val="27"/>
              </w:numPr>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电源电压：AC220/（110V选配）；</w:t>
            </w:r>
          </w:p>
          <w:p>
            <w:pPr>
              <w:numPr>
                <w:ilvl w:val="0"/>
                <w:numId w:val="27"/>
              </w:numPr>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数据存储 :USB接口；</w:t>
            </w:r>
          </w:p>
          <w:p>
            <w:pPr>
              <w:numPr>
                <w:ilvl w:val="0"/>
                <w:numId w:val="27"/>
              </w:numPr>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数据曲线界面；</w:t>
            </w:r>
          </w:p>
          <w:p>
            <w:pPr>
              <w:numPr>
                <w:ilvl w:val="0"/>
                <w:numId w:val="27"/>
              </w:numPr>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灭菌方式：UV灭菌；</w:t>
            </w: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2</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20</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高压消毒炉</w:t>
            </w:r>
          </w:p>
        </w:tc>
        <w:tc>
          <w:tcPr>
            <w:tcW w:w="7410" w:type="dxa"/>
            <w:tcBorders>
              <w:bottom w:val="single" w:color="auto" w:sz="4" w:space="0"/>
              <w:tl2br w:val="nil"/>
              <w:tr2bl w:val="nil"/>
            </w:tcBorders>
          </w:tcPr>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1.额定工作压力0.22Mpa；</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2.额定工作温度134℃；</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3.使用温度105～136℃；</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4.灭菌腔体、灭菌提篮均为优质不锈钢SUS304材质制成，内部抛光处理，汽水内循环；</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 xml:space="preserve">   5.手轮式平移门结构，并具有门安全联锁装置及门检测装置，有压力时门无法打开，门关闭不到位程序不能运行；</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 xml:space="preserve">   6.具有防干烧报警、超压自泄、超温保护、电力安全保护，所有报警具有声光警示；</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7.LED数字显示灭菌腔内温度、时间和故障报警代码；</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8.自胀式硅橡胶密封圈，密封效果好，使用寿命长；</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9.★电磁阀使用进口品牌，压力表、安全阀均按照国家标准提供编号、铭牌、合格证等强制性资料；</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10.★微电脑控制，具有器械、敷料、液体等五项固定程序，两项自定义程序，并具有干燥功能；（可以满足不同物品的灭菌需求）</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11.★设备注水、升温、灭菌、排气、干燥整个流程全自动运行，灭菌完成后声光提醒；（全自动运行，无需人监管）</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12.★灭菌腔体温度均匀性：±1℃，干燥温度范围：50~120℃；（符合国家标准）</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13.★脉动排气技术，确保蒸汽饱和度；</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14.★全防护式门罩，铰链、转轴均不外露；（防止人员触摸门盖烫伤）</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15.★具有快速排气和慢速排气功能，避免灭菌液体溢出；</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16.★具有快速维修窗口，电气部分维护无需拆解外罩；（检修维护方便）</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17.★具有七大灭菌程序1#裸露器械 2#器械包3#橡胶4#敷料</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5#液体类6#固体体类自定义7#液体类自定义，可满足不同的灭菌需求；</w:t>
            </w:r>
          </w:p>
          <w:p>
            <w:pPr>
              <w:ind w:firstLine="210" w:firstLineChars="100"/>
              <w:rPr>
                <w:rFonts w:ascii="宋体" w:hAnsi="宋体" w:cs="宋体"/>
                <w:color w:val="auto"/>
                <w:szCs w:val="21"/>
                <w:highlight w:val="none"/>
                <w:u w:val="none"/>
              </w:rPr>
            </w:pP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21</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超净工作台</w:t>
            </w:r>
          </w:p>
        </w:tc>
        <w:tc>
          <w:tcPr>
            <w:tcW w:w="7410" w:type="dxa"/>
            <w:tcBorders>
              <w:bottom w:val="single" w:color="auto" w:sz="4" w:space="0"/>
              <w:tl2br w:val="nil"/>
              <w:tr2bl w:val="nil"/>
            </w:tcBorders>
          </w:tcPr>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一、主要技术参数要求：</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1.1 外部尺寸≥（L×D×H）1060*620*1850mm；</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1.2 内部尺寸≥（L×D×H）938*530*650mm；</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1.3 额定功率：750 W；</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1.4 气流流速：0.30～0.45m/s；</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1.5 紫外灯功率：18W；</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1.6 LED日光灯功率：12W；</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1.7 前窗玻璃最大开口高度：400mm；</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1.8 前窗玻璃开口安全操作高度：200-350mm；</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1.9 工作台到地面高度：750mm；</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1.10 噪音≤65dB(A)；</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1.11 风机型号：泛仕达风机SC220A1-AGT-03，转速:2460 RPM，流量：750 m³/h，功率90W；</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1.12 产品安全性：菌落数≤0.5CFU/30min；</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1.13 照明：≥350lx；</w:t>
            </w:r>
          </w:p>
          <w:p>
            <w:pPr>
              <w:ind w:firstLine="210" w:firstLineChars="100"/>
              <w:rPr>
                <w:rFonts w:ascii="宋体" w:hAnsi="宋体" w:cs="宋体"/>
                <w:color w:val="auto"/>
                <w:szCs w:val="21"/>
                <w:highlight w:val="none"/>
                <w:u w:val="none"/>
              </w:rPr>
            </w:pP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二、结构要求：</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2.1 洁净台分类：垂直层流、单面操作；</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2.2 过滤效率:过滤器均采用无隔板高效过滤器，对直径0.3μm颗粒过滤效率为99.999%；</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2.3 可在洁净台前部更换、维修风机及过滤器；</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2.4 箱体部分采用1.2mm厚的冷轧钢板且表面静电喷涂，增强了结构强度，整个装置更加稳重；</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2.5 工作区台面为不锈钢材质，美观耐腐蚀；</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2.6 工作区采用四面（左右二侧、后部、底部）正压环绕设计工作区内，保护产品；</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★2.7 控制面板采用轻触式开关，按键由风机键、照明键、紫外键、电源键、插座键、风量减小键、风量增大键组成，易于操作；显示屏显示内容有：风机的风速、显示时间、紫外灯的工作时间、过滤器的工作时间；</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2.8 洁净台前视窗是采用5mm厚钢化玻璃的手动视窗，玻璃门-配重结构，上下开启灵活方便，行程范围内任意高度悬停；</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★2.9 紫外灯与风机、日光灯互锁功能，即当风机、日光灯工作时，紫外灯无法开启，保护操作人员；</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2.10 紫外灯延时5S开启，保护操作人员安全；</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★2.11 设置前窗开口安全高度，在低于或高于安全高度时报警，保证设备使用时性能稳定；</w:t>
            </w:r>
          </w:p>
          <w:p>
            <w:pPr>
              <w:ind w:firstLine="210" w:firstLineChars="100"/>
              <w:rPr>
                <w:rFonts w:ascii="宋体" w:hAnsi="宋体" w:cs="宋体"/>
                <w:color w:val="auto"/>
                <w:szCs w:val="21"/>
                <w:highlight w:val="none"/>
                <w:u w:val="none"/>
              </w:rPr>
            </w:pPr>
            <w:r>
              <w:rPr>
                <w:rFonts w:hint="eastAsia" w:ascii="宋体" w:hAnsi="宋体" w:cs="宋体"/>
                <w:color w:val="auto"/>
                <w:szCs w:val="21"/>
                <w:highlight w:val="none"/>
                <w:u w:val="none"/>
              </w:rPr>
              <w:t>★2.12 福马脚轮设计，方便柜体移动与固定。</w:t>
            </w:r>
          </w:p>
          <w:p>
            <w:pPr>
              <w:ind w:firstLine="210" w:firstLineChars="100"/>
              <w:rPr>
                <w:rFonts w:ascii="宋体" w:hAnsi="宋体" w:cs="宋体"/>
                <w:color w:val="auto"/>
                <w:szCs w:val="21"/>
                <w:highlight w:val="none"/>
                <w:u w:val="none"/>
              </w:rPr>
            </w:pP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22</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麻醉监护仪</w:t>
            </w:r>
          </w:p>
        </w:tc>
        <w:tc>
          <w:tcPr>
            <w:tcW w:w="7410" w:type="dxa"/>
            <w:tcBorders>
              <w:bottom w:val="single" w:color="auto" w:sz="4" w:space="0"/>
              <w:tl2br w:val="nil"/>
              <w:tr2bl w:val="nil"/>
            </w:tcBorders>
          </w:tcPr>
          <w:p>
            <w:pPr>
              <w:numPr>
                <w:ilvl w:val="0"/>
                <w:numId w:val="28"/>
              </w:numPr>
              <w:rPr>
                <w:rFonts w:ascii="宋体" w:hAnsi="宋体" w:cs="宋体"/>
                <w:color w:val="auto"/>
                <w:szCs w:val="21"/>
                <w:highlight w:val="none"/>
                <w:u w:val="none"/>
              </w:rPr>
            </w:pPr>
            <w:r>
              <w:rPr>
                <w:rFonts w:hint="eastAsia" w:ascii="宋体" w:hAnsi="宋体" w:cs="宋体"/>
                <w:color w:val="auto"/>
                <w:szCs w:val="21"/>
                <w:highlight w:val="none"/>
                <w:u w:val="none"/>
              </w:rPr>
              <w:t>模块化插件式床边监护仪，主机、显示屏和插件槽一体化设计，主机插槽数&gt;=4个，并可外接3槽位辅助插件槽方便升级；</w:t>
            </w:r>
          </w:p>
          <w:p>
            <w:pPr>
              <w:numPr>
                <w:ilvl w:val="0"/>
                <w:numId w:val="28"/>
              </w:numPr>
              <w:rPr>
                <w:rFonts w:ascii="宋体" w:hAnsi="宋体" w:cs="宋体"/>
                <w:color w:val="auto"/>
                <w:szCs w:val="21"/>
                <w:highlight w:val="none"/>
                <w:u w:val="none"/>
              </w:rPr>
            </w:pPr>
            <w:r>
              <w:rPr>
                <w:rFonts w:hint="eastAsia" w:ascii="宋体" w:hAnsi="宋体" w:cs="宋体"/>
                <w:color w:val="auto"/>
                <w:szCs w:val="21"/>
                <w:highlight w:val="none"/>
                <w:u w:val="none"/>
              </w:rPr>
              <w:t>&gt;=12.1寸彩色电容触摸屏，支持多点触摸操作，高分辨率达1280 x 800像素，7通道显示，显示屏亮度自动调节；</w:t>
            </w:r>
          </w:p>
          <w:p>
            <w:pPr>
              <w:numPr>
                <w:ilvl w:val="0"/>
                <w:numId w:val="28"/>
              </w:numPr>
              <w:rPr>
                <w:rFonts w:ascii="宋体" w:hAnsi="宋体" w:cs="宋体"/>
                <w:color w:val="auto"/>
                <w:szCs w:val="21"/>
                <w:highlight w:val="none"/>
                <w:u w:val="none"/>
              </w:rPr>
            </w:pPr>
            <w:r>
              <w:rPr>
                <w:rFonts w:hint="eastAsia" w:ascii="宋体" w:hAnsi="宋体" w:cs="宋体"/>
                <w:color w:val="auto"/>
                <w:szCs w:val="21"/>
                <w:highlight w:val="none"/>
                <w:u w:val="none"/>
              </w:rPr>
              <w:t>工作海拔高度4500米，满足高原地区，工作温度0 ~40 ℃，采用无风扇设计，配置&gt;=4个USB接口，支持连接存储介质、鼠标、键盘、条码扫描枪等USB设备，支持扩展独立显示屏；</w:t>
            </w:r>
          </w:p>
          <w:p>
            <w:pPr>
              <w:numPr>
                <w:ilvl w:val="0"/>
                <w:numId w:val="28"/>
              </w:numPr>
              <w:rPr>
                <w:rFonts w:ascii="宋体" w:hAnsi="宋体" w:cs="宋体"/>
                <w:color w:val="auto"/>
                <w:szCs w:val="21"/>
                <w:highlight w:val="none"/>
                <w:u w:val="none"/>
              </w:rPr>
            </w:pPr>
            <w:r>
              <w:rPr>
                <w:rFonts w:hint="eastAsia" w:ascii="宋体" w:hAnsi="宋体" w:cs="宋体"/>
                <w:color w:val="auto"/>
                <w:szCs w:val="21"/>
                <w:highlight w:val="none"/>
                <w:u w:val="none"/>
              </w:rPr>
              <w:t>基本功能模块支持心电，呼吸，心率，无创血压，血氧饱和度，脉搏，体温和双通道有创血压的同时监测；</w:t>
            </w:r>
          </w:p>
          <w:p>
            <w:pPr>
              <w:numPr>
                <w:ilvl w:val="0"/>
                <w:numId w:val="28"/>
              </w:numPr>
              <w:rPr>
                <w:rFonts w:ascii="宋体" w:hAnsi="宋体" w:cs="宋体"/>
                <w:color w:val="auto"/>
                <w:szCs w:val="21"/>
                <w:highlight w:val="none"/>
                <w:u w:val="none"/>
              </w:rPr>
            </w:pPr>
            <w:r>
              <w:rPr>
                <w:rFonts w:hint="eastAsia" w:ascii="宋体" w:hAnsi="宋体" w:cs="宋体"/>
                <w:color w:val="auto"/>
                <w:szCs w:val="21"/>
                <w:highlight w:val="none"/>
                <w:u w:val="none"/>
              </w:rPr>
              <w:t>支持3/5/6导心电监测,可升级12导心电测量，并在监护仪上完成12导静息分析，支持房颤心律失常分析功能，支持不少于20种实时心律失常分析；</w:t>
            </w:r>
          </w:p>
          <w:p>
            <w:pPr>
              <w:numPr>
                <w:ilvl w:val="0"/>
                <w:numId w:val="28"/>
              </w:numPr>
              <w:rPr>
                <w:rFonts w:ascii="宋体" w:hAnsi="宋体" w:cs="宋体"/>
                <w:color w:val="auto"/>
                <w:szCs w:val="21"/>
                <w:highlight w:val="none"/>
                <w:u w:val="none"/>
              </w:rPr>
            </w:pPr>
            <w:r>
              <w:rPr>
                <w:rFonts w:hint="eastAsia" w:ascii="宋体" w:hAnsi="宋体" w:cs="宋体"/>
                <w:color w:val="auto"/>
                <w:szCs w:val="21"/>
                <w:highlight w:val="none"/>
                <w:u w:val="none"/>
              </w:rPr>
              <w:t>提供ST段分析功能，支持在专门的窗口中分组显示心脏前壁，下壁和侧壁的ST实时片段和参考片段，监测ST段抬高或者压低，提供ST报警。提供单个，或多个ST值报警，并支持相对的报警限设置。提供导联类型自动识别功能，具备智能导联脱落监测功能，导联脱落的情况下仍能保持监护；</w:t>
            </w:r>
          </w:p>
          <w:p>
            <w:pPr>
              <w:numPr>
                <w:ilvl w:val="0"/>
                <w:numId w:val="28"/>
              </w:numPr>
              <w:rPr>
                <w:rFonts w:ascii="宋体" w:hAnsi="宋体" w:cs="宋体"/>
                <w:color w:val="auto"/>
                <w:szCs w:val="21"/>
                <w:highlight w:val="none"/>
                <w:u w:val="none"/>
              </w:rPr>
            </w:pPr>
            <w:r>
              <w:rPr>
                <w:rFonts w:hint="eastAsia" w:ascii="宋体" w:hAnsi="宋体" w:cs="宋体"/>
                <w:color w:val="auto"/>
                <w:szCs w:val="21"/>
                <w:highlight w:val="none"/>
                <w:u w:val="none"/>
              </w:rPr>
              <w:t>具有QT/QTc测量功能，提供QT，QTc和ΔQTc参数值。提供QT和QTc模板显示；</w:t>
            </w:r>
          </w:p>
          <w:p>
            <w:pPr>
              <w:numPr>
                <w:ilvl w:val="0"/>
                <w:numId w:val="28"/>
              </w:numPr>
              <w:rPr>
                <w:rFonts w:ascii="宋体" w:hAnsi="宋体" w:cs="宋体"/>
                <w:color w:val="auto"/>
                <w:szCs w:val="21"/>
                <w:highlight w:val="none"/>
                <w:u w:val="none"/>
              </w:rPr>
            </w:pPr>
            <w:r>
              <w:rPr>
                <w:rFonts w:hint="eastAsia" w:ascii="宋体" w:hAnsi="宋体" w:cs="宋体"/>
                <w:color w:val="auto"/>
                <w:szCs w:val="21"/>
                <w:highlight w:val="none"/>
                <w:u w:val="none"/>
              </w:rPr>
              <w:t>无创血压提供手动、自动间隔、连续、序列四种测量模式；</w:t>
            </w:r>
          </w:p>
          <w:p>
            <w:pPr>
              <w:ind w:left="400"/>
              <w:rPr>
                <w:rFonts w:ascii="宋体" w:hAnsi="宋体" w:cs="宋体"/>
                <w:color w:val="auto"/>
                <w:szCs w:val="21"/>
                <w:highlight w:val="none"/>
                <w:u w:val="none"/>
              </w:rPr>
            </w:pPr>
            <w:r>
              <w:rPr>
                <w:rFonts w:hint="eastAsia" w:ascii="宋体" w:hAnsi="宋体" w:cs="宋体"/>
                <w:color w:val="auto"/>
                <w:szCs w:val="21"/>
                <w:highlight w:val="none"/>
                <w:u w:val="none"/>
              </w:rPr>
              <w:t>8.1.无创血压成人测量范围：25-290mmHg（收缩压），10-250mmHg（舒张压），15-260mmHg（平均压）；</w:t>
            </w:r>
          </w:p>
          <w:p>
            <w:pPr>
              <w:ind w:left="400"/>
              <w:rPr>
                <w:rFonts w:ascii="宋体" w:hAnsi="宋体" w:cs="宋体"/>
                <w:color w:val="auto"/>
                <w:szCs w:val="21"/>
                <w:highlight w:val="none"/>
                <w:u w:val="none"/>
              </w:rPr>
            </w:pPr>
            <w:r>
              <w:rPr>
                <w:rFonts w:hint="eastAsia" w:ascii="宋体" w:hAnsi="宋体" w:cs="宋体"/>
                <w:color w:val="auto"/>
                <w:szCs w:val="21"/>
                <w:highlight w:val="none"/>
                <w:u w:val="none"/>
              </w:rPr>
              <w:t>8.2.无创血压小儿测量范围：25-240mmHg（收缩压），10-200mmHg（舒张压），15-215mmHg（平均压）；</w:t>
            </w:r>
          </w:p>
          <w:p>
            <w:pPr>
              <w:ind w:left="400"/>
              <w:rPr>
                <w:rFonts w:ascii="宋体" w:hAnsi="宋体" w:cs="宋体"/>
                <w:color w:val="auto"/>
                <w:szCs w:val="21"/>
                <w:highlight w:val="none"/>
                <w:u w:val="none"/>
              </w:rPr>
            </w:pPr>
            <w:r>
              <w:rPr>
                <w:rFonts w:hint="eastAsia" w:ascii="宋体" w:hAnsi="宋体" w:cs="宋体"/>
                <w:color w:val="auto"/>
                <w:szCs w:val="21"/>
                <w:highlight w:val="none"/>
                <w:u w:val="none"/>
              </w:rPr>
              <w:t>8.3.无创血压新生儿测量范围：25-140mmHg（收缩压），10-115mmHg（舒张压），15-125mmHg（平均压）；</w:t>
            </w:r>
          </w:p>
          <w:p>
            <w:pPr>
              <w:ind w:left="400"/>
              <w:rPr>
                <w:rFonts w:ascii="宋体" w:hAnsi="宋体" w:cs="宋体"/>
                <w:color w:val="auto"/>
                <w:szCs w:val="21"/>
                <w:highlight w:val="none"/>
                <w:u w:val="none"/>
              </w:rPr>
            </w:pPr>
            <w:r>
              <w:rPr>
                <w:rFonts w:hint="eastAsia" w:ascii="宋体" w:hAnsi="宋体" w:cs="宋体"/>
                <w:color w:val="auto"/>
                <w:szCs w:val="21"/>
                <w:highlight w:val="none"/>
                <w:u w:val="none"/>
              </w:rPr>
              <w:t>9.支持双通道有创压IBP监测，支持升级≥7通道有创压监测，提供肺动脉锲压（PAWP）的监测和PPV参数监测，支持≥3道IBP波形叠加显示，满足临床对比查看和节约显示空间的需求；</w:t>
            </w:r>
          </w:p>
          <w:p>
            <w:pPr>
              <w:ind w:left="400"/>
              <w:rPr>
                <w:rFonts w:ascii="宋体" w:hAnsi="宋体" w:cs="宋体"/>
                <w:color w:val="auto"/>
                <w:szCs w:val="21"/>
                <w:highlight w:val="none"/>
                <w:u w:val="none"/>
              </w:rPr>
            </w:pPr>
            <w:r>
              <w:rPr>
                <w:rFonts w:hint="eastAsia" w:ascii="宋体" w:hAnsi="宋体" w:cs="宋体"/>
                <w:color w:val="auto"/>
                <w:szCs w:val="21"/>
                <w:highlight w:val="none"/>
                <w:u w:val="none"/>
              </w:rPr>
              <w:t>10.★配备EtCO2监测模块，采用旁流技术，水槽要求易用快速更换，CO2波形提供填充和线条两种方式显示，满足不同临床使用习惯，CO2波形最小走速为3mm/s,满足同屏查看更多呼吸周期；</w:t>
            </w:r>
          </w:p>
          <w:p>
            <w:pPr>
              <w:ind w:left="400"/>
              <w:rPr>
                <w:rFonts w:ascii="宋体" w:hAnsi="宋体" w:cs="宋体"/>
                <w:color w:val="auto"/>
                <w:szCs w:val="21"/>
                <w:highlight w:val="none"/>
                <w:u w:val="none"/>
              </w:rPr>
            </w:pPr>
            <w:r>
              <w:rPr>
                <w:rFonts w:hint="eastAsia" w:ascii="宋体" w:hAnsi="宋体" w:cs="宋体"/>
                <w:color w:val="auto"/>
                <w:szCs w:val="21"/>
                <w:highlight w:val="none"/>
                <w:u w:val="none"/>
              </w:rPr>
              <w:t>11.可升级AG麻醉气体监测模块，监测与识别CO2，N2O和五种麻醉气体；</w:t>
            </w:r>
          </w:p>
          <w:p>
            <w:pPr>
              <w:ind w:left="400"/>
              <w:rPr>
                <w:rFonts w:ascii="宋体" w:hAnsi="宋体" w:cs="宋体"/>
                <w:color w:val="auto"/>
                <w:szCs w:val="21"/>
                <w:highlight w:val="none"/>
                <w:u w:val="none"/>
              </w:rPr>
            </w:pPr>
            <w:r>
              <w:rPr>
                <w:rFonts w:hint="eastAsia" w:ascii="宋体" w:hAnsi="宋体" w:cs="宋体"/>
                <w:color w:val="auto"/>
                <w:szCs w:val="21"/>
                <w:highlight w:val="none"/>
                <w:u w:val="none"/>
              </w:rPr>
              <w:t xml:space="preserve">12.可升级BISx2监测模块或者单机，提供不少于2通道EEG，双频指数（BIS），肌电活动（EMG）,抑制比（SR），频谱边缘频率（SEF）等参数的监测，提供功率谱密度（DSA）显示界面，可以直观地显示一段时间内的双侧功率谱分布变化的情况；  </w:t>
            </w:r>
          </w:p>
          <w:p>
            <w:pPr>
              <w:ind w:left="400"/>
              <w:rPr>
                <w:rFonts w:ascii="宋体" w:hAnsi="宋体" w:cs="宋体"/>
                <w:color w:val="auto"/>
                <w:szCs w:val="21"/>
                <w:highlight w:val="none"/>
                <w:u w:val="none"/>
              </w:rPr>
            </w:pPr>
            <w:r>
              <w:rPr>
                <w:rFonts w:hint="eastAsia" w:ascii="宋体" w:hAnsi="宋体" w:cs="宋体"/>
                <w:color w:val="auto"/>
                <w:szCs w:val="21"/>
                <w:highlight w:val="none"/>
                <w:u w:val="none"/>
              </w:rPr>
              <w:t>13.可升级NMT监测模块，满足病人肌松药物监测，提供四种刺激模式：TOF模式，ST模式，PTC模式，DBS模式；</w:t>
            </w:r>
          </w:p>
          <w:p>
            <w:pPr>
              <w:ind w:left="400"/>
              <w:rPr>
                <w:rFonts w:ascii="宋体" w:hAnsi="宋体" w:cs="宋体"/>
                <w:color w:val="auto"/>
                <w:szCs w:val="21"/>
                <w:highlight w:val="none"/>
                <w:u w:val="none"/>
              </w:rPr>
            </w:pPr>
            <w:r>
              <w:rPr>
                <w:rFonts w:hint="eastAsia" w:ascii="宋体" w:hAnsi="宋体" w:cs="宋体"/>
                <w:color w:val="auto"/>
                <w:szCs w:val="21"/>
                <w:highlight w:val="none"/>
                <w:u w:val="none"/>
              </w:rPr>
              <w:t>14.支持与主流呼吸机品牌的呼吸机相连，实现呼吸机设备的信息在监护仪上显示、存储、记录、打印或者用于参与计算；</w:t>
            </w:r>
          </w:p>
          <w:p>
            <w:pPr>
              <w:ind w:left="400"/>
              <w:rPr>
                <w:rFonts w:ascii="宋体" w:hAnsi="宋体" w:cs="宋体"/>
                <w:color w:val="auto"/>
                <w:szCs w:val="21"/>
                <w:highlight w:val="none"/>
                <w:u w:val="none"/>
              </w:rPr>
            </w:pPr>
            <w:r>
              <w:rPr>
                <w:rFonts w:hint="eastAsia" w:ascii="宋体" w:hAnsi="宋体" w:cs="宋体"/>
                <w:color w:val="auto"/>
                <w:szCs w:val="21"/>
                <w:highlight w:val="none"/>
                <w:u w:val="none"/>
              </w:rPr>
              <w:t>15.大字体界面支持6个参数的设置和显示，具有图形化报警指示功能，看报警信息更容易，所有参数报警限自动设置，能够设置护理组，一个护理组能够设置6-12个病人。这些病人之间能够互相进行它床观察；</w:t>
            </w:r>
          </w:p>
          <w:p>
            <w:pPr>
              <w:ind w:left="400"/>
              <w:rPr>
                <w:rFonts w:ascii="宋体" w:hAnsi="宋体" w:cs="宋体"/>
                <w:color w:val="auto"/>
                <w:szCs w:val="21"/>
                <w:highlight w:val="none"/>
                <w:u w:val="none"/>
              </w:rPr>
            </w:pPr>
            <w:r>
              <w:rPr>
                <w:rFonts w:hint="eastAsia" w:ascii="宋体" w:hAnsi="宋体" w:cs="宋体"/>
                <w:color w:val="auto"/>
                <w:szCs w:val="21"/>
                <w:highlight w:val="none"/>
                <w:u w:val="none"/>
              </w:rPr>
              <w:t>16.★标配具备血液动力学计算，药物计算，氧合计算，通气计算和肾功能计算功能；</w:t>
            </w:r>
          </w:p>
          <w:p>
            <w:pPr>
              <w:ind w:left="400"/>
              <w:rPr>
                <w:rFonts w:ascii="宋体" w:hAnsi="宋体" w:cs="宋体"/>
                <w:color w:val="auto"/>
                <w:szCs w:val="21"/>
                <w:highlight w:val="none"/>
                <w:u w:val="none"/>
              </w:rPr>
            </w:pPr>
            <w:r>
              <w:rPr>
                <w:rFonts w:hint="eastAsia" w:ascii="宋体" w:hAnsi="宋体" w:cs="宋体"/>
                <w:color w:val="auto"/>
                <w:szCs w:val="21"/>
                <w:highlight w:val="none"/>
                <w:u w:val="none"/>
              </w:rPr>
              <w:t>17.40个及以上参数的120小时（分辨率1分钟）趋势表、趋势图回顾，4小时（分辨率5秒）趋势表、趋势图回顾。1000条事件回顾。每条报警事件至少能够存储32秒三道相关波形，以及报警触发时所有测量参数值。事件回顾时能够提供报警事件列表。能够根据时间、报警优先级、报警类型和参数组对事件进行筛选；</w:t>
            </w:r>
          </w:p>
          <w:p>
            <w:pPr>
              <w:ind w:left="400"/>
              <w:rPr>
                <w:rFonts w:ascii="宋体" w:hAnsi="宋体" w:cs="宋体"/>
                <w:color w:val="auto"/>
                <w:szCs w:val="21"/>
                <w:highlight w:val="none"/>
                <w:u w:val="none"/>
              </w:rPr>
            </w:pPr>
            <w:r>
              <w:rPr>
                <w:rFonts w:hint="eastAsia" w:ascii="宋体" w:hAnsi="宋体" w:cs="宋体"/>
                <w:color w:val="auto"/>
                <w:szCs w:val="21"/>
                <w:highlight w:val="none"/>
                <w:u w:val="none"/>
              </w:rPr>
              <w:t>18.具备大于等于48小时全息波形的存储与回顾功能，120小时（分辨率5分钟）ST模板回顾；</w:t>
            </w:r>
          </w:p>
          <w:p>
            <w:pPr>
              <w:ind w:left="400"/>
              <w:rPr>
                <w:rFonts w:ascii="宋体" w:hAnsi="宋体" w:cs="宋体"/>
                <w:color w:val="auto"/>
                <w:szCs w:val="21"/>
                <w:highlight w:val="none"/>
                <w:u w:val="none"/>
              </w:rPr>
            </w:pPr>
            <w:r>
              <w:rPr>
                <w:rFonts w:hint="eastAsia" w:ascii="宋体" w:hAnsi="宋体" w:cs="宋体"/>
                <w:color w:val="auto"/>
                <w:szCs w:val="21"/>
                <w:highlight w:val="none"/>
                <w:u w:val="none"/>
              </w:rPr>
              <w:t>19.具有在线帮助功能，能够指导用户掌握如何设置参数。具有高级参数指导功能，能够指导用户掌握高级参数的使用方法；</w:t>
            </w:r>
          </w:p>
          <w:p>
            <w:pPr>
              <w:ind w:left="400"/>
              <w:rPr>
                <w:rFonts w:ascii="宋体" w:hAnsi="宋体" w:cs="宋体"/>
                <w:color w:val="auto"/>
                <w:szCs w:val="21"/>
                <w:highlight w:val="none"/>
                <w:u w:val="none"/>
              </w:rPr>
            </w:pPr>
            <w:r>
              <w:rPr>
                <w:rFonts w:hint="eastAsia" w:ascii="宋体" w:hAnsi="宋体" w:cs="宋体"/>
                <w:color w:val="auto"/>
                <w:szCs w:val="21"/>
                <w:highlight w:val="none"/>
                <w:u w:val="none"/>
              </w:rPr>
              <w:t>20.工作模式提供：监护模式、待机模式、体外循环模式模式、插管模式，夜间模式、隐私模式、演示模式；</w:t>
            </w:r>
          </w:p>
          <w:p>
            <w:pPr>
              <w:ind w:left="400"/>
              <w:rPr>
                <w:rFonts w:ascii="宋体" w:hAnsi="宋体" w:cs="宋体"/>
                <w:color w:val="auto"/>
                <w:szCs w:val="21"/>
                <w:highlight w:val="none"/>
                <w:u w:val="none"/>
              </w:rPr>
            </w:pPr>
            <w:r>
              <w:rPr>
                <w:rFonts w:hint="eastAsia" w:ascii="宋体" w:hAnsi="宋体" w:cs="宋体"/>
                <w:color w:val="auto"/>
                <w:szCs w:val="21"/>
                <w:highlight w:val="none"/>
                <w:u w:val="none"/>
              </w:rPr>
              <w:t>21.★配备麻醉专用系统软件，满足麻醉科的专业应用。麻醉平衡专用界面，显示患者疼痛，意识和肌松三个维度的体征情况；</w:t>
            </w:r>
          </w:p>
          <w:p>
            <w:pPr>
              <w:ind w:left="400"/>
              <w:rPr>
                <w:rFonts w:ascii="宋体" w:hAnsi="宋体" w:cs="宋体"/>
                <w:color w:val="auto"/>
                <w:szCs w:val="21"/>
                <w:highlight w:val="none"/>
                <w:u w:val="none"/>
              </w:rPr>
            </w:pPr>
            <w:r>
              <w:rPr>
                <w:rFonts w:hint="eastAsia" w:ascii="宋体" w:hAnsi="宋体" w:cs="宋体"/>
                <w:color w:val="auto"/>
                <w:szCs w:val="21"/>
                <w:highlight w:val="none"/>
                <w:u w:val="none"/>
              </w:rPr>
              <w:t>22.具备趋势共存界面、呼吸氧合图界面，大字体显示界面，及标准显示界面等多种显示界面；</w:t>
            </w:r>
          </w:p>
          <w:p>
            <w:pPr>
              <w:ind w:firstLine="210" w:firstLineChars="100"/>
              <w:rPr>
                <w:rFonts w:ascii="宋体" w:hAnsi="宋体" w:cs="宋体"/>
                <w:color w:val="auto"/>
                <w:szCs w:val="21"/>
                <w:highlight w:val="none"/>
                <w:u w:val="none"/>
              </w:rPr>
            </w:pP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2</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23</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心电监护仪</w:t>
            </w:r>
          </w:p>
        </w:tc>
        <w:tc>
          <w:tcPr>
            <w:tcW w:w="7410" w:type="dxa"/>
            <w:tcBorders>
              <w:bottom w:val="single" w:color="auto" w:sz="4" w:space="0"/>
              <w:tl2br w:val="nil"/>
              <w:tr2bl w:val="nil"/>
            </w:tcBorders>
          </w:tcPr>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基本要求：适用于对成人、小儿和新生儿的监护，含ST段测量及心律失常分析，需通过国家三类注册证明。</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监测心电、血氧、脉博、无创血压、呼吸、体温等基础参数，可升级Masimo/Nellcor SPO2、2IBP、ETCO2、AG、C.O.、BIS等参数。</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便携式一体化插件式监护仪，可用于监护成人、儿童、新生儿患者。</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≥10.4英寸高清触摸屏，触控操作。</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★双报警灯设计，生理报警和技术报警有各自独立的报警灯和报警信息。</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整机无风扇，降低环境噪音干扰，适合手术室ICU等环境。</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kern w:val="44"/>
                <w:szCs w:val="21"/>
                <w:highlight w:val="none"/>
                <w:u w:val="none"/>
              </w:rPr>
              <w:t>固定式提手，提动时稳固安全。</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右侧按键板设计，人性化，符合操作习惯。</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心电：支持3/5/12导心电测量，导联自动识别。</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心率测量范围：成人15-300bpm，小儿/新生儿15-350bpm，分辨率±1bpm。</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加±650mV的直流极化电压，灵敏度变化范围±5%。</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具有监护、诊断、手术、ST模式。</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具有心律失常分析和ST段功能。</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呼吸测量范围：成人0-120rpm，小儿/新生儿0-150rpm。</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窒息报警范围：成人10-60s，儿童/新生儿10-20s，测量误差为±5s。</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具有心动干扰（CVA）识别功能。</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★血氧：可选全球金标准的 Masimo血氧，测量范围为1 ％ ～100％；在70％～100％范围内，成人/儿童测量精度为±2％（非运动状态下）、±3％（运动状态下），新生儿为±3％（非运动状态和运动状态下）。</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NIBP静态压力测量范围：0-300mmHg，精度±3mmHg。</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NIBP具有手动、自动、连续测量模式。</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NIBP具有整点测量功能，更符合临床记录习惯，提高护理效率。</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可选择初始充气压力，提升测量的精准性和患者的舒适性。</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具有辅助静脉穿刺功能。</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★支持手写中文输入。</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可存储、回放不少于48小时波形全息回顾。</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支持标准界面、列表界面、趋势共存界面、大字体界面、全屏7导界面、全屏12导界面等多种界面可选。</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具有夜间模式，避免夜间打扰患者休息。</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 xml:space="preserve">具有屏幕亮度自动调节功能，可根据光线亮度的不同自动调节屏幕亮度。 </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具有药物计算、血液动力学计算、通气计算、氧合计算、肾功能计算。</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可选内置3通道热敏记录仪，实时记录时间可设为：8秒、16秒、32秒、连续。</w:t>
            </w:r>
          </w:p>
          <w:p>
            <w:pPr>
              <w:pStyle w:val="30"/>
              <w:numPr>
                <w:ilvl w:val="0"/>
                <w:numId w:val="29"/>
              </w:numPr>
              <w:spacing w:line="360" w:lineRule="auto"/>
              <w:ind w:firstLineChars="0"/>
              <w:rPr>
                <w:rFonts w:ascii="宋体" w:hAnsi="宋体" w:cs="宋体"/>
                <w:color w:val="auto"/>
                <w:szCs w:val="21"/>
                <w:highlight w:val="none"/>
                <w:u w:val="none"/>
              </w:rPr>
            </w:pPr>
            <w:r>
              <w:rPr>
                <w:rFonts w:hint="eastAsia" w:ascii="宋体" w:hAnsi="宋体" w:cs="宋体"/>
                <w:color w:val="auto"/>
                <w:szCs w:val="21"/>
                <w:highlight w:val="none"/>
                <w:u w:val="none"/>
              </w:rPr>
              <w:t>标配大容量锂电池，使用时间≥3小时。</w:t>
            </w:r>
          </w:p>
          <w:p>
            <w:pPr>
              <w:numPr>
                <w:ilvl w:val="0"/>
                <w:numId w:val="29"/>
              </w:numPr>
              <w:spacing w:line="360" w:lineRule="auto"/>
              <w:rPr>
                <w:rFonts w:ascii="宋体" w:hAnsi="宋体" w:cs="宋体"/>
                <w:color w:val="auto"/>
                <w:szCs w:val="21"/>
                <w:highlight w:val="none"/>
                <w:u w:val="none"/>
              </w:rPr>
            </w:pPr>
            <w:r>
              <w:rPr>
                <w:rFonts w:hint="eastAsia" w:ascii="宋体" w:hAnsi="宋体" w:cs="宋体"/>
                <w:color w:val="auto"/>
                <w:szCs w:val="21"/>
                <w:highlight w:val="none"/>
                <w:u w:val="none"/>
              </w:rPr>
              <w:t>支持连接同品牌中央监护系统。</w:t>
            </w:r>
          </w:p>
          <w:p>
            <w:pPr>
              <w:ind w:firstLine="210" w:firstLineChars="100"/>
              <w:jc w:val="left"/>
              <w:rPr>
                <w:rFonts w:ascii="宋体" w:hAnsi="宋体" w:cs="宋体"/>
                <w:color w:val="auto"/>
                <w:szCs w:val="21"/>
                <w:highlight w:val="none"/>
                <w:u w:val="none"/>
                <w:shd w:val="clear" w:color="auto" w:fill="FFFFFF"/>
              </w:rPr>
            </w:pP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3</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24</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微量注射泵</w:t>
            </w:r>
          </w:p>
        </w:tc>
        <w:tc>
          <w:tcPr>
            <w:tcW w:w="7410" w:type="dxa"/>
            <w:tcBorders>
              <w:bottom w:val="single" w:color="auto" w:sz="4" w:space="0"/>
              <w:tl2br w:val="nil"/>
              <w:tr2bl w:val="nil"/>
            </w:tcBorders>
          </w:tcPr>
          <w:p>
            <w:pPr>
              <w:widowControl/>
              <w:numPr>
                <w:ilvl w:val="0"/>
                <w:numId w:val="30"/>
              </w:numPr>
              <w:shd w:val="clear" w:color="auto" w:fill="FFFFFF"/>
              <w:jc w:val="left"/>
              <w:rPr>
                <w:rFonts w:ascii="宋体" w:hAnsi="宋体" w:cs="宋体"/>
                <w:color w:val="auto"/>
                <w:szCs w:val="21"/>
                <w:highlight w:val="none"/>
                <w:u w:val="none"/>
              </w:rPr>
            </w:pPr>
            <w:r>
              <w:rPr>
                <w:rFonts w:hint="eastAsia" w:ascii="宋体" w:hAnsi="宋体" w:cs="宋体"/>
                <w:color w:val="auto"/>
                <w:szCs w:val="21"/>
                <w:highlight w:val="none"/>
                <w:u w:val="none"/>
              </w:rPr>
              <w:t>适用科室：ICU、儿科及全院各科室；</w:t>
            </w:r>
          </w:p>
          <w:p>
            <w:pPr>
              <w:numPr>
                <w:ilvl w:val="0"/>
                <w:numId w:val="30"/>
              </w:numPr>
              <w:rPr>
                <w:rFonts w:hint="eastAsia" w:ascii="宋体" w:hAnsi="宋体" w:cs="宋体"/>
                <w:color w:val="auto"/>
                <w:szCs w:val="21"/>
                <w:highlight w:val="none"/>
                <w:u w:val="none"/>
              </w:rPr>
            </w:pPr>
            <w:r>
              <w:rPr>
                <w:rFonts w:hint="eastAsia" w:ascii="宋体" w:hAnsi="宋体" w:cs="宋体"/>
                <w:color w:val="auto"/>
                <w:szCs w:val="21"/>
                <w:highlight w:val="none"/>
                <w:u w:val="none"/>
              </w:rPr>
              <w:t>注射速度：20ml注射器：0.1ml/h～400ml/h,</w:t>
            </w:r>
          </w:p>
          <w:p>
            <w:pPr>
              <w:ind w:left="400" w:firstLine="1260" w:firstLineChars="600"/>
              <w:rPr>
                <w:rFonts w:hint="eastAsia" w:ascii="宋体" w:hAnsi="宋体" w:cs="宋体"/>
                <w:color w:val="auto"/>
                <w:szCs w:val="21"/>
                <w:highlight w:val="none"/>
                <w:u w:val="none"/>
              </w:rPr>
            </w:pPr>
            <w:r>
              <w:rPr>
                <w:rFonts w:hint="eastAsia" w:ascii="宋体" w:hAnsi="宋体" w:cs="宋体"/>
                <w:color w:val="auto"/>
                <w:szCs w:val="21"/>
                <w:highlight w:val="none"/>
                <w:u w:val="none"/>
              </w:rPr>
              <w:t>30ml注射器：0.1ml/h～600ml/h,</w:t>
            </w:r>
          </w:p>
          <w:p>
            <w:pPr>
              <w:ind w:left="400" w:firstLine="1260" w:firstLineChars="600"/>
              <w:rPr>
                <w:rFonts w:hint="eastAsia" w:ascii="宋体" w:hAnsi="宋体" w:cs="宋体"/>
                <w:color w:val="auto"/>
                <w:szCs w:val="21"/>
                <w:highlight w:val="none"/>
                <w:u w:val="none"/>
              </w:rPr>
            </w:pPr>
            <w:r>
              <w:rPr>
                <w:rFonts w:hint="eastAsia" w:ascii="宋体" w:hAnsi="宋体" w:cs="宋体"/>
                <w:color w:val="auto"/>
                <w:szCs w:val="21"/>
                <w:highlight w:val="none"/>
                <w:u w:val="none"/>
              </w:rPr>
              <w:t>50ml注射器：0.1ml/h～1200ml/h，</w:t>
            </w:r>
          </w:p>
          <w:p>
            <w:pPr>
              <w:ind w:left="400" w:firstLine="1260" w:firstLineChars="600"/>
              <w:rPr>
                <w:rFonts w:hint="eastAsia" w:ascii="宋体" w:hAnsi="宋体" w:cs="宋体"/>
                <w:color w:val="auto"/>
                <w:szCs w:val="21"/>
                <w:highlight w:val="none"/>
                <w:u w:val="none"/>
              </w:rPr>
            </w:pPr>
            <w:r>
              <w:rPr>
                <w:rFonts w:hint="eastAsia" w:ascii="宋体" w:hAnsi="宋体" w:cs="宋体"/>
                <w:color w:val="auto"/>
                <w:szCs w:val="21"/>
                <w:highlight w:val="none"/>
                <w:u w:val="none"/>
              </w:rPr>
              <w:t>0.1ml/h～99.9ml/h，递增、递减量为0.1ml/h,</w:t>
            </w:r>
          </w:p>
          <w:p>
            <w:pPr>
              <w:ind w:left="400" w:firstLine="1260" w:firstLineChars="600"/>
              <w:rPr>
                <w:rFonts w:ascii="宋体" w:hAnsi="宋体" w:cs="宋体"/>
                <w:color w:val="auto"/>
                <w:szCs w:val="21"/>
                <w:highlight w:val="none"/>
                <w:u w:val="none"/>
              </w:rPr>
            </w:pPr>
            <w:r>
              <w:rPr>
                <w:rFonts w:hint="eastAsia" w:ascii="宋体" w:hAnsi="宋体" w:cs="宋体"/>
                <w:color w:val="auto"/>
                <w:szCs w:val="21"/>
                <w:highlight w:val="none"/>
                <w:u w:val="none"/>
              </w:rPr>
              <w:t>100ml/h～1200ml/h，递增、递减量为1ml/h；</w:t>
            </w:r>
          </w:p>
          <w:p>
            <w:pPr>
              <w:pStyle w:val="11"/>
              <w:numPr>
                <w:ilvl w:val="0"/>
                <w:numId w:val="30"/>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报警功能：延长管脱落、注射完成、即将推空、注射推空、注射阻塞、注射器脱落、推杆错位、市电中断、电池欠压、电池耗尽、停机超时、控制异常；</w:t>
            </w:r>
          </w:p>
          <w:p>
            <w:pPr>
              <w:numPr>
                <w:ilvl w:val="0"/>
                <w:numId w:val="30"/>
              </w:numPr>
              <w:rPr>
                <w:rFonts w:ascii="宋体" w:hAnsi="宋体" w:cs="宋体"/>
                <w:color w:val="auto"/>
                <w:szCs w:val="21"/>
                <w:highlight w:val="none"/>
                <w:u w:val="none"/>
              </w:rPr>
            </w:pPr>
            <w:r>
              <w:rPr>
                <w:rFonts w:hint="eastAsia" w:ascii="宋体" w:hAnsi="宋体" w:cs="宋体"/>
                <w:color w:val="auto"/>
                <w:szCs w:val="21"/>
                <w:highlight w:val="none"/>
                <w:u w:val="none"/>
              </w:rPr>
              <w:t>LCD双液晶屏全中文显示；</w:t>
            </w:r>
          </w:p>
          <w:p>
            <w:pPr>
              <w:pStyle w:val="11"/>
              <w:numPr>
                <w:ilvl w:val="0"/>
                <w:numId w:val="30"/>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★具有双道linkage模式自动转换连续注射功能（配好药后两通道自动转换连续注射）；</w:t>
            </w:r>
          </w:p>
          <w:p>
            <w:pPr>
              <w:numPr>
                <w:ilvl w:val="0"/>
                <w:numId w:val="30"/>
              </w:numPr>
              <w:rPr>
                <w:rFonts w:ascii="宋体" w:hAnsi="宋体" w:cs="宋体"/>
                <w:color w:val="auto"/>
                <w:szCs w:val="21"/>
                <w:highlight w:val="none"/>
                <w:u w:val="none"/>
              </w:rPr>
            </w:pPr>
            <w:r>
              <w:rPr>
                <w:rFonts w:hint="eastAsia" w:ascii="宋体" w:hAnsi="宋体" w:cs="宋体"/>
                <w:color w:val="auto"/>
                <w:szCs w:val="21"/>
                <w:highlight w:val="none"/>
                <w:u w:val="none"/>
              </w:rPr>
              <w:t>应用 20ml、30ml、50/60ml不同品牌注射器；</w:t>
            </w:r>
          </w:p>
          <w:p>
            <w:pPr>
              <w:pStyle w:val="11"/>
              <w:numPr>
                <w:ilvl w:val="0"/>
                <w:numId w:val="30"/>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注射精度±2%；</w:t>
            </w:r>
          </w:p>
          <w:p>
            <w:pPr>
              <w:numPr>
                <w:ilvl w:val="0"/>
                <w:numId w:val="30"/>
              </w:numPr>
              <w:rPr>
                <w:rFonts w:ascii="宋体" w:hAnsi="宋体" w:cs="宋体"/>
                <w:color w:val="auto"/>
                <w:szCs w:val="21"/>
                <w:highlight w:val="none"/>
                <w:u w:val="none"/>
              </w:rPr>
            </w:pPr>
            <w:r>
              <w:rPr>
                <w:rFonts w:hint="eastAsia" w:ascii="宋体" w:hAnsi="宋体" w:cs="宋体"/>
                <w:color w:val="auto"/>
                <w:szCs w:val="21"/>
                <w:highlight w:val="none"/>
                <w:u w:val="none"/>
              </w:rPr>
              <w:t>可存储十五种不同品牌注射器参数,有独立的注射器参数设置菜单；</w:t>
            </w:r>
          </w:p>
          <w:p>
            <w:pPr>
              <w:numPr>
                <w:ilvl w:val="0"/>
                <w:numId w:val="30"/>
              </w:numPr>
              <w:rPr>
                <w:rFonts w:ascii="宋体" w:hAnsi="宋体" w:cs="宋体"/>
                <w:color w:val="auto"/>
                <w:szCs w:val="21"/>
                <w:highlight w:val="none"/>
                <w:u w:val="none"/>
              </w:rPr>
            </w:pPr>
            <w:r>
              <w:rPr>
                <w:rFonts w:hint="eastAsia" w:ascii="宋体" w:hAnsi="宋体" w:cs="宋体"/>
                <w:color w:val="auto"/>
                <w:szCs w:val="21"/>
                <w:highlight w:val="none"/>
                <w:u w:val="none"/>
              </w:rPr>
              <w:t>采用的V型槽固定注射器；</w:t>
            </w:r>
          </w:p>
          <w:p>
            <w:pPr>
              <w:pStyle w:val="11"/>
              <w:numPr>
                <w:ilvl w:val="0"/>
                <w:numId w:val="30"/>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★阻塞压力值根据使用科室的需要进行0-25档（5kpa-120kpa）可精确调整，独立界面菜单操作；</w:t>
            </w:r>
          </w:p>
          <w:p>
            <w:pPr>
              <w:numPr>
                <w:ilvl w:val="0"/>
                <w:numId w:val="30"/>
              </w:numPr>
              <w:rPr>
                <w:rFonts w:ascii="宋体" w:hAnsi="宋体" w:cs="宋体"/>
                <w:color w:val="auto"/>
                <w:szCs w:val="21"/>
                <w:highlight w:val="none"/>
                <w:u w:val="none"/>
              </w:rPr>
            </w:pPr>
            <w:r>
              <w:rPr>
                <w:rFonts w:hint="eastAsia" w:ascii="宋体" w:hAnsi="宋体" w:cs="宋体"/>
                <w:color w:val="auto"/>
                <w:szCs w:val="21"/>
                <w:highlight w:val="none"/>
                <w:u w:val="none"/>
              </w:rPr>
              <w:t>注射速度模式ml/h、h两种模式可任选；可自动换算；</w:t>
            </w:r>
          </w:p>
          <w:p>
            <w:pPr>
              <w:pStyle w:val="11"/>
              <w:numPr>
                <w:ilvl w:val="0"/>
                <w:numId w:val="30"/>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注射量与注射时间显示及自动换算；</w:t>
            </w:r>
          </w:p>
          <w:p>
            <w:pPr>
              <w:numPr>
                <w:ilvl w:val="0"/>
                <w:numId w:val="30"/>
              </w:numPr>
              <w:rPr>
                <w:rFonts w:ascii="宋体" w:hAnsi="宋体" w:cs="宋体"/>
                <w:color w:val="auto"/>
                <w:szCs w:val="21"/>
                <w:highlight w:val="none"/>
                <w:u w:val="none"/>
              </w:rPr>
            </w:pPr>
            <w:r>
              <w:rPr>
                <w:rFonts w:hint="eastAsia" w:ascii="宋体" w:hAnsi="宋体" w:cs="宋体"/>
                <w:color w:val="auto"/>
                <w:szCs w:val="21"/>
                <w:highlight w:val="none"/>
                <w:u w:val="none"/>
              </w:rPr>
              <w:t>★延长管脱落报警功能,减少延长管脱落带来的危险；</w:t>
            </w:r>
          </w:p>
          <w:p>
            <w:pPr>
              <w:pStyle w:val="11"/>
              <w:numPr>
                <w:ilvl w:val="0"/>
                <w:numId w:val="30"/>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在注射过程中抢救病人不需停机改变注射速度，注射泵运行中根据临床需要实时调整注射速度功能；</w:t>
            </w:r>
          </w:p>
          <w:p>
            <w:pPr>
              <w:numPr>
                <w:ilvl w:val="0"/>
                <w:numId w:val="30"/>
              </w:numPr>
              <w:rPr>
                <w:rFonts w:ascii="宋体" w:hAnsi="宋体" w:cs="宋体"/>
                <w:color w:val="auto"/>
                <w:szCs w:val="21"/>
                <w:highlight w:val="none"/>
                <w:u w:val="none"/>
              </w:rPr>
            </w:pPr>
            <w:r>
              <w:rPr>
                <w:rFonts w:hint="eastAsia" w:ascii="宋体" w:hAnsi="宋体" w:cs="宋体"/>
                <w:color w:val="auto"/>
                <w:szCs w:val="21"/>
                <w:highlight w:val="none"/>
                <w:u w:val="none"/>
              </w:rPr>
              <w:t>型号自动识别及对注射器品牌进行显示和设定；</w:t>
            </w:r>
          </w:p>
          <w:p>
            <w:pPr>
              <w:pStyle w:val="11"/>
              <w:numPr>
                <w:ilvl w:val="0"/>
                <w:numId w:val="30"/>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 采用文字显示、声、光报警方法,全部报警功能在液晶屏上以中文方式清晰提示；</w:t>
            </w:r>
          </w:p>
          <w:p>
            <w:pPr>
              <w:numPr>
                <w:ilvl w:val="0"/>
                <w:numId w:val="30"/>
              </w:numPr>
              <w:rPr>
                <w:rFonts w:ascii="宋体" w:hAnsi="宋体" w:cs="宋体"/>
                <w:color w:val="auto"/>
                <w:szCs w:val="21"/>
                <w:highlight w:val="none"/>
                <w:u w:val="none"/>
              </w:rPr>
            </w:pPr>
            <w:r>
              <w:rPr>
                <w:rFonts w:hint="eastAsia" w:ascii="宋体" w:hAnsi="宋体" w:cs="宋体"/>
                <w:color w:val="auto"/>
                <w:szCs w:val="21"/>
                <w:highlight w:val="none"/>
                <w:u w:val="none"/>
              </w:rPr>
              <w:t>键盘数据及字母输入方式，可进行字母和数字设置；</w:t>
            </w:r>
          </w:p>
          <w:p>
            <w:pPr>
              <w:pStyle w:val="11"/>
              <w:numPr>
                <w:ilvl w:val="0"/>
                <w:numId w:val="30"/>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（KVO）速度功能；</w:t>
            </w:r>
          </w:p>
          <w:p>
            <w:pPr>
              <w:numPr>
                <w:ilvl w:val="0"/>
                <w:numId w:val="30"/>
              </w:numPr>
              <w:rPr>
                <w:rFonts w:ascii="宋体" w:hAnsi="宋体" w:cs="宋体"/>
                <w:color w:val="auto"/>
                <w:szCs w:val="21"/>
                <w:highlight w:val="none"/>
                <w:u w:val="none"/>
              </w:rPr>
            </w:pPr>
            <w:r>
              <w:rPr>
                <w:rFonts w:hint="eastAsia" w:ascii="宋体" w:hAnsi="宋体" w:cs="宋体"/>
                <w:color w:val="auto"/>
                <w:szCs w:val="21"/>
                <w:highlight w:val="none"/>
                <w:u w:val="none"/>
              </w:rPr>
              <w:t>注射运行前快排功能；</w:t>
            </w:r>
          </w:p>
          <w:p>
            <w:pPr>
              <w:pStyle w:val="11"/>
              <w:numPr>
                <w:ilvl w:val="0"/>
                <w:numId w:val="30"/>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具有护士呼叫功能；</w:t>
            </w:r>
          </w:p>
          <w:p>
            <w:pPr>
              <w:numPr>
                <w:ilvl w:val="0"/>
                <w:numId w:val="30"/>
              </w:numPr>
              <w:rPr>
                <w:rFonts w:ascii="宋体" w:hAnsi="宋体" w:cs="宋体"/>
                <w:color w:val="auto"/>
                <w:szCs w:val="21"/>
                <w:highlight w:val="none"/>
                <w:u w:val="none"/>
              </w:rPr>
            </w:pPr>
            <w:r>
              <w:rPr>
                <w:rFonts w:hint="eastAsia" w:ascii="宋体" w:hAnsi="宋体" w:cs="宋体"/>
                <w:color w:val="auto"/>
                <w:szCs w:val="21"/>
                <w:highlight w:val="none"/>
                <w:u w:val="none"/>
              </w:rPr>
              <w:t>内部电池要求：</w:t>
            </w:r>
          </w:p>
          <w:p>
            <w:pPr>
              <w:ind w:left="400"/>
              <w:rPr>
                <w:rFonts w:ascii="宋体" w:hAnsi="宋体" w:cs="宋体"/>
                <w:color w:val="auto"/>
                <w:szCs w:val="21"/>
                <w:highlight w:val="none"/>
                <w:u w:val="none"/>
              </w:rPr>
            </w:pPr>
            <w:r>
              <w:rPr>
                <w:rFonts w:hint="eastAsia" w:ascii="宋体" w:hAnsi="宋体" w:cs="宋体"/>
                <w:color w:val="auto"/>
                <w:szCs w:val="21"/>
                <w:highlight w:val="none"/>
                <w:u w:val="none"/>
              </w:rPr>
              <w:t>（1）内置镍氢电池，完全充电30个小时后,5ml/h注射速度时可使用6小时以上；</w:t>
            </w:r>
          </w:p>
          <w:p>
            <w:pPr>
              <w:spacing w:line="360" w:lineRule="exact"/>
              <w:ind w:left="400"/>
              <w:rPr>
                <w:rFonts w:ascii="宋体" w:hAnsi="宋体" w:cs="宋体"/>
                <w:color w:val="auto"/>
                <w:szCs w:val="21"/>
                <w:highlight w:val="none"/>
                <w:u w:val="none"/>
              </w:rPr>
            </w:pPr>
            <w:r>
              <w:rPr>
                <w:rFonts w:hint="eastAsia" w:ascii="宋体" w:hAnsi="宋体" w:cs="宋体"/>
                <w:color w:val="auto"/>
                <w:szCs w:val="21"/>
                <w:highlight w:val="none"/>
                <w:u w:val="none"/>
              </w:rPr>
              <w:t>（2）电池欠压报警时间≥30Min；</w:t>
            </w:r>
          </w:p>
          <w:p>
            <w:pPr>
              <w:ind w:left="400"/>
              <w:rPr>
                <w:rFonts w:ascii="宋体" w:hAnsi="宋体" w:cs="宋体"/>
                <w:color w:val="auto"/>
                <w:szCs w:val="21"/>
                <w:highlight w:val="none"/>
                <w:u w:val="none"/>
              </w:rPr>
            </w:pPr>
            <w:r>
              <w:rPr>
                <w:rFonts w:hint="eastAsia" w:ascii="宋体" w:hAnsi="宋体" w:cs="宋体"/>
                <w:color w:val="auto"/>
                <w:szCs w:val="21"/>
                <w:highlight w:val="none"/>
                <w:u w:val="none"/>
              </w:rPr>
              <w:t>（3）电池耗尽报警时间≥3Min；</w:t>
            </w:r>
          </w:p>
          <w:p>
            <w:pPr>
              <w:pStyle w:val="11"/>
              <w:numPr>
                <w:ilvl w:val="0"/>
                <w:numId w:val="30"/>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操作条件要求：环境温度+5℃～+40℃；相对湿度20%～90%；大气压力86.0kPa～106.0kPa；</w:t>
            </w:r>
          </w:p>
          <w:p>
            <w:pPr>
              <w:pStyle w:val="11"/>
              <w:numPr>
                <w:ilvl w:val="0"/>
                <w:numId w:val="30"/>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功耗要求：≤35VA；</w:t>
            </w:r>
          </w:p>
          <w:p>
            <w:pPr>
              <w:numPr>
                <w:ilvl w:val="0"/>
                <w:numId w:val="30"/>
              </w:numPr>
              <w:rPr>
                <w:rFonts w:ascii="宋体" w:hAnsi="宋体" w:cs="宋体"/>
                <w:color w:val="auto"/>
                <w:szCs w:val="21"/>
                <w:highlight w:val="none"/>
                <w:u w:val="none"/>
              </w:rPr>
            </w:pPr>
            <w:r>
              <w:rPr>
                <w:rFonts w:hint="eastAsia" w:ascii="宋体" w:hAnsi="宋体" w:cs="宋体"/>
                <w:color w:val="auto"/>
                <w:szCs w:val="21"/>
                <w:highlight w:val="none"/>
                <w:u w:val="none"/>
              </w:rPr>
              <w:t>整机重量：约4.2kg</w:t>
            </w:r>
          </w:p>
          <w:p>
            <w:pPr>
              <w:pStyle w:val="11"/>
              <w:numPr>
                <w:ilvl w:val="0"/>
                <w:numId w:val="30"/>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IP等级要求：≥IP×4属防溅水设备；</w:t>
            </w:r>
          </w:p>
          <w:p>
            <w:pPr>
              <w:numPr>
                <w:ilvl w:val="0"/>
                <w:numId w:val="30"/>
              </w:numPr>
              <w:rPr>
                <w:rFonts w:ascii="宋体" w:hAnsi="宋体" w:cs="宋体"/>
                <w:color w:val="auto"/>
                <w:szCs w:val="21"/>
                <w:highlight w:val="none"/>
                <w:u w:val="none"/>
              </w:rPr>
            </w:pPr>
            <w:r>
              <w:rPr>
                <w:rFonts w:hint="eastAsia" w:ascii="宋体" w:hAnsi="宋体" w:cs="宋体"/>
                <w:color w:val="auto"/>
                <w:szCs w:val="21"/>
                <w:highlight w:val="none"/>
                <w:u w:val="none"/>
              </w:rPr>
              <w:t>安全分类：I类内部电源的CF“</w:t>
            </w:r>
            <w:r>
              <w:rPr>
                <w:rFonts w:hint="eastAsia" w:ascii="宋体" w:hAnsi="宋体" w:cs="宋体"/>
                <w:color w:val="auto"/>
                <w:szCs w:val="21"/>
                <w:highlight w:val="none"/>
                <w:u w:val="none"/>
              </w:rPr>
              <w:drawing>
                <wp:inline distT="0" distB="0" distL="114300" distR="114300">
                  <wp:extent cx="152400" cy="152400"/>
                  <wp:effectExtent l="0" t="0" r="0" b="0"/>
                  <wp:docPr id="12" name="图片 1" descr="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CF"/>
                          <pic:cNvPicPr>
                            <a:picLocks noChangeAspect="1"/>
                          </pic:cNvPicPr>
                        </pic:nvPicPr>
                        <pic:blipFill>
                          <a:blip r:embed="rId9"/>
                          <a:stretch>
                            <a:fillRect/>
                          </a:stretch>
                        </pic:blipFill>
                        <pic:spPr>
                          <a:xfrm>
                            <a:off x="0" y="0"/>
                            <a:ext cx="152400" cy="152400"/>
                          </a:xfrm>
                          <a:prstGeom prst="rect">
                            <a:avLst/>
                          </a:prstGeom>
                          <a:noFill/>
                          <a:ln>
                            <a:noFill/>
                          </a:ln>
                        </pic:spPr>
                      </pic:pic>
                    </a:graphicData>
                  </a:graphic>
                </wp:inline>
              </w:drawing>
            </w:r>
            <w:r>
              <w:rPr>
                <w:rFonts w:hint="eastAsia" w:ascii="宋体" w:hAnsi="宋体" w:cs="宋体"/>
                <w:color w:val="auto"/>
                <w:szCs w:val="21"/>
                <w:highlight w:val="none"/>
                <w:u w:val="none"/>
              </w:rPr>
              <w:t>”普通设备；</w:t>
            </w: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25</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双眼视力检测仪</w:t>
            </w:r>
          </w:p>
        </w:tc>
        <w:tc>
          <w:tcPr>
            <w:tcW w:w="7410" w:type="dxa"/>
            <w:tcBorders>
              <w:bottom w:val="single" w:color="auto" w:sz="4" w:space="0"/>
              <w:tl2br w:val="nil"/>
              <w:tr2bl w:val="nil"/>
            </w:tcBorders>
          </w:tcPr>
          <w:p>
            <w:pPr>
              <w:numPr>
                <w:ilvl w:val="0"/>
                <w:numId w:val="31"/>
              </w:numPr>
              <w:autoSpaceDE w:val="0"/>
              <w:autoSpaceDN w:val="0"/>
              <w:adjustRightInd w:val="0"/>
              <w:jc w:val="left"/>
              <w:rPr>
                <w:rFonts w:ascii="宋体" w:hAnsi="宋体" w:cs="宋体"/>
                <w:color w:val="auto"/>
                <w:szCs w:val="21"/>
                <w:highlight w:val="none"/>
                <w:u w:val="none"/>
              </w:rPr>
            </w:pPr>
            <w:r>
              <w:rPr>
                <w:rFonts w:hint="eastAsia" w:ascii="宋体" w:hAnsi="宋体" w:cs="宋体"/>
                <w:color w:val="auto"/>
                <w:szCs w:val="21"/>
                <w:highlight w:val="none"/>
                <w:u w:val="none"/>
              </w:rPr>
              <w:t>★视力筛选仪功能：视力筛选仪通过测量视网膜的反光能力来度量眼睛的屈光力。它还估测瞳孔大小、瞳孔距离和眼睛凝视偏差。它适用于六个月以上直至成人受测者；</w:t>
            </w:r>
          </w:p>
          <w:p>
            <w:pPr>
              <w:pStyle w:val="11"/>
              <w:numPr>
                <w:ilvl w:val="0"/>
                <w:numId w:val="31"/>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采集数据功能：具有显示受测者双眼屈光、瞳孔大小和斜视的功能；</w:t>
            </w:r>
          </w:p>
          <w:p>
            <w:pPr>
              <w:numPr>
                <w:ilvl w:val="0"/>
                <w:numId w:val="31"/>
              </w:numPr>
              <w:rPr>
                <w:rFonts w:ascii="宋体" w:hAnsi="宋体" w:cs="宋体"/>
                <w:color w:val="auto"/>
                <w:szCs w:val="21"/>
                <w:highlight w:val="none"/>
                <w:u w:val="none"/>
              </w:rPr>
            </w:pPr>
            <w:r>
              <w:rPr>
                <w:rFonts w:hint="eastAsia" w:ascii="宋体" w:hAnsi="宋体" w:cs="宋体"/>
                <w:color w:val="auto"/>
                <w:szCs w:val="21"/>
                <w:highlight w:val="none"/>
                <w:u w:val="none"/>
              </w:rPr>
              <w:t>屏保功能：视力筛查仪上无活动，60 秒钟后，屏幕将会变暗；5 分钟后，屏幕会自动变黑以节省电池电量。轻敲屏幕或按电源按钮可以“唤醒” 视力筛查仪。</w:t>
            </w:r>
          </w:p>
          <w:p>
            <w:pPr>
              <w:pStyle w:val="11"/>
              <w:numPr>
                <w:ilvl w:val="0"/>
                <w:numId w:val="31"/>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等效球径度：</w:t>
            </w:r>
          </w:p>
          <w:p>
            <w:pPr>
              <w:pStyle w:val="11"/>
              <w:ind w:left="400"/>
              <w:rPr>
                <w:rFonts w:ascii="宋体" w:hAnsi="宋体" w:cs="宋体"/>
                <w:color w:val="auto"/>
                <w:sz w:val="21"/>
                <w:szCs w:val="21"/>
                <w:highlight w:val="none"/>
                <w:u w:val="none"/>
              </w:rPr>
            </w:pPr>
            <w:r>
              <w:rPr>
                <w:rFonts w:hint="eastAsia" w:ascii="宋体" w:hAnsi="宋体" w:cs="宋体"/>
                <w:color w:val="auto"/>
                <w:sz w:val="21"/>
                <w:szCs w:val="21"/>
                <w:highlight w:val="none"/>
                <w:u w:val="none"/>
              </w:rPr>
              <w:t>（1）范围： -7.50D 至 +7.50D，增量为 0.25D；</w:t>
            </w:r>
          </w:p>
          <w:p>
            <w:pPr>
              <w:pStyle w:val="11"/>
              <w:ind w:left="400"/>
              <w:rPr>
                <w:rFonts w:hint="eastAsia" w:ascii="宋体" w:hAnsi="宋体" w:cs="宋体"/>
                <w:color w:val="auto"/>
                <w:sz w:val="21"/>
                <w:szCs w:val="21"/>
                <w:highlight w:val="none"/>
                <w:u w:val="none"/>
              </w:rPr>
            </w:pPr>
            <w:r>
              <w:rPr>
                <w:rFonts w:hint="eastAsia" w:ascii="宋体" w:hAnsi="宋体" w:cs="宋体"/>
                <w:color w:val="auto"/>
                <w:sz w:val="21"/>
                <w:szCs w:val="21"/>
                <w:highlight w:val="none"/>
                <w:u w:val="none"/>
              </w:rPr>
              <w:t>（2）准确度：-3.50D 至 3.50D， ± 0.50D，</w:t>
            </w:r>
          </w:p>
          <w:p>
            <w:pPr>
              <w:pStyle w:val="11"/>
              <w:ind w:left="400" w:firstLine="1260" w:firstLineChars="600"/>
              <w:rPr>
                <w:rFonts w:hint="eastAsia" w:ascii="宋体" w:hAnsi="宋体" w:cs="宋体"/>
                <w:color w:val="auto"/>
                <w:sz w:val="21"/>
                <w:szCs w:val="21"/>
                <w:highlight w:val="none"/>
                <w:u w:val="none"/>
              </w:rPr>
            </w:pPr>
            <w:r>
              <w:rPr>
                <w:rFonts w:hint="eastAsia" w:ascii="宋体" w:hAnsi="宋体" w:cs="宋体"/>
                <w:color w:val="auto"/>
                <w:sz w:val="21"/>
                <w:szCs w:val="21"/>
                <w:highlight w:val="none"/>
                <w:u w:val="none"/>
              </w:rPr>
              <w:t>-7.50D 至 &lt; -3.50D， ± 1.00D，</w:t>
            </w:r>
          </w:p>
          <w:p>
            <w:pPr>
              <w:pStyle w:val="11"/>
              <w:ind w:left="400" w:firstLine="1260" w:firstLineChars="600"/>
              <w:rPr>
                <w:rFonts w:ascii="宋体" w:hAnsi="宋体" w:cs="宋体"/>
                <w:color w:val="auto"/>
                <w:sz w:val="21"/>
                <w:szCs w:val="21"/>
                <w:highlight w:val="none"/>
                <w:u w:val="none"/>
              </w:rPr>
            </w:pPr>
            <w:r>
              <w:rPr>
                <w:rFonts w:hint="eastAsia" w:ascii="宋体" w:hAnsi="宋体" w:cs="宋体"/>
                <w:color w:val="auto"/>
                <w:sz w:val="21"/>
                <w:szCs w:val="21"/>
                <w:highlight w:val="none"/>
                <w:u w:val="none"/>
              </w:rPr>
              <w:t>&gt; 3.50D 至 7.50D， ± 1.00D；</w:t>
            </w:r>
          </w:p>
          <w:p>
            <w:pPr>
              <w:numPr>
                <w:ilvl w:val="0"/>
                <w:numId w:val="31"/>
              </w:numPr>
              <w:rPr>
                <w:rFonts w:ascii="宋体" w:hAnsi="宋体" w:cs="宋体"/>
                <w:color w:val="auto"/>
                <w:szCs w:val="21"/>
                <w:highlight w:val="none"/>
                <w:u w:val="none"/>
              </w:rPr>
            </w:pPr>
            <w:r>
              <w:rPr>
                <w:rFonts w:hint="eastAsia" w:ascii="宋体" w:hAnsi="宋体" w:cs="宋体"/>
                <w:color w:val="auto"/>
                <w:szCs w:val="21"/>
                <w:highlight w:val="none"/>
                <w:u w:val="none"/>
              </w:rPr>
              <w:t>柱镜度：</w:t>
            </w:r>
          </w:p>
          <w:p>
            <w:pPr>
              <w:ind w:left="400"/>
              <w:rPr>
                <w:rFonts w:ascii="宋体" w:hAnsi="宋体" w:cs="宋体"/>
                <w:color w:val="auto"/>
                <w:szCs w:val="21"/>
                <w:highlight w:val="none"/>
                <w:u w:val="none"/>
              </w:rPr>
            </w:pPr>
            <w:r>
              <w:rPr>
                <w:rFonts w:hint="eastAsia" w:ascii="宋体" w:hAnsi="宋体" w:cs="宋体"/>
                <w:color w:val="auto"/>
                <w:szCs w:val="21"/>
                <w:highlight w:val="none"/>
                <w:u w:val="none"/>
              </w:rPr>
              <w:t>（1）范围： 0.00D 至 +3.00D，增量为 0.25D；</w:t>
            </w:r>
          </w:p>
          <w:p>
            <w:pPr>
              <w:ind w:left="400"/>
              <w:rPr>
                <w:rFonts w:hint="eastAsia" w:ascii="宋体" w:hAnsi="宋体" w:cs="宋体"/>
                <w:color w:val="auto"/>
                <w:szCs w:val="21"/>
                <w:highlight w:val="none"/>
                <w:u w:val="none"/>
              </w:rPr>
            </w:pPr>
            <w:r>
              <w:rPr>
                <w:rFonts w:hint="eastAsia" w:ascii="宋体" w:hAnsi="宋体" w:cs="宋体"/>
                <w:color w:val="auto"/>
                <w:szCs w:val="21"/>
                <w:highlight w:val="none"/>
                <w:u w:val="none"/>
              </w:rPr>
              <w:t>（2）准确度：0.00D 至 1.50D， ± 0.50D，</w:t>
            </w:r>
          </w:p>
          <w:p>
            <w:pPr>
              <w:ind w:left="400" w:firstLine="1260" w:firstLineChars="600"/>
              <w:rPr>
                <w:rFonts w:ascii="宋体" w:hAnsi="宋体" w:cs="宋体"/>
                <w:color w:val="auto"/>
                <w:szCs w:val="21"/>
                <w:highlight w:val="none"/>
                <w:u w:val="none"/>
              </w:rPr>
            </w:pPr>
            <w:r>
              <w:rPr>
                <w:rFonts w:hint="eastAsia" w:ascii="宋体" w:hAnsi="宋体" w:cs="宋体"/>
                <w:color w:val="auto"/>
                <w:szCs w:val="21"/>
                <w:highlight w:val="none"/>
                <w:u w:val="none"/>
              </w:rPr>
              <w:t>&gt; 1.50D 至 3.00D， ± 1.00D；</w:t>
            </w:r>
          </w:p>
          <w:p>
            <w:pPr>
              <w:pStyle w:val="11"/>
              <w:numPr>
                <w:ilvl w:val="0"/>
                <w:numId w:val="31"/>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柱轴：</w:t>
            </w:r>
          </w:p>
          <w:p>
            <w:pPr>
              <w:pStyle w:val="11"/>
              <w:ind w:left="400"/>
              <w:rPr>
                <w:rFonts w:ascii="宋体" w:hAnsi="宋体" w:cs="宋体"/>
                <w:color w:val="auto"/>
                <w:sz w:val="21"/>
                <w:szCs w:val="21"/>
                <w:highlight w:val="none"/>
                <w:u w:val="none"/>
              </w:rPr>
            </w:pPr>
            <w:r>
              <w:rPr>
                <w:rFonts w:hint="eastAsia" w:ascii="宋体" w:hAnsi="宋体" w:cs="宋体"/>
                <w:color w:val="auto"/>
                <w:sz w:val="21"/>
                <w:szCs w:val="21"/>
                <w:highlight w:val="none"/>
                <w:u w:val="none"/>
              </w:rPr>
              <w:t>（1）范围： 1 至 180 度，增量为 1 度；</w:t>
            </w:r>
          </w:p>
          <w:p>
            <w:pPr>
              <w:pStyle w:val="11"/>
              <w:ind w:left="400"/>
              <w:rPr>
                <w:rFonts w:ascii="宋体" w:hAnsi="宋体" w:cs="宋体"/>
                <w:color w:val="auto"/>
                <w:sz w:val="21"/>
                <w:szCs w:val="21"/>
                <w:highlight w:val="none"/>
                <w:u w:val="none"/>
              </w:rPr>
            </w:pPr>
            <w:r>
              <w:rPr>
                <w:rFonts w:hint="eastAsia" w:ascii="宋体" w:hAnsi="宋体" w:cs="宋体"/>
                <w:color w:val="auto"/>
                <w:sz w:val="21"/>
                <w:szCs w:val="21"/>
                <w:highlight w:val="none"/>
                <w:u w:val="none"/>
              </w:rPr>
              <w:t>（2）准确度：± 5 度（对于柱镜值 &gt; 0.5D）；</w:t>
            </w:r>
          </w:p>
          <w:p>
            <w:pPr>
              <w:numPr>
                <w:ilvl w:val="0"/>
                <w:numId w:val="31"/>
              </w:numPr>
              <w:rPr>
                <w:rFonts w:ascii="宋体" w:hAnsi="宋体" w:cs="宋体"/>
                <w:color w:val="auto"/>
                <w:szCs w:val="21"/>
                <w:highlight w:val="none"/>
                <w:u w:val="none"/>
              </w:rPr>
            </w:pPr>
            <w:r>
              <w:rPr>
                <w:rFonts w:hint="eastAsia" w:ascii="宋体" w:hAnsi="宋体" w:cs="宋体"/>
                <w:color w:val="auto"/>
                <w:szCs w:val="21"/>
                <w:highlight w:val="none"/>
                <w:u w:val="none"/>
              </w:rPr>
              <w:t>单眼模式：在单眼模式下，将为您提供用于选择筛查哪只眼睛的选项。当双眼筛查捕捉不到受测者的瞳孔时，应尝试此模式；</w:t>
            </w:r>
          </w:p>
          <w:p>
            <w:pPr>
              <w:pStyle w:val="11"/>
              <w:numPr>
                <w:ilvl w:val="0"/>
                <w:numId w:val="31"/>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矫正：视力筛选仪在制造过程中已进行校准，因此不需要校准；</w:t>
            </w:r>
          </w:p>
          <w:p>
            <w:pPr>
              <w:numPr>
                <w:ilvl w:val="0"/>
                <w:numId w:val="31"/>
              </w:numPr>
              <w:rPr>
                <w:rFonts w:ascii="宋体" w:hAnsi="宋体" w:cs="宋体"/>
                <w:color w:val="auto"/>
                <w:szCs w:val="21"/>
                <w:highlight w:val="none"/>
                <w:u w:val="none"/>
              </w:rPr>
            </w:pPr>
            <w:r>
              <w:rPr>
                <w:rFonts w:hint="eastAsia" w:ascii="宋体" w:hAnsi="宋体" w:cs="宋体"/>
                <w:color w:val="auto"/>
                <w:szCs w:val="21"/>
                <w:highlight w:val="none"/>
                <w:u w:val="none"/>
              </w:rPr>
              <w:t>数据转移：可以导入导出测量数据；</w:t>
            </w:r>
          </w:p>
          <w:p>
            <w:pPr>
              <w:pStyle w:val="11"/>
              <w:numPr>
                <w:ilvl w:val="0"/>
                <w:numId w:val="31"/>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测试时间：测试时间小于3秒以内；</w:t>
            </w:r>
          </w:p>
          <w:p>
            <w:pPr>
              <w:numPr>
                <w:ilvl w:val="0"/>
                <w:numId w:val="31"/>
              </w:numPr>
              <w:rPr>
                <w:rFonts w:ascii="宋体" w:hAnsi="宋体" w:cs="宋体"/>
                <w:color w:val="auto"/>
                <w:szCs w:val="21"/>
                <w:highlight w:val="none"/>
                <w:u w:val="none"/>
              </w:rPr>
            </w:pPr>
            <w:r>
              <w:rPr>
                <w:rFonts w:hint="eastAsia" w:ascii="宋体" w:hAnsi="宋体" w:cs="宋体"/>
                <w:color w:val="auto"/>
                <w:szCs w:val="21"/>
                <w:highlight w:val="none"/>
                <w:u w:val="none"/>
              </w:rPr>
              <w:t>固定三脚架功能：可以将视力筛查仪安装到标准摄影三脚架上。可以使用位于设备底部的 ¼-20 螺纹固定座来连接三脚架；</w:t>
            </w:r>
          </w:p>
          <w:p>
            <w:pPr>
              <w:pStyle w:val="11"/>
              <w:numPr>
                <w:ilvl w:val="0"/>
                <w:numId w:val="31"/>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扬声器功能：具有扬声器功能；</w:t>
            </w:r>
          </w:p>
          <w:p>
            <w:pPr>
              <w:numPr>
                <w:ilvl w:val="0"/>
                <w:numId w:val="31"/>
              </w:numPr>
              <w:rPr>
                <w:rFonts w:ascii="宋体" w:hAnsi="宋体" w:cs="宋体"/>
                <w:color w:val="auto"/>
                <w:szCs w:val="21"/>
                <w:highlight w:val="none"/>
                <w:u w:val="none"/>
              </w:rPr>
            </w:pPr>
            <w:r>
              <w:rPr>
                <w:rFonts w:hint="eastAsia" w:ascii="宋体" w:hAnsi="宋体" w:cs="宋体"/>
                <w:color w:val="auto"/>
                <w:szCs w:val="21"/>
                <w:highlight w:val="none"/>
                <w:u w:val="none"/>
              </w:rPr>
              <w:t>输入信息功能：可以输入ID号、姓名、性别以及出生日期和眼镜处方；</w:t>
            </w:r>
          </w:p>
          <w:p>
            <w:pPr>
              <w:pStyle w:val="11"/>
              <w:numPr>
                <w:ilvl w:val="0"/>
                <w:numId w:val="31"/>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瞳孔大小：4mm-9mm范围内瞳孔大小均可；</w:t>
            </w:r>
          </w:p>
          <w:p>
            <w:pPr>
              <w:numPr>
                <w:ilvl w:val="0"/>
                <w:numId w:val="31"/>
              </w:numPr>
              <w:rPr>
                <w:rFonts w:ascii="宋体" w:hAnsi="宋体" w:cs="宋体"/>
                <w:color w:val="auto"/>
                <w:szCs w:val="21"/>
                <w:highlight w:val="none"/>
                <w:u w:val="none"/>
              </w:rPr>
            </w:pPr>
            <w:r>
              <w:rPr>
                <w:rFonts w:hint="eastAsia" w:ascii="宋体" w:hAnsi="宋体" w:cs="宋体"/>
                <w:color w:val="auto"/>
                <w:szCs w:val="21"/>
                <w:highlight w:val="none"/>
                <w:u w:val="none"/>
              </w:rPr>
              <w:t>★510豁免认证：视力筛选仪为510豁免产品，具有510豁免声明；</w:t>
            </w:r>
          </w:p>
          <w:p>
            <w:pPr>
              <w:pStyle w:val="11"/>
              <w:numPr>
                <w:ilvl w:val="0"/>
                <w:numId w:val="31"/>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低电量提示功能：当电池电量达到极低水平时，将会向用户显示通知，指示用户应插入电源线，否则，设备将会关闭。如果未插入电源线，设备将会因电压过低而自动关闭。</w:t>
            </w:r>
          </w:p>
          <w:p>
            <w:pPr>
              <w:numPr>
                <w:ilvl w:val="0"/>
                <w:numId w:val="31"/>
              </w:numPr>
              <w:rPr>
                <w:rFonts w:ascii="宋体" w:hAnsi="宋体" w:cs="宋体"/>
                <w:color w:val="auto"/>
                <w:szCs w:val="21"/>
                <w:highlight w:val="none"/>
                <w:u w:val="none"/>
              </w:rPr>
            </w:pPr>
            <w:r>
              <w:rPr>
                <w:rFonts w:hint="eastAsia" w:ascii="宋体" w:hAnsi="宋体" w:cs="宋体"/>
                <w:color w:val="auto"/>
                <w:szCs w:val="21"/>
                <w:highlight w:val="none"/>
                <w:u w:val="none"/>
              </w:rPr>
              <w:t>★无线电发射设备型号核准证：为2.4GHZ无线局域网设备，具有无线电发射设备型号核准证；</w:t>
            </w:r>
          </w:p>
          <w:p>
            <w:pPr>
              <w:pStyle w:val="11"/>
              <w:numPr>
                <w:ilvl w:val="0"/>
                <w:numId w:val="31"/>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无线WIFI功能：具有WIFI功能，并且可以选择相应的安全类型：无、WEP 或 WPA；</w:t>
            </w:r>
          </w:p>
          <w:p>
            <w:pPr>
              <w:numPr>
                <w:ilvl w:val="0"/>
                <w:numId w:val="31"/>
              </w:numPr>
              <w:rPr>
                <w:rFonts w:ascii="宋体" w:hAnsi="宋体" w:cs="宋体"/>
                <w:color w:val="auto"/>
                <w:szCs w:val="21"/>
                <w:highlight w:val="none"/>
                <w:u w:val="none"/>
              </w:rPr>
            </w:pPr>
            <w:r>
              <w:rPr>
                <w:rFonts w:hint="eastAsia" w:ascii="宋体" w:hAnsi="宋体" w:cs="宋体"/>
                <w:color w:val="auto"/>
                <w:szCs w:val="21"/>
                <w:highlight w:val="none"/>
                <w:u w:val="none"/>
              </w:rPr>
              <w:t>无线网络接口：IEEE 802.11b/g/n；</w:t>
            </w:r>
          </w:p>
          <w:p>
            <w:pPr>
              <w:pStyle w:val="11"/>
              <w:numPr>
                <w:ilvl w:val="0"/>
                <w:numId w:val="31"/>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频率：802.11b/g：2.402 千兆赫至 2.480 千兆赫；</w:t>
            </w:r>
          </w:p>
          <w:p>
            <w:pPr>
              <w:numPr>
                <w:ilvl w:val="0"/>
                <w:numId w:val="31"/>
              </w:numPr>
              <w:rPr>
                <w:rFonts w:ascii="宋体" w:hAnsi="宋体" w:cs="宋体"/>
                <w:color w:val="auto"/>
                <w:szCs w:val="21"/>
                <w:highlight w:val="none"/>
                <w:u w:val="none"/>
              </w:rPr>
            </w:pPr>
            <w:r>
              <w:rPr>
                <w:rFonts w:hint="eastAsia" w:ascii="宋体" w:hAnsi="宋体" w:cs="宋体"/>
                <w:color w:val="auto"/>
                <w:szCs w:val="21"/>
                <w:highlight w:val="none"/>
                <w:u w:val="none"/>
              </w:rPr>
              <w:t>★灵敏及特异性声明：国内外关于敏感性不低于92.</w:t>
            </w:r>
            <w:r>
              <w:rPr>
                <w:rFonts w:hint="eastAsia" w:ascii="宋体" w:hAnsi="宋体" w:cs="宋体"/>
                <w:color w:val="auto"/>
                <w:szCs w:val="21"/>
                <w:highlight w:val="none"/>
                <w:u w:val="none"/>
                <w:lang w:eastAsia="zh-CN"/>
              </w:rPr>
              <w:t>10%</w:t>
            </w:r>
            <w:r>
              <w:rPr>
                <w:rFonts w:hint="eastAsia" w:ascii="宋体" w:hAnsi="宋体" w:cs="宋体"/>
                <w:color w:val="auto"/>
                <w:szCs w:val="21"/>
                <w:highlight w:val="none"/>
                <w:u w:val="none"/>
              </w:rPr>
              <w:t>,特异性不低于90.6的文献证明；</w:t>
            </w:r>
          </w:p>
          <w:p>
            <w:pPr>
              <w:pStyle w:val="11"/>
              <w:numPr>
                <w:ilvl w:val="0"/>
                <w:numId w:val="31"/>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打印机配置选择：视力筛查仪能够连接并打印到大多数具有网络功能的 Hewlett-Packard (HP) 打印机。视力筛查仪还包含一些可用于非 HP 打印机的通用 PCL 驱动程序以及支持如Brother QL-720NW标签打印机的自定义驱动程序。</w:t>
            </w:r>
          </w:p>
          <w:p>
            <w:pPr>
              <w:numPr>
                <w:ilvl w:val="0"/>
                <w:numId w:val="31"/>
              </w:numPr>
              <w:rPr>
                <w:rFonts w:ascii="宋体" w:hAnsi="宋体" w:cs="宋体"/>
                <w:color w:val="auto"/>
                <w:szCs w:val="21"/>
                <w:highlight w:val="none"/>
                <w:u w:val="none"/>
              </w:rPr>
            </w:pPr>
            <w:r>
              <w:rPr>
                <w:rFonts w:hint="eastAsia" w:ascii="宋体" w:hAnsi="宋体" w:cs="宋体"/>
                <w:color w:val="auto"/>
                <w:szCs w:val="21"/>
                <w:highlight w:val="none"/>
                <w:u w:val="none"/>
              </w:rPr>
              <w:t>★自定义横幅功能：采用激光打印机，提供了向可打印报告的底部添加自定义横幅的功能；</w:t>
            </w:r>
          </w:p>
          <w:p>
            <w:pPr>
              <w:pStyle w:val="11"/>
              <w:numPr>
                <w:ilvl w:val="0"/>
                <w:numId w:val="31"/>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更改视力筛选仪正常范围标准：导入并正在使用自定义标准时，屏幕底部还将有一个恢复按钮。使用此按钮后，会提示用户确认是否要恢复到设备随附的默认标准。确认后，会从视力筛查仪中删除自定义标准，并替换为默认标准。</w:t>
            </w:r>
          </w:p>
          <w:p>
            <w:pPr>
              <w:numPr>
                <w:ilvl w:val="0"/>
                <w:numId w:val="31"/>
              </w:numPr>
              <w:rPr>
                <w:rFonts w:ascii="宋体" w:hAnsi="宋体" w:cs="宋体"/>
                <w:color w:val="auto"/>
                <w:szCs w:val="21"/>
                <w:highlight w:val="none"/>
                <w:u w:val="none"/>
              </w:rPr>
            </w:pPr>
            <w:r>
              <w:rPr>
                <w:rFonts w:hint="eastAsia" w:ascii="宋体" w:hAnsi="宋体" w:cs="宋体"/>
                <w:color w:val="auto"/>
                <w:szCs w:val="21"/>
                <w:highlight w:val="none"/>
                <w:u w:val="none"/>
              </w:rPr>
              <w:t>显示屏：大于4.8英寸彩色触摸屏；</w:t>
            </w:r>
          </w:p>
          <w:p>
            <w:pPr>
              <w:pStyle w:val="11"/>
              <w:numPr>
                <w:ilvl w:val="0"/>
                <w:numId w:val="31"/>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消毒保养：醮有 70% 异丙醇的湿布轻轻地擦拭视力筛查仪，醮有 10% 漂白剂和水溶液的湿布轻轻擦拭视力筛查仪；</w:t>
            </w:r>
          </w:p>
          <w:p>
            <w:pPr>
              <w:numPr>
                <w:ilvl w:val="0"/>
                <w:numId w:val="31"/>
              </w:numPr>
              <w:rPr>
                <w:rFonts w:ascii="宋体" w:hAnsi="宋体" w:cs="宋体"/>
                <w:color w:val="auto"/>
                <w:szCs w:val="21"/>
                <w:highlight w:val="none"/>
                <w:u w:val="none"/>
              </w:rPr>
            </w:pPr>
            <w:r>
              <w:rPr>
                <w:rFonts w:hint="eastAsia" w:ascii="宋体" w:hAnsi="宋体" w:cs="宋体"/>
                <w:color w:val="auto"/>
                <w:szCs w:val="21"/>
                <w:highlight w:val="none"/>
                <w:u w:val="none"/>
              </w:rPr>
              <w:t>工作温度：工作温度 (°C)：+10 至 +40；</w:t>
            </w:r>
          </w:p>
          <w:p>
            <w:pPr>
              <w:pStyle w:val="11"/>
              <w:numPr>
                <w:ilvl w:val="0"/>
                <w:numId w:val="31"/>
              </w:numPr>
              <w:rPr>
                <w:rFonts w:ascii="宋体" w:hAnsi="宋体" w:cs="宋体"/>
                <w:color w:val="auto"/>
                <w:sz w:val="21"/>
                <w:szCs w:val="21"/>
                <w:highlight w:val="none"/>
                <w:u w:val="none"/>
              </w:rPr>
            </w:pPr>
            <w:r>
              <w:rPr>
                <w:rFonts w:hint="eastAsia" w:ascii="宋体" w:hAnsi="宋体" w:cs="宋体"/>
                <w:color w:val="auto"/>
                <w:sz w:val="21"/>
                <w:szCs w:val="21"/>
                <w:highlight w:val="none"/>
                <w:u w:val="none"/>
              </w:rPr>
              <w:t>工作湿度：相对湿度 30% 至 95%；</w:t>
            </w:r>
          </w:p>
          <w:p>
            <w:pPr>
              <w:numPr>
                <w:ilvl w:val="0"/>
                <w:numId w:val="31"/>
              </w:numPr>
              <w:rPr>
                <w:rFonts w:ascii="宋体" w:hAnsi="宋体" w:cs="宋体"/>
                <w:color w:val="auto"/>
                <w:szCs w:val="21"/>
                <w:highlight w:val="none"/>
                <w:u w:val="none"/>
              </w:rPr>
            </w:pPr>
            <w:r>
              <w:rPr>
                <w:rFonts w:hint="eastAsia" w:ascii="宋体" w:hAnsi="宋体" w:cs="宋体"/>
                <w:color w:val="auto"/>
                <w:szCs w:val="21"/>
                <w:highlight w:val="none"/>
                <w:u w:val="none"/>
              </w:rPr>
              <w:t>电磁环境要求：视力筛查仪适合在下面指定的电磁环境中使用，CISPR 11，电压波动/ 闪光辐射 IEC 61000-3-3，谐波辐射 IEC 61000-3-2；</w:t>
            </w: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26</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电动子宫切除器</w:t>
            </w:r>
          </w:p>
        </w:tc>
        <w:tc>
          <w:tcPr>
            <w:tcW w:w="7410" w:type="dxa"/>
            <w:tcBorders>
              <w:bottom w:val="single" w:color="auto" w:sz="4" w:space="0"/>
              <w:tl2br w:val="nil"/>
              <w:tr2bl w:val="nil"/>
            </w:tcBorders>
          </w:tcPr>
          <w:p>
            <w:pPr>
              <w:numPr>
                <w:ilvl w:val="0"/>
                <w:numId w:val="32"/>
              </w:numPr>
              <w:adjustRightInd w:val="0"/>
              <w:snapToGrid w:val="0"/>
              <w:rPr>
                <w:rFonts w:ascii="宋体" w:hAnsi="宋体" w:cs="宋体"/>
                <w:color w:val="auto"/>
                <w:szCs w:val="21"/>
                <w:highlight w:val="none"/>
                <w:u w:val="none"/>
              </w:rPr>
            </w:pPr>
            <w:r>
              <w:rPr>
                <w:rFonts w:hint="eastAsia" w:ascii="宋体" w:hAnsi="宋体" w:cs="宋体"/>
                <w:color w:val="auto"/>
                <w:szCs w:val="21"/>
                <w:highlight w:val="none"/>
                <w:u w:val="none"/>
              </w:rPr>
              <w:t>产品品种规格和功能齐全；器械头部粗糙度Ra≤0.4μm，杆部Ra≤0.8μm，其余部位Ra≤1.6μm；</w:t>
            </w:r>
          </w:p>
          <w:p>
            <w:pPr>
              <w:numPr>
                <w:ilvl w:val="0"/>
                <w:numId w:val="32"/>
              </w:numPr>
              <w:adjustRightInd w:val="0"/>
              <w:snapToGrid w:val="0"/>
              <w:rPr>
                <w:rFonts w:ascii="宋体" w:hAnsi="宋体" w:cs="宋体"/>
                <w:color w:val="auto"/>
                <w:szCs w:val="21"/>
                <w:highlight w:val="none"/>
                <w:u w:val="none"/>
              </w:rPr>
            </w:pPr>
            <w:r>
              <w:rPr>
                <w:rFonts w:hint="eastAsia" w:ascii="宋体" w:hAnsi="宋体" w:cs="宋体"/>
                <w:color w:val="auto"/>
                <w:szCs w:val="21"/>
                <w:highlight w:val="none"/>
                <w:u w:val="none"/>
              </w:rPr>
              <w:t>★电流制式：双路热备份。</w:t>
            </w:r>
          </w:p>
          <w:p>
            <w:pPr>
              <w:numPr>
                <w:ilvl w:val="0"/>
                <w:numId w:val="32"/>
              </w:numPr>
              <w:adjustRightInd w:val="0"/>
              <w:snapToGrid w:val="0"/>
              <w:rPr>
                <w:rFonts w:ascii="宋体" w:hAnsi="宋体" w:cs="宋体"/>
                <w:color w:val="auto"/>
                <w:szCs w:val="21"/>
                <w:highlight w:val="none"/>
                <w:u w:val="none"/>
              </w:rPr>
            </w:pPr>
            <w:r>
              <w:rPr>
                <w:rFonts w:hint="eastAsia" w:ascii="宋体" w:hAnsi="宋体" w:cs="宋体"/>
                <w:color w:val="auto"/>
                <w:szCs w:val="21"/>
                <w:highlight w:val="none"/>
                <w:u w:val="none"/>
              </w:rPr>
              <w:t>★采用可拆卸式电机，电机内芯为进口产品。除手持电机内芯，其他部件均可采用高温高压消毒；</w:t>
            </w:r>
          </w:p>
          <w:p>
            <w:pPr>
              <w:numPr>
                <w:ilvl w:val="0"/>
                <w:numId w:val="32"/>
              </w:numPr>
              <w:adjustRightInd w:val="0"/>
              <w:snapToGrid w:val="0"/>
              <w:rPr>
                <w:rFonts w:ascii="宋体" w:hAnsi="宋体" w:cs="宋体"/>
                <w:color w:val="auto"/>
                <w:szCs w:val="21"/>
                <w:highlight w:val="none"/>
                <w:u w:val="none"/>
              </w:rPr>
            </w:pPr>
            <w:r>
              <w:rPr>
                <w:rFonts w:hint="eastAsia" w:ascii="宋体" w:hAnsi="宋体" w:cs="宋体"/>
                <w:color w:val="auto"/>
                <w:szCs w:val="21"/>
                <w:highlight w:val="none"/>
                <w:u w:val="none"/>
              </w:rPr>
              <w:t>可调节手持电机转速，方式为无级调速，调速范围：80～220rpm，允差±10％；</w:t>
            </w:r>
          </w:p>
          <w:p>
            <w:pPr>
              <w:numPr>
                <w:ilvl w:val="0"/>
                <w:numId w:val="32"/>
              </w:numPr>
              <w:adjustRightInd w:val="0"/>
              <w:snapToGrid w:val="0"/>
              <w:rPr>
                <w:rFonts w:ascii="宋体" w:hAnsi="宋体" w:cs="宋体"/>
                <w:color w:val="auto"/>
                <w:szCs w:val="21"/>
                <w:highlight w:val="none"/>
                <w:u w:val="none"/>
              </w:rPr>
            </w:pPr>
            <w:r>
              <w:rPr>
                <w:rFonts w:hint="eastAsia" w:ascii="宋体" w:hAnsi="宋体" w:cs="宋体"/>
                <w:color w:val="auto"/>
                <w:szCs w:val="21"/>
                <w:highlight w:val="none"/>
                <w:u w:val="none"/>
              </w:rPr>
              <w:t>手持电机（电动马达）：</w:t>
            </w:r>
          </w:p>
          <w:p>
            <w:pPr>
              <w:adjustRightInd w:val="0"/>
              <w:snapToGrid w:val="0"/>
              <w:ind w:left="400"/>
              <w:rPr>
                <w:rFonts w:ascii="宋体" w:hAnsi="宋体" w:cs="宋体"/>
                <w:color w:val="auto"/>
                <w:szCs w:val="21"/>
                <w:highlight w:val="none"/>
                <w:u w:val="none"/>
              </w:rPr>
            </w:pPr>
            <w:r>
              <w:rPr>
                <w:rFonts w:hint="eastAsia" w:ascii="宋体" w:hAnsi="宋体" w:cs="宋体"/>
                <w:color w:val="auto"/>
                <w:szCs w:val="21"/>
                <w:highlight w:val="none"/>
                <w:u w:val="none"/>
              </w:rPr>
              <w:t>（1）正常工作时，温升不超过25℃；</w:t>
            </w:r>
          </w:p>
          <w:p>
            <w:pPr>
              <w:adjustRightInd w:val="0"/>
              <w:snapToGrid w:val="0"/>
              <w:ind w:left="400"/>
              <w:rPr>
                <w:rFonts w:ascii="宋体" w:hAnsi="宋体" w:cs="宋体"/>
                <w:color w:val="auto"/>
                <w:szCs w:val="21"/>
                <w:highlight w:val="none"/>
                <w:u w:val="none"/>
              </w:rPr>
            </w:pPr>
            <w:r>
              <w:rPr>
                <w:rFonts w:hint="eastAsia" w:ascii="宋体" w:hAnsi="宋体" w:cs="宋体"/>
                <w:color w:val="auto"/>
                <w:szCs w:val="21"/>
                <w:highlight w:val="none"/>
                <w:u w:val="none"/>
              </w:rPr>
              <w:t>（2）最大输出转矩不小于15N.cm，转速下降不大于20%；</w:t>
            </w:r>
          </w:p>
          <w:p>
            <w:pPr>
              <w:adjustRightInd w:val="0"/>
              <w:snapToGrid w:val="0"/>
              <w:ind w:left="400"/>
              <w:rPr>
                <w:rFonts w:ascii="宋体" w:hAnsi="宋体" w:cs="宋体"/>
                <w:color w:val="auto"/>
                <w:szCs w:val="21"/>
                <w:highlight w:val="none"/>
                <w:u w:val="none"/>
              </w:rPr>
            </w:pPr>
            <w:r>
              <w:rPr>
                <w:rFonts w:hint="eastAsia" w:ascii="宋体" w:hAnsi="宋体" w:cs="宋体"/>
                <w:color w:val="auto"/>
                <w:szCs w:val="21"/>
                <w:highlight w:val="none"/>
                <w:u w:val="none"/>
              </w:rPr>
              <w:t>（3）对切割刀管的夹持力不小于20N；</w:t>
            </w:r>
          </w:p>
          <w:p>
            <w:pPr>
              <w:adjustRightInd w:val="0"/>
              <w:snapToGrid w:val="0"/>
              <w:ind w:left="400"/>
              <w:rPr>
                <w:rFonts w:ascii="宋体" w:hAnsi="宋体" w:cs="宋体"/>
                <w:color w:val="auto"/>
                <w:szCs w:val="21"/>
                <w:highlight w:val="none"/>
                <w:u w:val="none"/>
              </w:rPr>
            </w:pPr>
            <w:r>
              <w:rPr>
                <w:rFonts w:hint="eastAsia" w:ascii="宋体" w:hAnsi="宋体" w:cs="宋体"/>
                <w:color w:val="auto"/>
                <w:szCs w:val="21"/>
                <w:highlight w:val="none"/>
                <w:u w:val="none"/>
              </w:rPr>
              <w:t>（4）切割器在距刀管头端6mm处，径向跳动量不大于2.0mm；</w:t>
            </w:r>
          </w:p>
          <w:p>
            <w:pPr>
              <w:adjustRightInd w:val="0"/>
              <w:snapToGrid w:val="0"/>
              <w:ind w:left="400"/>
              <w:rPr>
                <w:rFonts w:ascii="宋体" w:hAnsi="宋体" w:cs="宋体"/>
                <w:color w:val="auto"/>
                <w:szCs w:val="21"/>
                <w:highlight w:val="none"/>
                <w:u w:val="none"/>
              </w:rPr>
            </w:pPr>
            <w:r>
              <w:rPr>
                <w:rFonts w:hint="eastAsia" w:ascii="宋体" w:hAnsi="宋体" w:cs="宋体"/>
                <w:color w:val="auto"/>
                <w:szCs w:val="21"/>
                <w:highlight w:val="none"/>
                <w:u w:val="none"/>
              </w:rPr>
              <w:t>（5）★工作时的噪声：≤60 dB（A）；</w:t>
            </w:r>
          </w:p>
          <w:p>
            <w:pPr>
              <w:numPr>
                <w:ilvl w:val="0"/>
                <w:numId w:val="32"/>
              </w:numPr>
              <w:adjustRightInd w:val="0"/>
              <w:snapToGrid w:val="0"/>
              <w:rPr>
                <w:rFonts w:ascii="宋体" w:hAnsi="宋体" w:cs="宋体"/>
                <w:color w:val="auto"/>
                <w:szCs w:val="21"/>
                <w:highlight w:val="none"/>
                <w:u w:val="none"/>
              </w:rPr>
            </w:pPr>
            <w:r>
              <w:rPr>
                <w:rFonts w:hint="eastAsia" w:ascii="宋体" w:hAnsi="宋体" w:cs="宋体"/>
                <w:color w:val="auto"/>
                <w:szCs w:val="21"/>
                <w:highlight w:val="none"/>
                <w:u w:val="none"/>
              </w:rPr>
              <w:t>穿刺套管：</w:t>
            </w:r>
          </w:p>
          <w:p>
            <w:pPr>
              <w:adjustRightInd w:val="0"/>
              <w:snapToGrid w:val="0"/>
              <w:ind w:left="400"/>
              <w:rPr>
                <w:rFonts w:ascii="宋体" w:hAnsi="宋体" w:cs="宋体"/>
                <w:color w:val="auto"/>
                <w:szCs w:val="21"/>
                <w:highlight w:val="none"/>
                <w:u w:val="none"/>
              </w:rPr>
            </w:pPr>
            <w:r>
              <w:rPr>
                <w:rFonts w:hint="eastAsia" w:ascii="宋体" w:hAnsi="宋体" w:cs="宋体"/>
                <w:color w:val="auto"/>
                <w:szCs w:val="21"/>
                <w:highlight w:val="none"/>
                <w:u w:val="none"/>
              </w:rPr>
              <w:t>（1）规格：Φ15、Φ18两种；</w:t>
            </w:r>
          </w:p>
          <w:p>
            <w:pPr>
              <w:adjustRightInd w:val="0"/>
              <w:snapToGrid w:val="0"/>
              <w:ind w:left="400"/>
              <w:rPr>
                <w:rFonts w:ascii="宋体" w:hAnsi="宋体" w:cs="宋体"/>
                <w:color w:val="auto"/>
                <w:szCs w:val="21"/>
                <w:highlight w:val="none"/>
                <w:u w:val="none"/>
              </w:rPr>
            </w:pPr>
            <w:r>
              <w:rPr>
                <w:rFonts w:hint="eastAsia" w:ascii="宋体" w:hAnsi="宋体" w:cs="宋体"/>
                <w:color w:val="auto"/>
                <w:szCs w:val="21"/>
                <w:highlight w:val="none"/>
                <w:u w:val="none"/>
              </w:rPr>
              <w:t>（2）穿刺套管与扩张器、切割刀管配合密封良好；</w:t>
            </w:r>
          </w:p>
          <w:p>
            <w:pPr>
              <w:numPr>
                <w:ilvl w:val="0"/>
                <w:numId w:val="32"/>
              </w:numPr>
              <w:adjustRightInd w:val="0"/>
              <w:snapToGrid w:val="0"/>
              <w:rPr>
                <w:rFonts w:ascii="宋体" w:hAnsi="宋体" w:cs="宋体"/>
                <w:color w:val="auto"/>
                <w:szCs w:val="21"/>
                <w:highlight w:val="none"/>
                <w:u w:val="none"/>
              </w:rPr>
            </w:pPr>
            <w:r>
              <w:rPr>
                <w:rFonts w:hint="eastAsia" w:ascii="宋体" w:hAnsi="宋体" w:cs="宋体"/>
                <w:color w:val="auto"/>
                <w:szCs w:val="21"/>
                <w:highlight w:val="none"/>
                <w:u w:val="none"/>
              </w:rPr>
              <w:t>抓钳：</w:t>
            </w:r>
          </w:p>
          <w:p>
            <w:pPr>
              <w:adjustRightInd w:val="0"/>
              <w:snapToGrid w:val="0"/>
              <w:ind w:left="400"/>
              <w:rPr>
                <w:rFonts w:ascii="宋体" w:hAnsi="宋体" w:cs="宋体"/>
                <w:color w:val="auto"/>
                <w:szCs w:val="21"/>
                <w:highlight w:val="none"/>
                <w:u w:val="none"/>
              </w:rPr>
            </w:pPr>
            <w:r>
              <w:rPr>
                <w:rFonts w:hint="eastAsia" w:ascii="宋体" w:hAnsi="宋体" w:cs="宋体"/>
                <w:color w:val="auto"/>
                <w:szCs w:val="21"/>
                <w:highlight w:val="none"/>
                <w:u w:val="none"/>
              </w:rPr>
              <w:t>（1）规格：Φ5、Φ10两种；</w:t>
            </w:r>
          </w:p>
          <w:p>
            <w:pPr>
              <w:adjustRightInd w:val="0"/>
              <w:snapToGrid w:val="0"/>
              <w:ind w:left="400"/>
              <w:rPr>
                <w:rFonts w:ascii="宋体" w:hAnsi="宋体" w:cs="宋体"/>
                <w:color w:val="auto"/>
                <w:szCs w:val="21"/>
                <w:highlight w:val="none"/>
                <w:u w:val="none"/>
              </w:rPr>
            </w:pPr>
            <w:r>
              <w:rPr>
                <w:rFonts w:hint="eastAsia" w:ascii="宋体" w:hAnsi="宋体" w:cs="宋体"/>
                <w:color w:val="auto"/>
                <w:szCs w:val="21"/>
                <w:highlight w:val="none"/>
                <w:u w:val="none"/>
              </w:rPr>
              <w:t>（2）抓钳头部经热处理，硬度为450HV</w:t>
            </w:r>
            <w:r>
              <w:rPr>
                <w:rFonts w:hint="eastAsia" w:ascii="宋体" w:hAnsi="宋体" w:cs="宋体"/>
                <w:color w:val="auto"/>
                <w:szCs w:val="21"/>
                <w:highlight w:val="none"/>
                <w:u w:val="none"/>
                <w:vertAlign w:val="subscript"/>
              </w:rPr>
              <w:t>0.2</w:t>
            </w:r>
            <w:r>
              <w:rPr>
                <w:rFonts w:hint="eastAsia" w:ascii="宋体" w:hAnsi="宋体" w:cs="宋体"/>
                <w:color w:val="auto"/>
                <w:szCs w:val="21"/>
                <w:highlight w:val="none"/>
                <w:u w:val="none"/>
              </w:rPr>
              <w:t>～490HV</w:t>
            </w:r>
            <w:r>
              <w:rPr>
                <w:rFonts w:hint="eastAsia" w:ascii="宋体" w:hAnsi="宋体" w:cs="宋体"/>
                <w:color w:val="auto"/>
                <w:szCs w:val="21"/>
                <w:highlight w:val="none"/>
                <w:u w:val="none"/>
                <w:vertAlign w:val="subscript"/>
              </w:rPr>
              <w:t xml:space="preserve">0.2 </w:t>
            </w:r>
            <w:r>
              <w:rPr>
                <w:rFonts w:hint="eastAsia" w:ascii="宋体" w:hAnsi="宋体" w:cs="宋体"/>
                <w:color w:val="auto"/>
                <w:szCs w:val="21"/>
                <w:highlight w:val="none"/>
                <w:u w:val="none"/>
              </w:rPr>
              <w:t>；</w:t>
            </w:r>
          </w:p>
          <w:p>
            <w:pPr>
              <w:adjustRightInd w:val="0"/>
              <w:snapToGrid w:val="0"/>
              <w:ind w:left="400"/>
              <w:rPr>
                <w:rFonts w:ascii="宋体" w:hAnsi="宋体" w:cs="宋体"/>
                <w:color w:val="auto"/>
                <w:szCs w:val="21"/>
                <w:highlight w:val="none"/>
                <w:u w:val="none"/>
              </w:rPr>
            </w:pPr>
            <w:r>
              <w:rPr>
                <w:rFonts w:hint="eastAsia" w:ascii="宋体" w:hAnsi="宋体" w:cs="宋体"/>
                <w:color w:val="auto"/>
                <w:szCs w:val="21"/>
                <w:highlight w:val="none"/>
                <w:u w:val="none"/>
              </w:rPr>
              <w:t>（3）抓钳具有良好夹持力，钳头部夹持力不小于15N；</w:t>
            </w:r>
          </w:p>
          <w:p>
            <w:pPr>
              <w:numPr>
                <w:ilvl w:val="0"/>
                <w:numId w:val="32"/>
              </w:numPr>
              <w:adjustRightInd w:val="0"/>
              <w:snapToGrid w:val="0"/>
              <w:rPr>
                <w:rFonts w:ascii="宋体" w:hAnsi="宋体" w:cs="宋体"/>
                <w:color w:val="auto"/>
                <w:szCs w:val="21"/>
                <w:highlight w:val="none"/>
                <w:u w:val="none"/>
              </w:rPr>
            </w:pPr>
            <w:r>
              <w:rPr>
                <w:rFonts w:hint="eastAsia" w:ascii="宋体" w:hAnsi="宋体" w:cs="宋体"/>
                <w:color w:val="auto"/>
                <w:szCs w:val="21"/>
                <w:highlight w:val="none"/>
                <w:u w:val="none"/>
              </w:rPr>
              <w:t>宫颈钳：</w:t>
            </w:r>
          </w:p>
          <w:p>
            <w:pPr>
              <w:adjustRightInd w:val="0"/>
              <w:snapToGrid w:val="0"/>
              <w:ind w:left="400"/>
              <w:rPr>
                <w:rFonts w:ascii="宋体" w:hAnsi="宋体" w:cs="宋体"/>
                <w:color w:val="auto"/>
                <w:szCs w:val="21"/>
                <w:highlight w:val="none"/>
                <w:u w:val="none"/>
              </w:rPr>
            </w:pPr>
            <w:r>
              <w:rPr>
                <w:rFonts w:hint="eastAsia" w:ascii="宋体" w:hAnsi="宋体" w:cs="宋体"/>
                <w:color w:val="auto"/>
                <w:szCs w:val="21"/>
                <w:highlight w:val="none"/>
                <w:u w:val="none"/>
              </w:rPr>
              <w:t>（1）头部经热处理，硬度为510HV</w:t>
            </w:r>
            <w:r>
              <w:rPr>
                <w:rFonts w:hint="eastAsia" w:ascii="宋体" w:hAnsi="宋体" w:cs="宋体"/>
                <w:color w:val="auto"/>
                <w:szCs w:val="21"/>
                <w:highlight w:val="none"/>
                <w:u w:val="none"/>
                <w:vertAlign w:val="subscript"/>
              </w:rPr>
              <w:t>0.2</w:t>
            </w:r>
            <w:r>
              <w:rPr>
                <w:rFonts w:hint="eastAsia" w:ascii="宋体" w:hAnsi="宋体" w:cs="宋体"/>
                <w:color w:val="auto"/>
                <w:szCs w:val="21"/>
                <w:highlight w:val="none"/>
                <w:u w:val="none"/>
              </w:rPr>
              <w:t>～570HV</w:t>
            </w:r>
            <w:r>
              <w:rPr>
                <w:rFonts w:hint="eastAsia" w:ascii="宋体" w:hAnsi="宋体" w:cs="宋体"/>
                <w:color w:val="auto"/>
                <w:szCs w:val="21"/>
                <w:highlight w:val="none"/>
                <w:u w:val="none"/>
                <w:vertAlign w:val="subscript"/>
              </w:rPr>
              <w:t xml:space="preserve">0.2 </w:t>
            </w:r>
            <w:r>
              <w:rPr>
                <w:rFonts w:hint="eastAsia" w:ascii="宋体" w:hAnsi="宋体" w:cs="宋体"/>
                <w:color w:val="auto"/>
                <w:szCs w:val="21"/>
                <w:highlight w:val="none"/>
                <w:u w:val="none"/>
              </w:rPr>
              <w:t>；</w:t>
            </w:r>
          </w:p>
          <w:p>
            <w:pPr>
              <w:adjustRightInd w:val="0"/>
              <w:snapToGrid w:val="0"/>
              <w:ind w:left="400"/>
              <w:rPr>
                <w:rFonts w:ascii="宋体" w:hAnsi="宋体" w:cs="宋体"/>
                <w:color w:val="auto"/>
                <w:szCs w:val="21"/>
                <w:highlight w:val="none"/>
                <w:u w:val="none"/>
              </w:rPr>
            </w:pPr>
            <w:r>
              <w:rPr>
                <w:rFonts w:hint="eastAsia" w:ascii="宋体" w:hAnsi="宋体" w:cs="宋体"/>
                <w:color w:val="auto"/>
                <w:szCs w:val="21"/>
                <w:highlight w:val="none"/>
                <w:u w:val="none"/>
              </w:rPr>
              <w:t>（2）宫颈钳开闭灵活，锁卡牢固；</w:t>
            </w:r>
          </w:p>
          <w:p>
            <w:pPr>
              <w:numPr>
                <w:ilvl w:val="0"/>
                <w:numId w:val="32"/>
              </w:numPr>
              <w:adjustRightInd w:val="0"/>
              <w:snapToGrid w:val="0"/>
              <w:rPr>
                <w:rFonts w:ascii="宋体" w:hAnsi="宋体" w:cs="宋体"/>
                <w:color w:val="auto"/>
                <w:szCs w:val="21"/>
                <w:highlight w:val="none"/>
                <w:u w:val="none"/>
              </w:rPr>
            </w:pPr>
            <w:r>
              <w:rPr>
                <w:rFonts w:hint="eastAsia" w:ascii="宋体" w:hAnsi="宋体" w:cs="宋体"/>
                <w:color w:val="auto"/>
                <w:szCs w:val="21"/>
                <w:highlight w:val="none"/>
                <w:u w:val="none"/>
              </w:rPr>
              <w:t>切割刀管：</w:t>
            </w:r>
          </w:p>
          <w:p>
            <w:pPr>
              <w:adjustRightInd w:val="0"/>
              <w:snapToGrid w:val="0"/>
              <w:ind w:left="400"/>
              <w:rPr>
                <w:rFonts w:ascii="宋体" w:hAnsi="宋体" w:cs="宋体"/>
                <w:color w:val="auto"/>
                <w:szCs w:val="21"/>
                <w:highlight w:val="none"/>
                <w:u w:val="none"/>
              </w:rPr>
            </w:pPr>
            <w:r>
              <w:rPr>
                <w:rFonts w:hint="eastAsia" w:ascii="宋体" w:hAnsi="宋体" w:cs="宋体"/>
                <w:color w:val="auto"/>
                <w:szCs w:val="21"/>
                <w:highlight w:val="none"/>
                <w:u w:val="none"/>
              </w:rPr>
              <w:t>（1）★规格：切割刀管有Φ10、Φ15、Φ18三种规格，其中Φ15、Φ18有阴式和腹式之分，阴式是由患者阴道进入子宫，所以有内芯保护头，以防锋利的刀头损伤组织。</w:t>
            </w:r>
          </w:p>
          <w:p>
            <w:pPr>
              <w:adjustRightInd w:val="0"/>
              <w:snapToGrid w:val="0"/>
              <w:ind w:left="400"/>
              <w:rPr>
                <w:rFonts w:ascii="宋体" w:hAnsi="宋体" w:cs="宋体"/>
                <w:color w:val="auto"/>
                <w:szCs w:val="21"/>
                <w:highlight w:val="none"/>
                <w:u w:val="none"/>
              </w:rPr>
            </w:pPr>
            <w:r>
              <w:rPr>
                <w:rFonts w:hint="eastAsia" w:ascii="宋体" w:hAnsi="宋体" w:cs="宋体"/>
                <w:color w:val="auto"/>
                <w:szCs w:val="21"/>
                <w:highlight w:val="none"/>
                <w:u w:val="none"/>
              </w:rPr>
              <w:t>（2）头部经热处理，硬度为370HV</w:t>
            </w:r>
            <w:r>
              <w:rPr>
                <w:rFonts w:hint="eastAsia" w:ascii="宋体" w:hAnsi="宋体" w:cs="宋体"/>
                <w:color w:val="auto"/>
                <w:szCs w:val="21"/>
                <w:highlight w:val="none"/>
                <w:u w:val="none"/>
                <w:vertAlign w:val="subscript"/>
              </w:rPr>
              <w:t>0.2</w:t>
            </w:r>
            <w:r>
              <w:rPr>
                <w:rFonts w:hint="eastAsia" w:ascii="宋体" w:hAnsi="宋体" w:cs="宋体"/>
                <w:color w:val="auto"/>
                <w:szCs w:val="21"/>
                <w:highlight w:val="none"/>
                <w:u w:val="none"/>
              </w:rPr>
              <w:t>～410HV</w:t>
            </w:r>
            <w:r>
              <w:rPr>
                <w:rFonts w:hint="eastAsia" w:ascii="宋体" w:hAnsi="宋体" w:cs="宋体"/>
                <w:color w:val="auto"/>
                <w:szCs w:val="21"/>
                <w:highlight w:val="none"/>
                <w:u w:val="none"/>
                <w:vertAlign w:val="subscript"/>
              </w:rPr>
              <w:t xml:space="preserve">0.2 </w:t>
            </w:r>
            <w:r>
              <w:rPr>
                <w:rFonts w:hint="eastAsia" w:ascii="宋体" w:hAnsi="宋体" w:cs="宋体"/>
                <w:color w:val="auto"/>
                <w:szCs w:val="21"/>
                <w:highlight w:val="none"/>
                <w:u w:val="none"/>
              </w:rPr>
              <w:t>；头部锋利，具有良好的切割性能，在正常旋转状态下，能顺利切割泡沫、海绵等软性材料；</w:t>
            </w:r>
          </w:p>
          <w:p>
            <w:pPr>
              <w:numPr>
                <w:ilvl w:val="0"/>
                <w:numId w:val="32"/>
              </w:numPr>
              <w:adjustRightInd w:val="0"/>
              <w:snapToGrid w:val="0"/>
              <w:rPr>
                <w:rFonts w:ascii="宋体" w:hAnsi="宋体" w:cs="宋体"/>
                <w:color w:val="auto"/>
                <w:szCs w:val="21"/>
                <w:highlight w:val="none"/>
                <w:u w:val="none"/>
              </w:rPr>
            </w:pPr>
            <w:r>
              <w:rPr>
                <w:rFonts w:hint="eastAsia" w:ascii="宋体" w:hAnsi="宋体" w:cs="宋体"/>
                <w:color w:val="auto"/>
                <w:szCs w:val="21"/>
                <w:highlight w:val="none"/>
                <w:u w:val="none"/>
              </w:rPr>
              <w:t>举宫器：</w:t>
            </w:r>
          </w:p>
          <w:p>
            <w:pPr>
              <w:adjustRightInd w:val="0"/>
              <w:snapToGrid w:val="0"/>
              <w:ind w:left="400"/>
              <w:rPr>
                <w:rFonts w:ascii="宋体" w:hAnsi="宋体" w:cs="宋体"/>
                <w:color w:val="auto"/>
                <w:szCs w:val="21"/>
                <w:highlight w:val="none"/>
                <w:u w:val="none"/>
              </w:rPr>
            </w:pPr>
            <w:r>
              <w:rPr>
                <w:rFonts w:hint="eastAsia" w:ascii="宋体" w:hAnsi="宋体" w:cs="宋体"/>
                <w:color w:val="auto"/>
                <w:szCs w:val="21"/>
                <w:highlight w:val="none"/>
                <w:u w:val="none"/>
              </w:rPr>
              <w:t>（1）规格：400mm；</w:t>
            </w:r>
          </w:p>
          <w:p>
            <w:pPr>
              <w:adjustRightInd w:val="0"/>
              <w:snapToGrid w:val="0"/>
              <w:ind w:left="400"/>
              <w:rPr>
                <w:rFonts w:ascii="宋体" w:hAnsi="宋体" w:cs="宋体"/>
                <w:color w:val="auto"/>
                <w:szCs w:val="21"/>
                <w:highlight w:val="none"/>
                <w:u w:val="none"/>
              </w:rPr>
            </w:pPr>
            <w:r>
              <w:rPr>
                <w:rFonts w:hint="eastAsia" w:ascii="宋体" w:hAnsi="宋体" w:cs="宋体"/>
                <w:color w:val="auto"/>
                <w:szCs w:val="21"/>
                <w:highlight w:val="none"/>
                <w:u w:val="none"/>
              </w:rPr>
              <w:t>（2）弹簧机构灵活可靠，伸缩自如，无卡滞现象；</w:t>
            </w:r>
          </w:p>
          <w:p>
            <w:pPr>
              <w:numPr>
                <w:ilvl w:val="0"/>
                <w:numId w:val="32"/>
              </w:numPr>
              <w:adjustRightInd w:val="0"/>
              <w:snapToGrid w:val="0"/>
              <w:rPr>
                <w:rFonts w:ascii="宋体" w:hAnsi="宋体" w:cs="宋体"/>
                <w:color w:val="auto"/>
                <w:szCs w:val="21"/>
                <w:highlight w:val="none"/>
                <w:u w:val="none"/>
              </w:rPr>
            </w:pPr>
            <w:r>
              <w:rPr>
                <w:rFonts w:hint="eastAsia" w:ascii="宋体" w:hAnsi="宋体" w:cs="宋体"/>
                <w:color w:val="auto"/>
                <w:szCs w:val="21"/>
                <w:highlight w:val="none"/>
                <w:u w:val="none"/>
              </w:rPr>
              <w:t>量棒：规格：5*500mm,表面标明刻度；</w:t>
            </w:r>
          </w:p>
          <w:p>
            <w:pPr>
              <w:numPr>
                <w:ilvl w:val="0"/>
                <w:numId w:val="32"/>
              </w:numPr>
              <w:adjustRightInd w:val="0"/>
              <w:snapToGrid w:val="0"/>
              <w:rPr>
                <w:rFonts w:ascii="宋体" w:hAnsi="宋体" w:cs="宋体"/>
                <w:color w:val="auto"/>
                <w:szCs w:val="21"/>
                <w:highlight w:val="none"/>
                <w:u w:val="none"/>
              </w:rPr>
            </w:pPr>
            <w:r>
              <w:rPr>
                <w:rFonts w:hint="eastAsia" w:ascii="宋体" w:hAnsi="宋体" w:cs="宋体"/>
                <w:color w:val="auto"/>
                <w:szCs w:val="21"/>
                <w:highlight w:val="none"/>
                <w:u w:val="none"/>
              </w:rPr>
              <w:t>肌瘤钻：</w:t>
            </w:r>
          </w:p>
          <w:p>
            <w:pPr>
              <w:adjustRightInd w:val="0"/>
              <w:snapToGrid w:val="0"/>
              <w:ind w:left="400"/>
              <w:rPr>
                <w:rFonts w:ascii="宋体" w:hAnsi="宋体" w:cs="宋体"/>
                <w:color w:val="auto"/>
                <w:szCs w:val="21"/>
                <w:highlight w:val="none"/>
                <w:u w:val="none"/>
              </w:rPr>
            </w:pPr>
            <w:r>
              <w:rPr>
                <w:rFonts w:hint="eastAsia" w:ascii="宋体" w:hAnsi="宋体" w:cs="宋体"/>
                <w:color w:val="auto"/>
                <w:szCs w:val="21"/>
                <w:highlight w:val="none"/>
                <w:u w:val="none"/>
              </w:rPr>
              <w:t>（1）规格：Φ5、Φ10两种；</w:t>
            </w:r>
          </w:p>
          <w:p>
            <w:pPr>
              <w:adjustRightInd w:val="0"/>
              <w:snapToGrid w:val="0"/>
              <w:ind w:left="400"/>
              <w:rPr>
                <w:rFonts w:ascii="宋体" w:hAnsi="宋体" w:cs="宋体"/>
                <w:color w:val="auto"/>
                <w:szCs w:val="21"/>
                <w:highlight w:val="none"/>
                <w:u w:val="none"/>
              </w:rPr>
            </w:pPr>
            <w:r>
              <w:rPr>
                <w:rFonts w:hint="eastAsia" w:ascii="宋体" w:hAnsi="宋体" w:cs="宋体"/>
                <w:color w:val="auto"/>
                <w:szCs w:val="21"/>
                <w:highlight w:val="none"/>
                <w:u w:val="none"/>
              </w:rPr>
              <w:t>（2）钻头锋利，在50N力作用下能顺利穿刺子宫肌瘤；</w:t>
            </w:r>
          </w:p>
          <w:p>
            <w:pPr>
              <w:adjustRightInd w:val="0"/>
              <w:snapToGrid w:val="0"/>
              <w:ind w:left="400"/>
              <w:rPr>
                <w:rFonts w:ascii="宋体" w:hAnsi="宋体" w:cs="宋体"/>
                <w:color w:val="auto"/>
                <w:szCs w:val="21"/>
                <w:highlight w:val="none"/>
                <w:u w:val="none"/>
              </w:rPr>
            </w:pPr>
            <w:r>
              <w:rPr>
                <w:rFonts w:hint="eastAsia" w:ascii="宋体" w:hAnsi="宋体" w:cs="宋体"/>
                <w:color w:val="auto"/>
                <w:szCs w:val="21"/>
                <w:highlight w:val="none"/>
                <w:u w:val="none"/>
              </w:rPr>
              <w:t>（3）钻头硬度≥450HV</w:t>
            </w:r>
            <w:r>
              <w:rPr>
                <w:rFonts w:hint="eastAsia" w:ascii="宋体" w:hAnsi="宋体" w:cs="宋体"/>
                <w:color w:val="auto"/>
                <w:szCs w:val="21"/>
                <w:highlight w:val="none"/>
                <w:u w:val="none"/>
                <w:vertAlign w:val="subscript"/>
              </w:rPr>
              <w:t xml:space="preserve">0.2 </w:t>
            </w:r>
            <w:r>
              <w:rPr>
                <w:rFonts w:hint="eastAsia" w:ascii="宋体" w:hAnsi="宋体" w:cs="宋体"/>
                <w:color w:val="auto"/>
                <w:szCs w:val="21"/>
                <w:highlight w:val="none"/>
                <w:u w:val="none"/>
              </w:rPr>
              <w:t>；</w:t>
            </w:r>
          </w:p>
          <w:p>
            <w:pPr>
              <w:numPr>
                <w:ilvl w:val="0"/>
                <w:numId w:val="32"/>
              </w:numPr>
              <w:adjustRightInd w:val="0"/>
              <w:snapToGrid w:val="0"/>
              <w:rPr>
                <w:rFonts w:ascii="宋体" w:hAnsi="宋体" w:cs="宋体"/>
                <w:color w:val="auto"/>
                <w:szCs w:val="21"/>
                <w:highlight w:val="none"/>
                <w:u w:val="none"/>
              </w:rPr>
            </w:pPr>
            <w:r>
              <w:rPr>
                <w:rFonts w:hint="eastAsia" w:ascii="宋体" w:hAnsi="宋体" w:cs="宋体"/>
                <w:color w:val="auto"/>
                <w:szCs w:val="21"/>
                <w:highlight w:val="none"/>
                <w:u w:val="none"/>
              </w:rPr>
              <w:t>推结棒：能顺利通过转换器，并密封良好，在1min内渗水不得多于5滴；</w:t>
            </w:r>
          </w:p>
          <w:p>
            <w:pPr>
              <w:numPr>
                <w:ilvl w:val="0"/>
                <w:numId w:val="32"/>
              </w:numPr>
              <w:adjustRightInd w:val="0"/>
              <w:snapToGrid w:val="0"/>
              <w:rPr>
                <w:rFonts w:ascii="宋体" w:hAnsi="宋体" w:cs="宋体"/>
                <w:color w:val="auto"/>
                <w:szCs w:val="21"/>
                <w:highlight w:val="none"/>
                <w:u w:val="none"/>
              </w:rPr>
            </w:pPr>
            <w:r>
              <w:rPr>
                <w:rFonts w:hint="eastAsia" w:ascii="宋体" w:hAnsi="宋体" w:cs="宋体"/>
                <w:color w:val="auto"/>
                <w:szCs w:val="21"/>
                <w:highlight w:val="none"/>
                <w:u w:val="none"/>
              </w:rPr>
              <w:t>★器械各连接部位牢固可靠，配合性能良好，密封处及阀门部位无济漏现象，耐腐蚀性能良好，在常规条件下经药物消毒，不产生腐蚀现象；</w:t>
            </w:r>
          </w:p>
          <w:p>
            <w:pPr>
              <w:numPr>
                <w:ilvl w:val="0"/>
                <w:numId w:val="32"/>
              </w:numPr>
              <w:adjustRightInd w:val="0"/>
              <w:snapToGrid w:val="0"/>
              <w:rPr>
                <w:rFonts w:ascii="宋体" w:hAnsi="宋体" w:cs="宋体"/>
                <w:color w:val="auto"/>
                <w:szCs w:val="21"/>
                <w:highlight w:val="none"/>
                <w:u w:val="none"/>
              </w:rPr>
            </w:pPr>
            <w:r>
              <w:rPr>
                <w:rFonts w:hint="eastAsia" w:ascii="宋体" w:hAnsi="宋体" w:cs="宋体"/>
                <w:color w:val="auto"/>
                <w:szCs w:val="21"/>
                <w:highlight w:val="none"/>
                <w:u w:val="none"/>
              </w:rPr>
              <w:t>网电源：AC220V±10％，50HZ；</w:t>
            </w:r>
          </w:p>
          <w:p>
            <w:pPr>
              <w:numPr>
                <w:ilvl w:val="0"/>
                <w:numId w:val="32"/>
              </w:numPr>
              <w:adjustRightInd w:val="0"/>
              <w:snapToGrid w:val="0"/>
              <w:rPr>
                <w:rFonts w:ascii="宋体" w:hAnsi="宋体" w:cs="宋体"/>
                <w:color w:val="auto"/>
                <w:szCs w:val="21"/>
                <w:highlight w:val="none"/>
                <w:u w:val="none"/>
              </w:rPr>
            </w:pPr>
            <w:r>
              <w:rPr>
                <w:rFonts w:hint="eastAsia" w:ascii="宋体" w:hAnsi="宋体" w:cs="宋体"/>
                <w:color w:val="auto"/>
                <w:szCs w:val="21"/>
                <w:highlight w:val="none"/>
                <w:u w:val="none"/>
              </w:rPr>
              <w:t>安全要求符合GB9706.1中I类BF型设备规定的要求；</w:t>
            </w:r>
          </w:p>
          <w:p>
            <w:pPr>
              <w:numPr>
                <w:ilvl w:val="0"/>
                <w:numId w:val="32"/>
              </w:numPr>
              <w:adjustRightInd w:val="0"/>
              <w:snapToGrid w:val="0"/>
              <w:rPr>
                <w:rFonts w:ascii="宋体" w:hAnsi="宋体" w:cs="宋体"/>
                <w:color w:val="auto"/>
                <w:szCs w:val="21"/>
                <w:highlight w:val="none"/>
                <w:u w:val="none"/>
              </w:rPr>
            </w:pPr>
            <w:r>
              <w:rPr>
                <w:rFonts w:hint="eastAsia" w:ascii="宋体" w:hAnsi="宋体" w:cs="宋体"/>
                <w:color w:val="auto"/>
                <w:szCs w:val="21"/>
                <w:highlight w:val="none"/>
                <w:u w:val="none"/>
              </w:rPr>
              <w:t>环境试验符合GB/T14710规定的要求；</w:t>
            </w:r>
          </w:p>
          <w:p>
            <w:pPr>
              <w:ind w:firstLine="210" w:firstLineChars="100"/>
              <w:rPr>
                <w:rFonts w:ascii="宋体" w:hAnsi="宋体" w:cs="宋体"/>
                <w:color w:val="auto"/>
                <w:szCs w:val="21"/>
                <w:highlight w:val="none"/>
                <w:u w:val="none"/>
              </w:rPr>
            </w:pP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27</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医用负压吸引器</w:t>
            </w:r>
          </w:p>
        </w:tc>
        <w:tc>
          <w:tcPr>
            <w:tcW w:w="7410" w:type="dxa"/>
            <w:tcBorders>
              <w:bottom w:val="single" w:color="auto" w:sz="4" w:space="0"/>
              <w:tl2br w:val="nil"/>
              <w:tr2bl w:val="nil"/>
            </w:tcBorders>
          </w:tcPr>
          <w:p>
            <w:pPr>
              <w:numPr>
                <w:ilvl w:val="0"/>
                <w:numId w:val="33"/>
              </w:numPr>
              <w:spacing w:line="220" w:lineRule="atLeast"/>
              <w:rPr>
                <w:rFonts w:ascii="宋体" w:hAnsi="宋体" w:cs="宋体"/>
                <w:color w:val="auto"/>
                <w:szCs w:val="21"/>
                <w:highlight w:val="none"/>
                <w:u w:val="none"/>
              </w:rPr>
            </w:pPr>
            <w:r>
              <w:rPr>
                <w:rFonts w:hint="eastAsia" w:ascii="宋体" w:hAnsi="宋体" w:cs="宋体"/>
                <w:color w:val="auto"/>
                <w:szCs w:val="21"/>
                <w:highlight w:val="none"/>
                <w:u w:val="none"/>
              </w:rPr>
              <w:t>电源：交流220V/50Hz；</w:t>
            </w:r>
          </w:p>
          <w:p>
            <w:pPr>
              <w:numPr>
                <w:ilvl w:val="0"/>
                <w:numId w:val="33"/>
              </w:numPr>
              <w:spacing w:line="220" w:lineRule="atLeast"/>
              <w:rPr>
                <w:rFonts w:ascii="宋体" w:hAnsi="宋体" w:cs="宋体"/>
                <w:color w:val="auto"/>
                <w:szCs w:val="21"/>
                <w:highlight w:val="none"/>
                <w:u w:val="none"/>
              </w:rPr>
            </w:pPr>
            <w:r>
              <w:rPr>
                <w:rFonts w:hint="eastAsia" w:ascii="宋体" w:hAnsi="宋体" w:cs="宋体"/>
                <w:color w:val="auto"/>
                <w:szCs w:val="21"/>
                <w:highlight w:val="none"/>
                <w:u w:val="none"/>
              </w:rPr>
              <w:t>2.额定功率：≤30W；</w:t>
            </w:r>
          </w:p>
          <w:p>
            <w:pPr>
              <w:spacing w:line="220" w:lineRule="atLeast"/>
              <w:rPr>
                <w:rFonts w:ascii="宋体" w:hAnsi="宋体" w:cs="宋体"/>
                <w:color w:val="auto"/>
                <w:szCs w:val="21"/>
                <w:highlight w:val="none"/>
                <w:u w:val="none"/>
              </w:rPr>
            </w:pPr>
            <w:r>
              <w:rPr>
                <w:rFonts w:hint="eastAsia" w:ascii="宋体" w:hAnsi="宋体" w:cs="宋体"/>
                <w:color w:val="auto"/>
                <w:szCs w:val="21"/>
                <w:highlight w:val="none"/>
                <w:u w:val="none"/>
              </w:rPr>
              <w:t>3.产品结构及组成： 负压系统、压力档位显示、主控电路、负压指示器及吸乳配件组成；</w:t>
            </w:r>
          </w:p>
          <w:p>
            <w:pPr>
              <w:spacing w:line="220" w:lineRule="atLeast"/>
              <w:rPr>
                <w:rFonts w:ascii="宋体" w:hAnsi="宋体" w:cs="宋体"/>
                <w:color w:val="auto"/>
                <w:szCs w:val="21"/>
                <w:highlight w:val="none"/>
                <w:u w:val="none"/>
              </w:rPr>
            </w:pPr>
            <w:r>
              <w:rPr>
                <w:rFonts w:hint="eastAsia" w:ascii="宋体" w:hAnsi="宋体" w:cs="宋体"/>
                <w:color w:val="auto"/>
                <w:szCs w:val="21"/>
                <w:highlight w:val="none"/>
                <w:u w:val="none"/>
              </w:rPr>
              <w:t>4.吸乳频率：55±5次/分钟；</w:t>
            </w:r>
          </w:p>
          <w:p>
            <w:pPr>
              <w:spacing w:line="220" w:lineRule="atLeast"/>
              <w:rPr>
                <w:rFonts w:ascii="宋体" w:hAnsi="宋体" w:cs="宋体"/>
                <w:color w:val="auto"/>
                <w:szCs w:val="21"/>
                <w:highlight w:val="none"/>
                <w:u w:val="none"/>
              </w:rPr>
            </w:pPr>
            <w:r>
              <w:rPr>
                <w:rFonts w:hint="eastAsia" w:ascii="宋体" w:hAnsi="宋体" w:cs="宋体"/>
                <w:color w:val="auto"/>
                <w:szCs w:val="21"/>
                <w:highlight w:val="none"/>
                <w:u w:val="none"/>
              </w:rPr>
              <w:t>5.负压范围： -50~-350mmHg；</w:t>
            </w:r>
          </w:p>
          <w:p>
            <w:pPr>
              <w:spacing w:line="220" w:lineRule="atLeast"/>
              <w:rPr>
                <w:rFonts w:ascii="宋体" w:hAnsi="宋体" w:cs="宋体"/>
                <w:color w:val="auto"/>
                <w:szCs w:val="21"/>
                <w:highlight w:val="none"/>
                <w:u w:val="none"/>
              </w:rPr>
            </w:pPr>
            <w:r>
              <w:rPr>
                <w:rFonts w:hint="eastAsia" w:ascii="宋体" w:hAnsi="宋体" w:cs="宋体"/>
                <w:color w:val="auto"/>
                <w:szCs w:val="21"/>
                <w:highlight w:val="none"/>
                <w:u w:val="none"/>
              </w:rPr>
              <w:t>6.★定时功能：自选式定时器；</w:t>
            </w:r>
          </w:p>
          <w:p>
            <w:pPr>
              <w:spacing w:line="220" w:lineRule="atLeast"/>
              <w:rPr>
                <w:rFonts w:ascii="宋体" w:hAnsi="宋体" w:cs="宋体"/>
                <w:color w:val="auto"/>
                <w:szCs w:val="21"/>
                <w:highlight w:val="none"/>
                <w:u w:val="none"/>
              </w:rPr>
            </w:pPr>
            <w:r>
              <w:rPr>
                <w:rFonts w:hint="eastAsia" w:ascii="宋体" w:hAnsi="宋体" w:cs="宋体"/>
                <w:color w:val="auto"/>
                <w:szCs w:val="21"/>
                <w:highlight w:val="none"/>
                <w:u w:val="none"/>
              </w:rPr>
              <w:t>7.★防反流装置：带独立防反流装置的停机保护系统；</w:t>
            </w:r>
          </w:p>
          <w:p>
            <w:pPr>
              <w:spacing w:line="220" w:lineRule="atLeast"/>
              <w:rPr>
                <w:rFonts w:ascii="宋体" w:hAnsi="宋体" w:cs="宋体"/>
                <w:color w:val="auto"/>
                <w:szCs w:val="21"/>
                <w:highlight w:val="none"/>
                <w:u w:val="none"/>
              </w:rPr>
            </w:pPr>
            <w:r>
              <w:rPr>
                <w:rFonts w:hint="eastAsia" w:ascii="宋体" w:hAnsi="宋体" w:cs="宋体"/>
                <w:color w:val="auto"/>
                <w:szCs w:val="21"/>
                <w:highlight w:val="none"/>
                <w:u w:val="none"/>
              </w:rPr>
              <w:t>8.★停机保护：停机保护系统；</w:t>
            </w:r>
          </w:p>
          <w:p>
            <w:pPr>
              <w:spacing w:line="220" w:lineRule="atLeast"/>
              <w:rPr>
                <w:rFonts w:ascii="宋体" w:hAnsi="宋体" w:cs="宋体"/>
                <w:color w:val="auto"/>
                <w:szCs w:val="21"/>
                <w:highlight w:val="none"/>
                <w:u w:val="none"/>
              </w:rPr>
            </w:pPr>
            <w:r>
              <w:rPr>
                <w:rFonts w:hint="eastAsia" w:ascii="宋体" w:hAnsi="宋体" w:cs="宋体"/>
                <w:color w:val="auto"/>
                <w:szCs w:val="21"/>
                <w:highlight w:val="none"/>
                <w:u w:val="none"/>
              </w:rPr>
              <w:t>9.运行温度：5-40℃；</w:t>
            </w:r>
          </w:p>
          <w:p>
            <w:pPr>
              <w:spacing w:line="220" w:lineRule="atLeast"/>
              <w:rPr>
                <w:rFonts w:ascii="宋体" w:hAnsi="宋体" w:cs="宋体"/>
                <w:color w:val="auto"/>
                <w:szCs w:val="21"/>
                <w:highlight w:val="none"/>
                <w:u w:val="none"/>
              </w:rPr>
            </w:pPr>
            <w:r>
              <w:rPr>
                <w:rFonts w:hint="eastAsia" w:ascii="宋体" w:hAnsi="宋体" w:cs="宋体"/>
                <w:color w:val="auto"/>
                <w:szCs w:val="21"/>
                <w:highlight w:val="none"/>
                <w:u w:val="none"/>
              </w:rPr>
              <w:t>10.运行湿度： ≤80%；</w:t>
            </w:r>
          </w:p>
          <w:p>
            <w:pPr>
              <w:ind w:firstLine="210" w:firstLineChars="100"/>
              <w:rPr>
                <w:rFonts w:ascii="宋体" w:hAnsi="宋体" w:cs="宋体"/>
                <w:color w:val="auto"/>
                <w:szCs w:val="21"/>
                <w:highlight w:val="none"/>
                <w:u w:val="none"/>
              </w:rPr>
            </w:pP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4</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1" w:hRule="atLeast"/>
        </w:trPr>
        <w:tc>
          <w:tcPr>
            <w:tcW w:w="575" w:type="dxa"/>
            <w:tcBorders>
              <w:tl2br w:val="nil"/>
              <w:tr2bl w:val="nil"/>
            </w:tcBorders>
            <w:vAlign w:val="center"/>
          </w:tcPr>
          <w:p>
            <w:pPr>
              <w:widowControl/>
              <w:jc w:val="center"/>
              <w:textAlignment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28</w:t>
            </w:r>
          </w:p>
        </w:tc>
        <w:tc>
          <w:tcPr>
            <w:tcW w:w="1131"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震动排痰仪</w:t>
            </w:r>
          </w:p>
        </w:tc>
        <w:tc>
          <w:tcPr>
            <w:tcW w:w="7410" w:type="dxa"/>
            <w:tcBorders>
              <w:bottom w:val="single" w:color="auto" w:sz="4" w:space="0"/>
              <w:tl2br w:val="nil"/>
              <w:tr2bl w:val="nil"/>
            </w:tcBorders>
          </w:tcPr>
          <w:p>
            <w:pPr>
              <w:numPr>
                <w:ilvl w:val="0"/>
                <w:numId w:val="34"/>
              </w:num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输出方式：双路输出；</w:t>
            </w:r>
          </w:p>
          <w:p>
            <w:pPr>
              <w:pStyle w:val="2"/>
              <w:numPr>
                <w:ilvl w:val="0"/>
                <w:numId w:val="34"/>
              </w:numPr>
              <w:ind w:firstLine="420" w:firstLineChars="200"/>
              <w:rPr>
                <w:rFonts w:ascii="宋体" w:hAnsi="宋体" w:cs="宋体"/>
                <w:color w:val="auto"/>
                <w:sz w:val="21"/>
                <w:szCs w:val="21"/>
                <w:highlight w:val="none"/>
                <w:u w:val="none"/>
              </w:rPr>
            </w:pPr>
            <w:r>
              <w:rPr>
                <w:rFonts w:hint="eastAsia" w:ascii="宋体" w:hAnsi="宋体" w:cs="宋体"/>
                <w:color w:val="auto"/>
                <w:sz w:val="21"/>
                <w:szCs w:val="21"/>
                <w:highlight w:val="none"/>
                <w:u w:val="none"/>
              </w:rPr>
              <w:t>输出频率控制：10-60Hz（600转/分-3600转/分）连续可调，高亮电子数码显示；</w:t>
            </w:r>
          </w:p>
          <w:p>
            <w:pPr>
              <w:pStyle w:val="2"/>
              <w:numPr>
                <w:ilvl w:val="0"/>
                <w:numId w:val="34"/>
              </w:numPr>
              <w:ind w:firstLine="420" w:firstLineChars="200"/>
              <w:rPr>
                <w:rFonts w:ascii="宋体" w:hAnsi="宋体" w:cs="宋体"/>
                <w:color w:val="auto"/>
                <w:sz w:val="21"/>
                <w:szCs w:val="21"/>
                <w:highlight w:val="none"/>
                <w:u w:val="none"/>
              </w:rPr>
            </w:pPr>
            <w:r>
              <w:rPr>
                <w:rFonts w:hint="eastAsia" w:ascii="宋体" w:hAnsi="宋体" w:cs="宋体"/>
                <w:color w:val="auto"/>
                <w:sz w:val="21"/>
                <w:szCs w:val="21"/>
                <w:highlight w:val="none"/>
                <w:u w:val="none"/>
              </w:rPr>
              <w:t>时间控制：1-60分钟,连续可调，高亮电子数码显示；</w:t>
            </w:r>
          </w:p>
          <w:p>
            <w:pPr>
              <w:pStyle w:val="2"/>
              <w:numPr>
                <w:ilvl w:val="0"/>
                <w:numId w:val="34"/>
              </w:numPr>
              <w:ind w:firstLine="420" w:firstLineChars="200"/>
              <w:rPr>
                <w:rFonts w:ascii="宋体" w:hAnsi="宋体" w:cs="宋体"/>
                <w:color w:val="auto"/>
                <w:sz w:val="21"/>
                <w:szCs w:val="21"/>
                <w:highlight w:val="none"/>
                <w:u w:val="none"/>
              </w:rPr>
            </w:pPr>
            <w:r>
              <w:rPr>
                <w:rFonts w:hint="eastAsia" w:ascii="宋体" w:hAnsi="宋体" w:cs="宋体"/>
                <w:color w:val="auto"/>
                <w:sz w:val="21"/>
                <w:szCs w:val="21"/>
                <w:highlight w:val="none"/>
                <w:u w:val="none"/>
              </w:rPr>
              <w:t>振动幅度：≤5mm+0.6mm；</w:t>
            </w:r>
          </w:p>
          <w:p>
            <w:pPr>
              <w:numPr>
                <w:ilvl w:val="0"/>
                <w:numId w:val="34"/>
              </w:numPr>
              <w:spacing w:line="400" w:lineRule="exact"/>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★叩击换向器：①带可调角度叩击换向器，叩击头可进行180度调整，方便不同位置使用；     ②90度固定角度叩击头；</w:t>
            </w:r>
          </w:p>
          <w:p>
            <w:pPr>
              <w:pStyle w:val="2"/>
              <w:numPr>
                <w:ilvl w:val="0"/>
                <w:numId w:val="34"/>
              </w:numPr>
              <w:ind w:firstLine="420" w:firstLineChars="200"/>
              <w:rPr>
                <w:rFonts w:ascii="宋体" w:hAnsi="宋体" w:cs="宋体"/>
                <w:color w:val="auto"/>
                <w:sz w:val="21"/>
                <w:szCs w:val="21"/>
                <w:highlight w:val="none"/>
                <w:u w:val="none"/>
              </w:rPr>
            </w:pPr>
            <w:r>
              <w:rPr>
                <w:rFonts w:hint="eastAsia" w:ascii="宋体" w:hAnsi="宋体" w:cs="宋体"/>
                <w:color w:val="auto"/>
                <w:sz w:val="21"/>
                <w:szCs w:val="21"/>
                <w:highlight w:val="none"/>
                <w:u w:val="none"/>
              </w:rPr>
              <w:t>★动力管：长度2米，采用柔性氮化钛合金、柔性传递轴和减震弹簧，运行噪音低，使用寿命长；</w:t>
            </w:r>
          </w:p>
          <w:p>
            <w:pPr>
              <w:pStyle w:val="2"/>
              <w:numPr>
                <w:ilvl w:val="0"/>
                <w:numId w:val="34"/>
              </w:numPr>
              <w:ind w:firstLine="420" w:firstLineChars="200"/>
              <w:rPr>
                <w:rFonts w:ascii="宋体" w:hAnsi="宋体" w:cs="宋体"/>
                <w:color w:val="auto"/>
                <w:sz w:val="21"/>
                <w:szCs w:val="21"/>
                <w:highlight w:val="none"/>
                <w:u w:val="none"/>
              </w:rPr>
            </w:pPr>
            <w:r>
              <w:rPr>
                <w:rFonts w:hint="eastAsia" w:ascii="宋体" w:hAnsi="宋体" w:cs="宋体"/>
                <w:color w:val="auto"/>
                <w:sz w:val="21"/>
                <w:szCs w:val="21"/>
                <w:highlight w:val="none"/>
                <w:u w:val="none"/>
              </w:rPr>
              <w:t>★整机质量：体积小巧，主机质量≤14kg，移动治疗使用方便；</w:t>
            </w:r>
          </w:p>
          <w:p>
            <w:pPr>
              <w:numPr>
                <w:ilvl w:val="0"/>
                <w:numId w:val="34"/>
              </w:numPr>
              <w:spacing w:line="360" w:lineRule="auto"/>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标准叩击头：①1号叩击头（ф130,滑面硅橡胶叩击头）：增强型，强力治疗使用；②2号叩击头（ф90，聚氨酯海绵面叩击头）：标准型，普通治疗或护理使用；③3号叩击头（ф68，聚氨酯海绵面叩击头）：柔和型，特殊治疗或护理使用④4号叩击头（羊角形，聚氨酯海绵面叩击头）：特定型，肋、肩等部位治疗或护理使用；</w:t>
            </w:r>
          </w:p>
          <w:p>
            <w:pPr>
              <w:numPr>
                <w:ilvl w:val="0"/>
                <w:numId w:val="34"/>
              </w:numPr>
              <w:spacing w:line="360" w:lineRule="auto"/>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小型叩击头：①1号叩击头（小叩手，ф47.5，聚氨酯海绵面叩击头，柔和型）：儿童专用；②2号叩击头（小Q，半球型，滑面硅橡胶叩击头，舒适型）：适用于低龄儿童；③3号叩击头（大Q，半球型，滑面硅橡胶叩击头，柔和型）：适用于低龄儿童；④4号叩击头(小型羊角头,聚氨酯海绵面叩击头，儿童特定型）：适用于肋、肩等部位治疗或护理。</w:t>
            </w:r>
          </w:p>
          <w:p>
            <w:pPr>
              <w:numPr>
                <w:ilvl w:val="0"/>
                <w:numId w:val="34"/>
              </w:numPr>
              <w:spacing w:line="400" w:lineRule="exact"/>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标准：五种智能工作程序：程序1：变频范围10-15Hz，适合年老体弱或大病初愈的患者；程序2：变频范围15-25Hz，适合体质较弱或需重点护理病人，初次治疗可选择；程序3：变频范围20-30Hz，适合正常治疗或护理；程序4：变频范围25-35Hz，适合体质较好或需进行治疗病人；程序5：变频范围30-45Hz，适合体质强壮病人；</w:t>
            </w:r>
          </w:p>
          <w:p>
            <w:pPr>
              <w:numPr>
                <w:ilvl w:val="0"/>
                <w:numId w:val="34"/>
              </w:numPr>
              <w:spacing w:line="400" w:lineRule="exact"/>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★小型：三种智能工作程序：程序1：变频范围10-15Hz；程序2：变频范围15-20Hz；程序3：变频范围15-30Hz；</w:t>
            </w:r>
          </w:p>
          <w:p>
            <w:pPr>
              <w:pStyle w:val="2"/>
              <w:numPr>
                <w:ilvl w:val="0"/>
                <w:numId w:val="34"/>
              </w:numPr>
              <w:ind w:firstLine="420" w:firstLineChars="200"/>
              <w:rPr>
                <w:rFonts w:ascii="宋体" w:hAnsi="宋体" w:cs="宋体"/>
                <w:color w:val="auto"/>
                <w:sz w:val="21"/>
                <w:szCs w:val="21"/>
                <w:highlight w:val="none"/>
                <w:u w:val="none"/>
              </w:rPr>
            </w:pPr>
            <w:r>
              <w:rPr>
                <w:rFonts w:hint="eastAsia" w:ascii="宋体" w:hAnsi="宋体" w:cs="宋体"/>
                <w:color w:val="auto"/>
                <w:sz w:val="21"/>
                <w:szCs w:val="21"/>
                <w:highlight w:val="none"/>
                <w:u w:val="none"/>
              </w:rPr>
              <w:t>★电机：采用高效率无刷免维护电机，低噪声，保用10年；</w:t>
            </w:r>
          </w:p>
          <w:p>
            <w:pPr>
              <w:pStyle w:val="2"/>
              <w:numPr>
                <w:ilvl w:val="0"/>
                <w:numId w:val="34"/>
              </w:numPr>
              <w:ind w:firstLine="420" w:firstLineChars="200"/>
              <w:rPr>
                <w:rFonts w:ascii="宋体" w:hAnsi="宋体" w:cs="宋体"/>
                <w:color w:val="auto"/>
                <w:sz w:val="21"/>
                <w:szCs w:val="21"/>
                <w:highlight w:val="none"/>
                <w:u w:val="none"/>
              </w:rPr>
            </w:pPr>
            <w:r>
              <w:rPr>
                <w:rFonts w:hint="eastAsia" w:ascii="宋体" w:hAnsi="宋体" w:cs="宋体"/>
                <w:color w:val="auto"/>
                <w:sz w:val="21"/>
                <w:szCs w:val="21"/>
                <w:highlight w:val="none"/>
                <w:u w:val="none"/>
              </w:rPr>
              <w:t>配置：可根据客户需求对叩击头进行灵活组合，其中小路可选择小型叩击头等附件；</w:t>
            </w:r>
          </w:p>
        </w:tc>
        <w:tc>
          <w:tcPr>
            <w:tcW w:w="567"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2</w:t>
            </w:r>
          </w:p>
        </w:tc>
        <w:tc>
          <w:tcPr>
            <w:tcW w:w="555" w:type="dxa"/>
            <w:tcBorders>
              <w:tl2br w:val="nil"/>
              <w:tr2bl w:val="nil"/>
            </w:tcBorders>
            <w:vAlign w:val="center"/>
          </w:tcPr>
          <w:p>
            <w:pPr>
              <w:widowControl/>
              <w:jc w:val="center"/>
              <w:rPr>
                <w:rFonts w:ascii="宋体" w:hAnsi="宋体" w:cs="宋体"/>
                <w:color w:val="auto"/>
                <w:kern w:val="0"/>
                <w:szCs w:val="21"/>
                <w:highlight w:val="none"/>
                <w:u w:val="none"/>
              </w:rPr>
            </w:pPr>
            <w:r>
              <w:rPr>
                <w:rFonts w:hint="eastAsia" w:ascii="宋体" w:hAnsi="宋体" w:cs="宋体"/>
                <w:color w:val="auto"/>
                <w:kern w:val="0"/>
                <w:szCs w:val="21"/>
                <w:highlight w:val="none"/>
                <w:u w:val="none"/>
              </w:rPr>
              <w:t>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285" w:hRule="atLeast"/>
        </w:trPr>
        <w:tc>
          <w:tcPr>
            <w:tcW w:w="10238" w:type="dxa"/>
            <w:gridSpan w:val="5"/>
            <w:tcBorders>
              <w:tl2br w:val="nil"/>
              <w:tr2bl w:val="nil"/>
            </w:tcBorders>
            <w:vAlign w:val="center"/>
          </w:tcPr>
          <w:p>
            <w:pPr>
              <w:adjustRightInd w:val="0"/>
              <w:snapToGrid w:val="0"/>
              <w:rPr>
                <w:rFonts w:ascii="宋体" w:hAnsi="宋体" w:cs="宋体"/>
                <w:color w:val="auto"/>
                <w:szCs w:val="21"/>
                <w:highlight w:val="none"/>
                <w:u w:val="none"/>
              </w:rPr>
            </w:pPr>
            <w:r>
              <w:rPr>
                <w:rFonts w:hint="eastAsia" w:ascii="宋体" w:hAnsi="宋体" w:cs="宋体"/>
                <w:color w:val="auto"/>
                <w:szCs w:val="21"/>
                <w:highlight w:val="none"/>
                <w:u w:val="none"/>
              </w:rPr>
              <w:t>售后服务及商务要求：</w:t>
            </w:r>
          </w:p>
          <w:p>
            <w:pPr>
              <w:widowControl/>
              <w:numPr>
                <w:ilvl w:val="0"/>
                <w:numId w:val="6"/>
              </w:numPr>
              <w:ind w:left="420"/>
              <w:jc w:val="left"/>
              <w:rPr>
                <w:rFonts w:ascii="宋体" w:hAnsi="宋体" w:cs="宋体"/>
                <w:color w:val="auto"/>
                <w:kern w:val="0"/>
                <w:szCs w:val="21"/>
                <w:highlight w:val="none"/>
                <w:u w:val="none"/>
              </w:rPr>
            </w:pPr>
            <w:r>
              <w:rPr>
                <w:rFonts w:hint="eastAsia" w:ascii="宋体" w:hAnsi="宋体" w:cs="宋体"/>
                <w:color w:val="auto"/>
                <w:kern w:val="0"/>
                <w:szCs w:val="21"/>
                <w:highlight w:val="none"/>
                <w:u w:val="none"/>
              </w:rPr>
              <w:t>签订合同时间：自成交通知书发出之日起5天内。</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二、交货期：</w:t>
            </w:r>
            <w:r>
              <w:rPr>
                <w:rFonts w:hint="eastAsia" w:ascii="宋体" w:hAnsi="宋体" w:cs="宋体"/>
                <w:color w:val="auto"/>
                <w:kern w:val="0"/>
                <w:szCs w:val="21"/>
                <w:highlight w:val="none"/>
                <w:u w:val="none"/>
                <w:lang w:eastAsia="zh-CN"/>
              </w:rPr>
              <w:t>自签订合同之日起30日内完成安装与调试。</w:t>
            </w:r>
            <w:r>
              <w:rPr>
                <w:rFonts w:hint="eastAsia" w:ascii="宋体" w:hAnsi="宋体" w:cs="宋体"/>
                <w:color w:val="auto"/>
                <w:kern w:val="0"/>
                <w:szCs w:val="21"/>
                <w:highlight w:val="none"/>
                <w:u w:val="none"/>
              </w:rPr>
              <w:t>。</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三、交货地点：采购人指定地点交货。</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 xml:space="preserve">四、售后服务及其他商务要求: </w:t>
            </w:r>
          </w:p>
          <w:p>
            <w:pPr>
              <w:widowControl/>
              <w:jc w:val="left"/>
              <w:rPr>
                <w:rFonts w:ascii="宋体" w:hAnsi="宋体" w:cs="宋体"/>
                <w:color w:val="auto"/>
                <w:kern w:val="0"/>
                <w:szCs w:val="21"/>
                <w:highlight w:val="none"/>
                <w:u w:val="none"/>
              </w:rPr>
            </w:pPr>
            <w:r>
              <w:rPr>
                <w:rFonts w:hint="eastAsia" w:ascii="宋体" w:hAnsi="宋体" w:cs="宋体"/>
                <w:color w:val="auto"/>
                <w:kern w:val="0"/>
                <w:szCs w:val="21"/>
                <w:highlight w:val="none"/>
                <w:u w:val="none"/>
              </w:rPr>
              <w:t xml:space="preserve">    （1)保修要求：仪器保修一年。其他按国家有关规定或厂家承诺实行“三包”，自验收合格后全免费上门。</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 xml:space="preserve">    （2）免费送货上门、免费为用户安装、调试设备、厂家技术人员现场免费培训操作人员到能熟练操作。接到用户故障通知后，投标人或厂家维保人员须在2小时内给予答复，需要到现场解决的，到达时间不得超过48小时，投标时提供故障无法排除时的应急解决方案、声明有无定期回访、有无其他增值服务、能否实现本地化服务等。</w:t>
            </w:r>
            <w:r>
              <w:rPr>
                <w:rFonts w:hint="eastAsia" w:ascii="宋体" w:hAnsi="宋体" w:cs="宋体"/>
                <w:color w:val="auto"/>
                <w:kern w:val="0"/>
                <w:szCs w:val="21"/>
                <w:highlight w:val="none"/>
                <w:u w:val="none"/>
              </w:rPr>
              <w:br w:type="textWrapping"/>
            </w:r>
            <w:r>
              <w:rPr>
                <w:rFonts w:hint="eastAsia" w:ascii="宋体" w:hAnsi="宋体" w:cs="宋体"/>
                <w:color w:val="auto"/>
                <w:kern w:val="0"/>
                <w:szCs w:val="21"/>
                <w:highlight w:val="none"/>
                <w:u w:val="none"/>
              </w:rPr>
              <w:t xml:space="preserve">    （3）装机时工程师免费在现场对用户的多名技术人员进行设备操作培训，保证操作人员能够熟练掌握各种设备和软件等常规使用方法，以及小故障的判断与解决。</w:t>
            </w:r>
          </w:p>
          <w:p>
            <w:pPr>
              <w:widowControl/>
              <w:ind w:firstLine="420" w:firstLineChars="200"/>
              <w:jc w:val="left"/>
              <w:rPr>
                <w:rFonts w:ascii="宋体" w:hAnsi="宋体" w:cs="宋体"/>
                <w:color w:val="auto"/>
                <w:kern w:val="0"/>
                <w:szCs w:val="21"/>
                <w:highlight w:val="none"/>
                <w:u w:val="none"/>
              </w:rPr>
            </w:pPr>
            <w:r>
              <w:rPr>
                <w:rFonts w:hint="eastAsia" w:ascii="宋体" w:hAnsi="宋体" w:cs="宋体"/>
                <w:color w:val="auto"/>
                <w:kern w:val="0"/>
                <w:szCs w:val="21"/>
                <w:highlight w:val="none"/>
                <w:u w:val="none"/>
              </w:rPr>
              <w:t>（4）投标人不是投标产品的生产厂家或国内总代理商的，必须提供投标产品生产厂家或国内总代理商针对本项目的授权书、有效供货证明以及售后服务承诺书，否则投标无效。</w:t>
            </w:r>
          </w:p>
          <w:p>
            <w:pPr>
              <w:widowControl/>
              <w:ind w:firstLine="420" w:firstLineChars="200"/>
              <w:jc w:val="left"/>
              <w:rPr>
                <w:rFonts w:ascii="宋体" w:hAnsi="宋体" w:cs="宋体"/>
                <w:color w:val="auto"/>
                <w:kern w:val="0"/>
                <w:szCs w:val="21"/>
                <w:highlight w:val="none"/>
                <w:u w:val="none"/>
              </w:rPr>
            </w:pPr>
            <w:r>
              <w:rPr>
                <w:rFonts w:hint="eastAsia" w:ascii="宋体" w:hAnsi="宋体" w:cs="宋体"/>
                <w:color w:val="auto"/>
                <w:kern w:val="0"/>
                <w:szCs w:val="21"/>
                <w:highlight w:val="none"/>
                <w:u w:val="none"/>
              </w:rPr>
              <w:t>（5）投标设备与招标技术要求如有偏离，必须在偏离表中一一列出。</w:t>
            </w:r>
          </w:p>
          <w:p>
            <w:pPr>
              <w:widowControl/>
              <w:ind w:firstLine="420" w:firstLineChars="200"/>
              <w:jc w:val="left"/>
              <w:rPr>
                <w:rFonts w:ascii="宋体" w:hAnsi="宋体" w:cs="宋体"/>
                <w:color w:val="auto"/>
                <w:kern w:val="0"/>
                <w:szCs w:val="21"/>
                <w:highlight w:val="none"/>
                <w:u w:val="none"/>
              </w:rPr>
            </w:pPr>
            <w:r>
              <w:rPr>
                <w:rFonts w:hint="eastAsia" w:ascii="宋体" w:hAnsi="宋体" w:cs="宋体"/>
                <w:color w:val="auto"/>
                <w:kern w:val="0"/>
                <w:szCs w:val="21"/>
                <w:highlight w:val="none"/>
                <w:u w:val="none"/>
              </w:rPr>
              <w:t>（6）投标人或产品制造厂家、区域总代理应能提供完善售后服务的承诺。</w:t>
            </w:r>
          </w:p>
          <w:p>
            <w:pPr>
              <w:widowControl/>
              <w:ind w:firstLine="420" w:firstLineChars="200"/>
              <w:jc w:val="left"/>
              <w:rPr>
                <w:rFonts w:ascii="宋体" w:hAnsi="宋体" w:cs="宋体"/>
                <w:color w:val="auto"/>
                <w:kern w:val="0"/>
                <w:szCs w:val="21"/>
                <w:highlight w:val="none"/>
                <w:u w:val="none"/>
              </w:rPr>
            </w:pPr>
            <w:r>
              <w:rPr>
                <w:rFonts w:hint="eastAsia" w:ascii="宋体" w:hAnsi="宋体" w:cs="宋体"/>
                <w:color w:val="auto"/>
                <w:kern w:val="0"/>
                <w:szCs w:val="21"/>
                <w:highlight w:val="none"/>
                <w:u w:val="none"/>
              </w:rPr>
              <w:t>（7）</w:t>
            </w:r>
            <w:r>
              <w:rPr>
                <w:rFonts w:hint="eastAsia" w:ascii="宋体" w:hAnsi="宋体" w:cs="宋体"/>
                <w:color w:val="auto"/>
                <w:szCs w:val="21"/>
                <w:highlight w:val="none"/>
                <w:u w:val="none"/>
              </w:rPr>
              <w:t>为确保产品质量，</w:t>
            </w:r>
            <w:r>
              <w:rPr>
                <w:rFonts w:hint="eastAsia" w:ascii="宋体" w:hAnsi="宋体" w:cs="宋体"/>
                <w:color w:val="auto"/>
                <w:kern w:val="0"/>
                <w:szCs w:val="21"/>
                <w:highlight w:val="none"/>
                <w:u w:val="none"/>
              </w:rPr>
              <w:t>货物需求一览表中带有“★”号的指标为关键指标，要求必须满足或优于要求指标，否则低于要求在技术部分评分中每项减5分，直至减完为止。</w:t>
            </w:r>
          </w:p>
          <w:p>
            <w:pPr>
              <w:widowControl/>
              <w:ind w:firstLine="420" w:firstLineChars="200"/>
              <w:jc w:val="left"/>
              <w:rPr>
                <w:rFonts w:ascii="宋体" w:hAnsi="宋体" w:cs="宋体"/>
                <w:color w:val="auto"/>
                <w:kern w:val="0"/>
                <w:szCs w:val="21"/>
                <w:highlight w:val="none"/>
                <w:u w:val="none"/>
              </w:rPr>
            </w:pPr>
            <w:r>
              <w:rPr>
                <w:rFonts w:hint="eastAsia" w:ascii="宋体" w:hAnsi="宋体" w:cs="宋体"/>
                <w:color w:val="auto"/>
                <w:kern w:val="0"/>
                <w:szCs w:val="21"/>
                <w:highlight w:val="none"/>
                <w:u w:val="none"/>
              </w:rPr>
              <w:t>（8）投标报价指货物、服务、随配附件、备品备件、工具、运抵指定交货地点的各种费用和安装、调试、验收、人员培训、税金、售后服务及其他所有成本、费用的总和。</w:t>
            </w:r>
          </w:p>
          <w:p>
            <w:pPr>
              <w:widowControl/>
              <w:ind w:firstLine="420" w:firstLineChars="200"/>
              <w:jc w:val="left"/>
              <w:rPr>
                <w:rFonts w:ascii="宋体" w:hAnsi="宋体" w:cs="宋体"/>
                <w:color w:val="auto"/>
                <w:kern w:val="0"/>
                <w:szCs w:val="21"/>
                <w:highlight w:val="none"/>
                <w:u w:val="none"/>
              </w:rPr>
            </w:pPr>
            <w:r>
              <w:rPr>
                <w:rFonts w:hint="eastAsia" w:ascii="宋体" w:hAnsi="宋体" w:cs="宋体"/>
                <w:color w:val="auto"/>
                <w:kern w:val="0"/>
                <w:szCs w:val="21"/>
                <w:highlight w:val="none"/>
                <w:u w:val="none"/>
              </w:rPr>
              <w:t>（9）货款支付方式：以第五章合同条款及格式为依据，由业主方和供应商方协商合同签订为准。</w:t>
            </w:r>
          </w:p>
          <w:p>
            <w:pPr>
              <w:widowControl/>
              <w:jc w:val="left"/>
              <w:rPr>
                <w:rFonts w:ascii="宋体" w:hAnsi="宋体" w:cs="宋体"/>
                <w:color w:val="auto"/>
                <w:kern w:val="0"/>
                <w:szCs w:val="21"/>
                <w:highlight w:val="none"/>
                <w:u w:val="none"/>
              </w:rPr>
            </w:pPr>
            <w:r>
              <w:rPr>
                <w:rFonts w:hint="eastAsia" w:ascii="宋体" w:hAnsi="宋体" w:cs="宋体"/>
                <w:color w:val="auto"/>
                <w:kern w:val="0"/>
                <w:szCs w:val="21"/>
                <w:highlight w:val="none"/>
                <w:u w:val="none"/>
              </w:rPr>
              <w:t>（10）其他要求：依据第五章合同条款及格式为准。</w:t>
            </w:r>
          </w:p>
          <w:p>
            <w:pPr>
              <w:widowControl/>
              <w:ind w:firstLine="420" w:firstLineChars="200"/>
              <w:jc w:val="left"/>
              <w:rPr>
                <w:rFonts w:ascii="宋体" w:hAnsi="宋体" w:cs="宋体"/>
                <w:color w:val="auto"/>
                <w:kern w:val="0"/>
                <w:szCs w:val="21"/>
                <w:highlight w:val="none"/>
                <w:u w:val="none"/>
              </w:rPr>
            </w:pPr>
          </w:p>
        </w:tc>
      </w:tr>
    </w:tbl>
    <w:p>
      <w:pPr>
        <w:spacing w:line="320" w:lineRule="exact"/>
        <w:jc w:val="center"/>
        <w:rPr>
          <w:rFonts w:asciiTheme="minorEastAsia" w:hAnsiTheme="minorEastAsia" w:eastAsiaTheme="minorEastAsia"/>
          <w:color w:val="auto"/>
          <w:highlight w:val="none"/>
          <w:u w:val="none"/>
        </w:rPr>
      </w:pPr>
      <w:r>
        <w:rPr>
          <w:rFonts w:asciiTheme="minorEastAsia" w:hAnsiTheme="minorEastAsia" w:eastAsiaTheme="minorEastAsia"/>
          <w:color w:val="auto"/>
          <w:highlight w:val="none"/>
          <w:u w:val="none"/>
        </w:rPr>
        <w:br w:type="page"/>
      </w:r>
    </w:p>
    <w:p>
      <w:pPr>
        <w:pStyle w:val="8"/>
        <w:spacing w:line="360" w:lineRule="auto"/>
        <w:jc w:val="center"/>
        <w:outlineLvl w:val="0"/>
        <w:rPr>
          <w:rFonts w:asciiTheme="minorEastAsia" w:hAnsiTheme="minorEastAsia" w:eastAsiaTheme="minorEastAsia"/>
          <w:b/>
          <w:color w:val="auto"/>
          <w:sz w:val="36"/>
          <w:highlight w:val="none"/>
          <w:u w:val="none"/>
        </w:rPr>
      </w:pPr>
    </w:p>
    <w:p>
      <w:pPr>
        <w:pStyle w:val="8"/>
        <w:spacing w:line="360" w:lineRule="auto"/>
        <w:jc w:val="center"/>
        <w:outlineLvl w:val="0"/>
        <w:rPr>
          <w:rFonts w:asciiTheme="minorEastAsia" w:hAnsiTheme="minorEastAsia" w:eastAsiaTheme="minorEastAsia"/>
          <w:b/>
          <w:color w:val="auto"/>
          <w:sz w:val="36"/>
          <w:szCs w:val="36"/>
          <w:highlight w:val="none"/>
          <w:u w:val="none"/>
        </w:rPr>
      </w:pPr>
      <w:r>
        <w:rPr>
          <w:rFonts w:hint="eastAsia" w:asciiTheme="minorEastAsia" w:hAnsiTheme="minorEastAsia" w:eastAsiaTheme="minorEastAsia"/>
          <w:b/>
          <w:color w:val="auto"/>
          <w:sz w:val="36"/>
          <w:highlight w:val="none"/>
          <w:u w:val="none"/>
        </w:rPr>
        <w:t>第三章  投标人须知</w:t>
      </w:r>
    </w:p>
    <w:p>
      <w:pPr>
        <w:pStyle w:val="8"/>
        <w:spacing w:line="720" w:lineRule="auto"/>
        <w:jc w:val="center"/>
        <w:rPr>
          <w:rFonts w:asciiTheme="minorEastAsia" w:hAnsiTheme="minorEastAsia" w:eastAsiaTheme="minorEastAsia"/>
          <w:b/>
          <w:color w:val="auto"/>
          <w:sz w:val="30"/>
          <w:szCs w:val="30"/>
          <w:highlight w:val="none"/>
          <w:u w:val="none"/>
        </w:rPr>
      </w:pPr>
      <w:r>
        <w:rPr>
          <w:rFonts w:hint="eastAsia" w:asciiTheme="minorEastAsia" w:hAnsiTheme="minorEastAsia" w:eastAsiaTheme="minorEastAsia"/>
          <w:b/>
          <w:color w:val="auto"/>
          <w:sz w:val="30"/>
          <w:szCs w:val="30"/>
          <w:highlight w:val="none"/>
          <w:u w:val="none"/>
        </w:rPr>
        <w:t>投标人须知前附表</w:t>
      </w:r>
    </w:p>
    <w:tbl>
      <w:tblPr>
        <w:tblStyle w:val="18"/>
        <w:tblpPr w:leftFromText="180" w:rightFromText="180" w:vertAnchor="text" w:horzAnchor="page" w:tblpX="1391" w:tblpY="1957"/>
        <w:tblOverlap w:val="never"/>
        <w:tblW w:w="9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2628"/>
        <w:gridCol w:w="5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8"/>
              <w:adjustRightInd w:val="0"/>
              <w:spacing w:line="360" w:lineRule="auto"/>
              <w:jc w:val="center"/>
              <w:rPr>
                <w:rFonts w:cs="宋体" w:asciiTheme="minorEastAsia" w:hAnsiTheme="minorEastAsia" w:eastAsiaTheme="minorEastAsia"/>
                <w:b/>
                <w:color w:val="auto"/>
                <w:szCs w:val="21"/>
                <w:highlight w:val="none"/>
                <w:u w:val="none"/>
              </w:rPr>
            </w:pPr>
            <w:r>
              <w:rPr>
                <w:rFonts w:hint="eastAsia" w:cs="宋体" w:asciiTheme="minorEastAsia" w:hAnsiTheme="minorEastAsia" w:eastAsiaTheme="minorEastAsia"/>
                <w:b/>
                <w:color w:val="auto"/>
                <w:szCs w:val="21"/>
                <w:highlight w:val="none"/>
                <w:u w:val="none"/>
              </w:rPr>
              <w:t>条款号</w:t>
            </w:r>
          </w:p>
        </w:tc>
        <w:tc>
          <w:tcPr>
            <w:tcW w:w="2628" w:type="dxa"/>
            <w:vAlign w:val="center"/>
          </w:tcPr>
          <w:p>
            <w:pPr>
              <w:pStyle w:val="8"/>
              <w:jc w:val="center"/>
              <w:rPr>
                <w:rFonts w:cs="宋体" w:asciiTheme="minorEastAsia" w:hAnsiTheme="minorEastAsia" w:eastAsiaTheme="minorEastAsia"/>
                <w:b/>
                <w:color w:val="auto"/>
                <w:szCs w:val="21"/>
                <w:highlight w:val="none"/>
                <w:u w:val="none"/>
              </w:rPr>
            </w:pPr>
            <w:r>
              <w:rPr>
                <w:rFonts w:hint="eastAsia" w:cs="宋体" w:asciiTheme="minorEastAsia" w:hAnsiTheme="minorEastAsia" w:eastAsiaTheme="minorEastAsia"/>
                <w:b/>
                <w:color w:val="auto"/>
                <w:szCs w:val="21"/>
                <w:highlight w:val="none"/>
                <w:u w:val="none"/>
              </w:rPr>
              <w:t>条款名称</w:t>
            </w:r>
          </w:p>
        </w:tc>
        <w:tc>
          <w:tcPr>
            <w:tcW w:w="5879" w:type="dxa"/>
          </w:tcPr>
          <w:p>
            <w:pPr>
              <w:pStyle w:val="8"/>
              <w:jc w:val="center"/>
              <w:rPr>
                <w:rFonts w:cs="宋体" w:asciiTheme="minorEastAsia" w:hAnsiTheme="minorEastAsia" w:eastAsiaTheme="minorEastAsia"/>
                <w:b/>
                <w:color w:val="auto"/>
                <w:szCs w:val="21"/>
                <w:highlight w:val="none"/>
                <w:u w:val="none"/>
              </w:rPr>
            </w:pPr>
            <w:r>
              <w:rPr>
                <w:rFonts w:hint="eastAsia" w:cs="宋体" w:asciiTheme="minorEastAsia" w:hAnsiTheme="minorEastAsia" w:eastAsiaTheme="minorEastAsia"/>
                <w:b/>
                <w:color w:val="auto"/>
                <w:szCs w:val="21"/>
                <w:highlight w:val="none"/>
                <w:u w:val="none"/>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8"/>
              <w:adjustRightInd w:val="0"/>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1.1</w:t>
            </w:r>
          </w:p>
        </w:tc>
        <w:tc>
          <w:tcPr>
            <w:tcW w:w="2628" w:type="dxa"/>
            <w:vAlign w:val="center"/>
          </w:tcPr>
          <w:p>
            <w:pPr>
              <w:pStyle w:val="8"/>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采购人</w:t>
            </w:r>
          </w:p>
        </w:tc>
        <w:tc>
          <w:tcPr>
            <w:tcW w:w="5879" w:type="dxa"/>
            <w:vAlign w:val="center"/>
          </w:tcPr>
          <w:p>
            <w:pPr>
              <w:pStyle w:val="8"/>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名称：灵山县妇幼保健院</w:t>
            </w:r>
          </w:p>
          <w:p>
            <w:pPr>
              <w:pStyle w:val="8"/>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地址：广西钦州市灵山县三海街道东边塘街81号</w:t>
            </w:r>
          </w:p>
          <w:p>
            <w:pPr>
              <w:pStyle w:val="8"/>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联系人：莫辉</w:t>
            </w:r>
          </w:p>
          <w:p>
            <w:pPr>
              <w:pStyle w:val="8"/>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电话：0777-6887630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8"/>
              <w:adjustRightInd w:val="0"/>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1.2</w:t>
            </w:r>
          </w:p>
        </w:tc>
        <w:tc>
          <w:tcPr>
            <w:tcW w:w="2628" w:type="dxa"/>
            <w:vAlign w:val="center"/>
          </w:tcPr>
          <w:p>
            <w:pPr>
              <w:pStyle w:val="8"/>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采购代理机构</w:t>
            </w:r>
          </w:p>
        </w:tc>
        <w:tc>
          <w:tcPr>
            <w:tcW w:w="5879" w:type="dxa"/>
            <w:vAlign w:val="center"/>
          </w:tcPr>
          <w:p>
            <w:pPr>
              <w:pStyle w:val="8"/>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名称：中鼎誉润工程咨询有限公司</w:t>
            </w:r>
          </w:p>
          <w:p>
            <w:pPr>
              <w:pStyle w:val="8"/>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地址：钦州高新技术产业开发区B1地块河东公寓36号楼B3号商铺1-2层</w:t>
            </w:r>
          </w:p>
          <w:p>
            <w:pPr>
              <w:pStyle w:val="8"/>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联系人：赖冰生</w:t>
            </w:r>
          </w:p>
          <w:p>
            <w:pPr>
              <w:pStyle w:val="8"/>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联系电话：0777-6668259</w:t>
            </w:r>
          </w:p>
          <w:p>
            <w:pPr>
              <w:pStyle w:val="8"/>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传真电话：0777-6668259</w:t>
            </w:r>
          </w:p>
          <w:p>
            <w:pPr>
              <w:pStyle w:val="8"/>
              <w:rPr>
                <w:rFonts w:cs="宋体" w:asciiTheme="minorEastAsia" w:hAnsiTheme="minorEastAsia" w:eastAsiaTheme="minorEastAsia"/>
                <w:b/>
                <w:color w:val="auto"/>
                <w:szCs w:val="21"/>
                <w:highlight w:val="none"/>
                <w:u w:val="none"/>
              </w:rPr>
            </w:pPr>
            <w:r>
              <w:rPr>
                <w:rFonts w:hint="eastAsia" w:cs="宋体" w:asciiTheme="minorEastAsia" w:hAnsiTheme="minorEastAsia" w:eastAsiaTheme="minorEastAsia"/>
                <w:b/>
                <w:color w:val="auto"/>
                <w:szCs w:val="21"/>
                <w:highlight w:val="none"/>
                <w:u w:val="none"/>
              </w:rPr>
              <w:t>投标保证金的退付咨询电话:0777-6668259</w:t>
            </w:r>
          </w:p>
          <w:p>
            <w:pPr>
              <w:pStyle w:val="8"/>
              <w:rPr>
                <w:rFonts w:cs="宋体" w:asciiTheme="minorEastAsia" w:hAnsiTheme="minorEastAsia" w:eastAsiaTheme="minorEastAsia"/>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8"/>
              <w:adjustRightInd w:val="0"/>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1.3</w:t>
            </w:r>
          </w:p>
        </w:tc>
        <w:tc>
          <w:tcPr>
            <w:tcW w:w="2628" w:type="dxa"/>
            <w:vAlign w:val="center"/>
          </w:tcPr>
          <w:p>
            <w:pPr>
              <w:pStyle w:val="8"/>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项目名称</w:t>
            </w:r>
          </w:p>
        </w:tc>
        <w:tc>
          <w:tcPr>
            <w:tcW w:w="5879" w:type="dxa"/>
            <w:vAlign w:val="center"/>
          </w:tcPr>
          <w:p>
            <w:pPr>
              <w:pStyle w:val="8"/>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2020年广西妇幼保健机构能力建设项目采购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8"/>
              <w:adjustRightInd w:val="0"/>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1.4</w:t>
            </w:r>
          </w:p>
        </w:tc>
        <w:tc>
          <w:tcPr>
            <w:tcW w:w="2628" w:type="dxa"/>
            <w:vAlign w:val="center"/>
          </w:tcPr>
          <w:p>
            <w:pPr>
              <w:pStyle w:val="8"/>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项目编号</w:t>
            </w:r>
          </w:p>
        </w:tc>
        <w:tc>
          <w:tcPr>
            <w:tcW w:w="5879" w:type="dxa"/>
            <w:vAlign w:val="center"/>
          </w:tcPr>
          <w:p>
            <w:pPr>
              <w:pStyle w:val="8"/>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QZZC2020-G1-5001</w:t>
            </w:r>
            <w:r>
              <w:rPr>
                <w:rFonts w:hint="eastAsia" w:cs="宋体" w:asciiTheme="minorEastAsia" w:hAnsiTheme="minorEastAsia" w:eastAsiaTheme="minorEastAsia"/>
                <w:color w:val="auto"/>
                <w:szCs w:val="21"/>
                <w:highlight w:val="none"/>
                <w:u w:val="none"/>
                <w:lang w:val="en-US" w:eastAsia="zh-CN"/>
              </w:rPr>
              <w:t>9</w:t>
            </w:r>
            <w:r>
              <w:rPr>
                <w:rFonts w:hint="eastAsia" w:cs="宋体" w:asciiTheme="minorEastAsia" w:hAnsiTheme="minorEastAsia" w:eastAsiaTheme="minorEastAsia"/>
                <w:color w:val="auto"/>
                <w:szCs w:val="21"/>
                <w:highlight w:val="none"/>
                <w:u w:val="none"/>
              </w:rPr>
              <w:t>-ZDYR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pStyle w:val="8"/>
              <w:adjustRightInd w:val="0"/>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1.5</w:t>
            </w:r>
          </w:p>
        </w:tc>
        <w:tc>
          <w:tcPr>
            <w:tcW w:w="2628" w:type="dxa"/>
            <w:vAlign w:val="center"/>
          </w:tcPr>
          <w:p>
            <w:pPr>
              <w:pStyle w:val="8"/>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采购预算</w:t>
            </w:r>
          </w:p>
        </w:tc>
        <w:tc>
          <w:tcPr>
            <w:tcW w:w="5879" w:type="dxa"/>
            <w:vAlign w:val="center"/>
          </w:tcPr>
          <w:p>
            <w:pPr>
              <w:pStyle w:val="8"/>
              <w:rPr>
                <w:rFonts w:cs="宋体" w:asciiTheme="minorEastAsia" w:hAnsiTheme="minorEastAsia" w:eastAsiaTheme="minorEastAsia"/>
                <w:color w:val="auto"/>
                <w:szCs w:val="21"/>
                <w:highlight w:val="none"/>
                <w:u w:val="none"/>
              </w:rPr>
            </w:pPr>
            <w:r>
              <w:rPr>
                <w:rFonts w:hint="eastAsia" w:hAnsi="宋体" w:cs="宋体"/>
                <w:color w:val="auto"/>
                <w:szCs w:val="21"/>
                <w:highlight w:val="none"/>
                <w:u w:val="none"/>
              </w:rPr>
              <w:t>A分标：人民币叁拾伍万元整（￥</w:t>
            </w:r>
            <w:r>
              <w:rPr>
                <w:rFonts w:hint="eastAsia" w:hAnsi="宋体" w:cs="宋体"/>
                <w:color w:val="auto"/>
                <w:kern w:val="0"/>
                <w:szCs w:val="21"/>
                <w:highlight w:val="none"/>
                <w:u w:val="none"/>
              </w:rPr>
              <w:t>350000.00 元），B分标：人民币叁佰叁拾肆万陆仟元整（￥3346000.00元）；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Align w:val="center"/>
          </w:tcPr>
          <w:p>
            <w:pPr>
              <w:pStyle w:val="8"/>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1.7</w:t>
            </w:r>
          </w:p>
        </w:tc>
        <w:tc>
          <w:tcPr>
            <w:tcW w:w="2628" w:type="dxa"/>
            <w:vAlign w:val="center"/>
          </w:tcPr>
          <w:p>
            <w:pPr>
              <w:pStyle w:val="8"/>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获取招标文件的时间、地点、方式及招标文件售价</w:t>
            </w:r>
          </w:p>
        </w:tc>
        <w:tc>
          <w:tcPr>
            <w:tcW w:w="5879" w:type="dxa"/>
            <w:vAlign w:val="center"/>
          </w:tcPr>
          <w:p>
            <w:pPr>
              <w:pStyle w:val="8"/>
              <w:ind w:left="596" w:hanging="596" w:hangingChars="284"/>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时间：</w:t>
            </w:r>
            <w:r>
              <w:rPr>
                <w:rFonts w:hint="eastAsia" w:cs="宋体" w:asciiTheme="minorEastAsia" w:hAnsiTheme="minorEastAsia" w:eastAsiaTheme="minorEastAsia"/>
                <w:color w:val="auto"/>
                <w:szCs w:val="21"/>
                <w:highlight w:val="none"/>
                <w:u w:val="none"/>
                <w:lang w:eastAsia="zh-CN"/>
              </w:rPr>
              <w:t>2020年11月20日至2020年11月27日</w:t>
            </w:r>
            <w:r>
              <w:rPr>
                <w:rFonts w:hint="eastAsia" w:cs="宋体" w:asciiTheme="minorEastAsia" w:hAnsiTheme="minorEastAsia" w:eastAsiaTheme="minorEastAsia"/>
                <w:color w:val="auto"/>
                <w:szCs w:val="21"/>
                <w:highlight w:val="none"/>
                <w:u w:val="none"/>
              </w:rPr>
              <w:t>。</w:t>
            </w:r>
          </w:p>
          <w:p>
            <w:pPr>
              <w:pStyle w:val="8"/>
              <w:ind w:left="-1"/>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地点：中鼎誉润工程咨询有限公司钦州分公司灵山办事处（灵山县灵城镇江南路钻石公寓22号商铺（第二汽车站入站口旁）</w:t>
            </w:r>
          </w:p>
          <w:p>
            <w:pPr>
              <w:pStyle w:val="8"/>
              <w:tabs>
                <w:tab w:val="left" w:pos="210"/>
              </w:tabs>
              <w:ind w:left="-1"/>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售价：250元/本（售后不退，不提供电子版招标文件）</w:t>
            </w:r>
          </w:p>
          <w:p>
            <w:pP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报名要求：由报名单位法定代表人（负责人）或委托代理人必须携带以下证件和资料报名并购买公开招标文件：</w:t>
            </w:r>
            <w:r>
              <w:rPr>
                <w:rFonts w:hint="eastAsia" w:ascii="宋体" w:hAnsi="宋体" w:cs="宋体"/>
                <w:color w:val="auto"/>
                <w:szCs w:val="21"/>
                <w:highlight w:val="none"/>
                <w:u w:val="none"/>
              </w:rPr>
              <w:t>(1)有效的营业执照、组织机构代码证、税务登记证（或加载有统一社会信用代码的营业执照）复印件；（2）法定代表人身份证复印件；（3）法定代表人授权委托书原件及委托代理人身份证(委托代理时必须提供，明确委托权限及时间)；（4）报名人需为报名单位职工，并提供相关证明，如劳动合同复印件和社保证明资料；（5）开户许可证复印件；（6）对在“信用中国”网站(www.creditchina.gov.cn)查询的失信被执行人查询、重大税收违法案件当事人查询、政府采购严重违法失信行名单查询的查询记录结果复印件（查询截止时间为本项目发布采购公告之日起至竞标截止时间中任意一天）【注：上述材料复印件需与原件相符，复印件必须清晰且加盖单位公章并持原件核查，否则无效,无法通过报名，通过报名者方可购买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Align w:val="center"/>
          </w:tcPr>
          <w:p>
            <w:pPr>
              <w:pStyle w:val="8"/>
              <w:adjustRightInd w:val="0"/>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3.2</w:t>
            </w:r>
          </w:p>
        </w:tc>
        <w:tc>
          <w:tcPr>
            <w:tcW w:w="2628" w:type="dxa"/>
            <w:vAlign w:val="center"/>
          </w:tcPr>
          <w:p>
            <w:pPr>
              <w:pStyle w:val="8"/>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bCs/>
                <w:color w:val="auto"/>
                <w:szCs w:val="21"/>
                <w:highlight w:val="none"/>
                <w:u w:val="none"/>
              </w:rPr>
              <w:t>投标人应具备的特定条件</w:t>
            </w:r>
          </w:p>
        </w:tc>
        <w:tc>
          <w:tcPr>
            <w:tcW w:w="5879" w:type="dxa"/>
            <w:vAlign w:val="center"/>
          </w:tcPr>
          <w:p>
            <w:pPr>
              <w:pStyle w:val="8"/>
              <w:rPr>
                <w:rFonts w:cs="宋体" w:asciiTheme="minorEastAsia" w:hAnsiTheme="minorEastAsia" w:eastAsiaTheme="minorEastAsia"/>
                <w:b/>
                <w:color w:val="auto"/>
                <w:szCs w:val="21"/>
                <w:highlight w:val="none"/>
                <w:u w:val="none"/>
              </w:rPr>
            </w:pPr>
            <w:r>
              <w:rPr>
                <w:rFonts w:hint="eastAsia" w:cs="宋体" w:asciiTheme="minorEastAsia" w:hAnsiTheme="minorEastAsia" w:eastAsiaTheme="minorEastAsia"/>
                <w:bCs/>
                <w:color w:val="auto"/>
                <w:szCs w:val="21"/>
                <w:highlight w:val="none"/>
                <w:u w:val="none"/>
              </w:rPr>
              <w:t>具有国内法人资格，注册经营范围满足所投标采购内容的供应商；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8"/>
              <w:adjustRightInd w:val="0"/>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3.3</w:t>
            </w:r>
          </w:p>
        </w:tc>
        <w:tc>
          <w:tcPr>
            <w:tcW w:w="2628" w:type="dxa"/>
            <w:vAlign w:val="center"/>
          </w:tcPr>
          <w:p>
            <w:pPr>
              <w:pStyle w:val="8"/>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是否接受联合体投标</w:t>
            </w:r>
          </w:p>
        </w:tc>
        <w:tc>
          <w:tcPr>
            <w:tcW w:w="5879" w:type="dxa"/>
            <w:vAlign w:val="center"/>
          </w:tcPr>
          <w:p>
            <w:pPr>
              <w:pStyle w:val="8"/>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pStyle w:val="8"/>
              <w:adjustRightInd w:val="0"/>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4.1</w:t>
            </w:r>
          </w:p>
        </w:tc>
        <w:tc>
          <w:tcPr>
            <w:tcW w:w="2628" w:type="dxa"/>
            <w:vAlign w:val="center"/>
          </w:tcPr>
          <w:p>
            <w:pPr>
              <w:pStyle w:val="8"/>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招标文件质疑提交</w:t>
            </w:r>
            <w:r>
              <w:rPr>
                <w:rFonts w:hint="eastAsia" w:cs="宋体" w:asciiTheme="minorEastAsia" w:hAnsiTheme="minorEastAsia" w:eastAsiaTheme="minorEastAsia"/>
                <w:color w:val="auto"/>
                <w:kern w:val="0"/>
                <w:szCs w:val="21"/>
                <w:highlight w:val="none"/>
                <w:u w:val="none"/>
              </w:rPr>
              <w:t>的截止时间</w:t>
            </w:r>
          </w:p>
        </w:tc>
        <w:tc>
          <w:tcPr>
            <w:tcW w:w="5879" w:type="dxa"/>
            <w:vAlign w:val="center"/>
          </w:tcPr>
          <w:p>
            <w:pPr>
              <w:pStyle w:val="8"/>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招标文件发布之日起7个工作日内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Merge w:val="restart"/>
            <w:vAlign w:val="center"/>
          </w:tcPr>
          <w:p>
            <w:pPr>
              <w:pStyle w:val="8"/>
              <w:adjustRightInd w:val="0"/>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7.1</w:t>
            </w:r>
          </w:p>
        </w:tc>
        <w:tc>
          <w:tcPr>
            <w:tcW w:w="2628" w:type="dxa"/>
            <w:vAlign w:val="center"/>
          </w:tcPr>
          <w:p>
            <w:pPr>
              <w:pStyle w:val="8"/>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质疑提交地点、电话</w:t>
            </w:r>
          </w:p>
        </w:tc>
        <w:tc>
          <w:tcPr>
            <w:tcW w:w="5879" w:type="dxa"/>
            <w:vAlign w:val="center"/>
          </w:tcPr>
          <w:p>
            <w:pPr>
              <w:pStyle w:val="8"/>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质疑提交地点：钦州高新技术产业开发区B1地块河东公寓36号楼B3号商铺1-2层</w:t>
            </w:r>
          </w:p>
          <w:p>
            <w:pPr>
              <w:pStyle w:val="8"/>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质疑提交电话：0777-6668259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Merge w:val="continue"/>
            <w:vAlign w:val="center"/>
          </w:tcPr>
          <w:p>
            <w:pPr>
              <w:pStyle w:val="8"/>
              <w:adjustRightInd w:val="0"/>
              <w:jc w:val="center"/>
              <w:rPr>
                <w:rFonts w:cs="宋体" w:asciiTheme="minorEastAsia" w:hAnsiTheme="minorEastAsia" w:eastAsiaTheme="minorEastAsia"/>
                <w:color w:val="auto"/>
                <w:szCs w:val="21"/>
                <w:highlight w:val="none"/>
                <w:u w:val="none"/>
              </w:rPr>
            </w:pPr>
          </w:p>
        </w:tc>
        <w:tc>
          <w:tcPr>
            <w:tcW w:w="2628" w:type="dxa"/>
            <w:vAlign w:val="center"/>
          </w:tcPr>
          <w:p>
            <w:pPr>
              <w:pStyle w:val="8"/>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kern w:val="0"/>
                <w:szCs w:val="21"/>
                <w:highlight w:val="none"/>
                <w:u w:val="none"/>
              </w:rPr>
              <w:t>投标人要求澄清的截止时间</w:t>
            </w:r>
          </w:p>
        </w:tc>
        <w:tc>
          <w:tcPr>
            <w:tcW w:w="5879" w:type="dxa"/>
            <w:vAlign w:val="center"/>
          </w:tcPr>
          <w:p>
            <w:pPr>
              <w:pStyle w:val="8"/>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招标文件发布之日起7个工作日内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079" w:type="dxa"/>
            <w:vAlign w:val="center"/>
          </w:tcPr>
          <w:p>
            <w:pPr>
              <w:pStyle w:val="8"/>
              <w:adjustRightInd w:val="0"/>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8.8</w:t>
            </w:r>
          </w:p>
        </w:tc>
        <w:tc>
          <w:tcPr>
            <w:tcW w:w="2628" w:type="dxa"/>
            <w:vAlign w:val="center"/>
          </w:tcPr>
          <w:p>
            <w:pPr>
              <w:pStyle w:val="8"/>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投标文件份数</w:t>
            </w:r>
          </w:p>
        </w:tc>
        <w:tc>
          <w:tcPr>
            <w:tcW w:w="5879" w:type="dxa"/>
            <w:vAlign w:val="center"/>
          </w:tcPr>
          <w:p>
            <w:pPr>
              <w:pStyle w:val="8"/>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投标文件：正本1份，副本5份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8"/>
              <w:adjustRightInd w:val="0"/>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12.1</w:t>
            </w:r>
          </w:p>
        </w:tc>
        <w:tc>
          <w:tcPr>
            <w:tcW w:w="2628" w:type="dxa"/>
            <w:vAlign w:val="center"/>
          </w:tcPr>
          <w:p>
            <w:pPr>
              <w:pStyle w:val="8"/>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szCs w:val="21"/>
                <w:highlight w:val="none"/>
                <w:u w:val="none"/>
              </w:rPr>
              <w:t>投标有效期</w:t>
            </w:r>
          </w:p>
        </w:tc>
        <w:tc>
          <w:tcPr>
            <w:tcW w:w="5879" w:type="dxa"/>
            <w:vAlign w:val="center"/>
          </w:tcPr>
          <w:p>
            <w:pPr>
              <w:pStyle w:val="8"/>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自投标截止时间起60天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079" w:type="dxa"/>
            <w:vAlign w:val="center"/>
          </w:tcPr>
          <w:p>
            <w:pPr>
              <w:pStyle w:val="8"/>
              <w:adjustRightInd w:val="0"/>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13</w:t>
            </w:r>
          </w:p>
        </w:tc>
        <w:tc>
          <w:tcPr>
            <w:tcW w:w="2628" w:type="dxa"/>
            <w:vAlign w:val="center"/>
          </w:tcPr>
          <w:p>
            <w:pPr>
              <w:pStyle w:val="8"/>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投标保证金金额</w:t>
            </w:r>
          </w:p>
        </w:tc>
        <w:tc>
          <w:tcPr>
            <w:tcW w:w="5879" w:type="dxa"/>
            <w:vAlign w:val="center"/>
          </w:tcPr>
          <w:p>
            <w:pPr>
              <w:pStyle w:val="8"/>
              <w:tabs>
                <w:tab w:val="left" w:pos="0"/>
              </w:tabs>
              <w:spacing w:after="165"/>
              <w:ind w:firstLine="359" w:firstLineChars="171"/>
              <w:rPr>
                <w:rFonts w:cs="宋体" w:asciiTheme="minorEastAsia" w:hAnsiTheme="minorEastAsia" w:eastAsiaTheme="minorEastAsia"/>
                <w:b/>
                <w:color w:val="auto"/>
                <w:szCs w:val="21"/>
                <w:highlight w:val="none"/>
                <w:u w:val="none"/>
              </w:rPr>
            </w:pPr>
            <w:r>
              <w:rPr>
                <w:rFonts w:hint="eastAsia" w:cs="宋体" w:asciiTheme="minorEastAsia" w:hAnsiTheme="minorEastAsia" w:eastAsiaTheme="minorEastAsia"/>
                <w:color w:val="auto"/>
                <w:szCs w:val="21"/>
                <w:highlight w:val="none"/>
                <w:u w:val="none"/>
              </w:rPr>
              <w:t>13.1  投标保证金的金额：A分标：人民币陆仟元整元整（￥6000.00元）；B分标：人民币肆万元整（￥40000.00元）。（</w:t>
            </w:r>
            <w:r>
              <w:rPr>
                <w:rFonts w:hint="eastAsia" w:cs="宋体" w:asciiTheme="minorEastAsia" w:hAnsiTheme="minorEastAsia" w:eastAsiaTheme="minorEastAsia"/>
                <w:b/>
                <w:color w:val="auto"/>
                <w:szCs w:val="21"/>
                <w:highlight w:val="none"/>
                <w:u w:val="none"/>
              </w:rPr>
              <w:t>须足额交纳，否则投标无效）。</w:t>
            </w:r>
          </w:p>
          <w:p>
            <w:pPr>
              <w:pStyle w:val="8"/>
              <w:tabs>
                <w:tab w:val="left" w:pos="0"/>
              </w:tabs>
              <w:spacing w:after="165"/>
              <w:ind w:firstLine="361" w:firstLineChars="171"/>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b/>
                <w:color w:val="auto"/>
                <w:szCs w:val="21"/>
                <w:highlight w:val="none"/>
                <w:u w:val="none"/>
              </w:rPr>
              <w:t xml:space="preserve">13.2  </w:t>
            </w:r>
            <w:r>
              <w:rPr>
                <w:rFonts w:hint="eastAsia" w:cs="宋体" w:asciiTheme="minorEastAsia" w:hAnsiTheme="minorEastAsia" w:eastAsiaTheme="minorEastAsia"/>
                <w:color w:val="auto"/>
                <w:szCs w:val="21"/>
                <w:highlight w:val="none"/>
                <w:u w:val="none"/>
              </w:rPr>
              <w:t>投标保证金交纳方式：投标人应在</w:t>
            </w:r>
            <w:r>
              <w:rPr>
                <w:rFonts w:hint="eastAsia" w:cs="宋体" w:asciiTheme="minorEastAsia" w:hAnsiTheme="minorEastAsia" w:eastAsiaTheme="minorEastAsia"/>
                <w:color w:val="auto"/>
                <w:szCs w:val="21"/>
                <w:highlight w:val="none"/>
                <w:u w:val="none"/>
                <w:lang w:eastAsia="zh-CN"/>
              </w:rPr>
              <w:t>2020年12月21日10时00 分</w:t>
            </w:r>
            <w:r>
              <w:rPr>
                <w:rFonts w:hint="eastAsia" w:cs="宋体" w:asciiTheme="minorEastAsia" w:hAnsiTheme="minorEastAsia" w:eastAsiaTheme="minorEastAsia"/>
                <w:color w:val="auto"/>
                <w:szCs w:val="21"/>
                <w:highlight w:val="none"/>
                <w:u w:val="none"/>
              </w:rPr>
              <w:t>前按规定的金额递交投标保证金，并确保到账。投标人应于响应文件递交截止时间前将保证金以电汇、转账等非现金形式从供应商银行账户转出并到达中鼎誉润工程咨询有限公司钦州分公司指定账户，否则视为无效投标保证金。本项目不接受现金形式或从个人账户转出的投标保证金。</w:t>
            </w:r>
          </w:p>
          <w:p>
            <w:pP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保证金缴纳信息：</w:t>
            </w:r>
          </w:p>
          <w:p>
            <w:pPr>
              <w:ind w:firstLine="420" w:firstLineChars="200"/>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开户名称：钦州市公共资源交易中心</w:t>
            </w:r>
          </w:p>
          <w:p>
            <w:pPr>
              <w:ind w:firstLine="420" w:firstLineChars="200"/>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开户银行：钦州市区农村信用合作联社政务服务中心分社</w:t>
            </w:r>
          </w:p>
          <w:p>
            <w:pPr>
              <w:spacing w:line="240" w:lineRule="atLeast"/>
              <w:ind w:firstLine="420" w:firstLineChars="200"/>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银行账号：</w:t>
            </w:r>
          </w:p>
          <w:p>
            <w:pPr>
              <w:ind w:firstLine="420" w:firstLineChars="200"/>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注：保证金要求备注项目编号和用途。投标人应按上述要求交纳保证金,并自行考虑到账时间，妥善安排保证金交纳工作，确保按时到账。</w:t>
            </w:r>
          </w:p>
          <w:p>
            <w:pPr>
              <w:pStyle w:val="8"/>
              <w:tabs>
                <w:tab w:val="left" w:pos="0"/>
              </w:tabs>
              <w:spacing w:after="165"/>
              <w:ind w:firstLine="359" w:firstLineChars="171"/>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13.3对未足额、按时交纳保证金的，均按未交纳保证金处理，并由评标小组现场核定该响应文件无效。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Align w:val="center"/>
          </w:tcPr>
          <w:p>
            <w:pPr>
              <w:pStyle w:val="8"/>
              <w:adjustRightInd w:val="0"/>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15.1</w:t>
            </w:r>
          </w:p>
        </w:tc>
        <w:tc>
          <w:tcPr>
            <w:tcW w:w="2628" w:type="dxa"/>
            <w:vAlign w:val="center"/>
          </w:tcPr>
          <w:p>
            <w:pPr>
              <w:pStyle w:val="8"/>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投标截止时间（开标时间）</w:t>
            </w:r>
          </w:p>
        </w:tc>
        <w:tc>
          <w:tcPr>
            <w:tcW w:w="5879" w:type="dxa"/>
            <w:vAlign w:val="center"/>
          </w:tcPr>
          <w:p>
            <w:pPr>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与第一章公告的投标截止时间（开标时间）一致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8"/>
              <w:adjustRightInd w:val="0"/>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15.2</w:t>
            </w:r>
          </w:p>
        </w:tc>
        <w:tc>
          <w:tcPr>
            <w:tcW w:w="2628" w:type="dxa"/>
            <w:vAlign w:val="center"/>
          </w:tcPr>
          <w:p>
            <w:pPr>
              <w:pStyle w:val="8"/>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递交投标文件地点</w:t>
            </w:r>
          </w:p>
        </w:tc>
        <w:tc>
          <w:tcPr>
            <w:tcW w:w="5879" w:type="dxa"/>
            <w:vAlign w:val="center"/>
          </w:tcPr>
          <w:p>
            <w:pPr>
              <w:pStyle w:val="8"/>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钦州市公共资源交易中心（钦州市金海湾东大街8号，市民服务中心三楼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8"/>
              <w:adjustRightInd w:val="0"/>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16.1</w:t>
            </w:r>
          </w:p>
        </w:tc>
        <w:tc>
          <w:tcPr>
            <w:tcW w:w="2628" w:type="dxa"/>
            <w:vAlign w:val="center"/>
          </w:tcPr>
          <w:p>
            <w:pPr>
              <w:pStyle w:val="8"/>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开标地点</w:t>
            </w:r>
          </w:p>
        </w:tc>
        <w:tc>
          <w:tcPr>
            <w:tcW w:w="5879" w:type="dxa"/>
            <w:vAlign w:val="center"/>
          </w:tcPr>
          <w:p>
            <w:pPr>
              <w:pStyle w:val="8"/>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8"/>
              <w:adjustRightInd w:val="0"/>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17.3</w:t>
            </w:r>
          </w:p>
        </w:tc>
        <w:tc>
          <w:tcPr>
            <w:tcW w:w="2628" w:type="dxa"/>
            <w:vAlign w:val="center"/>
          </w:tcPr>
          <w:p>
            <w:pPr>
              <w:pStyle w:val="8"/>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评标方法</w:t>
            </w:r>
          </w:p>
        </w:tc>
        <w:tc>
          <w:tcPr>
            <w:tcW w:w="5879" w:type="dxa"/>
            <w:vAlign w:val="center"/>
          </w:tcPr>
          <w:p>
            <w:pPr>
              <w:pStyle w:val="8"/>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pStyle w:val="8"/>
              <w:adjustRightInd w:val="0"/>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23.1</w:t>
            </w:r>
          </w:p>
        </w:tc>
        <w:tc>
          <w:tcPr>
            <w:tcW w:w="2628" w:type="dxa"/>
            <w:vAlign w:val="center"/>
          </w:tcPr>
          <w:p>
            <w:pPr>
              <w:pStyle w:val="8"/>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中标通知书的发放</w:t>
            </w:r>
          </w:p>
        </w:tc>
        <w:tc>
          <w:tcPr>
            <w:tcW w:w="5879" w:type="dxa"/>
            <w:vAlign w:val="center"/>
          </w:tcPr>
          <w:p>
            <w:pPr>
              <w:pStyle w:val="8"/>
              <w:ind w:firstLine="420" w:firstLineChars="200"/>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在评标报告出来后按相关规定在</w:t>
            </w:r>
            <w:r>
              <w:rPr>
                <w:rFonts w:hint="eastAsia" w:cs="宋体" w:asciiTheme="minorEastAsia" w:hAnsiTheme="minorEastAsia" w:eastAsiaTheme="minorEastAsia"/>
                <w:color w:val="auto"/>
                <w:kern w:val="0"/>
                <w:szCs w:val="21"/>
                <w:highlight w:val="none"/>
                <w:u w:val="none"/>
              </w:rPr>
              <w:t>本章第2.1项规定的政府采购信息发布媒体上公示中标结果公告，同时向中标供应商发出中标通知书。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Align w:val="center"/>
          </w:tcPr>
          <w:p>
            <w:pPr>
              <w:pStyle w:val="8"/>
              <w:adjustRightInd w:val="0"/>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26.1</w:t>
            </w:r>
          </w:p>
        </w:tc>
        <w:tc>
          <w:tcPr>
            <w:tcW w:w="2628" w:type="dxa"/>
            <w:vAlign w:val="center"/>
          </w:tcPr>
          <w:p>
            <w:pPr>
              <w:autoSpaceDE w:val="0"/>
              <w:autoSpaceDN w:val="0"/>
              <w:adjustRightInd w:val="0"/>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kern w:val="0"/>
                <w:szCs w:val="21"/>
                <w:highlight w:val="none"/>
                <w:u w:val="none"/>
              </w:rPr>
              <w:t>履约保证金金额</w:t>
            </w:r>
          </w:p>
        </w:tc>
        <w:tc>
          <w:tcPr>
            <w:tcW w:w="5879" w:type="dxa"/>
            <w:vAlign w:val="center"/>
          </w:tcPr>
          <w:p>
            <w:pPr>
              <w:pStyle w:val="8"/>
              <w:rPr>
                <w:rFonts w:cs="宋体" w:asciiTheme="minorEastAsia" w:hAnsiTheme="minorEastAsia" w:eastAsiaTheme="minorEastAsia"/>
                <w:color w:val="auto"/>
                <w:szCs w:val="21"/>
                <w:highlight w:val="none"/>
                <w:u w:val="none"/>
              </w:rPr>
            </w:pPr>
            <w:r>
              <w:rPr>
                <w:rFonts w:hint="eastAsia" w:asciiTheme="minorEastAsia" w:hAnsiTheme="minorEastAsia" w:eastAsiaTheme="minorEastAsia"/>
                <w:bCs/>
                <w:color w:val="auto"/>
                <w:highlight w:val="none"/>
                <w:u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079" w:type="dxa"/>
            <w:vAlign w:val="center"/>
          </w:tcPr>
          <w:p>
            <w:pPr>
              <w:pStyle w:val="8"/>
              <w:adjustRightInd w:val="0"/>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27.1</w:t>
            </w:r>
          </w:p>
        </w:tc>
        <w:tc>
          <w:tcPr>
            <w:tcW w:w="2628" w:type="dxa"/>
            <w:vAlign w:val="center"/>
          </w:tcPr>
          <w:p>
            <w:pPr>
              <w:autoSpaceDE w:val="0"/>
              <w:autoSpaceDN w:val="0"/>
              <w:adjustRightInd w:val="0"/>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szCs w:val="21"/>
                <w:highlight w:val="none"/>
                <w:u w:val="none"/>
              </w:rPr>
              <w:t>相关费用</w:t>
            </w:r>
          </w:p>
        </w:tc>
        <w:tc>
          <w:tcPr>
            <w:tcW w:w="5879" w:type="dxa"/>
            <w:vAlign w:val="center"/>
          </w:tcPr>
          <w:p>
            <w:pPr>
              <w:pStyle w:val="8"/>
              <w:rPr>
                <w:rFonts w:asciiTheme="minorEastAsia" w:hAnsiTheme="minorEastAsia" w:eastAsiaTheme="minorEastAsia"/>
                <w:bCs/>
                <w:color w:val="auto"/>
                <w:highlight w:val="none"/>
                <w:u w:val="none"/>
              </w:rPr>
            </w:pPr>
            <w:r>
              <w:rPr>
                <w:rFonts w:hint="eastAsia" w:cs="宋体" w:asciiTheme="minorEastAsia" w:hAnsiTheme="minorEastAsia" w:eastAsiaTheme="minorEastAsia"/>
                <w:color w:val="auto"/>
                <w:szCs w:val="21"/>
                <w:highlight w:val="none"/>
                <w:u w:val="none"/>
              </w:rPr>
              <w:t>招标代理服务费及评审专家劳务费向中标方收取。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8"/>
              <w:adjustRightInd w:val="0"/>
              <w:jc w:val="center"/>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28.1</w:t>
            </w:r>
          </w:p>
        </w:tc>
        <w:tc>
          <w:tcPr>
            <w:tcW w:w="2628" w:type="dxa"/>
            <w:vAlign w:val="center"/>
          </w:tcPr>
          <w:p>
            <w:pPr>
              <w:autoSpaceDE w:val="0"/>
              <w:autoSpaceDN w:val="0"/>
              <w:adjustRightInd w:val="0"/>
              <w:jc w:val="center"/>
              <w:rPr>
                <w:rFonts w:cs="宋体" w:asciiTheme="minorEastAsia" w:hAnsiTheme="minorEastAsia" w:eastAsiaTheme="minorEastAsia"/>
                <w:color w:val="auto"/>
                <w:kern w:val="0"/>
                <w:szCs w:val="21"/>
                <w:highlight w:val="none"/>
                <w:u w:val="none"/>
              </w:rPr>
            </w:pPr>
            <w:r>
              <w:rPr>
                <w:rFonts w:hint="eastAsia" w:asciiTheme="minorEastAsia" w:hAnsiTheme="minorEastAsia" w:eastAsiaTheme="minorEastAsia"/>
                <w:bCs/>
                <w:color w:val="auto"/>
                <w:sz w:val="24"/>
                <w:highlight w:val="none"/>
                <w:u w:val="none"/>
              </w:rPr>
              <w:t>解释权</w:t>
            </w:r>
          </w:p>
        </w:tc>
        <w:tc>
          <w:tcPr>
            <w:tcW w:w="5879" w:type="dxa"/>
            <w:vAlign w:val="center"/>
          </w:tcPr>
          <w:p>
            <w:pPr>
              <w:pStyle w:val="8"/>
              <w:rPr>
                <w:rFonts w:cs="宋体" w:asciiTheme="minorEastAsia" w:hAnsiTheme="minorEastAsia" w:eastAsiaTheme="minorEastAsia"/>
                <w:color w:val="auto"/>
                <w:szCs w:val="21"/>
                <w:highlight w:val="none"/>
                <w:u w:val="none"/>
              </w:rPr>
            </w:pPr>
            <w:r>
              <w:rPr>
                <w:rFonts w:hint="eastAsia" w:asciiTheme="minorEastAsia" w:hAnsiTheme="minorEastAsia" w:eastAsiaTheme="minorEastAsia"/>
                <w:color w:val="auto"/>
                <w:highlight w:val="none"/>
                <w:u w:val="none"/>
              </w:rPr>
              <w:t>解释权属采购代理机构。</w:t>
            </w:r>
          </w:p>
        </w:tc>
      </w:tr>
    </w:tbl>
    <w:p>
      <w:pPr>
        <w:pStyle w:val="8"/>
        <w:jc w:val="center"/>
        <w:outlineLvl w:val="1"/>
        <w:rPr>
          <w:rFonts w:asciiTheme="minorEastAsia" w:hAnsiTheme="minorEastAsia" w:eastAsiaTheme="minorEastAsia"/>
          <w:b/>
          <w:color w:val="auto"/>
          <w:sz w:val="28"/>
          <w:szCs w:val="28"/>
          <w:highlight w:val="none"/>
          <w:u w:val="none"/>
        </w:rPr>
      </w:pPr>
      <w:r>
        <w:rPr>
          <w:rFonts w:hint="eastAsia" w:asciiTheme="minorEastAsia" w:hAnsiTheme="minorEastAsia" w:eastAsiaTheme="minorEastAsia"/>
          <w:b/>
          <w:color w:val="auto"/>
          <w:sz w:val="30"/>
          <w:szCs w:val="30"/>
          <w:highlight w:val="none"/>
          <w:u w:val="none"/>
        </w:rPr>
        <w:t>一    总  则</w:t>
      </w:r>
    </w:p>
    <w:p>
      <w:pPr>
        <w:pStyle w:val="8"/>
        <w:ind w:left="242" w:hanging="242" w:hangingChars="101"/>
        <w:jc w:val="left"/>
        <w:rPr>
          <w:rFonts w:asciiTheme="minorEastAsia" w:hAnsiTheme="minorEastAsia" w:eastAsiaTheme="minorEastAsia"/>
          <w:bCs/>
          <w:color w:val="auto"/>
          <w:sz w:val="24"/>
          <w:highlight w:val="none"/>
          <w:u w:val="none"/>
        </w:rPr>
      </w:pPr>
      <w:r>
        <w:rPr>
          <w:rFonts w:hint="eastAsia" w:asciiTheme="minorEastAsia" w:hAnsiTheme="minorEastAsia" w:eastAsiaTheme="minorEastAsia"/>
          <w:bCs/>
          <w:color w:val="auto"/>
          <w:sz w:val="24"/>
          <w:highlight w:val="none"/>
          <w:u w:val="none"/>
        </w:rPr>
        <w:t>1. 项目概况</w:t>
      </w:r>
    </w:p>
    <w:p>
      <w:pPr>
        <w:pStyle w:val="8"/>
        <w:ind w:left="2" w:firstLine="358"/>
        <w:jc w:val="left"/>
        <w:rPr>
          <w:rFonts w:asciiTheme="minorEastAsia" w:hAnsiTheme="minorEastAsia" w:eastAsiaTheme="minorEastAsia"/>
          <w:bCs/>
          <w:color w:val="auto"/>
          <w:highlight w:val="none"/>
          <w:u w:val="none"/>
        </w:rPr>
      </w:pPr>
      <w:r>
        <w:rPr>
          <w:rFonts w:hint="eastAsia" w:asciiTheme="minorEastAsia" w:hAnsiTheme="minorEastAsia" w:eastAsiaTheme="minorEastAsia"/>
          <w:bCs/>
          <w:color w:val="auto"/>
          <w:highlight w:val="none"/>
          <w:u w:val="none"/>
        </w:rPr>
        <w:t>1.1  采购人：见投标人须知前附表。</w:t>
      </w:r>
    </w:p>
    <w:p>
      <w:pPr>
        <w:pStyle w:val="8"/>
        <w:ind w:left="2" w:firstLine="358"/>
        <w:jc w:val="left"/>
        <w:rPr>
          <w:rFonts w:asciiTheme="minorEastAsia" w:hAnsiTheme="minorEastAsia" w:eastAsiaTheme="minorEastAsia"/>
          <w:color w:val="auto"/>
          <w:highlight w:val="none"/>
          <w:u w:val="none"/>
        </w:rPr>
      </w:pPr>
      <w:r>
        <w:rPr>
          <w:rFonts w:hint="eastAsia" w:asciiTheme="minorEastAsia" w:hAnsiTheme="minorEastAsia" w:eastAsiaTheme="minorEastAsia"/>
          <w:bCs/>
          <w:color w:val="auto"/>
          <w:highlight w:val="none"/>
          <w:u w:val="none"/>
        </w:rPr>
        <w:t>1.2  采购代理机构：见投标人须知前附表。</w:t>
      </w:r>
    </w:p>
    <w:p>
      <w:pPr>
        <w:pStyle w:val="8"/>
        <w:ind w:left="2" w:firstLine="358"/>
        <w:jc w:val="left"/>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1.3  项目名称：</w:t>
      </w:r>
      <w:r>
        <w:rPr>
          <w:rFonts w:hint="eastAsia" w:asciiTheme="minorEastAsia" w:hAnsiTheme="minorEastAsia" w:eastAsiaTheme="minorEastAsia"/>
          <w:bCs/>
          <w:color w:val="auto"/>
          <w:highlight w:val="none"/>
          <w:u w:val="none"/>
        </w:rPr>
        <w:t>见投标人须知前附表。</w:t>
      </w:r>
    </w:p>
    <w:p>
      <w:pPr>
        <w:pStyle w:val="8"/>
        <w:ind w:left="2" w:firstLine="358"/>
        <w:jc w:val="left"/>
        <w:rPr>
          <w:rFonts w:asciiTheme="minorEastAsia" w:hAnsiTheme="minorEastAsia" w:eastAsiaTheme="minorEastAsia"/>
          <w:bCs/>
          <w:color w:val="auto"/>
          <w:highlight w:val="none"/>
          <w:u w:val="none"/>
        </w:rPr>
      </w:pPr>
      <w:r>
        <w:rPr>
          <w:rFonts w:hint="eastAsia" w:asciiTheme="minorEastAsia" w:hAnsiTheme="minorEastAsia" w:eastAsiaTheme="minorEastAsia"/>
          <w:color w:val="auto"/>
          <w:highlight w:val="none"/>
          <w:u w:val="none"/>
        </w:rPr>
        <w:t>1.4  项目编号：</w:t>
      </w:r>
      <w:r>
        <w:rPr>
          <w:rFonts w:hint="eastAsia" w:asciiTheme="minorEastAsia" w:hAnsiTheme="minorEastAsia" w:eastAsiaTheme="minorEastAsia"/>
          <w:bCs/>
          <w:color w:val="auto"/>
          <w:highlight w:val="none"/>
          <w:u w:val="none"/>
        </w:rPr>
        <w:t>见投标人须知前附表。</w:t>
      </w:r>
    </w:p>
    <w:p>
      <w:pPr>
        <w:pStyle w:val="8"/>
        <w:ind w:left="2" w:firstLine="358"/>
        <w:jc w:val="left"/>
        <w:rPr>
          <w:rFonts w:asciiTheme="minorEastAsia" w:hAnsiTheme="minorEastAsia" w:eastAsiaTheme="minorEastAsia"/>
          <w:bCs/>
          <w:color w:val="auto"/>
          <w:highlight w:val="none"/>
          <w:u w:val="none"/>
        </w:rPr>
      </w:pPr>
      <w:r>
        <w:rPr>
          <w:rFonts w:hint="eastAsia" w:asciiTheme="minorEastAsia" w:hAnsiTheme="minorEastAsia" w:eastAsiaTheme="minorEastAsia"/>
          <w:bCs/>
          <w:color w:val="auto"/>
          <w:highlight w:val="none"/>
          <w:u w:val="none"/>
        </w:rPr>
        <w:t>1.5  采购预算：见投标人须知前附表。</w:t>
      </w:r>
    </w:p>
    <w:p>
      <w:pPr>
        <w:pStyle w:val="8"/>
        <w:ind w:left="2" w:firstLine="358"/>
        <w:jc w:val="left"/>
        <w:rPr>
          <w:rFonts w:asciiTheme="minorEastAsia" w:hAnsiTheme="minorEastAsia" w:eastAsiaTheme="minorEastAsia"/>
          <w:bCs/>
          <w:color w:val="auto"/>
          <w:highlight w:val="none"/>
          <w:u w:val="none"/>
        </w:rPr>
      </w:pPr>
      <w:r>
        <w:rPr>
          <w:rFonts w:hint="eastAsia" w:asciiTheme="minorEastAsia" w:hAnsiTheme="minorEastAsia" w:eastAsiaTheme="minorEastAsia"/>
          <w:bCs/>
          <w:color w:val="auto"/>
          <w:highlight w:val="none"/>
          <w:u w:val="none"/>
        </w:rPr>
        <w:t>1.6  资金来源：政府财政性资金。</w:t>
      </w:r>
    </w:p>
    <w:p>
      <w:pPr>
        <w:pStyle w:val="8"/>
        <w:ind w:left="2" w:firstLine="358"/>
        <w:jc w:val="left"/>
        <w:rPr>
          <w:rFonts w:asciiTheme="minorEastAsia" w:hAnsiTheme="minorEastAsia" w:eastAsiaTheme="minorEastAsia"/>
          <w:bCs/>
          <w:color w:val="auto"/>
          <w:highlight w:val="none"/>
          <w:u w:val="none"/>
        </w:rPr>
      </w:pPr>
      <w:r>
        <w:rPr>
          <w:rFonts w:hint="eastAsia" w:asciiTheme="minorEastAsia" w:hAnsiTheme="minorEastAsia" w:eastAsiaTheme="minorEastAsia"/>
          <w:bCs/>
          <w:color w:val="auto"/>
          <w:highlight w:val="none"/>
          <w:u w:val="none"/>
        </w:rPr>
        <w:t xml:space="preserve">1.7  </w:t>
      </w:r>
      <w:r>
        <w:rPr>
          <w:rFonts w:hint="eastAsia" w:asciiTheme="minorEastAsia" w:hAnsiTheme="minorEastAsia" w:eastAsiaTheme="minorEastAsia"/>
          <w:color w:val="auto"/>
          <w:szCs w:val="21"/>
          <w:highlight w:val="none"/>
          <w:u w:val="none"/>
        </w:rPr>
        <w:t>获取招标文件的时间、地点、方式、招标文件售价及报名要求：</w:t>
      </w:r>
      <w:r>
        <w:rPr>
          <w:rFonts w:hint="eastAsia" w:asciiTheme="minorEastAsia" w:hAnsiTheme="minorEastAsia" w:eastAsiaTheme="minorEastAsia"/>
          <w:bCs/>
          <w:color w:val="auto"/>
          <w:highlight w:val="none"/>
          <w:u w:val="none"/>
        </w:rPr>
        <w:t>见投标人须知前附表。</w:t>
      </w:r>
    </w:p>
    <w:p>
      <w:pPr>
        <w:pStyle w:val="8"/>
        <w:jc w:val="left"/>
        <w:rPr>
          <w:rFonts w:asciiTheme="minorEastAsia" w:hAnsiTheme="minorEastAsia" w:eastAsiaTheme="minorEastAsia"/>
          <w:bCs/>
          <w:color w:val="auto"/>
          <w:sz w:val="24"/>
          <w:highlight w:val="none"/>
          <w:u w:val="none"/>
        </w:rPr>
      </w:pPr>
      <w:r>
        <w:rPr>
          <w:rFonts w:hint="eastAsia" w:asciiTheme="minorEastAsia" w:hAnsiTheme="minorEastAsia" w:eastAsiaTheme="minorEastAsia"/>
          <w:bCs/>
          <w:color w:val="auto"/>
          <w:sz w:val="24"/>
          <w:highlight w:val="none"/>
          <w:u w:val="none"/>
        </w:rPr>
        <w:t>2.  政府采购信息发布媒体：</w:t>
      </w:r>
    </w:p>
    <w:p>
      <w:pPr>
        <w:spacing w:line="240" w:lineRule="atLeast"/>
        <w:jc w:val="left"/>
        <w:rPr>
          <w:rFonts w:cs="宋体" w:asciiTheme="minorEastAsia" w:hAnsiTheme="minorEastAsia" w:eastAsiaTheme="minorEastAsia"/>
          <w:bCs/>
          <w:color w:val="auto"/>
          <w:szCs w:val="21"/>
          <w:highlight w:val="none"/>
          <w:u w:val="none"/>
        </w:rPr>
      </w:pPr>
      <w:r>
        <w:rPr>
          <w:rFonts w:hint="eastAsia" w:asciiTheme="minorEastAsia" w:hAnsiTheme="minorEastAsia" w:eastAsiaTheme="minorEastAsia"/>
          <w:bCs/>
          <w:color w:val="auto"/>
          <w:highlight w:val="none"/>
          <w:u w:val="none"/>
        </w:rPr>
        <w:t>2.1  与本项目相关的政府采购业务信息（包括公开招标公告、中标公告及其更正事项等）将在以下媒体上发布：</w:t>
      </w:r>
      <w:r>
        <w:rPr>
          <w:rFonts w:hint="eastAsia" w:cs="宋体" w:asciiTheme="minorEastAsia" w:hAnsiTheme="minorEastAsia" w:eastAsiaTheme="minorEastAsia"/>
          <w:color w:val="auto"/>
          <w:szCs w:val="21"/>
          <w:highlight w:val="none"/>
          <w:u w:val="none"/>
        </w:rPr>
        <w:t>http://</w:t>
      </w:r>
      <w:r>
        <w:rPr>
          <w:color w:val="auto"/>
          <w:highlight w:val="none"/>
          <w:u w:val="none"/>
        </w:rPr>
        <w:fldChar w:fldCharType="begin"/>
      </w:r>
      <w:r>
        <w:rPr>
          <w:color w:val="auto"/>
          <w:highlight w:val="none"/>
          <w:u w:val="none"/>
        </w:rPr>
        <w:instrText xml:space="preserve"> HYPERLINK "http://www.ccgp/" </w:instrText>
      </w:r>
      <w:r>
        <w:rPr>
          <w:color w:val="auto"/>
          <w:highlight w:val="none"/>
          <w:u w:val="none"/>
        </w:rPr>
        <w:fldChar w:fldCharType="separate"/>
      </w:r>
      <w:r>
        <w:rPr>
          <w:rFonts w:hint="eastAsia" w:cs="宋体" w:asciiTheme="minorEastAsia" w:hAnsiTheme="minorEastAsia" w:eastAsiaTheme="minorEastAsia"/>
          <w:color w:val="auto"/>
          <w:szCs w:val="21"/>
          <w:highlight w:val="none"/>
          <w:u w:val="none"/>
        </w:rPr>
        <w:t>www.ccgp</w:t>
      </w:r>
      <w:r>
        <w:rPr>
          <w:rFonts w:hint="eastAsia" w:cs="宋体" w:asciiTheme="minorEastAsia" w:hAnsiTheme="minorEastAsia" w:eastAsiaTheme="minorEastAsia"/>
          <w:color w:val="auto"/>
          <w:szCs w:val="21"/>
          <w:highlight w:val="none"/>
          <w:u w:val="none"/>
        </w:rPr>
        <w:fldChar w:fldCharType="end"/>
      </w:r>
      <w:r>
        <w:rPr>
          <w:rFonts w:hint="eastAsia" w:cs="宋体" w:asciiTheme="minorEastAsia" w:hAnsiTheme="minorEastAsia" w:eastAsiaTheme="minorEastAsia"/>
          <w:color w:val="auto"/>
          <w:szCs w:val="21"/>
          <w:highlight w:val="none"/>
          <w:u w:val="none"/>
        </w:rPr>
        <w:t>.gov.cn（中国政府采购网）、http：//www.gxls.gov.cn（灵山人民政府网）、 http://zfcg.gxzf.gov.cn/（广西壮族自治区政府采购网）、http://ggzyjy.qinzhou.gov.cn/gxqzzbw/（钦州公共资源交易中心网）。</w:t>
      </w:r>
    </w:p>
    <w:p>
      <w:pPr>
        <w:ind w:firstLine="240" w:firstLineChars="100"/>
        <w:rPr>
          <w:rFonts w:asciiTheme="minorEastAsia" w:hAnsiTheme="minorEastAsia" w:eastAsiaTheme="minorEastAsia"/>
          <w:bCs/>
          <w:color w:val="auto"/>
          <w:sz w:val="24"/>
          <w:highlight w:val="none"/>
          <w:u w:val="none"/>
        </w:rPr>
      </w:pPr>
      <w:r>
        <w:rPr>
          <w:rFonts w:hint="eastAsia" w:asciiTheme="minorEastAsia" w:hAnsiTheme="minorEastAsia" w:eastAsiaTheme="minorEastAsia"/>
          <w:bCs/>
          <w:color w:val="auto"/>
          <w:sz w:val="24"/>
          <w:highlight w:val="none"/>
          <w:u w:val="none"/>
        </w:rPr>
        <w:t>3. 投标人资格要求：</w:t>
      </w:r>
    </w:p>
    <w:p>
      <w:p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3.1满足《中华人民共和国政府采购法》第二十二条规定；</w:t>
      </w:r>
    </w:p>
    <w:p>
      <w:p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3.2落实政府采购政策需满足的资格要求：《政府采购促进中小企业发展暂行办法》（财库[2011]181号）等政府采购相关政策。</w:t>
      </w:r>
    </w:p>
    <w:p>
      <w:pPr>
        <w:pStyle w:val="27"/>
        <w:spacing w:line="240" w:lineRule="auto"/>
        <w:ind w:firstLine="420"/>
        <w:rPr>
          <w:rFonts w:cs="宋体"/>
          <w:color w:val="auto"/>
          <w:sz w:val="21"/>
          <w:szCs w:val="21"/>
          <w:highlight w:val="none"/>
          <w:u w:val="none"/>
        </w:rPr>
      </w:pPr>
      <w:r>
        <w:rPr>
          <w:rFonts w:hint="eastAsia" w:cs="宋体"/>
          <w:color w:val="auto"/>
          <w:sz w:val="21"/>
          <w:szCs w:val="21"/>
          <w:highlight w:val="none"/>
          <w:u w:val="none"/>
        </w:rPr>
        <w:t>3.3本项目的特定资格要求：</w:t>
      </w:r>
    </w:p>
    <w:p>
      <w:pPr>
        <w:pStyle w:val="27"/>
        <w:spacing w:line="240" w:lineRule="auto"/>
        <w:ind w:firstLine="420"/>
        <w:rPr>
          <w:rFonts w:cs="宋体"/>
          <w:color w:val="auto"/>
          <w:sz w:val="21"/>
          <w:szCs w:val="21"/>
          <w:highlight w:val="none"/>
          <w:u w:val="none"/>
        </w:rPr>
      </w:pPr>
      <w:r>
        <w:rPr>
          <w:rFonts w:hint="eastAsia" w:cs="宋体"/>
          <w:color w:val="auto"/>
          <w:sz w:val="21"/>
          <w:szCs w:val="21"/>
          <w:highlight w:val="none"/>
          <w:u w:val="none"/>
        </w:rPr>
        <w:t>A分标：</w:t>
      </w:r>
    </w:p>
    <w:p>
      <w:pPr>
        <w:pStyle w:val="27"/>
        <w:spacing w:line="240" w:lineRule="auto"/>
        <w:ind w:firstLine="420"/>
        <w:rPr>
          <w:rFonts w:cs="宋体"/>
          <w:color w:val="auto"/>
          <w:sz w:val="21"/>
          <w:szCs w:val="21"/>
          <w:highlight w:val="none"/>
          <w:u w:val="none"/>
        </w:rPr>
      </w:pPr>
      <w:r>
        <w:rPr>
          <w:rFonts w:hint="eastAsia" w:cs="宋体"/>
          <w:color w:val="auto"/>
          <w:sz w:val="21"/>
          <w:szCs w:val="21"/>
          <w:highlight w:val="none"/>
          <w:u w:val="none"/>
        </w:rPr>
        <w:t>（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7"/>
        <w:spacing w:line="240" w:lineRule="auto"/>
        <w:ind w:firstLine="420"/>
        <w:rPr>
          <w:rFonts w:cs="宋体"/>
          <w:color w:val="auto"/>
          <w:sz w:val="21"/>
          <w:szCs w:val="21"/>
          <w:highlight w:val="none"/>
          <w:u w:val="none"/>
        </w:rPr>
      </w:pPr>
      <w:r>
        <w:rPr>
          <w:rFonts w:hint="eastAsia" w:cs="宋体"/>
          <w:color w:val="auto"/>
          <w:sz w:val="21"/>
          <w:szCs w:val="21"/>
          <w:highlight w:val="none"/>
          <w:u w:val="none"/>
        </w:rPr>
        <w:t>（2）竞标人参加采购活动前三年内，在经营活动中没有重大违法记录（须提供书面声明）。</w:t>
      </w:r>
    </w:p>
    <w:p>
      <w:pPr>
        <w:pStyle w:val="27"/>
        <w:spacing w:line="240" w:lineRule="auto"/>
        <w:ind w:firstLine="420"/>
        <w:rPr>
          <w:rFonts w:cs="宋体"/>
          <w:color w:val="auto"/>
          <w:sz w:val="21"/>
          <w:szCs w:val="21"/>
          <w:highlight w:val="none"/>
          <w:u w:val="none"/>
        </w:rPr>
      </w:pPr>
      <w:r>
        <w:rPr>
          <w:rFonts w:hint="eastAsia" w:cs="宋体"/>
          <w:color w:val="auto"/>
          <w:sz w:val="21"/>
          <w:szCs w:val="21"/>
          <w:highlight w:val="none"/>
          <w:u w:val="none"/>
        </w:rPr>
        <w:t>（3）竞标人对在“信用中国”网站(www.creditchina.gov.cn)、中国政府采购网(www.ccgp.gov.cn)等渠道列入失信被执行人、重大税收违法案件当事人名单、政府采购严重违法失信行为记录名单的供应商，不得参与本项目政府采购活动。</w:t>
      </w:r>
    </w:p>
    <w:p>
      <w:pPr>
        <w:pStyle w:val="27"/>
        <w:spacing w:line="240" w:lineRule="auto"/>
        <w:ind w:firstLine="420"/>
        <w:rPr>
          <w:rFonts w:cs="宋体"/>
          <w:color w:val="auto"/>
          <w:sz w:val="21"/>
          <w:szCs w:val="21"/>
          <w:highlight w:val="none"/>
          <w:u w:val="none"/>
        </w:rPr>
      </w:pPr>
      <w:r>
        <w:rPr>
          <w:rFonts w:hint="eastAsia" w:cs="宋体"/>
          <w:color w:val="auto"/>
          <w:sz w:val="21"/>
          <w:szCs w:val="21"/>
          <w:highlight w:val="none"/>
          <w:u w:val="none"/>
        </w:rPr>
        <w:t>B分标：</w:t>
      </w:r>
    </w:p>
    <w:p>
      <w:pPr>
        <w:pStyle w:val="27"/>
        <w:spacing w:line="240" w:lineRule="auto"/>
        <w:ind w:firstLine="420"/>
        <w:rPr>
          <w:rFonts w:cs="宋体"/>
          <w:color w:val="auto"/>
          <w:sz w:val="21"/>
          <w:szCs w:val="21"/>
          <w:highlight w:val="none"/>
          <w:u w:val="none"/>
        </w:rPr>
      </w:pPr>
      <w:r>
        <w:rPr>
          <w:rFonts w:hint="eastAsia" w:cs="宋体"/>
          <w:color w:val="auto"/>
          <w:sz w:val="21"/>
          <w:szCs w:val="21"/>
          <w:highlight w:val="none"/>
          <w:u w:val="none"/>
        </w:rPr>
        <w:t>（1）投标人应提供《中华人民共和国医疗器械注册证》（适用于第二类、第三类医疗器械）或《第一类医疗器械备案凭证》；如果投标人是投标产品制造厂家，应提供有效的《医疗器械生产许可证》;如果投标人是经营企业，应提供有效的《医疗器械经营许可证》；</w:t>
      </w:r>
    </w:p>
    <w:p>
      <w:pPr>
        <w:pStyle w:val="27"/>
        <w:spacing w:line="240" w:lineRule="auto"/>
        <w:ind w:firstLine="420"/>
        <w:rPr>
          <w:rFonts w:cs="宋体"/>
          <w:color w:val="auto"/>
          <w:sz w:val="21"/>
          <w:szCs w:val="21"/>
          <w:highlight w:val="none"/>
          <w:u w:val="none"/>
        </w:rPr>
      </w:pPr>
      <w:r>
        <w:rPr>
          <w:rFonts w:hint="eastAsia" w:cs="宋体"/>
          <w:color w:val="auto"/>
          <w:sz w:val="21"/>
          <w:szCs w:val="21"/>
          <w:highlight w:val="none"/>
          <w:u w:val="none"/>
        </w:rPr>
        <w:t>（2）竞标人参加采购活动前三年内，在经营活动中没有重大违法记录（须提供书面声明）。</w:t>
      </w:r>
    </w:p>
    <w:p>
      <w:pPr>
        <w:pStyle w:val="8"/>
        <w:ind w:firstLine="420" w:firstLineChars="200"/>
        <w:rPr>
          <w:rFonts w:asciiTheme="minorEastAsia" w:hAnsiTheme="minorEastAsia" w:eastAsiaTheme="minorEastAsia"/>
          <w:bCs/>
          <w:color w:val="auto"/>
          <w:highlight w:val="none"/>
          <w:u w:val="none"/>
        </w:rPr>
      </w:pPr>
      <w:r>
        <w:rPr>
          <w:rFonts w:hint="eastAsia" w:hAnsi="宋体" w:cs="宋体"/>
          <w:color w:val="auto"/>
          <w:szCs w:val="21"/>
          <w:highlight w:val="none"/>
          <w:u w:val="none"/>
        </w:rPr>
        <w:t>（3）竞标人对在“信用中国”网站(www.creditchina.gov.cn)、中国政府采购网(www.ccgp.gov.cn)等渠道列入失信被执行人、重大税收违法案件当事人名单、政府采购严重违法失信行为记录名单的供应商，不得参与本项目政府采购活动</w:t>
      </w:r>
    </w:p>
    <w:p>
      <w:pPr>
        <w:pStyle w:val="8"/>
        <w:ind w:firstLine="360"/>
        <w:rPr>
          <w:rFonts w:asciiTheme="minorEastAsia" w:hAnsiTheme="minorEastAsia" w:eastAsiaTheme="minorEastAsia"/>
          <w:bCs/>
          <w:color w:val="auto"/>
          <w:highlight w:val="none"/>
          <w:u w:val="none"/>
        </w:rPr>
      </w:pPr>
      <w:r>
        <w:rPr>
          <w:rFonts w:hint="eastAsia" w:asciiTheme="minorEastAsia" w:hAnsiTheme="minorEastAsia" w:eastAsiaTheme="minorEastAsia"/>
          <w:bCs/>
          <w:color w:val="auto"/>
          <w:highlight w:val="none"/>
          <w:u w:val="none"/>
        </w:rPr>
        <w:t>3.4  针对本项目，投标人应具备的特定条件：见投标人须知前附表。</w:t>
      </w:r>
    </w:p>
    <w:p>
      <w:pPr>
        <w:pStyle w:val="8"/>
        <w:ind w:firstLine="360"/>
        <w:rPr>
          <w:rFonts w:asciiTheme="minorEastAsia" w:hAnsiTheme="minorEastAsia" w:eastAsiaTheme="minorEastAsia"/>
          <w:bCs/>
          <w:color w:val="auto"/>
          <w:highlight w:val="none"/>
          <w:u w:val="none"/>
        </w:rPr>
      </w:pPr>
      <w:r>
        <w:rPr>
          <w:rFonts w:hint="eastAsia" w:asciiTheme="minorEastAsia" w:hAnsiTheme="minorEastAsia" w:eastAsiaTheme="minorEastAsia"/>
          <w:bCs/>
          <w:color w:val="auto"/>
          <w:highlight w:val="none"/>
          <w:u w:val="none"/>
        </w:rPr>
        <w:t>3.5  投标人须知前附表规定不接受联合体投标。</w:t>
      </w:r>
    </w:p>
    <w:p>
      <w:pPr>
        <w:pStyle w:val="8"/>
        <w:ind w:firstLine="360"/>
        <w:rPr>
          <w:rFonts w:asciiTheme="minorEastAsia" w:hAnsiTheme="minorEastAsia" w:eastAsiaTheme="minorEastAsia"/>
          <w:bCs/>
          <w:color w:val="auto"/>
          <w:highlight w:val="none"/>
          <w:u w:val="none"/>
        </w:rPr>
      </w:pPr>
      <w:r>
        <w:rPr>
          <w:rFonts w:hint="eastAsia" w:asciiTheme="minorEastAsia" w:hAnsiTheme="minorEastAsia" w:eastAsiaTheme="minorEastAsia"/>
          <w:bCs/>
          <w:color w:val="auto"/>
          <w:highlight w:val="none"/>
          <w:u w:val="none"/>
        </w:rPr>
        <w:t>3.6</w:t>
      </w:r>
      <w:r>
        <w:rPr>
          <w:rFonts w:hint="eastAsia" w:asciiTheme="minorEastAsia" w:hAnsiTheme="minorEastAsia" w:eastAsiaTheme="minorEastAsia"/>
          <w:color w:val="auto"/>
          <w:highlight w:val="none"/>
          <w:u w:val="none"/>
        </w:rPr>
        <w:t xml:space="preserve">投标人不得直接或间接地与为本次采购的项目内容进行设计、编制规范和其他文件的咨询公司、采购代理机构或其附属机构有任何关联。 </w:t>
      </w:r>
    </w:p>
    <w:p>
      <w:pPr>
        <w:pStyle w:val="8"/>
        <w:ind w:left="242" w:hanging="242" w:hangingChars="101"/>
        <w:jc w:val="left"/>
        <w:rPr>
          <w:rFonts w:asciiTheme="minorEastAsia" w:hAnsiTheme="minorEastAsia" w:eastAsiaTheme="minorEastAsia"/>
          <w:bCs/>
          <w:color w:val="auto"/>
          <w:sz w:val="24"/>
          <w:highlight w:val="none"/>
          <w:u w:val="none"/>
        </w:rPr>
      </w:pPr>
      <w:r>
        <w:rPr>
          <w:rFonts w:hint="eastAsia" w:asciiTheme="minorEastAsia" w:hAnsiTheme="minorEastAsia" w:eastAsiaTheme="minorEastAsia"/>
          <w:bCs/>
          <w:color w:val="auto"/>
          <w:sz w:val="24"/>
          <w:highlight w:val="none"/>
          <w:u w:val="none"/>
        </w:rPr>
        <w:t>4. 质疑</w:t>
      </w:r>
    </w:p>
    <w:p>
      <w:pPr>
        <w:pStyle w:val="8"/>
        <w:ind w:left="2" w:firstLine="360"/>
        <w:jc w:val="left"/>
        <w:rPr>
          <w:rFonts w:asciiTheme="minorEastAsia" w:hAnsiTheme="minorEastAsia" w:eastAsiaTheme="minorEastAsia"/>
          <w:bCs/>
          <w:color w:val="auto"/>
          <w:highlight w:val="none"/>
          <w:u w:val="none"/>
        </w:rPr>
      </w:pPr>
      <w:r>
        <w:rPr>
          <w:rFonts w:hint="eastAsia" w:asciiTheme="minorEastAsia" w:hAnsiTheme="minorEastAsia" w:eastAsiaTheme="minorEastAsia"/>
          <w:bCs/>
          <w:color w:val="auto"/>
          <w:highlight w:val="none"/>
          <w:u w:val="none"/>
        </w:rPr>
        <w:t>4.1  投标人认为公开招标文件使自己的权益受到损害的，应当在公开招标文件发布</w:t>
      </w:r>
      <w:r>
        <w:rPr>
          <w:rFonts w:hint="eastAsia" w:asciiTheme="minorEastAsia" w:hAnsiTheme="minorEastAsia" w:eastAsiaTheme="minorEastAsia"/>
          <w:color w:val="auto"/>
          <w:highlight w:val="none"/>
          <w:u w:val="none"/>
        </w:rPr>
        <w:t>之日起七个工作日内</w:t>
      </w:r>
      <w:r>
        <w:rPr>
          <w:rFonts w:hint="eastAsia" w:asciiTheme="minorEastAsia" w:hAnsiTheme="minorEastAsia" w:eastAsiaTheme="minorEastAsia"/>
          <w:bCs/>
          <w:color w:val="auto"/>
          <w:highlight w:val="none"/>
          <w:u w:val="none"/>
        </w:rPr>
        <w:t>以书面形式向采购人委托的采购代理机构质疑；质疑提交截止时间后，采购代理机构不再受理对公开招标文件的质疑。投标人认为</w:t>
      </w:r>
      <w:r>
        <w:rPr>
          <w:rFonts w:hint="eastAsia" w:asciiTheme="minorEastAsia" w:hAnsiTheme="minorEastAsia" w:eastAsiaTheme="minorEastAsia"/>
          <w:color w:val="auto"/>
          <w:highlight w:val="none"/>
          <w:u w:val="none"/>
        </w:rPr>
        <w:t>采购过程和中标、成交结果使自己的权益受到损害的，可</w:t>
      </w:r>
      <w:r>
        <w:rPr>
          <w:rFonts w:hint="eastAsia" w:asciiTheme="minorEastAsia" w:hAnsiTheme="minorEastAsia" w:eastAsiaTheme="minorEastAsia"/>
          <w:bCs/>
          <w:color w:val="auto"/>
          <w:highlight w:val="none"/>
          <w:u w:val="none"/>
        </w:rPr>
        <w:t>以</w:t>
      </w:r>
      <w:r>
        <w:rPr>
          <w:rFonts w:hint="eastAsia" w:asciiTheme="minorEastAsia" w:hAnsiTheme="minorEastAsia" w:eastAsiaTheme="minorEastAsia"/>
          <w:color w:val="auto"/>
          <w:highlight w:val="none"/>
          <w:u w:val="none"/>
        </w:rPr>
        <w:t>在知道或者应知其权益受到损害之日起七个工作日内，以书面形式向采购人委托的采购代理机构质疑。</w:t>
      </w:r>
    </w:p>
    <w:p>
      <w:pPr>
        <w:pStyle w:val="8"/>
        <w:ind w:left="2" w:firstLine="360"/>
        <w:jc w:val="left"/>
        <w:rPr>
          <w:rFonts w:asciiTheme="minorEastAsia" w:hAnsiTheme="minorEastAsia" w:eastAsiaTheme="minorEastAsia"/>
          <w:bCs/>
          <w:color w:val="auto"/>
          <w:szCs w:val="21"/>
          <w:highlight w:val="none"/>
          <w:u w:val="none"/>
        </w:rPr>
      </w:pPr>
      <w:r>
        <w:rPr>
          <w:rFonts w:hint="eastAsia" w:asciiTheme="minorEastAsia" w:hAnsiTheme="minorEastAsia" w:eastAsiaTheme="minorEastAsia"/>
          <w:bCs/>
          <w:color w:val="auto"/>
          <w:szCs w:val="21"/>
          <w:highlight w:val="none"/>
          <w:u w:val="none"/>
        </w:rPr>
        <w:t>4.2  供应商质疑实行实名制，其质疑应当有具体的质疑事项及事实根据，不得进行虚假、恶意质疑。</w:t>
      </w:r>
    </w:p>
    <w:p>
      <w:pPr>
        <w:pStyle w:val="8"/>
        <w:ind w:left="2" w:leftChars="1" w:firstLine="420" w:firstLineChars="200"/>
        <w:jc w:val="left"/>
        <w:rPr>
          <w:rFonts w:asciiTheme="minorEastAsia" w:hAnsiTheme="minorEastAsia" w:eastAsiaTheme="minorEastAsia"/>
          <w:bCs/>
          <w:color w:val="auto"/>
          <w:highlight w:val="none"/>
          <w:u w:val="none"/>
        </w:rPr>
      </w:pPr>
      <w:r>
        <w:rPr>
          <w:rFonts w:hint="eastAsia" w:asciiTheme="minorEastAsia" w:hAnsiTheme="minorEastAsia" w:eastAsiaTheme="minorEastAsia"/>
          <w:bCs/>
          <w:color w:val="auto"/>
          <w:szCs w:val="21"/>
          <w:highlight w:val="none"/>
          <w:u w:val="none"/>
        </w:rPr>
        <w:t>4.3  供应商质疑时，应当提交质疑</w:t>
      </w:r>
      <w:r>
        <w:rPr>
          <w:rFonts w:hint="eastAsia" w:asciiTheme="minorEastAsia" w:hAnsiTheme="minorEastAsia" w:eastAsiaTheme="minorEastAsia"/>
          <w:bCs/>
          <w:color w:val="auto"/>
          <w:highlight w:val="none"/>
          <w:u w:val="none"/>
        </w:rPr>
        <w:t>书原件，质疑书应当包括下列主要内容：</w:t>
      </w:r>
    </w:p>
    <w:p>
      <w:pPr>
        <w:pStyle w:val="8"/>
        <w:ind w:left="2" w:firstLine="418"/>
        <w:jc w:val="left"/>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（1）质疑供应商和被质疑的采购人或采购人委托的采购代理机构名称、地址、电话、邮编等；</w:t>
      </w:r>
    </w:p>
    <w:p>
      <w:pPr>
        <w:pStyle w:val="8"/>
        <w:ind w:left="2" w:firstLine="418"/>
        <w:jc w:val="left"/>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（2）质疑项目的名称、编号；</w:t>
      </w:r>
    </w:p>
    <w:p>
      <w:pPr>
        <w:pStyle w:val="8"/>
        <w:ind w:left="2" w:firstLine="418"/>
        <w:jc w:val="left"/>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（3）权益受到损害的事实和理由；</w:t>
      </w:r>
    </w:p>
    <w:p>
      <w:pPr>
        <w:pStyle w:val="8"/>
        <w:ind w:left="2" w:firstLine="418"/>
        <w:jc w:val="left"/>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（4）相关证明材料；</w:t>
      </w:r>
    </w:p>
    <w:p>
      <w:pPr>
        <w:pStyle w:val="8"/>
        <w:ind w:left="2" w:firstLine="418"/>
        <w:jc w:val="left"/>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（5）提起质疑的日期；</w:t>
      </w:r>
    </w:p>
    <w:p>
      <w:pPr>
        <w:pStyle w:val="8"/>
        <w:ind w:firstLine="420" w:firstLineChars="200"/>
        <w:jc w:val="left"/>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质疑书应当署名。质疑供应商为法人或者其他组织的，应当由法定代表人或者主要负责人签字并加盖公章。</w:t>
      </w:r>
    </w:p>
    <w:p>
      <w:pPr>
        <w:pStyle w:val="8"/>
        <w:ind w:left="2" w:firstLine="360"/>
        <w:rPr>
          <w:rFonts w:asciiTheme="minorEastAsia" w:hAnsiTheme="minorEastAsia" w:eastAsiaTheme="minorEastAsia"/>
          <w:bCs/>
          <w:color w:val="auto"/>
          <w:highlight w:val="none"/>
          <w:u w:val="none"/>
        </w:rPr>
      </w:pPr>
      <w:r>
        <w:rPr>
          <w:rFonts w:asciiTheme="minorEastAsia" w:hAnsiTheme="minorEastAsia" w:eastAsiaTheme="minorEastAsia"/>
          <w:bCs/>
          <w:color w:val="auto"/>
          <w:highlight w:val="none"/>
          <w:u w:val="none"/>
        </w:rPr>
        <w:t xml:space="preserve">4.4  </w:t>
      </w:r>
      <w:r>
        <w:rPr>
          <w:rFonts w:hint="eastAsia" w:asciiTheme="minorEastAsia" w:hAnsiTheme="minorEastAsia" w:eastAsiaTheme="minorEastAsia"/>
          <w:bCs/>
          <w:color w:val="auto"/>
          <w:highlight w:val="none"/>
          <w:u w:val="none"/>
        </w:rPr>
        <w:t>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w:t>
      </w:r>
      <w:r>
        <w:rPr>
          <w:rFonts w:hint="eastAsia" w:asciiTheme="minorEastAsia" w:hAnsiTheme="minorEastAsia" w:eastAsiaTheme="minorEastAsia"/>
          <w:color w:val="auto"/>
          <w:highlight w:val="none"/>
          <w:u w:val="none"/>
        </w:rPr>
        <w:t>委托代理人身份证明复印件和近期三个月社保缴费证明复印件。</w:t>
      </w:r>
    </w:p>
    <w:p>
      <w:pPr>
        <w:pStyle w:val="8"/>
        <w:ind w:left="2" w:firstLine="360"/>
        <w:rPr>
          <w:rFonts w:asciiTheme="minorEastAsia" w:hAnsiTheme="minorEastAsia" w:eastAsiaTheme="minorEastAsia"/>
          <w:bCs/>
          <w:color w:val="auto"/>
          <w:highlight w:val="none"/>
          <w:u w:val="none"/>
        </w:rPr>
      </w:pPr>
      <w:r>
        <w:rPr>
          <w:rFonts w:hint="eastAsia" w:asciiTheme="minorEastAsia" w:hAnsiTheme="minorEastAsia" w:eastAsiaTheme="minorEastAsia"/>
          <w:bCs/>
          <w:color w:val="auto"/>
          <w:highlight w:val="none"/>
          <w:u w:val="none"/>
        </w:rPr>
        <w:t>4.5  质疑供应商提起质疑应当符合下列条件：</w:t>
      </w:r>
    </w:p>
    <w:p>
      <w:pPr>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（1）质疑供应商是参与所质疑政府采购活动的供应商；</w:t>
      </w:r>
    </w:p>
    <w:p>
      <w:pPr>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（2）质疑书内容符合本章第4.3项的规定；</w:t>
      </w:r>
    </w:p>
    <w:p>
      <w:pPr>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（3）在质疑有效期限内提起质疑；</w:t>
      </w:r>
    </w:p>
    <w:p>
      <w:pPr>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（4）属于所质疑的采购人或采购人委托的采购代理机构组织的采购活动；</w:t>
      </w:r>
    </w:p>
    <w:p>
      <w:pPr>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（5）同一质疑事项未经采购人或采购人委托的采购代理机构质疑处理；</w:t>
      </w:r>
    </w:p>
    <w:p>
      <w:pPr>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（6）财政部门规定的其他条件。</w:t>
      </w:r>
    </w:p>
    <w:p>
      <w:pPr>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4.6  采购人或采购人委托的采购代理机构自受理质疑之日起七个工作日内，对质疑事项作出答复，并以书面形式通知质疑供应商及其他有关供应商。</w:t>
      </w:r>
    </w:p>
    <w:p>
      <w:pPr>
        <w:pStyle w:val="8"/>
        <w:ind w:left="242" w:hanging="242" w:hangingChars="101"/>
        <w:jc w:val="left"/>
        <w:rPr>
          <w:rFonts w:asciiTheme="minorEastAsia" w:hAnsiTheme="minorEastAsia" w:eastAsiaTheme="minorEastAsia"/>
          <w:bCs/>
          <w:color w:val="auto"/>
          <w:sz w:val="24"/>
          <w:highlight w:val="none"/>
          <w:u w:val="none"/>
        </w:rPr>
      </w:pPr>
      <w:r>
        <w:rPr>
          <w:rFonts w:hint="eastAsia" w:asciiTheme="minorEastAsia" w:hAnsiTheme="minorEastAsia" w:eastAsiaTheme="minorEastAsia"/>
          <w:bCs/>
          <w:color w:val="auto"/>
          <w:sz w:val="24"/>
          <w:highlight w:val="none"/>
          <w:u w:val="none"/>
        </w:rPr>
        <w:t>5.  投诉</w:t>
      </w:r>
    </w:p>
    <w:p>
      <w:pPr>
        <w:pStyle w:val="8"/>
        <w:ind w:left="2" w:firstLine="357" w:firstLineChars="170"/>
        <w:jc w:val="left"/>
        <w:rPr>
          <w:rFonts w:asciiTheme="minorEastAsia" w:hAnsiTheme="minorEastAsia" w:eastAsiaTheme="minorEastAsia"/>
          <w:bCs/>
          <w:color w:val="auto"/>
          <w:highlight w:val="none"/>
          <w:u w:val="none"/>
        </w:rPr>
      </w:pPr>
      <w:r>
        <w:rPr>
          <w:rFonts w:hint="eastAsia" w:asciiTheme="minorEastAsia" w:hAnsiTheme="minorEastAsia" w:eastAsiaTheme="minorEastAsia"/>
          <w:bCs/>
          <w:color w:val="auto"/>
          <w:highlight w:val="none"/>
          <w:u w:val="none"/>
        </w:rPr>
        <w:t>5.1  供应商认为采购文件、采购过程、中标和成交结果使自己的合法权益受到损害的，应当首先依法向采购人或采购人委托的</w:t>
      </w:r>
      <w:r>
        <w:rPr>
          <w:rFonts w:hint="eastAsia" w:asciiTheme="minorEastAsia" w:hAnsiTheme="minorEastAsia" w:eastAsiaTheme="minorEastAsia"/>
          <w:color w:val="auto"/>
          <w:highlight w:val="none"/>
          <w:u w:val="none"/>
        </w:rPr>
        <w:t>采购代理机构</w:t>
      </w:r>
      <w:r>
        <w:rPr>
          <w:rFonts w:hint="eastAsia" w:asciiTheme="minorEastAsia" w:hAnsiTheme="minorEastAsia" w:eastAsiaTheme="minorEastAsia"/>
          <w:bCs/>
          <w:color w:val="auto"/>
          <w:highlight w:val="none"/>
          <w:u w:val="none"/>
        </w:rPr>
        <w:t>提出质疑。对采购人、</w:t>
      </w:r>
      <w:r>
        <w:rPr>
          <w:rFonts w:hint="eastAsia" w:asciiTheme="minorEastAsia" w:hAnsiTheme="minorEastAsia" w:eastAsiaTheme="minorEastAsia"/>
          <w:color w:val="auto"/>
          <w:highlight w:val="none"/>
          <w:u w:val="none"/>
        </w:rPr>
        <w:t>采购代理机构</w:t>
      </w:r>
      <w:r>
        <w:rPr>
          <w:rFonts w:hint="eastAsia" w:asciiTheme="minorEastAsia" w:hAnsiTheme="minorEastAsia" w:eastAsiaTheme="minorEastAsia"/>
          <w:bCs/>
          <w:color w:val="auto"/>
          <w:highlight w:val="none"/>
          <w:u w:val="none"/>
        </w:rPr>
        <w:t>的答复不满意，或者采购人、</w:t>
      </w:r>
      <w:r>
        <w:rPr>
          <w:rFonts w:hint="eastAsia" w:asciiTheme="minorEastAsia" w:hAnsiTheme="minorEastAsia" w:eastAsiaTheme="minorEastAsia"/>
          <w:color w:val="auto"/>
          <w:highlight w:val="none"/>
          <w:u w:val="none"/>
        </w:rPr>
        <w:t>采购代理机构</w:t>
      </w:r>
      <w:r>
        <w:rPr>
          <w:rFonts w:hint="eastAsia" w:asciiTheme="minorEastAsia" w:hAnsiTheme="minorEastAsia" w:eastAsiaTheme="minorEastAsia"/>
          <w:bCs/>
          <w:color w:val="auto"/>
          <w:highlight w:val="none"/>
          <w:u w:val="none"/>
        </w:rPr>
        <w:t>未在规定期限内做出答复的，供应商可以在答复期满后十五个工作日内向南宁市政府采购监督管理部门提起投诉。</w:t>
      </w:r>
    </w:p>
    <w:p>
      <w:pPr>
        <w:pStyle w:val="8"/>
        <w:ind w:left="2" w:firstLine="357" w:firstLineChars="170"/>
        <w:jc w:val="left"/>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5.2  投诉人投诉时，应当提交投诉书，并按照被投诉采购人、采购代理机构和与投诉事项有关的供应商数量提供投诉书的副本。投诉书</w:t>
      </w:r>
      <w:r>
        <w:rPr>
          <w:rFonts w:hint="eastAsia" w:asciiTheme="minorEastAsia" w:hAnsiTheme="minorEastAsia" w:eastAsiaTheme="minorEastAsia"/>
          <w:color w:val="auto"/>
          <w:szCs w:val="21"/>
          <w:highlight w:val="none"/>
          <w:u w:val="none"/>
        </w:rPr>
        <w:t>应当包括下列主要内容</w:t>
      </w:r>
      <w:r>
        <w:rPr>
          <w:rFonts w:hint="eastAsia" w:asciiTheme="minorEastAsia" w:hAnsiTheme="minorEastAsia" w:eastAsiaTheme="minorEastAsia"/>
          <w:color w:val="auto"/>
          <w:highlight w:val="none"/>
          <w:u w:val="none"/>
        </w:rPr>
        <w:t>（如材料中有外文资料应同时附上对应的中文译本）</w:t>
      </w:r>
      <w:r>
        <w:rPr>
          <w:rFonts w:hint="eastAsia" w:asciiTheme="minorEastAsia" w:hAnsiTheme="minorEastAsia" w:eastAsiaTheme="minorEastAsia"/>
          <w:color w:val="auto"/>
          <w:szCs w:val="21"/>
          <w:highlight w:val="none"/>
          <w:u w:val="none"/>
        </w:rPr>
        <w:t>：</w:t>
      </w:r>
    </w:p>
    <w:p>
      <w:pPr>
        <w:pStyle w:val="8"/>
        <w:ind w:left="2" w:firstLine="716" w:firstLineChars="341"/>
        <w:jc w:val="left"/>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 xml:space="preserve">（1）投诉人和被投诉人的名称、地址、电话等； </w:t>
      </w:r>
    </w:p>
    <w:p>
      <w:pPr>
        <w:pStyle w:val="8"/>
        <w:ind w:left="2" w:firstLine="716" w:firstLineChars="341"/>
        <w:jc w:val="left"/>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（2）具体的投诉事项及事实依据；</w:t>
      </w:r>
    </w:p>
    <w:p>
      <w:pPr>
        <w:pStyle w:val="8"/>
        <w:ind w:left="2" w:firstLine="716" w:firstLineChars="341"/>
        <w:jc w:val="left"/>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 xml:space="preserve">（3）质疑和质疑答复情况及相关证明材料； </w:t>
      </w:r>
    </w:p>
    <w:p>
      <w:pPr>
        <w:pStyle w:val="8"/>
        <w:ind w:left="2" w:firstLine="716" w:firstLineChars="341"/>
        <w:jc w:val="left"/>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（4）提起投诉的日期。</w:t>
      </w:r>
    </w:p>
    <w:p>
      <w:pPr>
        <w:pStyle w:val="8"/>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 xml:space="preserve">    投诉书应当署名。投诉人为自然人的，应当由本人签字；投诉人为法人或者其他组织的，应当由法定代表人或者主要负责人签字盖章并加盖公章。</w:t>
      </w:r>
    </w:p>
    <w:p>
      <w:pPr>
        <w:pStyle w:val="8"/>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5.3  投诉人可以委托代理人办理投诉事务。代理人办理投诉事务时，除提交投诉书外，还应当提交投诉人的授权委托书，授权委托书应当载明委托代理的具体权限和事项。</w:t>
      </w:r>
    </w:p>
    <w:p>
      <w:pPr>
        <w:pStyle w:val="8"/>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5.4  投诉人提起投诉应当符合下列条件：</w:t>
      </w:r>
    </w:p>
    <w:p>
      <w:pPr>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（1）投诉人是参与所投诉政府采购活动的供应商；</w:t>
      </w:r>
    </w:p>
    <w:p>
      <w:pPr>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（2）提起投诉前已依法进行质疑；</w:t>
      </w:r>
    </w:p>
    <w:p>
      <w:pPr>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（3）投诉书内容符合本章第5.2项的规定；</w:t>
      </w:r>
    </w:p>
    <w:p>
      <w:pPr>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（4）在投诉有效期限内提起投诉；</w:t>
      </w:r>
    </w:p>
    <w:p>
      <w:pPr>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（5）属于政府采购监督管理部门管辖；</w:t>
      </w:r>
    </w:p>
    <w:p>
      <w:pPr>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（6）同一投诉事项未经</w:t>
      </w:r>
      <w:r>
        <w:rPr>
          <w:rFonts w:hint="eastAsia" w:asciiTheme="minorEastAsia" w:hAnsiTheme="minorEastAsia" w:eastAsiaTheme="minorEastAsia"/>
          <w:bCs/>
          <w:color w:val="auto"/>
          <w:highlight w:val="none"/>
          <w:u w:val="none"/>
        </w:rPr>
        <w:t>灵山县财政局政府采购监督管理部门</w:t>
      </w:r>
      <w:r>
        <w:rPr>
          <w:rFonts w:hint="eastAsia" w:asciiTheme="minorEastAsia" w:hAnsiTheme="minorEastAsia" w:eastAsiaTheme="minorEastAsia"/>
          <w:color w:val="auto"/>
          <w:highlight w:val="none"/>
          <w:u w:val="none"/>
        </w:rPr>
        <w:t>投诉处理；</w:t>
      </w:r>
    </w:p>
    <w:p>
      <w:pPr>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（7）国务院财政部门规定的其他条件。</w:t>
      </w:r>
    </w:p>
    <w:p>
      <w:pPr>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 xml:space="preserve">5.5 </w:t>
      </w:r>
      <w:r>
        <w:rPr>
          <w:rFonts w:hint="eastAsia" w:asciiTheme="minorEastAsia" w:hAnsiTheme="minorEastAsia" w:eastAsiaTheme="minorEastAsia"/>
          <w:bCs/>
          <w:color w:val="auto"/>
          <w:highlight w:val="none"/>
          <w:u w:val="none"/>
        </w:rPr>
        <w:t>灵山县财政局</w:t>
      </w:r>
      <w:r>
        <w:rPr>
          <w:rFonts w:hint="eastAsia" w:asciiTheme="minorEastAsia" w:hAnsiTheme="minorEastAsia" w:eastAsiaTheme="minorEastAsia"/>
          <w:color w:val="auto"/>
          <w:highlight w:val="none"/>
          <w:u w:val="none"/>
        </w:rPr>
        <w:t>政府采购监督管理部门自受理投诉之日起三十个工作日内，对投诉事项作出处理决定，并以书面形式通知投诉人、被投诉人及其他与投诉处理结果有利害关系的政府采购当事人。</w:t>
      </w:r>
    </w:p>
    <w:p>
      <w:pPr>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 xml:space="preserve">5.6 </w:t>
      </w:r>
      <w:r>
        <w:rPr>
          <w:rFonts w:hint="eastAsia" w:asciiTheme="minorEastAsia" w:hAnsiTheme="minorEastAsia" w:eastAsiaTheme="minorEastAsia"/>
          <w:bCs/>
          <w:color w:val="auto"/>
          <w:highlight w:val="none"/>
          <w:u w:val="none"/>
        </w:rPr>
        <w:t>灵山县财政局</w:t>
      </w:r>
      <w:r>
        <w:rPr>
          <w:rFonts w:hint="eastAsia" w:asciiTheme="minorEastAsia" w:hAnsiTheme="minorEastAsia" w:eastAsiaTheme="minorEastAsia"/>
          <w:color w:val="auto"/>
          <w:highlight w:val="none"/>
          <w:u w:val="none"/>
        </w:rPr>
        <w:t>政府采购监督管理部门在处理投诉事项期间，可以视具体情况暂停采购活动。</w:t>
      </w:r>
    </w:p>
    <w:p>
      <w:pPr>
        <w:pStyle w:val="8"/>
        <w:jc w:val="center"/>
        <w:outlineLvl w:val="1"/>
        <w:rPr>
          <w:rFonts w:asciiTheme="minorEastAsia" w:hAnsiTheme="minorEastAsia" w:eastAsiaTheme="minorEastAsia"/>
          <w:b/>
          <w:color w:val="auto"/>
          <w:sz w:val="30"/>
          <w:szCs w:val="30"/>
          <w:highlight w:val="none"/>
          <w:u w:val="none"/>
        </w:rPr>
      </w:pPr>
      <w:r>
        <w:rPr>
          <w:rFonts w:hint="eastAsia" w:asciiTheme="minorEastAsia" w:hAnsiTheme="minorEastAsia" w:eastAsiaTheme="minorEastAsia"/>
          <w:b/>
          <w:color w:val="auto"/>
          <w:sz w:val="30"/>
          <w:szCs w:val="30"/>
          <w:highlight w:val="none"/>
          <w:u w:val="none"/>
        </w:rPr>
        <w:t>二    公开招标文件</w:t>
      </w:r>
    </w:p>
    <w:p>
      <w:pPr>
        <w:pStyle w:val="8"/>
        <w:rPr>
          <w:rFonts w:asciiTheme="minorEastAsia" w:hAnsiTheme="minorEastAsia" w:eastAsiaTheme="minorEastAsia"/>
          <w:bCs/>
          <w:color w:val="auto"/>
          <w:highlight w:val="none"/>
          <w:u w:val="none"/>
        </w:rPr>
      </w:pPr>
      <w:r>
        <w:rPr>
          <w:rFonts w:hint="eastAsia" w:asciiTheme="minorEastAsia" w:hAnsiTheme="minorEastAsia" w:eastAsiaTheme="minorEastAsia"/>
          <w:bCs/>
          <w:color w:val="auto"/>
          <w:sz w:val="24"/>
          <w:highlight w:val="none"/>
          <w:u w:val="none"/>
        </w:rPr>
        <w:t>6.  公开招标文件的组成</w:t>
      </w:r>
    </w:p>
    <w:p>
      <w:pPr>
        <w:pStyle w:val="8"/>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6.1  本</w:t>
      </w:r>
      <w:r>
        <w:rPr>
          <w:rFonts w:hint="eastAsia" w:asciiTheme="minorEastAsia" w:hAnsiTheme="minorEastAsia" w:eastAsiaTheme="minorEastAsia"/>
          <w:bCs/>
          <w:color w:val="auto"/>
          <w:highlight w:val="none"/>
          <w:u w:val="none"/>
        </w:rPr>
        <w:t>公开招标</w:t>
      </w:r>
      <w:r>
        <w:rPr>
          <w:rFonts w:hint="eastAsia" w:asciiTheme="minorEastAsia" w:hAnsiTheme="minorEastAsia" w:eastAsiaTheme="minorEastAsia"/>
          <w:color w:val="auto"/>
          <w:highlight w:val="none"/>
          <w:u w:val="none"/>
        </w:rPr>
        <w:t>文件包括六个章节，各章的内容如下：</w:t>
      </w:r>
    </w:p>
    <w:p>
      <w:pPr>
        <w:pStyle w:val="8"/>
        <w:ind w:firstLine="718" w:firstLineChars="342"/>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第一章  公告</w:t>
      </w:r>
    </w:p>
    <w:p>
      <w:pPr>
        <w:pStyle w:val="8"/>
        <w:ind w:firstLine="718" w:firstLineChars="342"/>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第二章  货物需求一览表</w:t>
      </w:r>
    </w:p>
    <w:p>
      <w:pPr>
        <w:pStyle w:val="8"/>
        <w:ind w:firstLine="718" w:firstLineChars="342"/>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第三章  评标方法</w:t>
      </w:r>
    </w:p>
    <w:p>
      <w:pPr>
        <w:pStyle w:val="8"/>
        <w:ind w:firstLine="718" w:firstLineChars="342"/>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第四章  投标人须知</w:t>
      </w:r>
    </w:p>
    <w:p>
      <w:pPr>
        <w:pStyle w:val="8"/>
        <w:ind w:firstLine="718" w:firstLineChars="342"/>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第五章  投标文件格式</w:t>
      </w:r>
    </w:p>
    <w:p>
      <w:pPr>
        <w:pStyle w:val="8"/>
        <w:ind w:firstLine="718" w:firstLineChars="342"/>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第六章  合同条款及格式</w:t>
      </w:r>
    </w:p>
    <w:p>
      <w:pPr>
        <w:pStyle w:val="8"/>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6.2根据本章第7.1项的规定对公开招标文件所做的澄清、修改，构成招标文件的组成部分。当公开招标文件与招标文件的澄清和修改就同一内容的表述不一致时，以最后发出的书面文件为准。</w:t>
      </w:r>
    </w:p>
    <w:p>
      <w:pPr>
        <w:pStyle w:val="8"/>
        <w:rPr>
          <w:rFonts w:asciiTheme="minorEastAsia" w:hAnsiTheme="minorEastAsia" w:eastAsiaTheme="minorEastAsia"/>
          <w:bCs/>
          <w:color w:val="auto"/>
          <w:sz w:val="24"/>
          <w:highlight w:val="none"/>
          <w:u w:val="none"/>
        </w:rPr>
      </w:pPr>
      <w:r>
        <w:rPr>
          <w:rFonts w:hint="eastAsia" w:asciiTheme="minorEastAsia" w:hAnsiTheme="minorEastAsia" w:eastAsiaTheme="minorEastAsia"/>
          <w:bCs/>
          <w:color w:val="auto"/>
          <w:sz w:val="24"/>
          <w:highlight w:val="none"/>
          <w:u w:val="none"/>
        </w:rPr>
        <w:t>7.  招标文件的澄清和修改</w:t>
      </w:r>
    </w:p>
    <w:p>
      <w:pPr>
        <w:pStyle w:val="8"/>
        <w:spacing w:after="165"/>
        <w:ind w:left="2" w:firstLine="48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7.1  投标人应认真审阅本公开招标文件，如有疑问，或发现其中有误或有要求不合理的，应在投标人须知前附表规定的</w:t>
      </w:r>
      <w:r>
        <w:rPr>
          <w:rFonts w:hint="eastAsia" w:cs="宋体" w:asciiTheme="minorEastAsia" w:hAnsiTheme="minorEastAsia" w:eastAsiaTheme="minorEastAsia"/>
          <w:color w:val="auto"/>
          <w:kern w:val="0"/>
          <w:szCs w:val="21"/>
          <w:highlight w:val="none"/>
          <w:u w:val="none"/>
        </w:rPr>
        <w:t>投标人要求澄清的截止时间</w:t>
      </w:r>
      <w:r>
        <w:rPr>
          <w:rFonts w:hint="eastAsia" w:asciiTheme="minorEastAsia" w:hAnsiTheme="minorEastAsia" w:eastAsiaTheme="minorEastAsia"/>
          <w:color w:val="auto"/>
          <w:highlight w:val="none"/>
          <w:u w:val="none"/>
        </w:rPr>
        <w:t>前以书面形式要求采购人或采购代理机构对招标文件予以澄清；否则，由此产生的后果由投标人自行负责。</w:t>
      </w:r>
    </w:p>
    <w:p>
      <w:pPr>
        <w:pStyle w:val="8"/>
        <w:ind w:left="2"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7.2  采购人或采购代理机构必须在投标截止时间十五日前，以书面形式答复投标人要求澄清的问题，并将不包含问题来源的澄清通知(在</w:t>
      </w:r>
      <w:r>
        <w:rPr>
          <w:rFonts w:hint="eastAsia" w:cs="宋体" w:asciiTheme="minorEastAsia" w:hAnsiTheme="minorEastAsia" w:eastAsiaTheme="minorEastAsia"/>
          <w:color w:val="auto"/>
          <w:kern w:val="0"/>
          <w:szCs w:val="21"/>
          <w:highlight w:val="none"/>
          <w:u w:val="none"/>
        </w:rPr>
        <w:t>本章第2.1项规定的政府采购信息发布媒体上</w:t>
      </w:r>
      <w:r>
        <w:rPr>
          <w:rFonts w:hint="eastAsia" w:asciiTheme="minorEastAsia" w:hAnsiTheme="minorEastAsia" w:eastAsiaTheme="minorEastAsia"/>
          <w:color w:val="auto"/>
          <w:highlight w:val="none"/>
          <w:u w:val="none"/>
        </w:rPr>
        <w:t>发布更正公告)所有获取招标文件的潜在投标人，除书面澄清以外的其他澄清方式及澄清内容均无效；如果澄清发出的时间距投标截止时间不足十五日，则相应延长投标截止时间。</w:t>
      </w:r>
    </w:p>
    <w:p>
      <w:pPr>
        <w:pStyle w:val="8"/>
        <w:spacing w:after="165"/>
        <w:ind w:left="2" w:firstLine="48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7.3  采购人或者采购代理机构可以对已发出的招标文件进行必要的澄清或者修改。澄清或者修改的内容可能影响投标文件编制的，采购人或者采购代理机构应当在投标截止时间至少15日前，以书面形式通知(在</w:t>
      </w:r>
      <w:r>
        <w:rPr>
          <w:rFonts w:hint="eastAsia" w:cs="宋体" w:asciiTheme="minorEastAsia" w:hAnsiTheme="minorEastAsia" w:eastAsiaTheme="minorEastAsia"/>
          <w:color w:val="auto"/>
          <w:kern w:val="0"/>
          <w:szCs w:val="21"/>
          <w:highlight w:val="none"/>
          <w:u w:val="none"/>
        </w:rPr>
        <w:t>本章第2.1项规定的政府采购信息发布媒体上</w:t>
      </w:r>
      <w:r>
        <w:rPr>
          <w:rFonts w:hint="eastAsia" w:asciiTheme="minorEastAsia" w:hAnsiTheme="minorEastAsia" w:eastAsiaTheme="minorEastAsia"/>
          <w:color w:val="auto"/>
          <w:highlight w:val="none"/>
          <w:u w:val="none"/>
        </w:rPr>
        <w:t>发布更正公告)所有获取招标文件的潜在投标人；如果修改招标文件的时间距投标截止时间不足十五日，则相应延长投标截止时间。</w:t>
      </w:r>
    </w:p>
    <w:p>
      <w:pPr>
        <w:pStyle w:val="8"/>
        <w:ind w:left="2"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7.4  采购人和采购代理机构可以视采购具体情况，变更投标截止时间和开标时间，但至少应当在投标截止时间三日前，将变更时间书面通知(在</w:t>
      </w:r>
      <w:r>
        <w:rPr>
          <w:rFonts w:hint="eastAsia" w:cs="宋体" w:asciiTheme="minorEastAsia" w:hAnsiTheme="minorEastAsia" w:eastAsiaTheme="minorEastAsia"/>
          <w:color w:val="auto"/>
          <w:kern w:val="0"/>
          <w:szCs w:val="21"/>
          <w:highlight w:val="none"/>
          <w:u w:val="none"/>
        </w:rPr>
        <w:t>本章第2.1项规定的政府采购信息发布媒体上</w:t>
      </w:r>
      <w:r>
        <w:rPr>
          <w:rFonts w:hint="eastAsia" w:asciiTheme="minorEastAsia" w:hAnsiTheme="minorEastAsia" w:eastAsiaTheme="minorEastAsia"/>
          <w:color w:val="auto"/>
          <w:highlight w:val="none"/>
          <w:u w:val="none"/>
        </w:rPr>
        <w:t>发布更正公告)所有获取招标文件的潜在投标人。</w:t>
      </w:r>
    </w:p>
    <w:p>
      <w:pPr>
        <w:pStyle w:val="8"/>
        <w:ind w:left="2" w:firstLine="360"/>
        <w:rPr>
          <w:rFonts w:asciiTheme="minorEastAsia" w:hAnsiTheme="minorEastAsia" w:eastAsiaTheme="minorEastAsia"/>
          <w:b/>
          <w:bCs/>
          <w:color w:val="auto"/>
          <w:highlight w:val="none"/>
          <w:u w:val="none"/>
        </w:rPr>
      </w:pPr>
    </w:p>
    <w:p>
      <w:pPr>
        <w:pStyle w:val="8"/>
        <w:jc w:val="center"/>
        <w:outlineLvl w:val="1"/>
        <w:rPr>
          <w:rFonts w:asciiTheme="minorEastAsia" w:hAnsiTheme="minorEastAsia" w:eastAsiaTheme="minorEastAsia"/>
          <w:b/>
          <w:color w:val="auto"/>
          <w:sz w:val="30"/>
          <w:szCs w:val="30"/>
          <w:highlight w:val="none"/>
          <w:u w:val="none"/>
        </w:rPr>
      </w:pPr>
      <w:r>
        <w:rPr>
          <w:rFonts w:hint="eastAsia" w:asciiTheme="minorEastAsia" w:hAnsiTheme="minorEastAsia" w:eastAsiaTheme="minorEastAsia"/>
          <w:b/>
          <w:color w:val="auto"/>
          <w:sz w:val="30"/>
          <w:szCs w:val="30"/>
          <w:highlight w:val="none"/>
          <w:u w:val="none"/>
        </w:rPr>
        <w:t>三    投标文件</w:t>
      </w:r>
    </w:p>
    <w:p>
      <w:pPr>
        <w:pStyle w:val="8"/>
        <w:rPr>
          <w:rFonts w:hAnsi="宋体" w:cs="宋体"/>
          <w:bCs/>
          <w:color w:val="auto"/>
          <w:szCs w:val="21"/>
          <w:highlight w:val="none"/>
          <w:u w:val="none"/>
        </w:rPr>
      </w:pPr>
      <w:r>
        <w:rPr>
          <w:rFonts w:hint="eastAsia" w:hAnsi="宋体" w:cs="宋体"/>
          <w:bCs/>
          <w:color w:val="auto"/>
          <w:szCs w:val="21"/>
          <w:highlight w:val="none"/>
          <w:u w:val="none"/>
        </w:rPr>
        <w:t>8.  投标文件的编制</w:t>
      </w:r>
    </w:p>
    <w:p>
      <w:pPr>
        <w:pStyle w:val="8"/>
        <w:ind w:left="2" w:firstLine="360"/>
        <w:rPr>
          <w:rFonts w:hAnsi="宋体" w:cs="宋体"/>
          <w:color w:val="auto"/>
          <w:szCs w:val="21"/>
          <w:highlight w:val="none"/>
          <w:u w:val="none"/>
        </w:rPr>
      </w:pPr>
      <w:r>
        <w:rPr>
          <w:rFonts w:hint="eastAsia" w:hAnsi="宋体" w:cs="宋体"/>
          <w:color w:val="auto"/>
          <w:szCs w:val="21"/>
          <w:highlight w:val="none"/>
          <w:u w:val="none"/>
        </w:rPr>
        <w:t>8.1  投标人应仔细阅读招标文件，在充分了解招标的内容、技术参数要求和商务条款以及实质性要求和条件后，编写投标文件。</w:t>
      </w:r>
    </w:p>
    <w:p>
      <w:pPr>
        <w:pStyle w:val="8"/>
        <w:ind w:left="2" w:firstLine="360"/>
        <w:rPr>
          <w:rFonts w:hAnsi="宋体" w:cs="宋体"/>
          <w:color w:val="auto"/>
          <w:szCs w:val="21"/>
          <w:highlight w:val="none"/>
          <w:u w:val="none"/>
        </w:rPr>
      </w:pPr>
      <w:r>
        <w:rPr>
          <w:rFonts w:hint="eastAsia" w:hAnsi="宋体" w:cs="宋体"/>
          <w:color w:val="auto"/>
          <w:szCs w:val="21"/>
          <w:highlight w:val="none"/>
          <w:u w:val="none"/>
        </w:rPr>
        <w:t>8.2  对招标文件的实质性要求和条件作出响应是指投标人必须对招标文件中标注为实质性要求和条件的技术参数要求、商务条款及其它内容</w:t>
      </w:r>
      <w:r>
        <w:rPr>
          <w:rFonts w:hint="eastAsia" w:hAnsi="宋体" w:cs="宋体"/>
          <w:bCs/>
          <w:color w:val="auto"/>
          <w:szCs w:val="21"/>
          <w:highlight w:val="none"/>
          <w:u w:val="none"/>
        </w:rPr>
        <w:t>作出满足或者优于原要求和条件的承诺。</w:t>
      </w:r>
    </w:p>
    <w:p>
      <w:pPr>
        <w:pStyle w:val="8"/>
        <w:ind w:left="2" w:firstLine="360"/>
        <w:rPr>
          <w:rFonts w:hAnsi="宋体" w:cs="宋体"/>
          <w:color w:val="auto"/>
          <w:szCs w:val="21"/>
          <w:highlight w:val="none"/>
          <w:u w:val="none"/>
        </w:rPr>
      </w:pPr>
      <w:r>
        <w:rPr>
          <w:rFonts w:hint="eastAsia" w:hAnsi="宋体" w:cs="宋体"/>
          <w:color w:val="auto"/>
          <w:szCs w:val="21"/>
          <w:highlight w:val="none"/>
          <w:u w:val="none"/>
        </w:rPr>
        <w:t>8.3  招标文件中标注★号的内容为实质性要求和条件，不满足则视为无效投标。所有投标产品出现三个负偏离的投标无效。</w:t>
      </w:r>
    </w:p>
    <w:p>
      <w:pPr>
        <w:pStyle w:val="8"/>
        <w:ind w:left="2" w:firstLine="360"/>
        <w:rPr>
          <w:rFonts w:hAnsi="宋体" w:cs="宋体"/>
          <w:color w:val="auto"/>
          <w:szCs w:val="21"/>
          <w:highlight w:val="none"/>
          <w:u w:val="none"/>
        </w:rPr>
      </w:pPr>
      <w:r>
        <w:rPr>
          <w:rFonts w:hint="eastAsia" w:hAnsi="宋体" w:cs="宋体"/>
          <w:color w:val="auto"/>
          <w:szCs w:val="21"/>
          <w:highlight w:val="none"/>
          <w:u w:val="none"/>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8"/>
        <w:ind w:left="2" w:firstLine="360"/>
        <w:rPr>
          <w:rFonts w:hAnsi="宋体" w:cs="宋体"/>
          <w:color w:val="auto"/>
          <w:szCs w:val="21"/>
          <w:highlight w:val="none"/>
          <w:u w:val="none"/>
        </w:rPr>
      </w:pPr>
      <w:r>
        <w:rPr>
          <w:rFonts w:hint="eastAsia" w:hAnsi="宋体" w:cs="宋体"/>
          <w:color w:val="auto"/>
          <w:szCs w:val="21"/>
          <w:highlight w:val="none"/>
          <w:u w:val="none"/>
        </w:rPr>
        <w:t>8.5  第五章“投标文件格式”中规定了投标文件格式的，应按相应格式要求编写。</w:t>
      </w:r>
    </w:p>
    <w:p>
      <w:pPr>
        <w:pStyle w:val="8"/>
        <w:ind w:left="2" w:firstLine="360"/>
        <w:rPr>
          <w:rFonts w:hAnsi="宋体" w:cs="宋体"/>
          <w:color w:val="auto"/>
          <w:szCs w:val="21"/>
          <w:highlight w:val="none"/>
          <w:u w:val="none"/>
        </w:rPr>
      </w:pPr>
      <w:r>
        <w:rPr>
          <w:rFonts w:hint="eastAsia" w:hAnsi="宋体" w:cs="宋体"/>
          <w:color w:val="auto"/>
          <w:szCs w:val="21"/>
          <w:highlight w:val="none"/>
          <w:u w:val="none"/>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8"/>
        <w:ind w:left="2" w:leftChars="1" w:firstLine="420" w:firstLineChars="200"/>
        <w:rPr>
          <w:rFonts w:hAnsi="宋体" w:cs="宋体"/>
          <w:color w:val="auto"/>
          <w:szCs w:val="21"/>
          <w:highlight w:val="none"/>
          <w:u w:val="none"/>
        </w:rPr>
      </w:pPr>
      <w:r>
        <w:rPr>
          <w:rFonts w:hint="eastAsia" w:hAnsi="宋体" w:cs="宋体"/>
          <w:color w:val="auto"/>
          <w:szCs w:val="21"/>
          <w:highlight w:val="none"/>
          <w:u w:val="none"/>
        </w:rPr>
        <w:t>8.7  投标文件应编制目录，且页码清晰准确。</w:t>
      </w:r>
    </w:p>
    <w:p>
      <w:pPr>
        <w:pStyle w:val="8"/>
        <w:ind w:left="2" w:firstLine="360"/>
        <w:rPr>
          <w:rFonts w:hAnsi="宋体" w:cs="宋体"/>
          <w:color w:val="auto"/>
          <w:szCs w:val="21"/>
          <w:highlight w:val="none"/>
          <w:u w:val="none"/>
        </w:rPr>
      </w:pPr>
      <w:r>
        <w:rPr>
          <w:rFonts w:hint="eastAsia" w:hAnsi="宋体" w:cs="宋体"/>
          <w:color w:val="auto"/>
          <w:szCs w:val="21"/>
          <w:highlight w:val="none"/>
          <w:u w:val="none"/>
        </w:rPr>
        <w:t>8.8  投标文件的正本和副本应分别装订成册，封面上应清楚地标记“正本”或“副本”字样，并标明项目名称、项目编号、投标人名称等内容。副本可以采用正本的复印件，当副本和正本不一致时，以正本为准,副本份数见投标人须知前附表。</w:t>
      </w:r>
    </w:p>
    <w:p>
      <w:pPr>
        <w:pStyle w:val="8"/>
        <w:rPr>
          <w:rFonts w:hAnsi="宋体" w:cs="宋体"/>
          <w:bCs/>
          <w:color w:val="auto"/>
          <w:szCs w:val="21"/>
          <w:highlight w:val="none"/>
          <w:u w:val="none"/>
        </w:rPr>
      </w:pPr>
      <w:r>
        <w:rPr>
          <w:rFonts w:hint="eastAsia" w:hAnsi="宋体" w:cs="宋体"/>
          <w:bCs/>
          <w:color w:val="auto"/>
          <w:szCs w:val="21"/>
          <w:highlight w:val="none"/>
          <w:u w:val="none"/>
        </w:rPr>
        <w:t>9.  投标语言文字及计量单位</w:t>
      </w:r>
    </w:p>
    <w:p>
      <w:pPr>
        <w:pStyle w:val="8"/>
        <w:ind w:firstLine="360"/>
        <w:rPr>
          <w:rFonts w:hAnsi="宋体" w:cs="宋体"/>
          <w:color w:val="auto"/>
          <w:szCs w:val="21"/>
          <w:highlight w:val="none"/>
          <w:u w:val="none"/>
        </w:rPr>
      </w:pPr>
      <w:r>
        <w:rPr>
          <w:rFonts w:hint="eastAsia" w:hAnsi="宋体" w:cs="宋体"/>
          <w:color w:val="auto"/>
          <w:szCs w:val="21"/>
          <w:highlight w:val="none"/>
          <w:u w:val="none"/>
        </w:rPr>
        <w:t>9.1  投标人的投标文件以及投标人与采购人、采购代理机构就有关投标的所有往来函电统一使用中文（特别规定除外）。</w:t>
      </w:r>
    </w:p>
    <w:p>
      <w:pPr>
        <w:pStyle w:val="8"/>
        <w:ind w:firstLine="360"/>
        <w:rPr>
          <w:rFonts w:hAnsi="宋体" w:cs="宋体"/>
          <w:color w:val="auto"/>
          <w:szCs w:val="21"/>
          <w:highlight w:val="none"/>
          <w:u w:val="none"/>
        </w:rPr>
      </w:pPr>
      <w:r>
        <w:rPr>
          <w:rFonts w:hint="eastAsia" w:hAnsi="宋体" w:cs="宋体"/>
          <w:color w:val="auto"/>
          <w:szCs w:val="21"/>
          <w:highlight w:val="none"/>
          <w:u w:val="none"/>
        </w:rPr>
        <w:t>9.2  对不同文字文本投标文件的解释发生异议的，以中文文本为准。</w:t>
      </w:r>
    </w:p>
    <w:p>
      <w:pPr>
        <w:pStyle w:val="8"/>
        <w:ind w:firstLine="360"/>
        <w:rPr>
          <w:rFonts w:hAnsi="宋体" w:cs="宋体"/>
          <w:color w:val="auto"/>
          <w:szCs w:val="21"/>
          <w:highlight w:val="none"/>
          <w:u w:val="none"/>
        </w:rPr>
      </w:pPr>
      <w:r>
        <w:rPr>
          <w:rFonts w:hint="eastAsia" w:hAnsi="宋体" w:cs="宋体"/>
          <w:color w:val="auto"/>
          <w:szCs w:val="21"/>
          <w:highlight w:val="none"/>
          <w:u w:val="none"/>
        </w:rPr>
        <w:t>9.3  投标文件使用的计量单位除招标文件中有特殊规定外，一律使用中华人民共和国法定计量单位。</w:t>
      </w:r>
    </w:p>
    <w:p>
      <w:pPr>
        <w:pStyle w:val="8"/>
        <w:rPr>
          <w:rFonts w:hAnsi="宋体" w:cs="宋体"/>
          <w:bCs/>
          <w:color w:val="auto"/>
          <w:szCs w:val="21"/>
          <w:highlight w:val="none"/>
          <w:u w:val="none"/>
        </w:rPr>
      </w:pPr>
      <w:r>
        <w:rPr>
          <w:rFonts w:hint="eastAsia" w:hAnsi="宋体" w:cs="宋体"/>
          <w:bCs/>
          <w:color w:val="auto"/>
          <w:szCs w:val="21"/>
          <w:highlight w:val="none"/>
          <w:u w:val="none"/>
        </w:rPr>
        <w:t>10.  投标文件的组成</w:t>
      </w:r>
    </w:p>
    <w:p>
      <w:pPr>
        <w:pStyle w:val="8"/>
        <w:ind w:firstLine="360"/>
        <w:rPr>
          <w:rFonts w:hAnsi="宋体" w:cs="宋体"/>
          <w:color w:val="auto"/>
          <w:szCs w:val="21"/>
          <w:highlight w:val="none"/>
          <w:u w:val="none"/>
        </w:rPr>
      </w:pPr>
      <w:r>
        <w:rPr>
          <w:rFonts w:hint="eastAsia" w:hAnsi="宋体" w:cs="宋体"/>
          <w:color w:val="auto"/>
          <w:szCs w:val="21"/>
          <w:highlight w:val="none"/>
          <w:u w:val="none"/>
        </w:rPr>
        <w:t>10.1  投标人需编制的投标文件，投标人应按下列说明编写和提交。应递交的有关文件如未特别注明为原件的，可提交复印件。</w:t>
      </w:r>
    </w:p>
    <w:p>
      <w:pPr>
        <w:pStyle w:val="8"/>
        <w:ind w:firstLine="360"/>
        <w:rPr>
          <w:rFonts w:hAnsi="宋体" w:cs="宋体"/>
          <w:color w:val="auto"/>
          <w:szCs w:val="21"/>
          <w:highlight w:val="none"/>
          <w:u w:val="none"/>
        </w:rPr>
      </w:pPr>
      <w:r>
        <w:rPr>
          <w:rFonts w:hint="eastAsia" w:hAnsi="宋体" w:cs="宋体"/>
          <w:color w:val="auto"/>
          <w:szCs w:val="21"/>
          <w:highlight w:val="none"/>
          <w:u w:val="none"/>
        </w:rPr>
        <w:t>10.1.1  投标文件组成要求，包括：</w:t>
      </w:r>
    </w:p>
    <w:p>
      <w:pPr>
        <w:pStyle w:val="8"/>
        <w:ind w:firstLine="420" w:firstLineChars="200"/>
        <w:rPr>
          <w:rFonts w:hAnsi="宋体" w:cs="宋体"/>
          <w:color w:val="auto"/>
          <w:szCs w:val="21"/>
          <w:highlight w:val="none"/>
          <w:u w:val="none"/>
        </w:rPr>
      </w:pPr>
      <w:r>
        <w:rPr>
          <w:rFonts w:hint="eastAsia" w:hAnsi="宋体" w:cs="宋体"/>
          <w:color w:val="auto"/>
          <w:szCs w:val="21"/>
          <w:highlight w:val="none"/>
          <w:u w:val="none"/>
        </w:rPr>
        <w:t>一、报价文件：</w:t>
      </w:r>
    </w:p>
    <w:p>
      <w:pPr>
        <w:pStyle w:val="8"/>
        <w:ind w:left="420"/>
        <w:rPr>
          <w:rFonts w:hAnsi="宋体" w:cs="宋体"/>
          <w:color w:val="auto"/>
          <w:szCs w:val="21"/>
          <w:highlight w:val="none"/>
          <w:u w:val="none"/>
        </w:rPr>
      </w:pPr>
      <w:r>
        <w:rPr>
          <w:rFonts w:hint="eastAsia" w:hAnsi="宋体" w:cs="宋体"/>
          <w:color w:val="auto"/>
          <w:szCs w:val="21"/>
          <w:highlight w:val="none"/>
          <w:u w:val="none"/>
        </w:rPr>
        <w:t>1、投标函；（按第四章“投标文件格式”提供的“附件一（格式）”的要求填写，否则投标无效）</w:t>
      </w:r>
    </w:p>
    <w:p>
      <w:pPr>
        <w:pStyle w:val="8"/>
        <w:ind w:firstLine="420" w:firstLineChars="200"/>
        <w:rPr>
          <w:rFonts w:hAnsi="宋体" w:cs="宋体"/>
          <w:color w:val="auto"/>
          <w:szCs w:val="21"/>
          <w:highlight w:val="none"/>
          <w:u w:val="none"/>
        </w:rPr>
      </w:pPr>
      <w:r>
        <w:rPr>
          <w:rFonts w:hint="eastAsia" w:hAnsi="宋体" w:cs="宋体"/>
          <w:color w:val="auto"/>
          <w:szCs w:val="21"/>
          <w:highlight w:val="none"/>
          <w:u w:val="none"/>
        </w:rPr>
        <w:t>2、投标报价表；（按第四章“投标文件格式”提供的“附件二（格式）”的要求填写。</w:t>
      </w:r>
      <w:r>
        <w:rPr>
          <w:rFonts w:hint="eastAsia" w:hAnsi="宋体" w:cs="宋体"/>
          <w:b/>
          <w:color w:val="auto"/>
          <w:szCs w:val="21"/>
          <w:highlight w:val="none"/>
          <w:u w:val="none"/>
        </w:rPr>
        <w:t>否则投标无效）</w:t>
      </w:r>
    </w:p>
    <w:p>
      <w:pPr>
        <w:pStyle w:val="8"/>
        <w:ind w:firstLine="420"/>
        <w:rPr>
          <w:rFonts w:hAnsi="宋体" w:cs="宋体"/>
          <w:color w:val="auto"/>
          <w:szCs w:val="21"/>
          <w:highlight w:val="none"/>
          <w:u w:val="none"/>
        </w:rPr>
      </w:pPr>
      <w:r>
        <w:rPr>
          <w:rFonts w:hint="eastAsia" w:hAnsi="宋体" w:cs="宋体"/>
          <w:color w:val="auto"/>
          <w:szCs w:val="21"/>
          <w:highlight w:val="none"/>
          <w:u w:val="none"/>
        </w:rPr>
        <w:t>二、资格文件：</w:t>
      </w:r>
    </w:p>
    <w:p>
      <w:pPr>
        <w:pStyle w:val="8"/>
        <w:ind w:firstLine="420"/>
        <w:rPr>
          <w:rFonts w:hAnsi="宋体" w:cs="宋体"/>
          <w:color w:val="auto"/>
          <w:szCs w:val="21"/>
          <w:highlight w:val="none"/>
          <w:u w:val="none"/>
        </w:rPr>
      </w:pPr>
      <w:r>
        <w:rPr>
          <w:rFonts w:hint="eastAsia" w:hAnsi="宋体" w:cs="宋体"/>
          <w:color w:val="auto"/>
          <w:szCs w:val="21"/>
          <w:highlight w:val="none"/>
          <w:u w:val="none"/>
        </w:rPr>
        <w:t>A分标：</w:t>
      </w:r>
    </w:p>
    <w:p>
      <w:pPr>
        <w:tabs>
          <w:tab w:val="left" w:pos="1305"/>
        </w:tabs>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1、营业执照副本复印件（未“三证合一”的必须提供税务登记证副本复印件和企业组织机构代码证副本复印件）；</w:t>
      </w:r>
    </w:p>
    <w:p>
      <w:pPr>
        <w:tabs>
          <w:tab w:val="left" w:pos="1305"/>
        </w:tabs>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2、</w:t>
      </w:r>
      <w:r>
        <w:rPr>
          <w:rFonts w:hint="eastAsia" w:ascii="宋体" w:hAnsi="宋体" w:cs="宋体"/>
          <w:bCs/>
          <w:color w:val="auto"/>
          <w:szCs w:val="21"/>
          <w:highlight w:val="none"/>
          <w:u w:val="none"/>
        </w:rPr>
        <w:t>法定代表人身份证明书和法定代表人有效的身份证正反面复印件</w:t>
      </w:r>
      <w:r>
        <w:rPr>
          <w:rFonts w:hint="eastAsia" w:ascii="宋体" w:hAnsi="宋体" w:cs="宋体"/>
          <w:color w:val="auto"/>
          <w:szCs w:val="21"/>
          <w:highlight w:val="none"/>
          <w:u w:val="none"/>
        </w:rPr>
        <w:t>（按第四章“投标文件格式”提供的“附件三（格式）”的要求填写。</w:t>
      </w:r>
      <w:r>
        <w:rPr>
          <w:rFonts w:hint="eastAsia" w:ascii="宋体" w:hAnsi="宋体" w:cs="宋体"/>
          <w:b/>
          <w:color w:val="auto"/>
          <w:szCs w:val="21"/>
          <w:highlight w:val="none"/>
          <w:u w:val="none"/>
        </w:rPr>
        <w:t>否则投标无效</w:t>
      </w:r>
      <w:r>
        <w:rPr>
          <w:rFonts w:hint="eastAsia" w:ascii="宋体" w:hAnsi="宋体" w:cs="宋体"/>
          <w:bCs/>
          <w:color w:val="auto"/>
          <w:szCs w:val="21"/>
          <w:highlight w:val="none"/>
          <w:u w:val="none"/>
        </w:rPr>
        <w:t>；</w:t>
      </w:r>
    </w:p>
    <w:p>
      <w:pPr>
        <w:tabs>
          <w:tab w:val="left" w:pos="1305"/>
        </w:tabs>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3、法定代表人授权委托书原件和委托代理人完整有效身份证复印件（委托代理时必须提供，（按第四章“投标文件格式”提供的“附件四（格式）”的要求填写。</w:t>
      </w:r>
      <w:r>
        <w:rPr>
          <w:rFonts w:hint="eastAsia" w:ascii="宋体" w:hAnsi="宋体" w:cs="宋体"/>
          <w:b/>
          <w:color w:val="auto"/>
          <w:szCs w:val="21"/>
          <w:highlight w:val="none"/>
          <w:u w:val="none"/>
        </w:rPr>
        <w:t>否则投标无效）</w:t>
      </w:r>
      <w:r>
        <w:rPr>
          <w:rFonts w:hint="eastAsia" w:ascii="宋体" w:hAnsi="宋体" w:cs="宋体"/>
          <w:color w:val="auto"/>
          <w:szCs w:val="21"/>
          <w:highlight w:val="none"/>
          <w:u w:val="none"/>
        </w:rPr>
        <w:t>；</w:t>
      </w:r>
    </w:p>
    <w:p>
      <w:pPr>
        <w:tabs>
          <w:tab w:val="left" w:pos="1305"/>
        </w:tabs>
        <w:ind w:firstLine="420" w:firstLineChars="200"/>
        <w:rPr>
          <w:rFonts w:ascii="宋体" w:hAnsi="宋体" w:cs="宋体"/>
          <w:b/>
          <w:color w:val="auto"/>
          <w:szCs w:val="21"/>
          <w:highlight w:val="none"/>
          <w:u w:val="none"/>
        </w:rPr>
      </w:pPr>
      <w:r>
        <w:rPr>
          <w:rFonts w:hint="eastAsia" w:ascii="宋体" w:hAnsi="宋体" w:cs="宋体"/>
          <w:color w:val="auto"/>
          <w:szCs w:val="21"/>
          <w:highlight w:val="none"/>
          <w:u w:val="none"/>
        </w:rPr>
        <w:t>4、投标人参加政府采购活动前3年内在经营活动中没有重大违法记录及有关信用信息的书面声明；（按第四章“投标文件格式”提供的“附件五（格式）”的要求填写。</w:t>
      </w:r>
      <w:r>
        <w:rPr>
          <w:rFonts w:hint="eastAsia" w:ascii="宋体" w:hAnsi="宋体" w:cs="宋体"/>
          <w:b/>
          <w:color w:val="auto"/>
          <w:szCs w:val="21"/>
          <w:highlight w:val="none"/>
          <w:u w:val="none"/>
        </w:rPr>
        <w:t>否则投标无效）</w:t>
      </w:r>
    </w:p>
    <w:p>
      <w:pPr>
        <w:pStyle w:val="8"/>
        <w:ind w:firstLine="420" w:firstLineChars="200"/>
        <w:rPr>
          <w:rFonts w:hAnsi="宋体" w:cs="宋体"/>
          <w:b/>
          <w:color w:val="auto"/>
          <w:szCs w:val="21"/>
          <w:highlight w:val="none"/>
          <w:u w:val="none"/>
        </w:rPr>
      </w:pPr>
      <w:r>
        <w:rPr>
          <w:rFonts w:hint="eastAsia" w:hAnsi="宋体" w:cs="宋体"/>
          <w:color w:val="auto"/>
          <w:szCs w:val="21"/>
          <w:highlight w:val="none"/>
          <w:u w:val="none"/>
        </w:rPr>
        <w:t>5、投标保证金缴纳证明；（按第四章“投标文件格式”提供的“附件六（格式）”的要求填写。</w:t>
      </w:r>
      <w:r>
        <w:rPr>
          <w:rFonts w:hint="eastAsia" w:hAnsi="宋体" w:cs="宋体"/>
          <w:b/>
          <w:color w:val="auto"/>
          <w:szCs w:val="21"/>
          <w:highlight w:val="none"/>
          <w:u w:val="none"/>
        </w:rPr>
        <w:t>否则投标无效）</w:t>
      </w:r>
    </w:p>
    <w:p>
      <w:pPr>
        <w:tabs>
          <w:tab w:val="left" w:pos="1305"/>
        </w:tabs>
        <w:ind w:firstLine="420" w:firstLineChars="200"/>
        <w:rPr>
          <w:rFonts w:ascii="宋体" w:hAnsi="宋体" w:cs="宋体"/>
          <w:color w:val="auto"/>
          <w:szCs w:val="21"/>
          <w:highlight w:val="none"/>
          <w:u w:val="none"/>
        </w:rPr>
      </w:pPr>
      <w:r>
        <w:rPr>
          <w:rFonts w:hint="eastAsia" w:ascii="宋体" w:hAnsi="宋体" w:cs="宋体"/>
          <w:color w:val="auto"/>
          <w:kern w:val="0"/>
          <w:szCs w:val="21"/>
          <w:highlight w:val="none"/>
          <w:u w:val="none"/>
        </w:rPr>
        <w:t>6</w:t>
      </w:r>
      <w:r>
        <w:rPr>
          <w:rFonts w:hint="eastAsia" w:ascii="宋体" w:hAnsi="宋体" w:cs="宋体"/>
          <w:bCs/>
          <w:color w:val="auto"/>
          <w:szCs w:val="21"/>
          <w:highlight w:val="none"/>
          <w:u w:val="none"/>
        </w:rPr>
        <w:t>、</w:t>
      </w:r>
      <w:r>
        <w:rPr>
          <w:rFonts w:hint="eastAsia" w:ascii="宋体" w:hAnsi="宋体" w:cs="宋体"/>
          <w:color w:val="auto"/>
          <w:szCs w:val="21"/>
          <w:highlight w:val="none"/>
          <w:u w:val="none"/>
        </w:rPr>
        <w:t>投标人在“信用中国”网站（www.creditchina.gov.cn）下载的本公司的信用报告打印件并加盖公章；</w:t>
      </w:r>
      <w:r>
        <w:rPr>
          <w:rFonts w:hint="eastAsia" w:ascii="宋体" w:hAnsi="宋体" w:cs="宋体"/>
          <w:b/>
          <w:bCs/>
          <w:color w:val="auto"/>
          <w:szCs w:val="21"/>
          <w:highlight w:val="none"/>
          <w:u w:val="none"/>
        </w:rPr>
        <w:t>（</w:t>
      </w:r>
      <w:r>
        <w:rPr>
          <w:rFonts w:hint="eastAsia" w:ascii="宋体" w:hAnsi="宋体" w:cs="宋体"/>
          <w:b/>
          <w:color w:val="auto"/>
          <w:szCs w:val="21"/>
          <w:highlight w:val="none"/>
          <w:u w:val="none"/>
        </w:rPr>
        <w:t>必须提供，否则投标无效）</w:t>
      </w:r>
    </w:p>
    <w:p>
      <w:pPr>
        <w:pStyle w:val="8"/>
        <w:ind w:firstLine="420"/>
        <w:rPr>
          <w:rFonts w:hAnsi="宋体" w:cs="宋体"/>
          <w:color w:val="auto"/>
          <w:szCs w:val="21"/>
          <w:highlight w:val="none"/>
          <w:u w:val="none"/>
        </w:rPr>
      </w:pPr>
      <w:r>
        <w:rPr>
          <w:rFonts w:hint="eastAsia" w:hAnsi="宋体" w:cs="宋体"/>
          <w:color w:val="auto"/>
          <w:szCs w:val="21"/>
          <w:highlight w:val="none"/>
          <w:u w:val="none"/>
        </w:rPr>
        <w:t>B分标：</w:t>
      </w:r>
    </w:p>
    <w:p>
      <w:pPr>
        <w:tabs>
          <w:tab w:val="left" w:pos="1305"/>
        </w:tabs>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1、营业执照副本复印件（未“三证合一”的必须提供税务登记证副本复印件和企业组织机构代码证副本复印件）；</w:t>
      </w:r>
    </w:p>
    <w:p>
      <w:pPr>
        <w:tabs>
          <w:tab w:val="left" w:pos="1305"/>
        </w:tabs>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2、</w:t>
      </w:r>
      <w:r>
        <w:rPr>
          <w:rFonts w:hint="eastAsia" w:ascii="宋体" w:hAnsi="宋体" w:cs="宋体"/>
          <w:bCs/>
          <w:color w:val="auto"/>
          <w:szCs w:val="21"/>
          <w:highlight w:val="none"/>
          <w:u w:val="none"/>
        </w:rPr>
        <w:t>医疗器械生产许可证或医疗器械经营许可证复印件</w:t>
      </w:r>
      <w:r>
        <w:rPr>
          <w:rFonts w:hint="eastAsia" w:ascii="宋体" w:hAnsi="宋体" w:cs="宋体"/>
          <w:color w:val="auto"/>
          <w:szCs w:val="21"/>
          <w:highlight w:val="none"/>
          <w:u w:val="none"/>
        </w:rPr>
        <w:t>；</w:t>
      </w:r>
    </w:p>
    <w:p>
      <w:pPr>
        <w:tabs>
          <w:tab w:val="left" w:pos="1305"/>
        </w:tabs>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3、</w:t>
      </w:r>
      <w:r>
        <w:rPr>
          <w:rFonts w:hint="eastAsia" w:ascii="宋体" w:hAnsi="宋体" w:cs="宋体"/>
          <w:bCs/>
          <w:color w:val="auto"/>
          <w:szCs w:val="21"/>
          <w:highlight w:val="none"/>
          <w:u w:val="none"/>
        </w:rPr>
        <w:t>法定代表人身份证明书和法定代表人有效的身份证正反面复印件</w:t>
      </w:r>
      <w:r>
        <w:rPr>
          <w:rFonts w:hint="eastAsia" w:ascii="宋体" w:hAnsi="宋体" w:cs="宋体"/>
          <w:color w:val="auto"/>
          <w:szCs w:val="21"/>
          <w:highlight w:val="none"/>
          <w:u w:val="none"/>
        </w:rPr>
        <w:t>（按第四章“投标文件格式”提供的“附件三（格式）”的要求填写。</w:t>
      </w:r>
      <w:r>
        <w:rPr>
          <w:rFonts w:hint="eastAsia" w:ascii="宋体" w:hAnsi="宋体" w:cs="宋体"/>
          <w:b/>
          <w:color w:val="auto"/>
          <w:szCs w:val="21"/>
          <w:highlight w:val="none"/>
          <w:u w:val="none"/>
        </w:rPr>
        <w:t>否则投标无效</w:t>
      </w:r>
      <w:r>
        <w:rPr>
          <w:rFonts w:hint="eastAsia" w:ascii="宋体" w:hAnsi="宋体" w:cs="宋体"/>
          <w:bCs/>
          <w:color w:val="auto"/>
          <w:szCs w:val="21"/>
          <w:highlight w:val="none"/>
          <w:u w:val="none"/>
        </w:rPr>
        <w:t>；</w:t>
      </w:r>
    </w:p>
    <w:p>
      <w:pPr>
        <w:tabs>
          <w:tab w:val="left" w:pos="1305"/>
        </w:tabs>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4、法定代表人授权委托书原件和委托代理人完整有效身份证复印件（委托代理时必须提供，（按第四章“投标文件格式”提供的“附件四（格式）”的要求填写。</w:t>
      </w:r>
      <w:r>
        <w:rPr>
          <w:rFonts w:hint="eastAsia" w:ascii="宋体" w:hAnsi="宋体" w:cs="宋体"/>
          <w:b/>
          <w:color w:val="auto"/>
          <w:szCs w:val="21"/>
          <w:highlight w:val="none"/>
          <w:u w:val="none"/>
        </w:rPr>
        <w:t>否则投标无效）</w:t>
      </w:r>
      <w:r>
        <w:rPr>
          <w:rFonts w:hint="eastAsia" w:ascii="宋体" w:hAnsi="宋体" w:cs="宋体"/>
          <w:color w:val="auto"/>
          <w:szCs w:val="21"/>
          <w:highlight w:val="none"/>
          <w:u w:val="none"/>
        </w:rPr>
        <w:t>；</w:t>
      </w:r>
    </w:p>
    <w:p>
      <w:pPr>
        <w:tabs>
          <w:tab w:val="left" w:pos="1305"/>
        </w:tabs>
        <w:ind w:firstLine="420" w:firstLineChars="200"/>
        <w:rPr>
          <w:rFonts w:ascii="宋体" w:hAnsi="宋体" w:cs="宋体"/>
          <w:b/>
          <w:color w:val="auto"/>
          <w:szCs w:val="21"/>
          <w:highlight w:val="none"/>
          <w:u w:val="none"/>
        </w:rPr>
      </w:pPr>
      <w:r>
        <w:rPr>
          <w:rFonts w:hint="eastAsia" w:ascii="宋体" w:hAnsi="宋体" w:cs="宋体"/>
          <w:color w:val="auto"/>
          <w:szCs w:val="21"/>
          <w:highlight w:val="none"/>
          <w:u w:val="none"/>
        </w:rPr>
        <w:t>5、投标人参加政府采购活动前3年内在经营活动中没有重大违法记录及有关信用信息的书面声明；（按第四章“投标文件格式”提供的“附件五（格式）”的要求填写。</w:t>
      </w:r>
      <w:r>
        <w:rPr>
          <w:rFonts w:hint="eastAsia" w:ascii="宋体" w:hAnsi="宋体" w:cs="宋体"/>
          <w:b/>
          <w:color w:val="auto"/>
          <w:szCs w:val="21"/>
          <w:highlight w:val="none"/>
          <w:u w:val="none"/>
        </w:rPr>
        <w:t>否则投标无效）</w:t>
      </w:r>
    </w:p>
    <w:p>
      <w:pPr>
        <w:pStyle w:val="8"/>
        <w:ind w:firstLine="420" w:firstLineChars="200"/>
        <w:rPr>
          <w:rFonts w:hAnsi="宋体" w:cs="宋体"/>
          <w:b/>
          <w:color w:val="auto"/>
          <w:szCs w:val="21"/>
          <w:highlight w:val="none"/>
          <w:u w:val="none"/>
        </w:rPr>
      </w:pPr>
      <w:r>
        <w:rPr>
          <w:rFonts w:hint="eastAsia" w:hAnsi="宋体" w:cs="宋体"/>
          <w:color w:val="auto"/>
          <w:szCs w:val="21"/>
          <w:highlight w:val="none"/>
          <w:u w:val="none"/>
        </w:rPr>
        <w:t>6、投标保证金缴纳证明；（按第四章“投标文件格式”提供的“附件六（格式）”的要求填写。</w:t>
      </w:r>
      <w:r>
        <w:rPr>
          <w:rFonts w:hint="eastAsia" w:hAnsi="宋体" w:cs="宋体"/>
          <w:b/>
          <w:color w:val="auto"/>
          <w:szCs w:val="21"/>
          <w:highlight w:val="none"/>
          <w:u w:val="none"/>
        </w:rPr>
        <w:t>否则投标无效）</w:t>
      </w:r>
    </w:p>
    <w:p>
      <w:pPr>
        <w:pStyle w:val="8"/>
        <w:ind w:firstLine="420" w:firstLineChars="200"/>
        <w:rPr>
          <w:rFonts w:hAnsi="宋体" w:cs="宋体"/>
          <w:b/>
          <w:color w:val="auto"/>
          <w:szCs w:val="21"/>
          <w:highlight w:val="none"/>
          <w:u w:val="none"/>
        </w:rPr>
      </w:pPr>
      <w:r>
        <w:rPr>
          <w:rFonts w:hint="eastAsia" w:hAnsi="宋体" w:cs="宋体"/>
          <w:color w:val="auto"/>
          <w:kern w:val="0"/>
          <w:szCs w:val="21"/>
          <w:highlight w:val="none"/>
          <w:u w:val="none"/>
        </w:rPr>
        <w:t>7、投标人如不是投标产品的生产厂家或国内总代理商的，必须提供投标产品生产厂家或国内总代理商针对本项目的授权书、有效供货证明以及售后服务承诺书</w:t>
      </w:r>
      <w:r>
        <w:rPr>
          <w:rFonts w:hint="eastAsia" w:hAnsi="宋体" w:cs="宋体"/>
          <w:color w:val="auto"/>
          <w:szCs w:val="21"/>
          <w:highlight w:val="none"/>
          <w:u w:val="none"/>
        </w:rPr>
        <w:t>；</w:t>
      </w:r>
      <w:r>
        <w:rPr>
          <w:rFonts w:hint="eastAsia" w:hAnsi="宋体" w:cs="宋体"/>
          <w:b/>
          <w:bCs/>
          <w:color w:val="auto"/>
          <w:szCs w:val="21"/>
          <w:highlight w:val="none"/>
          <w:u w:val="none"/>
        </w:rPr>
        <w:t>（</w:t>
      </w:r>
      <w:r>
        <w:rPr>
          <w:rFonts w:hint="eastAsia" w:hAnsi="宋体" w:cs="宋体"/>
          <w:b/>
          <w:color w:val="auto"/>
          <w:szCs w:val="21"/>
          <w:highlight w:val="none"/>
          <w:u w:val="none"/>
        </w:rPr>
        <w:t>必须提供，否则投标无效）</w:t>
      </w:r>
    </w:p>
    <w:p>
      <w:pPr>
        <w:pStyle w:val="8"/>
        <w:ind w:firstLine="420" w:firstLineChars="200"/>
        <w:rPr>
          <w:rFonts w:hAnsi="宋体" w:cs="宋体"/>
          <w:b/>
          <w:color w:val="auto"/>
          <w:szCs w:val="21"/>
          <w:highlight w:val="none"/>
          <w:u w:val="none"/>
        </w:rPr>
      </w:pPr>
      <w:r>
        <w:rPr>
          <w:rFonts w:hint="eastAsia" w:hAnsi="宋体" w:cs="宋体"/>
          <w:bCs/>
          <w:color w:val="auto"/>
          <w:szCs w:val="21"/>
          <w:highlight w:val="none"/>
          <w:u w:val="none"/>
        </w:rPr>
        <w:t>8、投标产品“医疗器械注册证”或“注册登记表或认可表资料”复印件</w:t>
      </w:r>
      <w:r>
        <w:rPr>
          <w:rFonts w:hint="eastAsia" w:hAnsi="宋体" w:cs="宋体"/>
          <w:b/>
          <w:color w:val="auto"/>
          <w:szCs w:val="21"/>
          <w:highlight w:val="none"/>
          <w:u w:val="none"/>
        </w:rPr>
        <w:t>（必须提供，否则投标无效）；</w:t>
      </w:r>
    </w:p>
    <w:p>
      <w:pPr>
        <w:tabs>
          <w:tab w:val="left" w:pos="1305"/>
        </w:tabs>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9、投标人在“信用中国”网站（www.creditchina.gov.cn）下载的本公司的信用报告打印件并加盖公章；</w:t>
      </w:r>
      <w:r>
        <w:rPr>
          <w:rFonts w:hint="eastAsia" w:ascii="宋体" w:hAnsi="宋体" w:cs="宋体"/>
          <w:b/>
          <w:bCs/>
          <w:color w:val="auto"/>
          <w:szCs w:val="21"/>
          <w:highlight w:val="none"/>
          <w:u w:val="none"/>
        </w:rPr>
        <w:t>（</w:t>
      </w:r>
      <w:r>
        <w:rPr>
          <w:rFonts w:hint="eastAsia" w:ascii="宋体" w:hAnsi="宋体" w:cs="宋体"/>
          <w:b/>
          <w:color w:val="auto"/>
          <w:szCs w:val="21"/>
          <w:highlight w:val="none"/>
          <w:u w:val="none"/>
        </w:rPr>
        <w:t>必须提供，否则投标无效）</w:t>
      </w:r>
    </w:p>
    <w:p>
      <w:pPr>
        <w:pStyle w:val="8"/>
        <w:ind w:firstLine="420" w:firstLineChars="200"/>
        <w:rPr>
          <w:rFonts w:hAnsi="宋体" w:cs="宋体"/>
          <w:color w:val="auto"/>
          <w:szCs w:val="21"/>
          <w:highlight w:val="none"/>
          <w:u w:val="none"/>
        </w:rPr>
      </w:pPr>
    </w:p>
    <w:p>
      <w:pPr>
        <w:pStyle w:val="8"/>
        <w:ind w:firstLine="420"/>
        <w:rPr>
          <w:rFonts w:hAnsi="宋体" w:cs="宋体"/>
          <w:color w:val="auto"/>
          <w:szCs w:val="21"/>
          <w:highlight w:val="none"/>
          <w:u w:val="none"/>
        </w:rPr>
      </w:pPr>
      <w:r>
        <w:rPr>
          <w:rFonts w:hint="eastAsia" w:hAnsi="宋体" w:cs="宋体"/>
          <w:color w:val="auto"/>
          <w:szCs w:val="21"/>
          <w:highlight w:val="none"/>
          <w:u w:val="none"/>
        </w:rPr>
        <w:t>三、商务技术文件：</w:t>
      </w:r>
    </w:p>
    <w:p>
      <w:pPr>
        <w:pStyle w:val="8"/>
        <w:ind w:firstLine="420" w:firstLineChars="200"/>
        <w:rPr>
          <w:rFonts w:hAnsi="宋体" w:cs="宋体"/>
          <w:color w:val="auto"/>
          <w:szCs w:val="21"/>
          <w:highlight w:val="none"/>
          <w:u w:val="none"/>
        </w:rPr>
      </w:pPr>
      <w:r>
        <w:rPr>
          <w:rFonts w:hint="eastAsia" w:hAnsi="宋体" w:cs="宋体"/>
          <w:color w:val="auto"/>
          <w:szCs w:val="21"/>
          <w:highlight w:val="none"/>
          <w:u w:val="none"/>
        </w:rPr>
        <w:t>1、商务响应表；（按第四章“投标文件格式”提供的“附件七（格式）”的要求填写。</w:t>
      </w:r>
      <w:r>
        <w:rPr>
          <w:rFonts w:hint="eastAsia" w:hAnsi="宋体" w:cs="宋体"/>
          <w:b/>
          <w:color w:val="auto"/>
          <w:szCs w:val="21"/>
          <w:highlight w:val="none"/>
          <w:u w:val="none"/>
        </w:rPr>
        <w:t>否则投标无效）</w:t>
      </w:r>
    </w:p>
    <w:p>
      <w:pPr>
        <w:pStyle w:val="8"/>
        <w:ind w:firstLine="420" w:firstLineChars="200"/>
        <w:rPr>
          <w:rFonts w:hAnsi="宋体" w:cs="宋体"/>
          <w:color w:val="auto"/>
          <w:szCs w:val="21"/>
          <w:highlight w:val="none"/>
          <w:u w:val="none"/>
        </w:rPr>
      </w:pPr>
      <w:r>
        <w:rPr>
          <w:rFonts w:hint="eastAsia" w:hAnsi="宋体" w:cs="宋体"/>
          <w:color w:val="auto"/>
          <w:szCs w:val="21"/>
          <w:highlight w:val="none"/>
          <w:u w:val="none"/>
        </w:rPr>
        <w:t>2、投标产品技术规格偏离表（按第四章“投标文件格式”提供的“附件八（格式）”的要求填写。</w:t>
      </w:r>
      <w:r>
        <w:rPr>
          <w:rFonts w:hint="eastAsia" w:hAnsi="宋体" w:cs="宋体"/>
          <w:b/>
          <w:color w:val="auto"/>
          <w:szCs w:val="21"/>
          <w:highlight w:val="none"/>
          <w:u w:val="none"/>
        </w:rPr>
        <w:t>否则投标无效）</w:t>
      </w:r>
      <w:r>
        <w:rPr>
          <w:rFonts w:hint="eastAsia" w:hAnsi="宋体" w:cs="宋体"/>
          <w:color w:val="auto"/>
          <w:szCs w:val="21"/>
          <w:highlight w:val="none"/>
          <w:u w:val="none"/>
        </w:rPr>
        <w:t xml:space="preserve">； </w:t>
      </w:r>
    </w:p>
    <w:p>
      <w:pPr>
        <w:ind w:firstLine="420"/>
        <w:rPr>
          <w:rFonts w:ascii="宋体" w:hAnsi="宋体" w:cs="宋体"/>
          <w:color w:val="auto"/>
          <w:szCs w:val="21"/>
          <w:highlight w:val="none"/>
          <w:u w:val="none"/>
        </w:rPr>
      </w:pPr>
      <w:r>
        <w:rPr>
          <w:rFonts w:hint="eastAsia" w:ascii="宋体" w:hAnsi="宋体" w:cs="宋体"/>
          <w:color w:val="auto"/>
          <w:szCs w:val="21"/>
          <w:highlight w:val="none"/>
          <w:u w:val="none"/>
        </w:rPr>
        <w:t>3、售后服务承诺书。（由投标人根据《货物需求一览表》售后服务及要求自行填写，格式自拟）</w:t>
      </w:r>
    </w:p>
    <w:p>
      <w:pPr>
        <w:pStyle w:val="8"/>
        <w:ind w:firstLine="412"/>
        <w:rPr>
          <w:rFonts w:hAnsi="宋体" w:cs="宋体"/>
          <w:color w:val="auto"/>
          <w:szCs w:val="21"/>
          <w:highlight w:val="none"/>
          <w:u w:val="none"/>
        </w:rPr>
      </w:pPr>
      <w:r>
        <w:rPr>
          <w:rFonts w:hint="eastAsia" w:hAnsi="宋体" w:cs="宋体"/>
          <w:color w:val="auto"/>
          <w:szCs w:val="21"/>
          <w:highlight w:val="none"/>
          <w:u w:val="none"/>
        </w:rPr>
        <w:t>4、证明投标货物合格的证明文件可以是；</w:t>
      </w:r>
    </w:p>
    <w:p>
      <w:pPr>
        <w:ind w:firstLine="420" w:firstLineChars="200"/>
        <w:jc w:val="left"/>
        <w:rPr>
          <w:rFonts w:ascii="宋体" w:hAnsi="宋体" w:cs="宋体"/>
          <w:b/>
          <w:color w:val="auto"/>
          <w:szCs w:val="21"/>
          <w:highlight w:val="none"/>
          <w:u w:val="none"/>
        </w:rPr>
      </w:pPr>
      <w:r>
        <w:rPr>
          <w:rFonts w:hint="eastAsia" w:ascii="宋体" w:hAnsi="宋体" w:cs="宋体"/>
          <w:color w:val="auto"/>
          <w:szCs w:val="21"/>
          <w:highlight w:val="none"/>
          <w:u w:val="none"/>
        </w:rPr>
        <w:t>（1）产品的生产厂家或国内总代理商的资质证件复印件；（</w:t>
      </w:r>
      <w:r>
        <w:rPr>
          <w:rFonts w:hint="eastAsia" w:ascii="宋体" w:hAnsi="宋体" w:cs="宋体"/>
          <w:b/>
          <w:color w:val="auto"/>
          <w:szCs w:val="21"/>
          <w:highlight w:val="none"/>
          <w:u w:val="none"/>
        </w:rPr>
        <w:t>如有，请提供）</w:t>
      </w:r>
    </w:p>
    <w:p>
      <w:pPr>
        <w:pStyle w:val="8"/>
        <w:ind w:firstLine="420" w:firstLineChars="200"/>
        <w:rPr>
          <w:rFonts w:hAnsi="宋体" w:cs="宋体"/>
          <w:b/>
          <w:bCs/>
          <w:color w:val="auto"/>
          <w:szCs w:val="21"/>
          <w:highlight w:val="none"/>
          <w:u w:val="none"/>
        </w:rPr>
      </w:pPr>
      <w:r>
        <w:rPr>
          <w:rFonts w:hint="eastAsia" w:hAnsi="宋体" w:cs="宋体"/>
          <w:color w:val="auto"/>
          <w:szCs w:val="21"/>
          <w:highlight w:val="none"/>
          <w:u w:val="none"/>
        </w:rPr>
        <w:t>（2）针对本项目所投标货物所提供的相关的图纸、图片，产品技术资料彩页等；（</w:t>
      </w:r>
      <w:r>
        <w:rPr>
          <w:rFonts w:hint="eastAsia" w:hAnsi="宋体" w:cs="宋体"/>
          <w:b/>
          <w:color w:val="auto"/>
          <w:szCs w:val="21"/>
          <w:highlight w:val="none"/>
          <w:u w:val="none"/>
        </w:rPr>
        <w:t>如有，请提供）</w:t>
      </w:r>
    </w:p>
    <w:p>
      <w:pPr>
        <w:tabs>
          <w:tab w:val="left" w:pos="1305"/>
        </w:tabs>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（3）产品质量获奖证书复印件（</w:t>
      </w:r>
      <w:r>
        <w:rPr>
          <w:rFonts w:hint="eastAsia" w:ascii="宋体" w:hAnsi="宋体" w:cs="宋体"/>
          <w:b/>
          <w:color w:val="auto"/>
          <w:szCs w:val="21"/>
          <w:highlight w:val="none"/>
          <w:u w:val="none"/>
        </w:rPr>
        <w:t>如有，请提供）</w:t>
      </w:r>
      <w:r>
        <w:rPr>
          <w:rFonts w:hint="eastAsia" w:ascii="宋体" w:hAnsi="宋体" w:cs="宋体"/>
          <w:color w:val="auto"/>
          <w:szCs w:val="21"/>
          <w:highlight w:val="none"/>
          <w:u w:val="none"/>
        </w:rPr>
        <w:t>；</w:t>
      </w:r>
    </w:p>
    <w:p>
      <w:pPr>
        <w:pStyle w:val="8"/>
        <w:ind w:firstLine="420" w:firstLineChars="200"/>
        <w:jc w:val="left"/>
        <w:rPr>
          <w:rFonts w:hAnsi="宋体" w:cs="宋体"/>
          <w:color w:val="auto"/>
          <w:szCs w:val="21"/>
          <w:highlight w:val="none"/>
          <w:u w:val="none"/>
        </w:rPr>
      </w:pPr>
      <w:r>
        <w:rPr>
          <w:rFonts w:hint="eastAsia" w:hAnsi="宋体" w:cs="宋体"/>
          <w:color w:val="auto"/>
          <w:szCs w:val="21"/>
          <w:highlight w:val="none"/>
          <w:u w:val="none"/>
        </w:rPr>
        <w:t>（4）小型、微型企业证明文件的复印件（以提供权威行政单位和信息化部门出具的相关证明材料为准）；（</w:t>
      </w:r>
      <w:r>
        <w:rPr>
          <w:rFonts w:hint="eastAsia" w:hAnsi="宋体" w:cs="宋体"/>
          <w:b/>
          <w:color w:val="auto"/>
          <w:szCs w:val="21"/>
          <w:highlight w:val="none"/>
          <w:u w:val="none"/>
        </w:rPr>
        <w:t>如有，请提供）</w:t>
      </w:r>
    </w:p>
    <w:p>
      <w:pPr>
        <w:pStyle w:val="8"/>
        <w:ind w:firstLine="420" w:firstLineChars="200"/>
        <w:jc w:val="left"/>
        <w:rPr>
          <w:rFonts w:hAnsi="宋体" w:cs="宋体"/>
          <w:color w:val="auto"/>
          <w:szCs w:val="21"/>
          <w:highlight w:val="none"/>
          <w:u w:val="none"/>
        </w:rPr>
      </w:pPr>
      <w:r>
        <w:rPr>
          <w:rFonts w:hint="eastAsia" w:hAnsi="宋体" w:cs="宋体"/>
          <w:color w:val="auto"/>
          <w:szCs w:val="21"/>
          <w:highlight w:val="none"/>
          <w:u w:val="none"/>
        </w:rPr>
        <w:t>（5）</w:t>
      </w:r>
      <w:r>
        <w:rPr>
          <w:rFonts w:hint="eastAsia" w:hAnsi="宋体" w:cs="宋体"/>
          <w:bCs/>
          <w:color w:val="auto"/>
          <w:szCs w:val="21"/>
          <w:highlight w:val="none"/>
          <w:u w:val="none"/>
        </w:rPr>
        <w:t>自2017年1月1日）以来在三甲医院同类产品采购安装的成功案例</w:t>
      </w:r>
      <w:r>
        <w:rPr>
          <w:rFonts w:hint="eastAsia" w:hAnsi="宋体" w:cs="宋体"/>
          <w:color w:val="auto"/>
          <w:szCs w:val="21"/>
          <w:highlight w:val="none"/>
          <w:u w:val="none"/>
        </w:rPr>
        <w:t>（提供投标人实施情况一览表、合同复印件或证明材料）；（</w:t>
      </w:r>
      <w:r>
        <w:rPr>
          <w:rFonts w:hint="eastAsia" w:hAnsi="宋体" w:cs="宋体"/>
          <w:b/>
          <w:color w:val="auto"/>
          <w:szCs w:val="21"/>
          <w:highlight w:val="none"/>
          <w:u w:val="none"/>
        </w:rPr>
        <w:t>如有，请提供）</w:t>
      </w:r>
    </w:p>
    <w:p>
      <w:pPr>
        <w:pStyle w:val="8"/>
        <w:ind w:firstLine="420" w:firstLineChars="200"/>
        <w:jc w:val="left"/>
        <w:rPr>
          <w:rFonts w:hAnsi="宋体" w:cs="宋体"/>
          <w:color w:val="auto"/>
          <w:szCs w:val="21"/>
          <w:highlight w:val="none"/>
          <w:u w:val="none"/>
        </w:rPr>
      </w:pPr>
      <w:r>
        <w:rPr>
          <w:rFonts w:hint="eastAsia" w:hAnsi="宋体" w:cs="宋体"/>
          <w:color w:val="auto"/>
          <w:szCs w:val="21"/>
          <w:highlight w:val="none"/>
          <w:u w:val="none"/>
        </w:rPr>
        <w:t>（6）其它：投标人可结合本项目的评审办法视自身情况自行提交其它相关证明材料。（</w:t>
      </w:r>
      <w:r>
        <w:rPr>
          <w:rFonts w:hint="eastAsia" w:hAnsi="宋体" w:cs="宋体"/>
          <w:b/>
          <w:color w:val="auto"/>
          <w:szCs w:val="21"/>
          <w:highlight w:val="none"/>
          <w:u w:val="none"/>
        </w:rPr>
        <w:t>如有，请提供）</w:t>
      </w:r>
    </w:p>
    <w:p>
      <w:pPr>
        <w:pStyle w:val="8"/>
        <w:ind w:firstLine="210" w:firstLineChars="100"/>
        <w:rPr>
          <w:rFonts w:hAnsi="宋体" w:cs="宋体"/>
          <w:bCs/>
          <w:color w:val="auto"/>
          <w:szCs w:val="21"/>
          <w:highlight w:val="none"/>
          <w:u w:val="none"/>
        </w:rPr>
      </w:pPr>
      <w:r>
        <w:rPr>
          <w:rFonts w:hint="eastAsia" w:hAnsi="宋体" w:cs="宋体"/>
          <w:bCs/>
          <w:color w:val="auto"/>
          <w:szCs w:val="21"/>
          <w:highlight w:val="none"/>
          <w:u w:val="none"/>
        </w:rPr>
        <w:t>11.  投标报价</w:t>
      </w:r>
    </w:p>
    <w:p>
      <w:pPr>
        <w:pStyle w:val="8"/>
        <w:ind w:firstLine="360"/>
        <w:rPr>
          <w:rFonts w:hAnsi="宋体" w:cs="宋体"/>
          <w:color w:val="auto"/>
          <w:szCs w:val="21"/>
          <w:highlight w:val="none"/>
          <w:u w:val="none"/>
        </w:rPr>
      </w:pPr>
      <w:r>
        <w:rPr>
          <w:rFonts w:hint="eastAsia" w:hAnsi="宋体" w:cs="宋体"/>
          <w:color w:val="auto"/>
          <w:szCs w:val="21"/>
          <w:highlight w:val="none"/>
          <w:u w:val="none"/>
        </w:rPr>
        <w:t>11.1  投标人应以人民币报价。</w:t>
      </w:r>
    </w:p>
    <w:p>
      <w:pPr>
        <w:pStyle w:val="8"/>
        <w:ind w:firstLine="360"/>
        <w:rPr>
          <w:rFonts w:hAnsi="宋体" w:cs="宋体"/>
          <w:color w:val="auto"/>
          <w:szCs w:val="21"/>
          <w:highlight w:val="none"/>
          <w:u w:val="none"/>
        </w:rPr>
      </w:pPr>
      <w:r>
        <w:rPr>
          <w:rFonts w:hint="eastAsia" w:hAnsi="宋体" w:cs="宋体"/>
          <w:color w:val="auto"/>
          <w:szCs w:val="21"/>
          <w:highlight w:val="none"/>
          <w:u w:val="none"/>
        </w:rPr>
        <w:t>11.2  投标人可就第二章“货物需求一览表”中的</w:t>
      </w:r>
      <w:r>
        <w:rPr>
          <w:rFonts w:hint="eastAsia" w:hAnsi="宋体" w:cs="宋体"/>
          <w:b/>
          <w:color w:val="auto"/>
          <w:szCs w:val="21"/>
          <w:highlight w:val="none"/>
          <w:u w:val="none"/>
        </w:rPr>
        <w:t>内容报出完整且唯一报价，附带有条件的报价将不予接受。</w:t>
      </w:r>
    </w:p>
    <w:p>
      <w:pPr>
        <w:pStyle w:val="8"/>
        <w:ind w:firstLine="360"/>
        <w:rPr>
          <w:rFonts w:hAnsi="宋体" w:cs="宋体"/>
          <w:color w:val="auto"/>
          <w:szCs w:val="21"/>
          <w:highlight w:val="none"/>
          <w:u w:val="none"/>
        </w:rPr>
      </w:pPr>
      <w:r>
        <w:rPr>
          <w:rFonts w:hint="eastAsia" w:hAnsi="宋体" w:cs="宋体"/>
          <w:color w:val="auto"/>
          <w:szCs w:val="21"/>
          <w:highlight w:val="none"/>
          <w:u w:val="none"/>
        </w:rPr>
        <w:t>11.3  投标报价为采购人指定地点的现场交货价，其组成部分详见第二章“货物需求一览表”。采购人不再向中标供应商支付其投标报价之外的任何费用。</w:t>
      </w:r>
    </w:p>
    <w:p>
      <w:pPr>
        <w:pStyle w:val="8"/>
        <w:ind w:firstLine="360"/>
        <w:rPr>
          <w:rFonts w:hAnsi="宋体" w:cs="宋体"/>
          <w:color w:val="auto"/>
          <w:szCs w:val="21"/>
          <w:highlight w:val="none"/>
          <w:u w:val="none"/>
        </w:rPr>
      </w:pPr>
      <w:r>
        <w:rPr>
          <w:rFonts w:hint="eastAsia" w:hAnsi="宋体" w:cs="宋体"/>
          <w:color w:val="auto"/>
          <w:szCs w:val="21"/>
          <w:highlight w:val="none"/>
          <w:u w:val="none"/>
        </w:rPr>
        <w:t>11.4  不论投标结果如何，投标人均应自行承担与编制和递交投标文件有关的全部费用。</w:t>
      </w:r>
    </w:p>
    <w:p>
      <w:pPr>
        <w:pStyle w:val="8"/>
        <w:ind w:firstLine="210" w:firstLineChars="100"/>
        <w:rPr>
          <w:rFonts w:hAnsi="宋体" w:cs="宋体"/>
          <w:bCs/>
          <w:color w:val="auto"/>
          <w:szCs w:val="21"/>
          <w:highlight w:val="none"/>
          <w:u w:val="none"/>
        </w:rPr>
      </w:pPr>
      <w:r>
        <w:rPr>
          <w:rFonts w:hint="eastAsia" w:hAnsi="宋体" w:cs="宋体"/>
          <w:bCs/>
          <w:color w:val="auto"/>
          <w:szCs w:val="21"/>
          <w:highlight w:val="none"/>
          <w:u w:val="none"/>
        </w:rPr>
        <w:t>12.投标有效期</w:t>
      </w:r>
    </w:p>
    <w:p>
      <w:pPr>
        <w:pStyle w:val="8"/>
        <w:ind w:firstLine="360"/>
        <w:rPr>
          <w:rFonts w:hAnsi="宋体" w:cs="宋体"/>
          <w:bCs/>
          <w:color w:val="auto"/>
          <w:szCs w:val="21"/>
          <w:highlight w:val="none"/>
          <w:u w:val="none"/>
        </w:rPr>
      </w:pPr>
      <w:r>
        <w:rPr>
          <w:rFonts w:hint="eastAsia" w:hAnsi="宋体" w:cs="宋体"/>
          <w:color w:val="auto"/>
          <w:szCs w:val="21"/>
          <w:highlight w:val="none"/>
          <w:u w:val="none"/>
        </w:rPr>
        <w:t>12.1  在投标人须知前附表规定的投标有效期内，投标人不得要求撤销或修改其投标文件。</w:t>
      </w:r>
    </w:p>
    <w:p>
      <w:pPr>
        <w:pStyle w:val="8"/>
        <w:ind w:firstLine="360"/>
        <w:rPr>
          <w:rFonts w:hAnsi="宋体" w:cs="宋体"/>
          <w:color w:val="auto"/>
          <w:szCs w:val="21"/>
          <w:highlight w:val="none"/>
          <w:u w:val="none"/>
        </w:rPr>
      </w:pPr>
      <w:r>
        <w:rPr>
          <w:rFonts w:hint="eastAsia" w:hAnsi="宋体" w:cs="宋体"/>
          <w:color w:val="auto"/>
          <w:szCs w:val="21"/>
          <w:highlight w:val="none"/>
          <w:u w:val="none"/>
        </w:rPr>
        <w:t>12.2  在特殊情况下，采购人或采购代理机构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不会被没收。</w:t>
      </w:r>
    </w:p>
    <w:p>
      <w:pPr>
        <w:pStyle w:val="8"/>
        <w:rPr>
          <w:rFonts w:hAnsi="宋体" w:cs="宋体"/>
          <w:bCs/>
          <w:color w:val="auto"/>
          <w:szCs w:val="21"/>
          <w:highlight w:val="none"/>
          <w:u w:val="none"/>
        </w:rPr>
      </w:pPr>
      <w:r>
        <w:rPr>
          <w:rFonts w:hint="eastAsia" w:hAnsi="宋体" w:cs="宋体"/>
          <w:bCs/>
          <w:color w:val="auto"/>
          <w:szCs w:val="21"/>
          <w:highlight w:val="none"/>
          <w:u w:val="none"/>
        </w:rPr>
        <w:t>13.  投标保证金</w:t>
      </w:r>
    </w:p>
    <w:p>
      <w:pPr>
        <w:pStyle w:val="8"/>
        <w:tabs>
          <w:tab w:val="left" w:pos="0"/>
        </w:tabs>
        <w:spacing w:after="165"/>
        <w:ind w:firstLine="359" w:firstLineChars="171"/>
        <w:rPr>
          <w:rFonts w:hAnsi="宋体" w:cs="宋体"/>
          <w:b/>
          <w:color w:val="auto"/>
          <w:szCs w:val="21"/>
          <w:highlight w:val="none"/>
          <w:u w:val="none"/>
        </w:rPr>
      </w:pPr>
      <w:r>
        <w:rPr>
          <w:rFonts w:hint="eastAsia" w:hAnsi="宋体" w:cs="宋体"/>
          <w:color w:val="auto"/>
          <w:szCs w:val="21"/>
          <w:highlight w:val="none"/>
          <w:u w:val="none"/>
        </w:rPr>
        <w:t>13.1  投标保证金的金额：A分标：人民币陆仟元整元整（￥6000.00元）；B分标：人民币肆万元整（￥40000.00元）。（</w:t>
      </w:r>
      <w:r>
        <w:rPr>
          <w:rFonts w:hint="eastAsia" w:hAnsi="宋体" w:cs="宋体"/>
          <w:b/>
          <w:color w:val="auto"/>
          <w:szCs w:val="21"/>
          <w:highlight w:val="none"/>
          <w:u w:val="none"/>
        </w:rPr>
        <w:t>须足额交纳，否则投标无效）。</w:t>
      </w:r>
    </w:p>
    <w:p>
      <w:pPr>
        <w:pStyle w:val="8"/>
        <w:tabs>
          <w:tab w:val="left" w:pos="0"/>
        </w:tabs>
        <w:spacing w:after="165"/>
        <w:ind w:firstLine="361" w:firstLineChars="171"/>
        <w:rPr>
          <w:rFonts w:hAnsi="宋体" w:cs="宋体"/>
          <w:color w:val="auto"/>
          <w:szCs w:val="21"/>
          <w:highlight w:val="none"/>
          <w:u w:val="none"/>
        </w:rPr>
      </w:pPr>
      <w:r>
        <w:rPr>
          <w:rFonts w:hint="eastAsia" w:hAnsi="宋体" w:cs="宋体"/>
          <w:b/>
          <w:color w:val="auto"/>
          <w:szCs w:val="21"/>
          <w:highlight w:val="none"/>
          <w:u w:val="none"/>
        </w:rPr>
        <w:t xml:space="preserve">13.2  </w:t>
      </w:r>
      <w:r>
        <w:rPr>
          <w:rFonts w:hint="eastAsia" w:hAnsi="宋体" w:cs="宋体"/>
          <w:color w:val="auto"/>
          <w:szCs w:val="21"/>
          <w:highlight w:val="none"/>
          <w:u w:val="none"/>
        </w:rPr>
        <w:t>投标保证金交纳方式：投标人应在</w:t>
      </w:r>
      <w:r>
        <w:rPr>
          <w:rFonts w:hint="eastAsia" w:hAnsi="宋体" w:cs="宋体"/>
          <w:color w:val="auto"/>
          <w:szCs w:val="21"/>
          <w:highlight w:val="none"/>
          <w:u w:val="none"/>
          <w:lang w:eastAsia="zh-CN"/>
        </w:rPr>
        <w:t>2020年12月21日10时00 分</w:t>
      </w:r>
      <w:r>
        <w:rPr>
          <w:rFonts w:hint="eastAsia" w:hAnsi="宋体" w:cs="宋体"/>
          <w:color w:val="auto"/>
          <w:szCs w:val="21"/>
          <w:highlight w:val="none"/>
          <w:u w:val="none"/>
        </w:rPr>
        <w:t>前按规定的金额递交投标保证金，并确保到账。投标人应于响应文件递交截止时间前将保证金以电汇、转账等非现金形式从供应商银行账户转出并到达中鼎誉润工程咨询有限公司钦州分公司指定账户，否则视为无效投标保证金。本项目不接受现金形式或从个人账户转出的投标保证金。</w:t>
      </w:r>
    </w:p>
    <w:p>
      <w:pPr>
        <w:rPr>
          <w:rFonts w:ascii="宋体" w:hAnsi="宋体" w:cs="宋体"/>
          <w:color w:val="auto"/>
          <w:szCs w:val="21"/>
          <w:highlight w:val="none"/>
          <w:u w:val="none"/>
        </w:rPr>
      </w:pPr>
      <w:r>
        <w:rPr>
          <w:rFonts w:hint="eastAsia" w:ascii="宋体" w:hAnsi="宋体" w:cs="宋体"/>
          <w:color w:val="auto"/>
          <w:szCs w:val="21"/>
          <w:highlight w:val="none"/>
          <w:u w:val="none"/>
        </w:rPr>
        <w:t>保证金缴纳信息：</w:t>
      </w:r>
    </w:p>
    <w:p>
      <w:p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开户名称：钦州市公共资源交易中心</w:t>
      </w:r>
    </w:p>
    <w:p>
      <w:p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开户银行：钦州市区农村信用合作联社政务服务中心分社</w:t>
      </w:r>
    </w:p>
    <w:p>
      <w:pPr>
        <w:spacing w:line="240" w:lineRule="atLeast"/>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银行账号：</w:t>
      </w:r>
    </w:p>
    <w:p>
      <w:pPr>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注：保证金要求备注项目编号和用途。投标人应按上述要求交纳保证金,并自行考虑到账时间，妥善安排保证金交纳工作，确保按时到账。</w:t>
      </w:r>
    </w:p>
    <w:p>
      <w:pPr>
        <w:pStyle w:val="8"/>
        <w:tabs>
          <w:tab w:val="left" w:pos="0"/>
        </w:tabs>
        <w:spacing w:after="165"/>
        <w:ind w:firstLine="359" w:firstLineChars="171"/>
        <w:rPr>
          <w:rFonts w:hAnsi="宋体" w:cs="宋体"/>
          <w:color w:val="auto"/>
          <w:szCs w:val="21"/>
          <w:highlight w:val="none"/>
          <w:u w:val="none"/>
        </w:rPr>
      </w:pPr>
      <w:r>
        <w:rPr>
          <w:rFonts w:hint="eastAsia" w:hAnsi="宋体" w:cs="宋体"/>
          <w:color w:val="auto"/>
          <w:szCs w:val="21"/>
          <w:highlight w:val="none"/>
          <w:u w:val="none"/>
        </w:rPr>
        <w:t>13.3对未足额、按时交纳保证金的，均按未交纳保证金处理，并由评标小组现场核定该响应文件无效。</w:t>
      </w:r>
    </w:p>
    <w:p>
      <w:pPr>
        <w:pStyle w:val="8"/>
        <w:tabs>
          <w:tab w:val="left" w:pos="0"/>
        </w:tabs>
        <w:spacing w:after="165"/>
        <w:ind w:firstLine="359" w:firstLineChars="171"/>
        <w:rPr>
          <w:rFonts w:hAnsi="宋体" w:cs="宋体"/>
          <w:color w:val="auto"/>
          <w:szCs w:val="21"/>
          <w:highlight w:val="none"/>
          <w:u w:val="none"/>
        </w:rPr>
      </w:pPr>
      <w:r>
        <w:rPr>
          <w:rFonts w:hint="eastAsia" w:hAnsi="宋体" w:cs="宋体"/>
          <w:color w:val="auto"/>
          <w:szCs w:val="21"/>
          <w:highlight w:val="none"/>
          <w:u w:val="none"/>
        </w:rPr>
        <w:t>13.4中标供应商的投标保证金，除本章第13.5项规定的不予退还的情形外，将无息退还至未中标供应商的账号。中标供应商的保证金退还。采购人与中标供应商签订合同后，应在3个工作日内向中鼎誉润工程咨询有限公司提供《中标人投标保证金退还通知书》，中鼎誉润工程咨询有限公司在收到通知书后的2个工作日内办理中标供应商的投标保证金退还手续。</w:t>
      </w:r>
    </w:p>
    <w:p>
      <w:pPr>
        <w:pStyle w:val="8"/>
        <w:tabs>
          <w:tab w:val="left" w:pos="0"/>
        </w:tabs>
        <w:spacing w:after="165"/>
        <w:ind w:firstLine="359" w:firstLineChars="171"/>
        <w:rPr>
          <w:rFonts w:hAnsi="宋体" w:cs="宋体"/>
          <w:color w:val="auto"/>
          <w:szCs w:val="21"/>
          <w:highlight w:val="none"/>
          <w:u w:val="none"/>
        </w:rPr>
      </w:pPr>
      <w:r>
        <w:rPr>
          <w:rFonts w:hint="eastAsia" w:hAnsi="宋体" w:cs="宋体"/>
          <w:color w:val="auto"/>
          <w:szCs w:val="21"/>
          <w:highlight w:val="none"/>
          <w:u w:val="none"/>
        </w:rPr>
        <w:t>13.3  投标人有下列情形之一的，不予退还其交纳的投标保证金：</w:t>
      </w:r>
    </w:p>
    <w:p>
      <w:pPr>
        <w:pStyle w:val="8"/>
        <w:spacing w:after="165"/>
        <w:ind w:left="2" w:firstLine="422" w:firstLineChars="201"/>
        <w:rPr>
          <w:rFonts w:hAnsi="宋体" w:cs="宋体"/>
          <w:color w:val="auto"/>
          <w:szCs w:val="21"/>
          <w:highlight w:val="none"/>
          <w:u w:val="none"/>
        </w:rPr>
      </w:pPr>
      <w:r>
        <w:rPr>
          <w:rFonts w:hint="eastAsia" w:hAnsi="宋体" w:cs="宋体"/>
          <w:color w:val="auto"/>
          <w:szCs w:val="21"/>
          <w:highlight w:val="none"/>
          <w:u w:val="none"/>
        </w:rPr>
        <w:t>（1）在开标后要求撤回投标的；</w:t>
      </w:r>
    </w:p>
    <w:p>
      <w:pPr>
        <w:pStyle w:val="8"/>
        <w:spacing w:after="165"/>
        <w:ind w:left="2" w:firstLine="422" w:firstLineChars="201"/>
        <w:rPr>
          <w:rFonts w:hAnsi="宋体" w:cs="宋体"/>
          <w:color w:val="auto"/>
          <w:szCs w:val="21"/>
          <w:highlight w:val="none"/>
          <w:u w:val="none"/>
        </w:rPr>
      </w:pPr>
      <w:r>
        <w:rPr>
          <w:rFonts w:hint="eastAsia" w:hAnsi="宋体" w:cs="宋体"/>
          <w:color w:val="auto"/>
          <w:szCs w:val="21"/>
          <w:highlight w:val="none"/>
          <w:u w:val="none"/>
        </w:rPr>
        <w:t>（2）属本章第18.2项所述情形的；</w:t>
      </w:r>
    </w:p>
    <w:p>
      <w:pPr>
        <w:pStyle w:val="8"/>
        <w:spacing w:after="165"/>
        <w:ind w:left="2" w:firstLine="422" w:firstLineChars="201"/>
        <w:rPr>
          <w:rFonts w:hAnsi="宋体" w:cs="宋体"/>
          <w:color w:val="auto"/>
          <w:szCs w:val="21"/>
          <w:highlight w:val="none"/>
          <w:u w:val="none"/>
        </w:rPr>
      </w:pPr>
      <w:r>
        <w:rPr>
          <w:rFonts w:hint="eastAsia" w:hAnsi="宋体" w:cs="宋体"/>
          <w:color w:val="auto"/>
          <w:szCs w:val="21"/>
          <w:highlight w:val="none"/>
          <w:u w:val="none"/>
        </w:rPr>
        <w:t>（3）中标后未按规定缴纳履约保证金的；</w:t>
      </w:r>
    </w:p>
    <w:p>
      <w:pPr>
        <w:pStyle w:val="8"/>
        <w:spacing w:after="165"/>
        <w:ind w:left="2" w:firstLine="422" w:firstLineChars="201"/>
        <w:rPr>
          <w:rFonts w:hAnsi="宋体" w:cs="宋体"/>
          <w:color w:val="auto"/>
          <w:szCs w:val="21"/>
          <w:highlight w:val="none"/>
          <w:u w:val="none"/>
        </w:rPr>
      </w:pPr>
      <w:r>
        <w:rPr>
          <w:rFonts w:hint="eastAsia" w:hAnsi="宋体" w:cs="宋体"/>
          <w:color w:val="auto"/>
          <w:szCs w:val="21"/>
          <w:highlight w:val="none"/>
          <w:u w:val="none"/>
        </w:rPr>
        <w:t>（4）中标后无正当理由不与采购人或者采购代理机构按规定的时间、地点签订合同的；</w:t>
      </w:r>
    </w:p>
    <w:p>
      <w:pPr>
        <w:pStyle w:val="8"/>
        <w:spacing w:after="165"/>
        <w:ind w:left="2" w:firstLine="422" w:firstLineChars="201"/>
        <w:rPr>
          <w:rFonts w:hAnsi="宋体" w:cs="宋体"/>
          <w:color w:val="auto"/>
          <w:szCs w:val="21"/>
          <w:highlight w:val="none"/>
          <w:u w:val="none"/>
        </w:rPr>
      </w:pPr>
      <w:r>
        <w:rPr>
          <w:rFonts w:hint="eastAsia" w:hAnsi="宋体" w:cs="宋体"/>
          <w:color w:val="auto"/>
          <w:szCs w:val="21"/>
          <w:highlight w:val="none"/>
          <w:u w:val="none"/>
        </w:rPr>
        <w:t>（5）中标后与采购人签订对招标文件和投标文件作了实质性修改的合同，或与采购人私下订立背离合同实质性内容的协议的；</w:t>
      </w:r>
    </w:p>
    <w:p>
      <w:pPr>
        <w:pStyle w:val="8"/>
        <w:ind w:firstLine="210" w:firstLineChars="100"/>
        <w:rPr>
          <w:rFonts w:hAnsi="宋体" w:cs="宋体"/>
          <w:bCs/>
          <w:color w:val="auto"/>
          <w:szCs w:val="21"/>
          <w:highlight w:val="none"/>
          <w:u w:val="none"/>
        </w:rPr>
      </w:pPr>
      <w:r>
        <w:rPr>
          <w:rFonts w:hint="eastAsia" w:hAnsi="宋体" w:cs="宋体"/>
          <w:color w:val="auto"/>
          <w:szCs w:val="21"/>
          <w:highlight w:val="none"/>
          <w:u w:val="none"/>
        </w:rPr>
        <w:t>（6）将中标项目转让给他人，或者在投标文件中未说明，且未经采购人或采购代理机构同意，将中标项目分包给他人的。</w:t>
      </w:r>
    </w:p>
    <w:p>
      <w:pPr>
        <w:pStyle w:val="8"/>
        <w:jc w:val="center"/>
        <w:rPr>
          <w:rFonts w:hAnsi="宋体" w:cs="宋体"/>
          <w:b/>
          <w:bCs/>
          <w:color w:val="auto"/>
          <w:szCs w:val="21"/>
          <w:highlight w:val="none"/>
          <w:u w:val="none"/>
        </w:rPr>
      </w:pPr>
    </w:p>
    <w:p>
      <w:pPr>
        <w:pStyle w:val="8"/>
        <w:jc w:val="center"/>
        <w:outlineLvl w:val="1"/>
        <w:rPr>
          <w:rFonts w:hAnsi="宋体" w:cs="宋体"/>
          <w:b/>
          <w:color w:val="auto"/>
          <w:szCs w:val="21"/>
          <w:highlight w:val="none"/>
          <w:u w:val="none"/>
        </w:rPr>
      </w:pPr>
      <w:r>
        <w:rPr>
          <w:rFonts w:hint="eastAsia" w:hAnsi="宋体" w:cs="宋体"/>
          <w:b/>
          <w:color w:val="auto"/>
          <w:szCs w:val="21"/>
          <w:highlight w:val="none"/>
          <w:u w:val="none"/>
        </w:rPr>
        <w:t>四    投标</w:t>
      </w:r>
    </w:p>
    <w:p>
      <w:pPr>
        <w:pStyle w:val="8"/>
        <w:rPr>
          <w:rFonts w:hAnsi="宋体" w:cs="宋体"/>
          <w:bCs/>
          <w:color w:val="auto"/>
          <w:szCs w:val="21"/>
          <w:highlight w:val="none"/>
          <w:u w:val="none"/>
        </w:rPr>
      </w:pPr>
      <w:r>
        <w:rPr>
          <w:rFonts w:hint="eastAsia" w:hAnsi="宋体" w:cs="宋体"/>
          <w:bCs/>
          <w:color w:val="auto"/>
          <w:szCs w:val="21"/>
          <w:highlight w:val="none"/>
          <w:u w:val="none"/>
        </w:rPr>
        <w:t>14.  投标文件的密封</w:t>
      </w:r>
    </w:p>
    <w:p>
      <w:pPr>
        <w:pStyle w:val="8"/>
        <w:ind w:firstLine="359" w:firstLineChars="171"/>
        <w:rPr>
          <w:rFonts w:hAnsi="宋体" w:cs="宋体"/>
          <w:color w:val="auto"/>
          <w:szCs w:val="21"/>
          <w:highlight w:val="none"/>
          <w:u w:val="none"/>
        </w:rPr>
      </w:pPr>
      <w:r>
        <w:rPr>
          <w:rFonts w:hint="eastAsia" w:hAnsi="宋体" w:cs="宋体"/>
          <w:color w:val="auto"/>
          <w:szCs w:val="21"/>
          <w:highlight w:val="none"/>
          <w:u w:val="none"/>
        </w:rPr>
        <w:t>14.1  投标人应将投标正、副本文件进行密封包装。</w:t>
      </w:r>
    </w:p>
    <w:p>
      <w:pPr>
        <w:pStyle w:val="8"/>
        <w:rPr>
          <w:rFonts w:hAnsi="宋体" w:cs="宋体"/>
          <w:bCs/>
          <w:color w:val="auto"/>
          <w:szCs w:val="21"/>
          <w:highlight w:val="none"/>
          <w:u w:val="none"/>
        </w:rPr>
      </w:pPr>
      <w:r>
        <w:rPr>
          <w:rFonts w:hint="eastAsia" w:hAnsi="宋体" w:cs="宋体"/>
          <w:bCs/>
          <w:color w:val="auto"/>
          <w:szCs w:val="21"/>
          <w:highlight w:val="none"/>
          <w:u w:val="none"/>
        </w:rPr>
        <w:t>15.  投标文件的递交</w:t>
      </w:r>
    </w:p>
    <w:p>
      <w:pPr>
        <w:pStyle w:val="8"/>
        <w:ind w:firstLine="360"/>
        <w:rPr>
          <w:rFonts w:hAnsi="宋体" w:cs="宋体"/>
          <w:color w:val="auto"/>
          <w:szCs w:val="21"/>
          <w:highlight w:val="none"/>
          <w:u w:val="none"/>
        </w:rPr>
      </w:pPr>
      <w:r>
        <w:rPr>
          <w:rFonts w:hint="eastAsia" w:hAnsi="宋体" w:cs="宋体"/>
          <w:color w:val="auto"/>
          <w:szCs w:val="21"/>
          <w:highlight w:val="none"/>
          <w:u w:val="none"/>
        </w:rPr>
        <w:t>15.1  投标人投标截止时间：见投标人须知前附表。</w:t>
      </w:r>
    </w:p>
    <w:p>
      <w:pPr>
        <w:pStyle w:val="8"/>
        <w:ind w:firstLine="360"/>
        <w:rPr>
          <w:rFonts w:hAnsi="宋体" w:cs="宋体"/>
          <w:color w:val="auto"/>
          <w:szCs w:val="21"/>
          <w:highlight w:val="none"/>
          <w:u w:val="none"/>
        </w:rPr>
      </w:pPr>
      <w:r>
        <w:rPr>
          <w:rFonts w:hint="eastAsia" w:hAnsi="宋体" w:cs="宋体"/>
          <w:color w:val="auto"/>
          <w:szCs w:val="21"/>
          <w:highlight w:val="none"/>
          <w:u w:val="none"/>
        </w:rPr>
        <w:t>15.2  投标人递交投标文件地点：见投标人须知前附表。</w:t>
      </w:r>
    </w:p>
    <w:p>
      <w:pPr>
        <w:pStyle w:val="8"/>
        <w:jc w:val="center"/>
        <w:rPr>
          <w:rFonts w:asciiTheme="minorEastAsia" w:hAnsiTheme="minorEastAsia" w:eastAsiaTheme="minorEastAsia"/>
          <w:color w:val="auto"/>
          <w:highlight w:val="none"/>
          <w:u w:val="none"/>
        </w:rPr>
      </w:pPr>
    </w:p>
    <w:p>
      <w:pPr>
        <w:pStyle w:val="8"/>
        <w:jc w:val="center"/>
        <w:outlineLvl w:val="1"/>
        <w:rPr>
          <w:rFonts w:asciiTheme="minorEastAsia" w:hAnsiTheme="minorEastAsia" w:eastAsiaTheme="minorEastAsia"/>
          <w:b/>
          <w:color w:val="auto"/>
          <w:sz w:val="30"/>
          <w:szCs w:val="30"/>
          <w:highlight w:val="none"/>
          <w:u w:val="none"/>
        </w:rPr>
      </w:pPr>
      <w:r>
        <w:rPr>
          <w:rFonts w:hint="eastAsia" w:asciiTheme="minorEastAsia" w:hAnsiTheme="minorEastAsia" w:eastAsiaTheme="minorEastAsia"/>
          <w:b/>
          <w:color w:val="auto"/>
          <w:sz w:val="30"/>
          <w:szCs w:val="30"/>
          <w:highlight w:val="none"/>
          <w:u w:val="none"/>
        </w:rPr>
        <w:t>五    开标与评标</w:t>
      </w:r>
    </w:p>
    <w:p>
      <w:pPr>
        <w:pStyle w:val="8"/>
        <w:rPr>
          <w:rFonts w:asciiTheme="minorEastAsia" w:hAnsiTheme="minorEastAsia" w:eastAsiaTheme="minorEastAsia"/>
          <w:bCs/>
          <w:color w:val="auto"/>
          <w:sz w:val="24"/>
          <w:highlight w:val="none"/>
          <w:u w:val="none"/>
        </w:rPr>
      </w:pPr>
      <w:r>
        <w:rPr>
          <w:rFonts w:hint="eastAsia" w:asciiTheme="minorEastAsia" w:hAnsiTheme="minorEastAsia" w:eastAsiaTheme="minorEastAsia"/>
          <w:bCs/>
          <w:color w:val="auto"/>
          <w:sz w:val="24"/>
          <w:highlight w:val="none"/>
          <w:u w:val="none"/>
        </w:rPr>
        <w:t>16.  开标</w:t>
      </w:r>
    </w:p>
    <w:p>
      <w:pPr>
        <w:pStyle w:val="8"/>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16.1  采购代理机构将在本章第15.1项规定的投标截止时间（即开标时间）和投标人须知前附表规定的地点公开开标，投标人的法定代表人或其委托代理人应准时参加并签到。如未按时签到，由此产生的后果由投标人自行负责。</w:t>
      </w:r>
    </w:p>
    <w:p>
      <w:pPr>
        <w:pStyle w:val="8"/>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16.2  开标程序：</w:t>
      </w:r>
    </w:p>
    <w:p>
      <w:pPr>
        <w:pStyle w:val="8"/>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（1）开标会由采购代理机构主持，主持人宣布开标会议开始；</w:t>
      </w:r>
    </w:p>
    <w:p>
      <w:pPr>
        <w:pStyle w:val="8"/>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（2）公布在投标截止时间前递交投标文件的投标人名称，并点名确认投标人是否派人到场；</w:t>
      </w:r>
    </w:p>
    <w:p>
      <w:pPr>
        <w:pStyle w:val="8"/>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（3）宣布开标人、唱标人、记录人、监标人（由第三方监督单位担任）等有关人员姓名；</w:t>
      </w:r>
    </w:p>
    <w:p>
      <w:pPr>
        <w:pStyle w:val="8"/>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（4）投标人代表按本章第14.1项的规定交叉检查投标文件的密封情况，并签字确认；</w:t>
      </w:r>
    </w:p>
    <w:p>
      <w:pPr>
        <w:pStyle w:val="8"/>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5）按各投标人递交投标文件时间的先后顺序当众拆封投标文件，由唱标人宣读投标人名称、分标名称、投标文件正副本数量、投标报价、交货期等以及采购代理机构认为有必要宣读的其他内容，记录人负责做开标记录；</w:t>
      </w:r>
    </w:p>
    <w:p>
      <w:pPr>
        <w:pStyle w:val="8"/>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（6）相关人员在开标记录上签字确认；</w:t>
      </w:r>
    </w:p>
    <w:p>
      <w:pPr>
        <w:pStyle w:val="8"/>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（7）宣布评标期间的有关事项；</w:t>
      </w:r>
    </w:p>
    <w:p>
      <w:pPr>
        <w:pStyle w:val="8"/>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（8）开标结束。</w:t>
      </w:r>
    </w:p>
    <w:p>
      <w:pPr>
        <w:pStyle w:val="8"/>
        <w:rPr>
          <w:rFonts w:asciiTheme="minorEastAsia" w:hAnsiTheme="minorEastAsia" w:eastAsiaTheme="minorEastAsia"/>
          <w:bCs/>
          <w:color w:val="auto"/>
          <w:sz w:val="24"/>
          <w:highlight w:val="none"/>
          <w:u w:val="none"/>
        </w:rPr>
      </w:pPr>
      <w:r>
        <w:rPr>
          <w:rFonts w:hint="eastAsia" w:asciiTheme="minorEastAsia" w:hAnsiTheme="minorEastAsia" w:eastAsiaTheme="minorEastAsia"/>
          <w:bCs/>
          <w:color w:val="auto"/>
          <w:sz w:val="24"/>
          <w:highlight w:val="none"/>
          <w:u w:val="none"/>
        </w:rPr>
        <w:t>17.  评标</w:t>
      </w:r>
    </w:p>
    <w:p>
      <w:pPr>
        <w:pStyle w:val="8"/>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pPr>
        <w:pStyle w:val="8"/>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17.2  评标原则：评标活动遵循公平、公正、科学和择优的原则。</w:t>
      </w:r>
    </w:p>
    <w:p>
      <w:pPr>
        <w:pStyle w:val="8"/>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17.3  评标方法：评标委员会按照投标人须知前附表和第六章“评标方法”规定的方法、评审因素和标准对投标文件进行评审。在评标中，不得改变第六章“评标办法”规定的方法、评审因素和标准；第六章“评标办法”没有规定的方法、评审因素和标准，不作为评标依据。</w:t>
      </w:r>
    </w:p>
    <w:p>
      <w:pPr>
        <w:pStyle w:val="8"/>
        <w:ind w:firstLine="360"/>
        <w:rPr>
          <w:rFonts w:asciiTheme="minorEastAsia" w:hAnsiTheme="minorEastAsia" w:eastAsiaTheme="minorEastAsia"/>
          <w:bCs/>
          <w:color w:val="auto"/>
          <w:highlight w:val="none"/>
          <w:u w:val="none"/>
        </w:rPr>
      </w:pPr>
      <w:r>
        <w:rPr>
          <w:rFonts w:hint="eastAsia" w:asciiTheme="minorEastAsia" w:hAnsiTheme="minorEastAsia" w:eastAsiaTheme="minorEastAsia"/>
          <w:color w:val="auto"/>
          <w:highlight w:val="none"/>
          <w:u w:val="none"/>
        </w:rPr>
        <w:t xml:space="preserve">17.4  </w:t>
      </w:r>
      <w:r>
        <w:rPr>
          <w:rFonts w:hint="eastAsia" w:asciiTheme="minorEastAsia" w:hAnsiTheme="minorEastAsia" w:eastAsiaTheme="minorEastAsia"/>
          <w:bCs/>
          <w:color w:val="auto"/>
          <w:highlight w:val="none"/>
          <w:u w:val="none"/>
        </w:rPr>
        <w:t>评标程序：</w:t>
      </w:r>
    </w:p>
    <w:p>
      <w:pPr>
        <w:pStyle w:val="8"/>
        <w:ind w:firstLine="360"/>
        <w:rPr>
          <w:rFonts w:asciiTheme="minorEastAsia" w:hAnsiTheme="minorEastAsia" w:eastAsiaTheme="minorEastAsia"/>
          <w:bCs/>
          <w:color w:val="auto"/>
          <w:highlight w:val="none"/>
          <w:u w:val="none"/>
        </w:rPr>
      </w:pPr>
      <w:r>
        <w:rPr>
          <w:rFonts w:hint="eastAsia" w:asciiTheme="minorEastAsia" w:hAnsiTheme="minorEastAsia" w:eastAsiaTheme="minorEastAsia"/>
          <w:bCs/>
          <w:color w:val="auto"/>
          <w:highlight w:val="none"/>
          <w:u w:val="none"/>
        </w:rPr>
        <w:t>17.4.1  采购代理机构项目负责人宣读评标现场纪律要求，集中管理通讯工具，询问在场人员是否申请回避；</w:t>
      </w:r>
    </w:p>
    <w:p>
      <w:pPr>
        <w:pStyle w:val="8"/>
        <w:ind w:firstLine="360"/>
        <w:rPr>
          <w:rFonts w:asciiTheme="minorEastAsia" w:hAnsiTheme="minorEastAsia" w:eastAsiaTheme="minorEastAsia"/>
          <w:bCs/>
          <w:color w:val="auto"/>
          <w:highlight w:val="none"/>
          <w:u w:val="none"/>
        </w:rPr>
      </w:pPr>
      <w:r>
        <w:rPr>
          <w:rFonts w:hint="eastAsia" w:asciiTheme="minorEastAsia" w:hAnsiTheme="minorEastAsia" w:eastAsiaTheme="minorEastAsia"/>
          <w:bCs/>
          <w:color w:val="auto"/>
          <w:highlight w:val="none"/>
          <w:u w:val="none"/>
        </w:rPr>
        <w:t>17.4.2  采购代理机构项目负责人介绍项目概况及评标委员会组成情况（但不得发表影响评审的倾向性、歧视性言论），推选评标组长（原则上采购人不得担任评标组长）；</w:t>
      </w:r>
    </w:p>
    <w:p>
      <w:pPr>
        <w:pStyle w:val="8"/>
        <w:ind w:firstLine="360"/>
        <w:rPr>
          <w:rFonts w:asciiTheme="minorEastAsia" w:hAnsiTheme="minorEastAsia" w:eastAsiaTheme="minorEastAsia"/>
          <w:bCs/>
          <w:color w:val="auto"/>
          <w:highlight w:val="none"/>
          <w:u w:val="none"/>
        </w:rPr>
      </w:pPr>
      <w:r>
        <w:rPr>
          <w:rFonts w:hint="eastAsia" w:asciiTheme="minorEastAsia" w:hAnsiTheme="minorEastAsia" w:eastAsiaTheme="minorEastAsia"/>
          <w:bCs/>
          <w:color w:val="auto"/>
          <w:highlight w:val="none"/>
          <w:u w:val="none"/>
        </w:rPr>
        <w:t>17.4.3  评标委员会按分工开展评标工作：</w:t>
      </w:r>
    </w:p>
    <w:p>
      <w:pPr>
        <w:pStyle w:val="8"/>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（1）投标文件初审。初审分为资格性检查和符合性检查。</w:t>
      </w:r>
    </w:p>
    <w:p>
      <w:pPr>
        <w:pStyle w:val="8"/>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资格性检查：依据法律法规和招标文件的规定，对投标文件中的资格证明、投标保证金等进行审查，以确定投标供应商是否具备投标资格。</w:t>
      </w:r>
    </w:p>
    <w:p>
      <w:pPr>
        <w:pStyle w:val="8"/>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符合性检查：依据招标文件的规定，从投标文件的有效性、完整性和对招标文件的响应程度进行审查，以确定是否对招标文件的实质性要求和条件作出响应。</w:t>
      </w:r>
    </w:p>
    <w:p>
      <w:pPr>
        <w:pStyle w:val="8"/>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8"/>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pPr>
        <w:pStyle w:val="8"/>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（4）</w:t>
      </w:r>
      <w:r>
        <w:rPr>
          <w:rFonts w:asciiTheme="minorEastAsia" w:hAnsiTheme="minorEastAsia" w:eastAsiaTheme="minorEastAsia"/>
          <w:color w:val="auto"/>
          <w:highlight w:val="none"/>
          <w:u w:val="none"/>
        </w:rPr>
        <w:t>编写评标报告</w:t>
      </w:r>
      <w:r>
        <w:rPr>
          <w:rFonts w:hint="eastAsia" w:asciiTheme="minorEastAsia" w:hAnsiTheme="minorEastAsia" w:eastAsiaTheme="minorEastAsia"/>
          <w:color w:val="auto"/>
          <w:highlight w:val="none"/>
          <w:u w:val="none"/>
        </w:rPr>
        <w:t>，并确定中标供应商名单。</w:t>
      </w:r>
    </w:p>
    <w:p>
      <w:pPr>
        <w:pStyle w:val="8"/>
        <w:ind w:firstLine="360"/>
        <w:rPr>
          <w:rFonts w:asciiTheme="minorEastAsia" w:hAnsiTheme="minorEastAsia" w:eastAsiaTheme="minorEastAsia"/>
          <w:bCs/>
          <w:color w:val="auto"/>
          <w:highlight w:val="none"/>
          <w:u w:val="none"/>
        </w:rPr>
      </w:pPr>
      <w:r>
        <w:rPr>
          <w:rFonts w:hint="eastAsia" w:asciiTheme="minorEastAsia" w:hAnsiTheme="minorEastAsia" w:eastAsiaTheme="minorEastAsia"/>
          <w:color w:val="auto"/>
          <w:highlight w:val="none"/>
          <w:u w:val="none"/>
        </w:rPr>
        <w:t>17.4.4  整个现场评标过程中，采购代理机构应严格按照招标文件既定的程序组织评委评审，针对评委作出的评分、评标结论现场认真进行核对和复核，如有错漏，应及时请当事评委进行校正</w:t>
      </w:r>
      <w:r>
        <w:rPr>
          <w:rFonts w:asciiTheme="minorEastAsia" w:hAnsiTheme="minorEastAsia" w:eastAsiaTheme="minorEastAsia"/>
          <w:color w:val="auto"/>
          <w:highlight w:val="none"/>
          <w:u w:val="none"/>
        </w:rPr>
        <w:t>。</w:t>
      </w:r>
    </w:p>
    <w:p>
      <w:pPr>
        <w:pStyle w:val="8"/>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17.5  在确定中标供应商前，采购人或采购代理机构不得与投标供应商就投标价格、投标方案等实质性内容进行谈判。</w:t>
      </w:r>
    </w:p>
    <w:p>
      <w:pPr>
        <w:pStyle w:val="8"/>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8"/>
        <w:rPr>
          <w:rFonts w:asciiTheme="minorEastAsia" w:hAnsiTheme="minorEastAsia" w:eastAsiaTheme="minorEastAsia"/>
          <w:bCs/>
          <w:color w:val="auto"/>
          <w:sz w:val="24"/>
          <w:highlight w:val="none"/>
          <w:u w:val="none"/>
        </w:rPr>
      </w:pPr>
      <w:r>
        <w:rPr>
          <w:rFonts w:hint="eastAsia" w:asciiTheme="minorEastAsia" w:hAnsiTheme="minorEastAsia" w:eastAsiaTheme="minorEastAsia"/>
          <w:bCs/>
          <w:color w:val="auto"/>
          <w:sz w:val="24"/>
          <w:highlight w:val="none"/>
          <w:u w:val="none"/>
        </w:rPr>
        <w:t>18.  投标文件的修正</w:t>
      </w:r>
    </w:p>
    <w:p>
      <w:pPr>
        <w:pStyle w:val="8"/>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18.1  如果出现计算或表达上的错误，修正的原则如下：</w:t>
      </w:r>
    </w:p>
    <w:p>
      <w:pPr>
        <w:pStyle w:val="8"/>
        <w:ind w:firstLine="720"/>
        <w:rPr>
          <w:rFonts w:asciiTheme="minorEastAsia" w:hAnsiTheme="minorEastAsia" w:eastAsiaTheme="minorEastAsia"/>
          <w:bCs/>
          <w:color w:val="auto"/>
          <w:sz w:val="24"/>
          <w:highlight w:val="none"/>
          <w:u w:val="none"/>
        </w:rPr>
      </w:pPr>
      <w:r>
        <w:rPr>
          <w:rFonts w:hint="eastAsia" w:asciiTheme="minorEastAsia" w:hAnsiTheme="minorEastAsia" w:eastAsiaTheme="minorEastAsia"/>
          <w:color w:val="auto"/>
          <w:highlight w:val="none"/>
          <w:u w:val="none"/>
        </w:rPr>
        <w:t>（1）开标时，投标文件中</w:t>
      </w:r>
      <w:r>
        <w:rPr>
          <w:rFonts w:asciiTheme="minorEastAsia" w:hAnsiTheme="minorEastAsia" w:eastAsiaTheme="minorEastAsia"/>
          <w:color w:val="auto"/>
          <w:highlight w:val="none"/>
          <w:u w:val="none"/>
        </w:rPr>
        <w:t>投标</w:t>
      </w:r>
      <w:r>
        <w:rPr>
          <w:rFonts w:hint="eastAsia" w:asciiTheme="minorEastAsia" w:hAnsiTheme="minorEastAsia" w:eastAsiaTheme="minorEastAsia"/>
          <w:color w:val="auto"/>
          <w:highlight w:val="none"/>
          <w:u w:val="none"/>
        </w:rPr>
        <w:t>函</w:t>
      </w:r>
      <w:r>
        <w:rPr>
          <w:rFonts w:asciiTheme="minorEastAsia" w:hAnsiTheme="minorEastAsia" w:eastAsiaTheme="minorEastAsia"/>
          <w:color w:val="auto"/>
          <w:highlight w:val="none"/>
          <w:u w:val="none"/>
        </w:rPr>
        <w:t>内容与投标报价表中明细表内容不一致的，以投标</w:t>
      </w:r>
      <w:r>
        <w:rPr>
          <w:rFonts w:hint="eastAsia" w:asciiTheme="minorEastAsia" w:hAnsiTheme="minorEastAsia" w:eastAsiaTheme="minorEastAsia"/>
          <w:color w:val="auto"/>
          <w:highlight w:val="none"/>
          <w:u w:val="none"/>
        </w:rPr>
        <w:t>函</w:t>
      </w:r>
      <w:r>
        <w:rPr>
          <w:rFonts w:asciiTheme="minorEastAsia" w:hAnsiTheme="minorEastAsia" w:eastAsiaTheme="minorEastAsia"/>
          <w:color w:val="auto"/>
          <w:highlight w:val="none"/>
          <w:u w:val="none"/>
        </w:rPr>
        <w:t>为准</w:t>
      </w:r>
      <w:r>
        <w:rPr>
          <w:rFonts w:hint="eastAsia" w:asciiTheme="minorEastAsia" w:hAnsiTheme="minorEastAsia" w:eastAsiaTheme="minorEastAsia"/>
          <w:color w:val="auto"/>
          <w:highlight w:val="none"/>
          <w:u w:val="none"/>
        </w:rPr>
        <w:t>；</w:t>
      </w:r>
    </w:p>
    <w:p>
      <w:pPr>
        <w:pStyle w:val="8"/>
        <w:ind w:firstLine="720"/>
        <w:rPr>
          <w:rFonts w:asciiTheme="minorEastAsia" w:hAnsiTheme="minorEastAsia" w:eastAsiaTheme="minorEastAsia"/>
          <w:bCs/>
          <w:color w:val="auto"/>
          <w:sz w:val="24"/>
          <w:highlight w:val="none"/>
          <w:u w:val="none"/>
        </w:rPr>
      </w:pPr>
      <w:r>
        <w:rPr>
          <w:rFonts w:hint="eastAsia" w:asciiTheme="minorEastAsia" w:hAnsiTheme="minorEastAsia" w:eastAsiaTheme="minorEastAsia"/>
          <w:color w:val="auto"/>
          <w:highlight w:val="none"/>
          <w:u w:val="none"/>
        </w:rPr>
        <w:t>（2）投标文件的大写金额和小写金额不一致的，以大写金额为准；</w:t>
      </w:r>
    </w:p>
    <w:p>
      <w:pPr>
        <w:pStyle w:val="8"/>
        <w:ind w:firstLine="720"/>
        <w:rPr>
          <w:rFonts w:asciiTheme="minorEastAsia" w:hAnsiTheme="minorEastAsia" w:eastAsiaTheme="minorEastAsia"/>
          <w:bCs/>
          <w:color w:val="auto"/>
          <w:sz w:val="24"/>
          <w:highlight w:val="none"/>
          <w:u w:val="none"/>
        </w:rPr>
      </w:pPr>
      <w:r>
        <w:rPr>
          <w:rFonts w:hint="eastAsia" w:asciiTheme="minorEastAsia" w:hAnsiTheme="minorEastAsia" w:eastAsiaTheme="minorEastAsia"/>
          <w:color w:val="auto"/>
          <w:highlight w:val="none"/>
          <w:u w:val="none"/>
        </w:rPr>
        <w:t>（3）总价金额与按单价汇总金额不一致的，以单价金额计算结果为准；</w:t>
      </w:r>
    </w:p>
    <w:p>
      <w:pPr>
        <w:pStyle w:val="8"/>
        <w:ind w:firstLine="720"/>
        <w:rPr>
          <w:rFonts w:asciiTheme="minorEastAsia" w:hAnsiTheme="minorEastAsia" w:eastAsiaTheme="minorEastAsia"/>
          <w:bCs/>
          <w:color w:val="auto"/>
          <w:sz w:val="24"/>
          <w:highlight w:val="none"/>
          <w:u w:val="none"/>
        </w:rPr>
      </w:pPr>
      <w:r>
        <w:rPr>
          <w:rFonts w:hint="eastAsia" w:asciiTheme="minorEastAsia" w:hAnsiTheme="minorEastAsia" w:eastAsiaTheme="minorEastAsia"/>
          <w:color w:val="auto"/>
          <w:highlight w:val="none"/>
          <w:u w:val="none"/>
        </w:rPr>
        <w:t>（4）单价金额小数点有明显错位的，应以总价为准，并修改单价。</w:t>
      </w:r>
    </w:p>
    <w:p>
      <w:pPr>
        <w:pStyle w:val="8"/>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18.2  按上述修正原则修正后的投标报价经投标人书面确认后对投标人具有约束力。如果投标人不接受修正后的投标报价，则其投标无效且其投标保证金不予退回。</w:t>
      </w:r>
    </w:p>
    <w:p>
      <w:pPr>
        <w:pStyle w:val="8"/>
        <w:rPr>
          <w:rFonts w:asciiTheme="minorEastAsia" w:hAnsiTheme="minorEastAsia" w:eastAsiaTheme="minorEastAsia"/>
          <w:b/>
          <w:bCs/>
          <w:color w:val="auto"/>
          <w:sz w:val="24"/>
          <w:highlight w:val="none"/>
          <w:u w:val="none"/>
        </w:rPr>
      </w:pPr>
      <w:r>
        <w:rPr>
          <w:rFonts w:hint="eastAsia" w:asciiTheme="minorEastAsia" w:hAnsiTheme="minorEastAsia" w:eastAsiaTheme="minorEastAsia"/>
          <w:b/>
          <w:bCs/>
          <w:color w:val="auto"/>
          <w:sz w:val="24"/>
          <w:highlight w:val="none"/>
          <w:u w:val="none"/>
        </w:rPr>
        <w:t>19.  拒绝接收</w:t>
      </w:r>
    </w:p>
    <w:p>
      <w:pPr>
        <w:pStyle w:val="8"/>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19.1  投标人未按本章第1.7项报名要求报名的。</w:t>
      </w:r>
    </w:p>
    <w:p>
      <w:pPr>
        <w:pStyle w:val="8"/>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19.2  投标人未在本章第15.1项规定的时间之前将投标文件送达至本章第15.2项指定地点的，采购代理机构应当拒绝接收该投标人的投标文件。</w:t>
      </w:r>
    </w:p>
    <w:p>
      <w:pPr>
        <w:pStyle w:val="8"/>
        <w:rPr>
          <w:rFonts w:asciiTheme="minorEastAsia" w:hAnsiTheme="minorEastAsia" w:eastAsiaTheme="minorEastAsia"/>
          <w:b/>
          <w:bCs/>
          <w:color w:val="auto"/>
          <w:sz w:val="24"/>
          <w:highlight w:val="none"/>
          <w:u w:val="none"/>
        </w:rPr>
      </w:pPr>
      <w:r>
        <w:rPr>
          <w:rFonts w:hint="eastAsia" w:asciiTheme="minorEastAsia" w:hAnsiTheme="minorEastAsia" w:eastAsiaTheme="minorEastAsia"/>
          <w:b/>
          <w:bCs/>
          <w:color w:val="auto"/>
          <w:sz w:val="24"/>
          <w:highlight w:val="none"/>
          <w:u w:val="none"/>
        </w:rPr>
        <w:t>20.  无效投标</w:t>
      </w:r>
    </w:p>
    <w:p>
      <w:pPr>
        <w:pStyle w:val="8"/>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20.1  属下列情形之一的，投标人的投标无效：</w:t>
      </w:r>
    </w:p>
    <w:p>
      <w:pPr>
        <w:pStyle w:val="8"/>
        <w:ind w:firstLine="718" w:firstLineChars="342"/>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（1）投标人不具备本章第3项规定的投标人资格要求的；</w:t>
      </w:r>
    </w:p>
    <w:p>
      <w:pPr>
        <w:pStyle w:val="8"/>
        <w:ind w:firstLine="718" w:firstLineChars="342"/>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 xml:space="preserve">（2）投标文件未按本章第8.8项的规定标识或未按规定的正、副本数量递交的； </w:t>
      </w:r>
    </w:p>
    <w:p>
      <w:pPr>
        <w:pStyle w:val="8"/>
        <w:ind w:firstLine="718" w:firstLineChars="342"/>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（3）投标文件未按本章第10.1项的规定编写和提交的（包括缺少应提交的文件或格式不符合第五章“投标文件格式”的要求）；</w:t>
      </w:r>
    </w:p>
    <w:p>
      <w:pPr>
        <w:pStyle w:val="8"/>
        <w:ind w:firstLine="718" w:firstLineChars="342"/>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（4）投标文件不符合规定的；</w:t>
      </w:r>
    </w:p>
    <w:p>
      <w:pPr>
        <w:pStyle w:val="8"/>
        <w:ind w:firstLine="718" w:firstLineChars="342"/>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（5）投标报价不符合本章第11项规定的或超过采购预算的；</w:t>
      </w:r>
    </w:p>
    <w:p>
      <w:pPr>
        <w:pStyle w:val="8"/>
        <w:ind w:firstLine="718" w:firstLineChars="342"/>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（6）投标人未能按要求出具已交纳投标保证金的相关证明的；</w:t>
      </w:r>
    </w:p>
    <w:p>
      <w:pPr>
        <w:pStyle w:val="8"/>
        <w:ind w:firstLine="718" w:firstLineChars="342"/>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（7）投标文件不符合本章第14.1项规定的；</w:t>
      </w:r>
    </w:p>
    <w:p>
      <w:pPr>
        <w:pStyle w:val="8"/>
        <w:ind w:firstLine="718" w:firstLineChars="342"/>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（8）投标人出现本章第18.2项所述情形的；</w:t>
      </w:r>
    </w:p>
    <w:p>
      <w:pPr>
        <w:pStyle w:val="8"/>
        <w:ind w:firstLine="718" w:firstLineChars="342"/>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（9）投标文件未对招标文件提出的要求和条件作出实质性响应的；</w:t>
      </w:r>
    </w:p>
    <w:p>
      <w:pPr>
        <w:pStyle w:val="8"/>
        <w:ind w:firstLine="718" w:firstLineChars="342"/>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（10）投标文件附有采购需求以外的条件使评标委员会认为不能接受的；</w:t>
      </w:r>
    </w:p>
    <w:p>
      <w:pPr>
        <w:pStyle w:val="8"/>
        <w:ind w:firstLine="718" w:firstLineChars="342"/>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（11）投标人在投标过程中提供虚假材料的；</w:t>
      </w:r>
    </w:p>
    <w:p>
      <w:pPr>
        <w:pStyle w:val="8"/>
        <w:ind w:firstLine="718" w:firstLineChars="342"/>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w:t>
      </w:r>
      <w:r>
        <w:rPr>
          <w:rFonts w:asciiTheme="minorEastAsia" w:hAnsiTheme="minorEastAsia" w:eastAsiaTheme="minorEastAsia"/>
          <w:color w:val="auto"/>
          <w:highlight w:val="none"/>
          <w:u w:val="none"/>
        </w:rPr>
        <w:t>12</w:t>
      </w:r>
      <w:r>
        <w:rPr>
          <w:rFonts w:hint="eastAsia" w:asciiTheme="minorEastAsia" w:hAnsiTheme="minorEastAsia" w:eastAsiaTheme="minorEastAsia"/>
          <w:color w:val="auto"/>
          <w:highlight w:val="none"/>
          <w:u w:val="none"/>
        </w:rPr>
        <w:t>）投标文件含有违反国家法律、法规的内容。</w:t>
      </w:r>
    </w:p>
    <w:p>
      <w:pPr>
        <w:pStyle w:val="8"/>
        <w:rPr>
          <w:rFonts w:asciiTheme="minorEastAsia" w:hAnsiTheme="minorEastAsia" w:eastAsiaTheme="minorEastAsia"/>
          <w:b/>
          <w:bCs/>
          <w:color w:val="auto"/>
          <w:sz w:val="24"/>
          <w:highlight w:val="none"/>
          <w:u w:val="none"/>
        </w:rPr>
      </w:pPr>
      <w:r>
        <w:rPr>
          <w:rFonts w:hint="eastAsia" w:asciiTheme="minorEastAsia" w:hAnsiTheme="minorEastAsia" w:eastAsiaTheme="minorEastAsia"/>
          <w:b/>
          <w:bCs/>
          <w:color w:val="auto"/>
          <w:sz w:val="24"/>
          <w:highlight w:val="none"/>
          <w:u w:val="none"/>
        </w:rPr>
        <w:t>21.  废标</w:t>
      </w:r>
    </w:p>
    <w:p>
      <w:pPr>
        <w:pStyle w:val="8"/>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21.1  在招标过程中，出现下列情形之一的，予以废标：</w:t>
      </w:r>
    </w:p>
    <w:p>
      <w:pPr>
        <w:pStyle w:val="8"/>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（1）符合专业条件的供应商或者对招标文件作实质响应的供应商不足三家的；</w:t>
      </w:r>
    </w:p>
    <w:p>
      <w:pPr>
        <w:pStyle w:val="8"/>
        <w:ind w:firstLine="720"/>
        <w:rPr>
          <w:rFonts w:asciiTheme="minorEastAsia" w:hAnsiTheme="minorEastAsia" w:eastAsiaTheme="minorEastAsia"/>
          <w:bCs/>
          <w:color w:val="auto"/>
          <w:sz w:val="24"/>
          <w:highlight w:val="none"/>
          <w:u w:val="none"/>
        </w:rPr>
      </w:pPr>
      <w:r>
        <w:rPr>
          <w:rFonts w:hint="eastAsia" w:asciiTheme="minorEastAsia" w:hAnsiTheme="minorEastAsia" w:eastAsiaTheme="minorEastAsia"/>
          <w:color w:val="auto"/>
          <w:highlight w:val="none"/>
          <w:u w:val="none"/>
        </w:rPr>
        <w:t>（2）出现影响采购公正的违法、违规行为的；</w:t>
      </w:r>
    </w:p>
    <w:p>
      <w:pPr>
        <w:pStyle w:val="8"/>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（3）投标人的报价均超过了采购预算，采购人不能支付的；</w:t>
      </w:r>
    </w:p>
    <w:p>
      <w:pPr>
        <w:pStyle w:val="8"/>
        <w:ind w:firstLine="72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（4）因重大变故，采购任务取消的。</w:t>
      </w:r>
    </w:p>
    <w:p>
      <w:pPr>
        <w:pStyle w:val="8"/>
        <w:ind w:firstLine="411" w:firstLineChars="196"/>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21.2  废标后，采购代理机构将在本章第2.1项规定的政府采购信息发布媒体上公告废标理由，不再另行通知。</w:t>
      </w:r>
    </w:p>
    <w:p>
      <w:pPr>
        <w:pStyle w:val="8"/>
        <w:jc w:val="center"/>
        <w:outlineLvl w:val="1"/>
        <w:rPr>
          <w:rFonts w:asciiTheme="minorEastAsia" w:hAnsiTheme="minorEastAsia" w:eastAsiaTheme="minorEastAsia"/>
          <w:b/>
          <w:color w:val="auto"/>
          <w:sz w:val="30"/>
          <w:szCs w:val="30"/>
          <w:highlight w:val="none"/>
          <w:u w:val="none"/>
        </w:rPr>
      </w:pPr>
      <w:r>
        <w:rPr>
          <w:rFonts w:hint="eastAsia" w:asciiTheme="minorEastAsia" w:hAnsiTheme="minorEastAsia" w:eastAsiaTheme="minorEastAsia"/>
          <w:b/>
          <w:color w:val="auto"/>
          <w:sz w:val="30"/>
          <w:szCs w:val="30"/>
          <w:highlight w:val="none"/>
          <w:u w:val="none"/>
        </w:rPr>
        <w:t>六    合同授予</w:t>
      </w:r>
    </w:p>
    <w:p>
      <w:pPr>
        <w:pStyle w:val="8"/>
        <w:rPr>
          <w:rFonts w:asciiTheme="minorEastAsia" w:hAnsiTheme="minorEastAsia" w:eastAsiaTheme="minorEastAsia"/>
          <w:bCs/>
          <w:color w:val="auto"/>
          <w:sz w:val="24"/>
          <w:highlight w:val="none"/>
          <w:u w:val="none"/>
        </w:rPr>
      </w:pPr>
      <w:r>
        <w:rPr>
          <w:rFonts w:hint="eastAsia" w:asciiTheme="minorEastAsia" w:hAnsiTheme="minorEastAsia" w:eastAsiaTheme="minorEastAsia"/>
          <w:bCs/>
          <w:color w:val="auto"/>
          <w:sz w:val="24"/>
          <w:highlight w:val="none"/>
          <w:u w:val="none"/>
        </w:rPr>
        <w:t>22.  中标供应商的确定</w:t>
      </w:r>
    </w:p>
    <w:p>
      <w:pPr>
        <w:ind w:firstLine="420"/>
        <w:rPr>
          <w:rFonts w:asciiTheme="minorEastAsia" w:hAnsiTheme="minorEastAsia" w:eastAsiaTheme="minorEastAsia"/>
          <w:color w:val="auto"/>
          <w:szCs w:val="20"/>
          <w:highlight w:val="none"/>
          <w:u w:val="none"/>
        </w:rPr>
      </w:pPr>
      <w:r>
        <w:rPr>
          <w:rFonts w:hint="eastAsia" w:asciiTheme="minorEastAsia" w:hAnsiTheme="minorEastAsia" w:eastAsiaTheme="minorEastAsia"/>
          <w:color w:val="auto"/>
          <w:szCs w:val="20"/>
          <w:highlight w:val="none"/>
          <w:u w:val="none"/>
        </w:rPr>
        <w:t>22.1  评标委员会按第六章“评标方法”的规定</w:t>
      </w:r>
      <w:r>
        <w:rPr>
          <w:rFonts w:hint="eastAsia" w:asciiTheme="minorEastAsia" w:hAnsiTheme="minorEastAsia" w:eastAsiaTheme="minorEastAsia"/>
          <w:color w:val="auto"/>
          <w:highlight w:val="none"/>
          <w:u w:val="none"/>
        </w:rPr>
        <w:t>排列中标候选供应商顺序，并依照次序确定中标供应商。</w:t>
      </w:r>
    </w:p>
    <w:p>
      <w:pPr>
        <w:pStyle w:val="8"/>
        <w:rPr>
          <w:rFonts w:asciiTheme="minorEastAsia" w:hAnsiTheme="minorEastAsia" w:eastAsiaTheme="minorEastAsia"/>
          <w:bCs/>
          <w:color w:val="auto"/>
          <w:sz w:val="24"/>
          <w:highlight w:val="none"/>
          <w:u w:val="none"/>
        </w:rPr>
      </w:pPr>
      <w:r>
        <w:rPr>
          <w:rFonts w:hint="eastAsia" w:asciiTheme="minorEastAsia" w:hAnsiTheme="minorEastAsia" w:eastAsiaTheme="minorEastAsia"/>
          <w:bCs/>
          <w:color w:val="auto"/>
          <w:sz w:val="24"/>
          <w:highlight w:val="none"/>
          <w:u w:val="none"/>
        </w:rPr>
        <w:t>23.  中标通知书</w:t>
      </w:r>
    </w:p>
    <w:p>
      <w:pPr>
        <w:pStyle w:val="8"/>
        <w:ind w:firstLine="360"/>
        <w:rPr>
          <w:rFonts w:cs="宋体" w:asciiTheme="minorEastAsia" w:hAnsiTheme="minorEastAsia" w:eastAsiaTheme="minorEastAsia"/>
          <w:color w:val="auto"/>
          <w:kern w:val="0"/>
          <w:szCs w:val="21"/>
          <w:highlight w:val="none"/>
          <w:u w:val="none"/>
        </w:rPr>
      </w:pPr>
      <w:r>
        <w:rPr>
          <w:rFonts w:hint="eastAsia" w:asciiTheme="minorEastAsia" w:hAnsiTheme="minorEastAsia" w:eastAsiaTheme="minorEastAsia"/>
          <w:color w:val="auto"/>
          <w:highlight w:val="none"/>
          <w:u w:val="none"/>
        </w:rPr>
        <w:t xml:space="preserve">23.1  </w:t>
      </w:r>
      <w:r>
        <w:rPr>
          <w:rFonts w:hint="eastAsia" w:cs="宋体" w:asciiTheme="minorEastAsia" w:hAnsiTheme="minorEastAsia" w:eastAsiaTheme="minorEastAsia"/>
          <w:color w:val="auto"/>
          <w:kern w:val="0"/>
          <w:szCs w:val="21"/>
          <w:highlight w:val="none"/>
          <w:u w:val="none"/>
        </w:rPr>
        <w:t>评标结束后，由采购代理机构在本章第2.1项规定的政府采购信息媒体上发布中标结果公告，同时向中标供应商发出中标通知书。</w:t>
      </w:r>
    </w:p>
    <w:p>
      <w:pPr>
        <w:pStyle w:val="8"/>
        <w:ind w:firstLine="360"/>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23.2  中标通知书对采购人和中标供应商具有同等法律效力。中标通知书发出后，采购人改变中标结果，或者中标供应商放弃中标，应当承担相应的法律责任。</w:t>
      </w:r>
    </w:p>
    <w:p>
      <w:pPr>
        <w:pStyle w:val="8"/>
        <w:rPr>
          <w:rFonts w:asciiTheme="minorEastAsia" w:hAnsiTheme="minorEastAsia" w:eastAsiaTheme="minorEastAsia"/>
          <w:bCs/>
          <w:color w:val="auto"/>
          <w:sz w:val="24"/>
          <w:highlight w:val="none"/>
          <w:u w:val="none"/>
        </w:rPr>
      </w:pPr>
      <w:r>
        <w:rPr>
          <w:rFonts w:hint="eastAsia" w:asciiTheme="minorEastAsia" w:hAnsiTheme="minorEastAsia" w:eastAsiaTheme="minorEastAsia"/>
          <w:bCs/>
          <w:color w:val="auto"/>
          <w:sz w:val="24"/>
          <w:highlight w:val="none"/>
          <w:u w:val="none"/>
        </w:rPr>
        <w:t>24.  投标文件的退回</w:t>
      </w:r>
    </w:p>
    <w:p>
      <w:pPr>
        <w:pStyle w:val="8"/>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24.1  采购人及采购代理机构无义务向未中标供应商解释其未中标原因和退回投标文件。</w:t>
      </w:r>
    </w:p>
    <w:p>
      <w:pPr>
        <w:pStyle w:val="8"/>
        <w:rPr>
          <w:rFonts w:asciiTheme="minorEastAsia" w:hAnsiTheme="minorEastAsia" w:eastAsiaTheme="minorEastAsia"/>
          <w:bCs/>
          <w:color w:val="auto"/>
          <w:sz w:val="24"/>
          <w:highlight w:val="none"/>
          <w:u w:val="none"/>
        </w:rPr>
      </w:pPr>
      <w:r>
        <w:rPr>
          <w:rFonts w:hint="eastAsia" w:asciiTheme="minorEastAsia" w:hAnsiTheme="minorEastAsia" w:eastAsiaTheme="minorEastAsia"/>
          <w:bCs/>
          <w:color w:val="auto"/>
          <w:sz w:val="24"/>
          <w:highlight w:val="none"/>
          <w:u w:val="none"/>
        </w:rPr>
        <w:t>25.   签订合同</w:t>
      </w:r>
    </w:p>
    <w:p>
      <w:pPr>
        <w:pStyle w:val="8"/>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25.2采购人和中标供应商应当在第二章“货物需求一览表”中商务条款要求载明的合同签订期内，根据《政府采购项目合同签订管理暂行办法》要求按第六章“合同条款及格式”订立书面合同。联合体投标的，联合体各方应当共同与采购人签订采购合同，就采购合同约定的事项对采购人承担连带责任。</w:t>
      </w:r>
    </w:p>
    <w:p>
      <w:pPr>
        <w:pStyle w:val="8"/>
        <w:ind w:firstLine="420"/>
        <w:rPr>
          <w:rFonts w:cs="宋体" w:asciiTheme="minorEastAsia" w:hAnsiTheme="minorEastAsia" w:eastAsiaTheme="minorEastAsia"/>
          <w:color w:val="auto"/>
          <w:kern w:val="0"/>
          <w:szCs w:val="28"/>
          <w:highlight w:val="none"/>
          <w:u w:val="none"/>
        </w:rPr>
      </w:pPr>
      <w:r>
        <w:rPr>
          <w:rFonts w:hint="eastAsia" w:cs="宋体" w:asciiTheme="minorEastAsia" w:hAnsiTheme="minorEastAsia" w:eastAsiaTheme="minorEastAsia"/>
          <w:color w:val="auto"/>
          <w:kern w:val="0"/>
          <w:szCs w:val="28"/>
          <w:highlight w:val="none"/>
          <w:u w:val="none"/>
        </w:rPr>
        <w:t>25.3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8"/>
        <w:ind w:firstLine="360"/>
        <w:rPr>
          <w:rFonts w:asciiTheme="minorEastAsia" w:hAnsiTheme="minorEastAsia" w:eastAsiaTheme="minorEastAsia"/>
          <w:color w:val="auto"/>
          <w:highlight w:val="none"/>
          <w:u w:val="none"/>
        </w:rPr>
      </w:pPr>
      <w:r>
        <w:rPr>
          <w:rFonts w:hint="eastAsia" w:cs="宋体" w:asciiTheme="minorEastAsia" w:hAnsiTheme="minorEastAsia" w:eastAsiaTheme="minorEastAsia"/>
          <w:color w:val="auto"/>
          <w:kern w:val="0"/>
          <w:szCs w:val="28"/>
          <w:highlight w:val="none"/>
          <w:u w:val="none"/>
        </w:rPr>
        <w:t>25.4政府采购合同（正本、副本）自签订之日起三个工作日内，由采购人送采购代理机构审核见证。采购代理机构在三个工作日内完成审核见证工作，加盖采购代理机构政府采购合同签订见证章后通知中标供应商领取</w:t>
      </w:r>
    </w:p>
    <w:p>
      <w:pPr>
        <w:pStyle w:val="8"/>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25.5  中标通知书发出后，中标供应商有本章第13.5项第（3）至（6）项情形之一的，中标无效，采购代理机构不予退还其交纳的投标保证金，采购人可追究中标供应商</w:t>
      </w:r>
      <w:r>
        <w:rPr>
          <w:rFonts w:hint="eastAsia" w:cs="宋体" w:asciiTheme="minorEastAsia" w:hAnsiTheme="minorEastAsia" w:eastAsiaTheme="minorEastAsia"/>
          <w:color w:val="auto"/>
          <w:kern w:val="0"/>
          <w:szCs w:val="21"/>
          <w:highlight w:val="none"/>
          <w:u w:val="none"/>
        </w:rPr>
        <w:t>承担相应的法律责任</w:t>
      </w:r>
      <w:r>
        <w:rPr>
          <w:rFonts w:hint="eastAsia" w:asciiTheme="minorEastAsia" w:hAnsiTheme="minorEastAsia" w:eastAsiaTheme="minorEastAsia"/>
          <w:color w:val="auto"/>
          <w:highlight w:val="none"/>
          <w:u w:val="none"/>
        </w:rPr>
        <w:t>。如采购人无正当理由拒签合同的，采购代理机构向中标供应商退还投标保证金；采购人给中标供应商造成损失的，中标供应商可追究采购人承担相应的法律责任。</w:t>
      </w:r>
    </w:p>
    <w:p>
      <w:pPr>
        <w:pStyle w:val="8"/>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 xml:space="preserve">25.6  </w:t>
      </w:r>
      <w:r>
        <w:rPr>
          <w:rFonts w:hint="eastAsia" w:asciiTheme="minorEastAsia" w:hAnsiTheme="minorEastAsia" w:eastAsiaTheme="minorEastAsia"/>
          <w:color w:val="auto"/>
          <w:szCs w:val="28"/>
          <w:highlight w:val="none"/>
          <w:u w:val="none"/>
        </w:rPr>
        <w:t>采购人在签订合同之前有权要求中标供应商提供本项目招标文件要求的资料原件进行核查，中标供应商不得拒绝。如中标供应商拒绝提供，则自行承担由此产生的后果。</w:t>
      </w:r>
    </w:p>
    <w:p>
      <w:pPr>
        <w:pStyle w:val="8"/>
        <w:ind w:firstLine="360"/>
        <w:rPr>
          <w:rFonts w:cs="宋体" w:asciiTheme="minorEastAsia" w:hAnsiTheme="minorEastAsia" w:eastAsiaTheme="minorEastAsia"/>
          <w:color w:val="auto"/>
          <w:kern w:val="0"/>
          <w:sz w:val="28"/>
          <w:szCs w:val="28"/>
          <w:highlight w:val="none"/>
          <w:u w:val="none"/>
        </w:rPr>
      </w:pPr>
      <w:r>
        <w:rPr>
          <w:rFonts w:hint="eastAsia" w:asciiTheme="minorEastAsia" w:hAnsiTheme="minorEastAsia" w:eastAsiaTheme="minorEastAsia"/>
          <w:color w:val="auto"/>
          <w:highlight w:val="none"/>
          <w:u w:val="none"/>
        </w:rPr>
        <w:t>25.7  中标供应商因不可抗力或者自身原因不能履行政府采购合同的，如仍在投标有效期内，采购人可以与排位在中标供应商之后第一位的中标候选供应商签订政府采购合同，以此类推。</w:t>
      </w:r>
    </w:p>
    <w:p>
      <w:pPr>
        <w:pStyle w:val="8"/>
        <w:rPr>
          <w:rFonts w:asciiTheme="minorEastAsia" w:hAnsiTheme="minorEastAsia" w:eastAsiaTheme="minorEastAsia"/>
          <w:bCs/>
          <w:color w:val="auto"/>
          <w:sz w:val="24"/>
          <w:highlight w:val="none"/>
          <w:u w:val="none"/>
        </w:rPr>
      </w:pPr>
      <w:r>
        <w:rPr>
          <w:rFonts w:hint="eastAsia" w:asciiTheme="minorEastAsia" w:hAnsiTheme="minorEastAsia" w:eastAsiaTheme="minorEastAsia"/>
          <w:bCs/>
          <w:color w:val="auto"/>
          <w:sz w:val="24"/>
          <w:highlight w:val="none"/>
          <w:u w:val="none"/>
        </w:rPr>
        <w:t>26.  履约保证金及质量保证金</w:t>
      </w:r>
    </w:p>
    <w:p>
      <w:pPr>
        <w:pStyle w:val="8"/>
        <w:ind w:firstLine="360"/>
        <w:rPr>
          <w:rFonts w:asciiTheme="minorEastAsia" w:hAnsiTheme="minorEastAsia" w:eastAsiaTheme="minorEastAsia"/>
          <w:color w:val="auto"/>
          <w:szCs w:val="28"/>
          <w:highlight w:val="none"/>
          <w:u w:val="none"/>
        </w:rPr>
      </w:pPr>
      <w:r>
        <w:rPr>
          <w:rFonts w:hint="eastAsia" w:asciiTheme="minorEastAsia" w:hAnsiTheme="minorEastAsia" w:eastAsiaTheme="minorEastAsia"/>
          <w:color w:val="auto"/>
          <w:szCs w:val="28"/>
          <w:highlight w:val="none"/>
          <w:u w:val="none"/>
        </w:rPr>
        <w:t>26.1  履约保证金：无。</w:t>
      </w:r>
    </w:p>
    <w:p>
      <w:pPr>
        <w:pStyle w:val="8"/>
        <w:ind w:firstLine="360"/>
        <w:rPr>
          <w:rFonts w:asciiTheme="minorEastAsia" w:hAnsiTheme="minorEastAsia" w:eastAsiaTheme="minorEastAsia"/>
          <w:color w:val="auto"/>
          <w:szCs w:val="28"/>
          <w:highlight w:val="none"/>
          <w:u w:val="none"/>
        </w:rPr>
      </w:pPr>
      <w:r>
        <w:rPr>
          <w:rFonts w:hint="eastAsia" w:asciiTheme="minorEastAsia" w:hAnsiTheme="minorEastAsia" w:eastAsiaTheme="minorEastAsia"/>
          <w:color w:val="auto"/>
          <w:szCs w:val="28"/>
          <w:highlight w:val="none"/>
          <w:u w:val="none"/>
        </w:rPr>
        <w:t>26.2 质量保证金：自成交供应商按合同约定</w:t>
      </w:r>
      <w:r>
        <w:rPr>
          <w:rFonts w:hint="eastAsia" w:asciiTheme="minorEastAsia" w:hAnsiTheme="minorEastAsia" w:eastAsiaTheme="minorEastAsia"/>
          <w:bCs/>
          <w:color w:val="auto"/>
          <w:highlight w:val="none"/>
          <w:u w:val="none"/>
        </w:rPr>
        <w:t>设备安装调试验收合格正常使用后,扣除5%作为质保金。</w:t>
      </w:r>
      <w:r>
        <w:rPr>
          <w:rFonts w:hint="eastAsia" w:asciiTheme="minorEastAsia" w:hAnsiTheme="minorEastAsia" w:eastAsiaTheme="minorEastAsia"/>
          <w:color w:val="auto"/>
          <w:szCs w:val="28"/>
          <w:highlight w:val="none"/>
          <w:u w:val="none"/>
        </w:rPr>
        <w:t>在质保期内成交供应商提供的货物质量和服务符合合同约定，经验收合格，质保期满后成交供应商持质量保证金退付意见书、政府采购合同及履约验收证明向采购方提出退付申请，采购方将在核对申请资料后十五个工作日内以转账或电汇方式无息退还。</w:t>
      </w:r>
    </w:p>
    <w:p>
      <w:pPr>
        <w:pStyle w:val="8"/>
        <w:jc w:val="center"/>
        <w:rPr>
          <w:rFonts w:asciiTheme="minorEastAsia" w:hAnsiTheme="minorEastAsia" w:eastAsiaTheme="minorEastAsia"/>
          <w:color w:val="auto"/>
          <w:highlight w:val="none"/>
          <w:u w:val="none"/>
        </w:rPr>
      </w:pPr>
    </w:p>
    <w:p>
      <w:pPr>
        <w:pStyle w:val="8"/>
        <w:jc w:val="center"/>
        <w:outlineLvl w:val="1"/>
        <w:rPr>
          <w:rFonts w:asciiTheme="minorEastAsia" w:hAnsiTheme="minorEastAsia" w:eastAsiaTheme="minorEastAsia"/>
          <w:b/>
          <w:color w:val="auto"/>
          <w:sz w:val="30"/>
          <w:szCs w:val="30"/>
          <w:highlight w:val="none"/>
          <w:u w:val="none"/>
        </w:rPr>
      </w:pPr>
      <w:r>
        <w:rPr>
          <w:rFonts w:hint="eastAsia" w:asciiTheme="minorEastAsia" w:hAnsiTheme="minorEastAsia" w:eastAsiaTheme="minorEastAsia"/>
          <w:b/>
          <w:color w:val="auto"/>
          <w:sz w:val="30"/>
          <w:szCs w:val="30"/>
          <w:highlight w:val="none"/>
          <w:u w:val="none"/>
        </w:rPr>
        <w:t>七    其他事项</w:t>
      </w:r>
    </w:p>
    <w:p>
      <w:pPr>
        <w:pStyle w:val="8"/>
        <w:snapToGrid w:val="0"/>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27.相关费用：</w:t>
      </w:r>
    </w:p>
    <w:p>
      <w:pPr>
        <w:pStyle w:val="8"/>
        <w:snapToGrid w:val="0"/>
        <w:ind w:firstLine="420" w:firstLineChars="200"/>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27.1招标代理服务费及评审专家劳务费向成交方收取。在成交方与采购方签订合同前，成交方应向中鼎誉润工程咨询有限公司一次付清招标代理服务费及评审专家劳务费。招标代理服务费以招标成交价为计费基数，按货物招标类为计费依据计费收取；评审专家劳务费按《关于印发广西壮族自治区政府采购评审专家劳务报酬支付标准暂行规定的通知》（桂财采〔2017〕15号）为计费依据收取；否则，将视之为违约，取消本次成交成果。</w:t>
      </w:r>
    </w:p>
    <w:p>
      <w:pPr>
        <w:pStyle w:val="8"/>
        <w:snapToGrid w:val="0"/>
        <w:ind w:firstLine="420" w:firstLineChars="200"/>
        <w:rPr>
          <w:rFonts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27.2代理服务收费标准：</w:t>
      </w:r>
    </w:p>
    <w:tbl>
      <w:tblPr>
        <w:tblStyle w:val="18"/>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2448" w:type="dxa"/>
            <w:vAlign w:val="center"/>
          </w:tcPr>
          <w:p>
            <w:pPr>
              <w:jc w:val="center"/>
              <w:rPr>
                <w:rFonts w:cs="宋体" w:asciiTheme="minorEastAsia" w:hAnsiTheme="minorEastAsia" w:eastAsiaTheme="minorEastAsia"/>
                <w:b/>
                <w:color w:val="auto"/>
                <w:szCs w:val="21"/>
                <w:highlight w:val="none"/>
                <w:u w:val="none"/>
              </w:rPr>
            </w:pPr>
            <w:r>
              <w:rPr>
                <w:rFonts w:cs="宋体" w:asciiTheme="minorEastAsia" w:hAnsiTheme="minorEastAsia" w:eastAsiaTheme="minorEastAsia"/>
                <w:b/>
                <w:color w:val="auto"/>
                <w:szCs w:val="21"/>
                <w:highlight w:val="none"/>
                <w:u w:val="none"/>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-6350</wp:posOffset>
                      </wp:positionV>
                      <wp:extent cx="1016000" cy="895985"/>
                      <wp:effectExtent l="3175" t="3810" r="9525" b="14605"/>
                      <wp:wrapNone/>
                      <wp:docPr id="4" name="直线 7"/>
                      <wp:cNvGraphicFramePr/>
                      <a:graphic xmlns:a="http://schemas.openxmlformats.org/drawingml/2006/main">
                        <a:graphicData uri="http://schemas.microsoft.com/office/word/2010/wordprocessingShape">
                          <wps:wsp>
                            <wps:cNvCnPr/>
                            <wps:spPr>
                              <a:xfrm flipH="1" flipV="1">
                                <a:off x="0" y="0"/>
                                <a:ext cx="1016000" cy="89598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7" o:spid="_x0000_s1026" o:spt="20" style="position:absolute;left:0pt;flip:x y;margin-left:36pt;margin-top:-0.5pt;height:70.55pt;width:80pt;z-index:251678720;mso-width-relative:page;mso-height-relative:page;" filled="f" stroked="t" coordsize="21600,21600" o:gfxdata="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cSTPA0gAAAAkBAAAPAAAAAAAAAAEAIAAA&#10;ACIAAABkcnMvZG93bnJldi54bWxQSwECFAAUAAAACACHTuJA2uRufdkBAACoAwAADgAAAAAAAAAB&#10;ACAAAAAhAQAAZHJzL2Uyb0RvYy54bWxQSwUGAAAAAAYABgBZAQAAbAUAAAAA&#10;">
                      <v:fill on="f" focussize="0,0"/>
                      <v:stroke color="#000000" joinstyle="round"/>
                      <v:imagedata o:title=""/>
                      <o:lock v:ext="edit" aspectratio="f"/>
                    </v:line>
                  </w:pict>
                </mc:Fallback>
              </mc:AlternateContent>
            </w:r>
            <w:r>
              <w:rPr>
                <w:rFonts w:hint="eastAsia" w:cs="宋体" w:asciiTheme="minorEastAsia" w:hAnsiTheme="minorEastAsia" w:eastAsiaTheme="minorEastAsia"/>
                <w:b/>
                <w:color w:val="auto"/>
                <w:szCs w:val="21"/>
                <w:highlight w:val="none"/>
                <w:u w:val="none"/>
              </w:rPr>
              <w:t>费率</w:t>
            </w:r>
            <w:r>
              <w:rPr>
                <w:rFonts w:cs="宋体" w:asciiTheme="minorEastAsia" w:hAnsiTheme="minorEastAsia" w:eastAsiaTheme="minorEastAsia"/>
                <w:b/>
                <w:color w:val="auto"/>
                <w:szCs w:val="21"/>
                <w:highlight w:val="none"/>
                <w:u w:val="none"/>
              </w:rPr>
              <mc:AlternateContent>
                <mc:Choice Requires="wps">
                  <w:drawing>
                    <wp:anchor distT="0" distB="0" distL="114300" distR="114300" simplePos="0" relativeHeight="251676672" behindDoc="0" locked="0" layoutInCell="0" allowOverlap="1">
                      <wp:simplePos x="0" y="0"/>
                      <wp:positionH relativeFrom="column">
                        <wp:posOffset>-114300</wp:posOffset>
                      </wp:positionH>
                      <wp:positionV relativeFrom="paragraph">
                        <wp:posOffset>-6350</wp:posOffset>
                      </wp:positionV>
                      <wp:extent cx="635" cy="0"/>
                      <wp:effectExtent l="0" t="0" r="0" b="0"/>
                      <wp:wrapNone/>
                      <wp:docPr id="2" name="直线 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8" o:spid="_x0000_s1026" o:spt="20" style="position:absolute;left:0pt;margin-left:-9pt;margin-top:-0.5pt;height:0pt;width:0.05pt;z-index:251676672;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uR037VAAAACQEAAA8AAAAAAAAAAQAgAAAAIgAAAGRycy9kb3ducmV2&#10;LnhtbFBLAQIUABQAAAAIAIdO4kBeWd8yxgEAAIsDAAAOAAAAAAAAAAEAIAAAACQBAABkcnMvZTJv&#10;RG9jLnhtbFBLBQYAAAAABgAGAFkBAABcBQAAAAA=&#10;">
                      <v:fill on="f" focussize="0,0"/>
                      <v:stroke color="#000000" joinstyle="round"/>
                      <v:imagedata o:title=""/>
                      <o:lock v:ext="edit" aspectratio="f"/>
                    </v:line>
                  </w:pict>
                </mc:Fallback>
              </mc:AlternateContent>
            </w:r>
            <w:r>
              <w:rPr>
                <w:rFonts w:hint="eastAsia" w:cs="宋体" w:asciiTheme="minorEastAsia" w:hAnsiTheme="minorEastAsia" w:eastAsiaTheme="minorEastAsia"/>
                <w:b/>
                <w:color w:val="auto"/>
                <w:szCs w:val="21"/>
                <w:highlight w:val="none"/>
                <w:u w:val="none"/>
              </w:rPr>
              <w:t xml:space="preserve">    服务类型</w:t>
            </w:r>
          </w:p>
          <w:p>
            <w:pPr>
              <w:jc w:val="center"/>
              <w:rPr>
                <w:rFonts w:cs="宋体" w:asciiTheme="minorEastAsia" w:hAnsiTheme="minorEastAsia" w:eastAsiaTheme="minorEastAsia"/>
                <w:b/>
                <w:color w:val="auto"/>
                <w:szCs w:val="21"/>
                <w:highlight w:val="none"/>
                <w:u w:val="none"/>
              </w:rPr>
            </w:pPr>
            <w:r>
              <w:rPr>
                <w:rFonts w:cs="宋体" w:asciiTheme="minorEastAsia" w:hAnsiTheme="minorEastAsia" w:eastAsiaTheme="minorEastAsia"/>
                <w:b/>
                <w:color w:val="auto"/>
                <w:szCs w:val="21"/>
                <w:highlight w:val="none"/>
                <w:u w:val="none"/>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74930</wp:posOffset>
                      </wp:positionV>
                      <wp:extent cx="1555115" cy="553720"/>
                      <wp:effectExtent l="1905" t="4445" r="5080" b="13335"/>
                      <wp:wrapNone/>
                      <wp:docPr id="3" name="直线 9"/>
                      <wp:cNvGraphicFramePr/>
                      <a:graphic xmlns:a="http://schemas.openxmlformats.org/drawingml/2006/main">
                        <a:graphicData uri="http://schemas.microsoft.com/office/word/2010/wordprocessingShape">
                          <wps:wsp>
                            <wps:cNvCnPr/>
                            <wps:spPr>
                              <a:xfrm flipH="1" flipV="1">
                                <a:off x="0" y="0"/>
                                <a:ext cx="1555115" cy="55372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9" o:spid="_x0000_s1026" o:spt="20" style="position:absolute;left:0pt;flip:x y;margin-left:-9pt;margin-top:5.9pt;height:43.6pt;width:122.45pt;z-index:251677696;mso-width-relative:page;mso-height-relative:page;" filled="f" stroked="t" coordsize="21600,21600" o:gfxdata="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Ndw4tQAAAAJAQAADwAAAAAAAAAB&#10;ACAAAAAiAAAAZHJzL2Rvd25yZXYueG1sUEsBAhQAFAAAAAgAh07iQBa0pmjbAQAAqAMAAA4AAAAA&#10;AAAAAQAgAAAAIwEAAGRycy9lMm9Eb2MueG1sUEsFBgAAAAAGAAYAWQEAAHAFAAAAAA==&#10;">
                      <v:fill on="f" focussize="0,0"/>
                      <v:stroke color="#000000" joinstyle="round"/>
                      <v:imagedata o:title=""/>
                      <o:lock v:ext="edit" aspectratio="f"/>
                    </v:line>
                  </w:pict>
                </mc:Fallback>
              </mc:AlternateContent>
            </w:r>
          </w:p>
          <w:p>
            <w:pPr>
              <w:rPr>
                <w:rFonts w:cs="宋体" w:asciiTheme="minorEastAsia" w:hAnsiTheme="minorEastAsia" w:eastAsiaTheme="minorEastAsia"/>
                <w:b/>
                <w:color w:val="auto"/>
                <w:szCs w:val="21"/>
                <w:highlight w:val="none"/>
                <w:u w:val="none"/>
              </w:rPr>
            </w:pPr>
          </w:p>
          <w:p>
            <w:pPr>
              <w:rPr>
                <w:rFonts w:cs="宋体" w:asciiTheme="minorEastAsia" w:hAnsiTheme="minorEastAsia" w:eastAsiaTheme="minorEastAsia"/>
                <w:b/>
                <w:color w:val="auto"/>
                <w:szCs w:val="21"/>
                <w:highlight w:val="none"/>
                <w:u w:val="none"/>
              </w:rPr>
            </w:pPr>
            <w:r>
              <w:rPr>
                <w:rFonts w:hint="eastAsia" w:cs="宋体" w:asciiTheme="minorEastAsia" w:hAnsiTheme="minorEastAsia" w:eastAsiaTheme="minorEastAsia"/>
                <w:b/>
                <w:color w:val="auto"/>
                <w:szCs w:val="21"/>
                <w:highlight w:val="none"/>
                <w:u w:val="none"/>
              </w:rPr>
              <w:t>成交金额（万元）</w:t>
            </w:r>
          </w:p>
        </w:tc>
        <w:tc>
          <w:tcPr>
            <w:tcW w:w="1980" w:type="dxa"/>
            <w:vAlign w:val="center"/>
          </w:tcPr>
          <w:p>
            <w:pPr>
              <w:jc w:val="center"/>
              <w:rPr>
                <w:rFonts w:cs="宋体" w:asciiTheme="minorEastAsia" w:hAnsiTheme="minorEastAsia" w:eastAsiaTheme="minorEastAsia"/>
                <w:b/>
                <w:color w:val="auto"/>
                <w:szCs w:val="21"/>
                <w:highlight w:val="none"/>
                <w:u w:val="none"/>
              </w:rPr>
            </w:pPr>
            <w:r>
              <w:rPr>
                <w:rFonts w:hint="eastAsia" w:cs="宋体" w:asciiTheme="minorEastAsia" w:hAnsiTheme="minorEastAsia" w:eastAsiaTheme="minorEastAsia"/>
                <w:b/>
                <w:color w:val="auto"/>
                <w:szCs w:val="21"/>
                <w:highlight w:val="none"/>
                <w:u w:val="none"/>
              </w:rPr>
              <w:t>货物招标</w:t>
            </w:r>
          </w:p>
        </w:tc>
        <w:tc>
          <w:tcPr>
            <w:tcW w:w="1980" w:type="dxa"/>
            <w:vAlign w:val="center"/>
          </w:tcPr>
          <w:p>
            <w:pPr>
              <w:jc w:val="center"/>
              <w:rPr>
                <w:rFonts w:cs="宋体" w:asciiTheme="minorEastAsia" w:hAnsiTheme="minorEastAsia" w:eastAsiaTheme="minorEastAsia"/>
                <w:b/>
                <w:color w:val="auto"/>
                <w:szCs w:val="21"/>
                <w:highlight w:val="none"/>
                <w:u w:val="none"/>
              </w:rPr>
            </w:pPr>
            <w:r>
              <w:rPr>
                <w:rFonts w:hint="eastAsia" w:cs="宋体" w:asciiTheme="minorEastAsia" w:hAnsiTheme="minorEastAsia" w:eastAsiaTheme="minorEastAsia"/>
                <w:b/>
                <w:color w:val="auto"/>
                <w:szCs w:val="21"/>
                <w:highlight w:val="none"/>
                <w:u w:val="none"/>
              </w:rPr>
              <w:t>服务招标</w:t>
            </w:r>
          </w:p>
        </w:tc>
        <w:tc>
          <w:tcPr>
            <w:tcW w:w="2700" w:type="dxa"/>
            <w:vAlign w:val="center"/>
          </w:tcPr>
          <w:p>
            <w:pPr>
              <w:jc w:val="center"/>
              <w:rPr>
                <w:rFonts w:cs="宋体" w:asciiTheme="minorEastAsia" w:hAnsiTheme="minorEastAsia" w:eastAsiaTheme="minorEastAsia"/>
                <w:b/>
                <w:color w:val="auto"/>
                <w:szCs w:val="21"/>
                <w:highlight w:val="none"/>
                <w:u w:val="none"/>
              </w:rPr>
            </w:pPr>
            <w:r>
              <w:rPr>
                <w:rFonts w:hint="eastAsia" w:cs="宋体" w:asciiTheme="minorEastAsia" w:hAnsiTheme="minorEastAsia" w:eastAsiaTheme="minorEastAsia"/>
                <w:b/>
                <w:color w:val="auto"/>
                <w:szCs w:val="21"/>
                <w:highlight w:val="none"/>
                <w:u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100以下</w:t>
            </w:r>
          </w:p>
        </w:tc>
        <w:tc>
          <w:tcPr>
            <w:tcW w:w="198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1.5%</w:t>
            </w:r>
          </w:p>
        </w:tc>
        <w:tc>
          <w:tcPr>
            <w:tcW w:w="198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1.5%</w:t>
            </w:r>
          </w:p>
        </w:tc>
        <w:tc>
          <w:tcPr>
            <w:tcW w:w="270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100-500</w:t>
            </w:r>
          </w:p>
        </w:tc>
        <w:tc>
          <w:tcPr>
            <w:tcW w:w="198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1.1%</w:t>
            </w:r>
          </w:p>
        </w:tc>
        <w:tc>
          <w:tcPr>
            <w:tcW w:w="198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0.8%</w:t>
            </w:r>
          </w:p>
        </w:tc>
        <w:tc>
          <w:tcPr>
            <w:tcW w:w="270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500-1000</w:t>
            </w:r>
          </w:p>
        </w:tc>
        <w:tc>
          <w:tcPr>
            <w:tcW w:w="198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0.8%</w:t>
            </w:r>
          </w:p>
        </w:tc>
        <w:tc>
          <w:tcPr>
            <w:tcW w:w="198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0.45%</w:t>
            </w:r>
          </w:p>
        </w:tc>
        <w:tc>
          <w:tcPr>
            <w:tcW w:w="270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1000-5000</w:t>
            </w:r>
          </w:p>
        </w:tc>
        <w:tc>
          <w:tcPr>
            <w:tcW w:w="198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0.5%</w:t>
            </w:r>
          </w:p>
        </w:tc>
        <w:tc>
          <w:tcPr>
            <w:tcW w:w="198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0.25%</w:t>
            </w:r>
          </w:p>
        </w:tc>
        <w:tc>
          <w:tcPr>
            <w:tcW w:w="270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5000-10000</w:t>
            </w:r>
          </w:p>
        </w:tc>
        <w:tc>
          <w:tcPr>
            <w:tcW w:w="198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0.25%</w:t>
            </w:r>
          </w:p>
        </w:tc>
        <w:tc>
          <w:tcPr>
            <w:tcW w:w="198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0.1%</w:t>
            </w:r>
          </w:p>
        </w:tc>
        <w:tc>
          <w:tcPr>
            <w:tcW w:w="270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10000-50000</w:t>
            </w:r>
          </w:p>
        </w:tc>
        <w:tc>
          <w:tcPr>
            <w:tcW w:w="198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0.05%</w:t>
            </w:r>
          </w:p>
        </w:tc>
        <w:tc>
          <w:tcPr>
            <w:tcW w:w="198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0.05%</w:t>
            </w:r>
          </w:p>
        </w:tc>
        <w:tc>
          <w:tcPr>
            <w:tcW w:w="270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50000-100000</w:t>
            </w:r>
          </w:p>
        </w:tc>
        <w:tc>
          <w:tcPr>
            <w:tcW w:w="198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0.035%</w:t>
            </w:r>
          </w:p>
        </w:tc>
        <w:tc>
          <w:tcPr>
            <w:tcW w:w="198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0.035%</w:t>
            </w:r>
          </w:p>
        </w:tc>
        <w:tc>
          <w:tcPr>
            <w:tcW w:w="270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100000-500000</w:t>
            </w:r>
          </w:p>
        </w:tc>
        <w:tc>
          <w:tcPr>
            <w:tcW w:w="198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0.008%</w:t>
            </w:r>
          </w:p>
        </w:tc>
        <w:tc>
          <w:tcPr>
            <w:tcW w:w="198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0.008%</w:t>
            </w:r>
          </w:p>
        </w:tc>
        <w:tc>
          <w:tcPr>
            <w:tcW w:w="270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0.0085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500000-1000000</w:t>
            </w:r>
          </w:p>
        </w:tc>
        <w:tc>
          <w:tcPr>
            <w:tcW w:w="1980" w:type="dxa"/>
            <w:vAlign w:val="center"/>
          </w:tcPr>
          <w:p>
            <w:pPr>
              <w:widowControl/>
              <w:spacing w:before="100" w:beforeAutospacing="1" w:after="100" w:afterAutospacing="1"/>
              <w:jc w:val="center"/>
              <w:rPr>
                <w:rFonts w:hint="eastAsia" w:cs="宋体" w:asciiTheme="minorEastAsia" w:hAnsiTheme="minorEastAsia" w:eastAsiaTheme="minorEastAsia"/>
                <w:color w:val="auto"/>
                <w:kern w:val="0"/>
                <w:szCs w:val="21"/>
                <w:highlight w:val="none"/>
                <w:u w:val="none"/>
                <w:lang w:eastAsia="zh-CN"/>
              </w:rPr>
            </w:pPr>
            <w:r>
              <w:rPr>
                <w:rFonts w:hint="eastAsia" w:cs="宋体" w:asciiTheme="minorEastAsia" w:hAnsiTheme="minorEastAsia" w:eastAsiaTheme="minorEastAsia"/>
                <w:color w:val="auto"/>
                <w:kern w:val="0"/>
                <w:szCs w:val="21"/>
                <w:highlight w:val="none"/>
                <w:u w:val="none"/>
              </w:rPr>
              <w:t>0.00</w:t>
            </w:r>
            <w:r>
              <w:rPr>
                <w:rFonts w:hint="eastAsia" w:cs="宋体" w:asciiTheme="minorEastAsia" w:hAnsiTheme="minorEastAsia" w:eastAsiaTheme="minorEastAsia"/>
                <w:color w:val="auto"/>
                <w:kern w:val="0"/>
                <w:szCs w:val="21"/>
                <w:highlight w:val="none"/>
                <w:u w:val="none"/>
                <w:lang w:eastAsia="zh-CN"/>
              </w:rPr>
              <w:t>10%</w:t>
            </w:r>
          </w:p>
        </w:tc>
        <w:tc>
          <w:tcPr>
            <w:tcW w:w="1980" w:type="dxa"/>
            <w:vAlign w:val="center"/>
          </w:tcPr>
          <w:p>
            <w:pPr>
              <w:widowControl/>
              <w:spacing w:before="100" w:beforeAutospacing="1" w:after="100" w:afterAutospacing="1"/>
              <w:jc w:val="center"/>
              <w:rPr>
                <w:rFonts w:hint="eastAsia" w:cs="宋体" w:asciiTheme="minorEastAsia" w:hAnsiTheme="minorEastAsia" w:eastAsiaTheme="minorEastAsia"/>
                <w:color w:val="auto"/>
                <w:kern w:val="0"/>
                <w:szCs w:val="21"/>
                <w:highlight w:val="none"/>
                <w:u w:val="none"/>
                <w:lang w:eastAsia="zh-CN"/>
              </w:rPr>
            </w:pPr>
            <w:r>
              <w:rPr>
                <w:rFonts w:hint="eastAsia" w:cs="宋体" w:asciiTheme="minorEastAsia" w:hAnsiTheme="minorEastAsia" w:eastAsiaTheme="minorEastAsia"/>
                <w:color w:val="auto"/>
                <w:kern w:val="0"/>
                <w:szCs w:val="21"/>
                <w:highlight w:val="none"/>
                <w:u w:val="none"/>
              </w:rPr>
              <w:t>0.00</w:t>
            </w:r>
            <w:r>
              <w:rPr>
                <w:rFonts w:hint="eastAsia" w:cs="宋体" w:asciiTheme="minorEastAsia" w:hAnsiTheme="minorEastAsia" w:eastAsiaTheme="minorEastAsia"/>
                <w:color w:val="auto"/>
                <w:kern w:val="0"/>
                <w:szCs w:val="21"/>
                <w:highlight w:val="none"/>
                <w:u w:val="none"/>
                <w:lang w:eastAsia="zh-CN"/>
              </w:rPr>
              <w:t>10%</w:t>
            </w:r>
          </w:p>
        </w:tc>
        <w:tc>
          <w:tcPr>
            <w:tcW w:w="2700" w:type="dxa"/>
            <w:vAlign w:val="center"/>
          </w:tcPr>
          <w:p>
            <w:pPr>
              <w:widowControl/>
              <w:spacing w:before="100" w:beforeAutospacing="1" w:after="100" w:afterAutospacing="1"/>
              <w:jc w:val="center"/>
              <w:rPr>
                <w:rFonts w:hint="eastAsia" w:cs="宋体" w:asciiTheme="minorEastAsia" w:hAnsiTheme="minorEastAsia" w:eastAsiaTheme="minorEastAsia"/>
                <w:color w:val="auto"/>
                <w:kern w:val="0"/>
                <w:szCs w:val="21"/>
                <w:highlight w:val="none"/>
                <w:u w:val="none"/>
                <w:lang w:eastAsia="zh-CN"/>
              </w:rPr>
            </w:pPr>
            <w:r>
              <w:rPr>
                <w:rFonts w:hint="eastAsia" w:cs="宋体" w:asciiTheme="minorEastAsia" w:hAnsiTheme="minorEastAsia" w:eastAsiaTheme="minorEastAsia"/>
                <w:color w:val="auto"/>
                <w:kern w:val="0"/>
                <w:szCs w:val="21"/>
                <w:highlight w:val="none"/>
                <w:u w:val="none"/>
              </w:rPr>
              <w:t>0.00</w:t>
            </w:r>
            <w:r>
              <w:rPr>
                <w:rFonts w:hint="eastAsia" w:cs="宋体" w:asciiTheme="minorEastAsia" w:hAnsiTheme="minorEastAsia" w:eastAsiaTheme="minorEastAsia"/>
                <w:color w:val="auto"/>
                <w:kern w:val="0"/>
                <w:szCs w:val="21"/>
                <w:highlight w:val="none"/>
                <w:u w:val="none"/>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1000000以上</w:t>
            </w:r>
          </w:p>
        </w:tc>
        <w:tc>
          <w:tcPr>
            <w:tcW w:w="198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0.004%</w:t>
            </w:r>
          </w:p>
        </w:tc>
        <w:tc>
          <w:tcPr>
            <w:tcW w:w="198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0.004%</w:t>
            </w:r>
          </w:p>
        </w:tc>
        <w:tc>
          <w:tcPr>
            <w:tcW w:w="2700" w:type="dxa"/>
            <w:vAlign w:val="center"/>
          </w:tcPr>
          <w:p>
            <w:pPr>
              <w:widowControl/>
              <w:spacing w:before="100" w:beforeAutospacing="1" w:after="100" w:afterAutospacing="1"/>
              <w:jc w:val="center"/>
              <w:rPr>
                <w:rFonts w:cs="宋体" w:asciiTheme="minorEastAsia" w:hAnsiTheme="minorEastAsia" w:eastAsiaTheme="minorEastAsia"/>
                <w:color w:val="auto"/>
                <w:kern w:val="0"/>
                <w:szCs w:val="21"/>
                <w:highlight w:val="none"/>
                <w:u w:val="none"/>
              </w:rPr>
            </w:pPr>
            <w:r>
              <w:rPr>
                <w:rFonts w:hint="eastAsia" w:cs="宋体" w:asciiTheme="minorEastAsia" w:hAnsiTheme="minorEastAsia" w:eastAsiaTheme="minorEastAsia"/>
                <w:color w:val="auto"/>
                <w:kern w:val="0"/>
                <w:szCs w:val="21"/>
                <w:highlight w:val="none"/>
                <w:u w:val="none"/>
              </w:rPr>
              <w:t>0.004%</w:t>
            </w:r>
          </w:p>
        </w:tc>
      </w:tr>
    </w:tbl>
    <w:p>
      <w:pPr>
        <w:pStyle w:val="8"/>
        <w:rPr>
          <w:rFonts w:asciiTheme="minorEastAsia" w:hAnsiTheme="minorEastAsia" w:eastAsiaTheme="minorEastAsia"/>
          <w:bCs/>
          <w:color w:val="auto"/>
          <w:sz w:val="24"/>
          <w:highlight w:val="none"/>
          <w:u w:val="none"/>
        </w:rPr>
      </w:pPr>
    </w:p>
    <w:p>
      <w:pPr>
        <w:pStyle w:val="8"/>
        <w:rPr>
          <w:rFonts w:asciiTheme="minorEastAsia" w:hAnsiTheme="minorEastAsia" w:eastAsiaTheme="minorEastAsia"/>
          <w:bCs/>
          <w:color w:val="auto"/>
          <w:sz w:val="24"/>
          <w:highlight w:val="none"/>
          <w:u w:val="none"/>
        </w:rPr>
      </w:pPr>
      <w:r>
        <w:rPr>
          <w:rFonts w:hint="eastAsia" w:asciiTheme="minorEastAsia" w:hAnsiTheme="minorEastAsia" w:eastAsiaTheme="minorEastAsia"/>
          <w:bCs/>
          <w:color w:val="auto"/>
          <w:sz w:val="24"/>
          <w:highlight w:val="none"/>
          <w:u w:val="none"/>
        </w:rPr>
        <w:t>28.  解释权</w:t>
      </w:r>
    </w:p>
    <w:p>
      <w:pPr>
        <w:pStyle w:val="8"/>
        <w:ind w:firstLine="360"/>
        <w:jc w:val="left"/>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28.1  本招标文件根据《中华人民共和国政府采购法》、《政府采购货物和服务招标投标管理办法》及相关法律法规编制，解释权属采购代理机构。</w:t>
      </w:r>
    </w:p>
    <w:p>
      <w:pPr>
        <w:pStyle w:val="8"/>
        <w:jc w:val="center"/>
        <w:outlineLvl w:val="0"/>
        <w:rPr>
          <w:rFonts w:asciiTheme="minorEastAsia" w:hAnsiTheme="minorEastAsia" w:eastAsiaTheme="minorEastAsia"/>
          <w:b/>
          <w:color w:val="auto"/>
          <w:sz w:val="36"/>
          <w:szCs w:val="36"/>
          <w:highlight w:val="none"/>
          <w:u w:val="none"/>
        </w:rPr>
      </w:pPr>
    </w:p>
    <w:p>
      <w:pPr>
        <w:rPr>
          <w:color w:val="auto"/>
          <w:highlight w:val="none"/>
          <w:u w:val="none"/>
        </w:rPr>
      </w:pPr>
    </w:p>
    <w:p>
      <w:pPr>
        <w:pStyle w:val="8"/>
        <w:jc w:val="center"/>
        <w:outlineLvl w:val="0"/>
        <w:rPr>
          <w:rFonts w:asciiTheme="minorEastAsia" w:hAnsiTheme="minorEastAsia" w:eastAsiaTheme="minorEastAsia"/>
          <w:color w:val="auto"/>
          <w:sz w:val="36"/>
          <w:szCs w:val="36"/>
          <w:highlight w:val="none"/>
          <w:u w:val="none"/>
        </w:rPr>
      </w:pPr>
      <w:r>
        <w:rPr>
          <w:rFonts w:hint="eastAsia" w:asciiTheme="minorEastAsia" w:hAnsiTheme="minorEastAsia" w:eastAsiaTheme="minorEastAsia"/>
          <w:b/>
          <w:color w:val="auto"/>
          <w:sz w:val="36"/>
          <w:szCs w:val="36"/>
          <w:highlight w:val="none"/>
          <w:u w:val="none"/>
        </w:rPr>
        <w:t>第四章  投标文件格式</w:t>
      </w:r>
    </w:p>
    <w:p>
      <w:pPr>
        <w:pStyle w:val="8"/>
        <w:ind w:firstLine="420"/>
        <w:jc w:val="left"/>
        <w:rPr>
          <w:rFonts w:cs="宋体" w:asciiTheme="minorEastAsia" w:hAnsiTheme="minorEastAsia" w:eastAsiaTheme="minorEastAsia"/>
          <w:b/>
          <w:bCs/>
          <w:color w:val="auto"/>
          <w:sz w:val="36"/>
          <w:szCs w:val="36"/>
          <w:highlight w:val="none"/>
          <w:u w:val="none"/>
        </w:rPr>
      </w:pPr>
    </w:p>
    <w:p>
      <w:pPr>
        <w:pStyle w:val="8"/>
        <w:ind w:firstLine="420"/>
        <w:jc w:val="left"/>
        <w:rPr>
          <w:rFonts w:cs="宋体" w:asciiTheme="minorEastAsia" w:hAnsiTheme="minorEastAsia" w:eastAsiaTheme="minorEastAsia"/>
          <w:b/>
          <w:bCs/>
          <w:color w:val="auto"/>
          <w:sz w:val="36"/>
          <w:szCs w:val="36"/>
          <w:highlight w:val="none"/>
          <w:u w:val="none"/>
        </w:rPr>
      </w:pPr>
    </w:p>
    <w:p>
      <w:pPr>
        <w:pStyle w:val="8"/>
        <w:ind w:firstLine="420"/>
        <w:jc w:val="left"/>
        <w:rPr>
          <w:rFonts w:cs="宋体" w:asciiTheme="minorEastAsia" w:hAnsiTheme="minorEastAsia" w:eastAsiaTheme="minorEastAsia"/>
          <w:b/>
          <w:bCs/>
          <w:color w:val="auto"/>
          <w:sz w:val="36"/>
          <w:szCs w:val="36"/>
          <w:highlight w:val="none"/>
          <w:u w:val="none"/>
        </w:rPr>
      </w:pPr>
      <w:r>
        <w:rPr>
          <w:rFonts w:hint="eastAsia" w:cs="宋体" w:asciiTheme="minorEastAsia" w:hAnsiTheme="minorEastAsia" w:eastAsiaTheme="minorEastAsia"/>
          <w:b/>
          <w:bCs/>
          <w:color w:val="auto"/>
          <w:sz w:val="36"/>
          <w:szCs w:val="36"/>
          <w:highlight w:val="none"/>
          <w:u w:val="none"/>
        </w:rPr>
        <w:t>投标文件外包封面格式</w:t>
      </w:r>
    </w:p>
    <w:p>
      <w:pPr>
        <w:pStyle w:val="8"/>
        <w:ind w:firstLine="420"/>
        <w:rPr>
          <w:rFonts w:cs="宋体" w:asciiTheme="minorEastAsia" w:hAnsiTheme="minorEastAsia" w:eastAsiaTheme="minorEastAsia"/>
          <w:color w:val="auto"/>
          <w:highlight w:val="none"/>
          <w:u w:val="none"/>
        </w:rPr>
      </w:pPr>
    </w:p>
    <w:p>
      <w:pPr>
        <w:pStyle w:val="8"/>
        <w:ind w:firstLine="420"/>
        <w:rPr>
          <w:rFonts w:cs="宋体" w:asciiTheme="minorEastAsia" w:hAnsiTheme="minorEastAsia" w:eastAsiaTheme="minorEastAsia"/>
          <w:color w:val="auto"/>
          <w:highlight w:val="none"/>
          <w:u w:val="none"/>
        </w:rPr>
      </w:pPr>
    </w:p>
    <w:p>
      <w:pPr>
        <w:pStyle w:val="8"/>
        <w:ind w:firstLine="420"/>
        <w:rPr>
          <w:rFonts w:cs="宋体" w:asciiTheme="minorEastAsia" w:hAnsiTheme="minorEastAsia" w:eastAsiaTheme="minorEastAsia"/>
          <w:color w:val="auto"/>
          <w:highlight w:val="none"/>
          <w:u w:val="none"/>
        </w:rPr>
      </w:pPr>
      <w:r>
        <w:rPr>
          <w:rFonts w:hint="eastAsia" w:cs="宋体" w:asciiTheme="minorEastAsia" w:hAnsiTheme="minorEastAsia" w:eastAsiaTheme="minorEastAsia"/>
          <w:color w:val="auto"/>
          <w:highlight w:val="none"/>
          <w:u w:val="none"/>
        </w:rPr>
        <w:t>⑴ 采购代理机构：</w:t>
      </w:r>
    </w:p>
    <w:p>
      <w:pPr>
        <w:pStyle w:val="8"/>
        <w:ind w:firstLine="420"/>
        <w:rPr>
          <w:rFonts w:cs="宋体" w:asciiTheme="minorEastAsia" w:hAnsiTheme="minorEastAsia" w:eastAsiaTheme="minorEastAsia"/>
          <w:color w:val="auto"/>
          <w:highlight w:val="none"/>
          <w:u w:val="none"/>
        </w:rPr>
      </w:pPr>
      <w:r>
        <w:rPr>
          <w:rFonts w:hint="eastAsia" w:cs="宋体" w:asciiTheme="minorEastAsia" w:hAnsiTheme="minorEastAsia" w:eastAsiaTheme="minorEastAsia"/>
          <w:color w:val="auto"/>
          <w:highlight w:val="none"/>
          <w:u w:val="none"/>
        </w:rPr>
        <w:t>⑵ 项目名称：</w:t>
      </w:r>
    </w:p>
    <w:p>
      <w:pPr>
        <w:pStyle w:val="8"/>
        <w:ind w:firstLine="420"/>
        <w:rPr>
          <w:rFonts w:cs="宋体" w:asciiTheme="minorEastAsia" w:hAnsiTheme="minorEastAsia" w:eastAsiaTheme="minorEastAsia"/>
          <w:color w:val="auto"/>
          <w:highlight w:val="none"/>
          <w:u w:val="none"/>
        </w:rPr>
      </w:pPr>
      <w:r>
        <w:rPr>
          <w:rFonts w:hint="eastAsia" w:cs="宋体" w:asciiTheme="minorEastAsia" w:hAnsiTheme="minorEastAsia" w:eastAsiaTheme="minorEastAsia"/>
          <w:color w:val="auto"/>
          <w:highlight w:val="none"/>
          <w:u w:val="none"/>
        </w:rPr>
        <w:t>⑶ 项目编号：</w:t>
      </w:r>
    </w:p>
    <w:p>
      <w:pPr>
        <w:pStyle w:val="8"/>
        <w:ind w:firstLine="420"/>
        <w:rPr>
          <w:rFonts w:cs="宋体" w:asciiTheme="minorEastAsia" w:hAnsiTheme="minorEastAsia" w:eastAsiaTheme="minorEastAsia"/>
          <w:color w:val="auto"/>
          <w:highlight w:val="none"/>
          <w:u w:val="none"/>
        </w:rPr>
      </w:pPr>
      <w:r>
        <w:rPr>
          <w:rFonts w:hint="eastAsia" w:cs="宋体" w:asciiTheme="minorEastAsia" w:hAnsiTheme="minorEastAsia" w:eastAsiaTheme="minorEastAsia"/>
          <w:color w:val="auto"/>
          <w:highlight w:val="none"/>
          <w:u w:val="none"/>
        </w:rPr>
        <w:t>⑷ 投标单位：（盖章）</w:t>
      </w:r>
    </w:p>
    <w:p>
      <w:pPr>
        <w:pStyle w:val="8"/>
        <w:ind w:firstLine="420"/>
        <w:rPr>
          <w:rFonts w:cs="宋体" w:asciiTheme="minorEastAsia" w:hAnsiTheme="minorEastAsia" w:eastAsiaTheme="minorEastAsia"/>
          <w:color w:val="auto"/>
          <w:highlight w:val="none"/>
          <w:u w:val="none"/>
        </w:rPr>
      </w:pPr>
      <w:r>
        <w:rPr>
          <w:rFonts w:hint="eastAsia" w:cs="宋体" w:asciiTheme="minorEastAsia" w:hAnsiTheme="minorEastAsia" w:eastAsiaTheme="minorEastAsia"/>
          <w:color w:val="auto"/>
          <w:highlight w:val="none"/>
          <w:u w:val="none"/>
        </w:rPr>
        <w:t>⑸ 在   年   月   日   时   分前不得启封（截标时才能启封）</w:t>
      </w:r>
    </w:p>
    <w:p>
      <w:pPr>
        <w:pStyle w:val="8"/>
        <w:ind w:firstLine="420"/>
        <w:rPr>
          <w:rFonts w:cs="宋体" w:asciiTheme="minorEastAsia" w:hAnsiTheme="minorEastAsia" w:eastAsiaTheme="minorEastAsia"/>
          <w:color w:val="auto"/>
          <w:highlight w:val="none"/>
          <w:u w:val="none"/>
        </w:rPr>
      </w:pPr>
    </w:p>
    <w:p>
      <w:pPr>
        <w:pStyle w:val="8"/>
        <w:ind w:firstLine="420"/>
        <w:rPr>
          <w:rFonts w:cs="宋体" w:asciiTheme="minorEastAsia" w:hAnsiTheme="minorEastAsia" w:eastAsiaTheme="minorEastAsia"/>
          <w:color w:val="auto"/>
          <w:highlight w:val="none"/>
          <w:u w:val="none"/>
        </w:rPr>
      </w:pPr>
    </w:p>
    <w:p>
      <w:pPr>
        <w:pStyle w:val="8"/>
        <w:ind w:firstLine="4200" w:firstLineChars="2000"/>
        <w:rPr>
          <w:rFonts w:cs="宋体" w:asciiTheme="minorEastAsia" w:hAnsiTheme="minorEastAsia" w:eastAsiaTheme="minorEastAsia"/>
          <w:color w:val="auto"/>
          <w:highlight w:val="none"/>
          <w:u w:val="none"/>
        </w:rPr>
      </w:pPr>
      <w:r>
        <w:rPr>
          <w:rFonts w:hint="eastAsia" w:cs="宋体" w:asciiTheme="minorEastAsia" w:hAnsiTheme="minorEastAsia" w:eastAsiaTheme="minorEastAsia"/>
          <w:color w:val="auto"/>
          <w:highlight w:val="none"/>
          <w:u w:val="none"/>
        </w:rPr>
        <w:t>日期：    年    月    日</w:t>
      </w:r>
    </w:p>
    <w:p>
      <w:pPr>
        <w:pStyle w:val="14"/>
        <w:spacing w:line="240" w:lineRule="auto"/>
        <w:ind w:firstLine="1263" w:firstLineChars="100"/>
        <w:rPr>
          <w:rFonts w:cs="宋体" w:asciiTheme="minorEastAsia" w:hAnsiTheme="minorEastAsia" w:eastAsiaTheme="minorEastAsia"/>
          <w:color w:val="auto"/>
          <w:spacing w:val="211"/>
          <w:w w:val="58"/>
          <w:kern w:val="0"/>
          <w:sz w:val="144"/>
          <w:szCs w:val="144"/>
          <w:highlight w:val="none"/>
          <w:u w:val="none"/>
        </w:rPr>
        <w:sectPr>
          <w:footerReference r:id="rId6" w:type="first"/>
          <w:footerReference r:id="rId5" w:type="default"/>
          <w:pgSz w:w="11906" w:h="16838"/>
          <w:pgMar w:top="1134" w:right="1134" w:bottom="567" w:left="1417" w:header="851" w:footer="992" w:gutter="0"/>
          <w:pgNumType w:start="1"/>
          <w:cols w:space="0" w:num="1"/>
          <w:titlePg/>
          <w:docGrid w:type="lines" w:linePitch="312" w:charSpace="0"/>
        </w:sectPr>
      </w:pPr>
    </w:p>
    <w:p>
      <w:pPr>
        <w:pStyle w:val="8"/>
        <w:rPr>
          <w:rFonts w:asciiTheme="minorEastAsia" w:hAnsiTheme="minorEastAsia" w:eastAsiaTheme="minorEastAsia"/>
          <w:color w:val="auto"/>
          <w:sz w:val="30"/>
          <w:szCs w:val="30"/>
          <w:highlight w:val="none"/>
          <w:u w:val="none"/>
        </w:rPr>
      </w:pPr>
      <w:r>
        <w:rPr>
          <w:rFonts w:hint="eastAsia" w:cs="宋体" w:asciiTheme="minorEastAsia" w:hAnsiTheme="minorEastAsia" w:eastAsiaTheme="minorEastAsia"/>
          <w:b/>
          <w:bCs/>
          <w:color w:val="auto"/>
          <w:sz w:val="36"/>
          <w:szCs w:val="36"/>
          <w:highlight w:val="none"/>
          <w:u w:val="none"/>
        </w:rPr>
        <w:t>投标文件封面格式</w:t>
      </w:r>
    </w:p>
    <w:p>
      <w:pPr>
        <w:pStyle w:val="29"/>
        <w:rPr>
          <w:rFonts w:cs="宋体" w:asciiTheme="minorEastAsia" w:hAnsiTheme="minorEastAsia" w:eastAsiaTheme="minorEastAsia"/>
          <w:color w:val="auto"/>
          <w:highlight w:val="none"/>
          <w:u w:val="none"/>
        </w:rPr>
      </w:pPr>
    </w:p>
    <w:p>
      <w:pPr>
        <w:pStyle w:val="29"/>
        <w:jc w:val="center"/>
        <w:rPr>
          <w:rFonts w:cs="宋体" w:asciiTheme="minorEastAsia" w:hAnsiTheme="minorEastAsia" w:eastAsiaTheme="minorEastAsia"/>
          <w:b/>
          <w:bCs/>
          <w:color w:val="auto"/>
          <w:highlight w:val="none"/>
          <w:u w:val="none"/>
        </w:rPr>
      </w:pPr>
      <w:r>
        <w:rPr>
          <w:rFonts w:hint="eastAsia" w:cs="宋体" w:asciiTheme="minorEastAsia" w:hAnsiTheme="minorEastAsia" w:eastAsiaTheme="minorEastAsia"/>
          <w:b/>
          <w:bCs/>
          <w:color w:val="auto"/>
          <w:sz w:val="28"/>
          <w:szCs w:val="28"/>
          <w:highlight w:val="none"/>
          <w:u w:val="none"/>
        </w:rPr>
        <w:t xml:space="preserve">                                         正本/副本</w:t>
      </w:r>
    </w:p>
    <w:p>
      <w:pPr>
        <w:pStyle w:val="29"/>
        <w:jc w:val="center"/>
        <w:rPr>
          <w:rFonts w:cs="宋体" w:asciiTheme="minorEastAsia" w:hAnsiTheme="minorEastAsia" w:eastAsiaTheme="minorEastAsia"/>
          <w:b/>
          <w:bCs/>
          <w:color w:val="auto"/>
          <w:sz w:val="24"/>
          <w:szCs w:val="24"/>
          <w:highlight w:val="none"/>
          <w:u w:val="none"/>
        </w:rPr>
      </w:pPr>
    </w:p>
    <w:p>
      <w:pPr>
        <w:pStyle w:val="29"/>
        <w:jc w:val="center"/>
        <w:rPr>
          <w:rFonts w:cs="宋体" w:asciiTheme="minorEastAsia" w:hAnsiTheme="minorEastAsia" w:eastAsiaTheme="minorEastAsia"/>
          <w:b/>
          <w:bCs/>
          <w:color w:val="auto"/>
          <w:sz w:val="24"/>
          <w:szCs w:val="24"/>
          <w:highlight w:val="none"/>
          <w:u w:val="none"/>
        </w:rPr>
      </w:pPr>
    </w:p>
    <w:p>
      <w:pPr>
        <w:pStyle w:val="29"/>
        <w:jc w:val="center"/>
        <w:rPr>
          <w:rFonts w:cs="宋体" w:asciiTheme="minorEastAsia" w:hAnsiTheme="minorEastAsia" w:eastAsiaTheme="minorEastAsia"/>
          <w:b/>
          <w:bCs/>
          <w:color w:val="auto"/>
          <w:sz w:val="52"/>
          <w:szCs w:val="52"/>
          <w:highlight w:val="none"/>
          <w:u w:val="none"/>
        </w:rPr>
      </w:pPr>
      <w:r>
        <w:rPr>
          <w:rFonts w:hint="eastAsia" w:cs="宋体" w:asciiTheme="minorEastAsia" w:hAnsiTheme="minorEastAsia" w:eastAsiaTheme="minorEastAsia"/>
          <w:b/>
          <w:bCs/>
          <w:color w:val="auto"/>
          <w:sz w:val="52"/>
          <w:szCs w:val="52"/>
          <w:highlight w:val="none"/>
          <w:u w:val="none"/>
        </w:rPr>
        <w:t>投标文件</w:t>
      </w:r>
    </w:p>
    <w:p>
      <w:pPr>
        <w:pStyle w:val="29"/>
        <w:jc w:val="center"/>
        <w:rPr>
          <w:rFonts w:cs="宋体" w:asciiTheme="minorEastAsia" w:hAnsiTheme="minorEastAsia" w:eastAsiaTheme="minorEastAsia"/>
          <w:b/>
          <w:bCs/>
          <w:color w:val="auto"/>
          <w:sz w:val="72"/>
          <w:szCs w:val="72"/>
          <w:highlight w:val="none"/>
          <w:u w:val="none"/>
        </w:rPr>
      </w:pPr>
      <w:r>
        <w:rPr>
          <w:rFonts w:hint="eastAsia" w:cs="宋体" w:asciiTheme="minorEastAsia" w:hAnsiTheme="minorEastAsia" w:eastAsiaTheme="minorEastAsia"/>
          <w:b/>
          <w:bCs/>
          <w:color w:val="auto"/>
          <w:sz w:val="72"/>
          <w:szCs w:val="72"/>
          <w:highlight w:val="none"/>
          <w:u w:val="none"/>
        </w:rPr>
        <w:t>（A/B分标）</w:t>
      </w:r>
    </w:p>
    <w:p>
      <w:pPr>
        <w:pStyle w:val="29"/>
        <w:ind w:firstLine="2691"/>
        <w:rPr>
          <w:rFonts w:cs="宋体" w:asciiTheme="minorEastAsia" w:hAnsiTheme="minorEastAsia" w:eastAsiaTheme="minorEastAsia"/>
          <w:b/>
          <w:bCs/>
          <w:color w:val="auto"/>
          <w:sz w:val="32"/>
          <w:szCs w:val="32"/>
          <w:highlight w:val="none"/>
          <w:u w:val="none"/>
        </w:rPr>
      </w:pPr>
    </w:p>
    <w:p>
      <w:pPr>
        <w:pStyle w:val="29"/>
        <w:ind w:firstLine="2691"/>
        <w:rPr>
          <w:rFonts w:cs="宋体" w:asciiTheme="minorEastAsia" w:hAnsiTheme="minorEastAsia" w:eastAsiaTheme="minorEastAsia"/>
          <w:b/>
          <w:bCs/>
          <w:color w:val="auto"/>
          <w:sz w:val="32"/>
          <w:szCs w:val="32"/>
          <w:highlight w:val="none"/>
          <w:u w:val="none"/>
        </w:rPr>
      </w:pPr>
    </w:p>
    <w:p>
      <w:pPr>
        <w:pStyle w:val="29"/>
        <w:ind w:firstLine="2691"/>
        <w:rPr>
          <w:rFonts w:cs="宋体" w:asciiTheme="minorEastAsia" w:hAnsiTheme="minorEastAsia" w:eastAsiaTheme="minorEastAsia"/>
          <w:b/>
          <w:bCs/>
          <w:color w:val="auto"/>
          <w:sz w:val="32"/>
          <w:szCs w:val="32"/>
          <w:highlight w:val="none"/>
          <w:u w:val="none"/>
        </w:rPr>
      </w:pPr>
      <w:r>
        <w:rPr>
          <w:rFonts w:hint="eastAsia" w:cs="宋体" w:asciiTheme="minorEastAsia" w:hAnsiTheme="minorEastAsia" w:eastAsiaTheme="minorEastAsia"/>
          <w:b/>
          <w:bCs/>
          <w:color w:val="auto"/>
          <w:sz w:val="32"/>
          <w:szCs w:val="32"/>
          <w:highlight w:val="none"/>
          <w:u w:val="none"/>
        </w:rPr>
        <w:t>项目名称：×××××××</w:t>
      </w:r>
    </w:p>
    <w:p>
      <w:pPr>
        <w:pStyle w:val="29"/>
        <w:ind w:firstLine="2867"/>
        <w:rPr>
          <w:rFonts w:cs="宋体" w:asciiTheme="minorEastAsia" w:hAnsiTheme="minorEastAsia" w:eastAsiaTheme="minorEastAsia"/>
          <w:b/>
          <w:bCs/>
          <w:color w:val="auto"/>
          <w:sz w:val="28"/>
          <w:szCs w:val="28"/>
          <w:highlight w:val="none"/>
          <w:u w:val="none"/>
        </w:rPr>
      </w:pPr>
    </w:p>
    <w:p>
      <w:pPr>
        <w:pStyle w:val="29"/>
        <w:ind w:firstLine="2691"/>
        <w:rPr>
          <w:rFonts w:cs="宋体" w:asciiTheme="minorEastAsia" w:hAnsiTheme="minorEastAsia" w:eastAsiaTheme="minorEastAsia"/>
          <w:b/>
          <w:bCs/>
          <w:color w:val="auto"/>
          <w:sz w:val="32"/>
          <w:szCs w:val="32"/>
          <w:highlight w:val="none"/>
          <w:u w:val="none"/>
        </w:rPr>
      </w:pPr>
      <w:r>
        <w:rPr>
          <w:rFonts w:hint="eastAsia" w:cs="宋体" w:asciiTheme="minorEastAsia" w:hAnsiTheme="minorEastAsia" w:eastAsiaTheme="minorEastAsia"/>
          <w:b/>
          <w:bCs/>
          <w:color w:val="auto"/>
          <w:sz w:val="32"/>
          <w:szCs w:val="32"/>
          <w:highlight w:val="none"/>
          <w:u w:val="none"/>
        </w:rPr>
        <w:t>项目编号：×××××××</w:t>
      </w:r>
    </w:p>
    <w:p>
      <w:pPr>
        <w:pStyle w:val="29"/>
        <w:rPr>
          <w:rFonts w:cs="宋体" w:asciiTheme="minorEastAsia" w:hAnsiTheme="minorEastAsia" w:eastAsiaTheme="minorEastAsia"/>
          <w:color w:val="auto"/>
          <w:highlight w:val="none"/>
          <w:u w:val="none"/>
        </w:rPr>
      </w:pPr>
    </w:p>
    <w:p>
      <w:pPr>
        <w:pStyle w:val="29"/>
        <w:rPr>
          <w:rFonts w:cs="宋体" w:asciiTheme="minorEastAsia" w:hAnsiTheme="minorEastAsia" w:eastAsiaTheme="minorEastAsia"/>
          <w:b/>
          <w:bCs/>
          <w:color w:val="auto"/>
          <w:sz w:val="32"/>
          <w:szCs w:val="32"/>
          <w:highlight w:val="none"/>
          <w:u w:val="none"/>
        </w:rPr>
      </w:pPr>
    </w:p>
    <w:p>
      <w:pPr>
        <w:pStyle w:val="29"/>
        <w:rPr>
          <w:rFonts w:cs="宋体" w:asciiTheme="minorEastAsia" w:hAnsiTheme="minorEastAsia" w:eastAsiaTheme="minorEastAsia"/>
          <w:b/>
          <w:bCs/>
          <w:color w:val="auto"/>
          <w:sz w:val="32"/>
          <w:szCs w:val="32"/>
          <w:highlight w:val="none"/>
          <w:u w:val="none"/>
        </w:rPr>
      </w:pPr>
    </w:p>
    <w:p>
      <w:pPr>
        <w:pStyle w:val="29"/>
        <w:rPr>
          <w:rFonts w:cs="宋体" w:asciiTheme="minorEastAsia" w:hAnsiTheme="minorEastAsia" w:eastAsiaTheme="minorEastAsia"/>
          <w:color w:val="auto"/>
          <w:highlight w:val="none"/>
          <w:u w:val="none"/>
        </w:rPr>
      </w:pPr>
    </w:p>
    <w:p>
      <w:pPr>
        <w:pStyle w:val="29"/>
        <w:rPr>
          <w:rFonts w:cs="宋体" w:asciiTheme="minorEastAsia" w:hAnsiTheme="minorEastAsia" w:eastAsiaTheme="minorEastAsia"/>
          <w:color w:val="auto"/>
          <w:highlight w:val="none"/>
          <w:u w:val="none"/>
        </w:rPr>
      </w:pPr>
    </w:p>
    <w:p>
      <w:pPr>
        <w:pStyle w:val="29"/>
        <w:rPr>
          <w:rFonts w:cs="宋体" w:asciiTheme="minorEastAsia" w:hAnsiTheme="minorEastAsia" w:eastAsiaTheme="minorEastAsia"/>
          <w:color w:val="auto"/>
          <w:sz w:val="30"/>
          <w:szCs w:val="30"/>
          <w:highlight w:val="none"/>
          <w:u w:val="none"/>
        </w:rPr>
      </w:pPr>
      <w:r>
        <w:rPr>
          <w:rFonts w:hint="eastAsia" w:cs="宋体" w:asciiTheme="minorEastAsia" w:hAnsiTheme="minorEastAsia" w:eastAsiaTheme="minorEastAsia"/>
          <w:color w:val="auto"/>
          <w:sz w:val="30"/>
          <w:szCs w:val="30"/>
          <w:highlight w:val="none"/>
          <w:u w:val="none"/>
        </w:rPr>
        <w:t>投标单位：                        （盖章）</w:t>
      </w:r>
    </w:p>
    <w:p>
      <w:pPr>
        <w:pStyle w:val="29"/>
        <w:rPr>
          <w:rFonts w:cs="宋体" w:asciiTheme="minorEastAsia" w:hAnsiTheme="minorEastAsia" w:eastAsiaTheme="minorEastAsia"/>
          <w:color w:val="auto"/>
          <w:sz w:val="30"/>
          <w:szCs w:val="30"/>
          <w:highlight w:val="none"/>
          <w:u w:val="none"/>
        </w:rPr>
      </w:pPr>
      <w:r>
        <w:rPr>
          <w:rFonts w:hint="eastAsia" w:cs="宋体" w:asciiTheme="minorEastAsia" w:hAnsiTheme="minorEastAsia" w:eastAsiaTheme="minorEastAsia"/>
          <w:color w:val="auto"/>
          <w:sz w:val="30"/>
          <w:szCs w:val="30"/>
          <w:highlight w:val="none"/>
          <w:u w:val="none"/>
        </w:rPr>
        <w:t>法定代表人或其委托代理人：  （签字）</w:t>
      </w:r>
    </w:p>
    <w:p>
      <w:pPr>
        <w:pStyle w:val="29"/>
        <w:jc w:val="center"/>
        <w:rPr>
          <w:rFonts w:cs="宋体" w:asciiTheme="minorEastAsia" w:hAnsiTheme="minorEastAsia" w:eastAsiaTheme="minorEastAsia"/>
          <w:color w:val="auto"/>
          <w:sz w:val="30"/>
          <w:szCs w:val="30"/>
          <w:highlight w:val="none"/>
          <w:u w:val="none"/>
        </w:rPr>
      </w:pPr>
    </w:p>
    <w:p>
      <w:pPr>
        <w:pStyle w:val="29"/>
        <w:jc w:val="center"/>
        <w:rPr>
          <w:rFonts w:cs="宋体" w:asciiTheme="minorEastAsia" w:hAnsiTheme="minorEastAsia" w:eastAsiaTheme="minorEastAsia"/>
          <w:color w:val="auto"/>
          <w:sz w:val="30"/>
          <w:szCs w:val="30"/>
          <w:highlight w:val="none"/>
          <w:u w:val="none"/>
        </w:rPr>
      </w:pPr>
    </w:p>
    <w:p>
      <w:pPr>
        <w:pStyle w:val="29"/>
        <w:jc w:val="center"/>
        <w:rPr>
          <w:rFonts w:cs="宋体" w:asciiTheme="minorEastAsia" w:hAnsiTheme="minorEastAsia" w:eastAsiaTheme="minorEastAsia"/>
          <w:color w:val="auto"/>
          <w:sz w:val="30"/>
          <w:szCs w:val="30"/>
          <w:highlight w:val="none"/>
          <w:u w:val="none"/>
        </w:rPr>
      </w:pPr>
      <w:r>
        <w:rPr>
          <w:rFonts w:hint="eastAsia" w:cs="宋体" w:asciiTheme="minorEastAsia" w:hAnsiTheme="minorEastAsia" w:eastAsiaTheme="minorEastAsia"/>
          <w:color w:val="auto"/>
          <w:sz w:val="30"/>
          <w:szCs w:val="30"/>
          <w:highlight w:val="none"/>
          <w:u w:val="none"/>
        </w:rPr>
        <w:t>日期：     年   月   日</w:t>
      </w:r>
    </w:p>
    <w:p>
      <w:pPr>
        <w:pStyle w:val="8"/>
        <w:ind w:firstLine="753" w:firstLineChars="250"/>
        <w:jc w:val="left"/>
        <w:rPr>
          <w:rFonts w:asciiTheme="minorEastAsia" w:hAnsiTheme="minorEastAsia" w:eastAsiaTheme="minorEastAsia"/>
          <w:b/>
          <w:color w:val="auto"/>
          <w:sz w:val="30"/>
          <w:szCs w:val="30"/>
          <w:highlight w:val="none"/>
          <w:u w:val="none"/>
        </w:rPr>
      </w:pPr>
    </w:p>
    <w:p>
      <w:pPr>
        <w:rPr>
          <w:rFonts w:asciiTheme="minorEastAsia" w:hAnsiTheme="minorEastAsia" w:eastAsiaTheme="minorEastAsia"/>
          <w:color w:val="auto"/>
          <w:highlight w:val="none"/>
          <w:u w:val="none"/>
        </w:rPr>
      </w:pPr>
    </w:p>
    <w:p>
      <w:pPr>
        <w:pStyle w:val="8"/>
        <w:jc w:val="center"/>
        <w:rPr>
          <w:rFonts w:cs="宋体" w:asciiTheme="minorEastAsia" w:hAnsiTheme="minorEastAsia" w:eastAsiaTheme="minorEastAsia"/>
          <w:b/>
          <w:bCs/>
          <w:color w:val="auto"/>
          <w:sz w:val="36"/>
          <w:szCs w:val="36"/>
          <w:highlight w:val="none"/>
          <w:u w:val="none"/>
        </w:rPr>
      </w:pPr>
      <w:r>
        <w:rPr>
          <w:rFonts w:hint="eastAsia" w:cs="宋体" w:asciiTheme="minorEastAsia" w:hAnsiTheme="minorEastAsia" w:eastAsiaTheme="minorEastAsia"/>
          <w:b/>
          <w:bCs/>
          <w:color w:val="auto"/>
          <w:sz w:val="36"/>
          <w:szCs w:val="36"/>
          <w:highlight w:val="none"/>
          <w:u w:val="none"/>
        </w:rPr>
        <w:t>投标文件目录</w:t>
      </w:r>
    </w:p>
    <w:p>
      <w:pPr>
        <w:pStyle w:val="8"/>
        <w:ind w:firstLine="480" w:firstLineChars="200"/>
        <w:jc w:val="left"/>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一、报价文件：</w:t>
      </w:r>
    </w:p>
    <w:p>
      <w:pPr>
        <w:pStyle w:val="8"/>
        <w:ind w:left="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1、投标函.....................................</w:t>
      </w:r>
    </w:p>
    <w:p>
      <w:pPr>
        <w:pStyle w:val="8"/>
        <w:ind w:left="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2、投标报价表.....................................</w:t>
      </w:r>
    </w:p>
    <w:p>
      <w:pPr>
        <w:pStyle w:val="8"/>
        <w:ind w:firstLine="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二、资格文件：</w:t>
      </w:r>
    </w:p>
    <w:p>
      <w:pPr>
        <w:pStyle w:val="8"/>
        <w:ind w:firstLine="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A分标：</w:t>
      </w:r>
    </w:p>
    <w:p>
      <w:pPr>
        <w:pStyle w:val="8"/>
        <w:ind w:left="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1、营业执照副本复印件.....................................</w:t>
      </w:r>
    </w:p>
    <w:p>
      <w:pPr>
        <w:pStyle w:val="8"/>
        <w:ind w:left="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2、</w:t>
      </w:r>
      <w:r>
        <w:rPr>
          <w:rFonts w:hint="eastAsia" w:cs="宋体" w:asciiTheme="minorEastAsia" w:hAnsiTheme="minorEastAsia" w:eastAsiaTheme="minorEastAsia"/>
          <w:bCs/>
          <w:color w:val="auto"/>
          <w:sz w:val="24"/>
          <w:szCs w:val="24"/>
          <w:highlight w:val="none"/>
          <w:u w:val="none"/>
        </w:rPr>
        <w:t>法定代表人身份证明书和法定代表人有效的身份证正反面复印件</w:t>
      </w:r>
      <w:r>
        <w:rPr>
          <w:rFonts w:hint="eastAsia" w:cs="宋体" w:asciiTheme="minorEastAsia" w:hAnsiTheme="minorEastAsia" w:eastAsiaTheme="minorEastAsia"/>
          <w:color w:val="auto"/>
          <w:sz w:val="24"/>
          <w:szCs w:val="24"/>
          <w:highlight w:val="none"/>
          <w:u w:val="none"/>
        </w:rPr>
        <w:t>.............</w:t>
      </w:r>
    </w:p>
    <w:p>
      <w:pPr>
        <w:pStyle w:val="8"/>
        <w:ind w:left="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3、法定代表人授权委托书原件和委托代理人完整有效身份证复印件..................</w:t>
      </w:r>
    </w:p>
    <w:p>
      <w:pPr>
        <w:pStyle w:val="8"/>
        <w:ind w:left="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4、投标人参加政府采购活动前3年内在经营活动中没有重大违法记录及有关信用信息的书面声明；...................................................</w:t>
      </w:r>
    </w:p>
    <w:p>
      <w:pPr>
        <w:tabs>
          <w:tab w:val="left" w:pos="1305"/>
        </w:tabs>
        <w:ind w:firstLine="482" w:firstLineChars="200"/>
        <w:rPr>
          <w:rFonts w:cs="宋体" w:asciiTheme="minorEastAsia" w:hAnsiTheme="minorEastAsia" w:eastAsiaTheme="minorEastAsia"/>
          <w:b/>
          <w:color w:val="auto"/>
          <w:sz w:val="24"/>
          <w:highlight w:val="none"/>
          <w:u w:val="none"/>
        </w:rPr>
      </w:pPr>
    </w:p>
    <w:p>
      <w:pPr>
        <w:pStyle w:val="8"/>
        <w:ind w:firstLine="480" w:firstLineChars="20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5、投标保证金缴纳证明............................................</w:t>
      </w:r>
    </w:p>
    <w:p>
      <w:pPr>
        <w:pStyle w:val="8"/>
        <w:ind w:firstLine="480" w:firstLineChars="20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6、</w:t>
      </w:r>
      <w:r>
        <w:rPr>
          <w:rFonts w:hint="eastAsia" w:cs="宋体" w:asciiTheme="minorEastAsia" w:hAnsiTheme="minorEastAsia" w:eastAsiaTheme="minorEastAsia"/>
          <w:color w:val="auto"/>
          <w:sz w:val="24"/>
          <w:szCs w:val="24"/>
          <w:highlight w:val="none"/>
          <w:u w:val="none"/>
        </w:rPr>
        <w:t>投标人在“信用中国”网站（www.creditchina.gov.cn）下载的本公司的信用报告打印件并加盖公章.............................</w:t>
      </w:r>
    </w:p>
    <w:p>
      <w:pPr>
        <w:pStyle w:val="8"/>
        <w:ind w:firstLine="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B分标：</w:t>
      </w:r>
    </w:p>
    <w:p>
      <w:pPr>
        <w:pStyle w:val="8"/>
        <w:ind w:left="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1、营业执照副本复印件.....................................</w:t>
      </w:r>
    </w:p>
    <w:p>
      <w:pPr>
        <w:pStyle w:val="8"/>
        <w:ind w:left="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2、</w:t>
      </w:r>
      <w:r>
        <w:rPr>
          <w:rFonts w:hint="eastAsia" w:cs="宋体" w:asciiTheme="minorEastAsia" w:hAnsiTheme="minorEastAsia" w:eastAsiaTheme="minorEastAsia"/>
          <w:bCs/>
          <w:color w:val="auto"/>
          <w:sz w:val="24"/>
          <w:szCs w:val="24"/>
          <w:highlight w:val="none"/>
          <w:u w:val="none"/>
        </w:rPr>
        <w:t>医疗器械生产许可证或医疗器械经营许可证复印件</w:t>
      </w:r>
      <w:r>
        <w:rPr>
          <w:rFonts w:hint="eastAsia" w:cs="宋体" w:asciiTheme="minorEastAsia" w:hAnsiTheme="minorEastAsia" w:eastAsiaTheme="minorEastAsia"/>
          <w:color w:val="auto"/>
          <w:sz w:val="24"/>
          <w:szCs w:val="24"/>
          <w:highlight w:val="none"/>
          <w:u w:val="none"/>
        </w:rPr>
        <w:t>............................</w:t>
      </w:r>
    </w:p>
    <w:p>
      <w:pPr>
        <w:pStyle w:val="8"/>
        <w:ind w:left="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3、</w:t>
      </w:r>
      <w:r>
        <w:rPr>
          <w:rFonts w:hint="eastAsia" w:cs="宋体" w:asciiTheme="minorEastAsia" w:hAnsiTheme="minorEastAsia" w:eastAsiaTheme="minorEastAsia"/>
          <w:bCs/>
          <w:color w:val="auto"/>
          <w:sz w:val="24"/>
          <w:szCs w:val="24"/>
          <w:highlight w:val="none"/>
          <w:u w:val="none"/>
        </w:rPr>
        <w:t>法定代表人身份证明书和法定代表人有效的身份证正反面复印件</w:t>
      </w:r>
      <w:r>
        <w:rPr>
          <w:rFonts w:hint="eastAsia" w:cs="宋体" w:asciiTheme="minorEastAsia" w:hAnsiTheme="minorEastAsia" w:eastAsiaTheme="minorEastAsia"/>
          <w:color w:val="auto"/>
          <w:sz w:val="24"/>
          <w:szCs w:val="24"/>
          <w:highlight w:val="none"/>
          <w:u w:val="none"/>
        </w:rPr>
        <w:t>.............</w:t>
      </w:r>
    </w:p>
    <w:p>
      <w:pPr>
        <w:pStyle w:val="8"/>
        <w:ind w:left="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4、法定代表人授权委托书原件和委托代理人完整有效身份证复印件..................</w:t>
      </w:r>
    </w:p>
    <w:p>
      <w:pPr>
        <w:pStyle w:val="8"/>
        <w:ind w:left="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5、投标人参加政府采购活动前3年内在经营活动中没有重大违法记录及有关信用信息的书面声明；...................................................</w:t>
      </w:r>
    </w:p>
    <w:p>
      <w:pPr>
        <w:pStyle w:val="8"/>
        <w:numPr>
          <w:ilvl w:val="0"/>
          <w:numId w:val="35"/>
        </w:numPr>
        <w:ind w:firstLine="480" w:firstLineChars="20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投标保证金缴纳证明............................................</w:t>
      </w:r>
    </w:p>
    <w:p>
      <w:pPr>
        <w:pStyle w:val="8"/>
        <w:ind w:left="420" w:leftChars="20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kern w:val="0"/>
          <w:sz w:val="24"/>
          <w:szCs w:val="24"/>
          <w:highlight w:val="none"/>
          <w:u w:val="none"/>
        </w:rPr>
        <w:t>7、投标人如不是投标产品的生产厂家或国内总代理商的，必须提供投标产品生产厂家或国内总代理商针对本项目的授权书、有效供货证明以及售后服务承诺书</w:t>
      </w:r>
      <w:r>
        <w:rPr>
          <w:rFonts w:hint="eastAsia" w:cs="宋体" w:asciiTheme="minorEastAsia" w:hAnsiTheme="minorEastAsia" w:eastAsiaTheme="minorEastAsia"/>
          <w:color w:val="auto"/>
          <w:sz w:val="24"/>
          <w:szCs w:val="24"/>
          <w:highlight w:val="none"/>
          <w:u w:val="none"/>
        </w:rPr>
        <w:t>；.............................</w:t>
      </w:r>
    </w:p>
    <w:p>
      <w:pPr>
        <w:pStyle w:val="8"/>
        <w:ind w:left="420"/>
        <w:rPr>
          <w:rFonts w:cs="宋体" w:asciiTheme="minorEastAsia" w:hAnsiTheme="minorEastAsia" w:eastAsiaTheme="minorEastAsia"/>
          <w:b/>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8、投标产品“医疗器械注册证”或“注册登记表或认可表资料”复印件</w:t>
      </w:r>
      <w:r>
        <w:rPr>
          <w:rFonts w:hint="eastAsia" w:cs="宋体" w:asciiTheme="minorEastAsia" w:hAnsiTheme="minorEastAsia" w:eastAsiaTheme="minorEastAsia"/>
          <w:color w:val="auto"/>
          <w:sz w:val="24"/>
          <w:szCs w:val="24"/>
          <w:highlight w:val="none"/>
          <w:u w:val="none"/>
        </w:rPr>
        <w:t>...........</w:t>
      </w:r>
    </w:p>
    <w:p>
      <w:pPr>
        <w:pStyle w:val="8"/>
        <w:ind w:left="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9、投标人在“信用中国”网站（www.creditchina.gov.cn）下载的本公司的信用报告打印件并加盖公章.............................</w:t>
      </w:r>
    </w:p>
    <w:p>
      <w:pPr>
        <w:pStyle w:val="8"/>
        <w:ind w:left="420"/>
        <w:rPr>
          <w:rFonts w:cs="宋体" w:asciiTheme="minorEastAsia" w:hAnsiTheme="minorEastAsia" w:eastAsiaTheme="minorEastAsia"/>
          <w:color w:val="auto"/>
          <w:sz w:val="24"/>
          <w:szCs w:val="24"/>
          <w:highlight w:val="none"/>
          <w:u w:val="none"/>
        </w:rPr>
      </w:pPr>
    </w:p>
    <w:p>
      <w:pPr>
        <w:pStyle w:val="8"/>
        <w:ind w:firstLine="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三、商务技术文件：</w:t>
      </w:r>
    </w:p>
    <w:p>
      <w:pPr>
        <w:pStyle w:val="8"/>
        <w:ind w:left="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1、商务响应表.....................................</w:t>
      </w:r>
    </w:p>
    <w:p>
      <w:pPr>
        <w:pStyle w:val="8"/>
        <w:ind w:left="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2、投标产品技术规格偏离表.....................................</w:t>
      </w:r>
    </w:p>
    <w:p>
      <w:pPr>
        <w:pStyle w:val="8"/>
        <w:ind w:left="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3、售后服务承诺书.....................................</w:t>
      </w:r>
    </w:p>
    <w:p>
      <w:pPr>
        <w:pStyle w:val="8"/>
        <w:ind w:left="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4、证明投标货物合格的证明文件.....................................</w:t>
      </w:r>
    </w:p>
    <w:p>
      <w:pPr>
        <w:pStyle w:val="11"/>
        <w:spacing w:line="460" w:lineRule="exact"/>
        <w:rPr>
          <w:rFonts w:cs="宋体" w:asciiTheme="minorEastAsia" w:hAnsiTheme="minorEastAsia" w:eastAsiaTheme="minorEastAsia"/>
          <w:b/>
          <w:color w:val="auto"/>
          <w:sz w:val="24"/>
          <w:szCs w:val="24"/>
          <w:highlight w:val="none"/>
          <w:u w:val="none"/>
        </w:rPr>
      </w:pPr>
    </w:p>
    <w:p>
      <w:pPr>
        <w:pStyle w:val="11"/>
        <w:spacing w:line="460" w:lineRule="exact"/>
        <w:rPr>
          <w:rFonts w:cs="宋体" w:asciiTheme="minorEastAsia" w:hAnsiTheme="minorEastAsia" w:eastAsiaTheme="minorEastAsia"/>
          <w:b/>
          <w:color w:val="auto"/>
          <w:sz w:val="24"/>
          <w:szCs w:val="24"/>
          <w:highlight w:val="none"/>
          <w:u w:val="none"/>
        </w:rPr>
      </w:pPr>
    </w:p>
    <w:p>
      <w:pPr>
        <w:pStyle w:val="11"/>
        <w:spacing w:line="460" w:lineRule="exact"/>
        <w:rPr>
          <w:rFonts w:cs="宋体" w:asciiTheme="minorEastAsia" w:hAnsiTheme="minorEastAsia" w:eastAsiaTheme="minorEastAsia"/>
          <w:b/>
          <w:color w:val="auto"/>
          <w:sz w:val="24"/>
          <w:szCs w:val="24"/>
          <w:highlight w:val="none"/>
          <w:u w:val="none"/>
        </w:rPr>
      </w:pPr>
    </w:p>
    <w:p>
      <w:pPr>
        <w:rPr>
          <w:rFonts w:cs="宋体" w:asciiTheme="minorEastAsia" w:hAnsiTheme="minorEastAsia" w:eastAsiaTheme="minorEastAsia"/>
          <w:b/>
          <w:color w:val="auto"/>
          <w:sz w:val="24"/>
          <w:highlight w:val="none"/>
          <w:u w:val="none"/>
        </w:rPr>
      </w:pPr>
    </w:p>
    <w:p>
      <w:pPr>
        <w:pStyle w:val="11"/>
        <w:rPr>
          <w:color w:val="auto"/>
          <w:highlight w:val="none"/>
          <w:u w:val="none"/>
        </w:rPr>
      </w:pPr>
    </w:p>
    <w:p>
      <w:pPr>
        <w:pStyle w:val="11"/>
        <w:rPr>
          <w:rFonts w:cs="宋体" w:asciiTheme="minorEastAsia" w:hAnsiTheme="minorEastAsia" w:eastAsiaTheme="minorEastAsia"/>
          <w:b/>
          <w:color w:val="auto"/>
          <w:sz w:val="24"/>
          <w:szCs w:val="24"/>
          <w:highlight w:val="none"/>
          <w:u w:val="none"/>
        </w:rPr>
      </w:pPr>
    </w:p>
    <w:p>
      <w:pPr>
        <w:pStyle w:val="8"/>
        <w:jc w:val="center"/>
        <w:rPr>
          <w:rFonts w:cs="宋体" w:asciiTheme="minorEastAsia" w:hAnsiTheme="minorEastAsia" w:eastAsiaTheme="minorEastAsia"/>
          <w:b/>
          <w:bCs/>
          <w:color w:val="auto"/>
          <w:sz w:val="32"/>
          <w:szCs w:val="32"/>
          <w:highlight w:val="none"/>
          <w:u w:val="none"/>
        </w:rPr>
      </w:pPr>
      <w:r>
        <w:rPr>
          <w:rFonts w:hint="eastAsia" w:cs="宋体" w:asciiTheme="minorEastAsia" w:hAnsiTheme="minorEastAsia" w:eastAsiaTheme="minorEastAsia"/>
          <w:color w:val="auto"/>
          <w:sz w:val="44"/>
          <w:szCs w:val="44"/>
          <w:highlight w:val="none"/>
          <w:u w:val="none"/>
        </w:rPr>
        <w:t>一、报价文件</w:t>
      </w:r>
    </w:p>
    <w:p>
      <w:pPr>
        <w:pStyle w:val="8"/>
        <w:ind w:firstLine="527" w:firstLineChars="250"/>
        <w:jc w:val="center"/>
        <w:rPr>
          <w:rFonts w:asciiTheme="minorEastAsia" w:hAnsiTheme="minorEastAsia" w:eastAsiaTheme="minorEastAsia"/>
          <w:b/>
          <w:color w:val="auto"/>
          <w:szCs w:val="21"/>
          <w:highlight w:val="none"/>
          <w:u w:val="none"/>
        </w:rPr>
      </w:pPr>
    </w:p>
    <w:p>
      <w:pPr>
        <w:pStyle w:val="8"/>
        <w:ind w:firstLine="527" w:firstLineChars="250"/>
        <w:jc w:val="left"/>
        <w:rPr>
          <w:rFonts w:asciiTheme="minorEastAsia" w:hAnsiTheme="minorEastAsia" w:eastAsiaTheme="minorEastAsia"/>
          <w:b/>
          <w:color w:val="auto"/>
          <w:szCs w:val="21"/>
          <w:highlight w:val="none"/>
          <w:u w:val="none"/>
        </w:rPr>
      </w:pPr>
    </w:p>
    <w:p>
      <w:pPr>
        <w:pStyle w:val="8"/>
        <w:ind w:firstLine="527" w:firstLineChars="250"/>
        <w:jc w:val="left"/>
        <w:rPr>
          <w:rFonts w:asciiTheme="minorEastAsia" w:hAnsiTheme="minorEastAsia" w:eastAsiaTheme="minorEastAsia"/>
          <w:b/>
          <w:color w:val="auto"/>
          <w:szCs w:val="21"/>
          <w:highlight w:val="none"/>
          <w:u w:val="none"/>
        </w:rPr>
      </w:pPr>
      <w:r>
        <w:rPr>
          <w:rFonts w:hint="eastAsia" w:asciiTheme="minorEastAsia" w:hAnsiTheme="minorEastAsia" w:eastAsiaTheme="minorEastAsia"/>
          <w:b/>
          <w:color w:val="auto"/>
          <w:szCs w:val="21"/>
          <w:highlight w:val="none"/>
          <w:u w:val="none"/>
        </w:rPr>
        <w:t>附件一</w:t>
      </w:r>
    </w:p>
    <w:p>
      <w:pPr>
        <w:pStyle w:val="8"/>
        <w:ind w:firstLine="753" w:firstLineChars="250"/>
        <w:jc w:val="center"/>
        <w:rPr>
          <w:rFonts w:asciiTheme="minorEastAsia" w:hAnsiTheme="minorEastAsia" w:eastAsiaTheme="minorEastAsia"/>
          <w:b/>
          <w:color w:val="auto"/>
          <w:sz w:val="30"/>
          <w:szCs w:val="30"/>
          <w:highlight w:val="none"/>
          <w:u w:val="none"/>
        </w:rPr>
      </w:pPr>
      <w:r>
        <w:rPr>
          <w:rFonts w:hint="eastAsia" w:asciiTheme="minorEastAsia" w:hAnsiTheme="minorEastAsia" w:eastAsiaTheme="minorEastAsia"/>
          <w:b/>
          <w:color w:val="auto"/>
          <w:sz w:val="30"/>
          <w:szCs w:val="30"/>
          <w:highlight w:val="none"/>
          <w:u w:val="none"/>
        </w:rPr>
        <w:t>1、投 标 函 （格 式）</w:t>
      </w:r>
    </w:p>
    <w:p>
      <w:pPr>
        <w:jc w:val="center"/>
        <w:rPr>
          <w:rFonts w:asciiTheme="minorEastAsia" w:hAnsiTheme="minorEastAsia" w:eastAsiaTheme="minorEastAsia"/>
          <w:color w:val="auto"/>
          <w:szCs w:val="21"/>
          <w:highlight w:val="none"/>
          <w:u w:val="none"/>
        </w:rPr>
      </w:pPr>
    </w:p>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致：（采购代理机构名称）</w:t>
      </w:r>
    </w:p>
    <w:p>
      <w:pPr>
        <w:rPr>
          <w:rFonts w:asciiTheme="minorEastAsia" w:hAnsiTheme="minorEastAsia" w:eastAsiaTheme="minorEastAsia"/>
          <w:color w:val="auto"/>
          <w:szCs w:val="21"/>
          <w:highlight w:val="none"/>
          <w:u w:val="none"/>
        </w:rPr>
      </w:pPr>
    </w:p>
    <w:p>
      <w:pPr>
        <w:pStyle w:val="8"/>
        <w:ind w:firstLine="42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根据贵方项目招标文件，项目编号，签字代表（姓名）经正式授权并代表投标人                                    （投标单位名称），提交投标文件正本一份，副本五份。</w:t>
      </w:r>
    </w:p>
    <w:p>
      <w:pPr>
        <w:pStyle w:val="8"/>
        <w:ind w:firstLine="42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据此函，签字代表宣布同意如下：</w:t>
      </w:r>
    </w:p>
    <w:p>
      <w:pPr>
        <w:pStyle w:val="8"/>
        <w:ind w:firstLine="42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1、按招标文件货物采购需求和投标报价明细表：</w:t>
      </w:r>
    </w:p>
    <w:p>
      <w:pPr>
        <w:pStyle w:val="8"/>
        <w:ind w:firstLine="42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投标报价（大写）元人民币(￥)。</w:t>
      </w:r>
    </w:p>
    <w:p>
      <w:pPr>
        <w:pStyle w:val="8"/>
        <w:ind w:firstLine="36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2、我方承诺已具备招标文件规定的投标人资格条件。</w:t>
      </w:r>
    </w:p>
    <w:p>
      <w:pPr>
        <w:pStyle w:val="8"/>
        <w:ind w:firstLine="36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3、我方已详细审核招标文件，包括修改文件（如有的话）和有关附件，将自行承担因对全部招标文件理解不正确或误解而产生的相应后果。</w:t>
      </w:r>
    </w:p>
    <w:p>
      <w:pPr>
        <w:pStyle w:val="8"/>
        <w:ind w:firstLine="42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4、如我方中标：</w:t>
      </w:r>
    </w:p>
    <w:p>
      <w:pPr>
        <w:pStyle w:val="8"/>
        <w:ind w:firstLine="42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（1）我方承诺在收到中标通知书后，在中标通知书规定的期限内与采购人签订合同。</w:t>
      </w:r>
    </w:p>
    <w:p>
      <w:pPr>
        <w:pStyle w:val="8"/>
        <w:ind w:firstLine="42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（2）我方承诺按照招标文件规定递交履约保证金。</w:t>
      </w:r>
    </w:p>
    <w:p>
      <w:pPr>
        <w:pStyle w:val="8"/>
        <w:ind w:firstLine="42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（3）我方承诺本投标文件至本项目合同履行完毕止均保持有效，按招标文件及政府采购法律、法规的规定履行合同责任和义务。</w:t>
      </w:r>
    </w:p>
    <w:p>
      <w:pPr>
        <w:pStyle w:val="8"/>
        <w:ind w:firstLine="42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与本投标有关的正式通讯地址为：</w:t>
      </w:r>
    </w:p>
    <w:p>
      <w:pPr>
        <w:pStyle w:val="8"/>
        <w:ind w:firstLine="42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地址： 邮编：  电话、传真：</w:t>
      </w:r>
    </w:p>
    <w:p>
      <w:pPr>
        <w:pStyle w:val="8"/>
        <w:ind w:firstLine="42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开户名称：</w:t>
      </w:r>
    </w:p>
    <w:p>
      <w:pPr>
        <w:pStyle w:val="8"/>
        <w:ind w:firstLine="42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 xml:space="preserve">开户银行：                               　       </w:t>
      </w:r>
    </w:p>
    <w:p>
      <w:pPr>
        <w:pStyle w:val="8"/>
        <w:ind w:firstLine="42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 xml:space="preserve">账号：                                   　　　   </w:t>
      </w:r>
    </w:p>
    <w:p>
      <w:pPr>
        <w:pStyle w:val="8"/>
        <w:ind w:firstLine="42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投标人（公章）：</w:t>
      </w:r>
    </w:p>
    <w:p>
      <w:pPr>
        <w:pStyle w:val="8"/>
        <w:ind w:firstLine="42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法定代表人或委托代理人签章：</w:t>
      </w:r>
    </w:p>
    <w:p>
      <w:pPr>
        <w:pStyle w:val="8"/>
        <w:ind w:firstLine="42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投标日期：</w:t>
      </w:r>
    </w:p>
    <w:p>
      <w:pPr>
        <w:pStyle w:val="8"/>
        <w:rPr>
          <w:rFonts w:asciiTheme="minorEastAsia" w:hAnsiTheme="minorEastAsia" w:eastAsiaTheme="minorEastAsia"/>
          <w:b/>
          <w:bCs/>
          <w:color w:val="auto"/>
          <w:szCs w:val="21"/>
          <w:highlight w:val="none"/>
          <w:u w:val="none"/>
        </w:rPr>
      </w:pPr>
    </w:p>
    <w:p>
      <w:pPr>
        <w:pStyle w:val="8"/>
        <w:ind w:firstLine="420" w:firstLineChars="200"/>
        <w:rPr>
          <w:rFonts w:asciiTheme="minorEastAsia" w:hAnsiTheme="minorEastAsia" w:eastAsiaTheme="minorEastAsia"/>
          <w:bCs/>
          <w:color w:val="auto"/>
          <w:szCs w:val="21"/>
          <w:highlight w:val="none"/>
          <w:u w:val="none"/>
        </w:rPr>
      </w:pPr>
      <w:r>
        <w:rPr>
          <w:rFonts w:hint="eastAsia" w:asciiTheme="minorEastAsia" w:hAnsiTheme="minorEastAsia" w:eastAsiaTheme="minorEastAsia"/>
          <w:bCs/>
          <w:color w:val="auto"/>
          <w:szCs w:val="21"/>
          <w:highlight w:val="none"/>
          <w:u w:val="none"/>
        </w:rPr>
        <w:t>注：1、未按照本投标函（格式）要求填报的投标函将被视为非实质性响应招标要求，从而导致该投标被拒绝。</w:t>
      </w:r>
    </w:p>
    <w:p>
      <w:pPr>
        <w:pStyle w:val="8"/>
        <w:ind w:firstLine="420" w:firstLineChars="200"/>
        <w:rPr>
          <w:rFonts w:asciiTheme="minorEastAsia" w:hAnsiTheme="minorEastAsia" w:eastAsiaTheme="minorEastAsia"/>
          <w:bCs/>
          <w:color w:val="auto"/>
          <w:szCs w:val="21"/>
          <w:highlight w:val="none"/>
          <w:u w:val="none"/>
        </w:rPr>
      </w:pPr>
      <w:r>
        <w:rPr>
          <w:rFonts w:hint="eastAsia" w:asciiTheme="minorEastAsia" w:hAnsiTheme="minorEastAsia" w:eastAsiaTheme="minorEastAsia"/>
          <w:bCs/>
          <w:color w:val="auto"/>
          <w:szCs w:val="21"/>
          <w:highlight w:val="none"/>
          <w:u w:val="none"/>
        </w:rPr>
        <w:t>2、投标函须由法定代表人或委托代理人签章并加盖投标人公章。</w:t>
      </w:r>
    </w:p>
    <w:p>
      <w:pPr>
        <w:pStyle w:val="8"/>
        <w:ind w:firstLine="420"/>
        <w:rPr>
          <w:rFonts w:asciiTheme="minorEastAsia" w:hAnsiTheme="minorEastAsia" w:eastAsiaTheme="minorEastAsia"/>
          <w:b/>
          <w:color w:val="auto"/>
          <w:szCs w:val="21"/>
          <w:highlight w:val="none"/>
          <w:u w:val="none"/>
        </w:rPr>
      </w:pPr>
    </w:p>
    <w:p>
      <w:pPr>
        <w:pStyle w:val="8"/>
        <w:ind w:firstLine="420"/>
        <w:rPr>
          <w:rFonts w:asciiTheme="minorEastAsia" w:hAnsiTheme="minorEastAsia" w:eastAsiaTheme="minorEastAsia"/>
          <w:b/>
          <w:color w:val="auto"/>
          <w:szCs w:val="21"/>
          <w:highlight w:val="none"/>
          <w:u w:val="none"/>
        </w:rPr>
      </w:pPr>
    </w:p>
    <w:p>
      <w:pPr>
        <w:pStyle w:val="8"/>
        <w:jc w:val="center"/>
        <w:outlineLvl w:val="0"/>
        <w:rPr>
          <w:rFonts w:asciiTheme="minorEastAsia" w:hAnsiTheme="minorEastAsia" w:eastAsiaTheme="minorEastAsia"/>
          <w:b/>
          <w:color w:val="auto"/>
          <w:sz w:val="30"/>
          <w:szCs w:val="30"/>
          <w:highlight w:val="none"/>
          <w:u w:val="none"/>
        </w:rPr>
      </w:pPr>
    </w:p>
    <w:p>
      <w:pPr>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rPr>
          <w:color w:val="auto"/>
          <w:highlight w:val="none"/>
          <w:u w:val="none"/>
        </w:rPr>
      </w:pPr>
    </w:p>
    <w:p>
      <w:pPr>
        <w:pStyle w:val="11"/>
        <w:rPr>
          <w:rFonts w:asciiTheme="minorEastAsia" w:hAnsiTheme="minorEastAsia" w:eastAsiaTheme="minorEastAsia"/>
          <w:color w:val="auto"/>
          <w:highlight w:val="none"/>
          <w:u w:val="none"/>
        </w:rPr>
      </w:pPr>
    </w:p>
    <w:p>
      <w:pPr>
        <w:pStyle w:val="8"/>
        <w:jc w:val="left"/>
        <w:outlineLvl w:val="0"/>
        <w:rPr>
          <w:rFonts w:asciiTheme="minorEastAsia" w:hAnsiTheme="minorEastAsia" w:eastAsiaTheme="minorEastAsia"/>
          <w:b/>
          <w:color w:val="auto"/>
          <w:szCs w:val="21"/>
          <w:highlight w:val="none"/>
          <w:u w:val="none"/>
        </w:rPr>
      </w:pPr>
      <w:r>
        <w:rPr>
          <w:rFonts w:hint="eastAsia" w:asciiTheme="minorEastAsia" w:hAnsiTheme="minorEastAsia" w:eastAsiaTheme="minorEastAsia"/>
          <w:b/>
          <w:color w:val="auto"/>
          <w:szCs w:val="21"/>
          <w:highlight w:val="none"/>
          <w:u w:val="none"/>
        </w:rPr>
        <w:t>附件二</w:t>
      </w:r>
    </w:p>
    <w:p>
      <w:pPr>
        <w:pStyle w:val="8"/>
        <w:jc w:val="center"/>
        <w:outlineLvl w:val="0"/>
        <w:rPr>
          <w:rFonts w:asciiTheme="minorEastAsia" w:hAnsiTheme="minorEastAsia" w:eastAsiaTheme="minorEastAsia"/>
          <w:b/>
          <w:color w:val="auto"/>
          <w:sz w:val="30"/>
          <w:szCs w:val="30"/>
          <w:highlight w:val="none"/>
          <w:u w:val="none"/>
        </w:rPr>
      </w:pPr>
    </w:p>
    <w:p>
      <w:pPr>
        <w:pStyle w:val="8"/>
        <w:jc w:val="center"/>
        <w:outlineLvl w:val="0"/>
        <w:rPr>
          <w:rFonts w:asciiTheme="minorEastAsia" w:hAnsiTheme="minorEastAsia" w:eastAsiaTheme="minorEastAsia"/>
          <w:b/>
          <w:color w:val="auto"/>
          <w:sz w:val="30"/>
          <w:szCs w:val="30"/>
          <w:highlight w:val="none"/>
          <w:u w:val="none"/>
        </w:rPr>
      </w:pPr>
      <w:r>
        <w:rPr>
          <w:rFonts w:hint="eastAsia" w:asciiTheme="minorEastAsia" w:hAnsiTheme="minorEastAsia" w:eastAsiaTheme="minorEastAsia"/>
          <w:b/>
          <w:color w:val="auto"/>
          <w:sz w:val="30"/>
          <w:szCs w:val="30"/>
          <w:highlight w:val="none"/>
          <w:u w:val="none"/>
        </w:rPr>
        <w:t>2、投标报价表（格式）</w:t>
      </w:r>
    </w:p>
    <w:p>
      <w:pPr>
        <w:pStyle w:val="8"/>
        <w:rPr>
          <w:rFonts w:asciiTheme="minorEastAsia" w:hAnsiTheme="minorEastAsia" w:eastAsiaTheme="minorEastAsia"/>
          <w:b/>
          <w:color w:val="auto"/>
          <w:szCs w:val="21"/>
          <w:highlight w:val="none"/>
          <w:u w:val="none"/>
        </w:rPr>
      </w:pPr>
    </w:p>
    <w:tbl>
      <w:tblPr>
        <w:tblStyle w:val="18"/>
        <w:tblW w:w="9851"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140"/>
        <w:gridCol w:w="850"/>
        <w:gridCol w:w="1895"/>
        <w:gridCol w:w="1224"/>
        <w:gridCol w:w="1417"/>
        <w:gridCol w:w="1843"/>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5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序号</w:t>
            </w:r>
          </w:p>
        </w:tc>
        <w:tc>
          <w:tcPr>
            <w:tcW w:w="114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货物名称</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数量①</w:t>
            </w:r>
          </w:p>
        </w:tc>
        <w:tc>
          <w:tcPr>
            <w:tcW w:w="189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货物全称、品牌、生产厂家及国别</w:t>
            </w: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规格型号</w:t>
            </w: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单价</w:t>
            </w:r>
            <w:r>
              <w:rPr>
                <w:rFonts w:asciiTheme="minorEastAsia" w:hAnsiTheme="minorEastAsia" w:eastAsiaTheme="minorEastAsia"/>
                <w:color w:val="auto"/>
                <w:szCs w:val="21"/>
                <w:highlight w:val="none"/>
                <w:u w:val="none"/>
              </w:rPr>
              <w:t>(</w:t>
            </w:r>
            <w:r>
              <w:rPr>
                <w:rFonts w:hint="eastAsia" w:asciiTheme="minorEastAsia" w:hAnsiTheme="minorEastAsia" w:eastAsiaTheme="minorEastAsia"/>
                <w:color w:val="auto"/>
                <w:szCs w:val="21"/>
                <w:highlight w:val="none"/>
                <w:u w:val="none"/>
              </w:rPr>
              <w:t>元</w:t>
            </w:r>
            <w:r>
              <w:rPr>
                <w:rFonts w:asciiTheme="minorEastAsia" w:hAnsiTheme="minorEastAsia" w:eastAsiaTheme="minorEastAsia"/>
                <w:color w:val="auto"/>
                <w:szCs w:val="21"/>
                <w:highlight w:val="none"/>
                <w:u w:val="none"/>
              </w:rPr>
              <w:t>)</w:t>
            </w:r>
            <w:r>
              <w:rPr>
                <w:rFonts w:hint="eastAsia" w:asciiTheme="minorEastAsia" w:hAnsiTheme="minorEastAsia" w:eastAsiaTheme="minorEastAsia"/>
                <w:color w:val="auto"/>
                <w:szCs w:val="21"/>
                <w:highlight w:val="none"/>
                <w:u w:val="none"/>
              </w:rPr>
              <w:t>②</w:t>
            </w: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单项合价（元）</w:t>
            </w:r>
          </w:p>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5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asciiTheme="minorEastAsia" w:hAnsiTheme="minorEastAsia" w:eastAsiaTheme="minorEastAsia"/>
                <w:color w:val="auto"/>
                <w:szCs w:val="21"/>
                <w:highlight w:val="none"/>
                <w:u w:val="none"/>
              </w:rPr>
              <w:t>1</w:t>
            </w:r>
          </w:p>
        </w:tc>
        <w:tc>
          <w:tcPr>
            <w:tcW w:w="114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89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5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asciiTheme="minorEastAsia" w:hAnsiTheme="minorEastAsia" w:eastAsiaTheme="minorEastAsia"/>
                <w:color w:val="auto"/>
                <w:szCs w:val="21"/>
                <w:highlight w:val="none"/>
                <w:u w:val="none"/>
              </w:rPr>
              <w:t>2</w:t>
            </w:r>
          </w:p>
        </w:tc>
        <w:tc>
          <w:tcPr>
            <w:tcW w:w="114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89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5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asciiTheme="minorEastAsia" w:hAnsiTheme="minorEastAsia" w:eastAsiaTheme="minorEastAsia"/>
                <w:color w:val="auto"/>
                <w:szCs w:val="21"/>
                <w:highlight w:val="none"/>
                <w:u w:val="none"/>
              </w:rPr>
              <w:t>...</w:t>
            </w:r>
          </w:p>
        </w:tc>
        <w:tc>
          <w:tcPr>
            <w:tcW w:w="114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89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51" w:type="dxa"/>
            <w:gridSpan w:val="8"/>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报价：（大写）人民币（￥元）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51" w:type="dxa"/>
            <w:gridSpan w:val="8"/>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51" w:type="dxa"/>
            <w:gridSpan w:val="8"/>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51" w:type="dxa"/>
            <w:gridSpan w:val="8"/>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交货地点：</w:t>
            </w:r>
          </w:p>
        </w:tc>
      </w:tr>
    </w:tbl>
    <w:p>
      <w:pPr>
        <w:pStyle w:val="8"/>
        <w:rPr>
          <w:rFonts w:asciiTheme="minorEastAsia" w:hAnsiTheme="minorEastAsia" w:eastAsiaTheme="minorEastAsia"/>
          <w:color w:val="auto"/>
          <w:szCs w:val="21"/>
          <w:highlight w:val="none"/>
          <w:u w:val="none"/>
        </w:rPr>
      </w:pPr>
    </w:p>
    <w:p>
      <w:pPr>
        <w:pStyle w:val="8"/>
        <w:rPr>
          <w:rFonts w:asciiTheme="minorEastAsia" w:hAnsiTheme="minorEastAsia" w:eastAsiaTheme="minorEastAsia"/>
          <w:color w:val="auto"/>
          <w:szCs w:val="21"/>
          <w:highlight w:val="none"/>
          <w:u w:val="none"/>
        </w:rPr>
      </w:pPr>
    </w:p>
    <w:p>
      <w:pPr>
        <w:pStyle w:val="8"/>
        <w:rPr>
          <w:rFonts w:asciiTheme="minorEastAsia" w:hAnsiTheme="minorEastAsia" w:eastAsiaTheme="minorEastAsia"/>
          <w:color w:val="auto"/>
          <w:szCs w:val="21"/>
          <w:highlight w:val="none"/>
          <w:u w:val="none"/>
        </w:rPr>
      </w:pPr>
    </w:p>
    <w:p>
      <w:pPr>
        <w:pStyle w:val="8"/>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　　分标（有分标时填写）</w:t>
      </w:r>
    </w:p>
    <w:p>
      <w:pPr>
        <w:pStyle w:val="8"/>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w:t>
      </w:r>
    </w:p>
    <w:p>
      <w:pPr>
        <w:pStyle w:val="8"/>
        <w:rPr>
          <w:rFonts w:asciiTheme="minorEastAsia" w:hAnsiTheme="minorEastAsia" w:eastAsiaTheme="minorEastAsia"/>
          <w:color w:val="auto"/>
          <w:szCs w:val="21"/>
          <w:highlight w:val="none"/>
          <w:u w:val="none"/>
        </w:rPr>
      </w:pPr>
    </w:p>
    <w:p>
      <w:pPr>
        <w:pStyle w:val="8"/>
        <w:rPr>
          <w:rFonts w:asciiTheme="minorEastAsia" w:hAnsiTheme="minorEastAsia" w:eastAsiaTheme="minorEastAsia"/>
          <w:color w:val="auto"/>
          <w:szCs w:val="21"/>
          <w:highlight w:val="none"/>
          <w:u w:val="none"/>
        </w:rPr>
      </w:pPr>
    </w:p>
    <w:p>
      <w:pPr>
        <w:pStyle w:val="8"/>
        <w:rPr>
          <w:rFonts w:asciiTheme="minorEastAsia" w:hAnsiTheme="minorEastAsia" w:eastAsiaTheme="minorEastAsia"/>
          <w:color w:val="auto"/>
          <w:szCs w:val="21"/>
          <w:highlight w:val="none"/>
          <w:u w:val="none"/>
        </w:rPr>
      </w:pPr>
    </w:p>
    <w:p>
      <w:pPr>
        <w:pStyle w:val="8"/>
        <w:rPr>
          <w:rFonts w:asciiTheme="minorEastAsia" w:hAnsiTheme="minorEastAsia" w:eastAsiaTheme="minorEastAsia"/>
          <w:color w:val="auto"/>
          <w:szCs w:val="21"/>
          <w:highlight w:val="none"/>
          <w:u w:val="none"/>
        </w:rPr>
      </w:pPr>
    </w:p>
    <w:p>
      <w:pPr>
        <w:pStyle w:val="8"/>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投标人（盖单位公章）：</w:t>
      </w:r>
    </w:p>
    <w:p>
      <w:pPr>
        <w:pStyle w:val="8"/>
        <w:rPr>
          <w:rFonts w:asciiTheme="minorEastAsia" w:hAnsiTheme="minorEastAsia" w:eastAsiaTheme="minorEastAsia"/>
          <w:color w:val="auto"/>
          <w:szCs w:val="21"/>
          <w:highlight w:val="none"/>
          <w:u w:val="none"/>
        </w:rPr>
      </w:pPr>
    </w:p>
    <w:p>
      <w:pPr>
        <w:pStyle w:val="8"/>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法定代表人或其委托代理人（签字或盖章）：</w:t>
      </w:r>
    </w:p>
    <w:p>
      <w:pPr>
        <w:pStyle w:val="8"/>
        <w:jc w:val="center"/>
        <w:outlineLvl w:val="0"/>
        <w:rPr>
          <w:rFonts w:asciiTheme="minorEastAsia" w:hAnsiTheme="minorEastAsia" w:eastAsiaTheme="minorEastAsia"/>
          <w:color w:val="auto"/>
          <w:szCs w:val="21"/>
          <w:highlight w:val="none"/>
          <w:u w:val="none"/>
        </w:rPr>
      </w:pPr>
      <w:r>
        <w:rPr>
          <w:rFonts w:asciiTheme="minorEastAsia" w:hAnsiTheme="minorEastAsia" w:eastAsiaTheme="minorEastAsia"/>
          <w:color w:val="auto"/>
          <w:szCs w:val="21"/>
          <w:highlight w:val="none"/>
          <w:u w:val="none"/>
        </w:rPr>
        <w:br w:type="page"/>
      </w:r>
    </w:p>
    <w:p>
      <w:pPr>
        <w:pStyle w:val="8"/>
        <w:numPr>
          <w:ilvl w:val="0"/>
          <w:numId w:val="6"/>
        </w:numPr>
        <w:ind w:left="420"/>
        <w:jc w:val="center"/>
        <w:outlineLvl w:val="0"/>
        <w:rPr>
          <w:rFonts w:cs="宋体" w:asciiTheme="minorEastAsia" w:hAnsiTheme="minorEastAsia" w:eastAsiaTheme="minorEastAsia"/>
          <w:color w:val="auto"/>
          <w:sz w:val="44"/>
          <w:szCs w:val="44"/>
          <w:highlight w:val="none"/>
          <w:u w:val="none"/>
        </w:rPr>
      </w:pPr>
      <w:r>
        <w:rPr>
          <w:rFonts w:hint="eastAsia" w:cs="宋体" w:asciiTheme="minorEastAsia" w:hAnsiTheme="minorEastAsia" w:eastAsiaTheme="minorEastAsia"/>
          <w:color w:val="auto"/>
          <w:sz w:val="44"/>
          <w:szCs w:val="44"/>
          <w:highlight w:val="none"/>
          <w:u w:val="none"/>
        </w:rPr>
        <w:t>资格文件</w:t>
      </w:r>
    </w:p>
    <w:p>
      <w:pPr>
        <w:jc w:val="center"/>
        <w:rPr>
          <w:rFonts w:eastAsiaTheme="minorEastAsia"/>
          <w:b/>
          <w:bCs/>
          <w:color w:val="auto"/>
          <w:highlight w:val="none"/>
          <w:u w:val="none"/>
        </w:rPr>
      </w:pPr>
      <w:r>
        <w:rPr>
          <w:rFonts w:hint="eastAsia" w:cs="宋体" w:asciiTheme="minorEastAsia" w:hAnsiTheme="minorEastAsia" w:eastAsiaTheme="minorEastAsia"/>
          <w:b/>
          <w:bCs/>
          <w:color w:val="auto"/>
          <w:sz w:val="44"/>
          <w:szCs w:val="44"/>
          <w:highlight w:val="none"/>
          <w:u w:val="none"/>
        </w:rPr>
        <w:t>（A分标）</w:t>
      </w:r>
    </w:p>
    <w:p>
      <w:pPr>
        <w:numPr>
          <w:ilvl w:val="0"/>
          <w:numId w:val="36"/>
        </w:numPr>
        <w:tabs>
          <w:tab w:val="left" w:pos="1305"/>
        </w:tabs>
        <w:ind w:firstLine="480" w:firstLineChars="200"/>
        <w:rPr>
          <w:rFonts w:cs="宋体" w:asciiTheme="minorEastAsia" w:hAnsiTheme="minorEastAsia" w:eastAsiaTheme="minorEastAsia"/>
          <w:color w:val="auto"/>
          <w:sz w:val="24"/>
          <w:highlight w:val="none"/>
          <w:u w:val="none"/>
        </w:rPr>
      </w:pPr>
      <w:r>
        <w:rPr>
          <w:rFonts w:hint="eastAsia" w:cs="宋体" w:asciiTheme="minorEastAsia" w:hAnsiTheme="minorEastAsia" w:eastAsiaTheme="minorEastAsia"/>
          <w:color w:val="auto"/>
          <w:sz w:val="24"/>
          <w:highlight w:val="none"/>
          <w:u w:val="none"/>
        </w:rPr>
        <w:t>营业执照副本复印件（未“三证合一”的必须提供税务登记证副本复印件和企业组织机构代码证副本复印件）；</w:t>
      </w:r>
    </w:p>
    <w:p>
      <w:pPr>
        <w:tabs>
          <w:tab w:val="left" w:pos="1305"/>
        </w:tabs>
        <w:rPr>
          <w:rFonts w:cs="宋体" w:asciiTheme="minorEastAsia" w:hAnsiTheme="minorEastAsia" w:eastAsiaTheme="minorEastAsia"/>
          <w:color w:val="auto"/>
          <w:sz w:val="24"/>
          <w:highlight w:val="none"/>
          <w:u w:val="none"/>
        </w:rPr>
      </w:pPr>
    </w:p>
    <w:p>
      <w:pPr>
        <w:tabs>
          <w:tab w:val="left" w:pos="1305"/>
        </w:tabs>
        <w:rPr>
          <w:rFonts w:cs="宋体" w:asciiTheme="minorEastAsia" w:hAnsiTheme="minorEastAsia" w:eastAsiaTheme="minorEastAsia"/>
          <w:color w:val="auto"/>
          <w:sz w:val="24"/>
          <w:highlight w:val="none"/>
          <w:u w:val="none"/>
        </w:rPr>
      </w:pPr>
    </w:p>
    <w:p>
      <w:pPr>
        <w:tabs>
          <w:tab w:val="left" w:pos="1305"/>
        </w:tabs>
        <w:rPr>
          <w:rFonts w:cs="宋体" w:asciiTheme="minorEastAsia" w:hAnsiTheme="minorEastAsia" w:eastAsiaTheme="minorEastAsia"/>
          <w:color w:val="auto"/>
          <w:sz w:val="24"/>
          <w:highlight w:val="none"/>
          <w:u w:val="none"/>
        </w:rPr>
      </w:pPr>
    </w:p>
    <w:p>
      <w:pPr>
        <w:numPr>
          <w:ilvl w:val="0"/>
          <w:numId w:val="36"/>
        </w:numPr>
        <w:tabs>
          <w:tab w:val="left" w:pos="1305"/>
        </w:tabs>
        <w:ind w:firstLine="480" w:firstLineChars="200"/>
        <w:rPr>
          <w:rFonts w:cs="宋体" w:asciiTheme="minorEastAsia" w:hAnsiTheme="minorEastAsia" w:eastAsiaTheme="minorEastAsia"/>
          <w:bCs/>
          <w:color w:val="auto"/>
          <w:sz w:val="24"/>
          <w:highlight w:val="none"/>
          <w:u w:val="none"/>
        </w:rPr>
      </w:pPr>
      <w:r>
        <w:rPr>
          <w:rFonts w:hint="eastAsia" w:cs="宋体" w:asciiTheme="minorEastAsia" w:hAnsiTheme="minorEastAsia" w:eastAsiaTheme="minorEastAsia"/>
          <w:bCs/>
          <w:color w:val="auto"/>
          <w:sz w:val="24"/>
          <w:highlight w:val="none"/>
          <w:u w:val="none"/>
        </w:rPr>
        <w:t>法定代表人身份证明书和法定代表人有效的身份证正反面复印件</w:t>
      </w:r>
    </w:p>
    <w:p>
      <w:pPr>
        <w:tabs>
          <w:tab w:val="left" w:pos="1305"/>
        </w:tabs>
        <w:rPr>
          <w:rFonts w:cs="宋体" w:asciiTheme="minorEastAsia" w:hAnsiTheme="minorEastAsia" w:eastAsiaTheme="minorEastAsia"/>
          <w:color w:val="auto"/>
          <w:sz w:val="24"/>
          <w:highlight w:val="none"/>
          <w:u w:val="none"/>
        </w:rPr>
      </w:pPr>
    </w:p>
    <w:p>
      <w:pPr>
        <w:pStyle w:val="8"/>
        <w:jc w:val="left"/>
        <w:outlineLvl w:val="0"/>
        <w:rPr>
          <w:rFonts w:asciiTheme="minorEastAsia" w:hAnsiTheme="minorEastAsia" w:eastAsiaTheme="minorEastAsia"/>
          <w:b/>
          <w:color w:val="auto"/>
          <w:szCs w:val="21"/>
          <w:highlight w:val="none"/>
          <w:u w:val="none"/>
        </w:rPr>
      </w:pPr>
      <w:r>
        <w:rPr>
          <w:rFonts w:hint="eastAsia" w:asciiTheme="minorEastAsia" w:hAnsiTheme="minorEastAsia" w:eastAsiaTheme="minorEastAsia"/>
          <w:b/>
          <w:color w:val="auto"/>
          <w:szCs w:val="21"/>
          <w:highlight w:val="none"/>
          <w:u w:val="none"/>
        </w:rPr>
        <w:t>附件三</w:t>
      </w:r>
    </w:p>
    <w:p>
      <w:pPr>
        <w:pStyle w:val="8"/>
        <w:spacing w:before="165" w:beforeLines="50" w:after="165" w:afterLines="50"/>
        <w:ind w:firstLine="2640" w:firstLineChars="1100"/>
        <w:rPr>
          <w:rFonts w:cs="宋体" w:asciiTheme="minorEastAsia" w:hAnsiTheme="minorEastAsia" w:eastAsiaTheme="minorEastAsia"/>
          <w:color w:val="auto"/>
          <w:highlight w:val="none"/>
          <w:u w:val="none"/>
        </w:rPr>
      </w:pPr>
      <w:r>
        <w:rPr>
          <w:rFonts w:hint="eastAsia" w:cs="宋体" w:asciiTheme="minorEastAsia" w:hAnsiTheme="minorEastAsia" w:eastAsiaTheme="minorEastAsia"/>
          <w:color w:val="auto"/>
          <w:sz w:val="24"/>
          <w:szCs w:val="24"/>
          <w:highlight w:val="none"/>
          <w:u w:val="none"/>
        </w:rPr>
        <w:t>2、</w:t>
      </w:r>
      <w:r>
        <w:rPr>
          <w:rFonts w:cs="宋体" w:asciiTheme="minorEastAsia" w:hAnsiTheme="minorEastAsia" w:eastAsiaTheme="minorEastAsia"/>
          <w:color w:val="auto"/>
          <w:sz w:val="24"/>
          <w:szCs w:val="24"/>
          <w:highlight w:val="none"/>
          <w:u w:val="none"/>
        </w:rPr>
        <w:t>法定代表人身份证明书（格式）</w:t>
      </w:r>
    </w:p>
    <w:p>
      <w:pPr>
        <w:ind w:left="540"/>
        <w:rPr>
          <w:rFonts w:cs="宋体" w:asciiTheme="minorEastAsia" w:hAnsiTheme="minorEastAsia" w:eastAsiaTheme="minorEastAsia"/>
          <w:color w:val="auto"/>
          <w:sz w:val="22"/>
          <w:szCs w:val="22"/>
          <w:highlight w:val="none"/>
          <w:u w:val="none"/>
        </w:rPr>
      </w:pPr>
      <w:r>
        <w:rPr>
          <w:rFonts w:hint="eastAsia" w:cs="宋体" w:asciiTheme="minorEastAsia" w:hAnsiTheme="minorEastAsia" w:eastAsiaTheme="minorEastAsia"/>
          <w:color w:val="auto"/>
          <w:sz w:val="22"/>
          <w:szCs w:val="22"/>
          <w:highlight w:val="none"/>
          <w:u w:val="none"/>
        </w:rPr>
        <w:t>投 标 人：</w:t>
      </w:r>
    </w:p>
    <w:p>
      <w:pPr>
        <w:ind w:left="540"/>
        <w:rPr>
          <w:rFonts w:cs="宋体" w:asciiTheme="minorEastAsia" w:hAnsiTheme="minorEastAsia" w:eastAsiaTheme="minorEastAsia"/>
          <w:color w:val="auto"/>
          <w:sz w:val="22"/>
          <w:szCs w:val="22"/>
          <w:highlight w:val="none"/>
          <w:u w:val="none"/>
        </w:rPr>
      </w:pPr>
      <w:r>
        <w:rPr>
          <w:rFonts w:hint="eastAsia" w:cs="宋体" w:asciiTheme="minorEastAsia" w:hAnsiTheme="minorEastAsia" w:eastAsiaTheme="minorEastAsia"/>
          <w:color w:val="auto"/>
          <w:sz w:val="22"/>
          <w:szCs w:val="22"/>
          <w:highlight w:val="none"/>
          <w:u w:val="none"/>
        </w:rPr>
        <w:t>单位性质：</w:t>
      </w:r>
    </w:p>
    <w:p>
      <w:pPr>
        <w:ind w:left="540"/>
        <w:rPr>
          <w:rFonts w:cs="宋体" w:asciiTheme="minorEastAsia" w:hAnsiTheme="minorEastAsia" w:eastAsiaTheme="minorEastAsia"/>
          <w:color w:val="auto"/>
          <w:sz w:val="22"/>
          <w:szCs w:val="22"/>
          <w:highlight w:val="none"/>
          <w:u w:val="none"/>
        </w:rPr>
      </w:pPr>
      <w:r>
        <w:rPr>
          <w:rFonts w:hint="eastAsia" w:cs="宋体" w:asciiTheme="minorEastAsia" w:hAnsiTheme="minorEastAsia" w:eastAsiaTheme="minorEastAsia"/>
          <w:color w:val="auto"/>
          <w:sz w:val="22"/>
          <w:szCs w:val="22"/>
          <w:highlight w:val="none"/>
          <w:u w:val="none"/>
        </w:rPr>
        <w:t>地    址：</w:t>
      </w:r>
    </w:p>
    <w:p>
      <w:pPr>
        <w:ind w:left="540"/>
        <w:rPr>
          <w:rFonts w:cs="宋体" w:asciiTheme="minorEastAsia" w:hAnsiTheme="minorEastAsia" w:eastAsiaTheme="minorEastAsia"/>
          <w:color w:val="auto"/>
          <w:sz w:val="22"/>
          <w:szCs w:val="22"/>
          <w:highlight w:val="none"/>
          <w:u w:val="none"/>
        </w:rPr>
      </w:pPr>
      <w:r>
        <w:rPr>
          <w:rFonts w:hint="eastAsia" w:cs="宋体" w:asciiTheme="minorEastAsia" w:hAnsiTheme="minorEastAsia" w:eastAsiaTheme="minorEastAsia"/>
          <w:color w:val="auto"/>
          <w:sz w:val="22"/>
          <w:szCs w:val="22"/>
          <w:highlight w:val="none"/>
          <w:u w:val="none"/>
        </w:rPr>
        <w:t>成立时间：年月日</w:t>
      </w:r>
    </w:p>
    <w:p>
      <w:pPr>
        <w:ind w:left="540"/>
        <w:rPr>
          <w:rFonts w:cs="宋体" w:asciiTheme="minorEastAsia" w:hAnsiTheme="minorEastAsia" w:eastAsiaTheme="minorEastAsia"/>
          <w:color w:val="auto"/>
          <w:sz w:val="22"/>
          <w:szCs w:val="22"/>
          <w:highlight w:val="none"/>
          <w:u w:val="none"/>
        </w:rPr>
      </w:pPr>
      <w:r>
        <w:rPr>
          <w:rFonts w:hint="eastAsia" w:cs="宋体" w:asciiTheme="minorEastAsia" w:hAnsiTheme="minorEastAsia" w:eastAsiaTheme="minorEastAsia"/>
          <w:color w:val="auto"/>
          <w:sz w:val="22"/>
          <w:szCs w:val="22"/>
          <w:highlight w:val="none"/>
          <w:u w:val="none"/>
        </w:rPr>
        <w:t>经营期限：</w:t>
      </w:r>
    </w:p>
    <w:p>
      <w:pPr>
        <w:ind w:left="540"/>
        <w:rPr>
          <w:rFonts w:cs="宋体" w:asciiTheme="minorEastAsia" w:hAnsiTheme="minorEastAsia" w:eastAsiaTheme="minorEastAsia"/>
          <w:color w:val="auto"/>
          <w:sz w:val="22"/>
          <w:szCs w:val="22"/>
          <w:highlight w:val="none"/>
          <w:u w:val="none"/>
        </w:rPr>
      </w:pPr>
      <w:r>
        <w:rPr>
          <w:rFonts w:hint="eastAsia" w:cs="宋体" w:asciiTheme="minorEastAsia" w:hAnsiTheme="minorEastAsia" w:eastAsiaTheme="minorEastAsia"/>
          <w:color w:val="auto"/>
          <w:sz w:val="22"/>
          <w:szCs w:val="22"/>
          <w:highlight w:val="none"/>
          <w:u w:val="none"/>
        </w:rPr>
        <w:t>姓    名：性      别：</w:t>
      </w:r>
    </w:p>
    <w:p>
      <w:pPr>
        <w:ind w:left="540"/>
        <w:rPr>
          <w:rFonts w:cs="宋体" w:asciiTheme="minorEastAsia" w:hAnsiTheme="minorEastAsia" w:eastAsiaTheme="minorEastAsia"/>
          <w:color w:val="auto"/>
          <w:sz w:val="22"/>
          <w:szCs w:val="22"/>
          <w:highlight w:val="none"/>
          <w:u w:val="none"/>
        </w:rPr>
      </w:pPr>
      <w:r>
        <w:rPr>
          <w:rFonts w:hint="eastAsia" w:cs="宋体" w:asciiTheme="minorEastAsia" w:hAnsiTheme="minorEastAsia" w:eastAsiaTheme="minorEastAsia"/>
          <w:color w:val="auto"/>
          <w:sz w:val="22"/>
          <w:szCs w:val="22"/>
          <w:highlight w:val="none"/>
          <w:u w:val="none"/>
        </w:rPr>
        <w:t>年    龄：职      务：</w:t>
      </w:r>
    </w:p>
    <w:p>
      <w:pPr>
        <w:ind w:left="540"/>
        <w:rPr>
          <w:rFonts w:cs="宋体" w:asciiTheme="minorEastAsia" w:hAnsiTheme="minorEastAsia" w:eastAsiaTheme="minorEastAsia"/>
          <w:color w:val="auto"/>
          <w:sz w:val="22"/>
          <w:szCs w:val="22"/>
          <w:highlight w:val="none"/>
          <w:u w:val="none"/>
        </w:rPr>
      </w:pPr>
      <w:r>
        <w:rPr>
          <w:rFonts w:hint="eastAsia" w:cs="宋体" w:asciiTheme="minorEastAsia" w:hAnsiTheme="minorEastAsia" w:eastAsiaTheme="minorEastAsia"/>
          <w:color w:val="auto"/>
          <w:sz w:val="22"/>
          <w:szCs w:val="22"/>
          <w:highlight w:val="none"/>
          <w:u w:val="none"/>
        </w:rPr>
        <w:t>身份证号码：</w:t>
      </w:r>
    </w:p>
    <w:p>
      <w:pPr>
        <w:ind w:left="540"/>
        <w:rPr>
          <w:rFonts w:cs="宋体" w:asciiTheme="minorEastAsia" w:hAnsiTheme="minorEastAsia" w:eastAsiaTheme="minorEastAsia"/>
          <w:color w:val="auto"/>
          <w:sz w:val="22"/>
          <w:szCs w:val="22"/>
          <w:highlight w:val="none"/>
          <w:u w:val="none"/>
        </w:rPr>
      </w:pPr>
      <w:r>
        <w:rPr>
          <w:rFonts w:hint="eastAsia" w:cs="宋体" w:asciiTheme="minorEastAsia" w:hAnsiTheme="minorEastAsia" w:eastAsiaTheme="minorEastAsia"/>
          <w:color w:val="auto"/>
          <w:sz w:val="22"/>
          <w:szCs w:val="22"/>
          <w:highlight w:val="none"/>
          <w:u w:val="none"/>
        </w:rPr>
        <w:t>系（投标人名称）的法定代表人。</w:t>
      </w:r>
    </w:p>
    <w:p>
      <w:pPr>
        <w:ind w:left="540"/>
        <w:rPr>
          <w:rFonts w:cs="宋体" w:asciiTheme="minorEastAsia" w:hAnsiTheme="minorEastAsia" w:eastAsiaTheme="minorEastAsia"/>
          <w:color w:val="auto"/>
          <w:sz w:val="22"/>
          <w:szCs w:val="22"/>
          <w:highlight w:val="none"/>
          <w:u w:val="none"/>
        </w:rPr>
      </w:pPr>
      <w:r>
        <w:rPr>
          <w:rFonts w:hint="eastAsia" w:cs="宋体" w:asciiTheme="minorEastAsia" w:hAnsiTheme="minorEastAsia" w:eastAsiaTheme="minorEastAsia"/>
          <w:color w:val="auto"/>
          <w:sz w:val="22"/>
          <w:szCs w:val="22"/>
          <w:highlight w:val="none"/>
          <w:u w:val="none"/>
        </w:rPr>
        <w:t>特此证明。</w:t>
      </w:r>
    </w:p>
    <w:p>
      <w:pPr>
        <w:ind w:left="540"/>
        <w:rPr>
          <w:rFonts w:cs="宋体" w:asciiTheme="minorEastAsia" w:hAnsiTheme="minorEastAsia" w:eastAsiaTheme="minorEastAsia"/>
          <w:color w:val="auto"/>
          <w:sz w:val="22"/>
          <w:szCs w:val="22"/>
          <w:highlight w:val="none"/>
          <w:u w:val="none"/>
        </w:rPr>
      </w:pPr>
    </w:p>
    <w:p>
      <w:pPr>
        <w:ind w:left="540"/>
        <w:rPr>
          <w:rFonts w:cs="宋体" w:asciiTheme="minorEastAsia" w:hAnsiTheme="minorEastAsia" w:eastAsiaTheme="minorEastAsia"/>
          <w:b/>
          <w:bCs/>
          <w:color w:val="auto"/>
          <w:sz w:val="22"/>
          <w:szCs w:val="22"/>
          <w:highlight w:val="none"/>
          <w:u w:val="none"/>
        </w:rPr>
      </w:pPr>
      <w:r>
        <w:rPr>
          <w:rFonts w:hint="eastAsia" w:cs="宋体" w:asciiTheme="minorEastAsia" w:hAnsiTheme="minorEastAsia" w:eastAsiaTheme="minorEastAsia"/>
          <w:b/>
          <w:bCs/>
          <w:color w:val="auto"/>
          <w:sz w:val="22"/>
          <w:szCs w:val="22"/>
          <w:highlight w:val="none"/>
          <w:u w:val="none"/>
        </w:rPr>
        <w:t>附：法定代表人完整有效身份证正反面复印件</w:t>
      </w:r>
    </w:p>
    <w:p>
      <w:pPr>
        <w:rPr>
          <w:color w:val="auto"/>
          <w:highlight w:val="none"/>
          <w:u w:val="none"/>
        </w:rPr>
      </w:pPr>
    </w:p>
    <w:p>
      <w:pPr>
        <w:rPr>
          <w:color w:val="auto"/>
          <w:highlight w:val="none"/>
          <w:u w:val="none"/>
        </w:rPr>
      </w:pPr>
    </w:p>
    <w:p>
      <w:pPr>
        <w:wordWrap w:val="0"/>
        <w:ind w:left="540"/>
        <w:jc w:val="center"/>
        <w:rPr>
          <w:rFonts w:cs="宋体" w:asciiTheme="minorEastAsia" w:hAnsiTheme="minorEastAsia" w:eastAsiaTheme="minorEastAsia"/>
          <w:color w:val="auto"/>
          <w:sz w:val="22"/>
          <w:szCs w:val="22"/>
          <w:highlight w:val="none"/>
          <w:u w:val="none"/>
        </w:rPr>
      </w:pPr>
      <w:r>
        <w:rPr>
          <w:rFonts w:hint="eastAsia" w:cs="宋体" w:asciiTheme="minorEastAsia" w:hAnsiTheme="minorEastAsia" w:eastAsiaTheme="minorEastAsia"/>
          <w:color w:val="auto"/>
          <w:sz w:val="22"/>
          <w:szCs w:val="22"/>
          <w:highlight w:val="none"/>
          <w:u w:val="none"/>
        </w:rPr>
        <w:t xml:space="preserve">  投标人（单位公章）：</w:t>
      </w:r>
    </w:p>
    <w:p>
      <w:pPr>
        <w:ind w:left="540"/>
        <w:jc w:val="right"/>
        <w:rPr>
          <w:rFonts w:cs="宋体" w:asciiTheme="minorEastAsia" w:hAnsiTheme="minorEastAsia" w:eastAsiaTheme="minorEastAsia"/>
          <w:color w:val="auto"/>
          <w:sz w:val="22"/>
          <w:szCs w:val="22"/>
          <w:highlight w:val="none"/>
          <w:u w:val="none"/>
        </w:rPr>
      </w:pPr>
    </w:p>
    <w:p>
      <w:pPr>
        <w:pStyle w:val="8"/>
        <w:ind w:firstLine="440"/>
        <w:jc w:val="center"/>
        <w:rPr>
          <w:rFonts w:cs="宋体" w:asciiTheme="minorEastAsia" w:hAnsiTheme="minorEastAsia" w:eastAsiaTheme="minorEastAsia"/>
          <w:b/>
          <w:color w:val="auto"/>
          <w:sz w:val="22"/>
          <w:szCs w:val="22"/>
          <w:highlight w:val="none"/>
          <w:u w:val="none"/>
        </w:rPr>
      </w:pPr>
      <w:r>
        <w:rPr>
          <w:rFonts w:hint="eastAsia" w:cs="宋体" w:asciiTheme="minorEastAsia" w:hAnsiTheme="minorEastAsia" w:eastAsiaTheme="minorEastAsia"/>
          <w:color w:val="auto"/>
          <w:sz w:val="22"/>
          <w:szCs w:val="22"/>
          <w:highlight w:val="none"/>
          <w:u w:val="none"/>
        </w:rPr>
        <w:t xml:space="preserve">                                       </w:t>
      </w:r>
      <w:r>
        <w:rPr>
          <w:rFonts w:cs="宋体" w:asciiTheme="minorEastAsia" w:hAnsiTheme="minorEastAsia" w:eastAsiaTheme="minorEastAsia"/>
          <w:color w:val="auto"/>
          <w:sz w:val="22"/>
          <w:szCs w:val="22"/>
          <w:highlight w:val="none"/>
          <w:u w:val="none"/>
        </w:rPr>
        <w:t>年</w:t>
      </w:r>
      <w:r>
        <w:rPr>
          <w:rFonts w:hint="eastAsia" w:cs="宋体" w:asciiTheme="minorEastAsia" w:hAnsiTheme="minorEastAsia" w:eastAsiaTheme="minorEastAsia"/>
          <w:color w:val="auto"/>
          <w:sz w:val="22"/>
          <w:szCs w:val="22"/>
          <w:highlight w:val="none"/>
          <w:u w:val="none"/>
        </w:rPr>
        <w:t xml:space="preserve">  </w:t>
      </w:r>
      <w:r>
        <w:rPr>
          <w:rFonts w:cs="宋体" w:asciiTheme="minorEastAsia" w:hAnsiTheme="minorEastAsia" w:eastAsiaTheme="minorEastAsia"/>
          <w:color w:val="auto"/>
          <w:sz w:val="22"/>
          <w:szCs w:val="22"/>
          <w:highlight w:val="none"/>
          <w:u w:val="none"/>
        </w:rPr>
        <w:t>月</w:t>
      </w:r>
      <w:r>
        <w:rPr>
          <w:rFonts w:hint="eastAsia" w:cs="宋体" w:asciiTheme="minorEastAsia" w:hAnsiTheme="minorEastAsia" w:eastAsiaTheme="minorEastAsia"/>
          <w:color w:val="auto"/>
          <w:sz w:val="22"/>
          <w:szCs w:val="22"/>
          <w:highlight w:val="none"/>
          <w:u w:val="none"/>
        </w:rPr>
        <w:t xml:space="preserve">  </w:t>
      </w:r>
      <w:r>
        <w:rPr>
          <w:rFonts w:cs="宋体" w:asciiTheme="minorEastAsia" w:hAnsiTheme="minorEastAsia" w:eastAsiaTheme="minorEastAsia"/>
          <w:color w:val="auto"/>
          <w:sz w:val="22"/>
          <w:szCs w:val="22"/>
          <w:highlight w:val="none"/>
          <w:u w:val="none"/>
        </w:rPr>
        <w:t>日</w:t>
      </w:r>
    </w:p>
    <w:p>
      <w:pPr>
        <w:pStyle w:val="8"/>
        <w:jc w:val="center"/>
        <w:outlineLvl w:val="0"/>
        <w:rPr>
          <w:rFonts w:asciiTheme="minorEastAsia" w:hAnsiTheme="minorEastAsia" w:eastAsiaTheme="minorEastAsia"/>
          <w:b/>
          <w:color w:val="auto"/>
          <w:szCs w:val="21"/>
          <w:highlight w:val="none"/>
          <w:u w:val="none"/>
        </w:rPr>
      </w:pP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pStyle w:val="8"/>
        <w:jc w:val="left"/>
        <w:outlineLvl w:val="0"/>
        <w:rPr>
          <w:rFonts w:asciiTheme="minorEastAsia" w:hAnsiTheme="minorEastAsia" w:eastAsiaTheme="minorEastAsia"/>
          <w:b/>
          <w:color w:val="auto"/>
          <w:szCs w:val="21"/>
          <w:highlight w:val="none"/>
          <w:u w:val="none"/>
        </w:rPr>
      </w:pPr>
    </w:p>
    <w:p>
      <w:pPr>
        <w:tabs>
          <w:tab w:val="left" w:pos="1305"/>
        </w:tabs>
        <w:rPr>
          <w:rFonts w:cs="宋体" w:asciiTheme="minorEastAsia" w:hAnsiTheme="minorEastAsia" w:eastAsiaTheme="minorEastAsia"/>
          <w:color w:val="auto"/>
          <w:sz w:val="24"/>
          <w:highlight w:val="none"/>
          <w:u w:val="none"/>
        </w:rPr>
      </w:pPr>
    </w:p>
    <w:p>
      <w:pPr>
        <w:tabs>
          <w:tab w:val="left" w:pos="1305"/>
        </w:tabs>
        <w:rPr>
          <w:rFonts w:cs="宋体" w:asciiTheme="minorEastAsia" w:hAnsiTheme="minorEastAsia" w:eastAsiaTheme="minorEastAsia"/>
          <w:color w:val="auto"/>
          <w:sz w:val="24"/>
          <w:highlight w:val="none"/>
          <w:u w:val="none"/>
        </w:rPr>
      </w:pPr>
    </w:p>
    <w:p>
      <w:pPr>
        <w:numPr>
          <w:ilvl w:val="0"/>
          <w:numId w:val="36"/>
        </w:numPr>
        <w:tabs>
          <w:tab w:val="left" w:pos="1305"/>
        </w:tabs>
        <w:ind w:firstLine="480" w:firstLineChars="200"/>
        <w:rPr>
          <w:rFonts w:cs="宋体" w:asciiTheme="minorEastAsia" w:hAnsiTheme="minorEastAsia" w:eastAsiaTheme="minorEastAsia"/>
          <w:color w:val="auto"/>
          <w:sz w:val="24"/>
          <w:highlight w:val="none"/>
          <w:u w:val="none"/>
        </w:rPr>
      </w:pPr>
      <w:r>
        <w:rPr>
          <w:rFonts w:hint="eastAsia" w:cs="宋体" w:asciiTheme="minorEastAsia" w:hAnsiTheme="minorEastAsia" w:eastAsiaTheme="minorEastAsia"/>
          <w:color w:val="auto"/>
          <w:sz w:val="24"/>
          <w:highlight w:val="none"/>
          <w:u w:val="none"/>
        </w:rPr>
        <w:t>法定代表人授权委托书原件和委托代理人完整有效身份证复印件</w:t>
      </w: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pStyle w:val="8"/>
        <w:jc w:val="left"/>
        <w:outlineLvl w:val="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附件四</w:t>
      </w:r>
    </w:p>
    <w:p>
      <w:pPr>
        <w:pStyle w:val="8"/>
        <w:outlineLvl w:val="0"/>
        <w:rPr>
          <w:rFonts w:asciiTheme="minorEastAsia" w:hAnsiTheme="minorEastAsia" w:eastAsiaTheme="minorEastAsia"/>
          <w:b/>
          <w:color w:val="auto"/>
          <w:spacing w:val="6"/>
          <w:sz w:val="28"/>
          <w:szCs w:val="28"/>
          <w:highlight w:val="none"/>
          <w:u w:val="none"/>
        </w:rPr>
      </w:pPr>
    </w:p>
    <w:p>
      <w:pPr>
        <w:pStyle w:val="8"/>
        <w:ind w:firstLine="420"/>
        <w:jc w:val="center"/>
        <w:outlineLvl w:val="0"/>
        <w:rPr>
          <w:rFonts w:asciiTheme="minorEastAsia" w:hAnsiTheme="minorEastAsia" w:eastAsiaTheme="minorEastAsia"/>
          <w:b/>
          <w:color w:val="auto"/>
          <w:spacing w:val="6"/>
          <w:sz w:val="28"/>
          <w:szCs w:val="28"/>
          <w:highlight w:val="none"/>
          <w:u w:val="none"/>
        </w:rPr>
      </w:pPr>
      <w:r>
        <w:rPr>
          <w:rFonts w:hint="eastAsia" w:asciiTheme="minorEastAsia" w:hAnsiTheme="minorEastAsia" w:eastAsiaTheme="minorEastAsia"/>
          <w:b/>
          <w:color w:val="auto"/>
          <w:spacing w:val="6"/>
          <w:sz w:val="28"/>
          <w:szCs w:val="28"/>
          <w:highlight w:val="none"/>
          <w:u w:val="none"/>
        </w:rPr>
        <w:t>3、法定代表人授权书（格式）</w:t>
      </w:r>
    </w:p>
    <w:p>
      <w:pPr>
        <w:adjustRightInd w:val="0"/>
        <w:snapToGrid w:val="0"/>
        <w:rPr>
          <w:rFonts w:asciiTheme="minorEastAsia" w:hAnsiTheme="minorEastAsia" w:eastAsiaTheme="minorEastAsia"/>
          <w:color w:val="auto"/>
          <w:szCs w:val="21"/>
          <w:highlight w:val="none"/>
          <w:u w:val="none"/>
        </w:rPr>
      </w:pPr>
    </w:p>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中鼎誉润工程咨询有限公司：</w:t>
      </w:r>
    </w:p>
    <w:p>
      <w:pPr>
        <w:ind w:firstLine="420" w:firstLineChars="20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兹授权同志为我公司参加贵单位组织的（项目名称、项目编号）公开招标采购活动的投标代表人，全权代表我公司处理在该项目活动中的一切事宜。</w:t>
      </w:r>
    </w:p>
    <w:p>
      <w:pPr>
        <w:ind w:firstLine="420" w:firstLineChars="20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代理期限从年月日起至年月日止。</w:t>
      </w:r>
    </w:p>
    <w:p>
      <w:pPr>
        <w:rPr>
          <w:rFonts w:asciiTheme="minorEastAsia" w:hAnsiTheme="minorEastAsia" w:eastAsiaTheme="minorEastAsia"/>
          <w:color w:val="auto"/>
          <w:szCs w:val="21"/>
          <w:highlight w:val="none"/>
          <w:u w:val="none"/>
        </w:rPr>
      </w:pPr>
    </w:p>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授权单位（签章）：</w:t>
      </w:r>
    </w:p>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法定代表人（签字或盖章）：</w:t>
      </w:r>
    </w:p>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被授权代表（签字）：</w:t>
      </w:r>
    </w:p>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签发日期：年月日</w:t>
      </w:r>
    </w:p>
    <w:p>
      <w:pPr>
        <w:rPr>
          <w:rFonts w:asciiTheme="minorEastAsia" w:hAnsiTheme="minorEastAsia" w:eastAsiaTheme="minorEastAsia"/>
          <w:color w:val="auto"/>
          <w:szCs w:val="21"/>
          <w:highlight w:val="none"/>
          <w:u w:val="none"/>
        </w:rPr>
      </w:pPr>
    </w:p>
    <w:p>
      <w:pPr>
        <w:ind w:firstLine="420" w:firstLineChars="20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附：代理人工作单位：</w:t>
      </w:r>
    </w:p>
    <w:p>
      <w:pPr>
        <w:ind w:firstLine="420" w:firstLineChars="20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职务：      性别：</w:t>
      </w:r>
    </w:p>
    <w:p>
      <w:pPr>
        <w:adjustRightInd w:val="0"/>
        <w:snapToGrid w:val="0"/>
        <w:ind w:firstLine="420" w:firstLineChars="20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身份证号码：</w:t>
      </w:r>
    </w:p>
    <w:p>
      <w:pPr>
        <w:adjustRightInd w:val="0"/>
        <w:snapToGrid w:val="0"/>
        <w:ind w:firstLine="420" w:firstLineChars="200"/>
        <w:rPr>
          <w:rFonts w:asciiTheme="minorEastAsia" w:hAnsiTheme="minorEastAsia" w:eastAsiaTheme="minorEastAsia"/>
          <w:color w:val="auto"/>
          <w:szCs w:val="21"/>
          <w:highlight w:val="none"/>
          <w:u w:val="none"/>
        </w:rPr>
      </w:pPr>
    </w:p>
    <w:tbl>
      <w:tblPr>
        <w:tblStyle w:val="18"/>
        <w:tblW w:w="9405"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7" w:hRule="atLeast"/>
        </w:trPr>
        <w:tc>
          <w:tcPr>
            <w:tcW w:w="9405" w:type="dxa"/>
          </w:tcPr>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粘贴被授权人身份证（正、反两面复印件）</w:t>
            </w:r>
          </w:p>
        </w:tc>
      </w:tr>
    </w:tbl>
    <w:p>
      <w:pPr>
        <w:autoSpaceDE w:val="0"/>
        <w:autoSpaceDN w:val="0"/>
        <w:ind w:left="480" w:hanging="480"/>
        <w:rPr>
          <w:rFonts w:asciiTheme="minorEastAsia" w:hAnsiTheme="minorEastAsia" w:eastAsiaTheme="minorEastAsia"/>
          <w:color w:val="auto"/>
          <w:szCs w:val="21"/>
          <w:highlight w:val="none"/>
          <w:u w:val="none"/>
        </w:rPr>
      </w:pPr>
    </w:p>
    <w:p>
      <w:pPr>
        <w:pStyle w:val="8"/>
        <w:rPr>
          <w:rFonts w:asciiTheme="minorEastAsia" w:hAnsiTheme="minorEastAsia" w:eastAsiaTheme="minorEastAsia"/>
          <w:color w:val="auto"/>
          <w:highlight w:val="none"/>
          <w:u w:val="none"/>
        </w:rPr>
      </w:pPr>
    </w:p>
    <w:p>
      <w:pPr>
        <w:pStyle w:val="8"/>
        <w:rPr>
          <w:rFonts w:asciiTheme="minorEastAsia" w:hAnsiTheme="minorEastAsia" w:eastAsiaTheme="minorEastAsia"/>
          <w:color w:val="auto"/>
          <w:highlight w:val="none"/>
          <w:u w:val="none"/>
        </w:rPr>
      </w:pPr>
    </w:p>
    <w:p>
      <w:pPr>
        <w:pStyle w:val="8"/>
        <w:rPr>
          <w:rFonts w:asciiTheme="minorEastAsia" w:hAnsiTheme="minorEastAsia" w:eastAsiaTheme="minorEastAsia"/>
          <w:color w:val="auto"/>
          <w:highlight w:val="none"/>
          <w:u w:val="none"/>
        </w:rPr>
      </w:pP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tabs>
          <w:tab w:val="left" w:pos="1305"/>
        </w:tabs>
        <w:ind w:left="420" w:leftChars="200"/>
        <w:rPr>
          <w:rFonts w:cs="宋体" w:asciiTheme="minorEastAsia" w:hAnsiTheme="minorEastAsia" w:eastAsiaTheme="minorEastAsia"/>
          <w:color w:val="auto"/>
          <w:sz w:val="24"/>
          <w:highlight w:val="none"/>
          <w:u w:val="none"/>
        </w:rPr>
      </w:pPr>
    </w:p>
    <w:p>
      <w:pPr>
        <w:numPr>
          <w:ilvl w:val="0"/>
          <w:numId w:val="36"/>
        </w:numPr>
        <w:tabs>
          <w:tab w:val="left" w:pos="1305"/>
        </w:tabs>
        <w:ind w:firstLine="480" w:firstLineChars="200"/>
        <w:rPr>
          <w:rFonts w:cs="宋体" w:asciiTheme="minorEastAsia" w:hAnsiTheme="minorEastAsia" w:eastAsiaTheme="minorEastAsia"/>
          <w:b/>
          <w:color w:val="auto"/>
          <w:sz w:val="24"/>
          <w:highlight w:val="none"/>
          <w:u w:val="none"/>
        </w:rPr>
      </w:pPr>
      <w:r>
        <w:rPr>
          <w:rFonts w:hint="eastAsia" w:cs="宋体" w:asciiTheme="minorEastAsia" w:hAnsiTheme="minorEastAsia" w:eastAsiaTheme="minorEastAsia"/>
          <w:color w:val="auto"/>
          <w:sz w:val="24"/>
          <w:highlight w:val="none"/>
          <w:u w:val="none"/>
        </w:rPr>
        <w:t>投标人参加政府采购活动前3年内在经营活动中没有重大违法记录及有关信用信息的书面声明；</w:t>
      </w:r>
    </w:p>
    <w:p>
      <w:pPr>
        <w:rPr>
          <w:rFonts w:asciiTheme="minorEastAsia" w:hAnsiTheme="minorEastAsia" w:eastAsiaTheme="minorEastAsia"/>
          <w:color w:val="auto"/>
          <w:highlight w:val="none"/>
          <w:u w:val="none"/>
        </w:rPr>
      </w:pPr>
      <w:r>
        <w:rPr>
          <w:rFonts w:hint="eastAsia" w:asciiTheme="minorEastAsia" w:hAnsiTheme="minorEastAsia" w:eastAsiaTheme="minorEastAsia"/>
          <w:b/>
          <w:color w:val="auto"/>
          <w:szCs w:val="21"/>
          <w:highlight w:val="none"/>
          <w:u w:val="none"/>
        </w:rPr>
        <w:t>附件五</w:t>
      </w:r>
    </w:p>
    <w:p>
      <w:pPr>
        <w:pStyle w:val="8"/>
        <w:rPr>
          <w:rFonts w:asciiTheme="minorEastAsia" w:hAnsiTheme="minorEastAsia" w:eastAsiaTheme="minorEastAsia"/>
          <w:color w:val="auto"/>
          <w:highlight w:val="none"/>
          <w:u w:val="none"/>
        </w:rPr>
      </w:pPr>
    </w:p>
    <w:p>
      <w:pPr>
        <w:pStyle w:val="8"/>
        <w:ind w:firstLine="420"/>
        <w:jc w:val="center"/>
        <w:outlineLvl w:val="0"/>
        <w:rPr>
          <w:rFonts w:asciiTheme="minorEastAsia" w:hAnsiTheme="minorEastAsia" w:eastAsiaTheme="minorEastAsia"/>
          <w:b/>
          <w:color w:val="auto"/>
          <w:sz w:val="28"/>
          <w:szCs w:val="28"/>
          <w:highlight w:val="none"/>
          <w:u w:val="none"/>
        </w:rPr>
      </w:pPr>
      <w:r>
        <w:rPr>
          <w:rFonts w:hint="eastAsia" w:asciiTheme="minorEastAsia" w:hAnsiTheme="minorEastAsia" w:eastAsiaTheme="minorEastAsia"/>
          <w:b/>
          <w:color w:val="auto"/>
          <w:spacing w:val="6"/>
          <w:sz w:val="28"/>
          <w:szCs w:val="28"/>
          <w:highlight w:val="none"/>
          <w:u w:val="none"/>
        </w:rPr>
        <w:t>4、</w:t>
      </w:r>
      <w:r>
        <w:rPr>
          <w:rFonts w:asciiTheme="minorEastAsia" w:hAnsiTheme="minorEastAsia" w:eastAsiaTheme="minorEastAsia"/>
          <w:b/>
          <w:color w:val="auto"/>
          <w:spacing w:val="6"/>
          <w:sz w:val="28"/>
          <w:szCs w:val="28"/>
          <w:highlight w:val="none"/>
          <w:u w:val="none"/>
        </w:rPr>
        <w:t>无重大违法记录声明</w:t>
      </w:r>
    </w:p>
    <w:p>
      <w:pPr>
        <w:rPr>
          <w:rFonts w:asciiTheme="minorEastAsia" w:hAnsiTheme="minorEastAsia" w:eastAsiaTheme="minorEastAsia"/>
          <w:color w:val="auto"/>
          <w:highlight w:val="none"/>
          <w:u w:val="none"/>
        </w:rPr>
      </w:pPr>
    </w:p>
    <w:p>
      <w:pPr>
        <w:rPr>
          <w:rFonts w:asciiTheme="minorEastAsia" w:hAnsiTheme="minorEastAsia" w:eastAsiaTheme="minorEastAsia"/>
          <w:color w:val="auto"/>
          <w:szCs w:val="21"/>
          <w:highlight w:val="none"/>
          <w:u w:val="none"/>
        </w:rPr>
      </w:pPr>
      <w:r>
        <w:rPr>
          <w:rFonts w:asciiTheme="minorEastAsia" w:hAnsiTheme="minorEastAsia" w:eastAsiaTheme="minorEastAsia"/>
          <w:color w:val="auto"/>
          <w:szCs w:val="21"/>
          <w:highlight w:val="none"/>
          <w:u w:val="none"/>
        </w:rPr>
        <w:t>致：</w:t>
      </w:r>
      <w:r>
        <w:rPr>
          <w:rFonts w:hint="eastAsia" w:asciiTheme="minorEastAsia" w:hAnsiTheme="minorEastAsia" w:eastAsiaTheme="minorEastAsia"/>
          <w:color w:val="auto"/>
          <w:szCs w:val="21"/>
          <w:highlight w:val="none"/>
          <w:u w:val="none"/>
        </w:rPr>
        <w:t>（采购人或采购代理机构）</w:t>
      </w:r>
      <w:r>
        <w:rPr>
          <w:rFonts w:asciiTheme="minorEastAsia" w:hAnsiTheme="minorEastAsia" w:eastAsiaTheme="minorEastAsia"/>
          <w:color w:val="auto"/>
          <w:szCs w:val="21"/>
          <w:highlight w:val="none"/>
          <w:u w:val="none"/>
        </w:rPr>
        <w:t>   </w:t>
      </w:r>
    </w:p>
    <w:p>
      <w:pPr>
        <w:rPr>
          <w:rFonts w:asciiTheme="minorEastAsia" w:hAnsiTheme="minorEastAsia" w:eastAsiaTheme="minorEastAsia"/>
          <w:color w:val="auto"/>
          <w:szCs w:val="21"/>
          <w:highlight w:val="none"/>
          <w:u w:val="none"/>
        </w:rPr>
      </w:pPr>
    </w:p>
    <w:p>
      <w:pPr>
        <w:ind w:firstLine="420" w:firstLineChars="200"/>
        <w:rPr>
          <w:rFonts w:asciiTheme="minorEastAsia" w:hAnsiTheme="minorEastAsia" w:eastAsiaTheme="minorEastAsia"/>
          <w:color w:val="auto"/>
          <w:szCs w:val="21"/>
          <w:highlight w:val="none"/>
          <w:u w:val="none"/>
        </w:rPr>
      </w:pPr>
      <w:r>
        <w:rPr>
          <w:rFonts w:asciiTheme="minorEastAsia" w:hAnsiTheme="minorEastAsia" w:eastAsiaTheme="minorEastAsia"/>
          <w:color w:val="auto"/>
          <w:szCs w:val="21"/>
          <w:highlight w:val="none"/>
          <w:u w:val="none"/>
        </w:rPr>
        <w:t>我方在参加由你</w:t>
      </w:r>
      <w:r>
        <w:rPr>
          <w:rFonts w:hint="eastAsia" w:asciiTheme="minorEastAsia" w:hAnsiTheme="minorEastAsia" w:eastAsiaTheme="minorEastAsia"/>
          <w:color w:val="auto"/>
          <w:szCs w:val="21"/>
          <w:highlight w:val="none"/>
          <w:u w:val="none"/>
        </w:rPr>
        <w:t>单位</w:t>
      </w:r>
      <w:r>
        <w:rPr>
          <w:rFonts w:asciiTheme="minorEastAsia" w:hAnsiTheme="minorEastAsia" w:eastAsiaTheme="minorEastAsia"/>
          <w:color w:val="auto"/>
          <w:szCs w:val="21"/>
          <w:highlight w:val="none"/>
          <w:u w:val="none"/>
        </w:rPr>
        <w:t>代理机构组织的                         （项目名称及编号）项目，我方在此郑重声明，我方在参加本项目的政府采购活动前三年内，在经营活动中没有重大违法记录，符合《中华人民共和国政府采购法》及《中华人民共和国政府采购实施条例》等规定的供应商条件，我方对此声明负全部法律责任。</w:t>
      </w:r>
    </w:p>
    <w:p>
      <w:pPr>
        <w:ind w:firstLine="420" w:firstLineChars="200"/>
        <w:rPr>
          <w:rFonts w:asciiTheme="minorEastAsia" w:hAnsiTheme="minorEastAsia" w:eastAsiaTheme="minorEastAsia"/>
          <w:color w:val="auto"/>
          <w:szCs w:val="21"/>
          <w:highlight w:val="none"/>
          <w:u w:val="none"/>
        </w:rPr>
      </w:pPr>
      <w:r>
        <w:rPr>
          <w:rFonts w:asciiTheme="minorEastAsia" w:hAnsiTheme="minorEastAsia" w:eastAsiaTheme="minorEastAsia"/>
          <w:color w:val="auto"/>
          <w:szCs w:val="21"/>
          <w:highlight w:val="none"/>
          <w:u w:val="none"/>
        </w:rPr>
        <w:br w:type="textWrapping"/>
      </w:r>
    </w:p>
    <w:p>
      <w:pPr>
        <w:ind w:right="560"/>
        <w:jc w:val="center"/>
        <w:rPr>
          <w:rFonts w:asciiTheme="minorEastAsia" w:hAnsiTheme="minorEastAsia" w:eastAsiaTheme="minorEastAsia"/>
          <w:color w:val="auto"/>
          <w:szCs w:val="21"/>
          <w:highlight w:val="none"/>
          <w:u w:val="none"/>
        </w:rPr>
      </w:pPr>
      <w:r>
        <w:rPr>
          <w:rFonts w:asciiTheme="minorEastAsia" w:hAnsiTheme="minorEastAsia" w:eastAsiaTheme="minorEastAsia"/>
          <w:color w:val="auto"/>
          <w:szCs w:val="21"/>
          <w:highlight w:val="none"/>
          <w:u w:val="none"/>
        </w:rPr>
        <w:t xml:space="preserve">            法定代表人或被授权人签字：</w:t>
      </w:r>
    </w:p>
    <w:p>
      <w:pPr>
        <w:ind w:right="60"/>
        <w:jc w:val="center"/>
        <w:rPr>
          <w:rFonts w:asciiTheme="minorEastAsia" w:hAnsiTheme="minorEastAsia" w:eastAsiaTheme="minorEastAsia"/>
          <w:color w:val="auto"/>
          <w:szCs w:val="21"/>
          <w:highlight w:val="none"/>
          <w:u w:val="none"/>
        </w:rPr>
      </w:pPr>
    </w:p>
    <w:p>
      <w:pPr>
        <w:ind w:right="60"/>
        <w:jc w:val="cente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投标供应商</w:t>
      </w:r>
      <w:r>
        <w:rPr>
          <w:rFonts w:asciiTheme="minorEastAsia" w:hAnsiTheme="minorEastAsia" w:eastAsiaTheme="minorEastAsia"/>
          <w:color w:val="auto"/>
          <w:szCs w:val="21"/>
          <w:highlight w:val="none"/>
          <w:u w:val="none"/>
        </w:rPr>
        <w:t>公章：</w:t>
      </w:r>
    </w:p>
    <w:p>
      <w:pPr>
        <w:ind w:right="420"/>
        <w:jc w:val="right"/>
        <w:rPr>
          <w:rFonts w:asciiTheme="minorEastAsia" w:hAnsiTheme="minorEastAsia" w:eastAsiaTheme="minorEastAsia"/>
          <w:color w:val="auto"/>
          <w:szCs w:val="21"/>
          <w:highlight w:val="none"/>
          <w:u w:val="none"/>
        </w:rPr>
      </w:pPr>
      <w:r>
        <w:rPr>
          <w:rFonts w:asciiTheme="minorEastAsia" w:hAnsiTheme="minorEastAsia" w:eastAsiaTheme="minorEastAsia"/>
          <w:color w:val="auto"/>
          <w:szCs w:val="21"/>
          <w:highlight w:val="none"/>
          <w:u w:val="none"/>
        </w:rPr>
        <w:t> </w:t>
      </w:r>
    </w:p>
    <w:p>
      <w:pPr>
        <w:ind w:right="420"/>
        <w:jc w:val="cente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 xml:space="preserve">                                     </w:t>
      </w:r>
      <w:r>
        <w:rPr>
          <w:rFonts w:asciiTheme="minorEastAsia" w:hAnsiTheme="minorEastAsia" w:eastAsiaTheme="minorEastAsia"/>
          <w:color w:val="auto"/>
          <w:szCs w:val="21"/>
          <w:highlight w:val="none"/>
          <w:u w:val="none"/>
        </w:rPr>
        <w:t>日期:      年  月 日</w:t>
      </w:r>
    </w:p>
    <w:p>
      <w:pPr>
        <w:tabs>
          <w:tab w:val="left" w:pos="1305"/>
        </w:tabs>
        <w:ind w:left="420" w:leftChars="200"/>
        <w:rPr>
          <w:rFonts w:cs="宋体" w:asciiTheme="minorEastAsia" w:hAnsiTheme="minorEastAsia" w:eastAsiaTheme="minorEastAsia"/>
          <w:b/>
          <w:color w:val="auto"/>
          <w:sz w:val="24"/>
          <w:highlight w:val="none"/>
          <w:u w:val="none"/>
        </w:rPr>
      </w:pPr>
    </w:p>
    <w:p>
      <w:pPr>
        <w:tabs>
          <w:tab w:val="left" w:pos="1305"/>
        </w:tabs>
        <w:ind w:left="420" w:leftChars="200"/>
        <w:rPr>
          <w:rFonts w:cs="宋体" w:asciiTheme="minorEastAsia" w:hAnsiTheme="minorEastAsia" w:eastAsiaTheme="minorEastAsia"/>
          <w:b/>
          <w:color w:val="auto"/>
          <w:sz w:val="24"/>
          <w:highlight w:val="none"/>
          <w:u w:val="none"/>
        </w:rPr>
      </w:pPr>
    </w:p>
    <w:p>
      <w:pPr>
        <w:pStyle w:val="11"/>
        <w:rPr>
          <w:rFonts w:cs="宋体" w:asciiTheme="minorEastAsia" w:hAnsiTheme="minorEastAsia" w:eastAsiaTheme="minorEastAsia"/>
          <w:b/>
          <w:color w:val="auto"/>
          <w:sz w:val="24"/>
          <w:highlight w:val="none"/>
          <w:u w:val="none"/>
        </w:rPr>
      </w:pPr>
    </w:p>
    <w:p>
      <w:pPr>
        <w:rPr>
          <w:rFonts w:cs="宋体" w:asciiTheme="minorEastAsia" w:hAnsiTheme="minorEastAsia" w:eastAsiaTheme="minorEastAsia"/>
          <w:b/>
          <w:color w:val="auto"/>
          <w:sz w:val="24"/>
          <w:highlight w:val="none"/>
          <w:u w:val="none"/>
        </w:rPr>
      </w:pPr>
    </w:p>
    <w:p>
      <w:pPr>
        <w:pStyle w:val="11"/>
        <w:rPr>
          <w:rFonts w:cs="宋体" w:asciiTheme="minorEastAsia" w:hAnsiTheme="minorEastAsia" w:eastAsiaTheme="minorEastAsia"/>
          <w:b/>
          <w:color w:val="auto"/>
          <w:sz w:val="24"/>
          <w:highlight w:val="none"/>
          <w:u w:val="none"/>
        </w:rPr>
      </w:pPr>
    </w:p>
    <w:p>
      <w:pPr>
        <w:rPr>
          <w:rFonts w:cs="宋体" w:asciiTheme="minorEastAsia" w:hAnsiTheme="minorEastAsia" w:eastAsiaTheme="minorEastAsia"/>
          <w:b/>
          <w:color w:val="auto"/>
          <w:sz w:val="24"/>
          <w:highlight w:val="none"/>
          <w:u w:val="none"/>
        </w:rPr>
      </w:pPr>
    </w:p>
    <w:p>
      <w:pPr>
        <w:pStyle w:val="11"/>
        <w:rPr>
          <w:rFonts w:cs="宋体" w:asciiTheme="minorEastAsia" w:hAnsiTheme="minorEastAsia" w:eastAsiaTheme="minorEastAsia"/>
          <w:b/>
          <w:color w:val="auto"/>
          <w:sz w:val="24"/>
          <w:highlight w:val="none"/>
          <w:u w:val="none"/>
        </w:rPr>
      </w:pPr>
    </w:p>
    <w:p>
      <w:pPr>
        <w:rPr>
          <w:rFonts w:cs="宋体" w:asciiTheme="minorEastAsia" w:hAnsiTheme="minorEastAsia" w:eastAsiaTheme="minorEastAsia"/>
          <w:b/>
          <w:color w:val="auto"/>
          <w:sz w:val="24"/>
          <w:highlight w:val="none"/>
          <w:u w:val="none"/>
        </w:rPr>
      </w:pPr>
    </w:p>
    <w:p>
      <w:pPr>
        <w:pStyle w:val="11"/>
        <w:rPr>
          <w:rFonts w:cs="宋体" w:asciiTheme="minorEastAsia" w:hAnsiTheme="minorEastAsia" w:eastAsiaTheme="minorEastAsia"/>
          <w:b/>
          <w:color w:val="auto"/>
          <w:sz w:val="24"/>
          <w:highlight w:val="none"/>
          <w:u w:val="none"/>
        </w:rPr>
      </w:pPr>
    </w:p>
    <w:p>
      <w:pPr>
        <w:rPr>
          <w:rFonts w:cs="宋体" w:asciiTheme="minorEastAsia" w:hAnsiTheme="minorEastAsia" w:eastAsiaTheme="minorEastAsia"/>
          <w:b/>
          <w:color w:val="auto"/>
          <w:sz w:val="24"/>
          <w:highlight w:val="none"/>
          <w:u w:val="none"/>
        </w:rPr>
      </w:pPr>
    </w:p>
    <w:p>
      <w:pPr>
        <w:pStyle w:val="11"/>
        <w:rPr>
          <w:rFonts w:cs="宋体" w:asciiTheme="minorEastAsia" w:hAnsiTheme="minorEastAsia" w:eastAsiaTheme="minorEastAsia"/>
          <w:b/>
          <w:color w:val="auto"/>
          <w:sz w:val="24"/>
          <w:highlight w:val="none"/>
          <w:u w:val="none"/>
        </w:rPr>
      </w:pPr>
    </w:p>
    <w:p>
      <w:pPr>
        <w:rPr>
          <w:rFonts w:cs="宋体" w:asciiTheme="minorEastAsia" w:hAnsiTheme="minorEastAsia" w:eastAsiaTheme="minorEastAsia"/>
          <w:b/>
          <w:color w:val="auto"/>
          <w:sz w:val="24"/>
          <w:highlight w:val="none"/>
          <w:u w:val="none"/>
        </w:rPr>
      </w:pPr>
    </w:p>
    <w:p>
      <w:pPr>
        <w:pStyle w:val="11"/>
        <w:rPr>
          <w:rFonts w:cs="宋体" w:asciiTheme="minorEastAsia" w:hAnsiTheme="minorEastAsia" w:eastAsiaTheme="minorEastAsia"/>
          <w:b/>
          <w:color w:val="auto"/>
          <w:sz w:val="24"/>
          <w:highlight w:val="none"/>
          <w:u w:val="none"/>
        </w:rPr>
      </w:pPr>
    </w:p>
    <w:p>
      <w:pPr>
        <w:rPr>
          <w:rFonts w:cs="宋体" w:asciiTheme="minorEastAsia" w:hAnsiTheme="minorEastAsia" w:eastAsiaTheme="minorEastAsia"/>
          <w:b/>
          <w:color w:val="auto"/>
          <w:sz w:val="24"/>
          <w:highlight w:val="none"/>
          <w:u w:val="none"/>
        </w:rPr>
      </w:pPr>
    </w:p>
    <w:p>
      <w:pPr>
        <w:pStyle w:val="11"/>
        <w:rPr>
          <w:rFonts w:cs="宋体" w:asciiTheme="minorEastAsia" w:hAnsiTheme="minorEastAsia" w:eastAsiaTheme="minorEastAsia"/>
          <w:b/>
          <w:color w:val="auto"/>
          <w:sz w:val="24"/>
          <w:highlight w:val="none"/>
          <w:u w:val="none"/>
        </w:rPr>
      </w:pPr>
    </w:p>
    <w:p>
      <w:pPr>
        <w:rPr>
          <w:rFonts w:cs="宋体" w:asciiTheme="minorEastAsia" w:hAnsiTheme="minorEastAsia" w:eastAsiaTheme="minorEastAsia"/>
          <w:b/>
          <w:color w:val="auto"/>
          <w:sz w:val="24"/>
          <w:highlight w:val="none"/>
          <w:u w:val="none"/>
        </w:rPr>
      </w:pPr>
    </w:p>
    <w:p>
      <w:pPr>
        <w:pStyle w:val="11"/>
        <w:rPr>
          <w:rFonts w:cs="宋体" w:asciiTheme="minorEastAsia" w:hAnsiTheme="minorEastAsia" w:eastAsiaTheme="minorEastAsia"/>
          <w:b/>
          <w:color w:val="auto"/>
          <w:sz w:val="24"/>
          <w:highlight w:val="none"/>
          <w:u w:val="none"/>
        </w:rPr>
      </w:pPr>
    </w:p>
    <w:p>
      <w:pPr>
        <w:rPr>
          <w:rFonts w:cs="宋体" w:asciiTheme="minorEastAsia" w:hAnsiTheme="minorEastAsia" w:eastAsiaTheme="minorEastAsia"/>
          <w:b/>
          <w:color w:val="auto"/>
          <w:sz w:val="24"/>
          <w:highlight w:val="none"/>
          <w:u w:val="none"/>
        </w:rPr>
      </w:pPr>
    </w:p>
    <w:p>
      <w:pPr>
        <w:pStyle w:val="11"/>
        <w:rPr>
          <w:rFonts w:cs="宋体" w:asciiTheme="minorEastAsia" w:hAnsiTheme="minorEastAsia" w:eastAsiaTheme="minorEastAsia"/>
          <w:b/>
          <w:color w:val="auto"/>
          <w:sz w:val="24"/>
          <w:highlight w:val="none"/>
          <w:u w:val="none"/>
        </w:rPr>
      </w:pPr>
    </w:p>
    <w:p>
      <w:pPr>
        <w:rPr>
          <w:rFonts w:cs="宋体" w:asciiTheme="minorEastAsia" w:hAnsiTheme="minorEastAsia" w:eastAsiaTheme="minorEastAsia"/>
          <w:b/>
          <w:color w:val="auto"/>
          <w:sz w:val="24"/>
          <w:highlight w:val="none"/>
          <w:u w:val="none"/>
        </w:rPr>
      </w:pPr>
    </w:p>
    <w:p>
      <w:pPr>
        <w:pStyle w:val="11"/>
        <w:rPr>
          <w:rFonts w:cs="宋体" w:asciiTheme="minorEastAsia" w:hAnsiTheme="minorEastAsia" w:eastAsiaTheme="minorEastAsia"/>
          <w:b/>
          <w:color w:val="auto"/>
          <w:sz w:val="24"/>
          <w:highlight w:val="none"/>
          <w:u w:val="none"/>
        </w:rPr>
      </w:pPr>
    </w:p>
    <w:p>
      <w:pPr>
        <w:rPr>
          <w:rFonts w:cs="宋体" w:asciiTheme="minorEastAsia" w:hAnsiTheme="minorEastAsia" w:eastAsiaTheme="minorEastAsia"/>
          <w:b/>
          <w:color w:val="auto"/>
          <w:sz w:val="24"/>
          <w:highlight w:val="none"/>
          <w:u w:val="none"/>
        </w:rPr>
      </w:pPr>
    </w:p>
    <w:p>
      <w:pPr>
        <w:pStyle w:val="11"/>
        <w:rPr>
          <w:color w:val="auto"/>
          <w:highlight w:val="none"/>
          <w:u w:val="none"/>
        </w:rPr>
      </w:pPr>
    </w:p>
    <w:p>
      <w:pPr>
        <w:pStyle w:val="8"/>
        <w:numPr>
          <w:ilvl w:val="0"/>
          <w:numId w:val="36"/>
        </w:numPr>
        <w:ind w:firstLine="480" w:firstLineChars="200"/>
        <w:rPr>
          <w:rFonts w:cs="宋体" w:asciiTheme="minorEastAsia" w:hAnsiTheme="minorEastAsia" w:eastAsiaTheme="minorEastAsia"/>
          <w:b/>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投标保证金缴纳证明；</w:t>
      </w:r>
    </w:p>
    <w:p>
      <w:pPr>
        <w:pStyle w:val="8"/>
        <w:ind w:left="420" w:leftChars="200"/>
        <w:rPr>
          <w:rFonts w:cs="宋体" w:asciiTheme="minorEastAsia" w:hAnsiTheme="minorEastAsia" w:eastAsiaTheme="minorEastAsia"/>
          <w:b/>
          <w:color w:val="auto"/>
          <w:sz w:val="24"/>
          <w:szCs w:val="24"/>
          <w:highlight w:val="none"/>
          <w:u w:val="none"/>
        </w:rPr>
      </w:pPr>
    </w:p>
    <w:p>
      <w:pPr>
        <w:pStyle w:val="8"/>
        <w:jc w:val="left"/>
        <w:outlineLvl w:val="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附件六</w:t>
      </w:r>
    </w:p>
    <w:p>
      <w:pPr>
        <w:pStyle w:val="8"/>
        <w:ind w:firstLine="420"/>
        <w:jc w:val="center"/>
        <w:outlineLvl w:val="0"/>
        <w:rPr>
          <w:rFonts w:asciiTheme="minorEastAsia" w:hAnsiTheme="minorEastAsia" w:eastAsiaTheme="minorEastAsia"/>
          <w:b/>
          <w:color w:val="auto"/>
          <w:sz w:val="32"/>
          <w:highlight w:val="none"/>
          <w:u w:val="none"/>
        </w:rPr>
      </w:pPr>
      <w:r>
        <w:rPr>
          <w:rFonts w:hint="eastAsia" w:asciiTheme="minorEastAsia" w:hAnsiTheme="minorEastAsia" w:eastAsiaTheme="minorEastAsia"/>
          <w:b/>
          <w:color w:val="auto"/>
          <w:spacing w:val="6"/>
          <w:sz w:val="32"/>
          <w:szCs w:val="32"/>
          <w:highlight w:val="none"/>
          <w:u w:val="none"/>
        </w:rPr>
        <w:t>5、投标</w:t>
      </w:r>
      <w:r>
        <w:rPr>
          <w:rFonts w:hint="eastAsia" w:asciiTheme="minorEastAsia" w:hAnsiTheme="minorEastAsia" w:eastAsiaTheme="minorEastAsia"/>
          <w:b/>
          <w:color w:val="auto"/>
          <w:sz w:val="32"/>
          <w:szCs w:val="32"/>
          <w:highlight w:val="none"/>
          <w:u w:val="none"/>
        </w:rPr>
        <w:t>保证金证明缴纳证明</w:t>
      </w:r>
    </w:p>
    <w:p>
      <w:pPr>
        <w:ind w:firstLine="420" w:firstLineChars="200"/>
        <w:rPr>
          <w:rFonts w:asciiTheme="minorEastAsia" w:hAnsiTheme="minorEastAsia" w:eastAsiaTheme="minorEastAsia"/>
          <w:color w:val="auto"/>
          <w:highlight w:val="none"/>
          <w:u w:val="none"/>
        </w:rPr>
      </w:pPr>
    </w:p>
    <w:p>
      <w:pPr>
        <w:pStyle w:val="8"/>
        <w:rPr>
          <w:rFonts w:asciiTheme="minorEastAsia" w:hAnsiTheme="minorEastAsia" w:eastAsiaTheme="minorEastAsia"/>
          <w:color w:val="auto"/>
          <w:highlight w:val="none"/>
          <w:u w:val="none"/>
        </w:rPr>
      </w:pPr>
    </w:p>
    <w:p>
      <w:pPr>
        <w:pStyle w:val="8"/>
        <w:rPr>
          <w:rFonts w:asciiTheme="minorEastAsia" w:hAnsiTheme="minorEastAsia" w:eastAsiaTheme="minorEastAsia"/>
          <w:color w:val="auto"/>
          <w:highlight w:val="none"/>
          <w:u w:val="none"/>
        </w:rPr>
      </w:pPr>
      <w:r>
        <w:rPr>
          <w:rFonts w:asciiTheme="minorEastAsia" w:hAnsiTheme="minorEastAsia" w:eastAsiaTheme="minorEastAsia"/>
          <w:color w:val="auto"/>
          <w:highlight w:val="none"/>
          <w:u w:val="none"/>
        </w:rPr>
        <mc:AlternateContent>
          <mc:Choice Requires="wps">
            <w:drawing>
              <wp:anchor distT="0" distB="0" distL="114300" distR="114300" simplePos="0" relativeHeight="251737088" behindDoc="0" locked="0" layoutInCell="1" allowOverlap="1">
                <wp:simplePos x="0" y="0"/>
                <wp:positionH relativeFrom="column">
                  <wp:posOffset>0</wp:posOffset>
                </wp:positionH>
                <wp:positionV relativeFrom="paragraph">
                  <wp:posOffset>76200</wp:posOffset>
                </wp:positionV>
                <wp:extent cx="6120130" cy="2879725"/>
                <wp:effectExtent l="4445" t="4445" r="9525" b="11430"/>
                <wp:wrapNone/>
                <wp:docPr id="9" name="矩形 9"/>
                <wp:cNvGraphicFramePr/>
                <a:graphic xmlns:a="http://schemas.openxmlformats.org/drawingml/2006/main">
                  <a:graphicData uri="http://schemas.microsoft.com/office/word/2010/wordprocessingShape">
                    <wps:wsp>
                      <wps:cNvSpPr/>
                      <wps:spPr>
                        <a:xfrm>
                          <a:off x="0" y="0"/>
                          <a:ext cx="6120130" cy="2879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szCs w:val="21"/>
                              </w:rPr>
                            </w:pPr>
                            <w:r>
                              <w:rPr>
                                <w:rFonts w:hint="eastAsia"/>
                                <w:szCs w:val="21"/>
                              </w:rPr>
                              <w:t>保证金凭证</w:t>
                            </w:r>
                          </w:p>
                        </w:txbxContent>
                      </wps:txbx>
                      <wps:bodyPr upright="1"/>
                    </wps:wsp>
                  </a:graphicData>
                </a:graphic>
              </wp:anchor>
            </w:drawing>
          </mc:Choice>
          <mc:Fallback>
            <w:pict>
              <v:rect id="_x0000_s1026" o:spid="_x0000_s1026" o:spt="1" style="position:absolute;left:0pt;margin-left:0pt;margin-top:6pt;height:226.75pt;width:481.9pt;z-index:251737088;mso-width-relative:page;mso-height-relative:page;" fillcolor="#FFFFFF" filled="t" stroked="t" coordsize="21600,21600" o:gfxdata="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BJ2d&#10;1gAAAAcBAAAPAAAAAAAAAAEAIAAAACIAAABkcnMvZG93bnJldi54bWxQSwECFAAUAAAACACHTuJA&#10;Qa53vOoBAADqAwAADgAAAAAAAAABACAAAAAlAQAAZHJzL2Uyb0RvYy54bWxQSwUGAAAAAAYABgBZ&#10;AQAAgQUAAAAA&#10;">
                <v:fill on="t" focussize="0,0"/>
                <v:stroke color="#000000" joinstyle="miter"/>
                <v:imagedata o:title=""/>
                <o:lock v:ext="edit" aspectratio="f"/>
                <v:textbox>
                  <w:txbxContent>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szCs w:val="21"/>
                        </w:rPr>
                      </w:pPr>
                      <w:r>
                        <w:rPr>
                          <w:rFonts w:hint="eastAsia"/>
                          <w:szCs w:val="21"/>
                        </w:rPr>
                        <w:t>保证金凭证</w:t>
                      </w:r>
                    </w:p>
                  </w:txbxContent>
                </v:textbox>
              </v:rect>
            </w:pict>
          </mc:Fallback>
        </mc:AlternateContent>
      </w:r>
    </w:p>
    <w:p>
      <w:pPr>
        <w:pStyle w:val="8"/>
        <w:rPr>
          <w:rFonts w:asciiTheme="minorEastAsia" w:hAnsiTheme="minorEastAsia" w:eastAsiaTheme="minorEastAsia"/>
          <w:color w:val="auto"/>
          <w:highlight w:val="none"/>
          <w:u w:val="none"/>
        </w:rPr>
      </w:pPr>
    </w:p>
    <w:p>
      <w:pPr>
        <w:pStyle w:val="8"/>
        <w:rPr>
          <w:rFonts w:asciiTheme="minorEastAsia" w:hAnsiTheme="minorEastAsia" w:eastAsiaTheme="minorEastAsia"/>
          <w:color w:val="auto"/>
          <w:highlight w:val="none"/>
          <w:u w:val="none"/>
        </w:rPr>
      </w:pPr>
    </w:p>
    <w:p>
      <w:pPr>
        <w:pStyle w:val="8"/>
        <w:rPr>
          <w:rFonts w:asciiTheme="minorEastAsia" w:hAnsiTheme="minorEastAsia" w:eastAsiaTheme="minorEastAsia"/>
          <w:color w:val="auto"/>
          <w:highlight w:val="none"/>
          <w:u w:val="none"/>
        </w:rPr>
      </w:pPr>
    </w:p>
    <w:p>
      <w:pPr>
        <w:pStyle w:val="8"/>
        <w:rPr>
          <w:rFonts w:asciiTheme="minorEastAsia" w:hAnsiTheme="minorEastAsia" w:eastAsiaTheme="minorEastAsia"/>
          <w:color w:val="auto"/>
          <w:highlight w:val="none"/>
          <w:u w:val="none"/>
        </w:rPr>
      </w:pPr>
    </w:p>
    <w:p>
      <w:pPr>
        <w:pStyle w:val="8"/>
        <w:rPr>
          <w:rFonts w:asciiTheme="minorEastAsia" w:hAnsiTheme="minorEastAsia" w:eastAsiaTheme="minorEastAsia"/>
          <w:color w:val="auto"/>
          <w:sz w:val="44"/>
          <w:highlight w:val="none"/>
          <w:u w:val="none"/>
        </w:rPr>
      </w:pPr>
    </w:p>
    <w:p>
      <w:pPr>
        <w:pStyle w:val="8"/>
        <w:rPr>
          <w:rFonts w:asciiTheme="minorEastAsia" w:hAnsiTheme="minorEastAsia" w:eastAsiaTheme="minorEastAsia"/>
          <w:color w:val="auto"/>
          <w:sz w:val="44"/>
          <w:highlight w:val="none"/>
          <w:u w:val="none"/>
        </w:rPr>
      </w:pPr>
    </w:p>
    <w:p>
      <w:pPr>
        <w:pStyle w:val="8"/>
        <w:rPr>
          <w:rFonts w:asciiTheme="minorEastAsia" w:hAnsiTheme="minorEastAsia" w:eastAsiaTheme="minorEastAsia"/>
          <w:color w:val="auto"/>
          <w:sz w:val="44"/>
          <w:highlight w:val="none"/>
          <w:u w:val="none"/>
        </w:rPr>
      </w:pPr>
    </w:p>
    <w:p>
      <w:pPr>
        <w:pStyle w:val="8"/>
        <w:rPr>
          <w:rFonts w:asciiTheme="minorEastAsia" w:hAnsiTheme="minorEastAsia" w:eastAsiaTheme="minorEastAsia"/>
          <w:color w:val="auto"/>
          <w:sz w:val="44"/>
          <w:highlight w:val="none"/>
          <w:u w:val="none"/>
        </w:rPr>
      </w:pPr>
    </w:p>
    <w:p>
      <w:pPr>
        <w:pStyle w:val="8"/>
        <w:ind w:firstLine="4830" w:firstLineChars="2300"/>
        <w:rPr>
          <w:rFonts w:asciiTheme="minorEastAsia" w:hAnsiTheme="minorEastAsia" w:eastAsiaTheme="minorEastAsia"/>
          <w:color w:val="auto"/>
          <w:highlight w:val="none"/>
          <w:u w:val="none"/>
        </w:rPr>
      </w:pPr>
    </w:p>
    <w:p>
      <w:pPr>
        <w:pStyle w:val="8"/>
        <w:ind w:firstLine="4830" w:firstLineChars="2300"/>
        <w:rPr>
          <w:rFonts w:asciiTheme="minorEastAsia" w:hAnsiTheme="minorEastAsia" w:eastAsiaTheme="minorEastAsia"/>
          <w:color w:val="auto"/>
          <w:highlight w:val="none"/>
          <w:u w:val="none"/>
        </w:rPr>
      </w:pPr>
    </w:p>
    <w:p>
      <w:pPr>
        <w:pStyle w:val="8"/>
        <w:ind w:firstLine="4830" w:firstLineChars="2300"/>
        <w:rPr>
          <w:rFonts w:asciiTheme="minorEastAsia" w:hAnsiTheme="minorEastAsia" w:eastAsiaTheme="minorEastAsia"/>
          <w:color w:val="auto"/>
          <w:highlight w:val="none"/>
          <w:u w:val="none"/>
        </w:rPr>
      </w:pPr>
    </w:p>
    <w:p>
      <w:pPr>
        <w:pStyle w:val="8"/>
        <w:ind w:firstLine="4830" w:firstLineChars="2300"/>
        <w:rPr>
          <w:rFonts w:asciiTheme="minorEastAsia" w:hAnsiTheme="minorEastAsia" w:eastAsiaTheme="minorEastAsia"/>
          <w:color w:val="auto"/>
          <w:highlight w:val="none"/>
          <w:u w:val="none"/>
        </w:rPr>
      </w:pPr>
    </w:p>
    <w:p>
      <w:pPr>
        <w:pStyle w:val="8"/>
        <w:ind w:firstLine="4830" w:firstLineChars="2300"/>
        <w:rPr>
          <w:rFonts w:asciiTheme="minorEastAsia" w:hAnsiTheme="minorEastAsia" w:eastAsiaTheme="minorEastAsia"/>
          <w:color w:val="auto"/>
          <w:highlight w:val="none"/>
          <w:u w:val="none"/>
        </w:rPr>
      </w:pPr>
    </w:p>
    <w:p>
      <w:pPr>
        <w:pStyle w:val="8"/>
        <w:ind w:firstLine="4830" w:firstLineChars="2300"/>
        <w:rPr>
          <w:rFonts w:asciiTheme="minorEastAsia" w:hAnsiTheme="minorEastAsia" w:eastAsiaTheme="minorEastAsia"/>
          <w:color w:val="auto"/>
          <w:highlight w:val="none"/>
          <w:u w:val="none"/>
        </w:rPr>
      </w:pPr>
    </w:p>
    <w:p>
      <w:pPr>
        <w:pStyle w:val="8"/>
        <w:ind w:firstLine="4830" w:firstLineChars="2300"/>
        <w:rPr>
          <w:rFonts w:asciiTheme="minorEastAsia" w:hAnsiTheme="minorEastAsia" w:eastAsiaTheme="minorEastAsia"/>
          <w:color w:val="auto"/>
          <w:highlight w:val="none"/>
          <w:u w:val="none"/>
        </w:rPr>
      </w:pPr>
    </w:p>
    <w:p>
      <w:pPr>
        <w:pStyle w:val="8"/>
        <w:ind w:firstLine="4830" w:firstLineChars="2300"/>
        <w:rPr>
          <w:rFonts w:asciiTheme="minorEastAsia" w:hAnsiTheme="minorEastAsia" w:eastAsiaTheme="minorEastAsia"/>
          <w:color w:val="auto"/>
          <w:highlight w:val="none"/>
          <w:u w:val="none"/>
        </w:rPr>
      </w:pPr>
    </w:p>
    <w:p>
      <w:pPr>
        <w:pStyle w:val="8"/>
        <w:ind w:firstLine="4515" w:firstLineChars="215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投标人</w:t>
      </w:r>
      <w:r>
        <w:rPr>
          <w:rFonts w:hint="eastAsia" w:asciiTheme="minorEastAsia" w:hAnsiTheme="minorEastAsia" w:eastAsiaTheme="minorEastAsia"/>
          <w:b/>
          <w:bCs/>
          <w:color w:val="auto"/>
          <w:highlight w:val="none"/>
          <w:u w:val="none"/>
        </w:rPr>
        <w:t>（公章）</w:t>
      </w:r>
      <w:r>
        <w:rPr>
          <w:rFonts w:hint="eastAsia" w:asciiTheme="minorEastAsia" w:hAnsiTheme="minorEastAsia" w:eastAsiaTheme="minorEastAsia"/>
          <w:color w:val="auto"/>
          <w:highlight w:val="none"/>
          <w:u w:val="none"/>
        </w:rPr>
        <w:t xml:space="preserve"> ：                               </w:t>
      </w:r>
    </w:p>
    <w:p>
      <w:pPr>
        <w:pStyle w:val="8"/>
        <w:rPr>
          <w:rFonts w:asciiTheme="minorEastAsia" w:hAnsiTheme="minorEastAsia" w:eastAsiaTheme="minorEastAsia"/>
          <w:color w:val="auto"/>
          <w:highlight w:val="none"/>
          <w:u w:val="none"/>
        </w:rPr>
      </w:pPr>
    </w:p>
    <w:p>
      <w:pPr>
        <w:jc w:val="center"/>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 xml:space="preserve">                      法定代表人或委托代理人</w:t>
      </w:r>
      <w:r>
        <w:rPr>
          <w:rFonts w:hint="eastAsia" w:asciiTheme="minorEastAsia" w:hAnsiTheme="minorEastAsia" w:eastAsiaTheme="minorEastAsia"/>
          <w:b/>
          <w:bCs/>
          <w:color w:val="auto"/>
          <w:highlight w:val="none"/>
          <w:u w:val="none"/>
        </w:rPr>
        <w:t>签名：</w:t>
      </w:r>
    </w:p>
    <w:p>
      <w:pPr>
        <w:pStyle w:val="8"/>
        <w:rPr>
          <w:rFonts w:asciiTheme="minorEastAsia" w:hAnsiTheme="minorEastAsia" w:eastAsiaTheme="minorEastAsia"/>
          <w:color w:val="auto"/>
          <w:sz w:val="44"/>
          <w:highlight w:val="none"/>
          <w:u w:val="none"/>
        </w:rPr>
      </w:pPr>
    </w:p>
    <w:p>
      <w:pPr>
        <w:pStyle w:val="8"/>
        <w:rPr>
          <w:rFonts w:cs="宋体" w:asciiTheme="minorEastAsia" w:hAnsiTheme="minorEastAsia" w:eastAsiaTheme="minorEastAsia"/>
          <w:b/>
          <w:color w:val="auto"/>
          <w:sz w:val="24"/>
          <w:szCs w:val="24"/>
          <w:highlight w:val="none"/>
          <w:u w:val="none"/>
        </w:rPr>
      </w:pPr>
    </w:p>
    <w:p>
      <w:pPr>
        <w:rPr>
          <w:rFonts w:cs="宋体" w:asciiTheme="minorEastAsia" w:hAnsiTheme="minorEastAsia" w:eastAsiaTheme="minorEastAsia"/>
          <w:b/>
          <w:color w:val="auto"/>
          <w:sz w:val="24"/>
          <w:highlight w:val="none"/>
          <w:u w:val="none"/>
        </w:rPr>
      </w:pPr>
    </w:p>
    <w:p>
      <w:pPr>
        <w:pStyle w:val="8"/>
        <w:numPr>
          <w:ilvl w:val="0"/>
          <w:numId w:val="36"/>
        </w:numPr>
        <w:ind w:firstLine="480" w:firstLineChars="200"/>
        <w:jc w:val="left"/>
        <w:outlineLvl w:val="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投标人在“信用中国”网站（www.creditchina.gov.cn）下载的本公司的信用报告打印件并加盖公章；（必须提供，否则投标无效）</w:t>
      </w: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ind w:left="420"/>
        <w:jc w:val="center"/>
        <w:rPr>
          <w:color w:val="auto"/>
          <w:highlight w:val="none"/>
          <w:u w:val="none"/>
        </w:rPr>
      </w:pPr>
    </w:p>
    <w:p>
      <w:pPr>
        <w:pStyle w:val="11"/>
        <w:jc w:val="center"/>
        <w:rPr>
          <w:rFonts w:ascii="宋体" w:hAnsi="宋体" w:cs="宋体"/>
          <w:b/>
          <w:bCs/>
          <w:color w:val="auto"/>
          <w:sz w:val="44"/>
          <w:szCs w:val="44"/>
          <w:highlight w:val="none"/>
          <w:u w:val="none"/>
        </w:rPr>
      </w:pPr>
      <w:r>
        <w:rPr>
          <w:rFonts w:hint="eastAsia" w:ascii="宋体" w:hAnsi="宋体" w:cs="宋体"/>
          <w:b/>
          <w:bCs/>
          <w:color w:val="auto"/>
          <w:sz w:val="44"/>
          <w:szCs w:val="44"/>
          <w:highlight w:val="none"/>
          <w:u w:val="none"/>
        </w:rPr>
        <w:t>（B分标）</w:t>
      </w:r>
    </w:p>
    <w:p>
      <w:pPr>
        <w:rPr>
          <w:color w:val="auto"/>
          <w:highlight w:val="none"/>
          <w:u w:val="none"/>
        </w:rPr>
      </w:pPr>
    </w:p>
    <w:p>
      <w:pPr>
        <w:pStyle w:val="8"/>
        <w:jc w:val="left"/>
        <w:outlineLvl w:val="0"/>
        <w:rPr>
          <w:rFonts w:asciiTheme="minorEastAsia" w:hAnsiTheme="minorEastAsia" w:eastAsiaTheme="minorEastAsia"/>
          <w:color w:val="auto"/>
          <w:szCs w:val="21"/>
          <w:highlight w:val="none"/>
          <w:u w:val="none"/>
        </w:rPr>
      </w:pPr>
    </w:p>
    <w:p>
      <w:pPr>
        <w:numPr>
          <w:ilvl w:val="0"/>
          <w:numId w:val="37"/>
        </w:numPr>
        <w:tabs>
          <w:tab w:val="left" w:pos="1305"/>
        </w:tabs>
        <w:rPr>
          <w:rFonts w:cs="宋体" w:asciiTheme="minorEastAsia" w:hAnsiTheme="minorEastAsia" w:eastAsiaTheme="minorEastAsia"/>
          <w:color w:val="auto"/>
          <w:sz w:val="24"/>
          <w:highlight w:val="none"/>
          <w:u w:val="none"/>
        </w:rPr>
      </w:pPr>
      <w:r>
        <w:rPr>
          <w:rFonts w:hint="eastAsia" w:cs="宋体" w:asciiTheme="minorEastAsia" w:hAnsiTheme="minorEastAsia" w:eastAsiaTheme="minorEastAsia"/>
          <w:color w:val="auto"/>
          <w:sz w:val="24"/>
          <w:highlight w:val="none"/>
          <w:u w:val="none"/>
        </w:rPr>
        <w:t>营业执照副本复印件（未“三证合一”的必须提供税务登记证副本复印件和企业组织机构代码证副本复印件）；</w:t>
      </w:r>
    </w:p>
    <w:p>
      <w:pPr>
        <w:tabs>
          <w:tab w:val="left" w:pos="1305"/>
        </w:tabs>
        <w:rPr>
          <w:rFonts w:cs="宋体" w:asciiTheme="minorEastAsia" w:hAnsiTheme="minorEastAsia" w:eastAsiaTheme="minorEastAsia"/>
          <w:color w:val="auto"/>
          <w:sz w:val="24"/>
          <w:highlight w:val="none"/>
          <w:u w:val="none"/>
        </w:rPr>
      </w:pPr>
    </w:p>
    <w:p>
      <w:pPr>
        <w:tabs>
          <w:tab w:val="left" w:pos="1305"/>
        </w:tabs>
        <w:rPr>
          <w:rFonts w:cs="宋体" w:asciiTheme="minorEastAsia" w:hAnsiTheme="minorEastAsia" w:eastAsiaTheme="minorEastAsia"/>
          <w:color w:val="auto"/>
          <w:sz w:val="24"/>
          <w:highlight w:val="none"/>
          <w:u w:val="none"/>
        </w:rPr>
      </w:pPr>
    </w:p>
    <w:p>
      <w:pPr>
        <w:numPr>
          <w:ilvl w:val="0"/>
          <w:numId w:val="37"/>
        </w:numPr>
        <w:tabs>
          <w:tab w:val="left" w:pos="1305"/>
        </w:tabs>
        <w:rPr>
          <w:rFonts w:cs="宋体" w:asciiTheme="minorEastAsia" w:hAnsiTheme="minorEastAsia" w:eastAsiaTheme="minorEastAsia"/>
          <w:color w:val="auto"/>
          <w:sz w:val="24"/>
          <w:highlight w:val="none"/>
          <w:u w:val="none"/>
        </w:rPr>
      </w:pPr>
      <w:r>
        <w:rPr>
          <w:rFonts w:hint="eastAsia" w:cs="宋体" w:asciiTheme="minorEastAsia" w:hAnsiTheme="minorEastAsia" w:eastAsiaTheme="minorEastAsia"/>
          <w:bCs/>
          <w:color w:val="auto"/>
          <w:sz w:val="24"/>
          <w:highlight w:val="none"/>
          <w:u w:val="none"/>
        </w:rPr>
        <w:t>医疗器械生产许可证或医疗器械经营许可证复印件</w:t>
      </w:r>
      <w:r>
        <w:rPr>
          <w:rFonts w:hint="eastAsia" w:cs="宋体" w:asciiTheme="minorEastAsia" w:hAnsiTheme="minorEastAsia" w:eastAsiaTheme="minorEastAsia"/>
          <w:color w:val="auto"/>
          <w:sz w:val="24"/>
          <w:highlight w:val="none"/>
          <w:u w:val="none"/>
        </w:rPr>
        <w:t>；</w:t>
      </w:r>
    </w:p>
    <w:p>
      <w:pPr>
        <w:tabs>
          <w:tab w:val="left" w:pos="1305"/>
        </w:tabs>
        <w:rPr>
          <w:rFonts w:cs="宋体" w:asciiTheme="minorEastAsia" w:hAnsiTheme="minorEastAsia" w:eastAsiaTheme="minorEastAsia"/>
          <w:color w:val="auto"/>
          <w:sz w:val="24"/>
          <w:highlight w:val="none"/>
          <w:u w:val="none"/>
        </w:rPr>
      </w:pPr>
    </w:p>
    <w:p>
      <w:pPr>
        <w:tabs>
          <w:tab w:val="left" w:pos="1305"/>
        </w:tabs>
        <w:rPr>
          <w:rFonts w:cs="宋体" w:asciiTheme="minorEastAsia" w:hAnsiTheme="minorEastAsia" w:eastAsiaTheme="minorEastAsia"/>
          <w:color w:val="auto"/>
          <w:sz w:val="24"/>
          <w:highlight w:val="none"/>
          <w:u w:val="none"/>
        </w:rPr>
      </w:pPr>
    </w:p>
    <w:p>
      <w:pPr>
        <w:numPr>
          <w:ilvl w:val="0"/>
          <w:numId w:val="37"/>
        </w:numPr>
        <w:tabs>
          <w:tab w:val="left" w:pos="1305"/>
        </w:tabs>
        <w:rPr>
          <w:rFonts w:cs="宋体" w:asciiTheme="minorEastAsia" w:hAnsiTheme="minorEastAsia" w:eastAsiaTheme="minorEastAsia"/>
          <w:bCs/>
          <w:color w:val="auto"/>
          <w:sz w:val="24"/>
          <w:highlight w:val="none"/>
          <w:u w:val="none"/>
        </w:rPr>
      </w:pPr>
      <w:r>
        <w:rPr>
          <w:rFonts w:hint="eastAsia" w:cs="宋体" w:asciiTheme="minorEastAsia" w:hAnsiTheme="minorEastAsia" w:eastAsiaTheme="minorEastAsia"/>
          <w:bCs/>
          <w:color w:val="auto"/>
          <w:sz w:val="24"/>
          <w:highlight w:val="none"/>
          <w:u w:val="none"/>
        </w:rPr>
        <w:t>法定代表人身份证明书和法定代表人有效的身份证正反面复印件</w:t>
      </w:r>
    </w:p>
    <w:p>
      <w:pPr>
        <w:tabs>
          <w:tab w:val="left" w:pos="1305"/>
        </w:tabs>
        <w:rPr>
          <w:rFonts w:cs="宋体" w:asciiTheme="minorEastAsia" w:hAnsiTheme="minorEastAsia" w:eastAsiaTheme="minorEastAsia"/>
          <w:color w:val="auto"/>
          <w:sz w:val="24"/>
          <w:highlight w:val="none"/>
          <w:u w:val="none"/>
        </w:rPr>
      </w:pPr>
    </w:p>
    <w:p>
      <w:pPr>
        <w:pStyle w:val="8"/>
        <w:jc w:val="left"/>
        <w:outlineLvl w:val="0"/>
        <w:rPr>
          <w:rFonts w:asciiTheme="minorEastAsia" w:hAnsiTheme="minorEastAsia" w:eastAsiaTheme="minorEastAsia"/>
          <w:b/>
          <w:color w:val="auto"/>
          <w:szCs w:val="21"/>
          <w:highlight w:val="none"/>
          <w:u w:val="none"/>
        </w:rPr>
      </w:pPr>
      <w:r>
        <w:rPr>
          <w:rFonts w:hint="eastAsia" w:asciiTheme="minorEastAsia" w:hAnsiTheme="minorEastAsia" w:eastAsiaTheme="minorEastAsia"/>
          <w:b/>
          <w:color w:val="auto"/>
          <w:szCs w:val="21"/>
          <w:highlight w:val="none"/>
          <w:u w:val="none"/>
        </w:rPr>
        <w:t>附件三</w:t>
      </w:r>
    </w:p>
    <w:p>
      <w:pPr>
        <w:pStyle w:val="8"/>
        <w:spacing w:before="165" w:beforeLines="50" w:after="165" w:afterLines="50"/>
        <w:ind w:firstLine="2640" w:firstLineChars="1100"/>
        <w:rPr>
          <w:rFonts w:cs="宋体" w:asciiTheme="minorEastAsia" w:hAnsiTheme="minorEastAsia" w:eastAsiaTheme="minorEastAsia"/>
          <w:color w:val="auto"/>
          <w:highlight w:val="none"/>
          <w:u w:val="none"/>
        </w:rPr>
      </w:pPr>
      <w:r>
        <w:rPr>
          <w:rFonts w:hint="eastAsia" w:cs="宋体" w:asciiTheme="minorEastAsia" w:hAnsiTheme="minorEastAsia" w:eastAsiaTheme="minorEastAsia"/>
          <w:color w:val="auto"/>
          <w:sz w:val="24"/>
          <w:szCs w:val="24"/>
          <w:highlight w:val="none"/>
          <w:u w:val="none"/>
        </w:rPr>
        <w:t>3、</w:t>
      </w:r>
      <w:r>
        <w:rPr>
          <w:rFonts w:cs="宋体" w:asciiTheme="minorEastAsia" w:hAnsiTheme="minorEastAsia" w:eastAsiaTheme="minorEastAsia"/>
          <w:color w:val="auto"/>
          <w:sz w:val="24"/>
          <w:szCs w:val="24"/>
          <w:highlight w:val="none"/>
          <w:u w:val="none"/>
        </w:rPr>
        <w:t>法定代表人身份证明书（格式）</w:t>
      </w:r>
    </w:p>
    <w:p>
      <w:pPr>
        <w:ind w:left="540"/>
        <w:rPr>
          <w:rFonts w:cs="宋体" w:asciiTheme="minorEastAsia" w:hAnsiTheme="minorEastAsia" w:eastAsiaTheme="minorEastAsia"/>
          <w:color w:val="auto"/>
          <w:sz w:val="22"/>
          <w:szCs w:val="22"/>
          <w:highlight w:val="none"/>
          <w:u w:val="none"/>
        </w:rPr>
      </w:pPr>
      <w:r>
        <w:rPr>
          <w:rFonts w:hint="eastAsia" w:cs="宋体" w:asciiTheme="minorEastAsia" w:hAnsiTheme="minorEastAsia" w:eastAsiaTheme="minorEastAsia"/>
          <w:color w:val="auto"/>
          <w:sz w:val="22"/>
          <w:szCs w:val="22"/>
          <w:highlight w:val="none"/>
          <w:u w:val="none"/>
        </w:rPr>
        <w:t>投 标 人：</w:t>
      </w:r>
    </w:p>
    <w:p>
      <w:pPr>
        <w:ind w:left="540"/>
        <w:rPr>
          <w:rFonts w:cs="宋体" w:asciiTheme="minorEastAsia" w:hAnsiTheme="minorEastAsia" w:eastAsiaTheme="minorEastAsia"/>
          <w:color w:val="auto"/>
          <w:sz w:val="22"/>
          <w:szCs w:val="22"/>
          <w:highlight w:val="none"/>
          <w:u w:val="none"/>
        </w:rPr>
      </w:pPr>
      <w:r>
        <w:rPr>
          <w:rFonts w:hint="eastAsia" w:cs="宋体" w:asciiTheme="minorEastAsia" w:hAnsiTheme="minorEastAsia" w:eastAsiaTheme="minorEastAsia"/>
          <w:color w:val="auto"/>
          <w:sz w:val="22"/>
          <w:szCs w:val="22"/>
          <w:highlight w:val="none"/>
          <w:u w:val="none"/>
        </w:rPr>
        <w:t>单位性质：</w:t>
      </w:r>
    </w:p>
    <w:p>
      <w:pPr>
        <w:ind w:left="540"/>
        <w:rPr>
          <w:rFonts w:cs="宋体" w:asciiTheme="minorEastAsia" w:hAnsiTheme="minorEastAsia" w:eastAsiaTheme="minorEastAsia"/>
          <w:color w:val="auto"/>
          <w:sz w:val="22"/>
          <w:szCs w:val="22"/>
          <w:highlight w:val="none"/>
          <w:u w:val="none"/>
        </w:rPr>
      </w:pPr>
      <w:r>
        <w:rPr>
          <w:rFonts w:hint="eastAsia" w:cs="宋体" w:asciiTheme="minorEastAsia" w:hAnsiTheme="minorEastAsia" w:eastAsiaTheme="minorEastAsia"/>
          <w:color w:val="auto"/>
          <w:sz w:val="22"/>
          <w:szCs w:val="22"/>
          <w:highlight w:val="none"/>
          <w:u w:val="none"/>
        </w:rPr>
        <w:t>地    址：</w:t>
      </w:r>
    </w:p>
    <w:p>
      <w:pPr>
        <w:ind w:left="540"/>
        <w:rPr>
          <w:rFonts w:cs="宋体" w:asciiTheme="minorEastAsia" w:hAnsiTheme="minorEastAsia" w:eastAsiaTheme="minorEastAsia"/>
          <w:color w:val="auto"/>
          <w:sz w:val="22"/>
          <w:szCs w:val="22"/>
          <w:highlight w:val="none"/>
          <w:u w:val="none"/>
        </w:rPr>
      </w:pPr>
      <w:r>
        <w:rPr>
          <w:rFonts w:hint="eastAsia" w:cs="宋体" w:asciiTheme="minorEastAsia" w:hAnsiTheme="minorEastAsia" w:eastAsiaTheme="minorEastAsia"/>
          <w:color w:val="auto"/>
          <w:sz w:val="22"/>
          <w:szCs w:val="22"/>
          <w:highlight w:val="none"/>
          <w:u w:val="none"/>
        </w:rPr>
        <w:t>成立时间：年月日</w:t>
      </w:r>
    </w:p>
    <w:p>
      <w:pPr>
        <w:ind w:left="540"/>
        <w:rPr>
          <w:rFonts w:cs="宋体" w:asciiTheme="minorEastAsia" w:hAnsiTheme="minorEastAsia" w:eastAsiaTheme="minorEastAsia"/>
          <w:color w:val="auto"/>
          <w:sz w:val="22"/>
          <w:szCs w:val="22"/>
          <w:highlight w:val="none"/>
          <w:u w:val="none"/>
        </w:rPr>
      </w:pPr>
      <w:r>
        <w:rPr>
          <w:rFonts w:hint="eastAsia" w:cs="宋体" w:asciiTheme="minorEastAsia" w:hAnsiTheme="minorEastAsia" w:eastAsiaTheme="minorEastAsia"/>
          <w:color w:val="auto"/>
          <w:sz w:val="22"/>
          <w:szCs w:val="22"/>
          <w:highlight w:val="none"/>
          <w:u w:val="none"/>
        </w:rPr>
        <w:t>经营期限：</w:t>
      </w:r>
    </w:p>
    <w:p>
      <w:pPr>
        <w:ind w:left="540"/>
        <w:rPr>
          <w:rFonts w:cs="宋体" w:asciiTheme="minorEastAsia" w:hAnsiTheme="minorEastAsia" w:eastAsiaTheme="minorEastAsia"/>
          <w:color w:val="auto"/>
          <w:sz w:val="22"/>
          <w:szCs w:val="22"/>
          <w:highlight w:val="none"/>
          <w:u w:val="none"/>
        </w:rPr>
      </w:pPr>
      <w:r>
        <w:rPr>
          <w:rFonts w:hint="eastAsia" w:cs="宋体" w:asciiTheme="minorEastAsia" w:hAnsiTheme="minorEastAsia" w:eastAsiaTheme="minorEastAsia"/>
          <w:color w:val="auto"/>
          <w:sz w:val="22"/>
          <w:szCs w:val="22"/>
          <w:highlight w:val="none"/>
          <w:u w:val="none"/>
        </w:rPr>
        <w:t>姓    名：性      别：</w:t>
      </w:r>
    </w:p>
    <w:p>
      <w:pPr>
        <w:ind w:left="540"/>
        <w:rPr>
          <w:rFonts w:cs="宋体" w:asciiTheme="minorEastAsia" w:hAnsiTheme="minorEastAsia" w:eastAsiaTheme="minorEastAsia"/>
          <w:color w:val="auto"/>
          <w:sz w:val="22"/>
          <w:szCs w:val="22"/>
          <w:highlight w:val="none"/>
          <w:u w:val="none"/>
        </w:rPr>
      </w:pPr>
      <w:r>
        <w:rPr>
          <w:rFonts w:hint="eastAsia" w:cs="宋体" w:asciiTheme="minorEastAsia" w:hAnsiTheme="minorEastAsia" w:eastAsiaTheme="minorEastAsia"/>
          <w:color w:val="auto"/>
          <w:sz w:val="22"/>
          <w:szCs w:val="22"/>
          <w:highlight w:val="none"/>
          <w:u w:val="none"/>
        </w:rPr>
        <w:t>年    龄：职      务：</w:t>
      </w:r>
    </w:p>
    <w:p>
      <w:pPr>
        <w:ind w:left="540"/>
        <w:rPr>
          <w:rFonts w:cs="宋体" w:asciiTheme="minorEastAsia" w:hAnsiTheme="minorEastAsia" w:eastAsiaTheme="minorEastAsia"/>
          <w:color w:val="auto"/>
          <w:sz w:val="22"/>
          <w:szCs w:val="22"/>
          <w:highlight w:val="none"/>
          <w:u w:val="none"/>
        </w:rPr>
      </w:pPr>
      <w:r>
        <w:rPr>
          <w:rFonts w:hint="eastAsia" w:cs="宋体" w:asciiTheme="minorEastAsia" w:hAnsiTheme="minorEastAsia" w:eastAsiaTheme="minorEastAsia"/>
          <w:color w:val="auto"/>
          <w:sz w:val="22"/>
          <w:szCs w:val="22"/>
          <w:highlight w:val="none"/>
          <w:u w:val="none"/>
        </w:rPr>
        <w:t>身份证号码：</w:t>
      </w:r>
    </w:p>
    <w:p>
      <w:pPr>
        <w:ind w:left="540"/>
        <w:rPr>
          <w:rFonts w:cs="宋体" w:asciiTheme="minorEastAsia" w:hAnsiTheme="minorEastAsia" w:eastAsiaTheme="minorEastAsia"/>
          <w:color w:val="auto"/>
          <w:sz w:val="22"/>
          <w:szCs w:val="22"/>
          <w:highlight w:val="none"/>
          <w:u w:val="none"/>
        </w:rPr>
      </w:pPr>
      <w:r>
        <w:rPr>
          <w:rFonts w:hint="eastAsia" w:cs="宋体" w:asciiTheme="minorEastAsia" w:hAnsiTheme="minorEastAsia" w:eastAsiaTheme="minorEastAsia"/>
          <w:color w:val="auto"/>
          <w:sz w:val="22"/>
          <w:szCs w:val="22"/>
          <w:highlight w:val="none"/>
          <w:u w:val="none"/>
        </w:rPr>
        <w:t>系（投标人名称）的法定代表人。</w:t>
      </w:r>
    </w:p>
    <w:p>
      <w:pPr>
        <w:ind w:left="540"/>
        <w:rPr>
          <w:rFonts w:cs="宋体" w:asciiTheme="minorEastAsia" w:hAnsiTheme="minorEastAsia" w:eastAsiaTheme="minorEastAsia"/>
          <w:color w:val="auto"/>
          <w:sz w:val="22"/>
          <w:szCs w:val="22"/>
          <w:highlight w:val="none"/>
          <w:u w:val="none"/>
        </w:rPr>
      </w:pPr>
      <w:r>
        <w:rPr>
          <w:rFonts w:hint="eastAsia" w:cs="宋体" w:asciiTheme="minorEastAsia" w:hAnsiTheme="minorEastAsia" w:eastAsiaTheme="minorEastAsia"/>
          <w:color w:val="auto"/>
          <w:sz w:val="22"/>
          <w:szCs w:val="22"/>
          <w:highlight w:val="none"/>
          <w:u w:val="none"/>
        </w:rPr>
        <w:t>特此证明。</w:t>
      </w:r>
    </w:p>
    <w:p>
      <w:pPr>
        <w:ind w:left="540"/>
        <w:rPr>
          <w:rFonts w:cs="宋体" w:asciiTheme="minorEastAsia" w:hAnsiTheme="minorEastAsia" w:eastAsiaTheme="minorEastAsia"/>
          <w:color w:val="auto"/>
          <w:sz w:val="22"/>
          <w:szCs w:val="22"/>
          <w:highlight w:val="none"/>
          <w:u w:val="none"/>
        </w:rPr>
      </w:pPr>
    </w:p>
    <w:p>
      <w:pPr>
        <w:ind w:left="540"/>
        <w:rPr>
          <w:rFonts w:cs="宋体" w:asciiTheme="minorEastAsia" w:hAnsiTheme="minorEastAsia" w:eastAsiaTheme="minorEastAsia"/>
          <w:b/>
          <w:bCs/>
          <w:color w:val="auto"/>
          <w:sz w:val="22"/>
          <w:szCs w:val="22"/>
          <w:highlight w:val="none"/>
          <w:u w:val="none"/>
        </w:rPr>
      </w:pPr>
      <w:r>
        <w:rPr>
          <w:rFonts w:hint="eastAsia" w:cs="宋体" w:asciiTheme="minorEastAsia" w:hAnsiTheme="minorEastAsia" w:eastAsiaTheme="minorEastAsia"/>
          <w:b/>
          <w:bCs/>
          <w:color w:val="auto"/>
          <w:sz w:val="22"/>
          <w:szCs w:val="22"/>
          <w:highlight w:val="none"/>
          <w:u w:val="none"/>
        </w:rPr>
        <w:t>附：法定代表人完整有效身份证正反面复印件</w:t>
      </w:r>
    </w:p>
    <w:p>
      <w:pPr>
        <w:ind w:left="540"/>
        <w:rPr>
          <w:rFonts w:cs="宋体" w:asciiTheme="minorEastAsia" w:hAnsiTheme="minorEastAsia" w:eastAsiaTheme="minorEastAsia"/>
          <w:color w:val="auto"/>
          <w:sz w:val="22"/>
          <w:szCs w:val="22"/>
          <w:highlight w:val="none"/>
          <w:u w:val="none"/>
        </w:rPr>
      </w:pPr>
    </w:p>
    <w:p>
      <w:pPr>
        <w:wordWrap w:val="0"/>
        <w:ind w:left="540"/>
        <w:jc w:val="center"/>
        <w:rPr>
          <w:rFonts w:cs="宋体" w:asciiTheme="minorEastAsia" w:hAnsiTheme="minorEastAsia" w:eastAsiaTheme="minorEastAsia"/>
          <w:color w:val="auto"/>
          <w:sz w:val="22"/>
          <w:szCs w:val="22"/>
          <w:highlight w:val="none"/>
          <w:u w:val="none"/>
        </w:rPr>
      </w:pPr>
      <w:r>
        <w:rPr>
          <w:rFonts w:hint="eastAsia" w:cs="宋体" w:asciiTheme="minorEastAsia" w:hAnsiTheme="minorEastAsia" w:eastAsiaTheme="minorEastAsia"/>
          <w:color w:val="auto"/>
          <w:sz w:val="22"/>
          <w:szCs w:val="22"/>
          <w:highlight w:val="none"/>
          <w:u w:val="none"/>
        </w:rPr>
        <w:t>投标人（单位公章）：</w:t>
      </w:r>
    </w:p>
    <w:p>
      <w:pPr>
        <w:ind w:left="540"/>
        <w:jc w:val="right"/>
        <w:rPr>
          <w:rFonts w:cs="宋体" w:asciiTheme="minorEastAsia" w:hAnsiTheme="minorEastAsia" w:eastAsiaTheme="minorEastAsia"/>
          <w:color w:val="auto"/>
          <w:sz w:val="22"/>
          <w:szCs w:val="22"/>
          <w:highlight w:val="none"/>
          <w:u w:val="none"/>
        </w:rPr>
      </w:pPr>
    </w:p>
    <w:p>
      <w:pPr>
        <w:pStyle w:val="8"/>
        <w:ind w:firstLine="440"/>
        <w:jc w:val="center"/>
        <w:rPr>
          <w:rFonts w:cs="宋体" w:asciiTheme="minorEastAsia" w:hAnsiTheme="minorEastAsia" w:eastAsiaTheme="minorEastAsia"/>
          <w:b/>
          <w:color w:val="auto"/>
          <w:sz w:val="22"/>
          <w:szCs w:val="22"/>
          <w:highlight w:val="none"/>
          <w:u w:val="none"/>
        </w:rPr>
      </w:pPr>
      <w:r>
        <w:rPr>
          <w:rFonts w:hint="eastAsia" w:cs="宋体" w:asciiTheme="minorEastAsia" w:hAnsiTheme="minorEastAsia" w:eastAsiaTheme="minorEastAsia"/>
          <w:color w:val="auto"/>
          <w:sz w:val="22"/>
          <w:szCs w:val="22"/>
          <w:highlight w:val="none"/>
          <w:u w:val="none"/>
        </w:rPr>
        <w:t xml:space="preserve">                          </w:t>
      </w:r>
      <w:r>
        <w:rPr>
          <w:rFonts w:cs="宋体" w:asciiTheme="minorEastAsia" w:hAnsiTheme="minorEastAsia" w:eastAsiaTheme="minorEastAsia"/>
          <w:color w:val="auto"/>
          <w:sz w:val="22"/>
          <w:szCs w:val="22"/>
          <w:highlight w:val="none"/>
          <w:u w:val="none"/>
        </w:rPr>
        <w:t>年</w:t>
      </w:r>
      <w:r>
        <w:rPr>
          <w:rFonts w:hint="eastAsia" w:cs="宋体" w:asciiTheme="minorEastAsia" w:hAnsiTheme="minorEastAsia" w:eastAsiaTheme="minorEastAsia"/>
          <w:color w:val="auto"/>
          <w:sz w:val="22"/>
          <w:szCs w:val="22"/>
          <w:highlight w:val="none"/>
          <w:u w:val="none"/>
        </w:rPr>
        <w:t xml:space="preserve">    </w:t>
      </w:r>
      <w:r>
        <w:rPr>
          <w:rFonts w:cs="宋体" w:asciiTheme="minorEastAsia" w:hAnsiTheme="minorEastAsia" w:eastAsiaTheme="minorEastAsia"/>
          <w:color w:val="auto"/>
          <w:sz w:val="22"/>
          <w:szCs w:val="22"/>
          <w:highlight w:val="none"/>
          <w:u w:val="none"/>
        </w:rPr>
        <w:t>月</w:t>
      </w:r>
      <w:r>
        <w:rPr>
          <w:rFonts w:hint="eastAsia" w:cs="宋体" w:asciiTheme="minorEastAsia" w:hAnsiTheme="minorEastAsia" w:eastAsiaTheme="minorEastAsia"/>
          <w:color w:val="auto"/>
          <w:sz w:val="22"/>
          <w:szCs w:val="22"/>
          <w:highlight w:val="none"/>
          <w:u w:val="none"/>
        </w:rPr>
        <w:t xml:space="preserve">    </w:t>
      </w:r>
      <w:r>
        <w:rPr>
          <w:rFonts w:cs="宋体" w:asciiTheme="minorEastAsia" w:hAnsiTheme="minorEastAsia" w:eastAsiaTheme="minorEastAsia"/>
          <w:color w:val="auto"/>
          <w:sz w:val="22"/>
          <w:szCs w:val="22"/>
          <w:highlight w:val="none"/>
          <w:u w:val="none"/>
        </w:rPr>
        <w:t>日</w:t>
      </w:r>
    </w:p>
    <w:p>
      <w:pPr>
        <w:pStyle w:val="8"/>
        <w:jc w:val="center"/>
        <w:outlineLvl w:val="0"/>
        <w:rPr>
          <w:rFonts w:asciiTheme="minorEastAsia" w:hAnsiTheme="minorEastAsia" w:eastAsiaTheme="minorEastAsia"/>
          <w:b/>
          <w:color w:val="auto"/>
          <w:szCs w:val="21"/>
          <w:highlight w:val="none"/>
          <w:u w:val="none"/>
        </w:rPr>
      </w:pP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pStyle w:val="8"/>
        <w:jc w:val="left"/>
        <w:outlineLvl w:val="0"/>
        <w:rPr>
          <w:rFonts w:asciiTheme="minorEastAsia" w:hAnsiTheme="minorEastAsia" w:eastAsiaTheme="minorEastAsia"/>
          <w:b/>
          <w:color w:val="auto"/>
          <w:szCs w:val="21"/>
          <w:highlight w:val="none"/>
          <w:u w:val="none"/>
        </w:rPr>
      </w:pPr>
    </w:p>
    <w:p>
      <w:pPr>
        <w:tabs>
          <w:tab w:val="left" w:pos="1305"/>
        </w:tabs>
        <w:rPr>
          <w:rFonts w:cs="宋体" w:asciiTheme="minorEastAsia" w:hAnsiTheme="minorEastAsia" w:eastAsiaTheme="minorEastAsia"/>
          <w:color w:val="auto"/>
          <w:sz w:val="24"/>
          <w:highlight w:val="none"/>
          <w:u w:val="none"/>
        </w:rPr>
      </w:pPr>
    </w:p>
    <w:p>
      <w:pPr>
        <w:tabs>
          <w:tab w:val="left" w:pos="1305"/>
        </w:tabs>
        <w:rPr>
          <w:rFonts w:cs="宋体" w:asciiTheme="minorEastAsia" w:hAnsiTheme="minorEastAsia" w:eastAsiaTheme="minorEastAsia"/>
          <w:color w:val="auto"/>
          <w:sz w:val="24"/>
          <w:highlight w:val="none"/>
          <w:u w:val="none"/>
        </w:rPr>
      </w:pPr>
    </w:p>
    <w:p>
      <w:pPr>
        <w:numPr>
          <w:ilvl w:val="0"/>
          <w:numId w:val="37"/>
        </w:numPr>
        <w:tabs>
          <w:tab w:val="left" w:pos="1305"/>
        </w:tabs>
        <w:rPr>
          <w:rFonts w:cs="宋体" w:asciiTheme="minorEastAsia" w:hAnsiTheme="minorEastAsia" w:eastAsiaTheme="minorEastAsia"/>
          <w:color w:val="auto"/>
          <w:sz w:val="24"/>
          <w:highlight w:val="none"/>
          <w:u w:val="none"/>
        </w:rPr>
      </w:pPr>
      <w:r>
        <w:rPr>
          <w:rFonts w:hint="eastAsia" w:cs="宋体" w:asciiTheme="minorEastAsia" w:hAnsiTheme="minorEastAsia" w:eastAsiaTheme="minorEastAsia"/>
          <w:color w:val="auto"/>
          <w:sz w:val="24"/>
          <w:highlight w:val="none"/>
          <w:u w:val="none"/>
        </w:rPr>
        <w:t>法定代表人授权委托书原件和委托代理人完整有效身份证复印件</w:t>
      </w: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pStyle w:val="8"/>
        <w:jc w:val="left"/>
        <w:outlineLvl w:val="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附件四</w:t>
      </w:r>
    </w:p>
    <w:p>
      <w:pPr>
        <w:pStyle w:val="8"/>
        <w:outlineLvl w:val="0"/>
        <w:rPr>
          <w:rFonts w:asciiTheme="minorEastAsia" w:hAnsiTheme="minorEastAsia" w:eastAsiaTheme="minorEastAsia"/>
          <w:b/>
          <w:color w:val="auto"/>
          <w:spacing w:val="6"/>
          <w:sz w:val="28"/>
          <w:szCs w:val="28"/>
          <w:highlight w:val="none"/>
          <w:u w:val="none"/>
        </w:rPr>
      </w:pPr>
    </w:p>
    <w:p>
      <w:pPr>
        <w:pStyle w:val="8"/>
        <w:ind w:firstLine="420"/>
        <w:jc w:val="center"/>
        <w:outlineLvl w:val="0"/>
        <w:rPr>
          <w:rFonts w:asciiTheme="minorEastAsia" w:hAnsiTheme="minorEastAsia" w:eastAsiaTheme="minorEastAsia"/>
          <w:b/>
          <w:color w:val="auto"/>
          <w:spacing w:val="6"/>
          <w:sz w:val="28"/>
          <w:szCs w:val="28"/>
          <w:highlight w:val="none"/>
          <w:u w:val="none"/>
        </w:rPr>
      </w:pPr>
      <w:r>
        <w:rPr>
          <w:rFonts w:hint="eastAsia" w:asciiTheme="minorEastAsia" w:hAnsiTheme="minorEastAsia" w:eastAsiaTheme="minorEastAsia"/>
          <w:b/>
          <w:color w:val="auto"/>
          <w:spacing w:val="6"/>
          <w:sz w:val="28"/>
          <w:szCs w:val="28"/>
          <w:highlight w:val="none"/>
          <w:u w:val="none"/>
        </w:rPr>
        <w:t>4、法定代表人授权书（格式）</w:t>
      </w:r>
    </w:p>
    <w:p>
      <w:pPr>
        <w:adjustRightInd w:val="0"/>
        <w:snapToGrid w:val="0"/>
        <w:rPr>
          <w:rFonts w:asciiTheme="minorEastAsia" w:hAnsiTheme="minorEastAsia" w:eastAsiaTheme="minorEastAsia"/>
          <w:color w:val="auto"/>
          <w:szCs w:val="21"/>
          <w:highlight w:val="none"/>
          <w:u w:val="none"/>
        </w:rPr>
      </w:pPr>
    </w:p>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中鼎誉润工程咨询有限公司：</w:t>
      </w:r>
    </w:p>
    <w:p>
      <w:pPr>
        <w:ind w:firstLine="420" w:firstLineChars="20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兹授权同志为我公司参加贵单位组织的（项目名称、项目编号）公开招标采购活动的投标代表人，全权代表我公司处理在该项目活动中的一切事宜。</w:t>
      </w:r>
    </w:p>
    <w:p>
      <w:pPr>
        <w:ind w:firstLine="420" w:firstLineChars="20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代理期限从年月日起至年月日止。</w:t>
      </w:r>
    </w:p>
    <w:p>
      <w:pPr>
        <w:rPr>
          <w:rFonts w:asciiTheme="minorEastAsia" w:hAnsiTheme="minorEastAsia" w:eastAsiaTheme="minorEastAsia"/>
          <w:color w:val="auto"/>
          <w:szCs w:val="21"/>
          <w:highlight w:val="none"/>
          <w:u w:val="none"/>
        </w:rPr>
      </w:pPr>
    </w:p>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授权单位（签章）：</w:t>
      </w:r>
    </w:p>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法定代表人（签字或盖章）：</w:t>
      </w:r>
    </w:p>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被授权代表（签字）：</w:t>
      </w:r>
    </w:p>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签发日期：年月日</w:t>
      </w:r>
    </w:p>
    <w:p>
      <w:pPr>
        <w:rPr>
          <w:rFonts w:asciiTheme="minorEastAsia" w:hAnsiTheme="minorEastAsia" w:eastAsiaTheme="minorEastAsia"/>
          <w:color w:val="auto"/>
          <w:szCs w:val="21"/>
          <w:highlight w:val="none"/>
          <w:u w:val="none"/>
        </w:rPr>
      </w:pPr>
    </w:p>
    <w:p>
      <w:pPr>
        <w:ind w:firstLine="420" w:firstLineChars="20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附：代理人工作单位：</w:t>
      </w:r>
    </w:p>
    <w:p>
      <w:pPr>
        <w:ind w:firstLine="420" w:firstLineChars="20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职务：      性别：</w:t>
      </w:r>
    </w:p>
    <w:p>
      <w:pPr>
        <w:adjustRightInd w:val="0"/>
        <w:snapToGrid w:val="0"/>
        <w:ind w:firstLine="420" w:firstLineChars="20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身份证号码：</w:t>
      </w:r>
    </w:p>
    <w:p>
      <w:pPr>
        <w:adjustRightInd w:val="0"/>
        <w:snapToGrid w:val="0"/>
        <w:ind w:firstLine="420" w:firstLineChars="200"/>
        <w:rPr>
          <w:rFonts w:asciiTheme="minorEastAsia" w:hAnsiTheme="minorEastAsia" w:eastAsiaTheme="minorEastAsia"/>
          <w:color w:val="auto"/>
          <w:szCs w:val="21"/>
          <w:highlight w:val="none"/>
          <w:u w:val="none"/>
        </w:rPr>
      </w:pPr>
    </w:p>
    <w:tbl>
      <w:tblPr>
        <w:tblStyle w:val="18"/>
        <w:tblW w:w="9405"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7" w:hRule="atLeast"/>
        </w:trPr>
        <w:tc>
          <w:tcPr>
            <w:tcW w:w="9405" w:type="dxa"/>
          </w:tcPr>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粘贴被授权人身份证（正、反两面复印件）</w:t>
            </w:r>
          </w:p>
        </w:tc>
      </w:tr>
    </w:tbl>
    <w:p>
      <w:pPr>
        <w:autoSpaceDE w:val="0"/>
        <w:autoSpaceDN w:val="0"/>
        <w:ind w:left="480" w:hanging="480"/>
        <w:rPr>
          <w:rFonts w:asciiTheme="minorEastAsia" w:hAnsiTheme="minorEastAsia" w:eastAsiaTheme="minorEastAsia"/>
          <w:color w:val="auto"/>
          <w:szCs w:val="21"/>
          <w:highlight w:val="none"/>
          <w:u w:val="none"/>
        </w:rPr>
      </w:pPr>
    </w:p>
    <w:p>
      <w:pPr>
        <w:pStyle w:val="8"/>
        <w:rPr>
          <w:rFonts w:asciiTheme="minorEastAsia" w:hAnsiTheme="minorEastAsia" w:eastAsiaTheme="minorEastAsia"/>
          <w:color w:val="auto"/>
          <w:highlight w:val="none"/>
          <w:u w:val="none"/>
        </w:rPr>
      </w:pPr>
    </w:p>
    <w:p>
      <w:pPr>
        <w:pStyle w:val="8"/>
        <w:rPr>
          <w:rFonts w:asciiTheme="minorEastAsia" w:hAnsiTheme="minorEastAsia" w:eastAsiaTheme="minorEastAsia"/>
          <w:color w:val="auto"/>
          <w:highlight w:val="none"/>
          <w:u w:val="none"/>
        </w:rPr>
      </w:pPr>
    </w:p>
    <w:p>
      <w:pPr>
        <w:pStyle w:val="8"/>
        <w:rPr>
          <w:rFonts w:asciiTheme="minorEastAsia" w:hAnsiTheme="minorEastAsia" w:eastAsiaTheme="minorEastAsia"/>
          <w:color w:val="auto"/>
          <w:highlight w:val="none"/>
          <w:u w:val="none"/>
        </w:rPr>
      </w:pP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pStyle w:val="11"/>
        <w:rPr>
          <w:rFonts w:asciiTheme="minorEastAsia" w:hAnsiTheme="minorEastAsia" w:eastAsiaTheme="minorEastAsia"/>
          <w:b/>
          <w:color w:val="auto"/>
          <w:sz w:val="30"/>
          <w:szCs w:val="30"/>
          <w:highlight w:val="none"/>
          <w:u w:val="none"/>
        </w:rPr>
      </w:pPr>
    </w:p>
    <w:p>
      <w:pPr>
        <w:tabs>
          <w:tab w:val="left" w:pos="1305"/>
        </w:tabs>
        <w:ind w:left="420" w:leftChars="200"/>
        <w:rPr>
          <w:rFonts w:cs="宋体" w:asciiTheme="minorEastAsia" w:hAnsiTheme="minorEastAsia" w:eastAsiaTheme="minorEastAsia"/>
          <w:color w:val="auto"/>
          <w:sz w:val="24"/>
          <w:highlight w:val="none"/>
          <w:u w:val="none"/>
        </w:rPr>
      </w:pPr>
    </w:p>
    <w:p>
      <w:pPr>
        <w:numPr>
          <w:ilvl w:val="0"/>
          <w:numId w:val="37"/>
        </w:numPr>
        <w:tabs>
          <w:tab w:val="left" w:pos="1305"/>
        </w:tabs>
        <w:rPr>
          <w:rFonts w:cs="宋体" w:asciiTheme="minorEastAsia" w:hAnsiTheme="minorEastAsia" w:eastAsiaTheme="minorEastAsia"/>
          <w:b/>
          <w:color w:val="auto"/>
          <w:sz w:val="24"/>
          <w:highlight w:val="none"/>
          <w:u w:val="none"/>
        </w:rPr>
      </w:pPr>
      <w:r>
        <w:rPr>
          <w:rFonts w:hint="eastAsia" w:cs="宋体" w:asciiTheme="minorEastAsia" w:hAnsiTheme="minorEastAsia" w:eastAsiaTheme="minorEastAsia"/>
          <w:color w:val="auto"/>
          <w:sz w:val="24"/>
          <w:highlight w:val="none"/>
          <w:u w:val="none"/>
        </w:rPr>
        <w:t>投标人参加政府采购活动前3年内在经营活动中没有重大违法记录及有关信用信息的书面声明；</w:t>
      </w:r>
    </w:p>
    <w:p>
      <w:pPr>
        <w:rPr>
          <w:rFonts w:asciiTheme="minorEastAsia" w:hAnsiTheme="minorEastAsia" w:eastAsiaTheme="minorEastAsia"/>
          <w:color w:val="auto"/>
          <w:highlight w:val="none"/>
          <w:u w:val="none"/>
        </w:rPr>
      </w:pPr>
      <w:r>
        <w:rPr>
          <w:rFonts w:hint="eastAsia" w:asciiTheme="minorEastAsia" w:hAnsiTheme="minorEastAsia" w:eastAsiaTheme="minorEastAsia"/>
          <w:b/>
          <w:color w:val="auto"/>
          <w:szCs w:val="21"/>
          <w:highlight w:val="none"/>
          <w:u w:val="none"/>
        </w:rPr>
        <w:t>附件五</w:t>
      </w:r>
    </w:p>
    <w:p>
      <w:pPr>
        <w:pStyle w:val="8"/>
        <w:rPr>
          <w:rFonts w:asciiTheme="minorEastAsia" w:hAnsiTheme="minorEastAsia" w:eastAsiaTheme="minorEastAsia"/>
          <w:color w:val="auto"/>
          <w:highlight w:val="none"/>
          <w:u w:val="none"/>
        </w:rPr>
      </w:pPr>
    </w:p>
    <w:p>
      <w:pPr>
        <w:pStyle w:val="8"/>
        <w:ind w:firstLine="420"/>
        <w:jc w:val="center"/>
        <w:outlineLvl w:val="0"/>
        <w:rPr>
          <w:rFonts w:asciiTheme="minorEastAsia" w:hAnsiTheme="minorEastAsia" w:eastAsiaTheme="minorEastAsia"/>
          <w:b/>
          <w:color w:val="auto"/>
          <w:sz w:val="28"/>
          <w:szCs w:val="28"/>
          <w:highlight w:val="none"/>
          <w:u w:val="none"/>
        </w:rPr>
      </w:pPr>
      <w:r>
        <w:rPr>
          <w:rFonts w:hint="eastAsia" w:asciiTheme="minorEastAsia" w:hAnsiTheme="minorEastAsia" w:eastAsiaTheme="minorEastAsia"/>
          <w:b/>
          <w:color w:val="auto"/>
          <w:spacing w:val="6"/>
          <w:sz w:val="28"/>
          <w:szCs w:val="28"/>
          <w:highlight w:val="none"/>
          <w:u w:val="none"/>
        </w:rPr>
        <w:t>5、</w:t>
      </w:r>
      <w:r>
        <w:rPr>
          <w:rFonts w:asciiTheme="minorEastAsia" w:hAnsiTheme="minorEastAsia" w:eastAsiaTheme="minorEastAsia"/>
          <w:b/>
          <w:color w:val="auto"/>
          <w:spacing w:val="6"/>
          <w:sz w:val="28"/>
          <w:szCs w:val="28"/>
          <w:highlight w:val="none"/>
          <w:u w:val="none"/>
        </w:rPr>
        <w:t>无重大违法记录声明</w:t>
      </w:r>
    </w:p>
    <w:p>
      <w:pPr>
        <w:rPr>
          <w:rFonts w:asciiTheme="minorEastAsia" w:hAnsiTheme="minorEastAsia" w:eastAsiaTheme="minorEastAsia"/>
          <w:color w:val="auto"/>
          <w:highlight w:val="none"/>
          <w:u w:val="none"/>
        </w:rPr>
      </w:pPr>
    </w:p>
    <w:p>
      <w:pPr>
        <w:rPr>
          <w:rFonts w:asciiTheme="minorEastAsia" w:hAnsiTheme="minorEastAsia" w:eastAsiaTheme="minorEastAsia"/>
          <w:color w:val="auto"/>
          <w:szCs w:val="21"/>
          <w:highlight w:val="none"/>
          <w:u w:val="none"/>
        </w:rPr>
      </w:pPr>
      <w:r>
        <w:rPr>
          <w:rFonts w:asciiTheme="minorEastAsia" w:hAnsiTheme="minorEastAsia" w:eastAsiaTheme="minorEastAsia"/>
          <w:color w:val="auto"/>
          <w:szCs w:val="21"/>
          <w:highlight w:val="none"/>
          <w:u w:val="none"/>
        </w:rPr>
        <w:t>致：</w:t>
      </w:r>
      <w:r>
        <w:rPr>
          <w:rFonts w:hint="eastAsia" w:asciiTheme="minorEastAsia" w:hAnsiTheme="minorEastAsia" w:eastAsiaTheme="minorEastAsia"/>
          <w:color w:val="auto"/>
          <w:szCs w:val="21"/>
          <w:highlight w:val="none"/>
          <w:u w:val="none"/>
        </w:rPr>
        <w:t>（采购人或采购代理机构）</w:t>
      </w:r>
      <w:r>
        <w:rPr>
          <w:rFonts w:asciiTheme="minorEastAsia" w:hAnsiTheme="minorEastAsia" w:eastAsiaTheme="minorEastAsia"/>
          <w:color w:val="auto"/>
          <w:szCs w:val="21"/>
          <w:highlight w:val="none"/>
          <w:u w:val="none"/>
        </w:rPr>
        <w:t>   </w:t>
      </w:r>
    </w:p>
    <w:p>
      <w:pPr>
        <w:rPr>
          <w:rFonts w:asciiTheme="minorEastAsia" w:hAnsiTheme="minorEastAsia" w:eastAsiaTheme="minorEastAsia"/>
          <w:color w:val="auto"/>
          <w:szCs w:val="21"/>
          <w:highlight w:val="none"/>
          <w:u w:val="none"/>
        </w:rPr>
      </w:pPr>
    </w:p>
    <w:p>
      <w:pPr>
        <w:ind w:firstLine="420" w:firstLineChars="200"/>
        <w:rPr>
          <w:rFonts w:asciiTheme="minorEastAsia" w:hAnsiTheme="minorEastAsia" w:eastAsiaTheme="minorEastAsia"/>
          <w:color w:val="auto"/>
          <w:szCs w:val="21"/>
          <w:highlight w:val="none"/>
          <w:u w:val="none"/>
        </w:rPr>
      </w:pPr>
      <w:r>
        <w:rPr>
          <w:rFonts w:asciiTheme="minorEastAsia" w:hAnsiTheme="minorEastAsia" w:eastAsiaTheme="minorEastAsia"/>
          <w:color w:val="auto"/>
          <w:szCs w:val="21"/>
          <w:highlight w:val="none"/>
          <w:u w:val="none"/>
        </w:rPr>
        <w:t>我方在参加由你</w:t>
      </w:r>
      <w:r>
        <w:rPr>
          <w:rFonts w:hint="eastAsia" w:asciiTheme="minorEastAsia" w:hAnsiTheme="minorEastAsia" w:eastAsiaTheme="minorEastAsia"/>
          <w:color w:val="auto"/>
          <w:szCs w:val="21"/>
          <w:highlight w:val="none"/>
          <w:u w:val="none"/>
        </w:rPr>
        <w:t>单位</w:t>
      </w:r>
      <w:r>
        <w:rPr>
          <w:rFonts w:asciiTheme="minorEastAsia" w:hAnsiTheme="minorEastAsia" w:eastAsiaTheme="minorEastAsia"/>
          <w:color w:val="auto"/>
          <w:szCs w:val="21"/>
          <w:highlight w:val="none"/>
          <w:u w:val="none"/>
        </w:rPr>
        <w:t>代理机构组织的                         （项目名称及编号）项目，我方在此郑重声明，我方在参加本项目的政府采购活动前三年内，在经营活动中没有重大违法记录，符合《中华人民共和国政府采购法》及《中华人民共和国政府采购实施条例》等规定的供应商条件，我方对此声明负全部法律责任。</w:t>
      </w:r>
    </w:p>
    <w:p>
      <w:pPr>
        <w:ind w:firstLine="420" w:firstLineChars="200"/>
        <w:rPr>
          <w:rFonts w:asciiTheme="minorEastAsia" w:hAnsiTheme="minorEastAsia" w:eastAsiaTheme="minorEastAsia"/>
          <w:color w:val="auto"/>
          <w:szCs w:val="21"/>
          <w:highlight w:val="none"/>
          <w:u w:val="none"/>
        </w:rPr>
      </w:pPr>
      <w:r>
        <w:rPr>
          <w:rFonts w:asciiTheme="minorEastAsia" w:hAnsiTheme="minorEastAsia" w:eastAsiaTheme="minorEastAsia"/>
          <w:color w:val="auto"/>
          <w:szCs w:val="21"/>
          <w:highlight w:val="none"/>
          <w:u w:val="none"/>
        </w:rPr>
        <w:br w:type="textWrapping"/>
      </w:r>
    </w:p>
    <w:p>
      <w:pPr>
        <w:ind w:right="560"/>
        <w:jc w:val="center"/>
        <w:rPr>
          <w:rFonts w:asciiTheme="minorEastAsia" w:hAnsiTheme="minorEastAsia" w:eastAsiaTheme="minorEastAsia"/>
          <w:color w:val="auto"/>
          <w:szCs w:val="21"/>
          <w:highlight w:val="none"/>
          <w:u w:val="none"/>
        </w:rPr>
      </w:pPr>
      <w:r>
        <w:rPr>
          <w:rFonts w:asciiTheme="minorEastAsia" w:hAnsiTheme="minorEastAsia" w:eastAsiaTheme="minorEastAsia"/>
          <w:color w:val="auto"/>
          <w:szCs w:val="21"/>
          <w:highlight w:val="none"/>
          <w:u w:val="none"/>
        </w:rPr>
        <w:t xml:space="preserve">            法定代表人或被授权人签字：</w:t>
      </w:r>
    </w:p>
    <w:p>
      <w:pPr>
        <w:ind w:right="60"/>
        <w:jc w:val="center"/>
        <w:rPr>
          <w:rFonts w:asciiTheme="minorEastAsia" w:hAnsiTheme="minorEastAsia" w:eastAsiaTheme="minorEastAsia"/>
          <w:color w:val="auto"/>
          <w:szCs w:val="21"/>
          <w:highlight w:val="none"/>
          <w:u w:val="none"/>
        </w:rPr>
      </w:pPr>
    </w:p>
    <w:p>
      <w:pPr>
        <w:ind w:right="60"/>
        <w:jc w:val="cente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投标供应商</w:t>
      </w:r>
      <w:r>
        <w:rPr>
          <w:rFonts w:asciiTheme="minorEastAsia" w:hAnsiTheme="minorEastAsia" w:eastAsiaTheme="minorEastAsia"/>
          <w:color w:val="auto"/>
          <w:szCs w:val="21"/>
          <w:highlight w:val="none"/>
          <w:u w:val="none"/>
        </w:rPr>
        <w:t>公章：</w:t>
      </w:r>
    </w:p>
    <w:p>
      <w:pPr>
        <w:ind w:right="420"/>
        <w:jc w:val="right"/>
        <w:rPr>
          <w:rFonts w:asciiTheme="minorEastAsia" w:hAnsiTheme="minorEastAsia" w:eastAsiaTheme="minorEastAsia"/>
          <w:color w:val="auto"/>
          <w:szCs w:val="21"/>
          <w:highlight w:val="none"/>
          <w:u w:val="none"/>
        </w:rPr>
      </w:pPr>
      <w:r>
        <w:rPr>
          <w:rFonts w:asciiTheme="minorEastAsia" w:hAnsiTheme="minorEastAsia" w:eastAsiaTheme="minorEastAsia"/>
          <w:color w:val="auto"/>
          <w:szCs w:val="21"/>
          <w:highlight w:val="none"/>
          <w:u w:val="none"/>
        </w:rPr>
        <w:t> </w:t>
      </w:r>
    </w:p>
    <w:p>
      <w:pPr>
        <w:ind w:right="420"/>
        <w:jc w:val="right"/>
        <w:rPr>
          <w:rFonts w:asciiTheme="minorEastAsia" w:hAnsiTheme="minorEastAsia" w:eastAsiaTheme="minorEastAsia"/>
          <w:color w:val="auto"/>
          <w:szCs w:val="21"/>
          <w:highlight w:val="none"/>
          <w:u w:val="none"/>
        </w:rPr>
      </w:pPr>
      <w:r>
        <w:rPr>
          <w:rFonts w:asciiTheme="minorEastAsia" w:hAnsiTheme="minorEastAsia" w:eastAsiaTheme="minorEastAsia"/>
          <w:color w:val="auto"/>
          <w:szCs w:val="21"/>
          <w:highlight w:val="none"/>
          <w:u w:val="none"/>
        </w:rPr>
        <w:t>日期:      年    月    日</w:t>
      </w:r>
    </w:p>
    <w:p>
      <w:pPr>
        <w:tabs>
          <w:tab w:val="left" w:pos="1305"/>
        </w:tabs>
        <w:ind w:left="420" w:leftChars="200"/>
        <w:rPr>
          <w:rFonts w:cs="宋体" w:asciiTheme="minorEastAsia" w:hAnsiTheme="minorEastAsia" w:eastAsiaTheme="minorEastAsia"/>
          <w:b/>
          <w:color w:val="auto"/>
          <w:sz w:val="24"/>
          <w:highlight w:val="none"/>
          <w:u w:val="none"/>
        </w:rPr>
      </w:pPr>
    </w:p>
    <w:p>
      <w:pPr>
        <w:tabs>
          <w:tab w:val="left" w:pos="1305"/>
        </w:tabs>
        <w:ind w:left="420" w:leftChars="200"/>
        <w:rPr>
          <w:rFonts w:cs="宋体" w:asciiTheme="minorEastAsia" w:hAnsiTheme="minorEastAsia" w:eastAsiaTheme="minorEastAsia"/>
          <w:b/>
          <w:color w:val="auto"/>
          <w:sz w:val="24"/>
          <w:highlight w:val="none"/>
          <w:u w:val="none"/>
        </w:rPr>
      </w:pPr>
    </w:p>
    <w:p>
      <w:pPr>
        <w:tabs>
          <w:tab w:val="left" w:pos="1305"/>
        </w:tabs>
        <w:ind w:left="420" w:leftChars="200"/>
        <w:rPr>
          <w:rFonts w:cs="宋体" w:asciiTheme="minorEastAsia" w:hAnsiTheme="minorEastAsia" w:eastAsiaTheme="minorEastAsia"/>
          <w:b/>
          <w:color w:val="auto"/>
          <w:sz w:val="24"/>
          <w:highlight w:val="none"/>
          <w:u w:val="none"/>
        </w:rPr>
      </w:pPr>
    </w:p>
    <w:p>
      <w:pPr>
        <w:tabs>
          <w:tab w:val="left" w:pos="1305"/>
        </w:tabs>
        <w:ind w:left="420" w:leftChars="200"/>
        <w:rPr>
          <w:rFonts w:cs="宋体" w:asciiTheme="minorEastAsia" w:hAnsiTheme="minorEastAsia" w:eastAsiaTheme="minorEastAsia"/>
          <w:b/>
          <w:color w:val="auto"/>
          <w:sz w:val="24"/>
          <w:highlight w:val="none"/>
          <w:u w:val="none"/>
        </w:rPr>
      </w:pPr>
    </w:p>
    <w:p>
      <w:pPr>
        <w:tabs>
          <w:tab w:val="left" w:pos="1305"/>
        </w:tabs>
        <w:ind w:left="420" w:leftChars="200"/>
        <w:rPr>
          <w:rFonts w:cs="宋体" w:asciiTheme="minorEastAsia" w:hAnsiTheme="minorEastAsia" w:eastAsiaTheme="minorEastAsia"/>
          <w:b/>
          <w:color w:val="auto"/>
          <w:sz w:val="24"/>
          <w:highlight w:val="none"/>
          <w:u w:val="none"/>
        </w:rPr>
      </w:pPr>
    </w:p>
    <w:p>
      <w:pPr>
        <w:pStyle w:val="11"/>
        <w:rPr>
          <w:rFonts w:cs="宋体" w:asciiTheme="minorEastAsia" w:hAnsiTheme="minorEastAsia" w:eastAsiaTheme="minorEastAsia"/>
          <w:b/>
          <w:color w:val="auto"/>
          <w:sz w:val="24"/>
          <w:highlight w:val="none"/>
          <w:u w:val="none"/>
        </w:rPr>
      </w:pPr>
    </w:p>
    <w:p>
      <w:pPr>
        <w:rPr>
          <w:rFonts w:cs="宋体" w:asciiTheme="minorEastAsia" w:hAnsiTheme="minorEastAsia" w:eastAsiaTheme="minorEastAsia"/>
          <w:b/>
          <w:color w:val="auto"/>
          <w:sz w:val="24"/>
          <w:highlight w:val="none"/>
          <w:u w:val="none"/>
        </w:rPr>
      </w:pPr>
    </w:p>
    <w:p>
      <w:pPr>
        <w:pStyle w:val="11"/>
        <w:rPr>
          <w:rFonts w:cs="宋体" w:asciiTheme="minorEastAsia" w:hAnsiTheme="minorEastAsia" w:eastAsiaTheme="minorEastAsia"/>
          <w:b/>
          <w:color w:val="auto"/>
          <w:sz w:val="24"/>
          <w:highlight w:val="none"/>
          <w:u w:val="none"/>
        </w:rPr>
      </w:pPr>
    </w:p>
    <w:p>
      <w:pPr>
        <w:rPr>
          <w:rFonts w:cs="宋体" w:asciiTheme="minorEastAsia" w:hAnsiTheme="minorEastAsia" w:eastAsiaTheme="minorEastAsia"/>
          <w:b/>
          <w:color w:val="auto"/>
          <w:sz w:val="24"/>
          <w:highlight w:val="none"/>
          <w:u w:val="none"/>
        </w:rPr>
      </w:pPr>
    </w:p>
    <w:p>
      <w:pPr>
        <w:pStyle w:val="11"/>
        <w:rPr>
          <w:rFonts w:cs="宋体" w:asciiTheme="minorEastAsia" w:hAnsiTheme="minorEastAsia" w:eastAsiaTheme="minorEastAsia"/>
          <w:b/>
          <w:color w:val="auto"/>
          <w:sz w:val="24"/>
          <w:highlight w:val="none"/>
          <w:u w:val="none"/>
        </w:rPr>
      </w:pPr>
    </w:p>
    <w:p>
      <w:pPr>
        <w:rPr>
          <w:rFonts w:cs="宋体" w:asciiTheme="minorEastAsia" w:hAnsiTheme="minorEastAsia" w:eastAsiaTheme="minorEastAsia"/>
          <w:b/>
          <w:color w:val="auto"/>
          <w:sz w:val="24"/>
          <w:highlight w:val="none"/>
          <w:u w:val="none"/>
        </w:rPr>
      </w:pPr>
    </w:p>
    <w:p>
      <w:pPr>
        <w:pStyle w:val="11"/>
        <w:rPr>
          <w:rFonts w:cs="宋体" w:asciiTheme="minorEastAsia" w:hAnsiTheme="minorEastAsia" w:eastAsiaTheme="minorEastAsia"/>
          <w:b/>
          <w:color w:val="auto"/>
          <w:sz w:val="24"/>
          <w:highlight w:val="none"/>
          <w:u w:val="none"/>
        </w:rPr>
      </w:pPr>
    </w:p>
    <w:p>
      <w:pPr>
        <w:rPr>
          <w:rFonts w:cs="宋体" w:asciiTheme="minorEastAsia" w:hAnsiTheme="minorEastAsia" w:eastAsiaTheme="minorEastAsia"/>
          <w:b/>
          <w:color w:val="auto"/>
          <w:sz w:val="24"/>
          <w:highlight w:val="none"/>
          <w:u w:val="none"/>
        </w:rPr>
      </w:pPr>
    </w:p>
    <w:p>
      <w:pPr>
        <w:pStyle w:val="11"/>
        <w:rPr>
          <w:rFonts w:cs="宋体" w:asciiTheme="minorEastAsia" w:hAnsiTheme="minorEastAsia" w:eastAsiaTheme="minorEastAsia"/>
          <w:b/>
          <w:color w:val="auto"/>
          <w:sz w:val="24"/>
          <w:highlight w:val="none"/>
          <w:u w:val="none"/>
        </w:rPr>
      </w:pPr>
    </w:p>
    <w:p>
      <w:pPr>
        <w:rPr>
          <w:rFonts w:cs="宋体" w:asciiTheme="minorEastAsia" w:hAnsiTheme="minorEastAsia" w:eastAsiaTheme="minorEastAsia"/>
          <w:b/>
          <w:color w:val="auto"/>
          <w:sz w:val="24"/>
          <w:highlight w:val="none"/>
          <w:u w:val="none"/>
        </w:rPr>
      </w:pPr>
    </w:p>
    <w:p>
      <w:pPr>
        <w:pStyle w:val="11"/>
        <w:rPr>
          <w:rFonts w:cs="宋体" w:asciiTheme="minorEastAsia" w:hAnsiTheme="minorEastAsia" w:eastAsiaTheme="minorEastAsia"/>
          <w:b/>
          <w:color w:val="auto"/>
          <w:sz w:val="24"/>
          <w:highlight w:val="none"/>
          <w:u w:val="none"/>
        </w:rPr>
      </w:pPr>
    </w:p>
    <w:p>
      <w:pPr>
        <w:rPr>
          <w:rFonts w:cs="宋体" w:asciiTheme="minorEastAsia" w:hAnsiTheme="minorEastAsia" w:eastAsiaTheme="minorEastAsia"/>
          <w:b/>
          <w:color w:val="auto"/>
          <w:sz w:val="24"/>
          <w:highlight w:val="none"/>
          <w:u w:val="none"/>
        </w:rPr>
      </w:pPr>
    </w:p>
    <w:p>
      <w:pPr>
        <w:pStyle w:val="11"/>
        <w:rPr>
          <w:rFonts w:cs="宋体" w:asciiTheme="minorEastAsia" w:hAnsiTheme="minorEastAsia" w:eastAsiaTheme="minorEastAsia"/>
          <w:b/>
          <w:color w:val="auto"/>
          <w:sz w:val="24"/>
          <w:highlight w:val="none"/>
          <w:u w:val="none"/>
        </w:rPr>
      </w:pPr>
    </w:p>
    <w:p>
      <w:pPr>
        <w:rPr>
          <w:rFonts w:cs="宋体" w:asciiTheme="minorEastAsia" w:hAnsiTheme="minorEastAsia" w:eastAsiaTheme="minorEastAsia"/>
          <w:b/>
          <w:color w:val="auto"/>
          <w:sz w:val="24"/>
          <w:highlight w:val="none"/>
          <w:u w:val="none"/>
        </w:rPr>
      </w:pPr>
    </w:p>
    <w:p>
      <w:pPr>
        <w:pStyle w:val="11"/>
        <w:rPr>
          <w:color w:val="auto"/>
          <w:highlight w:val="none"/>
          <w:u w:val="none"/>
        </w:rPr>
      </w:pPr>
    </w:p>
    <w:p>
      <w:pPr>
        <w:pStyle w:val="8"/>
        <w:numPr>
          <w:ilvl w:val="0"/>
          <w:numId w:val="37"/>
        </w:numPr>
        <w:rPr>
          <w:rFonts w:cs="宋体" w:asciiTheme="minorEastAsia" w:hAnsiTheme="minorEastAsia" w:eastAsiaTheme="minorEastAsia"/>
          <w:b/>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投标保证金缴纳证明；</w:t>
      </w:r>
    </w:p>
    <w:p>
      <w:pPr>
        <w:pStyle w:val="8"/>
        <w:ind w:left="420" w:leftChars="200"/>
        <w:rPr>
          <w:rFonts w:cs="宋体" w:asciiTheme="minorEastAsia" w:hAnsiTheme="minorEastAsia" w:eastAsiaTheme="minorEastAsia"/>
          <w:b/>
          <w:color w:val="auto"/>
          <w:sz w:val="24"/>
          <w:szCs w:val="24"/>
          <w:highlight w:val="none"/>
          <w:u w:val="none"/>
        </w:rPr>
      </w:pPr>
    </w:p>
    <w:p>
      <w:pPr>
        <w:pStyle w:val="8"/>
        <w:jc w:val="left"/>
        <w:outlineLvl w:val="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附件六</w:t>
      </w:r>
    </w:p>
    <w:p>
      <w:pPr>
        <w:pStyle w:val="8"/>
        <w:ind w:firstLine="420"/>
        <w:jc w:val="center"/>
        <w:outlineLvl w:val="0"/>
        <w:rPr>
          <w:rFonts w:asciiTheme="minorEastAsia" w:hAnsiTheme="minorEastAsia" w:eastAsiaTheme="minorEastAsia"/>
          <w:b/>
          <w:color w:val="auto"/>
          <w:sz w:val="32"/>
          <w:highlight w:val="none"/>
          <w:u w:val="none"/>
        </w:rPr>
      </w:pPr>
      <w:r>
        <w:rPr>
          <w:rFonts w:hint="eastAsia" w:asciiTheme="minorEastAsia" w:hAnsiTheme="minorEastAsia" w:eastAsiaTheme="minorEastAsia"/>
          <w:b/>
          <w:color w:val="auto"/>
          <w:spacing w:val="6"/>
          <w:sz w:val="32"/>
          <w:szCs w:val="32"/>
          <w:highlight w:val="none"/>
          <w:u w:val="none"/>
        </w:rPr>
        <w:t>6、投标</w:t>
      </w:r>
      <w:r>
        <w:rPr>
          <w:rFonts w:hint="eastAsia" w:asciiTheme="minorEastAsia" w:hAnsiTheme="minorEastAsia" w:eastAsiaTheme="minorEastAsia"/>
          <w:b/>
          <w:color w:val="auto"/>
          <w:sz w:val="32"/>
          <w:szCs w:val="32"/>
          <w:highlight w:val="none"/>
          <w:u w:val="none"/>
        </w:rPr>
        <w:t>保证金证明缴纳证明</w:t>
      </w:r>
    </w:p>
    <w:p>
      <w:pPr>
        <w:ind w:firstLine="420" w:firstLineChars="200"/>
        <w:rPr>
          <w:rFonts w:asciiTheme="minorEastAsia" w:hAnsiTheme="minorEastAsia" w:eastAsiaTheme="minorEastAsia"/>
          <w:color w:val="auto"/>
          <w:highlight w:val="none"/>
          <w:u w:val="none"/>
        </w:rPr>
      </w:pPr>
    </w:p>
    <w:p>
      <w:pPr>
        <w:pStyle w:val="8"/>
        <w:rPr>
          <w:rFonts w:asciiTheme="minorEastAsia" w:hAnsiTheme="minorEastAsia" w:eastAsiaTheme="minorEastAsia"/>
          <w:color w:val="auto"/>
          <w:highlight w:val="none"/>
          <w:u w:val="none"/>
        </w:rPr>
      </w:pPr>
    </w:p>
    <w:p>
      <w:pPr>
        <w:pStyle w:val="8"/>
        <w:rPr>
          <w:rFonts w:asciiTheme="minorEastAsia" w:hAnsiTheme="minorEastAsia" w:eastAsiaTheme="minorEastAsia"/>
          <w:color w:val="auto"/>
          <w:highlight w:val="none"/>
          <w:u w:val="none"/>
        </w:rPr>
      </w:pPr>
      <w:r>
        <w:rPr>
          <w:rFonts w:asciiTheme="minorEastAsia" w:hAnsiTheme="minorEastAsia" w:eastAsiaTheme="minorEastAsia"/>
          <w:color w:val="auto"/>
          <w:highlight w:val="none"/>
          <w:u w:val="none"/>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76200</wp:posOffset>
                </wp:positionV>
                <wp:extent cx="6120130" cy="2879725"/>
                <wp:effectExtent l="4445" t="4445" r="9525" b="11430"/>
                <wp:wrapNone/>
                <wp:docPr id="11" name="矩形 11"/>
                <wp:cNvGraphicFramePr/>
                <a:graphic xmlns:a="http://schemas.openxmlformats.org/drawingml/2006/main">
                  <a:graphicData uri="http://schemas.microsoft.com/office/word/2010/wordprocessingShape">
                    <wps:wsp>
                      <wps:cNvSpPr/>
                      <wps:spPr>
                        <a:xfrm>
                          <a:off x="0" y="0"/>
                          <a:ext cx="6120130" cy="2879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szCs w:val="21"/>
                              </w:rPr>
                            </w:pPr>
                            <w:r>
                              <w:rPr>
                                <w:rFonts w:hint="eastAsia"/>
                                <w:szCs w:val="21"/>
                              </w:rPr>
                              <w:t>保证金凭证</w:t>
                            </w:r>
                          </w:p>
                        </w:txbxContent>
                      </wps:txbx>
                      <wps:bodyPr upright="1"/>
                    </wps:wsp>
                  </a:graphicData>
                </a:graphic>
              </wp:anchor>
            </w:drawing>
          </mc:Choice>
          <mc:Fallback>
            <w:pict>
              <v:rect id="_x0000_s1026" o:spid="_x0000_s1026" o:spt="1" style="position:absolute;left:0pt;margin-left:0pt;margin-top:6pt;height:226.75pt;width:481.9pt;z-index:251687936;mso-width-relative:page;mso-height-relative:page;" fillcolor="#FFFFFF" filled="t" stroked="t" coordsize="21600,21600" o:gfxdata="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ASd&#10;ndYAAAAHAQAADwAAAAAAAAABACAAAAAiAAAAZHJzL2Rvd25yZXYueG1sUEsBAhQAFAAAAAgAh07i&#10;QCx7Qo3rAQAA7AMAAA4AAAAAAAAAAQAgAAAAJQEAAGRycy9lMm9Eb2MueG1sUEsFBgAAAAAGAAYA&#10;WQEAAIIFAAAAAA==&#10;">
                <v:fill on="t" focussize="0,0"/>
                <v:stroke color="#000000" joinstyle="miter"/>
                <v:imagedata o:title=""/>
                <o:lock v:ext="edit" aspectratio="f"/>
                <v:textbox>
                  <w:txbxContent>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szCs w:val="21"/>
                        </w:rPr>
                      </w:pPr>
                      <w:r>
                        <w:rPr>
                          <w:rFonts w:hint="eastAsia"/>
                          <w:szCs w:val="21"/>
                        </w:rPr>
                        <w:t>保证金凭证</w:t>
                      </w:r>
                    </w:p>
                  </w:txbxContent>
                </v:textbox>
              </v:rect>
            </w:pict>
          </mc:Fallback>
        </mc:AlternateContent>
      </w:r>
    </w:p>
    <w:p>
      <w:pPr>
        <w:pStyle w:val="8"/>
        <w:rPr>
          <w:rFonts w:asciiTheme="minorEastAsia" w:hAnsiTheme="minorEastAsia" w:eastAsiaTheme="minorEastAsia"/>
          <w:color w:val="auto"/>
          <w:highlight w:val="none"/>
          <w:u w:val="none"/>
        </w:rPr>
      </w:pPr>
    </w:p>
    <w:p>
      <w:pPr>
        <w:pStyle w:val="8"/>
        <w:rPr>
          <w:rFonts w:asciiTheme="minorEastAsia" w:hAnsiTheme="minorEastAsia" w:eastAsiaTheme="minorEastAsia"/>
          <w:color w:val="auto"/>
          <w:highlight w:val="none"/>
          <w:u w:val="none"/>
        </w:rPr>
      </w:pPr>
    </w:p>
    <w:p>
      <w:pPr>
        <w:pStyle w:val="8"/>
        <w:rPr>
          <w:rFonts w:asciiTheme="minorEastAsia" w:hAnsiTheme="minorEastAsia" w:eastAsiaTheme="minorEastAsia"/>
          <w:color w:val="auto"/>
          <w:highlight w:val="none"/>
          <w:u w:val="none"/>
        </w:rPr>
      </w:pPr>
    </w:p>
    <w:p>
      <w:pPr>
        <w:pStyle w:val="8"/>
        <w:rPr>
          <w:rFonts w:asciiTheme="minorEastAsia" w:hAnsiTheme="minorEastAsia" w:eastAsiaTheme="minorEastAsia"/>
          <w:color w:val="auto"/>
          <w:highlight w:val="none"/>
          <w:u w:val="none"/>
        </w:rPr>
      </w:pPr>
    </w:p>
    <w:p>
      <w:pPr>
        <w:pStyle w:val="8"/>
        <w:rPr>
          <w:rFonts w:asciiTheme="minorEastAsia" w:hAnsiTheme="minorEastAsia" w:eastAsiaTheme="minorEastAsia"/>
          <w:color w:val="auto"/>
          <w:sz w:val="44"/>
          <w:highlight w:val="none"/>
          <w:u w:val="none"/>
        </w:rPr>
      </w:pPr>
    </w:p>
    <w:p>
      <w:pPr>
        <w:pStyle w:val="8"/>
        <w:rPr>
          <w:rFonts w:asciiTheme="minorEastAsia" w:hAnsiTheme="minorEastAsia" w:eastAsiaTheme="minorEastAsia"/>
          <w:color w:val="auto"/>
          <w:sz w:val="44"/>
          <w:highlight w:val="none"/>
          <w:u w:val="none"/>
        </w:rPr>
      </w:pPr>
    </w:p>
    <w:p>
      <w:pPr>
        <w:pStyle w:val="8"/>
        <w:rPr>
          <w:rFonts w:asciiTheme="minorEastAsia" w:hAnsiTheme="minorEastAsia" w:eastAsiaTheme="minorEastAsia"/>
          <w:color w:val="auto"/>
          <w:sz w:val="44"/>
          <w:highlight w:val="none"/>
          <w:u w:val="none"/>
        </w:rPr>
      </w:pPr>
    </w:p>
    <w:p>
      <w:pPr>
        <w:pStyle w:val="8"/>
        <w:rPr>
          <w:rFonts w:asciiTheme="minorEastAsia" w:hAnsiTheme="minorEastAsia" w:eastAsiaTheme="minorEastAsia"/>
          <w:color w:val="auto"/>
          <w:sz w:val="44"/>
          <w:highlight w:val="none"/>
          <w:u w:val="none"/>
        </w:rPr>
      </w:pPr>
    </w:p>
    <w:p>
      <w:pPr>
        <w:pStyle w:val="8"/>
        <w:rPr>
          <w:rFonts w:asciiTheme="minorEastAsia" w:hAnsiTheme="minorEastAsia" w:eastAsiaTheme="minorEastAsia"/>
          <w:color w:val="auto"/>
          <w:sz w:val="44"/>
          <w:highlight w:val="none"/>
          <w:u w:val="none"/>
        </w:rPr>
      </w:pPr>
    </w:p>
    <w:p>
      <w:pPr>
        <w:pStyle w:val="8"/>
        <w:ind w:firstLine="4830" w:firstLineChars="2300"/>
        <w:rPr>
          <w:rFonts w:asciiTheme="minorEastAsia" w:hAnsiTheme="minorEastAsia" w:eastAsiaTheme="minorEastAsia"/>
          <w:color w:val="auto"/>
          <w:highlight w:val="none"/>
          <w:u w:val="none"/>
        </w:rPr>
      </w:pPr>
    </w:p>
    <w:p>
      <w:pPr>
        <w:pStyle w:val="8"/>
        <w:ind w:firstLine="4830" w:firstLineChars="2300"/>
        <w:rPr>
          <w:rFonts w:asciiTheme="minorEastAsia" w:hAnsiTheme="minorEastAsia" w:eastAsiaTheme="minorEastAsia"/>
          <w:color w:val="auto"/>
          <w:highlight w:val="none"/>
          <w:u w:val="none"/>
        </w:rPr>
      </w:pPr>
    </w:p>
    <w:p>
      <w:pPr>
        <w:pStyle w:val="8"/>
        <w:ind w:firstLine="4830" w:firstLineChars="2300"/>
        <w:rPr>
          <w:rFonts w:asciiTheme="minorEastAsia" w:hAnsiTheme="minorEastAsia" w:eastAsiaTheme="minorEastAsia"/>
          <w:color w:val="auto"/>
          <w:highlight w:val="none"/>
          <w:u w:val="none"/>
        </w:rPr>
      </w:pPr>
    </w:p>
    <w:p>
      <w:pPr>
        <w:pStyle w:val="8"/>
        <w:ind w:firstLine="4830" w:firstLineChars="2300"/>
        <w:rPr>
          <w:rFonts w:asciiTheme="minorEastAsia" w:hAnsiTheme="minorEastAsia" w:eastAsiaTheme="minorEastAsia"/>
          <w:color w:val="auto"/>
          <w:highlight w:val="none"/>
          <w:u w:val="none"/>
        </w:rPr>
      </w:pPr>
    </w:p>
    <w:p>
      <w:pPr>
        <w:pStyle w:val="8"/>
        <w:ind w:firstLine="4830" w:firstLineChars="2300"/>
        <w:rPr>
          <w:rFonts w:asciiTheme="minorEastAsia" w:hAnsiTheme="minorEastAsia" w:eastAsiaTheme="minorEastAsia"/>
          <w:color w:val="auto"/>
          <w:highlight w:val="none"/>
          <w:u w:val="none"/>
        </w:rPr>
      </w:pPr>
    </w:p>
    <w:p>
      <w:pPr>
        <w:pStyle w:val="8"/>
        <w:ind w:firstLine="4830" w:firstLineChars="2300"/>
        <w:rPr>
          <w:rFonts w:asciiTheme="minorEastAsia" w:hAnsiTheme="minorEastAsia" w:eastAsiaTheme="minorEastAsia"/>
          <w:color w:val="auto"/>
          <w:highlight w:val="none"/>
          <w:u w:val="none"/>
        </w:rPr>
      </w:pPr>
    </w:p>
    <w:p>
      <w:pPr>
        <w:pStyle w:val="8"/>
        <w:ind w:firstLine="4830" w:firstLineChars="2300"/>
        <w:rPr>
          <w:rFonts w:asciiTheme="minorEastAsia" w:hAnsiTheme="minorEastAsia" w:eastAsiaTheme="minorEastAsia"/>
          <w:color w:val="auto"/>
          <w:highlight w:val="none"/>
          <w:u w:val="none"/>
        </w:rPr>
      </w:pPr>
    </w:p>
    <w:p>
      <w:pPr>
        <w:pStyle w:val="8"/>
        <w:ind w:firstLine="4830" w:firstLineChars="2300"/>
        <w:rPr>
          <w:rFonts w:asciiTheme="minorEastAsia" w:hAnsiTheme="minorEastAsia" w:eastAsiaTheme="minorEastAsia"/>
          <w:color w:val="auto"/>
          <w:highlight w:val="none"/>
          <w:u w:val="none"/>
        </w:rPr>
      </w:pPr>
    </w:p>
    <w:p>
      <w:pPr>
        <w:pStyle w:val="8"/>
        <w:ind w:firstLine="4515" w:firstLineChars="215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投标人</w:t>
      </w:r>
      <w:r>
        <w:rPr>
          <w:rFonts w:hint="eastAsia" w:asciiTheme="minorEastAsia" w:hAnsiTheme="minorEastAsia" w:eastAsiaTheme="minorEastAsia"/>
          <w:b/>
          <w:bCs/>
          <w:color w:val="auto"/>
          <w:highlight w:val="none"/>
          <w:u w:val="none"/>
        </w:rPr>
        <w:t>（公章）</w:t>
      </w:r>
      <w:r>
        <w:rPr>
          <w:rFonts w:hint="eastAsia" w:asciiTheme="minorEastAsia" w:hAnsiTheme="minorEastAsia" w:eastAsiaTheme="minorEastAsia"/>
          <w:color w:val="auto"/>
          <w:highlight w:val="none"/>
          <w:u w:val="none"/>
        </w:rPr>
        <w:t xml:space="preserve"> ：                               </w:t>
      </w:r>
    </w:p>
    <w:p>
      <w:pPr>
        <w:pStyle w:val="8"/>
        <w:rPr>
          <w:rFonts w:asciiTheme="minorEastAsia" w:hAnsiTheme="minorEastAsia" w:eastAsiaTheme="minorEastAsia"/>
          <w:color w:val="auto"/>
          <w:highlight w:val="none"/>
          <w:u w:val="none"/>
        </w:rPr>
      </w:pPr>
    </w:p>
    <w:p>
      <w:pPr>
        <w:jc w:val="center"/>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 xml:space="preserve">                      法定代表人或委托代理人</w:t>
      </w:r>
      <w:r>
        <w:rPr>
          <w:rFonts w:hint="eastAsia" w:asciiTheme="minorEastAsia" w:hAnsiTheme="minorEastAsia" w:eastAsiaTheme="minorEastAsia"/>
          <w:b/>
          <w:bCs/>
          <w:color w:val="auto"/>
          <w:highlight w:val="none"/>
          <w:u w:val="none"/>
        </w:rPr>
        <w:t>签名：</w:t>
      </w:r>
    </w:p>
    <w:p>
      <w:pPr>
        <w:pStyle w:val="8"/>
        <w:rPr>
          <w:rFonts w:asciiTheme="minorEastAsia" w:hAnsiTheme="minorEastAsia" w:eastAsiaTheme="minorEastAsia"/>
          <w:color w:val="auto"/>
          <w:sz w:val="44"/>
          <w:highlight w:val="none"/>
          <w:u w:val="none"/>
        </w:rPr>
      </w:pPr>
    </w:p>
    <w:p>
      <w:pPr>
        <w:pStyle w:val="8"/>
        <w:rPr>
          <w:rFonts w:cs="宋体" w:asciiTheme="minorEastAsia" w:hAnsiTheme="minorEastAsia" w:eastAsiaTheme="minorEastAsia"/>
          <w:b/>
          <w:color w:val="auto"/>
          <w:sz w:val="24"/>
          <w:szCs w:val="24"/>
          <w:highlight w:val="none"/>
          <w:u w:val="none"/>
        </w:rPr>
      </w:pPr>
    </w:p>
    <w:p>
      <w:pPr>
        <w:pStyle w:val="8"/>
        <w:rPr>
          <w:rFonts w:cs="宋体" w:asciiTheme="minorEastAsia" w:hAnsiTheme="minorEastAsia" w:eastAsiaTheme="minorEastAsia"/>
          <w:b/>
          <w:color w:val="auto"/>
          <w:sz w:val="24"/>
          <w:szCs w:val="24"/>
          <w:highlight w:val="none"/>
          <w:u w:val="none"/>
        </w:rPr>
      </w:pPr>
    </w:p>
    <w:p>
      <w:pPr>
        <w:pStyle w:val="8"/>
        <w:rPr>
          <w:rFonts w:cs="宋体" w:asciiTheme="minorEastAsia" w:hAnsiTheme="minorEastAsia" w:eastAsiaTheme="minorEastAsia"/>
          <w:b/>
          <w:color w:val="auto"/>
          <w:sz w:val="24"/>
          <w:szCs w:val="24"/>
          <w:highlight w:val="none"/>
          <w:u w:val="none"/>
        </w:rPr>
      </w:pPr>
    </w:p>
    <w:p>
      <w:pPr>
        <w:pStyle w:val="8"/>
        <w:rPr>
          <w:rFonts w:cs="宋体" w:asciiTheme="minorEastAsia" w:hAnsiTheme="minorEastAsia" w:eastAsiaTheme="minorEastAsia"/>
          <w:b/>
          <w:color w:val="auto"/>
          <w:sz w:val="24"/>
          <w:szCs w:val="24"/>
          <w:highlight w:val="none"/>
          <w:u w:val="none"/>
        </w:rPr>
      </w:pPr>
    </w:p>
    <w:p>
      <w:pPr>
        <w:pStyle w:val="8"/>
        <w:rPr>
          <w:rFonts w:cs="宋体" w:asciiTheme="minorEastAsia" w:hAnsiTheme="minorEastAsia" w:eastAsiaTheme="minorEastAsia"/>
          <w:b/>
          <w:color w:val="auto"/>
          <w:sz w:val="24"/>
          <w:szCs w:val="24"/>
          <w:highlight w:val="none"/>
          <w:u w:val="none"/>
        </w:rPr>
      </w:pPr>
    </w:p>
    <w:p>
      <w:pPr>
        <w:rPr>
          <w:color w:val="auto"/>
          <w:highlight w:val="none"/>
          <w:u w:val="none"/>
        </w:rPr>
      </w:pPr>
    </w:p>
    <w:p>
      <w:pPr>
        <w:pStyle w:val="11"/>
        <w:rPr>
          <w:color w:val="auto"/>
          <w:highlight w:val="none"/>
          <w:u w:val="none"/>
        </w:rPr>
      </w:pPr>
    </w:p>
    <w:p>
      <w:pPr>
        <w:rPr>
          <w:color w:val="auto"/>
          <w:highlight w:val="none"/>
          <w:u w:val="none"/>
        </w:rPr>
      </w:pPr>
    </w:p>
    <w:p>
      <w:pPr>
        <w:pStyle w:val="11"/>
        <w:rPr>
          <w:color w:val="auto"/>
          <w:highlight w:val="none"/>
          <w:u w:val="none"/>
        </w:rPr>
      </w:pPr>
    </w:p>
    <w:p>
      <w:pPr>
        <w:pStyle w:val="8"/>
        <w:rPr>
          <w:rFonts w:cs="宋体" w:asciiTheme="minorEastAsia" w:hAnsiTheme="minorEastAsia" w:eastAsiaTheme="minorEastAsia"/>
          <w:b/>
          <w:color w:val="auto"/>
          <w:sz w:val="24"/>
          <w:szCs w:val="24"/>
          <w:highlight w:val="none"/>
          <w:u w:val="none"/>
        </w:rPr>
      </w:pPr>
    </w:p>
    <w:p>
      <w:pPr>
        <w:pStyle w:val="8"/>
        <w:numPr>
          <w:ilvl w:val="0"/>
          <w:numId w:val="37"/>
        </w:numPr>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kern w:val="0"/>
          <w:sz w:val="24"/>
          <w:szCs w:val="24"/>
          <w:highlight w:val="none"/>
          <w:u w:val="none"/>
        </w:rPr>
        <w:t>投标人如不是投标产品的生产厂家或国内总代理商的，必须提供投标产品生产厂家或国内总代理商针对本项目的授权书、有效供货证明以及售后服务承诺书</w:t>
      </w:r>
      <w:r>
        <w:rPr>
          <w:rFonts w:hint="eastAsia" w:cs="宋体" w:asciiTheme="minorEastAsia" w:hAnsiTheme="minorEastAsia" w:eastAsiaTheme="minorEastAsia"/>
          <w:color w:val="auto"/>
          <w:sz w:val="24"/>
          <w:szCs w:val="24"/>
          <w:highlight w:val="none"/>
          <w:u w:val="none"/>
        </w:rPr>
        <w:t>；</w:t>
      </w:r>
    </w:p>
    <w:p>
      <w:pPr>
        <w:pStyle w:val="8"/>
        <w:rPr>
          <w:rFonts w:cs="宋体" w:asciiTheme="minorEastAsia" w:hAnsiTheme="minorEastAsia" w:eastAsiaTheme="minorEastAsia"/>
          <w:color w:val="auto"/>
          <w:sz w:val="24"/>
          <w:szCs w:val="24"/>
          <w:highlight w:val="none"/>
          <w:u w:val="none"/>
        </w:rPr>
      </w:pPr>
    </w:p>
    <w:p>
      <w:pPr>
        <w:pStyle w:val="8"/>
        <w:rPr>
          <w:rFonts w:cs="宋体" w:asciiTheme="minorEastAsia" w:hAnsiTheme="minorEastAsia" w:eastAsiaTheme="minorEastAsia"/>
          <w:color w:val="auto"/>
          <w:sz w:val="24"/>
          <w:szCs w:val="24"/>
          <w:highlight w:val="none"/>
          <w:u w:val="none"/>
        </w:rPr>
      </w:pPr>
    </w:p>
    <w:p>
      <w:pPr>
        <w:pStyle w:val="8"/>
        <w:rPr>
          <w:rFonts w:cs="宋体" w:asciiTheme="minorEastAsia" w:hAnsiTheme="minorEastAsia" w:eastAsiaTheme="minorEastAsia"/>
          <w:color w:val="auto"/>
          <w:sz w:val="24"/>
          <w:szCs w:val="24"/>
          <w:highlight w:val="none"/>
          <w:u w:val="none"/>
        </w:rPr>
      </w:pPr>
    </w:p>
    <w:p>
      <w:pPr>
        <w:pStyle w:val="8"/>
        <w:rPr>
          <w:rFonts w:cs="宋体" w:asciiTheme="minorEastAsia" w:hAnsiTheme="minorEastAsia" w:eastAsiaTheme="minorEastAsia"/>
          <w:color w:val="auto"/>
          <w:sz w:val="24"/>
          <w:szCs w:val="24"/>
          <w:highlight w:val="none"/>
          <w:u w:val="none"/>
        </w:rPr>
      </w:pPr>
    </w:p>
    <w:p>
      <w:pPr>
        <w:pStyle w:val="8"/>
        <w:rPr>
          <w:rFonts w:cs="宋体" w:asciiTheme="minorEastAsia" w:hAnsiTheme="minorEastAsia" w:eastAsiaTheme="minorEastAsia"/>
          <w:color w:val="auto"/>
          <w:sz w:val="24"/>
          <w:szCs w:val="24"/>
          <w:highlight w:val="none"/>
          <w:u w:val="none"/>
        </w:rPr>
      </w:pPr>
    </w:p>
    <w:p>
      <w:pPr>
        <w:pStyle w:val="8"/>
        <w:numPr>
          <w:ilvl w:val="0"/>
          <w:numId w:val="37"/>
        </w:numPr>
        <w:rPr>
          <w:rFonts w:cs="宋体" w:asciiTheme="minorEastAsia" w:hAnsiTheme="minorEastAsia" w:eastAsiaTheme="minorEastAsia"/>
          <w:b/>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投标产品“医疗器械注册证”或“注册登记表或认可表资料”复印件；</w:t>
      </w:r>
    </w:p>
    <w:p>
      <w:pPr>
        <w:pStyle w:val="8"/>
        <w:rPr>
          <w:rFonts w:cs="宋体" w:asciiTheme="minorEastAsia" w:hAnsiTheme="minorEastAsia" w:eastAsiaTheme="minorEastAsia"/>
          <w:b/>
          <w:color w:val="auto"/>
          <w:sz w:val="24"/>
          <w:szCs w:val="24"/>
          <w:highlight w:val="none"/>
          <w:u w:val="none"/>
        </w:rPr>
      </w:pPr>
    </w:p>
    <w:p>
      <w:pPr>
        <w:pStyle w:val="8"/>
        <w:rPr>
          <w:rFonts w:cs="宋体" w:asciiTheme="minorEastAsia" w:hAnsiTheme="minorEastAsia" w:eastAsiaTheme="minorEastAsia"/>
          <w:b/>
          <w:color w:val="auto"/>
          <w:sz w:val="24"/>
          <w:szCs w:val="24"/>
          <w:highlight w:val="none"/>
          <w:u w:val="none"/>
        </w:rPr>
      </w:pPr>
    </w:p>
    <w:p>
      <w:pPr>
        <w:pStyle w:val="8"/>
        <w:rPr>
          <w:rFonts w:cs="宋体" w:asciiTheme="minorEastAsia" w:hAnsiTheme="minorEastAsia" w:eastAsiaTheme="minorEastAsia"/>
          <w:b/>
          <w:color w:val="auto"/>
          <w:sz w:val="24"/>
          <w:szCs w:val="24"/>
          <w:highlight w:val="none"/>
          <w:u w:val="none"/>
        </w:rPr>
      </w:pPr>
    </w:p>
    <w:p>
      <w:pPr>
        <w:pStyle w:val="8"/>
        <w:rPr>
          <w:rFonts w:cs="宋体" w:asciiTheme="minorEastAsia" w:hAnsiTheme="minorEastAsia" w:eastAsiaTheme="minorEastAsia"/>
          <w:b/>
          <w:color w:val="auto"/>
          <w:sz w:val="24"/>
          <w:szCs w:val="24"/>
          <w:highlight w:val="none"/>
          <w:u w:val="none"/>
        </w:rPr>
      </w:pPr>
    </w:p>
    <w:p>
      <w:pPr>
        <w:pStyle w:val="8"/>
        <w:numPr>
          <w:ilvl w:val="0"/>
          <w:numId w:val="37"/>
        </w:numPr>
        <w:jc w:val="left"/>
        <w:outlineLvl w:val="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投标人在“信用中国”网站（www.creditchina.gov.cn）下载的本公司的信用报告打印件并加盖公章；（必须提供，否则投标无效）</w:t>
      </w: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cs="宋体" w:asciiTheme="minorEastAsia" w:hAnsiTheme="minorEastAsia" w:eastAsiaTheme="minorEastAsia"/>
          <w:color w:val="auto"/>
          <w:sz w:val="24"/>
          <w:szCs w:val="24"/>
          <w:highlight w:val="none"/>
          <w:u w:val="none"/>
        </w:rPr>
      </w:pPr>
    </w:p>
    <w:p>
      <w:pPr>
        <w:pStyle w:val="8"/>
        <w:jc w:val="center"/>
        <w:outlineLvl w:val="0"/>
        <w:rPr>
          <w:rFonts w:cs="宋体" w:asciiTheme="minorEastAsia" w:hAnsiTheme="minorEastAsia" w:eastAsiaTheme="minorEastAsia"/>
          <w:color w:val="auto"/>
          <w:sz w:val="44"/>
          <w:szCs w:val="44"/>
          <w:highlight w:val="none"/>
          <w:u w:val="none"/>
        </w:rPr>
      </w:pPr>
      <w:r>
        <w:rPr>
          <w:rFonts w:hint="eastAsia" w:cs="宋体" w:asciiTheme="minorEastAsia" w:hAnsiTheme="minorEastAsia" w:eastAsiaTheme="minorEastAsia"/>
          <w:color w:val="auto"/>
          <w:sz w:val="44"/>
          <w:szCs w:val="44"/>
          <w:highlight w:val="none"/>
          <w:u w:val="none"/>
        </w:rPr>
        <w:t>三、商务技术文件</w:t>
      </w:r>
    </w:p>
    <w:p>
      <w:pPr>
        <w:pStyle w:val="8"/>
        <w:jc w:val="left"/>
        <w:outlineLvl w:val="0"/>
        <w:rPr>
          <w:rFonts w:cs="宋体" w:asciiTheme="minorEastAsia" w:hAnsiTheme="minorEastAsia" w:eastAsiaTheme="minorEastAsia"/>
          <w:color w:val="auto"/>
          <w:sz w:val="24"/>
          <w:szCs w:val="24"/>
          <w:highlight w:val="none"/>
          <w:u w:val="none"/>
        </w:rPr>
      </w:pPr>
    </w:p>
    <w:p>
      <w:pPr>
        <w:pStyle w:val="8"/>
        <w:jc w:val="left"/>
        <w:outlineLvl w:val="0"/>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附件七</w:t>
      </w:r>
    </w:p>
    <w:p>
      <w:pPr>
        <w:jc w:val="center"/>
        <w:rPr>
          <w:rFonts w:cs="宋体" w:asciiTheme="minorEastAsia" w:hAnsiTheme="minorEastAsia" w:eastAsiaTheme="minorEastAsia"/>
          <w:b/>
          <w:bCs/>
          <w:color w:val="auto"/>
          <w:sz w:val="32"/>
          <w:szCs w:val="32"/>
          <w:highlight w:val="none"/>
          <w:u w:val="none"/>
        </w:rPr>
      </w:pPr>
      <w:r>
        <w:rPr>
          <w:rFonts w:hint="eastAsia" w:cs="宋体" w:asciiTheme="minorEastAsia" w:hAnsiTheme="minorEastAsia" w:eastAsiaTheme="minorEastAsia"/>
          <w:b/>
          <w:bCs/>
          <w:color w:val="auto"/>
          <w:sz w:val="32"/>
          <w:szCs w:val="32"/>
          <w:highlight w:val="none"/>
          <w:u w:val="none"/>
        </w:rPr>
        <w:t>1、商务响应表</w:t>
      </w:r>
    </w:p>
    <w:tbl>
      <w:tblPr>
        <w:tblStyle w:val="19"/>
        <w:tblpPr w:leftFromText="180" w:rightFromText="180" w:vertAnchor="text" w:horzAnchor="page" w:tblpX="1109" w:tblpY="649"/>
        <w:tblOverlap w:val="never"/>
        <w:tblW w:w="9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2340"/>
        <w:gridCol w:w="1704"/>
        <w:gridCol w:w="1705"/>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vAlign w:val="center"/>
          </w:tcPr>
          <w:p>
            <w:pPr>
              <w:jc w:val="center"/>
              <w:rPr>
                <w:rFonts w:cs="宋体" w:asciiTheme="minorEastAsia" w:hAnsiTheme="minorEastAsia" w:eastAsiaTheme="minorEastAsia"/>
                <w:color w:val="auto"/>
                <w:sz w:val="28"/>
                <w:szCs w:val="28"/>
                <w:highlight w:val="none"/>
                <w:u w:val="none"/>
              </w:rPr>
            </w:pPr>
            <w:r>
              <w:rPr>
                <w:rFonts w:hint="eastAsia" w:cs="宋体" w:asciiTheme="minorEastAsia" w:hAnsiTheme="minorEastAsia" w:eastAsiaTheme="minorEastAsia"/>
                <w:color w:val="auto"/>
                <w:sz w:val="28"/>
                <w:szCs w:val="28"/>
                <w:highlight w:val="none"/>
                <w:u w:val="none"/>
              </w:rPr>
              <w:t>序号</w:t>
            </w:r>
          </w:p>
        </w:tc>
        <w:tc>
          <w:tcPr>
            <w:tcW w:w="2340" w:type="dxa"/>
            <w:vAlign w:val="center"/>
          </w:tcPr>
          <w:p>
            <w:pPr>
              <w:jc w:val="center"/>
              <w:rPr>
                <w:rFonts w:cs="宋体" w:asciiTheme="minorEastAsia" w:hAnsiTheme="minorEastAsia" w:eastAsiaTheme="minorEastAsia"/>
                <w:color w:val="auto"/>
                <w:sz w:val="28"/>
                <w:szCs w:val="28"/>
                <w:highlight w:val="none"/>
                <w:u w:val="none"/>
              </w:rPr>
            </w:pPr>
            <w:r>
              <w:rPr>
                <w:rFonts w:hint="eastAsia" w:cs="宋体" w:asciiTheme="minorEastAsia" w:hAnsiTheme="minorEastAsia" w:eastAsiaTheme="minorEastAsia"/>
                <w:color w:val="auto"/>
                <w:sz w:val="28"/>
                <w:szCs w:val="28"/>
                <w:highlight w:val="none"/>
                <w:u w:val="none"/>
              </w:rPr>
              <w:t>采购文件条目号</w:t>
            </w:r>
          </w:p>
        </w:tc>
        <w:tc>
          <w:tcPr>
            <w:tcW w:w="1704" w:type="dxa"/>
            <w:vAlign w:val="center"/>
          </w:tcPr>
          <w:p>
            <w:pPr>
              <w:jc w:val="center"/>
              <w:rPr>
                <w:rFonts w:cs="宋体" w:asciiTheme="minorEastAsia" w:hAnsiTheme="minorEastAsia" w:eastAsiaTheme="minorEastAsia"/>
                <w:color w:val="auto"/>
                <w:sz w:val="28"/>
                <w:szCs w:val="28"/>
                <w:highlight w:val="none"/>
                <w:u w:val="none"/>
              </w:rPr>
            </w:pPr>
            <w:r>
              <w:rPr>
                <w:rFonts w:hint="eastAsia" w:cs="宋体" w:asciiTheme="minorEastAsia" w:hAnsiTheme="minorEastAsia" w:eastAsiaTheme="minorEastAsia"/>
                <w:color w:val="auto"/>
                <w:sz w:val="28"/>
                <w:szCs w:val="28"/>
                <w:highlight w:val="none"/>
                <w:u w:val="none"/>
              </w:rPr>
              <w:t>采购文件的商务条款</w:t>
            </w:r>
          </w:p>
        </w:tc>
        <w:tc>
          <w:tcPr>
            <w:tcW w:w="1705" w:type="dxa"/>
            <w:vAlign w:val="center"/>
          </w:tcPr>
          <w:p>
            <w:pPr>
              <w:jc w:val="center"/>
              <w:rPr>
                <w:rFonts w:cs="宋体" w:asciiTheme="minorEastAsia" w:hAnsiTheme="minorEastAsia" w:eastAsiaTheme="minorEastAsia"/>
                <w:color w:val="auto"/>
                <w:sz w:val="28"/>
                <w:szCs w:val="28"/>
                <w:highlight w:val="none"/>
                <w:u w:val="none"/>
              </w:rPr>
            </w:pPr>
            <w:r>
              <w:rPr>
                <w:rFonts w:hint="eastAsia" w:cs="宋体" w:asciiTheme="minorEastAsia" w:hAnsiTheme="minorEastAsia" w:eastAsiaTheme="minorEastAsia"/>
                <w:color w:val="auto"/>
                <w:sz w:val="28"/>
                <w:szCs w:val="28"/>
                <w:highlight w:val="none"/>
                <w:u w:val="none"/>
              </w:rPr>
              <w:t>投标文件的商务条款</w:t>
            </w:r>
          </w:p>
        </w:tc>
        <w:tc>
          <w:tcPr>
            <w:tcW w:w="2941" w:type="dxa"/>
            <w:vAlign w:val="center"/>
          </w:tcPr>
          <w:p>
            <w:pPr>
              <w:jc w:val="center"/>
              <w:rPr>
                <w:rFonts w:cs="宋体" w:asciiTheme="minorEastAsia" w:hAnsiTheme="minorEastAsia" w:eastAsiaTheme="minorEastAsia"/>
                <w:color w:val="auto"/>
                <w:sz w:val="28"/>
                <w:szCs w:val="28"/>
                <w:highlight w:val="none"/>
                <w:u w:val="none"/>
              </w:rPr>
            </w:pPr>
            <w:r>
              <w:rPr>
                <w:rFonts w:hint="eastAsia" w:cs="宋体" w:asciiTheme="minorEastAsia" w:hAnsiTheme="minorEastAsia" w:eastAsiaTheme="minorEastAsia"/>
                <w:color w:val="auto"/>
                <w:sz w:val="28"/>
                <w:szCs w:val="28"/>
                <w:highlight w:val="none"/>
                <w:u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068" w:type="dxa"/>
            <w:vAlign w:val="center"/>
          </w:tcPr>
          <w:p>
            <w:pPr>
              <w:jc w:val="center"/>
              <w:rPr>
                <w:rFonts w:cs="宋体" w:asciiTheme="minorEastAsia" w:hAnsiTheme="minorEastAsia" w:eastAsiaTheme="minorEastAsia"/>
                <w:color w:val="auto"/>
                <w:sz w:val="28"/>
                <w:szCs w:val="28"/>
                <w:highlight w:val="none"/>
                <w:u w:val="none"/>
              </w:rPr>
            </w:pPr>
            <w:r>
              <w:rPr>
                <w:rFonts w:hint="eastAsia" w:cs="宋体" w:asciiTheme="minorEastAsia" w:hAnsiTheme="minorEastAsia" w:eastAsiaTheme="minorEastAsia"/>
                <w:color w:val="auto"/>
                <w:sz w:val="28"/>
                <w:szCs w:val="28"/>
                <w:highlight w:val="none"/>
                <w:u w:val="none"/>
              </w:rPr>
              <w:t>1</w:t>
            </w:r>
          </w:p>
        </w:tc>
        <w:tc>
          <w:tcPr>
            <w:tcW w:w="2340" w:type="dxa"/>
            <w:vAlign w:val="center"/>
          </w:tcPr>
          <w:p>
            <w:pPr>
              <w:jc w:val="center"/>
              <w:rPr>
                <w:rFonts w:cs="宋体" w:asciiTheme="minorEastAsia" w:hAnsiTheme="minorEastAsia" w:eastAsiaTheme="minorEastAsia"/>
                <w:color w:val="auto"/>
                <w:sz w:val="28"/>
                <w:szCs w:val="28"/>
                <w:highlight w:val="none"/>
                <w:u w:val="none"/>
              </w:rPr>
            </w:pPr>
            <w:r>
              <w:rPr>
                <w:rFonts w:hint="eastAsia" w:cs="宋体" w:asciiTheme="minorEastAsia" w:hAnsiTheme="minorEastAsia" w:eastAsiaTheme="minorEastAsia"/>
                <w:color w:val="auto"/>
                <w:sz w:val="28"/>
                <w:szCs w:val="28"/>
                <w:highlight w:val="none"/>
                <w:u w:val="none"/>
              </w:rPr>
              <w:t>签订合同时间</w:t>
            </w:r>
          </w:p>
        </w:tc>
        <w:tc>
          <w:tcPr>
            <w:tcW w:w="1704" w:type="dxa"/>
            <w:vAlign w:val="center"/>
          </w:tcPr>
          <w:p>
            <w:pPr>
              <w:jc w:val="center"/>
              <w:rPr>
                <w:rFonts w:cs="宋体" w:asciiTheme="minorEastAsia" w:hAnsiTheme="minorEastAsia" w:eastAsiaTheme="minorEastAsia"/>
                <w:b/>
                <w:bCs/>
                <w:color w:val="auto"/>
                <w:sz w:val="32"/>
                <w:szCs w:val="32"/>
                <w:highlight w:val="none"/>
                <w:u w:val="none"/>
              </w:rPr>
            </w:pPr>
          </w:p>
        </w:tc>
        <w:tc>
          <w:tcPr>
            <w:tcW w:w="1705" w:type="dxa"/>
            <w:vAlign w:val="center"/>
          </w:tcPr>
          <w:p>
            <w:pPr>
              <w:jc w:val="center"/>
              <w:rPr>
                <w:rFonts w:cs="宋体" w:asciiTheme="minorEastAsia" w:hAnsiTheme="minorEastAsia" w:eastAsiaTheme="minorEastAsia"/>
                <w:b/>
                <w:bCs/>
                <w:color w:val="auto"/>
                <w:sz w:val="32"/>
                <w:szCs w:val="32"/>
                <w:highlight w:val="none"/>
                <w:u w:val="none"/>
              </w:rPr>
            </w:pPr>
          </w:p>
        </w:tc>
        <w:tc>
          <w:tcPr>
            <w:tcW w:w="2941" w:type="dxa"/>
            <w:vAlign w:val="center"/>
          </w:tcPr>
          <w:p>
            <w:pPr>
              <w:jc w:val="center"/>
              <w:rPr>
                <w:rFonts w:cs="宋体" w:asciiTheme="minorEastAsia" w:hAnsiTheme="minorEastAsia" w:eastAsiaTheme="minorEastAsia"/>
                <w:b/>
                <w:bCs/>
                <w:color w:val="auto"/>
                <w:sz w:val="32"/>
                <w:szCs w:val="3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068" w:type="dxa"/>
            <w:vAlign w:val="center"/>
          </w:tcPr>
          <w:p>
            <w:pPr>
              <w:jc w:val="center"/>
              <w:rPr>
                <w:rFonts w:cs="宋体" w:asciiTheme="minorEastAsia" w:hAnsiTheme="minorEastAsia" w:eastAsiaTheme="minorEastAsia"/>
                <w:color w:val="auto"/>
                <w:sz w:val="28"/>
                <w:szCs w:val="28"/>
                <w:highlight w:val="none"/>
                <w:u w:val="none"/>
              </w:rPr>
            </w:pPr>
            <w:r>
              <w:rPr>
                <w:rFonts w:hint="eastAsia" w:cs="宋体" w:asciiTheme="minorEastAsia" w:hAnsiTheme="minorEastAsia" w:eastAsiaTheme="minorEastAsia"/>
                <w:color w:val="auto"/>
                <w:sz w:val="28"/>
                <w:szCs w:val="28"/>
                <w:highlight w:val="none"/>
                <w:u w:val="none"/>
              </w:rPr>
              <w:t>2</w:t>
            </w:r>
          </w:p>
        </w:tc>
        <w:tc>
          <w:tcPr>
            <w:tcW w:w="2340" w:type="dxa"/>
            <w:vAlign w:val="center"/>
          </w:tcPr>
          <w:p>
            <w:pPr>
              <w:jc w:val="center"/>
              <w:rPr>
                <w:rFonts w:cs="宋体" w:asciiTheme="minorEastAsia" w:hAnsiTheme="minorEastAsia" w:eastAsiaTheme="minorEastAsia"/>
                <w:color w:val="auto"/>
                <w:sz w:val="28"/>
                <w:szCs w:val="28"/>
                <w:highlight w:val="none"/>
                <w:u w:val="none"/>
              </w:rPr>
            </w:pPr>
            <w:r>
              <w:rPr>
                <w:rFonts w:hint="eastAsia" w:cs="宋体" w:asciiTheme="minorEastAsia" w:hAnsiTheme="minorEastAsia" w:eastAsiaTheme="minorEastAsia"/>
                <w:color w:val="auto"/>
                <w:sz w:val="28"/>
                <w:szCs w:val="28"/>
                <w:highlight w:val="none"/>
                <w:u w:val="none"/>
              </w:rPr>
              <w:t>交货期</w:t>
            </w:r>
          </w:p>
        </w:tc>
        <w:tc>
          <w:tcPr>
            <w:tcW w:w="1704" w:type="dxa"/>
            <w:vAlign w:val="center"/>
          </w:tcPr>
          <w:p>
            <w:pPr>
              <w:jc w:val="center"/>
              <w:rPr>
                <w:rFonts w:cs="宋体" w:asciiTheme="minorEastAsia" w:hAnsiTheme="minorEastAsia" w:eastAsiaTheme="minorEastAsia"/>
                <w:b/>
                <w:bCs/>
                <w:color w:val="auto"/>
                <w:sz w:val="32"/>
                <w:szCs w:val="32"/>
                <w:highlight w:val="none"/>
                <w:u w:val="none"/>
              </w:rPr>
            </w:pPr>
          </w:p>
        </w:tc>
        <w:tc>
          <w:tcPr>
            <w:tcW w:w="1705" w:type="dxa"/>
            <w:vAlign w:val="center"/>
          </w:tcPr>
          <w:p>
            <w:pPr>
              <w:jc w:val="center"/>
              <w:rPr>
                <w:rFonts w:cs="宋体" w:asciiTheme="minorEastAsia" w:hAnsiTheme="minorEastAsia" w:eastAsiaTheme="minorEastAsia"/>
                <w:b/>
                <w:bCs/>
                <w:color w:val="auto"/>
                <w:sz w:val="32"/>
                <w:szCs w:val="32"/>
                <w:highlight w:val="none"/>
                <w:u w:val="none"/>
              </w:rPr>
            </w:pPr>
          </w:p>
        </w:tc>
        <w:tc>
          <w:tcPr>
            <w:tcW w:w="2941" w:type="dxa"/>
            <w:vAlign w:val="center"/>
          </w:tcPr>
          <w:p>
            <w:pPr>
              <w:jc w:val="center"/>
              <w:rPr>
                <w:rFonts w:cs="宋体" w:asciiTheme="minorEastAsia" w:hAnsiTheme="minorEastAsia" w:eastAsiaTheme="minorEastAsia"/>
                <w:b/>
                <w:bCs/>
                <w:color w:val="auto"/>
                <w:sz w:val="32"/>
                <w:szCs w:val="3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68" w:type="dxa"/>
            <w:vAlign w:val="center"/>
          </w:tcPr>
          <w:p>
            <w:pPr>
              <w:jc w:val="center"/>
              <w:rPr>
                <w:rFonts w:cs="宋体" w:asciiTheme="minorEastAsia" w:hAnsiTheme="minorEastAsia" w:eastAsiaTheme="minorEastAsia"/>
                <w:color w:val="auto"/>
                <w:sz w:val="28"/>
                <w:szCs w:val="28"/>
                <w:highlight w:val="none"/>
                <w:u w:val="none"/>
              </w:rPr>
            </w:pPr>
            <w:r>
              <w:rPr>
                <w:rFonts w:hint="eastAsia" w:cs="宋体" w:asciiTheme="minorEastAsia" w:hAnsiTheme="minorEastAsia" w:eastAsiaTheme="minorEastAsia"/>
                <w:color w:val="auto"/>
                <w:sz w:val="28"/>
                <w:szCs w:val="28"/>
                <w:highlight w:val="none"/>
                <w:u w:val="none"/>
              </w:rPr>
              <w:t>3</w:t>
            </w:r>
          </w:p>
        </w:tc>
        <w:tc>
          <w:tcPr>
            <w:tcW w:w="2340" w:type="dxa"/>
            <w:vAlign w:val="center"/>
          </w:tcPr>
          <w:p>
            <w:pPr>
              <w:jc w:val="center"/>
              <w:rPr>
                <w:rFonts w:cs="宋体" w:asciiTheme="minorEastAsia" w:hAnsiTheme="minorEastAsia" w:eastAsiaTheme="minorEastAsia"/>
                <w:color w:val="auto"/>
                <w:sz w:val="28"/>
                <w:szCs w:val="28"/>
                <w:highlight w:val="none"/>
                <w:u w:val="none"/>
              </w:rPr>
            </w:pPr>
            <w:r>
              <w:rPr>
                <w:rFonts w:hint="eastAsia" w:cs="宋体" w:asciiTheme="minorEastAsia" w:hAnsiTheme="minorEastAsia" w:eastAsiaTheme="minorEastAsia"/>
                <w:color w:val="auto"/>
                <w:sz w:val="28"/>
                <w:szCs w:val="28"/>
                <w:highlight w:val="none"/>
                <w:u w:val="none"/>
              </w:rPr>
              <w:t>交货地点</w:t>
            </w:r>
          </w:p>
        </w:tc>
        <w:tc>
          <w:tcPr>
            <w:tcW w:w="1704" w:type="dxa"/>
            <w:vAlign w:val="center"/>
          </w:tcPr>
          <w:p>
            <w:pPr>
              <w:jc w:val="center"/>
              <w:rPr>
                <w:rFonts w:cs="宋体" w:asciiTheme="minorEastAsia" w:hAnsiTheme="minorEastAsia" w:eastAsiaTheme="minorEastAsia"/>
                <w:b/>
                <w:bCs/>
                <w:color w:val="auto"/>
                <w:sz w:val="32"/>
                <w:szCs w:val="32"/>
                <w:highlight w:val="none"/>
                <w:u w:val="none"/>
              </w:rPr>
            </w:pPr>
          </w:p>
        </w:tc>
        <w:tc>
          <w:tcPr>
            <w:tcW w:w="1705" w:type="dxa"/>
            <w:vAlign w:val="center"/>
          </w:tcPr>
          <w:p>
            <w:pPr>
              <w:jc w:val="center"/>
              <w:rPr>
                <w:rFonts w:cs="宋体" w:asciiTheme="minorEastAsia" w:hAnsiTheme="minorEastAsia" w:eastAsiaTheme="minorEastAsia"/>
                <w:b/>
                <w:bCs/>
                <w:color w:val="auto"/>
                <w:sz w:val="32"/>
                <w:szCs w:val="32"/>
                <w:highlight w:val="none"/>
                <w:u w:val="none"/>
              </w:rPr>
            </w:pPr>
          </w:p>
        </w:tc>
        <w:tc>
          <w:tcPr>
            <w:tcW w:w="2941" w:type="dxa"/>
            <w:vAlign w:val="center"/>
          </w:tcPr>
          <w:p>
            <w:pPr>
              <w:jc w:val="center"/>
              <w:rPr>
                <w:rFonts w:cs="宋体" w:asciiTheme="minorEastAsia" w:hAnsiTheme="minorEastAsia" w:eastAsiaTheme="minorEastAsia"/>
                <w:b/>
                <w:bCs/>
                <w:color w:val="auto"/>
                <w:sz w:val="32"/>
                <w:szCs w:val="3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068" w:type="dxa"/>
            <w:vAlign w:val="center"/>
          </w:tcPr>
          <w:p>
            <w:pPr>
              <w:jc w:val="center"/>
              <w:rPr>
                <w:rFonts w:cs="宋体" w:asciiTheme="minorEastAsia" w:hAnsiTheme="minorEastAsia" w:eastAsiaTheme="minorEastAsia"/>
                <w:color w:val="auto"/>
                <w:sz w:val="28"/>
                <w:szCs w:val="28"/>
                <w:highlight w:val="none"/>
                <w:u w:val="none"/>
              </w:rPr>
            </w:pPr>
            <w:r>
              <w:rPr>
                <w:rFonts w:hint="eastAsia" w:cs="宋体" w:asciiTheme="minorEastAsia" w:hAnsiTheme="minorEastAsia" w:eastAsiaTheme="minorEastAsia"/>
                <w:color w:val="auto"/>
                <w:sz w:val="28"/>
                <w:szCs w:val="28"/>
                <w:highlight w:val="none"/>
                <w:u w:val="none"/>
              </w:rPr>
              <w:t>4</w:t>
            </w:r>
          </w:p>
        </w:tc>
        <w:tc>
          <w:tcPr>
            <w:tcW w:w="2340" w:type="dxa"/>
            <w:vAlign w:val="center"/>
          </w:tcPr>
          <w:p>
            <w:pPr>
              <w:jc w:val="center"/>
              <w:rPr>
                <w:rFonts w:cs="宋体" w:asciiTheme="minorEastAsia" w:hAnsiTheme="minorEastAsia" w:eastAsiaTheme="minorEastAsia"/>
                <w:color w:val="auto"/>
                <w:sz w:val="28"/>
                <w:szCs w:val="28"/>
                <w:highlight w:val="none"/>
                <w:u w:val="none"/>
              </w:rPr>
            </w:pPr>
            <w:r>
              <w:rPr>
                <w:rFonts w:hint="eastAsia" w:cs="宋体" w:asciiTheme="minorEastAsia" w:hAnsiTheme="minorEastAsia" w:eastAsiaTheme="minorEastAsia"/>
                <w:color w:val="auto"/>
                <w:sz w:val="28"/>
                <w:szCs w:val="28"/>
                <w:highlight w:val="none"/>
                <w:u w:val="none"/>
              </w:rPr>
              <w:t>售后服务及其他商务要求</w:t>
            </w:r>
          </w:p>
        </w:tc>
        <w:tc>
          <w:tcPr>
            <w:tcW w:w="1704" w:type="dxa"/>
            <w:vAlign w:val="center"/>
          </w:tcPr>
          <w:p>
            <w:pPr>
              <w:jc w:val="center"/>
              <w:rPr>
                <w:rFonts w:cs="宋体" w:asciiTheme="minorEastAsia" w:hAnsiTheme="minorEastAsia" w:eastAsiaTheme="minorEastAsia"/>
                <w:b/>
                <w:bCs/>
                <w:color w:val="auto"/>
                <w:sz w:val="32"/>
                <w:szCs w:val="32"/>
                <w:highlight w:val="none"/>
                <w:u w:val="none"/>
              </w:rPr>
            </w:pPr>
          </w:p>
        </w:tc>
        <w:tc>
          <w:tcPr>
            <w:tcW w:w="1705" w:type="dxa"/>
            <w:vAlign w:val="center"/>
          </w:tcPr>
          <w:p>
            <w:pPr>
              <w:jc w:val="center"/>
              <w:rPr>
                <w:rFonts w:cs="宋体" w:asciiTheme="minorEastAsia" w:hAnsiTheme="minorEastAsia" w:eastAsiaTheme="minorEastAsia"/>
                <w:b/>
                <w:bCs/>
                <w:color w:val="auto"/>
                <w:sz w:val="32"/>
                <w:szCs w:val="32"/>
                <w:highlight w:val="none"/>
                <w:u w:val="none"/>
              </w:rPr>
            </w:pPr>
          </w:p>
        </w:tc>
        <w:tc>
          <w:tcPr>
            <w:tcW w:w="2941" w:type="dxa"/>
            <w:vAlign w:val="center"/>
          </w:tcPr>
          <w:p>
            <w:pPr>
              <w:jc w:val="center"/>
              <w:rPr>
                <w:rFonts w:cs="宋体" w:asciiTheme="minorEastAsia" w:hAnsiTheme="minorEastAsia" w:eastAsiaTheme="minorEastAsia"/>
                <w:b/>
                <w:bCs/>
                <w:color w:val="auto"/>
                <w:sz w:val="32"/>
                <w:szCs w:val="32"/>
                <w:highlight w:val="none"/>
                <w:u w:val="none"/>
              </w:rPr>
            </w:pPr>
          </w:p>
        </w:tc>
      </w:tr>
    </w:tbl>
    <w:p>
      <w:pPr>
        <w:rPr>
          <w:rFonts w:cs="宋体" w:asciiTheme="minorEastAsia" w:hAnsiTheme="minorEastAsia" w:eastAsiaTheme="minorEastAsia"/>
          <w:color w:val="auto"/>
          <w:sz w:val="24"/>
          <w:highlight w:val="none"/>
          <w:u w:val="none"/>
        </w:rPr>
      </w:pPr>
    </w:p>
    <w:p>
      <w:pPr>
        <w:rPr>
          <w:rFonts w:cs="宋体" w:asciiTheme="minorEastAsia" w:hAnsiTheme="minorEastAsia" w:eastAsiaTheme="minorEastAsia"/>
          <w:color w:val="auto"/>
          <w:sz w:val="24"/>
          <w:highlight w:val="none"/>
          <w:u w:val="none"/>
        </w:rPr>
      </w:pPr>
      <w:r>
        <w:rPr>
          <w:rFonts w:hint="eastAsia" w:cs="宋体" w:asciiTheme="minorEastAsia" w:hAnsiTheme="minorEastAsia" w:eastAsiaTheme="minorEastAsia"/>
          <w:color w:val="auto"/>
          <w:sz w:val="24"/>
          <w:highlight w:val="none"/>
          <w:u w:val="none"/>
        </w:rPr>
        <w:t>此表可按格式自行拓展。</w:t>
      </w:r>
    </w:p>
    <w:p>
      <w:pPr>
        <w:rPr>
          <w:rFonts w:cs="宋体" w:asciiTheme="minorEastAsia" w:hAnsiTheme="minorEastAsia" w:eastAsiaTheme="minorEastAsia"/>
          <w:color w:val="auto"/>
          <w:sz w:val="24"/>
          <w:highlight w:val="none"/>
          <w:u w:val="none"/>
        </w:rPr>
      </w:pPr>
      <w:r>
        <w:rPr>
          <w:rFonts w:hint="eastAsia" w:cs="宋体" w:asciiTheme="minorEastAsia" w:hAnsiTheme="minorEastAsia" w:eastAsiaTheme="minorEastAsia"/>
          <w:color w:val="auto"/>
          <w:sz w:val="24"/>
          <w:highlight w:val="none"/>
          <w:u w:val="none"/>
        </w:rPr>
        <w:t>投标人承诺：除上表中的偏离外，完全投标公开招标采购文件的其他条款。</w:t>
      </w:r>
    </w:p>
    <w:p>
      <w:pPr>
        <w:rPr>
          <w:rFonts w:cs="宋体" w:asciiTheme="minorEastAsia" w:hAnsiTheme="minorEastAsia" w:eastAsiaTheme="minorEastAsia"/>
          <w:b/>
          <w:bCs/>
          <w:color w:val="auto"/>
          <w:sz w:val="32"/>
          <w:szCs w:val="32"/>
          <w:highlight w:val="none"/>
          <w:u w:val="none"/>
        </w:rPr>
      </w:pPr>
    </w:p>
    <w:p>
      <w:pPr>
        <w:rPr>
          <w:rFonts w:cs="宋体" w:asciiTheme="minorEastAsia" w:hAnsiTheme="minorEastAsia" w:eastAsiaTheme="minorEastAsia"/>
          <w:color w:val="auto"/>
          <w:sz w:val="24"/>
          <w:highlight w:val="none"/>
          <w:u w:val="none"/>
        </w:rPr>
      </w:pPr>
    </w:p>
    <w:p>
      <w:pPr>
        <w:rPr>
          <w:rFonts w:cs="宋体" w:asciiTheme="minorEastAsia" w:hAnsiTheme="minorEastAsia" w:eastAsiaTheme="minorEastAsia"/>
          <w:color w:val="auto"/>
          <w:sz w:val="24"/>
          <w:highlight w:val="none"/>
          <w:u w:val="none"/>
        </w:rPr>
      </w:pPr>
    </w:p>
    <w:p>
      <w:pPr>
        <w:rPr>
          <w:rFonts w:cs="宋体" w:asciiTheme="minorEastAsia" w:hAnsiTheme="minorEastAsia" w:eastAsiaTheme="minorEastAsia"/>
          <w:color w:val="auto"/>
          <w:sz w:val="24"/>
          <w:highlight w:val="none"/>
          <w:u w:val="none"/>
        </w:rPr>
      </w:pPr>
    </w:p>
    <w:p>
      <w:pPr>
        <w:rPr>
          <w:rFonts w:cs="宋体" w:asciiTheme="minorEastAsia" w:hAnsiTheme="minorEastAsia" w:eastAsiaTheme="minorEastAsia"/>
          <w:color w:val="auto"/>
          <w:sz w:val="24"/>
          <w:highlight w:val="none"/>
          <w:u w:val="none"/>
        </w:rPr>
      </w:pPr>
    </w:p>
    <w:p>
      <w:pPr>
        <w:rPr>
          <w:rFonts w:cs="宋体" w:asciiTheme="minorEastAsia" w:hAnsiTheme="minorEastAsia" w:eastAsiaTheme="minorEastAsia"/>
          <w:color w:val="auto"/>
          <w:sz w:val="24"/>
          <w:highlight w:val="none"/>
          <w:u w:val="none"/>
        </w:rPr>
      </w:pPr>
      <w:r>
        <w:rPr>
          <w:rFonts w:hint="eastAsia" w:cs="宋体" w:asciiTheme="minorEastAsia" w:hAnsiTheme="minorEastAsia" w:eastAsiaTheme="minorEastAsia"/>
          <w:color w:val="auto"/>
          <w:sz w:val="24"/>
          <w:highlight w:val="none"/>
          <w:u w:val="none"/>
        </w:rPr>
        <w:t>投标人（公章）：</w:t>
      </w:r>
    </w:p>
    <w:p>
      <w:pPr>
        <w:rPr>
          <w:rFonts w:cs="宋体" w:asciiTheme="minorEastAsia" w:hAnsiTheme="minorEastAsia" w:eastAsiaTheme="minorEastAsia"/>
          <w:color w:val="auto"/>
          <w:sz w:val="24"/>
          <w:highlight w:val="none"/>
          <w:u w:val="none"/>
        </w:rPr>
      </w:pPr>
    </w:p>
    <w:p>
      <w:pPr>
        <w:rPr>
          <w:rFonts w:cs="宋体" w:asciiTheme="minorEastAsia" w:hAnsiTheme="minorEastAsia" w:eastAsiaTheme="minorEastAsia"/>
          <w:color w:val="auto"/>
          <w:sz w:val="24"/>
          <w:highlight w:val="none"/>
          <w:u w:val="none"/>
        </w:rPr>
      </w:pPr>
      <w:r>
        <w:rPr>
          <w:rFonts w:hint="eastAsia" w:cs="宋体" w:asciiTheme="minorEastAsia" w:hAnsiTheme="minorEastAsia" w:eastAsiaTheme="minorEastAsia"/>
          <w:color w:val="auto"/>
          <w:sz w:val="24"/>
          <w:highlight w:val="none"/>
          <w:u w:val="none"/>
        </w:rPr>
        <w:t>法定代表人（负责人）或委托代理人签字：</w:t>
      </w:r>
    </w:p>
    <w:p>
      <w:pPr>
        <w:rPr>
          <w:rFonts w:cs="宋体" w:asciiTheme="minorEastAsia" w:hAnsiTheme="minorEastAsia" w:eastAsiaTheme="minorEastAsia"/>
          <w:color w:val="auto"/>
          <w:sz w:val="24"/>
          <w:highlight w:val="none"/>
          <w:u w:val="none"/>
        </w:rPr>
      </w:pPr>
    </w:p>
    <w:p>
      <w:pPr>
        <w:rPr>
          <w:rFonts w:cs="宋体" w:asciiTheme="minorEastAsia" w:hAnsiTheme="minorEastAsia" w:eastAsiaTheme="minorEastAsia"/>
          <w:color w:val="auto"/>
          <w:sz w:val="24"/>
          <w:highlight w:val="none"/>
          <w:u w:val="none"/>
        </w:rPr>
      </w:pPr>
      <w:r>
        <w:rPr>
          <w:rFonts w:hint="eastAsia" w:cs="宋体" w:asciiTheme="minorEastAsia" w:hAnsiTheme="minorEastAsia" w:eastAsiaTheme="minorEastAsia"/>
          <w:color w:val="auto"/>
          <w:sz w:val="24"/>
          <w:highlight w:val="none"/>
          <w:u w:val="none"/>
        </w:rPr>
        <w:t>日期：</w:t>
      </w:r>
    </w:p>
    <w:p>
      <w:pPr>
        <w:pStyle w:val="11"/>
        <w:rPr>
          <w:rFonts w:asciiTheme="minorEastAsia" w:hAnsiTheme="minorEastAsia" w:eastAsiaTheme="minorEastAsia"/>
          <w:b/>
          <w:color w:val="auto"/>
          <w:szCs w:val="21"/>
          <w:highlight w:val="none"/>
          <w:u w:val="none"/>
        </w:rPr>
      </w:pPr>
    </w:p>
    <w:p>
      <w:pPr>
        <w:pStyle w:val="11"/>
        <w:rPr>
          <w:rFonts w:asciiTheme="minorEastAsia" w:hAnsiTheme="minorEastAsia" w:eastAsiaTheme="minorEastAsia"/>
          <w:b/>
          <w:color w:val="auto"/>
          <w:szCs w:val="21"/>
          <w:highlight w:val="none"/>
          <w:u w:val="none"/>
        </w:rPr>
      </w:pPr>
    </w:p>
    <w:p>
      <w:pPr>
        <w:pStyle w:val="11"/>
        <w:rPr>
          <w:rFonts w:asciiTheme="minorEastAsia" w:hAnsiTheme="minorEastAsia" w:eastAsiaTheme="minorEastAsia"/>
          <w:b/>
          <w:color w:val="auto"/>
          <w:szCs w:val="21"/>
          <w:highlight w:val="none"/>
          <w:u w:val="none"/>
        </w:rPr>
      </w:pPr>
    </w:p>
    <w:p>
      <w:pPr>
        <w:pStyle w:val="11"/>
        <w:rPr>
          <w:rFonts w:asciiTheme="minorEastAsia" w:hAnsiTheme="minorEastAsia" w:eastAsiaTheme="minorEastAsia"/>
          <w:b/>
          <w:color w:val="auto"/>
          <w:szCs w:val="21"/>
          <w:highlight w:val="none"/>
          <w:u w:val="none"/>
        </w:rPr>
      </w:pPr>
    </w:p>
    <w:p>
      <w:pPr>
        <w:pStyle w:val="11"/>
        <w:rPr>
          <w:rFonts w:asciiTheme="minorEastAsia" w:hAnsiTheme="minorEastAsia" w:eastAsiaTheme="minorEastAsia"/>
          <w:b/>
          <w:color w:val="auto"/>
          <w:szCs w:val="21"/>
          <w:highlight w:val="none"/>
          <w:u w:val="none"/>
        </w:rPr>
      </w:pPr>
    </w:p>
    <w:p>
      <w:pPr>
        <w:pStyle w:val="11"/>
        <w:rPr>
          <w:rFonts w:asciiTheme="minorEastAsia" w:hAnsiTheme="minorEastAsia" w:eastAsiaTheme="minorEastAsia"/>
          <w:b/>
          <w:color w:val="auto"/>
          <w:szCs w:val="21"/>
          <w:highlight w:val="none"/>
          <w:u w:val="none"/>
        </w:rPr>
      </w:pPr>
    </w:p>
    <w:p>
      <w:pPr>
        <w:pStyle w:val="11"/>
        <w:rPr>
          <w:rFonts w:asciiTheme="minorEastAsia" w:hAnsiTheme="minorEastAsia" w:eastAsiaTheme="minorEastAsia"/>
          <w:b/>
          <w:color w:val="auto"/>
          <w:szCs w:val="21"/>
          <w:highlight w:val="none"/>
          <w:u w:val="none"/>
        </w:rPr>
      </w:pPr>
    </w:p>
    <w:p>
      <w:pPr>
        <w:pStyle w:val="11"/>
        <w:rPr>
          <w:rFonts w:asciiTheme="minorEastAsia" w:hAnsiTheme="minorEastAsia" w:eastAsiaTheme="minorEastAsia"/>
          <w:b/>
          <w:color w:val="auto"/>
          <w:szCs w:val="21"/>
          <w:highlight w:val="none"/>
          <w:u w:val="none"/>
        </w:rPr>
      </w:pPr>
    </w:p>
    <w:p>
      <w:pPr>
        <w:pStyle w:val="11"/>
        <w:rPr>
          <w:rFonts w:asciiTheme="minorEastAsia" w:hAnsiTheme="minorEastAsia" w:eastAsiaTheme="minorEastAsia"/>
          <w:b/>
          <w:color w:val="auto"/>
          <w:szCs w:val="21"/>
          <w:highlight w:val="none"/>
          <w:u w:val="none"/>
        </w:rPr>
      </w:pPr>
    </w:p>
    <w:p>
      <w:pPr>
        <w:pStyle w:val="11"/>
        <w:rPr>
          <w:rFonts w:asciiTheme="minorEastAsia" w:hAnsiTheme="minorEastAsia" w:eastAsiaTheme="minorEastAsia"/>
          <w:b/>
          <w:color w:val="auto"/>
          <w:szCs w:val="21"/>
          <w:highlight w:val="none"/>
          <w:u w:val="none"/>
        </w:rPr>
      </w:pPr>
    </w:p>
    <w:p>
      <w:pPr>
        <w:pStyle w:val="11"/>
        <w:rPr>
          <w:rFonts w:asciiTheme="minorEastAsia" w:hAnsiTheme="minorEastAsia" w:eastAsiaTheme="minorEastAsia"/>
          <w:color w:val="auto"/>
          <w:highlight w:val="none"/>
          <w:u w:val="none"/>
        </w:rPr>
      </w:pPr>
    </w:p>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b/>
          <w:color w:val="auto"/>
          <w:szCs w:val="21"/>
          <w:highlight w:val="none"/>
          <w:u w:val="none"/>
        </w:rPr>
        <w:t>附件八</w:t>
      </w:r>
    </w:p>
    <w:p>
      <w:pPr>
        <w:pStyle w:val="8"/>
        <w:ind w:firstLine="321" w:firstLineChars="100"/>
        <w:jc w:val="center"/>
        <w:rPr>
          <w:rFonts w:cs="宋体" w:asciiTheme="minorEastAsia" w:hAnsiTheme="minorEastAsia" w:eastAsiaTheme="minorEastAsia"/>
          <w:b/>
          <w:color w:val="auto"/>
          <w:sz w:val="32"/>
          <w:szCs w:val="32"/>
          <w:highlight w:val="none"/>
          <w:u w:val="none"/>
        </w:rPr>
      </w:pPr>
      <w:r>
        <w:rPr>
          <w:rFonts w:hint="eastAsia" w:cs="宋体" w:asciiTheme="minorEastAsia" w:hAnsiTheme="minorEastAsia" w:eastAsiaTheme="minorEastAsia"/>
          <w:b/>
          <w:color w:val="auto"/>
          <w:sz w:val="32"/>
          <w:szCs w:val="32"/>
          <w:highlight w:val="none"/>
          <w:u w:val="none"/>
        </w:rPr>
        <w:t>2、投标产品技术规格偏离表</w:t>
      </w:r>
    </w:p>
    <w:p>
      <w:pPr>
        <w:rPr>
          <w:rFonts w:asciiTheme="minorEastAsia" w:hAnsiTheme="minorEastAsia" w:eastAsiaTheme="minorEastAsia"/>
          <w:color w:val="auto"/>
          <w:highlight w:val="none"/>
          <w:u w:val="none"/>
        </w:rPr>
      </w:pPr>
    </w:p>
    <w:p>
      <w:pPr>
        <w:pStyle w:val="8"/>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　　请根据所投产品的实际技术参数，</w:t>
      </w:r>
      <w:r>
        <w:rPr>
          <w:rFonts w:hint="eastAsia" w:asciiTheme="minorEastAsia" w:hAnsiTheme="minorEastAsia" w:eastAsiaTheme="minorEastAsia"/>
          <w:b/>
          <w:color w:val="auto"/>
          <w:szCs w:val="21"/>
          <w:highlight w:val="none"/>
          <w:u w:val="none"/>
        </w:rPr>
        <w:t>逐条对应</w:t>
      </w:r>
      <w:r>
        <w:rPr>
          <w:rFonts w:hint="eastAsia" w:asciiTheme="minorEastAsia" w:hAnsiTheme="minorEastAsia" w:eastAsiaTheme="minorEastAsia"/>
          <w:color w:val="auto"/>
          <w:szCs w:val="21"/>
          <w:highlight w:val="none"/>
          <w:u w:val="none"/>
        </w:rPr>
        <w:t>本项目招标文件第二章“货物需求一览表”中的“一、项目要求及技术需求”认真填写该表。“偏离说明”一栏选择“正偏离”、“负偏离”或“无偏离”进行填写。</w:t>
      </w:r>
    </w:p>
    <w:p>
      <w:pPr>
        <w:pStyle w:val="8"/>
        <w:rPr>
          <w:rFonts w:asciiTheme="minorEastAsia" w:hAnsiTheme="minorEastAsia" w:eastAsiaTheme="minorEastAsia"/>
          <w:color w:val="auto"/>
          <w:szCs w:val="21"/>
          <w:highlight w:val="none"/>
          <w:u w:val="none"/>
        </w:rPr>
      </w:pPr>
    </w:p>
    <w:p>
      <w:pPr>
        <w:pStyle w:val="8"/>
        <w:ind w:firstLine="420"/>
        <w:rPr>
          <w:rFonts w:asciiTheme="minorEastAsia" w:hAnsiTheme="minorEastAsia" w:eastAsiaTheme="minorEastAsia"/>
          <w:color w:val="auto"/>
          <w:szCs w:val="21"/>
          <w:highlight w:val="none"/>
          <w:u w:val="none"/>
        </w:rPr>
      </w:pPr>
    </w:p>
    <w:tbl>
      <w:tblPr>
        <w:tblStyle w:val="18"/>
        <w:tblW w:w="10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260"/>
        <w:gridCol w:w="735"/>
        <w:gridCol w:w="1575"/>
        <w:gridCol w:w="1017"/>
        <w:gridCol w:w="735"/>
        <w:gridCol w:w="1666"/>
        <w:gridCol w:w="1395"/>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633" w:type="dxa"/>
            <w:vMerge w:val="restar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项号</w:t>
            </w:r>
          </w:p>
        </w:tc>
        <w:tc>
          <w:tcPr>
            <w:tcW w:w="3570" w:type="dxa"/>
            <w:gridSpan w:val="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招标文件需求</w:t>
            </w:r>
          </w:p>
        </w:tc>
        <w:tc>
          <w:tcPr>
            <w:tcW w:w="4813"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63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货物名称</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数量</w:t>
            </w: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技术参数及性能要求</w:t>
            </w: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货物名称</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数量</w:t>
            </w:r>
          </w:p>
        </w:tc>
        <w:tc>
          <w:tcPr>
            <w:tcW w:w="16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品牌、厂家、型号、规格</w:t>
            </w:r>
          </w:p>
        </w:tc>
        <w:tc>
          <w:tcPr>
            <w:tcW w:w="139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技术参数及性能要求</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asciiTheme="minorEastAsia" w:hAnsiTheme="minorEastAsia" w:eastAsiaTheme="minorEastAsia"/>
                <w:color w:val="auto"/>
                <w:szCs w:val="21"/>
                <w:highlight w:val="none"/>
                <w:u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7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7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6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asciiTheme="minorEastAsia" w:hAnsiTheme="minorEastAsia" w:eastAsiaTheme="minorEastAsia"/>
                <w:color w:val="auto"/>
                <w:szCs w:val="21"/>
                <w:highlight w:val="none"/>
                <w:u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7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7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6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r>
              <w:rPr>
                <w:rFonts w:asciiTheme="minorEastAsia" w:hAnsiTheme="minorEastAsia" w:eastAsiaTheme="minorEastAsia"/>
                <w:color w:val="auto"/>
                <w:szCs w:val="21"/>
                <w:highlight w:val="none"/>
                <w:u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7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7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6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none"/>
              </w:rPr>
            </w:pPr>
          </w:p>
        </w:tc>
      </w:tr>
    </w:tbl>
    <w:p>
      <w:pPr>
        <w:pStyle w:val="8"/>
        <w:ind w:firstLine="420"/>
        <w:rPr>
          <w:rFonts w:asciiTheme="minorEastAsia" w:hAnsiTheme="minorEastAsia" w:eastAsiaTheme="minorEastAsia"/>
          <w:color w:val="auto"/>
          <w:szCs w:val="21"/>
          <w:highlight w:val="none"/>
          <w:u w:val="none"/>
        </w:rPr>
      </w:pPr>
    </w:p>
    <w:p>
      <w:pPr>
        <w:pStyle w:val="8"/>
        <w:rPr>
          <w:rFonts w:asciiTheme="minorEastAsia" w:hAnsiTheme="minorEastAsia" w:eastAsiaTheme="minorEastAsia"/>
          <w:color w:val="auto"/>
          <w:szCs w:val="21"/>
          <w:highlight w:val="none"/>
          <w:u w:val="none"/>
        </w:rPr>
      </w:pPr>
    </w:p>
    <w:p>
      <w:pPr>
        <w:pStyle w:val="8"/>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　　分标（有分标时填写）</w:t>
      </w:r>
    </w:p>
    <w:p>
      <w:pPr>
        <w:pStyle w:val="8"/>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w:t>
      </w:r>
    </w:p>
    <w:p>
      <w:pPr>
        <w:pStyle w:val="8"/>
        <w:rPr>
          <w:rFonts w:asciiTheme="minorEastAsia" w:hAnsiTheme="minorEastAsia" w:eastAsiaTheme="minorEastAsia"/>
          <w:color w:val="auto"/>
          <w:szCs w:val="21"/>
          <w:highlight w:val="none"/>
          <w:u w:val="none"/>
        </w:rPr>
      </w:pPr>
    </w:p>
    <w:p>
      <w:pPr>
        <w:pStyle w:val="8"/>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投标人（盖单位公章）：</w:t>
      </w:r>
    </w:p>
    <w:p>
      <w:pPr>
        <w:pStyle w:val="8"/>
        <w:jc w:val="left"/>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法定代表人或其委托代理人（签字或盖章）：</w:t>
      </w:r>
    </w:p>
    <w:p>
      <w:pPr>
        <w:pStyle w:val="8"/>
        <w:jc w:val="center"/>
        <w:outlineLvl w:val="0"/>
        <w:rPr>
          <w:rFonts w:asciiTheme="minorEastAsia" w:hAnsiTheme="minorEastAsia" w:eastAsiaTheme="minorEastAsia"/>
          <w:color w:val="auto"/>
          <w:szCs w:val="21"/>
          <w:highlight w:val="none"/>
          <w:u w:val="none"/>
        </w:rPr>
      </w:pPr>
    </w:p>
    <w:p>
      <w:pPr>
        <w:pStyle w:val="8"/>
        <w:tabs>
          <w:tab w:val="left" w:pos="2079"/>
          <w:tab w:val="center" w:pos="4819"/>
        </w:tabs>
        <w:spacing w:before="240"/>
        <w:jc w:val="left"/>
        <w:rPr>
          <w:rFonts w:cs="宋体" w:asciiTheme="minorEastAsia" w:hAnsiTheme="minorEastAsia" w:eastAsiaTheme="minorEastAsia"/>
          <w:b/>
          <w:color w:val="auto"/>
          <w:sz w:val="32"/>
          <w:highlight w:val="none"/>
          <w:u w:val="none"/>
        </w:rPr>
      </w:pPr>
    </w:p>
    <w:p>
      <w:pPr>
        <w:pStyle w:val="8"/>
        <w:jc w:val="center"/>
        <w:outlineLvl w:val="0"/>
        <w:rPr>
          <w:rFonts w:asciiTheme="minorEastAsia" w:hAnsiTheme="minorEastAsia" w:eastAsiaTheme="minorEastAsia"/>
          <w:b/>
          <w:bCs/>
          <w:color w:val="auto"/>
          <w:szCs w:val="21"/>
          <w:highlight w:val="none"/>
          <w:u w:val="none"/>
        </w:rPr>
      </w:pPr>
      <w:r>
        <w:rPr>
          <w:rFonts w:hint="eastAsia" w:asciiTheme="minorEastAsia" w:hAnsiTheme="minorEastAsia" w:eastAsiaTheme="minorEastAsia"/>
          <w:b/>
          <w:color w:val="auto"/>
          <w:sz w:val="30"/>
          <w:szCs w:val="30"/>
          <w:highlight w:val="none"/>
          <w:u w:val="none"/>
        </w:rPr>
        <w:t>3、售后服务承诺书（格式）</w:t>
      </w:r>
    </w:p>
    <w:p>
      <w:pPr>
        <w:pStyle w:val="8"/>
        <w:jc w:val="center"/>
        <w:rPr>
          <w:rFonts w:asciiTheme="minorEastAsia" w:hAnsiTheme="minorEastAsia" w:eastAsiaTheme="minorEastAsia"/>
          <w:color w:val="auto"/>
          <w:szCs w:val="21"/>
          <w:highlight w:val="none"/>
          <w:u w:val="none"/>
        </w:rPr>
      </w:pPr>
    </w:p>
    <w:p>
      <w:pPr>
        <w:pStyle w:val="8"/>
        <w:jc w:val="center"/>
        <w:rPr>
          <w:rFonts w:asciiTheme="minorEastAsia" w:hAnsiTheme="minorEastAsia" w:eastAsiaTheme="minorEastAsia"/>
          <w:color w:val="auto"/>
          <w:szCs w:val="21"/>
          <w:highlight w:val="none"/>
          <w:u w:val="none"/>
        </w:rPr>
      </w:pPr>
      <w:r>
        <w:rPr>
          <w:rFonts w:hint="eastAsia" w:asciiTheme="minorEastAsia" w:hAnsiTheme="minorEastAsia" w:eastAsiaTheme="minorEastAsia"/>
          <w:color w:val="auto"/>
          <w:szCs w:val="21"/>
          <w:highlight w:val="none"/>
          <w:u w:val="none"/>
        </w:rPr>
        <w:t>(由投标人按本项目招标文件第二章“货物需求一览表”中“二、商务要求表”的售后服务要求自行填写。)</w:t>
      </w:r>
    </w:p>
    <w:p>
      <w:pPr>
        <w:pStyle w:val="8"/>
        <w:ind w:left="420"/>
        <w:jc w:val="center"/>
        <w:outlineLvl w:val="0"/>
        <w:rPr>
          <w:rFonts w:cs="宋体" w:asciiTheme="minorEastAsia" w:hAnsiTheme="minorEastAsia" w:eastAsiaTheme="minorEastAsia"/>
          <w:b/>
          <w:bCs/>
          <w:color w:val="auto"/>
          <w:sz w:val="30"/>
          <w:szCs w:val="30"/>
          <w:highlight w:val="none"/>
          <w:u w:val="none"/>
        </w:rPr>
      </w:pPr>
    </w:p>
    <w:p>
      <w:pPr>
        <w:pStyle w:val="8"/>
        <w:ind w:left="420"/>
        <w:jc w:val="center"/>
        <w:outlineLvl w:val="0"/>
        <w:rPr>
          <w:rFonts w:cs="宋体" w:asciiTheme="minorEastAsia" w:hAnsiTheme="minorEastAsia" w:eastAsiaTheme="minorEastAsia"/>
          <w:b/>
          <w:bCs/>
          <w:color w:val="auto"/>
          <w:sz w:val="30"/>
          <w:szCs w:val="30"/>
          <w:highlight w:val="none"/>
          <w:u w:val="none"/>
        </w:rPr>
      </w:pPr>
    </w:p>
    <w:p>
      <w:pPr>
        <w:pStyle w:val="8"/>
        <w:ind w:left="420"/>
        <w:jc w:val="center"/>
        <w:outlineLvl w:val="0"/>
        <w:rPr>
          <w:rFonts w:cs="宋体" w:asciiTheme="minorEastAsia" w:hAnsiTheme="minorEastAsia" w:eastAsiaTheme="minorEastAsia"/>
          <w:b/>
          <w:bCs/>
          <w:color w:val="auto"/>
          <w:sz w:val="30"/>
          <w:szCs w:val="30"/>
          <w:highlight w:val="none"/>
          <w:u w:val="none"/>
        </w:rPr>
      </w:pPr>
    </w:p>
    <w:p>
      <w:pPr>
        <w:pStyle w:val="8"/>
        <w:ind w:left="420"/>
        <w:jc w:val="center"/>
        <w:outlineLvl w:val="0"/>
        <w:rPr>
          <w:rFonts w:cs="宋体" w:asciiTheme="minorEastAsia" w:hAnsiTheme="minorEastAsia" w:eastAsiaTheme="minorEastAsia"/>
          <w:b/>
          <w:bCs/>
          <w:color w:val="auto"/>
          <w:sz w:val="30"/>
          <w:szCs w:val="30"/>
          <w:highlight w:val="none"/>
          <w:u w:val="none"/>
        </w:rPr>
      </w:pPr>
    </w:p>
    <w:p>
      <w:pPr>
        <w:pStyle w:val="8"/>
        <w:ind w:left="420"/>
        <w:jc w:val="center"/>
        <w:outlineLvl w:val="0"/>
        <w:rPr>
          <w:rFonts w:cs="宋体" w:asciiTheme="minorEastAsia" w:hAnsiTheme="minorEastAsia" w:eastAsiaTheme="minorEastAsia"/>
          <w:b/>
          <w:bCs/>
          <w:color w:val="auto"/>
          <w:sz w:val="30"/>
          <w:szCs w:val="30"/>
          <w:highlight w:val="none"/>
          <w:u w:val="none"/>
        </w:rPr>
      </w:pPr>
    </w:p>
    <w:p>
      <w:pPr>
        <w:pStyle w:val="8"/>
        <w:ind w:left="420"/>
        <w:jc w:val="center"/>
        <w:outlineLvl w:val="0"/>
        <w:rPr>
          <w:rFonts w:cs="宋体" w:asciiTheme="minorEastAsia" w:hAnsiTheme="minorEastAsia" w:eastAsiaTheme="minorEastAsia"/>
          <w:b/>
          <w:bCs/>
          <w:color w:val="auto"/>
          <w:sz w:val="30"/>
          <w:szCs w:val="30"/>
          <w:highlight w:val="none"/>
          <w:u w:val="none"/>
        </w:rPr>
      </w:pPr>
    </w:p>
    <w:p>
      <w:pPr>
        <w:pStyle w:val="8"/>
        <w:ind w:left="420"/>
        <w:jc w:val="center"/>
        <w:outlineLvl w:val="0"/>
        <w:rPr>
          <w:rFonts w:cs="宋体" w:asciiTheme="minorEastAsia" w:hAnsiTheme="minorEastAsia" w:eastAsiaTheme="minorEastAsia"/>
          <w:b/>
          <w:bCs/>
          <w:color w:val="auto"/>
          <w:sz w:val="30"/>
          <w:szCs w:val="30"/>
          <w:highlight w:val="none"/>
          <w:u w:val="none"/>
        </w:rPr>
      </w:pPr>
    </w:p>
    <w:p>
      <w:pPr>
        <w:pStyle w:val="8"/>
        <w:numPr>
          <w:ilvl w:val="0"/>
          <w:numId w:val="38"/>
        </w:numPr>
        <w:ind w:left="420"/>
        <w:jc w:val="center"/>
        <w:outlineLvl w:val="0"/>
        <w:rPr>
          <w:rFonts w:cs="宋体" w:asciiTheme="minorEastAsia" w:hAnsiTheme="minorEastAsia" w:eastAsiaTheme="minorEastAsia"/>
          <w:b/>
          <w:bCs/>
          <w:color w:val="auto"/>
          <w:sz w:val="30"/>
          <w:szCs w:val="30"/>
          <w:highlight w:val="none"/>
          <w:u w:val="none"/>
        </w:rPr>
      </w:pPr>
      <w:r>
        <w:rPr>
          <w:rFonts w:hint="eastAsia" w:cs="宋体" w:asciiTheme="minorEastAsia" w:hAnsiTheme="minorEastAsia" w:eastAsiaTheme="minorEastAsia"/>
          <w:b/>
          <w:bCs/>
          <w:color w:val="auto"/>
          <w:sz w:val="30"/>
          <w:szCs w:val="30"/>
          <w:highlight w:val="none"/>
          <w:u w:val="none"/>
        </w:rPr>
        <w:t>证明投标货物合格的证明文件</w:t>
      </w:r>
    </w:p>
    <w:p>
      <w:pPr>
        <w:ind w:firstLine="480" w:firstLineChars="200"/>
        <w:jc w:val="left"/>
        <w:rPr>
          <w:rFonts w:cs="宋体" w:asciiTheme="minorEastAsia" w:hAnsiTheme="minorEastAsia" w:eastAsiaTheme="minorEastAsia"/>
          <w:b/>
          <w:color w:val="auto"/>
          <w:sz w:val="24"/>
          <w:highlight w:val="none"/>
          <w:u w:val="none"/>
        </w:rPr>
      </w:pPr>
      <w:r>
        <w:rPr>
          <w:rFonts w:hint="eastAsia" w:cs="宋体" w:asciiTheme="minorEastAsia" w:hAnsiTheme="minorEastAsia" w:eastAsiaTheme="minorEastAsia"/>
          <w:color w:val="auto"/>
          <w:sz w:val="24"/>
          <w:highlight w:val="none"/>
          <w:u w:val="none"/>
        </w:rPr>
        <w:t>（1）产品的生产厂家或国内总代理商的资质证件复印件；（</w:t>
      </w:r>
      <w:r>
        <w:rPr>
          <w:rFonts w:hint="eastAsia" w:cs="宋体" w:asciiTheme="minorEastAsia" w:hAnsiTheme="minorEastAsia" w:eastAsiaTheme="minorEastAsia"/>
          <w:b/>
          <w:color w:val="auto"/>
          <w:sz w:val="24"/>
          <w:highlight w:val="none"/>
          <w:u w:val="none"/>
        </w:rPr>
        <w:t>如有，请提供）</w:t>
      </w:r>
    </w:p>
    <w:p>
      <w:pPr>
        <w:pStyle w:val="8"/>
        <w:ind w:firstLine="480" w:firstLineChars="200"/>
        <w:rPr>
          <w:rFonts w:cs="宋体" w:asciiTheme="minorEastAsia" w:hAnsiTheme="minorEastAsia" w:eastAsiaTheme="minorEastAsia"/>
          <w:b/>
          <w:bCs/>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（2）针对本项目所投标货物所提供的相关的图纸、图片，产品技术资料彩页等；（</w:t>
      </w:r>
      <w:r>
        <w:rPr>
          <w:rFonts w:hint="eastAsia" w:cs="宋体" w:asciiTheme="minorEastAsia" w:hAnsiTheme="minorEastAsia" w:eastAsiaTheme="minorEastAsia"/>
          <w:b/>
          <w:color w:val="auto"/>
          <w:sz w:val="24"/>
          <w:szCs w:val="24"/>
          <w:highlight w:val="none"/>
          <w:u w:val="none"/>
        </w:rPr>
        <w:t>如有，请提供）</w:t>
      </w:r>
    </w:p>
    <w:p>
      <w:pPr>
        <w:tabs>
          <w:tab w:val="left" w:pos="1305"/>
        </w:tabs>
        <w:ind w:firstLine="480" w:firstLineChars="200"/>
        <w:jc w:val="left"/>
        <w:rPr>
          <w:rFonts w:cs="宋体" w:asciiTheme="minorEastAsia" w:hAnsiTheme="minorEastAsia" w:eastAsiaTheme="minorEastAsia"/>
          <w:color w:val="auto"/>
          <w:sz w:val="24"/>
          <w:highlight w:val="none"/>
          <w:u w:val="none"/>
        </w:rPr>
      </w:pPr>
      <w:r>
        <w:rPr>
          <w:rFonts w:hint="eastAsia" w:cs="宋体" w:asciiTheme="minorEastAsia" w:hAnsiTheme="minorEastAsia" w:eastAsiaTheme="minorEastAsia"/>
          <w:color w:val="auto"/>
          <w:sz w:val="24"/>
          <w:highlight w:val="none"/>
          <w:u w:val="none"/>
        </w:rPr>
        <w:t>（3）产品质量获奖证书复印件（</w:t>
      </w:r>
      <w:r>
        <w:rPr>
          <w:rFonts w:hint="eastAsia" w:cs="宋体" w:asciiTheme="minorEastAsia" w:hAnsiTheme="minorEastAsia" w:eastAsiaTheme="minorEastAsia"/>
          <w:b/>
          <w:color w:val="auto"/>
          <w:sz w:val="24"/>
          <w:highlight w:val="none"/>
          <w:u w:val="none"/>
        </w:rPr>
        <w:t>如有，请提供）</w:t>
      </w:r>
      <w:r>
        <w:rPr>
          <w:rFonts w:hint="eastAsia" w:cs="宋体" w:asciiTheme="minorEastAsia" w:hAnsiTheme="minorEastAsia" w:eastAsiaTheme="minorEastAsia"/>
          <w:color w:val="auto"/>
          <w:sz w:val="24"/>
          <w:highlight w:val="none"/>
          <w:u w:val="none"/>
        </w:rPr>
        <w:t>；</w:t>
      </w:r>
    </w:p>
    <w:p>
      <w:pPr>
        <w:pStyle w:val="8"/>
        <w:ind w:firstLine="480" w:firstLineChars="200"/>
        <w:jc w:val="left"/>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（4）小型、微型企业证明文件的复印件（以提供权威行政单位和信息化部门出具的相关证明材料为准）；（</w:t>
      </w:r>
      <w:r>
        <w:rPr>
          <w:rFonts w:hint="eastAsia" w:cs="宋体" w:asciiTheme="minorEastAsia" w:hAnsiTheme="minorEastAsia" w:eastAsiaTheme="minorEastAsia"/>
          <w:b/>
          <w:color w:val="auto"/>
          <w:sz w:val="24"/>
          <w:szCs w:val="24"/>
          <w:highlight w:val="none"/>
          <w:u w:val="none"/>
        </w:rPr>
        <w:t>如有，请提供）</w:t>
      </w:r>
    </w:p>
    <w:p>
      <w:pPr>
        <w:pStyle w:val="8"/>
        <w:ind w:firstLine="480" w:firstLineChars="200"/>
        <w:jc w:val="left"/>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（5）</w:t>
      </w:r>
      <w:r>
        <w:rPr>
          <w:rFonts w:hint="eastAsia" w:cs="宋体" w:asciiTheme="minorEastAsia" w:hAnsiTheme="minorEastAsia" w:eastAsiaTheme="minorEastAsia"/>
          <w:bCs/>
          <w:color w:val="auto"/>
          <w:sz w:val="24"/>
          <w:szCs w:val="24"/>
          <w:highlight w:val="none"/>
          <w:u w:val="none"/>
        </w:rPr>
        <w:t>自2017年1月1日）以来在三甲医院同类产品采购安装的成功案例</w:t>
      </w:r>
      <w:r>
        <w:rPr>
          <w:rFonts w:hint="eastAsia" w:cs="宋体" w:asciiTheme="minorEastAsia" w:hAnsiTheme="minorEastAsia" w:eastAsiaTheme="minorEastAsia"/>
          <w:color w:val="auto"/>
          <w:sz w:val="24"/>
          <w:szCs w:val="24"/>
          <w:highlight w:val="none"/>
          <w:u w:val="none"/>
        </w:rPr>
        <w:t>（提供投标人实施情况一览表、合同复印件或证明材料）；（</w:t>
      </w:r>
      <w:r>
        <w:rPr>
          <w:rFonts w:hint="eastAsia" w:cs="宋体" w:asciiTheme="minorEastAsia" w:hAnsiTheme="minorEastAsia" w:eastAsiaTheme="minorEastAsia"/>
          <w:b/>
          <w:color w:val="auto"/>
          <w:sz w:val="24"/>
          <w:szCs w:val="24"/>
          <w:highlight w:val="none"/>
          <w:u w:val="none"/>
        </w:rPr>
        <w:t>如有，请提供）</w:t>
      </w:r>
    </w:p>
    <w:p>
      <w:pPr>
        <w:pStyle w:val="8"/>
        <w:ind w:firstLine="480" w:firstLineChars="200"/>
        <w:jc w:val="left"/>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（6）其它：投标人可结合本项目的评审办法视自身情况自行提交其它相关证明材料。（</w:t>
      </w:r>
      <w:r>
        <w:rPr>
          <w:rFonts w:hint="eastAsia" w:cs="宋体" w:asciiTheme="minorEastAsia" w:hAnsiTheme="minorEastAsia" w:eastAsiaTheme="minorEastAsia"/>
          <w:b/>
          <w:color w:val="auto"/>
          <w:sz w:val="24"/>
          <w:szCs w:val="24"/>
          <w:highlight w:val="none"/>
          <w:u w:val="none"/>
        </w:rPr>
        <w:t>如有，请提供）</w:t>
      </w:r>
    </w:p>
    <w:p>
      <w:pPr>
        <w:pStyle w:val="8"/>
        <w:jc w:val="center"/>
        <w:outlineLvl w:val="0"/>
        <w:rPr>
          <w:rFonts w:cs="宋体" w:asciiTheme="minorEastAsia" w:hAnsiTheme="minorEastAsia" w:eastAsiaTheme="minorEastAsia"/>
          <w:b/>
          <w:bCs/>
          <w:color w:val="auto"/>
          <w:sz w:val="30"/>
          <w:szCs w:val="30"/>
          <w:highlight w:val="none"/>
          <w:u w:val="none"/>
        </w:rPr>
      </w:pPr>
    </w:p>
    <w:p>
      <w:pPr>
        <w:pStyle w:val="8"/>
        <w:jc w:val="center"/>
        <w:outlineLvl w:val="0"/>
        <w:rPr>
          <w:rFonts w:cs="宋体" w:asciiTheme="minorEastAsia" w:hAnsiTheme="minorEastAsia" w:eastAsiaTheme="minorEastAsia"/>
          <w:b/>
          <w:bCs/>
          <w:color w:val="auto"/>
          <w:sz w:val="30"/>
          <w:szCs w:val="30"/>
          <w:highlight w:val="none"/>
          <w:u w:val="none"/>
        </w:rPr>
      </w:pPr>
    </w:p>
    <w:p>
      <w:pPr>
        <w:pStyle w:val="8"/>
        <w:jc w:val="center"/>
        <w:outlineLvl w:val="0"/>
        <w:rPr>
          <w:rFonts w:cs="宋体" w:asciiTheme="minorEastAsia" w:hAnsiTheme="minorEastAsia" w:eastAsiaTheme="minorEastAsia"/>
          <w:b/>
          <w:bCs/>
          <w:color w:val="auto"/>
          <w:sz w:val="30"/>
          <w:szCs w:val="30"/>
          <w:highlight w:val="none"/>
          <w:u w:val="none"/>
        </w:rPr>
      </w:pPr>
    </w:p>
    <w:p>
      <w:pPr>
        <w:pStyle w:val="8"/>
        <w:jc w:val="center"/>
        <w:outlineLvl w:val="0"/>
        <w:rPr>
          <w:rFonts w:cs="宋体" w:asciiTheme="minorEastAsia" w:hAnsiTheme="minorEastAsia" w:eastAsiaTheme="minorEastAsia"/>
          <w:b/>
          <w:bCs/>
          <w:color w:val="auto"/>
          <w:sz w:val="30"/>
          <w:szCs w:val="30"/>
          <w:highlight w:val="none"/>
          <w:u w:val="none"/>
        </w:rPr>
      </w:pPr>
    </w:p>
    <w:p>
      <w:pPr>
        <w:pStyle w:val="8"/>
        <w:jc w:val="center"/>
        <w:outlineLvl w:val="0"/>
        <w:rPr>
          <w:rFonts w:cs="宋体" w:asciiTheme="minorEastAsia" w:hAnsiTheme="minorEastAsia" w:eastAsiaTheme="minorEastAsia"/>
          <w:b/>
          <w:bCs/>
          <w:color w:val="auto"/>
          <w:sz w:val="30"/>
          <w:szCs w:val="30"/>
          <w:highlight w:val="none"/>
          <w:u w:val="none"/>
        </w:rPr>
      </w:pPr>
    </w:p>
    <w:p>
      <w:pPr>
        <w:pStyle w:val="8"/>
        <w:jc w:val="center"/>
        <w:outlineLvl w:val="0"/>
        <w:rPr>
          <w:rFonts w:cs="宋体" w:asciiTheme="minorEastAsia" w:hAnsiTheme="minorEastAsia" w:eastAsiaTheme="minorEastAsia"/>
          <w:b/>
          <w:bCs/>
          <w:color w:val="auto"/>
          <w:sz w:val="30"/>
          <w:szCs w:val="30"/>
          <w:highlight w:val="none"/>
          <w:u w:val="none"/>
        </w:rPr>
      </w:pPr>
    </w:p>
    <w:p>
      <w:pPr>
        <w:pStyle w:val="8"/>
        <w:jc w:val="center"/>
        <w:outlineLvl w:val="0"/>
        <w:rPr>
          <w:rFonts w:cs="宋体" w:asciiTheme="minorEastAsia" w:hAnsiTheme="minorEastAsia" w:eastAsiaTheme="minorEastAsia"/>
          <w:b/>
          <w:bCs/>
          <w:color w:val="auto"/>
          <w:sz w:val="30"/>
          <w:szCs w:val="30"/>
          <w:highlight w:val="none"/>
          <w:u w:val="none"/>
        </w:rPr>
      </w:pPr>
    </w:p>
    <w:p>
      <w:pPr>
        <w:pStyle w:val="8"/>
        <w:jc w:val="center"/>
        <w:outlineLvl w:val="0"/>
        <w:rPr>
          <w:rFonts w:cs="宋体" w:asciiTheme="minorEastAsia" w:hAnsiTheme="minorEastAsia" w:eastAsiaTheme="minorEastAsia"/>
          <w:b/>
          <w:bCs/>
          <w:color w:val="auto"/>
          <w:sz w:val="30"/>
          <w:szCs w:val="30"/>
          <w:highlight w:val="none"/>
          <w:u w:val="none"/>
        </w:rPr>
      </w:pPr>
    </w:p>
    <w:p>
      <w:pPr>
        <w:pStyle w:val="8"/>
        <w:jc w:val="center"/>
        <w:outlineLvl w:val="0"/>
        <w:rPr>
          <w:rFonts w:cs="宋体" w:asciiTheme="minorEastAsia" w:hAnsiTheme="minorEastAsia" w:eastAsiaTheme="minorEastAsia"/>
          <w:b/>
          <w:bCs/>
          <w:color w:val="auto"/>
          <w:sz w:val="30"/>
          <w:szCs w:val="30"/>
          <w:highlight w:val="none"/>
          <w:u w:val="none"/>
        </w:rPr>
      </w:pPr>
    </w:p>
    <w:p>
      <w:pPr>
        <w:pStyle w:val="8"/>
        <w:jc w:val="center"/>
        <w:outlineLvl w:val="0"/>
        <w:rPr>
          <w:rFonts w:cs="宋体" w:asciiTheme="minorEastAsia" w:hAnsiTheme="minorEastAsia" w:eastAsiaTheme="minorEastAsia"/>
          <w:b/>
          <w:bCs/>
          <w:color w:val="auto"/>
          <w:sz w:val="30"/>
          <w:szCs w:val="30"/>
          <w:highlight w:val="none"/>
          <w:u w:val="none"/>
        </w:rPr>
      </w:pPr>
    </w:p>
    <w:p>
      <w:pPr>
        <w:pStyle w:val="8"/>
        <w:jc w:val="center"/>
        <w:outlineLvl w:val="0"/>
        <w:rPr>
          <w:rFonts w:cs="宋体" w:asciiTheme="minorEastAsia" w:hAnsiTheme="minorEastAsia" w:eastAsiaTheme="minorEastAsia"/>
          <w:b/>
          <w:bCs/>
          <w:color w:val="auto"/>
          <w:sz w:val="30"/>
          <w:szCs w:val="30"/>
          <w:highlight w:val="none"/>
          <w:u w:val="none"/>
        </w:rPr>
      </w:pPr>
    </w:p>
    <w:p>
      <w:pPr>
        <w:pStyle w:val="8"/>
        <w:jc w:val="center"/>
        <w:outlineLvl w:val="0"/>
        <w:rPr>
          <w:rFonts w:cs="宋体" w:asciiTheme="minorEastAsia" w:hAnsiTheme="minorEastAsia" w:eastAsiaTheme="minorEastAsia"/>
          <w:b/>
          <w:bCs/>
          <w:color w:val="auto"/>
          <w:sz w:val="30"/>
          <w:szCs w:val="30"/>
          <w:highlight w:val="none"/>
          <w:u w:val="none"/>
        </w:rPr>
      </w:pPr>
    </w:p>
    <w:p>
      <w:pPr>
        <w:pStyle w:val="8"/>
        <w:jc w:val="center"/>
        <w:outlineLvl w:val="0"/>
        <w:rPr>
          <w:rFonts w:cs="宋体" w:asciiTheme="minorEastAsia" w:hAnsiTheme="minorEastAsia" w:eastAsiaTheme="minorEastAsia"/>
          <w:b/>
          <w:bCs/>
          <w:color w:val="auto"/>
          <w:sz w:val="30"/>
          <w:szCs w:val="30"/>
          <w:highlight w:val="none"/>
          <w:u w:val="none"/>
        </w:rPr>
      </w:pPr>
    </w:p>
    <w:p>
      <w:pPr>
        <w:pStyle w:val="8"/>
        <w:jc w:val="center"/>
        <w:outlineLvl w:val="0"/>
        <w:rPr>
          <w:rFonts w:cs="宋体" w:asciiTheme="minorEastAsia" w:hAnsiTheme="minorEastAsia" w:eastAsiaTheme="minorEastAsia"/>
          <w:b/>
          <w:bCs/>
          <w:color w:val="auto"/>
          <w:sz w:val="30"/>
          <w:szCs w:val="30"/>
          <w:highlight w:val="none"/>
          <w:u w:val="none"/>
        </w:rPr>
      </w:pPr>
    </w:p>
    <w:p>
      <w:pPr>
        <w:pStyle w:val="8"/>
        <w:jc w:val="center"/>
        <w:outlineLvl w:val="0"/>
        <w:rPr>
          <w:rFonts w:cs="宋体" w:asciiTheme="minorEastAsia" w:hAnsiTheme="minorEastAsia" w:eastAsiaTheme="minorEastAsia"/>
          <w:b/>
          <w:bCs/>
          <w:color w:val="auto"/>
          <w:sz w:val="30"/>
          <w:szCs w:val="30"/>
          <w:highlight w:val="none"/>
          <w:u w:val="none"/>
        </w:rPr>
      </w:pPr>
    </w:p>
    <w:p>
      <w:pPr>
        <w:pStyle w:val="8"/>
        <w:jc w:val="center"/>
        <w:outlineLvl w:val="0"/>
        <w:rPr>
          <w:rFonts w:asciiTheme="minorEastAsia" w:hAnsiTheme="minorEastAsia" w:eastAsiaTheme="minorEastAsia"/>
          <w:b/>
          <w:color w:val="auto"/>
          <w:sz w:val="30"/>
          <w:szCs w:val="30"/>
          <w:highlight w:val="none"/>
          <w:u w:val="none"/>
        </w:rPr>
      </w:pPr>
      <w:r>
        <w:rPr>
          <w:rFonts w:hint="eastAsia" w:asciiTheme="minorEastAsia" w:hAnsiTheme="minorEastAsia" w:eastAsiaTheme="minorEastAsia"/>
          <w:b/>
          <w:color w:val="auto"/>
          <w:sz w:val="36"/>
          <w:szCs w:val="36"/>
          <w:highlight w:val="none"/>
          <w:u w:val="none"/>
        </w:rPr>
        <w:t>第五章  合同条款及格式（按此合同签订）</w:t>
      </w:r>
    </w:p>
    <w:p>
      <w:pPr>
        <w:ind w:firstLine="420" w:firstLineChars="200"/>
        <w:rPr>
          <w:rFonts w:asciiTheme="minorEastAsia" w:hAnsiTheme="minorEastAsia" w:eastAsiaTheme="minorEastAsia"/>
          <w:color w:val="auto"/>
          <w:szCs w:val="21"/>
          <w:highlight w:val="none"/>
          <w:u w:val="none"/>
        </w:rPr>
      </w:pPr>
    </w:p>
    <w:p>
      <w:pPr>
        <w:ind w:firstLine="420" w:firstLineChars="200"/>
        <w:rPr>
          <w:rFonts w:asciiTheme="minorEastAsia" w:hAnsiTheme="minorEastAsia" w:eastAsiaTheme="minorEastAsia"/>
          <w:color w:val="auto"/>
          <w:szCs w:val="21"/>
          <w:highlight w:val="none"/>
          <w:u w:val="none"/>
        </w:rPr>
      </w:pPr>
    </w:p>
    <w:p>
      <w:pPr>
        <w:ind w:firstLine="420" w:firstLineChars="200"/>
        <w:rPr>
          <w:rFonts w:asciiTheme="minorEastAsia" w:hAnsiTheme="minorEastAsia" w:eastAsiaTheme="minorEastAsia"/>
          <w:color w:val="auto"/>
          <w:szCs w:val="21"/>
          <w:highlight w:val="none"/>
          <w:u w:val="none"/>
        </w:rPr>
      </w:pPr>
    </w:p>
    <w:p>
      <w:pPr>
        <w:widowControl/>
        <w:adjustRightInd w:val="0"/>
        <w:snapToGrid w:val="0"/>
        <w:spacing w:after="200" w:line="360" w:lineRule="auto"/>
        <w:jc w:val="center"/>
        <w:rPr>
          <w:rFonts w:asciiTheme="minorEastAsia" w:hAnsiTheme="minorEastAsia" w:eastAsiaTheme="minorEastAsia"/>
          <w:b/>
          <w:color w:val="auto"/>
          <w:kern w:val="0"/>
          <w:sz w:val="72"/>
          <w:szCs w:val="72"/>
          <w:highlight w:val="none"/>
          <w:u w:val="none"/>
        </w:rPr>
      </w:pPr>
      <w:r>
        <w:rPr>
          <w:rFonts w:hint="eastAsia" w:asciiTheme="minorEastAsia" w:hAnsiTheme="minorEastAsia" w:eastAsiaTheme="minorEastAsia"/>
          <w:b/>
          <w:color w:val="auto"/>
          <w:kern w:val="0"/>
          <w:sz w:val="72"/>
          <w:szCs w:val="72"/>
          <w:highlight w:val="none"/>
          <w:u w:val="none"/>
        </w:rPr>
        <w:t>灵山县妇幼保健院</w:t>
      </w:r>
    </w:p>
    <w:p>
      <w:pPr>
        <w:widowControl/>
        <w:adjustRightInd w:val="0"/>
        <w:snapToGrid w:val="0"/>
        <w:spacing w:after="200" w:line="360" w:lineRule="auto"/>
        <w:ind w:firstLine="964" w:firstLineChars="300"/>
        <w:jc w:val="left"/>
        <w:rPr>
          <w:rFonts w:asciiTheme="minorEastAsia" w:hAnsiTheme="minorEastAsia" w:eastAsiaTheme="minorEastAsia"/>
          <w:b/>
          <w:color w:val="auto"/>
          <w:kern w:val="0"/>
          <w:sz w:val="32"/>
          <w:szCs w:val="32"/>
          <w:highlight w:val="none"/>
          <w:u w:val="none"/>
        </w:rPr>
      </w:pPr>
    </w:p>
    <w:p>
      <w:pPr>
        <w:widowControl/>
        <w:adjustRightInd w:val="0"/>
        <w:snapToGrid w:val="0"/>
        <w:spacing w:after="200" w:line="360" w:lineRule="auto"/>
        <w:ind w:firstLine="883" w:firstLineChars="200"/>
        <w:jc w:val="left"/>
        <w:rPr>
          <w:rFonts w:asciiTheme="minorEastAsia" w:hAnsiTheme="minorEastAsia" w:eastAsiaTheme="minorEastAsia"/>
          <w:b/>
          <w:color w:val="auto"/>
          <w:kern w:val="0"/>
          <w:sz w:val="52"/>
          <w:szCs w:val="52"/>
          <w:highlight w:val="none"/>
          <w:u w:val="none"/>
        </w:rPr>
      </w:pPr>
      <w:r>
        <w:rPr>
          <w:rFonts w:hint="eastAsia" w:asciiTheme="minorEastAsia" w:hAnsiTheme="minorEastAsia" w:eastAsiaTheme="minorEastAsia"/>
          <w:b/>
          <w:bCs/>
          <w:color w:val="auto"/>
          <w:sz w:val="44"/>
          <w:szCs w:val="44"/>
          <w:highlight w:val="none"/>
          <w:u w:val="none"/>
        </w:rPr>
        <w:t>2020年广西妇幼保健机构能力建设项目</w:t>
      </w:r>
      <w:r>
        <w:rPr>
          <w:rFonts w:hint="eastAsia" w:asciiTheme="minorEastAsia" w:hAnsiTheme="minorEastAsia" w:eastAsiaTheme="minorEastAsia"/>
          <w:b/>
          <w:color w:val="auto"/>
          <w:kern w:val="0"/>
          <w:sz w:val="52"/>
          <w:szCs w:val="52"/>
          <w:highlight w:val="none"/>
          <w:u w:val="none"/>
        </w:rPr>
        <w:t>合同</w:t>
      </w:r>
    </w:p>
    <w:p>
      <w:pPr>
        <w:widowControl/>
        <w:adjustRightInd w:val="0"/>
        <w:snapToGrid w:val="0"/>
        <w:spacing w:after="200" w:line="480" w:lineRule="auto"/>
        <w:jc w:val="left"/>
        <w:rPr>
          <w:rFonts w:asciiTheme="minorEastAsia" w:hAnsiTheme="minorEastAsia" w:eastAsiaTheme="minorEastAsia"/>
          <w:b/>
          <w:color w:val="auto"/>
          <w:kern w:val="0"/>
          <w:sz w:val="32"/>
          <w:szCs w:val="32"/>
          <w:highlight w:val="none"/>
          <w:u w:val="none"/>
        </w:rPr>
      </w:pPr>
      <w:bookmarkStart w:id="29" w:name="_Toc8772_WPSOffice_Level1"/>
    </w:p>
    <w:p>
      <w:pPr>
        <w:widowControl/>
        <w:adjustRightInd w:val="0"/>
        <w:snapToGrid w:val="0"/>
        <w:spacing w:after="200" w:line="480" w:lineRule="auto"/>
        <w:jc w:val="left"/>
        <w:rPr>
          <w:rFonts w:asciiTheme="minorEastAsia" w:hAnsiTheme="minorEastAsia" w:eastAsiaTheme="minorEastAsia"/>
          <w:b/>
          <w:color w:val="auto"/>
          <w:kern w:val="0"/>
          <w:sz w:val="32"/>
          <w:szCs w:val="32"/>
          <w:highlight w:val="none"/>
          <w:u w:val="none"/>
        </w:rPr>
      </w:pPr>
    </w:p>
    <w:p>
      <w:pPr>
        <w:widowControl/>
        <w:adjustRightInd w:val="0"/>
        <w:snapToGrid w:val="0"/>
        <w:spacing w:after="200" w:line="480" w:lineRule="auto"/>
        <w:ind w:firstLine="1108" w:firstLineChars="345"/>
        <w:jc w:val="left"/>
        <w:rPr>
          <w:rFonts w:asciiTheme="minorEastAsia" w:hAnsiTheme="minorEastAsia" w:eastAsiaTheme="minorEastAsia"/>
          <w:b/>
          <w:color w:val="auto"/>
          <w:kern w:val="0"/>
          <w:sz w:val="32"/>
          <w:szCs w:val="32"/>
          <w:highlight w:val="none"/>
          <w:u w:val="none"/>
        </w:rPr>
      </w:pPr>
      <w:r>
        <w:rPr>
          <w:rFonts w:hint="eastAsia" w:asciiTheme="minorEastAsia" w:hAnsiTheme="minorEastAsia" w:eastAsiaTheme="minorEastAsia"/>
          <w:b/>
          <w:color w:val="auto"/>
          <w:kern w:val="0"/>
          <w:sz w:val="32"/>
          <w:szCs w:val="32"/>
          <w:highlight w:val="none"/>
          <w:u w:val="none"/>
        </w:rPr>
        <w:t>采购项目名称：</w:t>
      </w:r>
      <w:bookmarkEnd w:id="29"/>
      <w:r>
        <w:rPr>
          <w:rFonts w:hint="eastAsia" w:asciiTheme="minorEastAsia" w:hAnsiTheme="minorEastAsia" w:eastAsiaTheme="minorEastAsia"/>
          <w:b/>
          <w:color w:val="auto"/>
          <w:kern w:val="0"/>
          <w:sz w:val="32"/>
          <w:szCs w:val="32"/>
          <w:highlight w:val="none"/>
          <w:u w:val="none"/>
        </w:rPr>
        <w:t>2020年广西妇幼保健机构能力建设项目</w:t>
      </w:r>
    </w:p>
    <w:p>
      <w:pPr>
        <w:widowControl/>
        <w:adjustRightInd w:val="0"/>
        <w:snapToGrid w:val="0"/>
        <w:spacing w:after="200" w:line="480" w:lineRule="auto"/>
        <w:ind w:firstLine="1108" w:firstLineChars="345"/>
        <w:jc w:val="left"/>
        <w:rPr>
          <w:rFonts w:asciiTheme="minorEastAsia" w:hAnsiTheme="minorEastAsia" w:eastAsiaTheme="minorEastAsia"/>
          <w:b/>
          <w:color w:val="auto"/>
          <w:kern w:val="0"/>
          <w:sz w:val="32"/>
          <w:szCs w:val="32"/>
          <w:highlight w:val="none"/>
          <w:u w:val="none"/>
        </w:rPr>
      </w:pPr>
      <w:r>
        <w:rPr>
          <w:rFonts w:hint="eastAsia" w:asciiTheme="minorEastAsia" w:hAnsiTheme="minorEastAsia" w:eastAsiaTheme="minorEastAsia"/>
          <w:b/>
          <w:color w:val="auto"/>
          <w:kern w:val="0"/>
          <w:sz w:val="32"/>
          <w:szCs w:val="32"/>
          <w:highlight w:val="none"/>
          <w:u w:val="none"/>
        </w:rPr>
        <w:t>采购项目编号: QZZC2020-G1-50019-ZDYR</w:t>
      </w:r>
    </w:p>
    <w:p>
      <w:pPr>
        <w:widowControl/>
        <w:tabs>
          <w:tab w:val="left" w:pos="7200"/>
        </w:tabs>
        <w:adjustRightInd w:val="0"/>
        <w:snapToGrid w:val="0"/>
        <w:spacing w:after="200" w:line="360" w:lineRule="auto"/>
        <w:ind w:firstLine="1108" w:firstLineChars="345"/>
        <w:jc w:val="left"/>
        <w:rPr>
          <w:rFonts w:asciiTheme="minorEastAsia" w:hAnsiTheme="minorEastAsia" w:eastAsiaTheme="minorEastAsia"/>
          <w:b/>
          <w:color w:val="auto"/>
          <w:kern w:val="0"/>
          <w:sz w:val="32"/>
          <w:szCs w:val="32"/>
          <w:highlight w:val="none"/>
          <w:u w:val="none"/>
        </w:rPr>
      </w:pPr>
      <w:bookmarkStart w:id="30" w:name="_Toc27513_WPSOffice_Level1"/>
      <w:r>
        <w:rPr>
          <w:rFonts w:hint="eastAsia" w:asciiTheme="minorEastAsia" w:hAnsiTheme="minorEastAsia" w:eastAsiaTheme="minorEastAsia"/>
          <w:b/>
          <w:color w:val="auto"/>
          <w:kern w:val="0"/>
          <w:sz w:val="32"/>
          <w:szCs w:val="32"/>
          <w:highlight w:val="none"/>
          <w:u w:val="none"/>
        </w:rPr>
        <w:t>采 购 人 （甲方）：</w:t>
      </w:r>
      <w:bookmarkEnd w:id="30"/>
      <w:r>
        <w:rPr>
          <w:rFonts w:hint="eastAsia" w:asciiTheme="minorEastAsia" w:hAnsiTheme="minorEastAsia" w:eastAsiaTheme="minorEastAsia"/>
          <w:b/>
          <w:color w:val="auto"/>
          <w:kern w:val="0"/>
          <w:sz w:val="32"/>
          <w:szCs w:val="32"/>
          <w:highlight w:val="none"/>
          <w:u w:val="none"/>
        </w:rPr>
        <w:t xml:space="preserve">     灵山县妇幼保健院     </w:t>
      </w:r>
    </w:p>
    <w:p>
      <w:pPr>
        <w:widowControl/>
        <w:tabs>
          <w:tab w:val="left" w:pos="7380"/>
        </w:tabs>
        <w:adjustRightInd w:val="0"/>
        <w:snapToGrid w:val="0"/>
        <w:spacing w:after="200" w:line="360" w:lineRule="auto"/>
        <w:ind w:firstLine="1108" w:firstLineChars="345"/>
        <w:jc w:val="left"/>
        <w:rPr>
          <w:rFonts w:asciiTheme="minorEastAsia" w:hAnsiTheme="minorEastAsia" w:eastAsiaTheme="minorEastAsia"/>
          <w:b/>
          <w:bCs/>
          <w:color w:val="auto"/>
          <w:kern w:val="0"/>
          <w:sz w:val="32"/>
          <w:szCs w:val="32"/>
          <w:highlight w:val="none"/>
          <w:u w:val="none"/>
        </w:rPr>
      </w:pPr>
      <w:bookmarkStart w:id="31" w:name="_Toc30737_WPSOffice_Level1"/>
      <w:r>
        <w:rPr>
          <w:rFonts w:hint="eastAsia" w:asciiTheme="minorEastAsia" w:hAnsiTheme="minorEastAsia" w:eastAsiaTheme="minorEastAsia"/>
          <w:b/>
          <w:color w:val="auto"/>
          <w:kern w:val="0"/>
          <w:sz w:val="32"/>
          <w:szCs w:val="32"/>
          <w:highlight w:val="none"/>
          <w:u w:val="none"/>
        </w:rPr>
        <w:t>中标供应商（乙方）：</w:t>
      </w:r>
      <w:bookmarkEnd w:id="31"/>
    </w:p>
    <w:p>
      <w:pPr>
        <w:widowControl/>
        <w:tabs>
          <w:tab w:val="left" w:pos="7380"/>
        </w:tabs>
        <w:adjustRightInd w:val="0"/>
        <w:snapToGrid w:val="0"/>
        <w:spacing w:after="200" w:line="360" w:lineRule="auto"/>
        <w:ind w:firstLine="1108" w:firstLineChars="345"/>
        <w:jc w:val="left"/>
        <w:rPr>
          <w:rFonts w:asciiTheme="minorEastAsia" w:hAnsiTheme="minorEastAsia" w:eastAsiaTheme="minorEastAsia"/>
          <w:b/>
          <w:bCs/>
          <w:color w:val="auto"/>
          <w:kern w:val="0"/>
          <w:sz w:val="32"/>
          <w:szCs w:val="32"/>
          <w:highlight w:val="none"/>
          <w:u w:val="none"/>
        </w:rPr>
      </w:pPr>
      <w:r>
        <w:rPr>
          <w:rFonts w:hint="eastAsia" w:asciiTheme="minorEastAsia" w:hAnsiTheme="minorEastAsia" w:eastAsiaTheme="minorEastAsia"/>
          <w:b/>
          <w:color w:val="auto"/>
          <w:kern w:val="0"/>
          <w:sz w:val="32"/>
          <w:szCs w:val="32"/>
          <w:highlight w:val="none"/>
          <w:u w:val="none"/>
        </w:rPr>
        <w:t>签订地点： 灵山县妇幼保健院</w:t>
      </w:r>
    </w:p>
    <w:p>
      <w:pPr>
        <w:widowControl/>
        <w:tabs>
          <w:tab w:val="left" w:pos="7380"/>
        </w:tabs>
        <w:adjustRightInd w:val="0"/>
        <w:snapToGrid w:val="0"/>
        <w:spacing w:after="200" w:line="360" w:lineRule="auto"/>
        <w:ind w:firstLine="1108" w:firstLineChars="345"/>
        <w:jc w:val="left"/>
        <w:rPr>
          <w:rFonts w:asciiTheme="minorEastAsia" w:hAnsiTheme="minorEastAsia" w:eastAsiaTheme="minorEastAsia"/>
          <w:b/>
          <w:color w:val="auto"/>
          <w:kern w:val="0"/>
          <w:sz w:val="32"/>
          <w:szCs w:val="32"/>
          <w:highlight w:val="none"/>
          <w:u w:val="none"/>
        </w:rPr>
      </w:pPr>
      <w:r>
        <w:rPr>
          <w:rFonts w:hint="eastAsia" w:asciiTheme="minorEastAsia" w:hAnsiTheme="minorEastAsia" w:eastAsiaTheme="minorEastAsia"/>
          <w:b/>
          <w:color w:val="auto"/>
          <w:kern w:val="0"/>
          <w:sz w:val="32"/>
          <w:szCs w:val="32"/>
          <w:highlight w:val="none"/>
          <w:u w:val="none"/>
        </w:rPr>
        <w:t xml:space="preserve">签订时间：          年  月  日    </w:t>
      </w:r>
    </w:p>
    <w:p>
      <w:pPr>
        <w:jc w:val="center"/>
        <w:rPr>
          <w:rFonts w:asciiTheme="minorEastAsia" w:hAnsiTheme="minorEastAsia" w:eastAsiaTheme="minorEastAsia"/>
          <w:b/>
          <w:color w:val="auto"/>
          <w:sz w:val="36"/>
          <w:szCs w:val="36"/>
          <w:highlight w:val="none"/>
          <w:u w:val="none"/>
        </w:rPr>
      </w:pPr>
      <w:r>
        <w:rPr>
          <w:rFonts w:asciiTheme="minorEastAsia" w:hAnsiTheme="minorEastAsia" w:eastAsiaTheme="minorEastAsia"/>
          <w:b/>
          <w:color w:val="auto"/>
          <w:sz w:val="42"/>
          <w:szCs w:val="44"/>
          <w:highlight w:val="none"/>
          <w:u w:val="none"/>
        </w:rPr>
        <w:br w:type="page"/>
      </w:r>
      <w:r>
        <w:rPr>
          <w:rFonts w:hint="eastAsia" w:asciiTheme="minorEastAsia" w:hAnsiTheme="minorEastAsia" w:eastAsiaTheme="minorEastAsia"/>
          <w:b/>
          <w:color w:val="auto"/>
          <w:sz w:val="36"/>
          <w:szCs w:val="36"/>
          <w:highlight w:val="none"/>
          <w:u w:val="none"/>
        </w:rPr>
        <w:t>目  录</w:t>
      </w:r>
    </w:p>
    <w:p>
      <w:pPr>
        <w:tabs>
          <w:tab w:val="left" w:pos="1170"/>
        </w:tabs>
        <w:spacing w:line="360" w:lineRule="auto"/>
        <w:ind w:left="359" w:leftChars="171" w:firstLine="198" w:firstLineChars="71"/>
        <w:rPr>
          <w:rFonts w:asciiTheme="minorEastAsia" w:hAnsiTheme="minorEastAsia" w:eastAsiaTheme="minorEastAsia"/>
          <w:color w:val="auto"/>
          <w:sz w:val="28"/>
          <w:highlight w:val="none"/>
          <w:u w:val="none"/>
        </w:rPr>
      </w:pPr>
      <w:r>
        <w:rPr>
          <w:rFonts w:asciiTheme="minorEastAsia" w:hAnsiTheme="minorEastAsia" w:eastAsiaTheme="minorEastAsia"/>
          <w:color w:val="auto"/>
          <w:sz w:val="28"/>
          <w:highlight w:val="none"/>
          <w:u w:val="none"/>
        </w:rPr>
        <w:tab/>
      </w:r>
    </w:p>
    <w:p>
      <w:pPr>
        <w:rPr>
          <w:rFonts w:asciiTheme="minorEastAsia" w:hAnsiTheme="minorEastAsia" w:eastAsiaTheme="minorEastAsia"/>
          <w:b/>
          <w:color w:val="auto"/>
          <w:sz w:val="30"/>
          <w:szCs w:val="30"/>
          <w:highlight w:val="none"/>
          <w:u w:val="none"/>
        </w:rPr>
      </w:pPr>
      <w:r>
        <w:rPr>
          <w:rFonts w:hint="eastAsia" w:asciiTheme="minorEastAsia" w:hAnsiTheme="minorEastAsia" w:eastAsiaTheme="minorEastAsia"/>
          <w:b/>
          <w:color w:val="auto"/>
          <w:sz w:val="30"/>
          <w:szCs w:val="30"/>
          <w:highlight w:val="none"/>
          <w:u w:val="none"/>
        </w:rPr>
        <w:t>一、采购合同书</w:t>
      </w:r>
    </w:p>
    <w:p>
      <w:pPr>
        <w:rPr>
          <w:rFonts w:asciiTheme="minorEastAsia" w:hAnsiTheme="minorEastAsia" w:eastAsiaTheme="minorEastAsia"/>
          <w:b/>
          <w:color w:val="auto"/>
          <w:sz w:val="30"/>
          <w:szCs w:val="30"/>
          <w:highlight w:val="none"/>
          <w:u w:val="none"/>
        </w:rPr>
      </w:pPr>
      <w:r>
        <w:rPr>
          <w:rFonts w:hint="eastAsia" w:asciiTheme="minorEastAsia" w:hAnsiTheme="minorEastAsia" w:eastAsiaTheme="minorEastAsia"/>
          <w:b/>
          <w:color w:val="auto"/>
          <w:sz w:val="30"/>
          <w:szCs w:val="30"/>
          <w:highlight w:val="none"/>
          <w:u w:val="none"/>
        </w:rPr>
        <w:t>二、合同附件</w:t>
      </w:r>
    </w:p>
    <w:p>
      <w:pPr>
        <w:numPr>
          <w:ilvl w:val="0"/>
          <w:numId w:val="1"/>
        </w:numPr>
        <w:rPr>
          <w:rFonts w:asciiTheme="minorEastAsia" w:hAnsiTheme="minorEastAsia" w:eastAsiaTheme="minorEastAsia"/>
          <w:color w:val="auto"/>
          <w:sz w:val="28"/>
          <w:highlight w:val="none"/>
          <w:u w:val="none"/>
        </w:rPr>
      </w:pPr>
      <w:r>
        <w:rPr>
          <w:rFonts w:hint="eastAsia" w:asciiTheme="minorEastAsia" w:hAnsiTheme="minorEastAsia" w:eastAsiaTheme="minorEastAsia"/>
          <w:color w:val="auto"/>
          <w:sz w:val="28"/>
          <w:highlight w:val="none"/>
          <w:u w:val="none"/>
        </w:rPr>
        <w:t>中标通知书</w:t>
      </w:r>
    </w:p>
    <w:p>
      <w:pPr>
        <w:numPr>
          <w:ilvl w:val="0"/>
          <w:numId w:val="1"/>
        </w:numPr>
        <w:rPr>
          <w:rFonts w:asciiTheme="minorEastAsia" w:hAnsiTheme="minorEastAsia" w:eastAsiaTheme="minorEastAsia"/>
          <w:color w:val="auto"/>
          <w:sz w:val="28"/>
          <w:highlight w:val="none"/>
          <w:u w:val="none"/>
        </w:rPr>
      </w:pPr>
      <w:r>
        <w:rPr>
          <w:rFonts w:hint="eastAsia" w:asciiTheme="minorEastAsia" w:hAnsiTheme="minorEastAsia" w:eastAsiaTheme="minorEastAsia"/>
          <w:color w:val="auto"/>
          <w:sz w:val="28"/>
          <w:highlight w:val="none"/>
          <w:u w:val="none"/>
        </w:rPr>
        <w:t>投标保证金交纳证明</w:t>
      </w:r>
    </w:p>
    <w:p>
      <w:pPr>
        <w:numPr>
          <w:ilvl w:val="0"/>
          <w:numId w:val="1"/>
        </w:numPr>
        <w:rPr>
          <w:rFonts w:asciiTheme="minorEastAsia" w:hAnsiTheme="minorEastAsia" w:eastAsiaTheme="minorEastAsia"/>
          <w:color w:val="auto"/>
          <w:sz w:val="28"/>
          <w:highlight w:val="none"/>
          <w:u w:val="none"/>
        </w:rPr>
      </w:pPr>
      <w:r>
        <w:rPr>
          <w:rFonts w:hint="eastAsia" w:asciiTheme="minorEastAsia" w:hAnsiTheme="minorEastAsia" w:eastAsiaTheme="minorEastAsia"/>
          <w:color w:val="auto"/>
          <w:sz w:val="28"/>
          <w:highlight w:val="none"/>
          <w:u w:val="none"/>
        </w:rPr>
        <w:t>招标文件货物需求一览表</w:t>
      </w:r>
    </w:p>
    <w:p>
      <w:pPr>
        <w:numPr>
          <w:ilvl w:val="0"/>
          <w:numId w:val="1"/>
        </w:numPr>
        <w:rPr>
          <w:rFonts w:asciiTheme="minorEastAsia" w:hAnsiTheme="minorEastAsia" w:eastAsiaTheme="minorEastAsia"/>
          <w:color w:val="auto"/>
          <w:sz w:val="28"/>
          <w:highlight w:val="none"/>
          <w:u w:val="none"/>
        </w:rPr>
      </w:pPr>
      <w:r>
        <w:rPr>
          <w:rFonts w:hint="eastAsia" w:asciiTheme="minorEastAsia" w:hAnsiTheme="minorEastAsia" w:eastAsiaTheme="minorEastAsia"/>
          <w:color w:val="auto"/>
          <w:sz w:val="28"/>
          <w:highlight w:val="none"/>
          <w:u w:val="none"/>
        </w:rPr>
        <w:t>招标文件的更改通知（如有）</w:t>
      </w:r>
    </w:p>
    <w:p>
      <w:pPr>
        <w:numPr>
          <w:ilvl w:val="0"/>
          <w:numId w:val="1"/>
        </w:numPr>
        <w:rPr>
          <w:rFonts w:asciiTheme="minorEastAsia" w:hAnsiTheme="minorEastAsia" w:eastAsiaTheme="minorEastAsia"/>
          <w:color w:val="auto"/>
          <w:sz w:val="28"/>
          <w:highlight w:val="none"/>
          <w:u w:val="none"/>
        </w:rPr>
      </w:pPr>
      <w:r>
        <w:rPr>
          <w:rFonts w:hint="eastAsia" w:asciiTheme="minorEastAsia" w:hAnsiTheme="minorEastAsia" w:eastAsiaTheme="minorEastAsia"/>
          <w:color w:val="auto"/>
          <w:sz w:val="28"/>
          <w:highlight w:val="none"/>
          <w:u w:val="none"/>
        </w:rPr>
        <w:t>投标函</w:t>
      </w:r>
    </w:p>
    <w:p>
      <w:pPr>
        <w:numPr>
          <w:ilvl w:val="0"/>
          <w:numId w:val="1"/>
        </w:numPr>
        <w:rPr>
          <w:rFonts w:asciiTheme="minorEastAsia" w:hAnsiTheme="minorEastAsia" w:eastAsiaTheme="minorEastAsia"/>
          <w:color w:val="auto"/>
          <w:sz w:val="28"/>
          <w:highlight w:val="none"/>
          <w:u w:val="none"/>
        </w:rPr>
      </w:pPr>
      <w:r>
        <w:rPr>
          <w:rFonts w:hint="eastAsia" w:asciiTheme="minorEastAsia" w:hAnsiTheme="minorEastAsia" w:eastAsiaTheme="minorEastAsia"/>
          <w:color w:val="auto"/>
          <w:sz w:val="28"/>
          <w:highlight w:val="none"/>
          <w:u w:val="none"/>
        </w:rPr>
        <w:t>投标报价表</w:t>
      </w:r>
    </w:p>
    <w:p>
      <w:pPr>
        <w:numPr>
          <w:ilvl w:val="0"/>
          <w:numId w:val="1"/>
        </w:numPr>
        <w:rPr>
          <w:rFonts w:asciiTheme="minorEastAsia" w:hAnsiTheme="minorEastAsia" w:eastAsiaTheme="minorEastAsia"/>
          <w:color w:val="auto"/>
          <w:sz w:val="28"/>
          <w:highlight w:val="none"/>
          <w:u w:val="none"/>
        </w:rPr>
      </w:pPr>
      <w:r>
        <w:rPr>
          <w:rFonts w:hint="eastAsia" w:asciiTheme="minorEastAsia" w:hAnsiTheme="minorEastAsia" w:eastAsiaTheme="minorEastAsia"/>
          <w:color w:val="auto"/>
          <w:sz w:val="28"/>
          <w:highlight w:val="none"/>
          <w:u w:val="none"/>
        </w:rPr>
        <w:t>投标产品技术资料表、商务条款偏离表</w:t>
      </w:r>
    </w:p>
    <w:p>
      <w:pPr>
        <w:numPr>
          <w:ilvl w:val="0"/>
          <w:numId w:val="1"/>
        </w:numPr>
        <w:rPr>
          <w:rFonts w:asciiTheme="minorEastAsia" w:hAnsiTheme="minorEastAsia" w:eastAsiaTheme="minorEastAsia"/>
          <w:color w:val="auto"/>
          <w:sz w:val="28"/>
          <w:highlight w:val="none"/>
          <w:u w:val="none"/>
        </w:rPr>
      </w:pPr>
      <w:r>
        <w:rPr>
          <w:rFonts w:hint="eastAsia" w:asciiTheme="minorEastAsia" w:hAnsiTheme="minorEastAsia" w:eastAsiaTheme="minorEastAsia"/>
          <w:color w:val="auto"/>
          <w:sz w:val="28"/>
          <w:highlight w:val="none"/>
          <w:u w:val="none"/>
        </w:rPr>
        <w:t>中标供应商澄清函</w:t>
      </w:r>
    </w:p>
    <w:p>
      <w:pPr>
        <w:rPr>
          <w:rFonts w:asciiTheme="minorEastAsia" w:hAnsiTheme="minorEastAsia" w:eastAsiaTheme="minorEastAsia"/>
          <w:b/>
          <w:color w:val="auto"/>
          <w:sz w:val="30"/>
          <w:szCs w:val="30"/>
          <w:highlight w:val="none"/>
          <w:u w:val="none"/>
        </w:rPr>
      </w:pPr>
    </w:p>
    <w:p>
      <w:pPr>
        <w:spacing w:line="360" w:lineRule="auto"/>
        <w:jc w:val="center"/>
        <w:rPr>
          <w:rFonts w:asciiTheme="minorEastAsia" w:hAnsiTheme="minorEastAsia" w:eastAsiaTheme="minorEastAsia"/>
          <w:b/>
          <w:bCs/>
          <w:color w:val="auto"/>
          <w:sz w:val="28"/>
          <w:highlight w:val="none"/>
          <w:u w:val="none"/>
        </w:rPr>
      </w:pPr>
    </w:p>
    <w:p>
      <w:pPr>
        <w:spacing w:line="360" w:lineRule="auto"/>
        <w:ind w:firstLine="3780" w:firstLineChars="1350"/>
        <w:rPr>
          <w:rFonts w:asciiTheme="minorEastAsia" w:hAnsiTheme="minorEastAsia" w:eastAsiaTheme="minorEastAsia"/>
          <w:b/>
          <w:bCs/>
          <w:color w:val="auto"/>
          <w:sz w:val="32"/>
          <w:szCs w:val="32"/>
          <w:highlight w:val="none"/>
          <w:u w:val="none"/>
        </w:rPr>
      </w:pPr>
      <w:r>
        <w:rPr>
          <w:rFonts w:asciiTheme="minorEastAsia" w:hAnsiTheme="minorEastAsia" w:eastAsiaTheme="minorEastAsia"/>
          <w:bCs/>
          <w:color w:val="auto"/>
          <w:sz w:val="28"/>
          <w:highlight w:val="none"/>
          <w:u w:val="none"/>
        </w:rPr>
        <w:br w:type="page"/>
      </w:r>
      <w:r>
        <w:rPr>
          <w:rFonts w:hint="eastAsia" w:asciiTheme="minorEastAsia" w:hAnsiTheme="minorEastAsia" w:eastAsiaTheme="minorEastAsia"/>
          <w:b/>
          <w:color w:val="auto"/>
          <w:sz w:val="32"/>
          <w:szCs w:val="32"/>
          <w:highlight w:val="none"/>
          <w:u w:val="none"/>
        </w:rPr>
        <w:t>采购合同书</w:t>
      </w:r>
    </w:p>
    <w:p>
      <w:pPr>
        <w:pStyle w:val="8"/>
        <w:spacing w:line="360" w:lineRule="auto"/>
        <w:ind w:firstLine="6405" w:firstLineChars="3050"/>
        <w:rPr>
          <w:rFonts w:asciiTheme="minorEastAsia" w:hAnsiTheme="minorEastAsia" w:eastAsiaTheme="minorEastAsia"/>
          <w:bCs/>
          <w:color w:val="auto"/>
          <w:szCs w:val="21"/>
          <w:highlight w:val="none"/>
          <w:u w:val="none"/>
        </w:rPr>
      </w:pPr>
      <w:r>
        <w:rPr>
          <w:rFonts w:hint="eastAsia" w:asciiTheme="minorEastAsia" w:hAnsiTheme="minorEastAsia" w:eastAsiaTheme="minorEastAsia"/>
          <w:color w:val="auto"/>
          <w:highlight w:val="none"/>
          <w:u w:val="none"/>
        </w:rPr>
        <w:t>合同编号：</w:t>
      </w:r>
    </w:p>
    <w:p>
      <w:pPr>
        <w:pStyle w:val="8"/>
        <w:spacing w:line="360" w:lineRule="auto"/>
        <w:rPr>
          <w:rFonts w:asciiTheme="minorEastAsia" w:hAnsiTheme="minorEastAsia" w:eastAsiaTheme="minorEastAsia"/>
          <w:color w:val="auto"/>
          <w:kern w:val="0"/>
          <w:sz w:val="24"/>
          <w:highlight w:val="none"/>
          <w:u w:val="none"/>
        </w:rPr>
      </w:pPr>
    </w:p>
    <w:p>
      <w:pPr>
        <w:pStyle w:val="8"/>
        <w:spacing w:line="360" w:lineRule="auto"/>
        <w:rPr>
          <w:rFonts w:asciiTheme="minorEastAsia" w:hAnsiTheme="minorEastAsia" w:eastAsiaTheme="minorEastAsia"/>
          <w:color w:val="auto"/>
          <w:highlight w:val="none"/>
          <w:u w:val="none"/>
        </w:rPr>
      </w:pPr>
      <w:r>
        <w:rPr>
          <w:rFonts w:hint="eastAsia" w:asciiTheme="minorEastAsia" w:hAnsiTheme="minorEastAsia" w:eastAsiaTheme="minorEastAsia"/>
          <w:color w:val="auto"/>
          <w:kern w:val="0"/>
          <w:sz w:val="24"/>
          <w:highlight w:val="none"/>
          <w:u w:val="none"/>
        </w:rPr>
        <w:t>采购计划表编号：LSZC2020-G1- 013711</w:t>
      </w:r>
    </w:p>
    <w:p>
      <w:pPr>
        <w:pStyle w:val="8"/>
        <w:spacing w:line="360" w:lineRule="auto"/>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项目名称：2020年广西妇幼保健机构能力建设项目</w:t>
      </w:r>
    </w:p>
    <w:p>
      <w:pPr>
        <w:pStyle w:val="8"/>
        <w:spacing w:line="360" w:lineRule="auto"/>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项目编号：QZZC2020-G1-50019-ZDYR</w:t>
      </w:r>
    </w:p>
    <w:p>
      <w:pPr>
        <w:pStyle w:val="8"/>
        <w:spacing w:line="360" w:lineRule="auto"/>
        <w:rPr>
          <w:rFonts w:hint="eastAsia" w:asciiTheme="minorEastAsia" w:hAnsiTheme="minorEastAsia" w:eastAsiaTheme="minorEastAsia"/>
          <w:color w:val="auto"/>
          <w:highlight w:val="none"/>
          <w:u w:val="none"/>
          <w:lang w:eastAsia="zh-CN"/>
        </w:rPr>
      </w:pPr>
      <w:r>
        <w:rPr>
          <w:rFonts w:hint="eastAsia" w:asciiTheme="minorEastAsia" w:hAnsiTheme="minorEastAsia" w:eastAsiaTheme="minorEastAsia"/>
          <w:color w:val="auto"/>
          <w:highlight w:val="none"/>
          <w:u w:val="none"/>
        </w:rPr>
        <w:t>分标号（有分标时填写）：</w:t>
      </w:r>
      <w:r>
        <w:rPr>
          <w:rFonts w:hint="eastAsia" w:asciiTheme="minorEastAsia" w:hAnsiTheme="minorEastAsia" w:eastAsiaTheme="minorEastAsia"/>
          <w:color w:val="auto"/>
          <w:highlight w:val="none"/>
          <w:u w:val="none"/>
          <w:lang w:val="en-US" w:eastAsia="zh-CN"/>
        </w:rPr>
        <w:t xml:space="preserve"> </w:t>
      </w:r>
      <w:bookmarkStart w:id="32" w:name="_GoBack"/>
      <w:bookmarkEnd w:id="32"/>
    </w:p>
    <w:p>
      <w:pPr>
        <w:pStyle w:val="8"/>
        <w:spacing w:line="360" w:lineRule="auto"/>
        <w:rPr>
          <w:rFonts w:asciiTheme="minorEastAsia" w:hAnsiTheme="minorEastAsia" w:eastAsiaTheme="minorEastAsia"/>
          <w:color w:val="auto"/>
          <w:highlight w:val="none"/>
          <w:u w:val="none"/>
        </w:rPr>
      </w:pPr>
    </w:p>
    <w:p>
      <w:pPr>
        <w:pStyle w:val="8"/>
        <w:spacing w:line="360" w:lineRule="auto"/>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 xml:space="preserve">甲方（买方）：       灵山县妇幼保健院       </w:t>
      </w:r>
    </w:p>
    <w:p>
      <w:pPr>
        <w:pStyle w:val="8"/>
        <w:spacing w:line="360" w:lineRule="auto"/>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乙方（卖方）：</w:t>
      </w:r>
    </w:p>
    <w:p>
      <w:pPr>
        <w:pStyle w:val="8"/>
        <w:spacing w:line="360" w:lineRule="auto"/>
        <w:rPr>
          <w:rFonts w:asciiTheme="minorEastAsia" w:hAnsiTheme="minorEastAsia" w:eastAsiaTheme="minorEastAsia"/>
          <w:b/>
          <w:color w:val="auto"/>
          <w:highlight w:val="none"/>
          <w:u w:val="none"/>
        </w:rPr>
      </w:pPr>
    </w:p>
    <w:p>
      <w:pPr>
        <w:pStyle w:val="8"/>
        <w:spacing w:line="360" w:lineRule="auto"/>
        <w:rPr>
          <w:rFonts w:asciiTheme="minorEastAsia" w:hAnsiTheme="minorEastAsia" w:eastAsiaTheme="minorEastAsia"/>
          <w:b/>
          <w:color w:val="auto"/>
          <w:highlight w:val="none"/>
          <w:u w:val="none"/>
        </w:rPr>
      </w:pPr>
      <w:r>
        <w:rPr>
          <w:rFonts w:hint="eastAsia" w:asciiTheme="minorEastAsia" w:hAnsiTheme="minorEastAsia" w:eastAsiaTheme="minorEastAsia"/>
          <w:color w:val="auto"/>
          <w:highlight w:val="none"/>
          <w:u w:val="none"/>
        </w:rPr>
        <w:t xml:space="preserve">    根据年月日采购项目的采购结果，甲方接受乙方对本项目的投标，甲、乙双方同意签署本合同（以下简称合同）。</w:t>
      </w:r>
    </w:p>
    <w:p>
      <w:pPr>
        <w:pStyle w:val="8"/>
        <w:spacing w:line="360" w:lineRule="auto"/>
        <w:rPr>
          <w:rFonts w:asciiTheme="minorEastAsia" w:hAnsiTheme="minorEastAsia" w:eastAsiaTheme="minorEastAsia"/>
          <w:b/>
          <w:color w:val="auto"/>
          <w:highlight w:val="none"/>
          <w:u w:val="none"/>
        </w:rPr>
      </w:pPr>
    </w:p>
    <w:p>
      <w:pPr>
        <w:pStyle w:val="8"/>
        <w:spacing w:line="360" w:lineRule="auto"/>
        <w:rPr>
          <w:rFonts w:asciiTheme="minorEastAsia" w:hAnsiTheme="minorEastAsia" w:eastAsiaTheme="minorEastAsia"/>
          <w:b/>
          <w:bCs/>
          <w:color w:val="auto"/>
          <w:sz w:val="24"/>
          <w:highlight w:val="none"/>
          <w:u w:val="none"/>
        </w:rPr>
      </w:pPr>
      <w:r>
        <w:rPr>
          <w:rFonts w:hint="eastAsia" w:asciiTheme="minorEastAsia" w:hAnsiTheme="minorEastAsia" w:eastAsiaTheme="minorEastAsia"/>
          <w:b/>
          <w:bCs/>
          <w:color w:val="auto"/>
          <w:sz w:val="24"/>
          <w:highlight w:val="none"/>
          <w:u w:val="none"/>
        </w:rPr>
        <w:t>1.  采购内容</w:t>
      </w:r>
    </w:p>
    <w:p>
      <w:pPr>
        <w:pStyle w:val="8"/>
        <w:tabs>
          <w:tab w:val="left" w:pos="5220"/>
        </w:tabs>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1.1 货物名称：详见合同附件中投标报价表</w:t>
      </w:r>
    </w:p>
    <w:p>
      <w:pPr>
        <w:pStyle w:val="29"/>
        <w:spacing w:line="360" w:lineRule="auto"/>
        <w:ind w:firstLine="315" w:firstLineChars="15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1.2 数量（单位）：</w:t>
      </w:r>
      <w:r>
        <w:rPr>
          <w:rFonts w:hint="eastAsia" w:cs="宋体" w:asciiTheme="minorEastAsia" w:hAnsiTheme="minorEastAsia" w:eastAsiaTheme="minorEastAsia"/>
          <w:color w:val="auto"/>
          <w:highlight w:val="none"/>
          <w:u w:val="none"/>
        </w:rPr>
        <w:t>详见合同附件中投标报价表</w:t>
      </w:r>
    </w:p>
    <w:p>
      <w:pPr>
        <w:pStyle w:val="29"/>
        <w:spacing w:line="360" w:lineRule="auto"/>
        <w:ind w:firstLine="315" w:firstLineChars="15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1.3 品牌、厂家、型号、规格、配置：详见合同附件中投标产品技术资料表（投标产品技术资料表与澄清函不一致的以澄清函为准）</w:t>
      </w:r>
    </w:p>
    <w:p>
      <w:pPr>
        <w:pStyle w:val="29"/>
        <w:spacing w:line="360" w:lineRule="auto"/>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 xml:space="preserve">   1.4 技术参数：详见合同附件中投标产品技术资料表</w:t>
      </w:r>
    </w:p>
    <w:p>
      <w:pPr>
        <w:pStyle w:val="8"/>
        <w:spacing w:line="360" w:lineRule="auto"/>
        <w:ind w:firstLine="360"/>
        <w:rPr>
          <w:rFonts w:asciiTheme="minorEastAsia" w:hAnsiTheme="minorEastAsia" w:eastAsiaTheme="minorEastAsia"/>
          <w:b/>
          <w:bCs/>
          <w:color w:val="auto"/>
          <w:sz w:val="24"/>
          <w:highlight w:val="none"/>
          <w:u w:val="none"/>
        </w:rPr>
      </w:pPr>
      <w:r>
        <w:rPr>
          <w:rFonts w:hint="eastAsia" w:asciiTheme="minorEastAsia" w:hAnsiTheme="minorEastAsia" w:eastAsiaTheme="minorEastAsia"/>
          <w:b/>
          <w:bCs/>
          <w:color w:val="auto"/>
          <w:sz w:val="24"/>
          <w:highlight w:val="none"/>
          <w:u w:val="none"/>
        </w:rPr>
        <w:t>2.  合同金额</w:t>
      </w:r>
    </w:p>
    <w:p>
      <w:pPr>
        <w:pStyle w:val="8"/>
        <w:spacing w:line="360" w:lineRule="auto"/>
        <w:ind w:left="2"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2.1 本合同金额为（大写）人民币　　　　　　   元（￥　　　　　　）。（详见合同附件中投标报价表）</w:t>
      </w:r>
    </w:p>
    <w:p>
      <w:pPr>
        <w:pStyle w:val="8"/>
        <w:tabs>
          <w:tab w:val="left" w:pos="5940"/>
        </w:tabs>
        <w:spacing w:line="360" w:lineRule="auto"/>
        <w:rPr>
          <w:rFonts w:asciiTheme="minorEastAsia" w:hAnsiTheme="minorEastAsia" w:eastAsiaTheme="minorEastAsia"/>
          <w:b/>
          <w:bCs/>
          <w:color w:val="auto"/>
          <w:sz w:val="24"/>
          <w:highlight w:val="none"/>
          <w:u w:val="none"/>
        </w:rPr>
      </w:pPr>
      <w:r>
        <w:rPr>
          <w:rFonts w:hint="eastAsia" w:asciiTheme="minorEastAsia" w:hAnsiTheme="minorEastAsia" w:eastAsiaTheme="minorEastAsia"/>
          <w:b/>
          <w:bCs/>
          <w:color w:val="auto"/>
          <w:sz w:val="24"/>
          <w:highlight w:val="none"/>
          <w:u w:val="none"/>
        </w:rPr>
        <w:t>3.  交货要求</w:t>
      </w:r>
    </w:p>
    <w:p>
      <w:pPr>
        <w:pStyle w:val="8"/>
        <w:tabs>
          <w:tab w:val="left" w:pos="5220"/>
        </w:tabs>
        <w:spacing w:line="360" w:lineRule="auto"/>
        <w:ind w:firstLine="360"/>
        <w:rPr>
          <w:rFonts w:asciiTheme="minorEastAsia" w:hAnsiTheme="minorEastAsia" w:eastAsiaTheme="minorEastAsia"/>
          <w:bCs/>
          <w:color w:val="auto"/>
          <w:highlight w:val="none"/>
          <w:u w:val="none"/>
        </w:rPr>
      </w:pPr>
      <w:r>
        <w:rPr>
          <w:rFonts w:hint="eastAsia" w:asciiTheme="minorEastAsia" w:hAnsiTheme="minorEastAsia" w:eastAsiaTheme="minorEastAsia"/>
          <w:bCs/>
          <w:color w:val="auto"/>
          <w:highlight w:val="none"/>
          <w:u w:val="none"/>
        </w:rPr>
        <w:t>3.1 交货期：</w:t>
      </w:r>
      <w:r>
        <w:rPr>
          <w:rFonts w:hint="eastAsia" w:asciiTheme="minorEastAsia" w:hAnsiTheme="minorEastAsia" w:eastAsiaTheme="minorEastAsia"/>
          <w:color w:val="auto"/>
          <w:highlight w:val="none"/>
          <w:u w:val="none"/>
        </w:rPr>
        <w:t>自签订合同之日起30日内完成安装与调试</w:t>
      </w:r>
    </w:p>
    <w:p>
      <w:pPr>
        <w:pStyle w:val="8"/>
        <w:spacing w:line="360" w:lineRule="auto"/>
        <w:ind w:firstLine="360"/>
        <w:rPr>
          <w:rFonts w:asciiTheme="minorEastAsia" w:hAnsiTheme="minorEastAsia" w:eastAsiaTheme="minorEastAsia"/>
          <w:bCs/>
          <w:color w:val="auto"/>
          <w:highlight w:val="none"/>
          <w:u w:val="none"/>
        </w:rPr>
      </w:pPr>
      <w:r>
        <w:rPr>
          <w:rFonts w:hint="eastAsia" w:asciiTheme="minorEastAsia" w:hAnsiTheme="minorEastAsia" w:eastAsiaTheme="minorEastAsia"/>
          <w:bCs/>
          <w:color w:val="auto"/>
          <w:highlight w:val="none"/>
          <w:u w:val="none"/>
        </w:rPr>
        <w:t>3.2 交货地点：</w:t>
      </w:r>
      <w:r>
        <w:rPr>
          <w:rFonts w:hint="eastAsia" w:asciiTheme="minorEastAsia" w:hAnsiTheme="minorEastAsia" w:eastAsiaTheme="minorEastAsia"/>
          <w:color w:val="auto"/>
          <w:highlight w:val="none"/>
          <w:u w:val="none"/>
        </w:rPr>
        <w:t xml:space="preserve">  灵山县妇幼保健院     </w:t>
      </w:r>
    </w:p>
    <w:p>
      <w:pPr>
        <w:pStyle w:val="8"/>
        <w:tabs>
          <w:tab w:val="left" w:pos="5220"/>
          <w:tab w:val="left" w:pos="6120"/>
        </w:tabs>
        <w:spacing w:line="360" w:lineRule="auto"/>
        <w:ind w:firstLine="360"/>
        <w:rPr>
          <w:rFonts w:asciiTheme="minorEastAsia" w:hAnsiTheme="minorEastAsia" w:eastAsiaTheme="minorEastAsia"/>
          <w:bCs/>
          <w:color w:val="auto"/>
          <w:highlight w:val="none"/>
          <w:u w:val="none"/>
        </w:rPr>
      </w:pPr>
      <w:r>
        <w:rPr>
          <w:rFonts w:hint="eastAsia" w:asciiTheme="minorEastAsia" w:hAnsiTheme="minorEastAsia" w:eastAsiaTheme="minorEastAsia"/>
          <w:bCs/>
          <w:color w:val="auto"/>
          <w:highlight w:val="none"/>
          <w:u w:val="none"/>
        </w:rPr>
        <w:t>3.3 交货方式：</w:t>
      </w:r>
      <w:r>
        <w:rPr>
          <w:rFonts w:hint="eastAsia" w:asciiTheme="minorEastAsia" w:hAnsiTheme="minorEastAsia" w:eastAsiaTheme="minorEastAsia"/>
          <w:color w:val="auto"/>
          <w:highlight w:val="none"/>
          <w:u w:val="none"/>
        </w:rPr>
        <w:t xml:space="preserve">   免费送货上门到指定部门  </w:t>
      </w:r>
    </w:p>
    <w:p>
      <w:pPr>
        <w:pStyle w:val="8"/>
        <w:spacing w:line="360" w:lineRule="auto"/>
        <w:ind w:firstLine="360"/>
        <w:rPr>
          <w:rFonts w:asciiTheme="minorEastAsia" w:hAnsiTheme="minorEastAsia" w:eastAsiaTheme="minorEastAsia"/>
          <w:b/>
          <w:color w:val="auto"/>
          <w:highlight w:val="none"/>
          <w:u w:val="none"/>
        </w:rPr>
      </w:pPr>
      <w:r>
        <w:rPr>
          <w:rFonts w:hint="eastAsia" w:asciiTheme="minorEastAsia" w:hAnsiTheme="minorEastAsia" w:eastAsiaTheme="minorEastAsia"/>
          <w:bCs/>
          <w:color w:val="auto"/>
          <w:highlight w:val="none"/>
          <w:u w:val="none"/>
        </w:rPr>
        <w:t xml:space="preserve">3.4 </w:t>
      </w:r>
      <w:r>
        <w:rPr>
          <w:rFonts w:hint="eastAsia" w:asciiTheme="minorEastAsia" w:hAnsiTheme="minorEastAsia" w:eastAsiaTheme="minorEastAsia"/>
          <w:color w:val="auto"/>
          <w:highlight w:val="none"/>
          <w:u w:val="none"/>
        </w:rPr>
        <w:t>乙方必须按投标文件承诺的技术参数、性能要求、质量标准等向甲方提供全新、完整、未经使用的货物。</w:t>
      </w:r>
    </w:p>
    <w:p>
      <w:pPr>
        <w:pStyle w:val="8"/>
        <w:spacing w:line="360" w:lineRule="auto"/>
        <w:ind w:left="410" w:hanging="410" w:hangingChars="170"/>
        <w:rPr>
          <w:rFonts w:asciiTheme="minorEastAsia" w:hAnsiTheme="minorEastAsia" w:eastAsiaTheme="minorEastAsia"/>
          <w:b/>
          <w:color w:val="auto"/>
          <w:highlight w:val="none"/>
          <w:u w:val="none"/>
        </w:rPr>
      </w:pPr>
      <w:r>
        <w:rPr>
          <w:rFonts w:hint="eastAsia" w:asciiTheme="minorEastAsia" w:hAnsiTheme="minorEastAsia" w:eastAsiaTheme="minorEastAsia"/>
          <w:b/>
          <w:bCs/>
          <w:color w:val="auto"/>
          <w:sz w:val="24"/>
          <w:highlight w:val="none"/>
          <w:u w:val="none"/>
        </w:rPr>
        <w:t>4.  履约保证金</w:t>
      </w:r>
    </w:p>
    <w:p>
      <w:pPr>
        <w:pStyle w:val="8"/>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4.1 乙方交纳（大写）人民币　　　　　　      （￥元）作为本合同的履约保证金。</w:t>
      </w:r>
    </w:p>
    <w:p>
      <w:pPr>
        <w:pStyle w:val="8"/>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4.2 履约保证金作为违约金的一部分用于补偿甲方因乙方不能完成其合同义务而蒙受的损失。</w:t>
      </w:r>
    </w:p>
    <w:p>
      <w:pPr>
        <w:pStyle w:val="8"/>
        <w:spacing w:line="360" w:lineRule="auto"/>
        <w:rPr>
          <w:rFonts w:asciiTheme="minorEastAsia" w:hAnsiTheme="minorEastAsia" w:eastAsiaTheme="minorEastAsia"/>
          <w:b/>
          <w:bCs/>
          <w:color w:val="auto"/>
          <w:sz w:val="24"/>
          <w:highlight w:val="none"/>
          <w:u w:val="none"/>
        </w:rPr>
      </w:pPr>
      <w:r>
        <w:rPr>
          <w:rFonts w:hint="eastAsia" w:asciiTheme="minorEastAsia" w:hAnsiTheme="minorEastAsia" w:eastAsiaTheme="minorEastAsia"/>
          <w:b/>
          <w:bCs/>
          <w:color w:val="auto"/>
          <w:sz w:val="24"/>
          <w:highlight w:val="none"/>
          <w:u w:val="none"/>
        </w:rPr>
        <w:t>5.  质量保证及售后服务</w:t>
      </w:r>
    </w:p>
    <w:p>
      <w:pPr>
        <w:pStyle w:val="8"/>
        <w:spacing w:line="360" w:lineRule="auto"/>
        <w:ind w:left="2"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5.1 质量保证期年（自交货正常使用由医院验收合格之日起计）。</w:t>
      </w:r>
    </w:p>
    <w:p>
      <w:pPr>
        <w:pStyle w:val="8"/>
        <w:spacing w:line="360" w:lineRule="auto"/>
        <w:ind w:left="2"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5.2 质量保证金为</w:t>
      </w:r>
      <w:r>
        <w:rPr>
          <w:rFonts w:hint="eastAsia" w:asciiTheme="minorEastAsia" w:hAnsiTheme="minorEastAsia" w:eastAsiaTheme="minorEastAsia"/>
          <w:bCs/>
          <w:color w:val="auto"/>
          <w:highlight w:val="none"/>
          <w:u w:val="none"/>
        </w:rPr>
        <w:t>成交款的5%，即</w:t>
      </w:r>
      <w:r>
        <w:rPr>
          <w:rFonts w:hint="eastAsia" w:asciiTheme="minorEastAsia" w:hAnsiTheme="minorEastAsia" w:eastAsiaTheme="minorEastAsia"/>
          <w:color w:val="auto"/>
          <w:highlight w:val="none"/>
          <w:u w:val="none"/>
        </w:rPr>
        <w:t>（大写）人民币　　　　　　      元（￥）。</w:t>
      </w:r>
    </w:p>
    <w:p>
      <w:pPr>
        <w:pStyle w:val="8"/>
        <w:spacing w:line="360" w:lineRule="auto"/>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5.3履约保证金自乙方按合同约定交货验收合格之日起转为质量保证金。在质保期内乙方提供的货物质量和服务符合合同约定，经验收合格，质保期满后乙方持质量保证金退付意见书、政府采购合同及履约验收证明到集中采购中心财务室办理退付手续，集中采购中心将在收到完整且合格的退付申请资料后五个工作日内以转账或电汇方式无息退还乙方。</w:t>
      </w:r>
    </w:p>
    <w:p>
      <w:pPr>
        <w:pStyle w:val="8"/>
        <w:spacing w:line="360" w:lineRule="auto"/>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5.4 如乙方提供的货物在使用过程中发生质量问题，乙方接到甲方故障通知后应在 二十四 小时内到达甲方指定现场，按国家及行业标准对故障进行及时处理。</w:t>
      </w:r>
    </w:p>
    <w:p>
      <w:pPr>
        <w:pStyle w:val="8"/>
        <w:spacing w:line="360" w:lineRule="auto"/>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5.5 乙方提供的货物在质量保证期内因货物本身的质量问题发生故障，乙方应负责免费更换。对达不到技术要求者，根据实际情况，经双方协商，可按以下办法处理：</w:t>
      </w:r>
    </w:p>
    <w:p>
      <w:pPr>
        <w:pStyle w:val="8"/>
        <w:spacing w:line="360" w:lineRule="auto"/>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（1）更换：由乙方承担所发生的全部费用；</w:t>
      </w:r>
    </w:p>
    <w:p>
      <w:pPr>
        <w:pStyle w:val="8"/>
        <w:spacing w:line="360" w:lineRule="auto"/>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（2）贬值处理：由甲乙双方合议定价；</w:t>
      </w:r>
    </w:p>
    <w:p>
      <w:pPr>
        <w:pStyle w:val="8"/>
        <w:spacing w:line="360" w:lineRule="auto"/>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（3）退货处理：乙方应退还甲方支付的合同款，同时应承担与该货物相关的直接费用（运输、保险、检验、合同款利息及银行手续费等）。</w:t>
      </w:r>
    </w:p>
    <w:p>
      <w:pPr>
        <w:pStyle w:val="8"/>
        <w:spacing w:line="360" w:lineRule="auto"/>
        <w:ind w:left="2"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5.6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pStyle w:val="8"/>
        <w:spacing w:line="360" w:lineRule="auto"/>
        <w:ind w:left="2"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5.7 超过质量保证期的货物，乙方提供终生维修、保养服务，维修时只收部件成本费。</w:t>
      </w:r>
    </w:p>
    <w:p>
      <w:pPr>
        <w:pStyle w:val="8"/>
        <w:spacing w:line="360" w:lineRule="auto"/>
        <w:ind w:left="2"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5.8 乙方随时优惠提供备品备件，优惠提供产品更新、改造服务。</w:t>
      </w:r>
    </w:p>
    <w:p>
      <w:pPr>
        <w:pStyle w:val="8"/>
        <w:spacing w:line="360" w:lineRule="auto"/>
        <w:ind w:left="2" w:firstLine="360"/>
        <w:rPr>
          <w:rFonts w:asciiTheme="minorEastAsia" w:hAnsiTheme="minorEastAsia" w:eastAsiaTheme="minorEastAsia"/>
          <w:color w:val="auto"/>
          <w:highlight w:val="none"/>
          <w:u w:val="none"/>
        </w:rPr>
      </w:pPr>
      <w:r>
        <w:rPr>
          <w:rFonts w:asciiTheme="minorEastAsia" w:hAnsiTheme="minorEastAsia" w:eastAsiaTheme="minorEastAsia"/>
          <w:color w:val="auto"/>
          <w:highlight w:val="none"/>
          <w:u w:val="none"/>
        </w:rPr>
        <w:t xml:space="preserve">5.9 </w:t>
      </w:r>
      <w:r>
        <w:rPr>
          <w:rFonts w:hint="eastAsia" w:asciiTheme="minorEastAsia" w:hAnsiTheme="minorEastAsia" w:eastAsiaTheme="minorEastAsia"/>
          <w:color w:val="auto"/>
          <w:highlight w:val="none"/>
          <w:u w:val="none"/>
        </w:rPr>
        <w:t>其他售后服务要求：按投标文件商务条款偏离表及澄清函（商务条款偏离表与澄清函不一致的以澄清函为准）内容执行。</w:t>
      </w:r>
    </w:p>
    <w:p>
      <w:pPr>
        <w:pStyle w:val="8"/>
        <w:spacing w:line="360" w:lineRule="auto"/>
        <w:rPr>
          <w:rFonts w:asciiTheme="minorEastAsia" w:hAnsiTheme="minorEastAsia" w:eastAsiaTheme="minorEastAsia"/>
          <w:b/>
          <w:bCs/>
          <w:color w:val="auto"/>
          <w:sz w:val="24"/>
          <w:highlight w:val="none"/>
          <w:u w:val="none"/>
        </w:rPr>
      </w:pPr>
      <w:r>
        <w:rPr>
          <w:rFonts w:hint="eastAsia" w:asciiTheme="minorEastAsia" w:hAnsiTheme="minorEastAsia" w:eastAsiaTheme="minorEastAsia"/>
          <w:b/>
          <w:bCs/>
          <w:color w:val="auto"/>
          <w:sz w:val="24"/>
          <w:highlight w:val="none"/>
          <w:u w:val="none"/>
        </w:rPr>
        <w:t>6.  合同款支付</w:t>
      </w:r>
    </w:p>
    <w:p>
      <w:pPr>
        <w:pStyle w:val="8"/>
        <w:spacing w:line="360" w:lineRule="auto"/>
        <w:ind w:firstLine="360"/>
        <w:rPr>
          <w:rFonts w:asciiTheme="minorEastAsia" w:hAnsiTheme="minorEastAsia" w:eastAsiaTheme="minorEastAsia"/>
          <w:bCs/>
          <w:color w:val="auto"/>
          <w:highlight w:val="none"/>
          <w:u w:val="none"/>
        </w:rPr>
      </w:pPr>
      <w:r>
        <w:rPr>
          <w:rFonts w:hint="eastAsia" w:asciiTheme="minorEastAsia" w:hAnsiTheme="minorEastAsia" w:eastAsiaTheme="minorEastAsia"/>
          <w:bCs/>
          <w:color w:val="auto"/>
          <w:highlight w:val="none"/>
          <w:u w:val="none"/>
        </w:rPr>
        <w:t>6.1 付款方式：设备安装调试验收合格正常使用后,扣除成交款的5%作为质保金，30天内付清成交款的30%，余下成交款的 65%分12个月付清，质保金在设备质保期满后付清。</w:t>
      </w:r>
    </w:p>
    <w:p>
      <w:pPr>
        <w:pStyle w:val="8"/>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6.2 支付合同款时，由甲方按照合同约定向提交完整且合格的支付申请材料；将款项直接支付给供应商。</w:t>
      </w:r>
    </w:p>
    <w:p>
      <w:pPr>
        <w:pStyle w:val="8"/>
        <w:spacing w:line="360" w:lineRule="auto"/>
        <w:ind w:firstLine="360"/>
        <w:rPr>
          <w:rFonts w:asciiTheme="minorEastAsia" w:hAnsiTheme="minorEastAsia" w:eastAsiaTheme="minorEastAsia"/>
          <w:bCs/>
          <w:color w:val="auto"/>
          <w:highlight w:val="none"/>
          <w:u w:val="none"/>
        </w:rPr>
      </w:pPr>
      <w:r>
        <w:rPr>
          <w:rFonts w:hint="eastAsia" w:asciiTheme="minorEastAsia" w:hAnsiTheme="minorEastAsia" w:eastAsiaTheme="minorEastAsia"/>
          <w:color w:val="auto"/>
          <w:highlight w:val="none"/>
          <w:u w:val="none"/>
        </w:rPr>
        <w:t>6.3 当采购数量与实际使用数量不一致时，甲方可以在报经审核同意后，</w:t>
      </w:r>
      <w:r>
        <w:rPr>
          <w:rFonts w:hint="eastAsia" w:asciiTheme="minorEastAsia" w:hAnsiTheme="minorEastAsia" w:eastAsiaTheme="minorEastAsia"/>
          <w:color w:val="auto"/>
          <w:szCs w:val="21"/>
          <w:highlight w:val="none"/>
          <w:u w:val="none"/>
        </w:rPr>
        <w:t>在不改变合同其他条款的前提下与供应商协商签订补充合同，但所有补充合同的采购金额不得超过原合同采购金额的百分之十。</w:t>
      </w:r>
      <w:r>
        <w:rPr>
          <w:rFonts w:hint="eastAsia" w:asciiTheme="minorEastAsia" w:hAnsiTheme="minorEastAsia" w:eastAsiaTheme="minorEastAsia"/>
          <w:color w:val="auto"/>
          <w:highlight w:val="none"/>
          <w:u w:val="none"/>
        </w:rPr>
        <w:t>供应商应根据实际使用数量供货，合同的最终结算金额按实际使用数量乘以成交单价进行计算。</w:t>
      </w:r>
    </w:p>
    <w:p>
      <w:pPr>
        <w:pStyle w:val="8"/>
        <w:spacing w:line="360" w:lineRule="auto"/>
        <w:ind w:firstLine="360"/>
        <w:rPr>
          <w:rFonts w:asciiTheme="minorEastAsia" w:hAnsiTheme="minorEastAsia" w:eastAsiaTheme="minorEastAsia"/>
          <w:bCs/>
          <w:color w:val="auto"/>
          <w:highlight w:val="none"/>
          <w:u w:val="none"/>
        </w:rPr>
      </w:pPr>
      <w:r>
        <w:rPr>
          <w:rFonts w:hint="eastAsia" w:asciiTheme="minorEastAsia" w:hAnsiTheme="minorEastAsia" w:eastAsiaTheme="minorEastAsia"/>
          <w:bCs/>
          <w:color w:val="auto"/>
          <w:highlight w:val="none"/>
          <w:u w:val="none"/>
        </w:rPr>
        <w:t>6.4</w:t>
      </w:r>
      <w:r>
        <w:rPr>
          <w:rFonts w:hint="eastAsia" w:asciiTheme="minorEastAsia" w:hAnsiTheme="minorEastAsia" w:eastAsiaTheme="minorEastAsia"/>
          <w:color w:val="auto"/>
          <w:szCs w:val="21"/>
          <w:highlight w:val="none"/>
          <w:u w:val="none"/>
        </w:rPr>
        <w:t>政府采购监督管理部门在处理投诉事项期间，可以视具体情况书面通知采购人暂停采购活动</w:t>
      </w:r>
      <w:r>
        <w:rPr>
          <w:rFonts w:hint="eastAsia" w:asciiTheme="minorEastAsia" w:hAnsiTheme="minorEastAsia" w:eastAsiaTheme="minorEastAsia"/>
          <w:bCs/>
          <w:color w:val="auto"/>
          <w:highlight w:val="none"/>
          <w:u w:val="none"/>
        </w:rPr>
        <w:t>，并延期支付合同款。</w:t>
      </w:r>
    </w:p>
    <w:p>
      <w:pPr>
        <w:pStyle w:val="8"/>
        <w:spacing w:line="360" w:lineRule="auto"/>
        <w:ind w:left="412" w:hanging="412" w:hangingChars="171"/>
        <w:rPr>
          <w:rFonts w:asciiTheme="minorEastAsia" w:hAnsiTheme="minorEastAsia" w:eastAsiaTheme="minorEastAsia"/>
          <w:b/>
          <w:color w:val="auto"/>
          <w:highlight w:val="none"/>
          <w:u w:val="none"/>
        </w:rPr>
      </w:pPr>
      <w:r>
        <w:rPr>
          <w:rFonts w:hint="eastAsia" w:asciiTheme="minorEastAsia" w:hAnsiTheme="minorEastAsia" w:eastAsiaTheme="minorEastAsia"/>
          <w:b/>
          <w:bCs/>
          <w:color w:val="auto"/>
          <w:sz w:val="24"/>
          <w:highlight w:val="none"/>
          <w:u w:val="none"/>
        </w:rPr>
        <w:t>7.  产权</w:t>
      </w:r>
    </w:p>
    <w:p>
      <w:pPr>
        <w:pStyle w:val="8"/>
        <w:spacing w:line="360" w:lineRule="auto"/>
        <w:ind w:left="2" w:firstLine="359" w:firstLineChars="171"/>
        <w:rPr>
          <w:rFonts w:asciiTheme="minorEastAsia" w:hAnsiTheme="minorEastAsia" w:eastAsiaTheme="minorEastAsia"/>
          <w:bCs/>
          <w:color w:val="auto"/>
          <w:highlight w:val="none"/>
          <w:u w:val="none"/>
        </w:rPr>
      </w:pPr>
      <w:r>
        <w:rPr>
          <w:rFonts w:hint="eastAsia" w:asciiTheme="minorEastAsia" w:hAnsiTheme="minorEastAsia" w:eastAsiaTheme="minorEastAsia"/>
          <w:color w:val="auto"/>
          <w:highlight w:val="none"/>
          <w:u w:val="none"/>
        </w:rPr>
        <w:t>7.1 乙方保证所提供的货物或其任何一部分均不会侵犯任何第三方的专利权、商标权或著作权</w:t>
      </w:r>
      <w:r>
        <w:rPr>
          <w:rFonts w:hint="eastAsia" w:asciiTheme="minorEastAsia" w:hAnsiTheme="minorEastAsia" w:eastAsiaTheme="minorEastAsia"/>
          <w:bCs/>
          <w:color w:val="auto"/>
          <w:highlight w:val="none"/>
          <w:u w:val="none"/>
        </w:rPr>
        <w:t>。</w:t>
      </w:r>
    </w:p>
    <w:p>
      <w:pPr>
        <w:pStyle w:val="8"/>
        <w:spacing w:line="360" w:lineRule="auto"/>
        <w:ind w:left="2" w:firstLine="359" w:firstLineChars="171"/>
        <w:rPr>
          <w:rFonts w:asciiTheme="minorEastAsia" w:hAnsiTheme="minorEastAsia" w:eastAsiaTheme="minorEastAsia"/>
          <w:b/>
          <w:bCs/>
          <w:color w:val="auto"/>
          <w:highlight w:val="none"/>
          <w:u w:val="none"/>
        </w:rPr>
      </w:pPr>
      <w:r>
        <w:rPr>
          <w:rFonts w:hint="eastAsia" w:asciiTheme="minorEastAsia" w:hAnsiTheme="minorEastAsia" w:eastAsiaTheme="minorEastAsia"/>
          <w:color w:val="auto"/>
          <w:highlight w:val="none"/>
          <w:u w:val="none"/>
        </w:rPr>
        <w:t>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pPr>
        <w:pStyle w:val="8"/>
        <w:spacing w:line="360" w:lineRule="auto"/>
        <w:rPr>
          <w:rFonts w:asciiTheme="minorEastAsia" w:hAnsiTheme="minorEastAsia" w:eastAsiaTheme="minorEastAsia"/>
          <w:b/>
          <w:color w:val="auto"/>
          <w:highlight w:val="none"/>
          <w:u w:val="none"/>
        </w:rPr>
      </w:pPr>
      <w:r>
        <w:rPr>
          <w:rFonts w:hint="eastAsia" w:asciiTheme="minorEastAsia" w:hAnsiTheme="minorEastAsia" w:eastAsiaTheme="minorEastAsia"/>
          <w:b/>
          <w:bCs/>
          <w:color w:val="auto"/>
          <w:sz w:val="24"/>
          <w:highlight w:val="none"/>
          <w:u w:val="none"/>
        </w:rPr>
        <w:t>8.  技术资料</w:t>
      </w:r>
    </w:p>
    <w:p>
      <w:pPr>
        <w:pStyle w:val="8"/>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8.1 甲方向乙方提供采购货物的有关技术要求。</w:t>
      </w:r>
    </w:p>
    <w:p>
      <w:pPr>
        <w:pStyle w:val="8"/>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8.2 乙方应在采购文件规定的时间向甲方提供使用货物的有关技术资料。</w:t>
      </w:r>
    </w:p>
    <w:p>
      <w:pPr>
        <w:pStyle w:val="8"/>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pStyle w:val="8"/>
        <w:spacing w:line="360" w:lineRule="auto"/>
        <w:rPr>
          <w:rFonts w:asciiTheme="minorEastAsia" w:hAnsiTheme="minorEastAsia" w:eastAsiaTheme="minorEastAsia"/>
          <w:b/>
          <w:bCs/>
          <w:color w:val="auto"/>
          <w:sz w:val="24"/>
          <w:highlight w:val="none"/>
          <w:u w:val="none"/>
        </w:rPr>
      </w:pPr>
      <w:r>
        <w:rPr>
          <w:rFonts w:hint="eastAsia" w:asciiTheme="minorEastAsia" w:hAnsiTheme="minorEastAsia" w:eastAsiaTheme="minorEastAsia"/>
          <w:b/>
          <w:bCs/>
          <w:color w:val="auto"/>
          <w:sz w:val="24"/>
          <w:highlight w:val="none"/>
          <w:u w:val="none"/>
        </w:rPr>
        <w:t>9.  货物包装、发运及运输</w:t>
      </w:r>
    </w:p>
    <w:p>
      <w:pPr>
        <w:pStyle w:val="8"/>
        <w:tabs>
          <w:tab w:val="left" w:pos="0"/>
        </w:tabs>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9.1 乙方应在货物发运前对其进行满足运输距离、防潮、防震、防锈和防破损装卸等要求包装，以保证货物安全运达甲方指定地点。</w:t>
      </w:r>
    </w:p>
    <w:p>
      <w:pPr>
        <w:pStyle w:val="8"/>
        <w:tabs>
          <w:tab w:val="left" w:pos="0"/>
        </w:tabs>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9.2 使用说明书、质量检验证明书、保修单据、随配附件和工具以及清单一并附于货物内。</w:t>
      </w:r>
    </w:p>
    <w:p>
      <w:pPr>
        <w:pStyle w:val="8"/>
        <w:tabs>
          <w:tab w:val="left" w:pos="0"/>
        </w:tabs>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9.3 乙方在货物发运手续办理完毕后24小时内或货到甲方48小时前通知甲方，以准备接货。</w:t>
      </w:r>
    </w:p>
    <w:p>
      <w:pPr>
        <w:pStyle w:val="8"/>
        <w:tabs>
          <w:tab w:val="left" w:pos="0"/>
        </w:tabs>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9.4 货物在交付甲方前发生的风险均由乙方负责。</w:t>
      </w:r>
    </w:p>
    <w:p>
      <w:pPr>
        <w:pStyle w:val="8"/>
        <w:tabs>
          <w:tab w:val="left" w:pos="0"/>
        </w:tabs>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9.5 货物在规定的交付期限内由乙方送达甲方指定的地点视为交付，乙方同时需通知甲方货物已送达。</w:t>
      </w:r>
    </w:p>
    <w:p>
      <w:pPr>
        <w:pStyle w:val="8"/>
        <w:spacing w:line="360" w:lineRule="auto"/>
        <w:rPr>
          <w:rFonts w:asciiTheme="minorEastAsia" w:hAnsiTheme="minorEastAsia" w:eastAsiaTheme="minorEastAsia"/>
          <w:b/>
          <w:bCs/>
          <w:color w:val="auto"/>
          <w:sz w:val="24"/>
          <w:highlight w:val="none"/>
          <w:u w:val="none"/>
        </w:rPr>
      </w:pPr>
      <w:r>
        <w:rPr>
          <w:rFonts w:hint="eastAsia" w:asciiTheme="minorEastAsia" w:hAnsiTheme="minorEastAsia" w:eastAsiaTheme="minorEastAsia"/>
          <w:b/>
          <w:bCs/>
          <w:color w:val="auto"/>
          <w:sz w:val="24"/>
          <w:highlight w:val="none"/>
          <w:u w:val="none"/>
        </w:rPr>
        <w:t>10.  调试和验收</w:t>
      </w:r>
    </w:p>
    <w:p>
      <w:pPr>
        <w:pStyle w:val="8"/>
        <w:spacing w:line="360" w:lineRule="auto"/>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10.1 乙方将货物运达约定的交货地点后，甲方应在二十个工作日内对乙方提交的货物依据招标文件的要求、投标文件的承诺和国家标准或行业标准进行现场初步验收。对外观、说明书符合要求的，给予签收；对不符合要求或有质量问题的货物不予签收，可立即要求退换，乙方不得拒绝和延误。</w:t>
      </w:r>
    </w:p>
    <w:p>
      <w:pPr>
        <w:pStyle w:val="8"/>
        <w:spacing w:line="360" w:lineRule="auto"/>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10.2 乙方交货前应对产品作出全面检查和对验收文件进行整理，并列出清单，作为甲方收货验收和使用的技术条件依据，检验的结果应随货物交甲方。</w:t>
      </w:r>
    </w:p>
    <w:p>
      <w:pPr>
        <w:pStyle w:val="8"/>
        <w:spacing w:line="360" w:lineRule="auto"/>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10.3 甲方对乙方提供的货物在使用前进行调试时，乙方需负责安装并培训甲方的使用操作人员，并协助甲方一起调试，直到符合技术要求，甲方才做最终验收。</w:t>
      </w:r>
    </w:p>
    <w:p>
      <w:pPr>
        <w:pStyle w:val="8"/>
        <w:spacing w:line="360" w:lineRule="auto"/>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10.4 验收时乙方必须在现场，验收完毕后作出验收结果报告。</w:t>
      </w:r>
    </w:p>
    <w:p>
      <w:pPr>
        <w:pStyle w:val="8"/>
        <w:spacing w:line="360" w:lineRule="auto"/>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10.5 对技术复杂的货物，甲方可请国家认可的专业检测机构参与验收，并由其出具质量检测报告，相关费用由甲方承担。</w:t>
      </w:r>
    </w:p>
    <w:p>
      <w:pPr>
        <w:pStyle w:val="8"/>
        <w:spacing w:line="360" w:lineRule="auto"/>
        <w:rPr>
          <w:rFonts w:asciiTheme="minorEastAsia" w:hAnsiTheme="minorEastAsia" w:eastAsiaTheme="minorEastAsia"/>
          <w:b/>
          <w:bCs/>
          <w:color w:val="auto"/>
          <w:sz w:val="24"/>
          <w:highlight w:val="none"/>
          <w:u w:val="none"/>
        </w:rPr>
      </w:pPr>
      <w:r>
        <w:rPr>
          <w:rFonts w:hint="eastAsia" w:asciiTheme="minorEastAsia" w:hAnsiTheme="minorEastAsia" w:eastAsiaTheme="minorEastAsia"/>
          <w:b/>
          <w:bCs/>
          <w:color w:val="auto"/>
          <w:sz w:val="24"/>
          <w:highlight w:val="none"/>
          <w:u w:val="none"/>
        </w:rPr>
        <w:t>11.  违约责任</w:t>
      </w:r>
    </w:p>
    <w:p>
      <w:pPr>
        <w:pStyle w:val="8"/>
        <w:spacing w:line="360" w:lineRule="auto"/>
        <w:ind w:left="2"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11.1 甲方无正当理由拒收货物的，甲方向乙方偿付拒收合同款总值的百分之五违约金。</w:t>
      </w:r>
    </w:p>
    <w:p>
      <w:pPr>
        <w:pStyle w:val="8"/>
        <w:spacing w:line="360" w:lineRule="auto"/>
        <w:ind w:left="2"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11.2 甲方无故逾期验收或办理合同款支付手续的，甲方应按逾期付款总额每日万分之五向乙方支付违约金。</w:t>
      </w:r>
    </w:p>
    <w:p>
      <w:pPr>
        <w:pStyle w:val="8"/>
        <w:spacing w:line="360" w:lineRule="auto"/>
        <w:ind w:left="2"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11.3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pPr>
        <w:pStyle w:val="8"/>
        <w:spacing w:line="360" w:lineRule="auto"/>
        <w:ind w:left="2"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8"/>
        <w:spacing w:line="360" w:lineRule="auto"/>
        <w:rPr>
          <w:rFonts w:asciiTheme="minorEastAsia" w:hAnsiTheme="minorEastAsia" w:eastAsiaTheme="minorEastAsia"/>
          <w:b/>
          <w:bCs/>
          <w:color w:val="auto"/>
          <w:sz w:val="24"/>
          <w:highlight w:val="none"/>
          <w:u w:val="none"/>
        </w:rPr>
      </w:pPr>
      <w:r>
        <w:rPr>
          <w:rFonts w:hint="eastAsia" w:asciiTheme="minorEastAsia" w:hAnsiTheme="minorEastAsia" w:eastAsiaTheme="minorEastAsia"/>
          <w:b/>
          <w:bCs/>
          <w:color w:val="auto"/>
          <w:sz w:val="24"/>
          <w:highlight w:val="none"/>
          <w:u w:val="none"/>
        </w:rPr>
        <w:t>12.  不可抗力事件处理</w:t>
      </w:r>
    </w:p>
    <w:p>
      <w:pPr>
        <w:pStyle w:val="8"/>
        <w:spacing w:line="360" w:lineRule="auto"/>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12.1 在合同有效期内，任何一方因不可抗力事件导致不能履行合同，则合同履行期可延长，其延长期与不可抗力影响期相同。</w:t>
      </w:r>
    </w:p>
    <w:p>
      <w:pPr>
        <w:pStyle w:val="8"/>
        <w:spacing w:line="360" w:lineRule="auto"/>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12.2 不可抗力事件发生后，应立即通知对方，并寄送有关权威机构出具的证明。</w:t>
      </w:r>
    </w:p>
    <w:p>
      <w:pPr>
        <w:pStyle w:val="8"/>
        <w:spacing w:line="360" w:lineRule="auto"/>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12.3 不可抗力事件延续120天以上，双方应通过友好协商，确定是否继续履行合同。</w:t>
      </w:r>
    </w:p>
    <w:p>
      <w:pPr>
        <w:pStyle w:val="8"/>
        <w:spacing w:line="360" w:lineRule="auto"/>
        <w:rPr>
          <w:rFonts w:asciiTheme="minorEastAsia" w:hAnsiTheme="minorEastAsia" w:eastAsiaTheme="minorEastAsia"/>
          <w:b/>
          <w:bCs/>
          <w:color w:val="auto"/>
          <w:sz w:val="24"/>
          <w:highlight w:val="none"/>
          <w:u w:val="none"/>
        </w:rPr>
      </w:pPr>
      <w:r>
        <w:rPr>
          <w:rFonts w:hint="eastAsia" w:asciiTheme="minorEastAsia" w:hAnsiTheme="minorEastAsia" w:eastAsiaTheme="minorEastAsia"/>
          <w:b/>
          <w:bCs/>
          <w:color w:val="auto"/>
          <w:sz w:val="24"/>
          <w:highlight w:val="none"/>
          <w:u w:val="none"/>
        </w:rPr>
        <w:t>13.  诉讼</w:t>
      </w:r>
    </w:p>
    <w:p>
      <w:pPr>
        <w:pStyle w:val="8"/>
        <w:tabs>
          <w:tab w:val="left" w:pos="0"/>
        </w:tabs>
        <w:spacing w:line="360" w:lineRule="auto"/>
        <w:ind w:firstLine="359" w:firstLineChars="171"/>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13.1 双方在执行合同中所发生的一切争议，应通过协商解决。如协商不成，可向合同签订地法院起诉，合同签订地在此约定为广西灵山。</w:t>
      </w:r>
    </w:p>
    <w:p>
      <w:pPr>
        <w:pStyle w:val="8"/>
        <w:spacing w:line="360" w:lineRule="auto"/>
        <w:rPr>
          <w:rFonts w:asciiTheme="minorEastAsia" w:hAnsiTheme="minorEastAsia" w:eastAsiaTheme="minorEastAsia"/>
          <w:b/>
          <w:bCs/>
          <w:color w:val="auto"/>
          <w:sz w:val="24"/>
          <w:highlight w:val="none"/>
          <w:u w:val="none"/>
        </w:rPr>
      </w:pPr>
      <w:r>
        <w:rPr>
          <w:rFonts w:hint="eastAsia" w:asciiTheme="minorEastAsia" w:hAnsiTheme="minorEastAsia" w:eastAsiaTheme="minorEastAsia"/>
          <w:b/>
          <w:bCs/>
          <w:color w:val="auto"/>
          <w:sz w:val="24"/>
          <w:highlight w:val="none"/>
          <w:u w:val="none"/>
        </w:rPr>
        <w:t>14.  合同生效及其它</w:t>
      </w:r>
    </w:p>
    <w:p>
      <w:pPr>
        <w:pStyle w:val="8"/>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14.1 合同经双方法定代表人或授权委托代理人签字并加盖单位公章后生效。</w:t>
      </w:r>
    </w:p>
    <w:p>
      <w:pPr>
        <w:pStyle w:val="8"/>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 xml:space="preserve">14.2 </w:t>
      </w:r>
      <w:r>
        <w:rPr>
          <w:rFonts w:hint="eastAsia" w:asciiTheme="minorEastAsia" w:hAnsiTheme="minorEastAsia" w:eastAsiaTheme="minorEastAsia"/>
          <w:color w:val="auto"/>
          <w:szCs w:val="21"/>
          <w:highlight w:val="none"/>
          <w:u w:val="none"/>
        </w:rPr>
        <w:t>合同执行中涉及采购资金和采购内容修改或补充的，须经市财政部门审批，并签书面补充协议报采购监督管理部门备案，方可作为主合同不可分割的一部分。</w:t>
      </w:r>
    </w:p>
    <w:p>
      <w:pPr>
        <w:pStyle w:val="8"/>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14.3 下述合同附件为本合同不可分割的部分并与本合同具有同等效力：</w:t>
      </w:r>
    </w:p>
    <w:p>
      <w:pPr>
        <w:pStyle w:val="8"/>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（1）中标通知书；</w:t>
      </w:r>
    </w:p>
    <w:p>
      <w:pPr>
        <w:pStyle w:val="8"/>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（2）履约保证金交纳证明；</w:t>
      </w:r>
    </w:p>
    <w:p>
      <w:pPr>
        <w:pStyle w:val="8"/>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（3）招标文件货物需求一览表；</w:t>
      </w:r>
    </w:p>
    <w:p>
      <w:pPr>
        <w:pStyle w:val="8"/>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（4）招标文件的澄清和修改；</w:t>
      </w:r>
    </w:p>
    <w:p>
      <w:pPr>
        <w:pStyle w:val="8"/>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（5）投标报价表；</w:t>
      </w:r>
    </w:p>
    <w:p>
      <w:pPr>
        <w:pStyle w:val="8"/>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（6）投标产品技术资料表、商务条款偏离表；</w:t>
      </w:r>
    </w:p>
    <w:p>
      <w:pPr>
        <w:pStyle w:val="8"/>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（7）中标供应商澄清函；</w:t>
      </w:r>
    </w:p>
    <w:p>
      <w:pPr>
        <w:pStyle w:val="8"/>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（8）其他与本合同相关的资料。</w:t>
      </w:r>
    </w:p>
    <w:p>
      <w:pPr>
        <w:pStyle w:val="8"/>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14.4 本合同未尽事宜，遵照《中华人民共和国合同法》有关条文执行。</w:t>
      </w:r>
    </w:p>
    <w:p>
      <w:pPr>
        <w:pStyle w:val="8"/>
        <w:spacing w:line="360" w:lineRule="auto"/>
        <w:ind w:firstLine="360"/>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14.5本合同一式五份，具有同等法律效力，财政部门（政府采购监管部门）一份，甲方两份，乙方一份，采购代理机构一份（可根据需要另增加）。</w:t>
      </w:r>
    </w:p>
    <w:p>
      <w:pPr>
        <w:pStyle w:val="8"/>
        <w:spacing w:line="360" w:lineRule="auto"/>
        <w:rPr>
          <w:rFonts w:asciiTheme="minorEastAsia" w:hAnsiTheme="minorEastAsia" w:eastAsiaTheme="minorEastAsia"/>
          <w:color w:val="auto"/>
          <w:highlight w:val="none"/>
          <w:u w:val="none"/>
        </w:rPr>
      </w:pPr>
    </w:p>
    <w:p>
      <w:pPr>
        <w:pStyle w:val="8"/>
        <w:spacing w:line="360" w:lineRule="auto"/>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甲方（章）：    灵山县妇幼保健院              乙方（章）：</w:t>
      </w:r>
    </w:p>
    <w:p>
      <w:pPr>
        <w:pStyle w:val="8"/>
        <w:spacing w:line="360" w:lineRule="auto"/>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地址：    灵山县三海街道东边塘街81号         地址：</w:t>
      </w:r>
    </w:p>
    <w:p>
      <w:pPr>
        <w:pStyle w:val="8"/>
        <w:spacing w:line="360" w:lineRule="auto"/>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法定代表人：    法定代表人：</w:t>
      </w:r>
    </w:p>
    <w:p>
      <w:pPr>
        <w:pStyle w:val="8"/>
        <w:spacing w:line="360" w:lineRule="auto"/>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委托代理人：    委托代理人：</w:t>
      </w:r>
    </w:p>
    <w:p>
      <w:pPr>
        <w:pStyle w:val="8"/>
        <w:spacing w:line="360" w:lineRule="auto"/>
        <w:rPr>
          <w:rFonts w:asciiTheme="minorEastAsia" w:hAnsiTheme="minorEastAsia" w:eastAsiaTheme="minorEastAsia"/>
          <w:color w:val="auto"/>
          <w:highlight w:val="none"/>
          <w:u w:val="none"/>
        </w:rPr>
      </w:pPr>
    </w:p>
    <w:p>
      <w:pPr>
        <w:pStyle w:val="8"/>
        <w:spacing w:line="360" w:lineRule="auto"/>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电话：</w:t>
      </w:r>
      <w:r>
        <w:rPr>
          <w:rFonts w:asciiTheme="minorEastAsia" w:hAnsiTheme="minorEastAsia" w:eastAsiaTheme="minorEastAsia"/>
          <w:color w:val="auto"/>
          <w:highlight w:val="none"/>
          <w:u w:val="none"/>
        </w:rPr>
        <w:t>0777-6887615</w:t>
      </w:r>
      <w:r>
        <w:rPr>
          <w:rFonts w:hint="eastAsia" w:asciiTheme="minorEastAsia" w:hAnsiTheme="minorEastAsia" w:eastAsiaTheme="minorEastAsia"/>
          <w:color w:val="auto"/>
          <w:highlight w:val="none"/>
          <w:u w:val="none"/>
        </w:rPr>
        <w:t xml:space="preserve">    电话：</w:t>
      </w:r>
    </w:p>
    <w:p>
      <w:pPr>
        <w:pStyle w:val="8"/>
        <w:spacing w:line="360" w:lineRule="auto"/>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邮政编码：    535400                          邮政编码：</w:t>
      </w:r>
    </w:p>
    <w:p>
      <w:pPr>
        <w:pStyle w:val="8"/>
        <w:spacing w:line="360" w:lineRule="auto"/>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开户银行：   灵山县农业银行营业部             开户银行：</w:t>
      </w:r>
    </w:p>
    <w:p>
      <w:pPr>
        <w:pStyle w:val="8"/>
        <w:spacing w:line="360" w:lineRule="auto"/>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lang w:eastAsia="zh-CN"/>
        </w:rPr>
        <w:t>银行账号：20298994252001023</w:t>
      </w:r>
      <w:r>
        <w:rPr>
          <w:rFonts w:hint="eastAsia" w:asciiTheme="minorEastAsia" w:hAnsiTheme="minorEastAsia" w:eastAsiaTheme="minorEastAsia"/>
          <w:color w:val="auto"/>
          <w:highlight w:val="none"/>
          <w:u w:val="none"/>
        </w:rPr>
        <w:t xml:space="preserve">20298994252000803 </w:t>
      </w:r>
      <w:r>
        <w:rPr>
          <w:rFonts w:asciiTheme="minorEastAsia" w:hAnsiTheme="minorEastAsia" w:eastAsiaTheme="minorEastAsia"/>
          <w:color w:val="auto"/>
          <w:highlight w:val="none"/>
          <w:u w:val="none"/>
        </w:rPr>
        <w:t>20750101040009746</w:t>
      </w:r>
      <w:r>
        <w:rPr>
          <w:rFonts w:hint="eastAsia" w:asciiTheme="minorEastAsia" w:hAnsiTheme="minorEastAsia" w:eastAsiaTheme="minorEastAsia"/>
          <w:color w:val="auto"/>
          <w:highlight w:val="none"/>
          <w:u w:val="none"/>
        </w:rPr>
        <w:t xml:space="preserve">    </w:t>
      </w:r>
      <w:r>
        <w:rPr>
          <w:rFonts w:hint="eastAsia" w:asciiTheme="minorEastAsia" w:hAnsiTheme="minorEastAsia" w:eastAsiaTheme="minorEastAsia"/>
          <w:color w:val="auto"/>
          <w:highlight w:val="none"/>
          <w:u w:val="none"/>
          <w:lang w:eastAsia="zh-CN"/>
        </w:rPr>
        <w:t>银行账号：20298994252001023</w:t>
      </w:r>
      <w:r>
        <w:rPr>
          <w:rFonts w:hint="eastAsia" w:asciiTheme="minorEastAsia" w:hAnsiTheme="minorEastAsia" w:eastAsiaTheme="minorEastAsia"/>
          <w:color w:val="auto"/>
          <w:highlight w:val="none"/>
          <w:u w:val="none"/>
        </w:rPr>
        <w:t xml:space="preserve">20298994252000803 </w:t>
      </w:r>
    </w:p>
    <w:p>
      <w:pPr>
        <w:pStyle w:val="8"/>
        <w:spacing w:line="360" w:lineRule="auto"/>
        <w:ind w:left="178" w:leftChars="85"/>
        <w:rPr>
          <w:rFonts w:asciiTheme="minorEastAsia" w:hAnsiTheme="minorEastAsia" w:eastAsiaTheme="minorEastAsia"/>
          <w:color w:val="auto"/>
          <w:highlight w:val="none"/>
          <w:u w:val="none"/>
        </w:rPr>
      </w:pPr>
    </w:p>
    <w:p>
      <w:pPr>
        <w:pStyle w:val="8"/>
        <w:spacing w:line="360" w:lineRule="auto"/>
        <w:rPr>
          <w:rFonts w:asciiTheme="minorEastAsia" w:hAnsiTheme="minorEastAsia" w:eastAsiaTheme="minorEastAsia"/>
          <w:color w:val="auto"/>
          <w:highlight w:val="none"/>
          <w:u w:val="none"/>
        </w:rPr>
      </w:pPr>
    </w:p>
    <w:p>
      <w:pPr>
        <w:pStyle w:val="8"/>
        <w:spacing w:line="360" w:lineRule="auto"/>
        <w:rPr>
          <w:rFonts w:asciiTheme="minorEastAsia" w:hAnsiTheme="minorEastAsia" w:eastAsiaTheme="minorEastAsia"/>
          <w:color w:val="auto"/>
          <w:highlight w:val="none"/>
          <w:u w:val="none"/>
        </w:rPr>
      </w:pPr>
    </w:p>
    <w:p>
      <w:pPr>
        <w:pStyle w:val="8"/>
        <w:spacing w:line="360" w:lineRule="auto"/>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合同签订地点：灵山县妇幼保健院</w:t>
      </w:r>
    </w:p>
    <w:p>
      <w:pPr>
        <w:pStyle w:val="8"/>
        <w:spacing w:line="360" w:lineRule="auto"/>
        <w:rPr>
          <w:rFonts w:asciiTheme="minorEastAsia" w:hAnsiTheme="minorEastAsia" w:eastAsiaTheme="minorEastAsia"/>
          <w:color w:val="auto"/>
          <w:highlight w:val="none"/>
          <w:u w:val="none"/>
        </w:rPr>
      </w:pPr>
      <w:r>
        <w:rPr>
          <w:rFonts w:hint="eastAsia" w:asciiTheme="minorEastAsia" w:hAnsiTheme="minorEastAsia" w:eastAsiaTheme="minorEastAsia"/>
          <w:color w:val="auto"/>
          <w:highlight w:val="none"/>
          <w:u w:val="none"/>
        </w:rPr>
        <w:t>合同签订日期：  年  月  日</w:t>
      </w:r>
    </w:p>
    <w:p>
      <w:pPr>
        <w:rPr>
          <w:rFonts w:asciiTheme="minorEastAsia" w:hAnsiTheme="minorEastAsia" w:eastAsiaTheme="minorEastAsia"/>
          <w:color w:val="auto"/>
          <w:highlight w:val="none"/>
          <w:u w:val="none"/>
        </w:rPr>
      </w:pPr>
    </w:p>
    <w:p>
      <w:pPr>
        <w:rPr>
          <w:rFonts w:asciiTheme="minorEastAsia" w:hAnsiTheme="minorEastAsia" w:eastAsiaTheme="minorEastAsia"/>
          <w:color w:val="auto"/>
          <w:highlight w:val="none"/>
          <w:u w:val="none"/>
        </w:rPr>
      </w:pPr>
    </w:p>
    <w:p>
      <w:pPr>
        <w:rPr>
          <w:rFonts w:asciiTheme="minorEastAsia" w:hAnsiTheme="minorEastAsia" w:eastAsiaTheme="minorEastAsia"/>
          <w:color w:val="auto"/>
          <w:highlight w:val="none"/>
          <w:u w:val="none"/>
        </w:rPr>
      </w:pPr>
    </w:p>
    <w:p>
      <w:pPr>
        <w:jc w:val="center"/>
        <w:rPr>
          <w:rFonts w:asciiTheme="minorEastAsia" w:hAnsiTheme="minorEastAsia" w:eastAsiaTheme="minorEastAsia"/>
          <w:b/>
          <w:color w:val="auto"/>
          <w:sz w:val="36"/>
          <w:szCs w:val="36"/>
          <w:highlight w:val="none"/>
          <w:u w:val="none"/>
        </w:rPr>
      </w:pPr>
      <w:r>
        <w:rPr>
          <w:rFonts w:hint="eastAsia" w:asciiTheme="minorEastAsia" w:hAnsiTheme="minorEastAsia" w:eastAsiaTheme="minorEastAsia"/>
          <w:b/>
          <w:color w:val="auto"/>
          <w:sz w:val="36"/>
          <w:szCs w:val="36"/>
          <w:highlight w:val="none"/>
          <w:u w:val="none"/>
        </w:rPr>
        <w:t>第六章  评标方法</w:t>
      </w:r>
    </w:p>
    <w:p>
      <w:pPr>
        <w:pStyle w:val="8"/>
        <w:ind w:firstLine="420"/>
        <w:rPr>
          <w:rFonts w:cs="宋体" w:asciiTheme="minorEastAsia" w:hAnsiTheme="minorEastAsia" w:eastAsiaTheme="minorEastAsia"/>
          <w:color w:val="auto"/>
          <w:szCs w:val="21"/>
          <w:highlight w:val="none"/>
          <w:u w:val="none"/>
        </w:rPr>
      </w:pPr>
    </w:p>
    <w:p>
      <w:pPr>
        <w:pStyle w:val="8"/>
        <w:ind w:firstLine="420"/>
        <w:rPr>
          <w:rFonts w:cs="宋体" w:asciiTheme="minorEastAsia" w:hAnsiTheme="minorEastAsia" w:eastAsiaTheme="minorEastAsia"/>
          <w:b/>
          <w:color w:val="auto"/>
          <w:sz w:val="24"/>
          <w:szCs w:val="24"/>
          <w:highlight w:val="none"/>
          <w:u w:val="none"/>
        </w:rPr>
      </w:pPr>
      <w:r>
        <w:rPr>
          <w:rFonts w:hint="eastAsia" w:cs="宋体" w:asciiTheme="minorEastAsia" w:hAnsiTheme="minorEastAsia" w:eastAsiaTheme="minorEastAsia"/>
          <w:b/>
          <w:bCs/>
          <w:color w:val="auto"/>
          <w:sz w:val="24"/>
          <w:szCs w:val="24"/>
          <w:highlight w:val="none"/>
          <w:u w:val="none"/>
        </w:rPr>
        <w:t>一、评标原则</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 xml:space="preserve"> (一)评委构成：本招标采购项目的评委分别由依法组成的评审专家、采购单位代表共五人以上单数构成，其中专家人数不少于成员总数的三分之二。</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(二)评标依据：评委将以招投标文件为评标依据，对投标人的价格、技术、财务状况、信誉、业绩、服务、政策功能等六方面内容按百分制打分。其中价格部分30分；技术部分35分；商务部分35分。</w:t>
      </w:r>
    </w:p>
    <w:p>
      <w:pPr>
        <w:pStyle w:val="8"/>
        <w:ind w:firstLine="420"/>
        <w:rPr>
          <w:rFonts w:cs="宋体" w:asciiTheme="minorEastAsia" w:hAnsiTheme="minorEastAsia" w:eastAsiaTheme="minorEastAsia"/>
          <w:b/>
          <w:bCs/>
          <w:color w:val="auto"/>
          <w:sz w:val="24"/>
          <w:szCs w:val="24"/>
          <w:highlight w:val="none"/>
          <w:u w:val="none"/>
        </w:rPr>
      </w:pPr>
      <w:r>
        <w:rPr>
          <w:rFonts w:hint="eastAsia" w:cs="宋体" w:asciiTheme="minorEastAsia" w:hAnsiTheme="minorEastAsia" w:eastAsiaTheme="minorEastAsia"/>
          <w:b/>
          <w:bCs/>
          <w:color w:val="auto"/>
          <w:sz w:val="24"/>
          <w:szCs w:val="24"/>
          <w:highlight w:val="none"/>
          <w:u w:val="none"/>
        </w:rPr>
        <w:t>二、评标方法</w:t>
      </w:r>
    </w:p>
    <w:p>
      <w:pPr>
        <w:pStyle w:val="8"/>
        <w:ind w:firstLine="420"/>
        <w:rPr>
          <w:rFonts w:cs="宋体" w:asciiTheme="minorEastAsia" w:hAnsiTheme="minorEastAsia" w:eastAsiaTheme="minorEastAsia"/>
          <w:b/>
          <w:bCs/>
          <w:color w:val="auto"/>
          <w:sz w:val="24"/>
          <w:szCs w:val="24"/>
          <w:highlight w:val="none"/>
          <w:u w:val="none"/>
        </w:rPr>
      </w:pPr>
      <w:r>
        <w:rPr>
          <w:rFonts w:hint="eastAsia" w:cs="宋体" w:asciiTheme="minorEastAsia" w:hAnsiTheme="minorEastAsia" w:eastAsiaTheme="minorEastAsia"/>
          <w:b/>
          <w:bCs/>
          <w:color w:val="auto"/>
          <w:sz w:val="24"/>
          <w:szCs w:val="24"/>
          <w:highlight w:val="none"/>
          <w:u w:val="none"/>
        </w:rPr>
        <w:t>A分标：</w:t>
      </w:r>
    </w:p>
    <w:p>
      <w:pPr>
        <w:pStyle w:val="8"/>
        <w:ind w:firstLine="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（一）对进入详评的，采用百分制综合评分法。</w:t>
      </w:r>
    </w:p>
    <w:p>
      <w:pPr>
        <w:pStyle w:val="8"/>
        <w:ind w:firstLine="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（二）计分办法（按四舍五入保留两位小数）：</w:t>
      </w:r>
    </w:p>
    <w:p>
      <w:pPr>
        <w:pStyle w:val="8"/>
        <w:ind w:firstLine="420"/>
        <w:rPr>
          <w:rFonts w:cs="宋体" w:asciiTheme="minorEastAsia" w:hAnsiTheme="minorEastAsia" w:eastAsiaTheme="minorEastAsia"/>
          <w:b/>
          <w:bCs/>
          <w:color w:val="auto"/>
          <w:sz w:val="24"/>
          <w:szCs w:val="24"/>
          <w:highlight w:val="none"/>
          <w:u w:val="none"/>
        </w:rPr>
      </w:pPr>
      <w:r>
        <w:rPr>
          <w:rFonts w:hint="eastAsia" w:cs="宋体" w:asciiTheme="minorEastAsia" w:hAnsiTheme="minorEastAsia" w:eastAsiaTheme="minorEastAsia"/>
          <w:b/>
          <w:bCs/>
          <w:color w:val="auto"/>
          <w:sz w:val="24"/>
          <w:szCs w:val="24"/>
          <w:highlight w:val="none"/>
          <w:u w:val="none"/>
        </w:rPr>
        <w:t>（一）对进入详评的，采用百分制综合评分法。</w:t>
      </w:r>
    </w:p>
    <w:p>
      <w:pPr>
        <w:pStyle w:val="8"/>
        <w:ind w:firstLine="420"/>
        <w:rPr>
          <w:rFonts w:cs="宋体" w:asciiTheme="minorEastAsia" w:hAnsiTheme="minorEastAsia" w:eastAsiaTheme="minorEastAsia"/>
          <w:b/>
          <w:bCs/>
          <w:color w:val="auto"/>
          <w:sz w:val="24"/>
          <w:szCs w:val="24"/>
          <w:highlight w:val="none"/>
          <w:u w:val="none"/>
        </w:rPr>
      </w:pPr>
      <w:r>
        <w:rPr>
          <w:rFonts w:hint="eastAsia" w:cs="宋体" w:asciiTheme="minorEastAsia" w:hAnsiTheme="minorEastAsia" w:eastAsiaTheme="minorEastAsia"/>
          <w:b/>
          <w:bCs/>
          <w:color w:val="auto"/>
          <w:sz w:val="24"/>
          <w:szCs w:val="24"/>
          <w:highlight w:val="none"/>
          <w:u w:val="none"/>
        </w:rPr>
        <w:t>（二）计分办法（按四舍五入取至百分位）：</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1、价格部分………………………………………………………………30分</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（1）以进入详评的最低的投标报价为30分。</w:t>
      </w:r>
    </w:p>
    <w:p>
      <w:pPr>
        <w:pStyle w:val="8"/>
        <w:ind w:firstLine="3528" w:firstLineChars="147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 xml:space="preserve">投标人有效最低投标报价金额（万元）          </w:t>
      </w:r>
    </w:p>
    <w:p>
      <w:pPr>
        <w:pStyle w:val="8"/>
        <w:ind w:firstLine="420"/>
        <w:rPr>
          <w:rFonts w:cs="宋体" w:asciiTheme="minorEastAsia" w:hAnsiTheme="minorEastAsia" w:eastAsiaTheme="minorEastAsia"/>
          <w:bCs/>
          <w:color w:val="auto"/>
          <w:sz w:val="24"/>
          <w:szCs w:val="24"/>
          <w:highlight w:val="none"/>
          <w:u w:val="none"/>
        </w:rPr>
      </w:pPr>
      <w:r>
        <w:rPr>
          <w:rFonts w:cs="宋体" w:asciiTheme="minorEastAsia" w:hAnsiTheme="minorEastAsia" w:eastAsiaTheme="minorEastAsia"/>
          <w:bCs/>
          <w:color w:val="auto"/>
          <w:sz w:val="24"/>
          <w:szCs w:val="24"/>
          <w:highlight w:val="none"/>
          <w:u w:val="none"/>
        </w:rPr>
        <mc:AlternateContent>
          <mc:Choice Requires="wps">
            <w:drawing>
              <wp:anchor distT="0" distB="0" distL="114300" distR="114300" simplePos="0" relativeHeight="251706368" behindDoc="0" locked="0" layoutInCell="1" allowOverlap="1">
                <wp:simplePos x="0" y="0"/>
                <wp:positionH relativeFrom="column">
                  <wp:posOffset>1898650</wp:posOffset>
                </wp:positionH>
                <wp:positionV relativeFrom="paragraph">
                  <wp:posOffset>88900</wp:posOffset>
                </wp:positionV>
                <wp:extent cx="23336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23336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49.5pt;margin-top:7pt;height:0pt;width:183.75pt;z-index:251706368;mso-width-relative:page;mso-height-relative:page;" filled="f" stroked="t" coordsize="21600,21600" o:gfxdata="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ilXQw1gAAAAkBAAAPAAAAAAAAAAEAIAAA&#10;ACIAAABkcnMvZG93bnJldi54bWxQSwECFAAUAAAACACHTuJARag4kNUBAACYAwAADgAAAAAAAAAB&#10;ACAAAAAlAQAAZHJzL2Uyb0RvYy54bWxQSwUGAAAAAAYABgBZAQAAbAUAAAAA&#10;">
                <v:fill on="f" focussize="0,0"/>
                <v:stroke color="#000000" joinstyle="round"/>
                <v:imagedata o:title=""/>
                <o:lock v:ext="edit" aspectratio="f"/>
              </v:line>
            </w:pict>
          </mc:Fallback>
        </mc:AlternateContent>
      </w:r>
      <w:r>
        <w:rPr>
          <w:rFonts w:hint="eastAsia" w:cs="宋体" w:asciiTheme="minorEastAsia" w:hAnsiTheme="minorEastAsia" w:eastAsiaTheme="minorEastAsia"/>
          <w:bCs/>
          <w:color w:val="auto"/>
          <w:sz w:val="24"/>
          <w:szCs w:val="24"/>
          <w:highlight w:val="none"/>
          <w:u w:val="none"/>
        </w:rPr>
        <w:t>（2）某投标人报价分 =                                        ×30分</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 xml:space="preserve">                           某投标人有效投标报价金额（万元）                </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（3）根据财政部《关于印发〈政府采购促进中小企业发展暂行办法〉的通知》（财库[2011]181号）第五条的规定，对小型和微型企业产品的价格给予</w:t>
      </w:r>
      <w:r>
        <w:rPr>
          <w:rFonts w:hint="eastAsia" w:cs="宋体" w:asciiTheme="minorEastAsia" w:hAnsiTheme="minorEastAsia" w:eastAsiaTheme="minorEastAsia"/>
          <w:bCs/>
          <w:color w:val="auto"/>
          <w:sz w:val="24"/>
          <w:szCs w:val="24"/>
          <w:highlight w:val="none"/>
          <w:u w:val="none"/>
          <w:lang w:eastAsia="zh-CN"/>
        </w:rPr>
        <w:t>10%</w:t>
      </w:r>
      <w:r>
        <w:rPr>
          <w:rFonts w:hint="eastAsia" w:cs="宋体" w:asciiTheme="minorEastAsia" w:hAnsiTheme="minorEastAsia" w:eastAsiaTheme="minorEastAsia"/>
          <w:bCs/>
          <w:color w:val="auto"/>
          <w:sz w:val="24"/>
          <w:szCs w:val="24"/>
          <w:highlight w:val="none"/>
          <w:u w:val="none"/>
        </w:rPr>
        <w:t>的扣除，用扣除后的价格作为评标价参与评审。</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即对投标人投标总价中的小型和微型企业产品的价格给予</w:t>
      </w:r>
      <w:r>
        <w:rPr>
          <w:rFonts w:hint="eastAsia" w:cs="宋体" w:asciiTheme="minorEastAsia" w:hAnsiTheme="minorEastAsia" w:eastAsiaTheme="minorEastAsia"/>
          <w:bCs/>
          <w:color w:val="auto"/>
          <w:sz w:val="24"/>
          <w:szCs w:val="24"/>
          <w:highlight w:val="none"/>
          <w:u w:val="none"/>
          <w:lang w:eastAsia="zh-CN"/>
        </w:rPr>
        <w:t>10%</w:t>
      </w:r>
      <w:r>
        <w:rPr>
          <w:rFonts w:hint="eastAsia" w:cs="宋体" w:asciiTheme="minorEastAsia" w:hAnsiTheme="minorEastAsia" w:eastAsiaTheme="minorEastAsia"/>
          <w:bCs/>
          <w:color w:val="auto"/>
          <w:sz w:val="24"/>
          <w:szCs w:val="24"/>
          <w:highlight w:val="none"/>
          <w:u w:val="none"/>
        </w:rPr>
        <w:t>的扣除后加上原来未享受优惠政策的部分投标价格作为评标价计算价格分。[投标人须提供所投产品企业所在地的地市级以上中小企业主管部门相关证明材料原件，并对证明材料原件的真实性负责，并如实填写中小企业声明函（</w:t>
      </w:r>
      <w:r>
        <w:rPr>
          <w:rFonts w:hint="eastAsia" w:cs="宋体" w:asciiTheme="minorEastAsia" w:hAnsiTheme="minorEastAsia" w:eastAsiaTheme="minorEastAsia"/>
          <w:color w:val="auto"/>
          <w:sz w:val="24"/>
          <w:szCs w:val="24"/>
          <w:highlight w:val="none"/>
          <w:u w:val="none"/>
        </w:rPr>
        <w:t>按第六章要求格式填写</w:t>
      </w:r>
      <w:r>
        <w:rPr>
          <w:rFonts w:hint="eastAsia" w:cs="宋体" w:asciiTheme="minorEastAsia" w:hAnsiTheme="minorEastAsia" w:eastAsiaTheme="minorEastAsia"/>
          <w:bCs/>
          <w:color w:val="auto"/>
          <w:sz w:val="24"/>
          <w:szCs w:val="24"/>
          <w:highlight w:val="none"/>
          <w:u w:val="none"/>
        </w:rPr>
        <w:t>），否则不予价格扣除]</w:t>
      </w:r>
    </w:p>
    <w:p>
      <w:pPr>
        <w:pStyle w:val="8"/>
        <w:ind w:firstLine="480" w:firstLineChars="20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2、商务部分……………………………………………………………</w:t>
      </w:r>
      <w:r>
        <w:rPr>
          <w:rFonts w:hint="eastAsia" w:cs="宋体" w:asciiTheme="minorEastAsia" w:hAnsiTheme="minorEastAsia" w:eastAsiaTheme="minorEastAsia"/>
          <w:bCs/>
          <w:color w:val="auto"/>
          <w:sz w:val="24"/>
          <w:szCs w:val="24"/>
          <w:highlight w:val="none"/>
          <w:u w:val="none"/>
          <w:lang w:val="en-US" w:eastAsia="zh-CN"/>
        </w:rPr>
        <w:t>3</w:t>
      </w:r>
      <w:r>
        <w:rPr>
          <w:rFonts w:hint="eastAsia" w:cs="宋体" w:asciiTheme="minorEastAsia" w:hAnsiTheme="minorEastAsia" w:eastAsiaTheme="minorEastAsia"/>
          <w:bCs/>
          <w:color w:val="auto"/>
          <w:sz w:val="24"/>
          <w:szCs w:val="24"/>
          <w:highlight w:val="none"/>
          <w:u w:val="none"/>
        </w:rPr>
        <w:t>5分</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（1）</w:t>
      </w:r>
      <w:r>
        <w:rPr>
          <w:rFonts w:hint="eastAsia" w:cs="宋体" w:asciiTheme="minorEastAsia" w:hAnsiTheme="minorEastAsia" w:eastAsiaTheme="minorEastAsia"/>
          <w:color w:val="auto"/>
          <w:sz w:val="24"/>
          <w:szCs w:val="24"/>
          <w:highlight w:val="none"/>
          <w:u w:val="none"/>
        </w:rPr>
        <w:t>综合实力分………………………………………………………满分15分</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①供应商或供应商所投产品供货商具有软件取得远程超声云服务平台软件著作权证书、妇幼健康云服务平台软著作权证书、远程会诊云服务平台软著作权证书，提供一个证书得1分，满分3分，不提供不得分。</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②供应商或供应商所投产品供货商自2017年以来，签订有远程医疗案例，需提供合同关键页复印件加盖公章作为佐证；每提供一份得1分，满分2分。</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（2）售后服务分…………………………………………………………20分</w:t>
      </w:r>
    </w:p>
    <w:p>
      <w:pPr>
        <w:pStyle w:val="8"/>
        <w:ind w:left="44" w:leftChars="21" w:firstLine="427" w:firstLineChars="178"/>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一档</w:t>
      </w:r>
      <w:r>
        <w:rPr>
          <w:rFonts w:hint="eastAsia" w:cs="宋体" w:asciiTheme="minorEastAsia" w:hAnsiTheme="minorEastAsia" w:eastAsiaTheme="minorEastAsia"/>
          <w:color w:val="auto"/>
          <w:sz w:val="24"/>
          <w:szCs w:val="24"/>
          <w:highlight w:val="none"/>
          <w:u w:val="none"/>
        </w:rPr>
        <w:t>（0.1～6分）</w:t>
      </w:r>
      <w:r>
        <w:rPr>
          <w:rFonts w:hint="eastAsia" w:cs="宋体" w:asciiTheme="minorEastAsia" w:hAnsiTheme="minorEastAsia" w:eastAsiaTheme="minorEastAsia"/>
          <w:bCs/>
          <w:color w:val="auto"/>
          <w:sz w:val="24"/>
          <w:szCs w:val="24"/>
          <w:highlight w:val="none"/>
          <w:u w:val="none"/>
        </w:rPr>
        <w:t>：</w:t>
      </w:r>
      <w:r>
        <w:rPr>
          <w:rFonts w:hint="eastAsia" w:cs="宋体" w:asciiTheme="minorEastAsia" w:hAnsiTheme="minorEastAsia" w:eastAsiaTheme="minorEastAsia"/>
          <w:color w:val="auto"/>
          <w:sz w:val="24"/>
          <w:szCs w:val="24"/>
          <w:highlight w:val="none"/>
          <w:u w:val="none"/>
        </w:rPr>
        <w:t>投标人所提供的项目售后服务方案</w:t>
      </w:r>
      <w:r>
        <w:rPr>
          <w:rFonts w:hint="eastAsia" w:cs="宋体" w:asciiTheme="minorEastAsia" w:hAnsiTheme="minorEastAsia" w:eastAsiaTheme="minorEastAsia"/>
          <w:bCs/>
          <w:color w:val="auto"/>
          <w:sz w:val="24"/>
          <w:szCs w:val="24"/>
          <w:highlight w:val="none"/>
          <w:u w:val="none"/>
        </w:rPr>
        <w:t>，</w:t>
      </w:r>
      <w:r>
        <w:rPr>
          <w:rFonts w:hint="eastAsia" w:cs="宋体" w:asciiTheme="minorEastAsia" w:hAnsiTheme="minorEastAsia" w:eastAsiaTheme="minorEastAsia"/>
          <w:color w:val="auto"/>
          <w:sz w:val="24"/>
          <w:szCs w:val="24"/>
          <w:highlight w:val="none"/>
          <w:u w:val="none"/>
        </w:rPr>
        <w:t>在使用过程中发生质量问题或故障，按国家相关规定或厂家公开承诺时间予以修复，响应时间基本满足招标文件要求，</w:t>
      </w:r>
      <w:r>
        <w:rPr>
          <w:rFonts w:hint="eastAsia" w:cs="宋体" w:asciiTheme="minorEastAsia" w:hAnsiTheme="minorEastAsia" w:eastAsiaTheme="minorEastAsia"/>
          <w:bCs/>
          <w:color w:val="auto"/>
          <w:sz w:val="24"/>
          <w:szCs w:val="24"/>
          <w:highlight w:val="none"/>
          <w:u w:val="none"/>
        </w:rPr>
        <w:t>评定为“一档”。</w:t>
      </w:r>
    </w:p>
    <w:p>
      <w:pPr>
        <w:pStyle w:val="8"/>
        <w:ind w:left="44" w:leftChars="21" w:firstLine="427" w:firstLineChars="178"/>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二档</w:t>
      </w:r>
      <w:r>
        <w:rPr>
          <w:rFonts w:hint="eastAsia" w:cs="宋体" w:asciiTheme="minorEastAsia" w:hAnsiTheme="minorEastAsia" w:eastAsiaTheme="minorEastAsia"/>
          <w:color w:val="auto"/>
          <w:sz w:val="24"/>
          <w:szCs w:val="24"/>
          <w:highlight w:val="none"/>
          <w:u w:val="none"/>
        </w:rPr>
        <w:t>（6.1～12分）：投标人所提供的项目售后服务方案</w:t>
      </w:r>
      <w:r>
        <w:rPr>
          <w:rFonts w:hint="eastAsia" w:cs="宋体" w:asciiTheme="minorEastAsia" w:hAnsiTheme="minorEastAsia" w:eastAsiaTheme="minorEastAsia"/>
          <w:bCs/>
          <w:color w:val="auto"/>
          <w:sz w:val="24"/>
          <w:szCs w:val="24"/>
          <w:highlight w:val="none"/>
          <w:u w:val="none"/>
        </w:rPr>
        <w:t>，</w:t>
      </w:r>
      <w:r>
        <w:rPr>
          <w:rFonts w:hint="eastAsia" w:cs="宋体" w:asciiTheme="minorEastAsia" w:hAnsiTheme="minorEastAsia" w:eastAsiaTheme="minorEastAsia"/>
          <w:color w:val="auto"/>
          <w:sz w:val="24"/>
          <w:szCs w:val="24"/>
          <w:highlight w:val="none"/>
          <w:u w:val="none"/>
        </w:rPr>
        <w:t>在使用过程中发生质量问题或故障，按国家相关规定或厂家公开承诺时间予以修复，常年备有配件，能及时处理、更换损坏的零部件，能提供培训计划</w:t>
      </w:r>
      <w:r>
        <w:rPr>
          <w:rFonts w:hint="eastAsia" w:cs="宋体" w:asciiTheme="minorEastAsia" w:hAnsiTheme="minorEastAsia" w:eastAsiaTheme="minorEastAsia"/>
          <w:bCs/>
          <w:color w:val="auto"/>
          <w:sz w:val="24"/>
          <w:szCs w:val="24"/>
          <w:highlight w:val="none"/>
          <w:u w:val="none"/>
        </w:rPr>
        <w:t>。</w:t>
      </w:r>
    </w:p>
    <w:p>
      <w:pPr>
        <w:pStyle w:val="8"/>
        <w:ind w:firstLine="420"/>
        <w:rPr>
          <w:rFonts w:cs="宋体" w:asciiTheme="minorEastAsia" w:hAnsiTheme="minorEastAsia" w:eastAsiaTheme="minorEastAsia"/>
          <w:color w:val="auto"/>
          <w:sz w:val="24"/>
          <w:highlight w:val="none"/>
          <w:u w:val="none"/>
        </w:rPr>
      </w:pPr>
      <w:r>
        <w:rPr>
          <w:rFonts w:hint="eastAsia" w:cs="宋体" w:asciiTheme="minorEastAsia" w:hAnsiTheme="minorEastAsia" w:eastAsiaTheme="minorEastAsia"/>
          <w:bCs/>
          <w:color w:val="auto"/>
          <w:sz w:val="24"/>
          <w:highlight w:val="none"/>
          <w:u w:val="none"/>
        </w:rPr>
        <w:t>三档</w:t>
      </w:r>
      <w:r>
        <w:rPr>
          <w:rFonts w:hint="eastAsia" w:cs="宋体" w:asciiTheme="minorEastAsia" w:hAnsiTheme="minorEastAsia" w:eastAsiaTheme="minorEastAsia"/>
          <w:color w:val="auto"/>
          <w:sz w:val="24"/>
          <w:highlight w:val="none"/>
          <w:u w:val="none"/>
        </w:rPr>
        <w:t>（12.1～20分）</w:t>
      </w:r>
      <w:r>
        <w:rPr>
          <w:rFonts w:hint="eastAsia" w:cs="宋体" w:asciiTheme="minorEastAsia" w:hAnsiTheme="minorEastAsia" w:eastAsiaTheme="minorEastAsia"/>
          <w:bCs/>
          <w:color w:val="auto"/>
          <w:sz w:val="24"/>
          <w:highlight w:val="none"/>
          <w:u w:val="none"/>
        </w:rPr>
        <w:t>：</w:t>
      </w:r>
      <w:r>
        <w:rPr>
          <w:rFonts w:hint="eastAsia" w:cs="宋体" w:asciiTheme="minorEastAsia" w:hAnsiTheme="minorEastAsia" w:eastAsiaTheme="minorEastAsia"/>
          <w:color w:val="auto"/>
          <w:sz w:val="24"/>
          <w:highlight w:val="none"/>
          <w:u w:val="none"/>
        </w:rPr>
        <w:t>投标人所提供的项目售后服务方案</w:t>
      </w:r>
      <w:r>
        <w:rPr>
          <w:rFonts w:hint="eastAsia" w:cs="宋体" w:asciiTheme="minorEastAsia" w:hAnsiTheme="minorEastAsia" w:eastAsiaTheme="minorEastAsia"/>
          <w:bCs/>
          <w:color w:val="auto"/>
          <w:sz w:val="24"/>
          <w:highlight w:val="none"/>
          <w:u w:val="none"/>
        </w:rPr>
        <w:t>，</w:t>
      </w:r>
      <w:r>
        <w:rPr>
          <w:rFonts w:hint="eastAsia" w:cs="宋体" w:asciiTheme="minorEastAsia" w:hAnsiTheme="minorEastAsia" w:eastAsiaTheme="minorEastAsia"/>
          <w:color w:val="auto"/>
          <w:sz w:val="24"/>
          <w:highlight w:val="none"/>
          <w:u w:val="none"/>
        </w:rPr>
        <w:t>在使用过程中发生质量问题或故障，及时响应，按国家相关规定或厂家公开承诺时间予以修复，常年备有配件，能及时处理、更换损坏的零部件，投标人在</w:t>
      </w:r>
      <w:r>
        <w:rPr>
          <w:rFonts w:hint="eastAsia" w:cs="宋体" w:asciiTheme="minorEastAsia" w:hAnsiTheme="minorEastAsia" w:eastAsiaTheme="minorEastAsia"/>
          <w:color w:val="auto"/>
          <w:sz w:val="24"/>
          <w:szCs w:val="24"/>
          <w:highlight w:val="none"/>
          <w:u w:val="none"/>
        </w:rPr>
        <w:t>在广西省内设立售后服务机构</w:t>
      </w:r>
      <w:r>
        <w:rPr>
          <w:rFonts w:hint="eastAsia" w:cs="宋体" w:asciiTheme="minorEastAsia" w:hAnsiTheme="minorEastAsia" w:eastAsiaTheme="minorEastAsia"/>
          <w:color w:val="auto"/>
          <w:sz w:val="24"/>
          <w:highlight w:val="none"/>
          <w:u w:val="none"/>
        </w:rPr>
        <w:t>的维修网点，提供厂家技术支持及详细的培训计划，评定为“三档”。</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3、技术部分………………………………………………………</w:t>
      </w:r>
      <w:r>
        <w:rPr>
          <w:rFonts w:hint="eastAsia" w:cs="宋体" w:asciiTheme="minorEastAsia" w:hAnsiTheme="minorEastAsia" w:eastAsiaTheme="minorEastAsia"/>
          <w:bCs/>
          <w:color w:val="auto"/>
          <w:sz w:val="24"/>
          <w:szCs w:val="24"/>
          <w:highlight w:val="none"/>
          <w:u w:val="none"/>
          <w:lang w:val="en-US" w:eastAsia="zh-CN"/>
        </w:rPr>
        <w:t>3</w:t>
      </w:r>
      <w:r>
        <w:rPr>
          <w:rFonts w:hint="eastAsia" w:cs="宋体" w:asciiTheme="minorEastAsia" w:hAnsiTheme="minorEastAsia" w:eastAsiaTheme="minorEastAsia"/>
          <w:bCs/>
          <w:color w:val="auto"/>
          <w:sz w:val="24"/>
          <w:szCs w:val="24"/>
          <w:highlight w:val="none"/>
          <w:u w:val="none"/>
        </w:rPr>
        <w:t>5分</w:t>
      </w:r>
    </w:p>
    <w:p>
      <w:pPr>
        <w:pStyle w:val="8"/>
        <w:ind w:firstLine="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（1）设备性能分                                  （满分20分）</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由评委在打分前根据投标人投标文件中货物技术参数、性能要求，集体讨论确定“一档、二档、三档”确定投标人所属档次后,在相应档次内由评委独立打分（一档0.1～5分, 二档5.1～10分，三档10.1～20分）</w:t>
      </w:r>
    </w:p>
    <w:p>
      <w:pPr>
        <w:pStyle w:val="8"/>
        <w:ind w:firstLine="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（2）设备次要指标分                               （满分</w:t>
      </w:r>
      <w:r>
        <w:rPr>
          <w:rFonts w:hint="eastAsia" w:cs="宋体" w:asciiTheme="minorEastAsia" w:hAnsiTheme="minorEastAsia" w:eastAsiaTheme="minorEastAsia"/>
          <w:color w:val="auto"/>
          <w:sz w:val="24"/>
          <w:szCs w:val="24"/>
          <w:highlight w:val="none"/>
          <w:u w:val="none"/>
          <w:lang w:val="en-US" w:eastAsia="zh-CN"/>
        </w:rPr>
        <w:t>1</w:t>
      </w:r>
      <w:r>
        <w:rPr>
          <w:rFonts w:hint="eastAsia" w:cs="宋体" w:asciiTheme="minorEastAsia" w:hAnsiTheme="minorEastAsia" w:eastAsiaTheme="minorEastAsia"/>
          <w:color w:val="auto"/>
          <w:sz w:val="24"/>
          <w:szCs w:val="24"/>
          <w:highlight w:val="none"/>
          <w:u w:val="none"/>
        </w:rPr>
        <w:t>5分）</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由评委根据投标人投标文件中货物技术参数</w:t>
      </w:r>
      <w:r>
        <w:rPr>
          <w:rFonts w:hint="eastAsia" w:cs="宋体" w:asciiTheme="minorEastAsia" w:hAnsiTheme="minorEastAsia" w:eastAsiaTheme="minorEastAsia"/>
          <w:color w:val="auto"/>
          <w:sz w:val="24"/>
          <w:szCs w:val="24"/>
          <w:highlight w:val="none"/>
          <w:u w:val="none"/>
        </w:rPr>
        <w:t>次要指标</w:t>
      </w:r>
      <w:r>
        <w:rPr>
          <w:rFonts w:hint="eastAsia" w:cs="宋体" w:asciiTheme="minorEastAsia" w:hAnsiTheme="minorEastAsia" w:eastAsiaTheme="minorEastAsia"/>
          <w:bCs/>
          <w:color w:val="auto"/>
          <w:sz w:val="24"/>
          <w:szCs w:val="24"/>
          <w:highlight w:val="none"/>
          <w:u w:val="none"/>
        </w:rPr>
        <w:t>要求确定，技术参数无偏离得15分，负偏离一项得10分，负偏离两项得5分，负偏离三项及以上项则得0分，且技术部分作为0分。</w:t>
      </w:r>
    </w:p>
    <w:p>
      <w:pPr>
        <w:rPr>
          <w:color w:val="auto"/>
          <w:highlight w:val="none"/>
          <w:u w:val="none"/>
        </w:rPr>
      </w:pPr>
    </w:p>
    <w:p>
      <w:pPr>
        <w:pStyle w:val="8"/>
        <w:numPr>
          <w:ilvl w:val="0"/>
          <w:numId w:val="39"/>
        </w:numPr>
        <w:ind w:firstLine="420"/>
        <w:rPr>
          <w:rFonts w:cs="宋体" w:asciiTheme="minorEastAsia" w:hAnsiTheme="minorEastAsia" w:eastAsiaTheme="minorEastAsia"/>
          <w:color w:val="auto"/>
          <w:sz w:val="24"/>
          <w:szCs w:val="24"/>
          <w:highlight w:val="none"/>
          <w:u w:val="none"/>
        </w:rPr>
      </w:pPr>
      <w:r>
        <w:rPr>
          <w:rFonts w:cs="宋体" w:asciiTheme="minorEastAsia" w:hAnsiTheme="minorEastAsia" w:eastAsiaTheme="minorEastAsia"/>
          <w:color w:val="auto"/>
          <w:sz w:val="24"/>
          <w:szCs w:val="24"/>
          <w:highlight w:val="none"/>
          <w:u w:val="none"/>
        </w:rPr>
        <w:t>总得分= 价格部分+  商务部分+技术部分。</w:t>
      </w:r>
    </w:p>
    <w:p>
      <w:pPr>
        <w:rPr>
          <w:color w:val="auto"/>
          <w:highlight w:val="none"/>
          <w:u w:val="none"/>
        </w:rPr>
      </w:pPr>
    </w:p>
    <w:p>
      <w:pPr>
        <w:pStyle w:val="8"/>
        <w:ind w:firstLine="420"/>
        <w:rPr>
          <w:rFonts w:cs="宋体" w:asciiTheme="minorEastAsia" w:hAnsiTheme="minorEastAsia" w:eastAsiaTheme="minorEastAsia"/>
          <w:b/>
          <w:bCs/>
          <w:color w:val="auto"/>
          <w:sz w:val="24"/>
          <w:szCs w:val="24"/>
          <w:highlight w:val="none"/>
          <w:u w:val="none"/>
        </w:rPr>
      </w:pPr>
      <w:r>
        <w:rPr>
          <w:rFonts w:hint="eastAsia" w:cs="宋体" w:asciiTheme="minorEastAsia" w:hAnsiTheme="minorEastAsia" w:eastAsiaTheme="minorEastAsia"/>
          <w:b/>
          <w:bCs/>
          <w:color w:val="auto"/>
          <w:sz w:val="24"/>
          <w:szCs w:val="24"/>
          <w:highlight w:val="none"/>
          <w:u w:val="none"/>
        </w:rPr>
        <w:t>B分标：</w:t>
      </w:r>
    </w:p>
    <w:p>
      <w:pPr>
        <w:pStyle w:val="8"/>
        <w:ind w:firstLine="420"/>
        <w:rPr>
          <w:rFonts w:cs="宋体" w:asciiTheme="minorEastAsia" w:hAnsiTheme="minorEastAsia" w:eastAsiaTheme="minorEastAsia"/>
          <w:b/>
          <w:bCs/>
          <w:color w:val="auto"/>
          <w:sz w:val="24"/>
          <w:szCs w:val="24"/>
          <w:highlight w:val="none"/>
          <w:u w:val="none"/>
        </w:rPr>
      </w:pPr>
      <w:r>
        <w:rPr>
          <w:rFonts w:hint="eastAsia" w:cs="宋体" w:asciiTheme="minorEastAsia" w:hAnsiTheme="minorEastAsia" w:eastAsiaTheme="minorEastAsia"/>
          <w:b/>
          <w:bCs/>
          <w:color w:val="auto"/>
          <w:sz w:val="24"/>
          <w:szCs w:val="24"/>
          <w:highlight w:val="none"/>
          <w:u w:val="none"/>
        </w:rPr>
        <w:t>（一）对进入详评的，采用百分制综合评分法。</w:t>
      </w:r>
    </w:p>
    <w:p>
      <w:pPr>
        <w:pStyle w:val="8"/>
        <w:ind w:firstLine="420"/>
        <w:rPr>
          <w:rFonts w:cs="宋体" w:asciiTheme="minorEastAsia" w:hAnsiTheme="minorEastAsia" w:eastAsiaTheme="minorEastAsia"/>
          <w:b/>
          <w:bCs/>
          <w:color w:val="auto"/>
          <w:sz w:val="24"/>
          <w:szCs w:val="24"/>
          <w:highlight w:val="none"/>
          <w:u w:val="none"/>
        </w:rPr>
      </w:pPr>
      <w:r>
        <w:rPr>
          <w:rFonts w:hint="eastAsia" w:cs="宋体" w:asciiTheme="minorEastAsia" w:hAnsiTheme="minorEastAsia" w:eastAsiaTheme="minorEastAsia"/>
          <w:b/>
          <w:bCs/>
          <w:color w:val="auto"/>
          <w:sz w:val="24"/>
          <w:szCs w:val="24"/>
          <w:highlight w:val="none"/>
          <w:u w:val="none"/>
        </w:rPr>
        <w:t>（二）计分办法（按四舍五入取至百分位）：</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1、价格部分………………………………………………………………30分</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（1）以进入详评的最低的投标报价为30分。</w:t>
      </w:r>
    </w:p>
    <w:p>
      <w:pPr>
        <w:pStyle w:val="8"/>
        <w:ind w:firstLine="3528" w:firstLineChars="147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 xml:space="preserve">投标人有效最低投标报价金额（万元）          </w:t>
      </w:r>
    </w:p>
    <w:p>
      <w:pPr>
        <w:pStyle w:val="8"/>
        <w:ind w:firstLine="420"/>
        <w:rPr>
          <w:rFonts w:cs="宋体" w:asciiTheme="minorEastAsia" w:hAnsiTheme="minorEastAsia" w:eastAsiaTheme="minorEastAsia"/>
          <w:bCs/>
          <w:color w:val="auto"/>
          <w:sz w:val="24"/>
          <w:szCs w:val="24"/>
          <w:highlight w:val="none"/>
          <w:u w:val="none"/>
        </w:rPr>
      </w:pPr>
      <w:r>
        <w:rPr>
          <w:rFonts w:cs="宋体" w:asciiTheme="minorEastAsia" w:hAnsiTheme="minorEastAsia" w:eastAsiaTheme="minorEastAsia"/>
          <w:bCs/>
          <w:color w:val="auto"/>
          <w:sz w:val="24"/>
          <w:szCs w:val="24"/>
          <w:highlight w:val="none"/>
          <w:u w:val="none"/>
        </w:rPr>
        <mc:AlternateContent>
          <mc:Choice Requires="wps">
            <w:drawing>
              <wp:anchor distT="0" distB="0" distL="114300" distR="114300" simplePos="0" relativeHeight="251675648" behindDoc="0" locked="0" layoutInCell="1" allowOverlap="1">
                <wp:simplePos x="0" y="0"/>
                <wp:positionH relativeFrom="column">
                  <wp:posOffset>1898650</wp:posOffset>
                </wp:positionH>
                <wp:positionV relativeFrom="paragraph">
                  <wp:posOffset>88900</wp:posOffset>
                </wp:positionV>
                <wp:extent cx="233362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23336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49.5pt;margin-top:7pt;height:0pt;width:183.75pt;z-index:251675648;mso-width-relative:page;mso-height-relative:page;" filled="f" stroked="t" coordsize="21600,21600" o:gfxdata="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KVdDDWAAAACQEAAA8AAAAAAAAAAQAgAAAA&#10;IgAAAGRycy9kb3ducmV2LnhtbFBLAQIUABQAAAAIAIdO4kC7Zfea1AEAAJgDAAAOAAAAAAAAAAEA&#10;IAAAACUBAABkcnMvZTJvRG9jLnhtbFBLBQYAAAAABgAGAFkBAABrBQAAAAA=&#10;">
                <v:fill on="f" focussize="0,0"/>
                <v:stroke color="#000000" joinstyle="round"/>
                <v:imagedata o:title=""/>
                <o:lock v:ext="edit" aspectratio="f"/>
              </v:line>
            </w:pict>
          </mc:Fallback>
        </mc:AlternateContent>
      </w:r>
      <w:r>
        <w:rPr>
          <w:rFonts w:hint="eastAsia" w:cs="宋体" w:asciiTheme="minorEastAsia" w:hAnsiTheme="minorEastAsia" w:eastAsiaTheme="minorEastAsia"/>
          <w:bCs/>
          <w:color w:val="auto"/>
          <w:sz w:val="24"/>
          <w:szCs w:val="24"/>
          <w:highlight w:val="none"/>
          <w:u w:val="none"/>
        </w:rPr>
        <w:t>（2）某投标人报价分 =                                        ×30分</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 xml:space="preserve">                           某投标人有效投标报价金额（万元）                </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（3）根据财政部《关于印发〈政府采购促进中小企业发展暂行办法〉的通知》（财库[2011]181号）第五条的规定，对小型和微型企业产品的价格给予</w:t>
      </w:r>
      <w:r>
        <w:rPr>
          <w:rFonts w:hint="eastAsia" w:cs="宋体" w:asciiTheme="minorEastAsia" w:hAnsiTheme="minorEastAsia" w:eastAsiaTheme="minorEastAsia"/>
          <w:bCs/>
          <w:color w:val="auto"/>
          <w:sz w:val="24"/>
          <w:szCs w:val="24"/>
          <w:highlight w:val="none"/>
          <w:u w:val="none"/>
          <w:lang w:eastAsia="zh-CN"/>
        </w:rPr>
        <w:t>10%</w:t>
      </w:r>
      <w:r>
        <w:rPr>
          <w:rFonts w:hint="eastAsia" w:cs="宋体" w:asciiTheme="minorEastAsia" w:hAnsiTheme="minorEastAsia" w:eastAsiaTheme="minorEastAsia"/>
          <w:bCs/>
          <w:color w:val="auto"/>
          <w:sz w:val="24"/>
          <w:szCs w:val="24"/>
          <w:highlight w:val="none"/>
          <w:u w:val="none"/>
        </w:rPr>
        <w:t>的扣除，用扣除后的价格作为评标价参与评审。</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即对投标人投标总价中的小型和微型企业产品的价格给予</w:t>
      </w:r>
      <w:r>
        <w:rPr>
          <w:rFonts w:hint="eastAsia" w:cs="宋体" w:asciiTheme="minorEastAsia" w:hAnsiTheme="minorEastAsia" w:eastAsiaTheme="minorEastAsia"/>
          <w:bCs/>
          <w:color w:val="auto"/>
          <w:sz w:val="24"/>
          <w:szCs w:val="24"/>
          <w:highlight w:val="none"/>
          <w:u w:val="none"/>
          <w:lang w:eastAsia="zh-CN"/>
        </w:rPr>
        <w:t>10%</w:t>
      </w:r>
      <w:r>
        <w:rPr>
          <w:rFonts w:hint="eastAsia" w:cs="宋体" w:asciiTheme="minorEastAsia" w:hAnsiTheme="minorEastAsia" w:eastAsiaTheme="minorEastAsia"/>
          <w:bCs/>
          <w:color w:val="auto"/>
          <w:sz w:val="24"/>
          <w:szCs w:val="24"/>
          <w:highlight w:val="none"/>
          <w:u w:val="none"/>
        </w:rPr>
        <w:t>的扣除后加上原来未享受优惠政策的部分投标价格作为评标价计算价格分。[投标人须提供所投产品企业所在地的地市级以上中小企业主管部门相关证明材料原件，并对证明材料原件的真实性负责，并如实填写中小企业声明函（</w:t>
      </w:r>
      <w:r>
        <w:rPr>
          <w:rFonts w:hint="eastAsia" w:cs="宋体" w:asciiTheme="minorEastAsia" w:hAnsiTheme="minorEastAsia" w:eastAsiaTheme="minorEastAsia"/>
          <w:color w:val="auto"/>
          <w:sz w:val="24"/>
          <w:szCs w:val="24"/>
          <w:highlight w:val="none"/>
          <w:u w:val="none"/>
        </w:rPr>
        <w:t>按第六章要求格式填写</w:t>
      </w:r>
      <w:r>
        <w:rPr>
          <w:rFonts w:hint="eastAsia" w:cs="宋体" w:asciiTheme="minorEastAsia" w:hAnsiTheme="minorEastAsia" w:eastAsiaTheme="minorEastAsia"/>
          <w:bCs/>
          <w:color w:val="auto"/>
          <w:sz w:val="24"/>
          <w:szCs w:val="24"/>
          <w:highlight w:val="none"/>
          <w:u w:val="none"/>
        </w:rPr>
        <w:t>），否则不予价格扣除]</w:t>
      </w:r>
    </w:p>
    <w:p>
      <w:pPr>
        <w:pStyle w:val="8"/>
        <w:ind w:firstLine="480" w:firstLineChars="20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2、商务部分……………………………………………………………35分</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（1） 信誉分   ………………………………………………………5分</w:t>
      </w:r>
    </w:p>
    <w:p>
      <w:pPr>
        <w:pStyle w:val="8"/>
        <w:ind w:firstLine="720" w:firstLineChars="30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①投标人或投标货物生产厂商有效的通过ISO9001质量管理体系认证证书</w:t>
      </w:r>
      <w:r>
        <w:rPr>
          <w:rFonts w:hint="eastAsia" w:cs="宋体" w:asciiTheme="minorEastAsia" w:hAnsiTheme="minorEastAsia" w:eastAsiaTheme="minorEastAsia"/>
          <w:bCs/>
          <w:color w:val="auto"/>
          <w:sz w:val="24"/>
          <w:szCs w:val="24"/>
          <w:highlight w:val="none"/>
          <w:u w:val="none"/>
        </w:rPr>
        <w:t>复印件       2.5分。</w:t>
      </w:r>
    </w:p>
    <w:p>
      <w:pPr>
        <w:pStyle w:val="8"/>
        <w:ind w:firstLine="720" w:firstLineChars="30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②投标人或投标货物生产厂商</w:t>
      </w:r>
      <w:r>
        <w:rPr>
          <w:rFonts w:hint="eastAsia" w:cs="宋体" w:asciiTheme="minorEastAsia" w:hAnsiTheme="minorEastAsia" w:eastAsiaTheme="minorEastAsia"/>
          <w:bCs/>
          <w:color w:val="auto"/>
          <w:sz w:val="24"/>
          <w:szCs w:val="24"/>
          <w:highlight w:val="none"/>
          <w:u w:val="none"/>
        </w:rPr>
        <w:t>通过ISO13485环境管理体系认证复印件                2.5分。</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（2） 业绩分……………………………………………………………10分</w:t>
      </w:r>
    </w:p>
    <w:p>
      <w:pPr>
        <w:pStyle w:val="8"/>
        <w:ind w:firstLine="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投标人或设备厂家</w:t>
      </w:r>
      <w:r>
        <w:rPr>
          <w:rFonts w:hint="eastAsia" w:cs="宋体" w:asciiTheme="minorEastAsia" w:hAnsiTheme="minorEastAsia" w:eastAsiaTheme="minorEastAsia"/>
          <w:bCs/>
          <w:color w:val="auto"/>
          <w:sz w:val="24"/>
          <w:szCs w:val="24"/>
          <w:highlight w:val="none"/>
          <w:u w:val="none"/>
        </w:rPr>
        <w:t>自2017年1月1日）以来在三甲医院同类产品采购安装的成功案例</w:t>
      </w:r>
      <w:r>
        <w:rPr>
          <w:rFonts w:hint="eastAsia" w:cs="宋体" w:asciiTheme="minorEastAsia" w:hAnsiTheme="minorEastAsia" w:eastAsiaTheme="minorEastAsia"/>
          <w:color w:val="auto"/>
          <w:sz w:val="24"/>
          <w:szCs w:val="24"/>
          <w:highlight w:val="none"/>
          <w:u w:val="none"/>
        </w:rPr>
        <w:t>（提供投标人实施情况一览表、合同复印件或证明材料）。（每一个案例加2.5分，满分10分）</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（3）售后服务分…………………………………………………………20分</w:t>
      </w:r>
    </w:p>
    <w:p>
      <w:pPr>
        <w:pStyle w:val="8"/>
        <w:ind w:left="44" w:leftChars="21" w:firstLine="427" w:firstLineChars="178"/>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一档</w:t>
      </w:r>
      <w:r>
        <w:rPr>
          <w:rFonts w:hint="eastAsia" w:cs="宋体" w:asciiTheme="minorEastAsia" w:hAnsiTheme="minorEastAsia" w:eastAsiaTheme="minorEastAsia"/>
          <w:color w:val="auto"/>
          <w:sz w:val="24"/>
          <w:szCs w:val="24"/>
          <w:highlight w:val="none"/>
          <w:u w:val="none"/>
        </w:rPr>
        <w:t>（0.1～6分）</w:t>
      </w:r>
      <w:r>
        <w:rPr>
          <w:rFonts w:hint="eastAsia" w:cs="宋体" w:asciiTheme="minorEastAsia" w:hAnsiTheme="minorEastAsia" w:eastAsiaTheme="minorEastAsia"/>
          <w:bCs/>
          <w:color w:val="auto"/>
          <w:sz w:val="24"/>
          <w:szCs w:val="24"/>
          <w:highlight w:val="none"/>
          <w:u w:val="none"/>
        </w:rPr>
        <w:t>：</w:t>
      </w:r>
      <w:r>
        <w:rPr>
          <w:rFonts w:hint="eastAsia" w:cs="宋体" w:asciiTheme="minorEastAsia" w:hAnsiTheme="minorEastAsia" w:eastAsiaTheme="minorEastAsia"/>
          <w:color w:val="auto"/>
          <w:sz w:val="24"/>
          <w:szCs w:val="24"/>
          <w:highlight w:val="none"/>
          <w:u w:val="none"/>
        </w:rPr>
        <w:t>投标人所提供的项目售后服务方案</w:t>
      </w:r>
      <w:r>
        <w:rPr>
          <w:rFonts w:hint="eastAsia" w:cs="宋体" w:asciiTheme="minorEastAsia" w:hAnsiTheme="minorEastAsia" w:eastAsiaTheme="minorEastAsia"/>
          <w:bCs/>
          <w:color w:val="auto"/>
          <w:sz w:val="24"/>
          <w:szCs w:val="24"/>
          <w:highlight w:val="none"/>
          <w:u w:val="none"/>
        </w:rPr>
        <w:t>，</w:t>
      </w:r>
      <w:r>
        <w:rPr>
          <w:rFonts w:hint="eastAsia" w:cs="宋体" w:asciiTheme="minorEastAsia" w:hAnsiTheme="minorEastAsia" w:eastAsiaTheme="minorEastAsia"/>
          <w:color w:val="auto"/>
          <w:sz w:val="24"/>
          <w:szCs w:val="24"/>
          <w:highlight w:val="none"/>
          <w:u w:val="none"/>
        </w:rPr>
        <w:t>在使用过程中发生质量问题或故障，按国家相关规定或厂家公开承诺时间予以修复，响应时间基本满足招标文件要求，</w:t>
      </w:r>
      <w:r>
        <w:rPr>
          <w:rFonts w:hint="eastAsia" w:cs="宋体" w:asciiTheme="minorEastAsia" w:hAnsiTheme="minorEastAsia" w:eastAsiaTheme="minorEastAsia"/>
          <w:bCs/>
          <w:color w:val="auto"/>
          <w:sz w:val="24"/>
          <w:szCs w:val="24"/>
          <w:highlight w:val="none"/>
          <w:u w:val="none"/>
        </w:rPr>
        <w:t>评定为“一档”。</w:t>
      </w:r>
    </w:p>
    <w:p>
      <w:pPr>
        <w:pStyle w:val="8"/>
        <w:ind w:left="44" w:leftChars="21" w:firstLine="427" w:firstLineChars="178"/>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二档</w:t>
      </w:r>
      <w:r>
        <w:rPr>
          <w:rFonts w:hint="eastAsia" w:cs="宋体" w:asciiTheme="minorEastAsia" w:hAnsiTheme="minorEastAsia" w:eastAsiaTheme="minorEastAsia"/>
          <w:color w:val="auto"/>
          <w:sz w:val="24"/>
          <w:szCs w:val="24"/>
          <w:highlight w:val="none"/>
          <w:u w:val="none"/>
        </w:rPr>
        <w:t>（6.1～12分）：投标人所提供的项目售后服务方案</w:t>
      </w:r>
      <w:r>
        <w:rPr>
          <w:rFonts w:hint="eastAsia" w:cs="宋体" w:asciiTheme="minorEastAsia" w:hAnsiTheme="minorEastAsia" w:eastAsiaTheme="minorEastAsia"/>
          <w:bCs/>
          <w:color w:val="auto"/>
          <w:sz w:val="24"/>
          <w:szCs w:val="24"/>
          <w:highlight w:val="none"/>
          <w:u w:val="none"/>
        </w:rPr>
        <w:t>，</w:t>
      </w:r>
      <w:r>
        <w:rPr>
          <w:rFonts w:hint="eastAsia" w:cs="宋体" w:asciiTheme="minorEastAsia" w:hAnsiTheme="minorEastAsia" w:eastAsiaTheme="minorEastAsia"/>
          <w:color w:val="auto"/>
          <w:sz w:val="24"/>
          <w:szCs w:val="24"/>
          <w:highlight w:val="none"/>
          <w:u w:val="none"/>
        </w:rPr>
        <w:t>在使用过程中发生质量问题或故障，按国家相关规定或厂家公开承诺时间予以修复，常年备有配件，能及时处理、更换损坏的零部件，能提供培训计划，在广西省内设立售后服务机构的，</w:t>
      </w:r>
      <w:r>
        <w:rPr>
          <w:rFonts w:hint="eastAsia" w:cs="宋体" w:asciiTheme="minorEastAsia" w:hAnsiTheme="minorEastAsia" w:eastAsiaTheme="minorEastAsia"/>
          <w:bCs/>
          <w:color w:val="auto"/>
          <w:sz w:val="24"/>
          <w:szCs w:val="24"/>
          <w:highlight w:val="none"/>
          <w:u w:val="none"/>
        </w:rPr>
        <w:t>评定为“二档”。</w:t>
      </w:r>
    </w:p>
    <w:p>
      <w:pPr>
        <w:ind w:firstLine="420"/>
        <w:rPr>
          <w:rFonts w:cs="宋体" w:asciiTheme="minorEastAsia" w:hAnsiTheme="minorEastAsia" w:eastAsiaTheme="minorEastAsia"/>
          <w:color w:val="auto"/>
          <w:sz w:val="24"/>
          <w:highlight w:val="none"/>
          <w:u w:val="none"/>
        </w:rPr>
      </w:pPr>
      <w:r>
        <w:rPr>
          <w:rFonts w:hint="eastAsia" w:cs="宋体" w:asciiTheme="minorEastAsia" w:hAnsiTheme="minorEastAsia" w:eastAsiaTheme="minorEastAsia"/>
          <w:bCs/>
          <w:color w:val="auto"/>
          <w:sz w:val="24"/>
          <w:highlight w:val="none"/>
          <w:u w:val="none"/>
        </w:rPr>
        <w:t>三档</w:t>
      </w:r>
      <w:r>
        <w:rPr>
          <w:rFonts w:hint="eastAsia" w:cs="宋体" w:asciiTheme="minorEastAsia" w:hAnsiTheme="minorEastAsia" w:eastAsiaTheme="minorEastAsia"/>
          <w:color w:val="auto"/>
          <w:sz w:val="24"/>
          <w:highlight w:val="none"/>
          <w:u w:val="none"/>
        </w:rPr>
        <w:t>（12.1～20分）</w:t>
      </w:r>
      <w:r>
        <w:rPr>
          <w:rFonts w:hint="eastAsia" w:cs="宋体" w:asciiTheme="minorEastAsia" w:hAnsiTheme="minorEastAsia" w:eastAsiaTheme="minorEastAsia"/>
          <w:bCs/>
          <w:color w:val="auto"/>
          <w:sz w:val="24"/>
          <w:highlight w:val="none"/>
          <w:u w:val="none"/>
        </w:rPr>
        <w:t>：</w:t>
      </w:r>
      <w:r>
        <w:rPr>
          <w:rFonts w:hint="eastAsia" w:cs="宋体" w:asciiTheme="minorEastAsia" w:hAnsiTheme="minorEastAsia" w:eastAsiaTheme="minorEastAsia"/>
          <w:color w:val="auto"/>
          <w:sz w:val="24"/>
          <w:highlight w:val="none"/>
          <w:u w:val="none"/>
        </w:rPr>
        <w:t>投标人所提供的项目售后服务方案</w:t>
      </w:r>
      <w:r>
        <w:rPr>
          <w:rFonts w:hint="eastAsia" w:cs="宋体" w:asciiTheme="minorEastAsia" w:hAnsiTheme="minorEastAsia" w:eastAsiaTheme="minorEastAsia"/>
          <w:bCs/>
          <w:color w:val="auto"/>
          <w:sz w:val="24"/>
          <w:highlight w:val="none"/>
          <w:u w:val="none"/>
        </w:rPr>
        <w:t>，</w:t>
      </w:r>
      <w:r>
        <w:rPr>
          <w:rFonts w:hint="eastAsia" w:cs="宋体" w:asciiTheme="minorEastAsia" w:hAnsiTheme="minorEastAsia" w:eastAsiaTheme="minorEastAsia"/>
          <w:color w:val="auto"/>
          <w:sz w:val="24"/>
          <w:highlight w:val="none"/>
          <w:u w:val="none"/>
        </w:rPr>
        <w:t>在使用过程中发生质量问题或故障，及时响应，按国家相关规定或厂家公开承诺时间予以修复，常年备有配件，能及时处理、更换损坏的零部件，投标人在钦州市内设立售后服务机构或有获得厂家授权的维修网点，提供厂家技术支持及详细的培训计划，评定为“三档”。</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3、技术部分………………………………………………………35分</w:t>
      </w:r>
    </w:p>
    <w:p>
      <w:pPr>
        <w:pStyle w:val="8"/>
        <w:ind w:firstLine="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（1）设备性能分                                  （满分20分）</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由评委在打分前根据投标人投标文件中货物技术参数、性能要求，集体讨论确定“一档、二档、三档”确定投标人所属档次后,在相应档次内由评委独立打分（一档0.1～5分, 二档5.1～10分，三档10.1～20分）</w:t>
      </w:r>
    </w:p>
    <w:p>
      <w:pPr>
        <w:pStyle w:val="8"/>
        <w:ind w:firstLine="420"/>
        <w:rPr>
          <w:rFonts w:cs="宋体" w:asciiTheme="minorEastAsia" w:hAnsiTheme="minorEastAsia" w:eastAsiaTheme="minorEastAsia"/>
          <w:color w:val="auto"/>
          <w:sz w:val="24"/>
          <w:szCs w:val="24"/>
          <w:highlight w:val="none"/>
          <w:u w:val="none"/>
        </w:rPr>
      </w:pPr>
      <w:r>
        <w:rPr>
          <w:rFonts w:hint="eastAsia" w:cs="宋体" w:asciiTheme="minorEastAsia" w:hAnsiTheme="minorEastAsia" w:eastAsiaTheme="minorEastAsia"/>
          <w:color w:val="auto"/>
          <w:sz w:val="24"/>
          <w:szCs w:val="24"/>
          <w:highlight w:val="none"/>
          <w:u w:val="none"/>
        </w:rPr>
        <w:t>（2）设备次要指标分                               （满分15分）</w:t>
      </w:r>
    </w:p>
    <w:p>
      <w:pPr>
        <w:pStyle w:val="8"/>
        <w:ind w:firstLine="42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Cs/>
          <w:color w:val="auto"/>
          <w:sz w:val="24"/>
          <w:szCs w:val="24"/>
          <w:highlight w:val="none"/>
          <w:u w:val="none"/>
        </w:rPr>
        <w:t>由评委根据投标人投标文件中货物技术参数</w:t>
      </w:r>
      <w:r>
        <w:rPr>
          <w:rFonts w:hint="eastAsia" w:cs="宋体" w:asciiTheme="minorEastAsia" w:hAnsiTheme="minorEastAsia" w:eastAsiaTheme="minorEastAsia"/>
          <w:color w:val="auto"/>
          <w:sz w:val="24"/>
          <w:szCs w:val="24"/>
          <w:highlight w:val="none"/>
          <w:u w:val="none"/>
        </w:rPr>
        <w:t>次要指标</w:t>
      </w:r>
      <w:r>
        <w:rPr>
          <w:rFonts w:hint="eastAsia" w:cs="宋体" w:asciiTheme="minorEastAsia" w:hAnsiTheme="minorEastAsia" w:eastAsiaTheme="minorEastAsia"/>
          <w:bCs/>
          <w:color w:val="auto"/>
          <w:sz w:val="24"/>
          <w:szCs w:val="24"/>
          <w:highlight w:val="none"/>
          <w:u w:val="none"/>
        </w:rPr>
        <w:t>要求确定，技术参数无偏离得15分，负偏离一项得10分，负偏离两项得5分，负偏离三项及以上项则得0分，且技术部分作为0分。</w:t>
      </w:r>
    </w:p>
    <w:p>
      <w:pPr>
        <w:pStyle w:val="11"/>
        <w:ind w:firstLine="420"/>
        <w:rPr>
          <w:rFonts w:asciiTheme="minorEastAsia" w:hAnsiTheme="minorEastAsia" w:eastAsiaTheme="minorEastAsia"/>
          <w:color w:val="auto"/>
          <w:sz w:val="24"/>
          <w:szCs w:val="24"/>
          <w:highlight w:val="none"/>
          <w:u w:val="none"/>
        </w:rPr>
      </w:pPr>
    </w:p>
    <w:p>
      <w:pPr>
        <w:pStyle w:val="8"/>
        <w:ind w:firstLine="482" w:firstLineChars="200"/>
        <w:rPr>
          <w:rFonts w:cs="宋体" w:asciiTheme="minorEastAsia" w:hAnsiTheme="minorEastAsia" w:eastAsiaTheme="minorEastAsia"/>
          <w:bCs/>
          <w:color w:val="auto"/>
          <w:sz w:val="24"/>
          <w:szCs w:val="24"/>
          <w:highlight w:val="none"/>
          <w:u w:val="none"/>
        </w:rPr>
      </w:pPr>
      <w:r>
        <w:rPr>
          <w:rFonts w:hint="eastAsia" w:cs="宋体" w:asciiTheme="minorEastAsia" w:hAnsiTheme="minorEastAsia" w:eastAsiaTheme="minorEastAsia"/>
          <w:b/>
          <w:bCs/>
          <w:color w:val="auto"/>
          <w:sz w:val="24"/>
          <w:szCs w:val="24"/>
          <w:highlight w:val="none"/>
          <w:u w:val="none"/>
        </w:rPr>
        <w:t xml:space="preserve">（三）总得分= </w:t>
      </w:r>
      <w:r>
        <w:rPr>
          <w:rFonts w:hint="eastAsia" w:cs="宋体" w:asciiTheme="minorEastAsia" w:hAnsiTheme="minorEastAsia" w:eastAsiaTheme="minorEastAsia"/>
          <w:bCs/>
          <w:color w:val="auto"/>
          <w:sz w:val="24"/>
          <w:szCs w:val="24"/>
          <w:highlight w:val="none"/>
          <w:u w:val="none"/>
        </w:rPr>
        <w:t>价格部分</w:t>
      </w:r>
      <w:r>
        <w:rPr>
          <w:rFonts w:hint="eastAsia" w:cs="宋体" w:asciiTheme="minorEastAsia" w:hAnsiTheme="minorEastAsia" w:eastAsiaTheme="minorEastAsia"/>
          <w:b/>
          <w:bCs/>
          <w:color w:val="auto"/>
          <w:sz w:val="24"/>
          <w:szCs w:val="24"/>
          <w:highlight w:val="none"/>
          <w:u w:val="none"/>
        </w:rPr>
        <w:t xml:space="preserve">+  </w:t>
      </w:r>
      <w:r>
        <w:rPr>
          <w:rFonts w:hint="eastAsia" w:cs="宋体" w:asciiTheme="minorEastAsia" w:hAnsiTheme="minorEastAsia" w:eastAsiaTheme="minorEastAsia"/>
          <w:bCs/>
          <w:color w:val="auto"/>
          <w:sz w:val="24"/>
          <w:szCs w:val="24"/>
          <w:highlight w:val="none"/>
          <w:u w:val="none"/>
        </w:rPr>
        <w:t>商务部分</w:t>
      </w:r>
      <w:r>
        <w:rPr>
          <w:rFonts w:hint="eastAsia" w:cs="宋体" w:asciiTheme="minorEastAsia" w:hAnsiTheme="minorEastAsia" w:eastAsiaTheme="minorEastAsia"/>
          <w:b/>
          <w:bCs/>
          <w:color w:val="auto"/>
          <w:sz w:val="24"/>
          <w:szCs w:val="24"/>
          <w:highlight w:val="none"/>
          <w:u w:val="none"/>
        </w:rPr>
        <w:t>+</w:t>
      </w:r>
      <w:r>
        <w:rPr>
          <w:rFonts w:hint="eastAsia" w:cs="宋体" w:asciiTheme="minorEastAsia" w:hAnsiTheme="minorEastAsia" w:eastAsiaTheme="minorEastAsia"/>
          <w:bCs/>
          <w:color w:val="auto"/>
          <w:sz w:val="24"/>
          <w:szCs w:val="24"/>
          <w:highlight w:val="none"/>
          <w:u w:val="none"/>
        </w:rPr>
        <w:t>技术部分</w:t>
      </w:r>
      <w:r>
        <w:rPr>
          <w:rFonts w:hint="eastAsia" w:cs="宋体" w:asciiTheme="minorEastAsia" w:hAnsiTheme="minorEastAsia" w:eastAsiaTheme="minorEastAsia"/>
          <w:b/>
          <w:bCs/>
          <w:color w:val="auto"/>
          <w:sz w:val="24"/>
          <w:szCs w:val="24"/>
          <w:highlight w:val="none"/>
          <w:u w:val="none"/>
        </w:rPr>
        <w:t>。</w:t>
      </w:r>
    </w:p>
    <w:p>
      <w:pPr>
        <w:pStyle w:val="8"/>
        <w:ind w:firstLine="420"/>
        <w:rPr>
          <w:rFonts w:cs="宋体" w:asciiTheme="minorEastAsia" w:hAnsiTheme="minorEastAsia" w:eastAsiaTheme="minorEastAsia"/>
          <w:b/>
          <w:bCs/>
          <w:color w:val="auto"/>
          <w:sz w:val="24"/>
          <w:szCs w:val="24"/>
          <w:highlight w:val="none"/>
          <w:u w:val="none"/>
        </w:rPr>
      </w:pPr>
      <w:r>
        <w:rPr>
          <w:rFonts w:hint="eastAsia" w:cs="宋体" w:asciiTheme="minorEastAsia" w:hAnsiTheme="minorEastAsia" w:eastAsiaTheme="minorEastAsia"/>
          <w:b/>
          <w:bCs/>
          <w:color w:val="auto"/>
          <w:sz w:val="24"/>
          <w:szCs w:val="24"/>
          <w:highlight w:val="none"/>
          <w:u w:val="none"/>
        </w:rPr>
        <w:t>三、中标标准及中标候选人推荐原则</w:t>
      </w:r>
    </w:p>
    <w:p>
      <w:pPr>
        <w:pStyle w:val="8"/>
        <w:ind w:firstLine="420"/>
        <w:rPr>
          <w:rFonts w:cs="宋体" w:asciiTheme="minorEastAsia" w:hAnsiTheme="minorEastAsia" w:eastAsiaTheme="minorEastAsia"/>
          <w:b/>
          <w:bCs/>
          <w:color w:val="auto"/>
          <w:szCs w:val="21"/>
          <w:highlight w:val="none"/>
          <w:u w:val="none"/>
        </w:rPr>
      </w:pPr>
      <w:r>
        <w:rPr>
          <w:rFonts w:hint="eastAsia" w:cs="宋体" w:asciiTheme="minorEastAsia" w:hAnsiTheme="minorEastAsia" w:eastAsiaTheme="minorEastAsia"/>
          <w:b/>
          <w:bCs/>
          <w:color w:val="auto"/>
          <w:sz w:val="24"/>
          <w:szCs w:val="24"/>
          <w:highlight w:val="none"/>
          <w:u w:val="none"/>
        </w:rPr>
        <w:t>评标委员会将根据综合得分由高到低排列次序（得分相同时，以投标报价由低到高顺序排列；得分相同且投标报价相同的，按技术指标优劣顺序排列）并推荐综合得分前三名为中标候选供应商。招标采购单位应当确定评审委员会推荐排名第一的中标候选人为中标人。排名第一的中标候选人放弃中标、因不可抗力提出不能履行合同，或者招标文件规定应当提交履约保证金而在规定的期限内未能提交的，招标采购单位可以确定排名第二的中标候选人为中标人，其余以此类推。</w:t>
      </w:r>
    </w:p>
    <w:p>
      <w:pPr>
        <w:rPr>
          <w:rFonts w:asciiTheme="minorEastAsia" w:hAnsiTheme="minorEastAsia" w:eastAsiaTheme="minorEastAsia"/>
          <w:color w:val="auto"/>
          <w:szCs w:val="21"/>
          <w:highlight w:val="none"/>
          <w:u w:val="none"/>
        </w:rPr>
      </w:pPr>
    </w:p>
    <w:p>
      <w:pPr>
        <w:rPr>
          <w:rFonts w:asciiTheme="minorEastAsia" w:hAnsiTheme="minorEastAsia" w:eastAsiaTheme="minorEastAsia"/>
          <w:color w:val="auto"/>
          <w:highlight w:val="none"/>
          <w:u w:val="none"/>
        </w:rPr>
      </w:pPr>
    </w:p>
    <w:sectPr>
      <w:footerReference r:id="rId7" w:type="default"/>
      <w:pgSz w:w="11906" w:h="16838"/>
      <w:pgMar w:top="1134" w:right="1134" w:bottom="1134" w:left="1134" w:header="720" w:footer="720" w:gutter="0"/>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mbria">
    <w:panose1 w:val="02040503050406030204"/>
    <w:charset w:val="00"/>
    <w:family w:val="roman"/>
    <w:pitch w:val="default"/>
    <w:sig w:usb0="A00002EF" w:usb1="4000004B" w:usb2="00000000" w:usb3="00000000" w:csb0="200000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EmlWgWAgAAFQQAAA4AAABkcnMvZTJvRG9jLnhtbK1TzY7TMBC+I/EO&#10;lu80adEu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3lGim0KLT92+nH79OP7+Sq0hPa/0MURuLuNC9NR3aPNx7XMaq&#10;u8qpuKMeAj+IPl7IFV0gPD6aTqbTHC4O33AAfvb43Dof3gmjSDQK6tC9RCo7rH3oQ4eQ+Js2q0bK&#10;1EGpSVvQ69dX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xJpVoFgIAABUEAAAOAAAAAAAA&#10;AAEAIAAAAB8BAABkcnMvZTJvRG9jLnhtbFBLBQYAAAAABgAGAFkBAACn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5wrkCFgIAABUEAAAOAAAAAAAA&#10;AAEAIAAAAB8BAABkcnMvZTJvRG9jLnhtbFBLBQYAAAAABgAGAFkBAACn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rPr>
                              <w:rStyle w:val="22"/>
                            </w:rPr>
                          </w:pPr>
                          <w:r>
                            <w:fldChar w:fldCharType="begin"/>
                          </w:r>
                          <w:r>
                            <w:rPr>
                              <w:rStyle w:val="22"/>
                            </w:rPr>
                            <w:instrText xml:space="preserve">PAGE  </w:instrText>
                          </w:r>
                          <w:r>
                            <w:fldChar w:fldCharType="separate"/>
                          </w:r>
                          <w:r>
                            <w:rPr>
                              <w:rStyle w:val="22"/>
                            </w:rPr>
                            <w:t>68</w:t>
                          </w:r>
                          <w: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1Ny4J6wBAABNAwAA&#10;DgAAAAAAAAABACAAAAAeAQAAZHJzL2Uyb0RvYy54bWxQSwUGAAAAAAYABgBZAQAAPAUAAAAA&#10;">
              <v:fill on="f" focussize="0,0"/>
              <v:stroke on="f"/>
              <v:imagedata o:title=""/>
              <o:lock v:ext="edit" aspectratio="f"/>
              <v:textbox inset="0mm,0mm,0mm,0mm" style="mso-fit-shape-to-text:t;">
                <w:txbxContent>
                  <w:p>
                    <w:pPr>
                      <w:pStyle w:val="11"/>
                      <w:rPr>
                        <w:rStyle w:val="22"/>
                      </w:rPr>
                    </w:pPr>
                    <w:r>
                      <w:fldChar w:fldCharType="begin"/>
                    </w:r>
                    <w:r>
                      <w:rPr>
                        <w:rStyle w:val="22"/>
                      </w:rPr>
                      <w:instrText xml:space="preserve">PAGE  </w:instrText>
                    </w:r>
                    <w:r>
                      <w:fldChar w:fldCharType="separate"/>
                    </w:r>
                    <w:r>
                      <w:rPr>
                        <w:rStyle w:val="22"/>
                      </w:rPr>
                      <w:t>68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0"/>
        <w:tab w:val="clear" w:pos="4153"/>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82634B"/>
    <w:multiLevelType w:val="singleLevel"/>
    <w:tmpl w:val="8682634B"/>
    <w:lvl w:ilvl="0" w:tentative="0">
      <w:start w:val="1"/>
      <w:numFmt w:val="decimal"/>
      <w:lvlText w:val="%1."/>
      <w:lvlJc w:val="left"/>
      <w:pPr>
        <w:tabs>
          <w:tab w:val="left" w:pos="312"/>
        </w:tabs>
      </w:pPr>
    </w:lvl>
  </w:abstractNum>
  <w:abstractNum w:abstractNumId="1">
    <w:nsid w:val="88258761"/>
    <w:multiLevelType w:val="singleLevel"/>
    <w:tmpl w:val="88258761"/>
    <w:lvl w:ilvl="0" w:tentative="0">
      <w:start w:val="2"/>
      <w:numFmt w:val="chineseCounting"/>
      <w:suff w:val="nothing"/>
      <w:lvlText w:val="%1、"/>
      <w:lvlJc w:val="left"/>
      <w:rPr>
        <w:rFonts w:hint="eastAsia"/>
      </w:rPr>
    </w:lvl>
  </w:abstractNum>
  <w:abstractNum w:abstractNumId="2">
    <w:nsid w:val="893A035F"/>
    <w:multiLevelType w:val="singleLevel"/>
    <w:tmpl w:val="893A035F"/>
    <w:lvl w:ilvl="0" w:tentative="0">
      <w:start w:val="1"/>
      <w:numFmt w:val="chineseCounting"/>
      <w:suff w:val="nothing"/>
      <w:lvlText w:val="%1、"/>
      <w:lvlJc w:val="left"/>
      <w:rPr>
        <w:rFonts w:hint="eastAsia"/>
      </w:rPr>
    </w:lvl>
  </w:abstractNum>
  <w:abstractNum w:abstractNumId="3">
    <w:nsid w:val="8D1B5C8C"/>
    <w:multiLevelType w:val="singleLevel"/>
    <w:tmpl w:val="8D1B5C8C"/>
    <w:lvl w:ilvl="0" w:tentative="0">
      <w:start w:val="1"/>
      <w:numFmt w:val="decimal"/>
      <w:suff w:val="nothing"/>
      <w:lvlText w:val="%1．"/>
      <w:lvlJc w:val="left"/>
      <w:pPr>
        <w:ind w:left="0" w:firstLine="400"/>
      </w:pPr>
      <w:rPr>
        <w:rFonts w:hint="default"/>
      </w:rPr>
    </w:lvl>
  </w:abstractNum>
  <w:abstractNum w:abstractNumId="4">
    <w:nsid w:val="9E709292"/>
    <w:multiLevelType w:val="singleLevel"/>
    <w:tmpl w:val="9E709292"/>
    <w:lvl w:ilvl="0" w:tentative="0">
      <w:start w:val="6"/>
      <w:numFmt w:val="chineseCounting"/>
      <w:suff w:val="nothing"/>
      <w:lvlText w:val="%1、"/>
      <w:lvlJc w:val="left"/>
      <w:rPr>
        <w:rFonts w:hint="eastAsia"/>
      </w:rPr>
    </w:lvl>
  </w:abstractNum>
  <w:abstractNum w:abstractNumId="5">
    <w:nsid w:val="BE9E5CC0"/>
    <w:multiLevelType w:val="singleLevel"/>
    <w:tmpl w:val="BE9E5CC0"/>
    <w:lvl w:ilvl="0" w:tentative="0">
      <w:start w:val="1"/>
      <w:numFmt w:val="decimal"/>
      <w:suff w:val="nothing"/>
      <w:lvlText w:val="%1、"/>
      <w:lvlJc w:val="left"/>
    </w:lvl>
  </w:abstractNum>
  <w:abstractNum w:abstractNumId="6">
    <w:nsid w:val="C89FCC23"/>
    <w:multiLevelType w:val="singleLevel"/>
    <w:tmpl w:val="C89FCC23"/>
    <w:lvl w:ilvl="0" w:tentative="0">
      <w:start w:val="1"/>
      <w:numFmt w:val="decimal"/>
      <w:suff w:val="nothing"/>
      <w:lvlText w:val="%1、"/>
      <w:lvlJc w:val="left"/>
    </w:lvl>
  </w:abstractNum>
  <w:abstractNum w:abstractNumId="7">
    <w:nsid w:val="CDE00D50"/>
    <w:multiLevelType w:val="singleLevel"/>
    <w:tmpl w:val="CDE00D50"/>
    <w:lvl w:ilvl="0" w:tentative="0">
      <w:start w:val="1"/>
      <w:numFmt w:val="decimal"/>
      <w:suff w:val="nothing"/>
      <w:lvlText w:val="%1．"/>
      <w:lvlJc w:val="left"/>
      <w:pPr>
        <w:ind w:left="0" w:firstLine="400"/>
      </w:pPr>
      <w:rPr>
        <w:rFonts w:hint="default"/>
      </w:rPr>
    </w:lvl>
  </w:abstractNum>
  <w:abstractNum w:abstractNumId="8">
    <w:nsid w:val="CE5C2401"/>
    <w:multiLevelType w:val="singleLevel"/>
    <w:tmpl w:val="CE5C2401"/>
    <w:lvl w:ilvl="0" w:tentative="0">
      <w:start w:val="1"/>
      <w:numFmt w:val="decimal"/>
      <w:suff w:val="nothing"/>
      <w:lvlText w:val="%1．"/>
      <w:lvlJc w:val="left"/>
      <w:pPr>
        <w:ind w:left="0" w:firstLine="400"/>
      </w:pPr>
      <w:rPr>
        <w:rFonts w:hint="default"/>
      </w:rPr>
    </w:lvl>
  </w:abstractNum>
  <w:abstractNum w:abstractNumId="9">
    <w:nsid w:val="D0427D7C"/>
    <w:multiLevelType w:val="singleLevel"/>
    <w:tmpl w:val="D0427D7C"/>
    <w:lvl w:ilvl="0" w:tentative="0">
      <w:start w:val="1"/>
      <w:numFmt w:val="chineseCounting"/>
      <w:suff w:val="space"/>
      <w:lvlText w:val="第%1章"/>
      <w:lvlJc w:val="left"/>
      <w:rPr>
        <w:rFonts w:hint="eastAsia"/>
      </w:rPr>
    </w:lvl>
  </w:abstractNum>
  <w:abstractNum w:abstractNumId="10">
    <w:nsid w:val="E033553D"/>
    <w:multiLevelType w:val="singleLevel"/>
    <w:tmpl w:val="E033553D"/>
    <w:lvl w:ilvl="0" w:tentative="0">
      <w:start w:val="4"/>
      <w:numFmt w:val="decimal"/>
      <w:suff w:val="nothing"/>
      <w:lvlText w:val="%1、"/>
      <w:lvlJc w:val="left"/>
    </w:lvl>
  </w:abstractNum>
  <w:abstractNum w:abstractNumId="11">
    <w:nsid w:val="EF53122F"/>
    <w:multiLevelType w:val="singleLevel"/>
    <w:tmpl w:val="EF53122F"/>
    <w:lvl w:ilvl="0" w:tentative="0">
      <w:start w:val="3"/>
      <w:numFmt w:val="chineseCounting"/>
      <w:suff w:val="nothing"/>
      <w:lvlText w:val="（%1）"/>
      <w:lvlJc w:val="left"/>
      <w:rPr>
        <w:rFonts w:hint="eastAsia"/>
      </w:rPr>
    </w:lvl>
  </w:abstractNum>
  <w:abstractNum w:abstractNumId="12">
    <w:nsid w:val="F3ECE9DA"/>
    <w:multiLevelType w:val="singleLevel"/>
    <w:tmpl w:val="F3ECE9DA"/>
    <w:lvl w:ilvl="0" w:tentative="0">
      <w:start w:val="1"/>
      <w:numFmt w:val="decimal"/>
      <w:suff w:val="nothing"/>
      <w:lvlText w:val="%1．"/>
      <w:lvlJc w:val="left"/>
      <w:pPr>
        <w:ind w:left="309" w:firstLine="400"/>
      </w:pPr>
      <w:rPr>
        <w:rFonts w:hint="default"/>
      </w:rPr>
    </w:lvl>
  </w:abstractNum>
  <w:abstractNum w:abstractNumId="13">
    <w:nsid w:val="F688D504"/>
    <w:multiLevelType w:val="singleLevel"/>
    <w:tmpl w:val="F688D504"/>
    <w:lvl w:ilvl="0" w:tentative="0">
      <w:start w:val="1"/>
      <w:numFmt w:val="decimal"/>
      <w:suff w:val="nothing"/>
      <w:lvlText w:val="%1．"/>
      <w:lvlJc w:val="left"/>
      <w:pPr>
        <w:ind w:left="0" w:firstLine="400"/>
      </w:pPr>
      <w:rPr>
        <w:rFonts w:hint="default"/>
      </w:rPr>
    </w:lvl>
  </w:abstractNum>
  <w:abstractNum w:abstractNumId="14">
    <w:nsid w:val="FB6E8D5A"/>
    <w:multiLevelType w:val="singleLevel"/>
    <w:tmpl w:val="FB6E8D5A"/>
    <w:lvl w:ilvl="0" w:tentative="0">
      <w:start w:val="1"/>
      <w:numFmt w:val="decimal"/>
      <w:suff w:val="nothing"/>
      <w:lvlText w:val="%1．"/>
      <w:lvlJc w:val="left"/>
      <w:pPr>
        <w:ind w:left="0" w:firstLine="400"/>
      </w:pPr>
      <w:rPr>
        <w:rFonts w:hint="default"/>
      </w:rPr>
    </w:lvl>
  </w:abstractNum>
  <w:abstractNum w:abstractNumId="15">
    <w:nsid w:val="0000000A"/>
    <w:multiLevelType w:val="multilevel"/>
    <w:tmpl w:val="0000000A"/>
    <w:lvl w:ilvl="0" w:tentative="0">
      <w:start w:val="1"/>
      <w:numFmt w:val="decimal"/>
      <w:lvlText w:val="%1、"/>
      <w:lvlJc w:val="left"/>
      <w:pPr>
        <w:tabs>
          <w:tab w:val="left" w:pos="972"/>
        </w:tabs>
        <w:ind w:left="1320" w:hanging="564"/>
      </w:pPr>
      <w:rPr>
        <w:rFonts w:hint="eastAsia"/>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pStyle w:val="44"/>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16">
    <w:nsid w:val="0053208E"/>
    <w:multiLevelType w:val="multilevel"/>
    <w:tmpl w:val="0053208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26D1257"/>
    <w:multiLevelType w:val="singleLevel"/>
    <w:tmpl w:val="026D1257"/>
    <w:lvl w:ilvl="0" w:tentative="0">
      <w:start w:val="1"/>
      <w:numFmt w:val="decimal"/>
      <w:suff w:val="nothing"/>
      <w:lvlText w:val="%1．"/>
      <w:lvlJc w:val="left"/>
      <w:pPr>
        <w:ind w:left="0" w:firstLine="400"/>
      </w:pPr>
      <w:rPr>
        <w:rFonts w:hint="default"/>
      </w:rPr>
    </w:lvl>
  </w:abstractNum>
  <w:abstractNum w:abstractNumId="18">
    <w:nsid w:val="06991401"/>
    <w:multiLevelType w:val="singleLevel"/>
    <w:tmpl w:val="06991401"/>
    <w:lvl w:ilvl="0" w:tentative="0">
      <w:start w:val="1"/>
      <w:numFmt w:val="decimal"/>
      <w:suff w:val="nothing"/>
      <w:lvlText w:val="%1．"/>
      <w:lvlJc w:val="left"/>
      <w:pPr>
        <w:ind w:left="0" w:firstLine="400"/>
      </w:pPr>
      <w:rPr>
        <w:rFonts w:hint="default"/>
      </w:rPr>
    </w:lvl>
  </w:abstractNum>
  <w:abstractNum w:abstractNumId="19">
    <w:nsid w:val="1558AAC9"/>
    <w:multiLevelType w:val="singleLevel"/>
    <w:tmpl w:val="1558AAC9"/>
    <w:lvl w:ilvl="0" w:tentative="0">
      <w:start w:val="1"/>
      <w:numFmt w:val="decimal"/>
      <w:suff w:val="nothing"/>
      <w:lvlText w:val="%1．"/>
      <w:lvlJc w:val="left"/>
      <w:pPr>
        <w:ind w:left="0" w:firstLine="400"/>
      </w:pPr>
      <w:rPr>
        <w:rFonts w:hint="default"/>
      </w:rPr>
    </w:lvl>
  </w:abstractNum>
  <w:abstractNum w:abstractNumId="20">
    <w:nsid w:val="18BD421C"/>
    <w:multiLevelType w:val="singleLevel"/>
    <w:tmpl w:val="18BD421C"/>
    <w:lvl w:ilvl="0" w:tentative="0">
      <w:start w:val="1"/>
      <w:numFmt w:val="decimal"/>
      <w:suff w:val="nothing"/>
      <w:lvlText w:val="%1．"/>
      <w:lvlJc w:val="left"/>
      <w:pPr>
        <w:ind w:left="0" w:firstLine="400"/>
      </w:pPr>
      <w:rPr>
        <w:rFonts w:hint="default"/>
      </w:rPr>
    </w:lvl>
  </w:abstractNum>
  <w:abstractNum w:abstractNumId="21">
    <w:nsid w:val="1A416D18"/>
    <w:multiLevelType w:val="multilevel"/>
    <w:tmpl w:val="1A416D18"/>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宋体" w:hAnsi="宋体" w:eastAsia="宋体"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1D7D7E9D"/>
    <w:multiLevelType w:val="singleLevel"/>
    <w:tmpl w:val="1D7D7E9D"/>
    <w:lvl w:ilvl="0" w:tentative="0">
      <w:start w:val="1"/>
      <w:numFmt w:val="decimal"/>
      <w:suff w:val="nothing"/>
      <w:lvlText w:val="%1．"/>
      <w:lvlJc w:val="left"/>
      <w:pPr>
        <w:ind w:left="0" w:firstLine="400"/>
      </w:pPr>
      <w:rPr>
        <w:rFonts w:hint="default"/>
      </w:rPr>
    </w:lvl>
  </w:abstractNum>
  <w:abstractNum w:abstractNumId="23">
    <w:nsid w:val="1EAB9461"/>
    <w:multiLevelType w:val="singleLevel"/>
    <w:tmpl w:val="1EAB9461"/>
    <w:lvl w:ilvl="0" w:tentative="0">
      <w:start w:val="1"/>
      <w:numFmt w:val="decimal"/>
      <w:suff w:val="nothing"/>
      <w:lvlText w:val="%1．"/>
      <w:lvlJc w:val="left"/>
      <w:pPr>
        <w:ind w:left="0" w:firstLine="400"/>
      </w:pPr>
      <w:rPr>
        <w:rFonts w:hint="default"/>
      </w:rPr>
    </w:lvl>
  </w:abstractNum>
  <w:abstractNum w:abstractNumId="24">
    <w:nsid w:val="32476B96"/>
    <w:multiLevelType w:val="singleLevel"/>
    <w:tmpl w:val="32476B96"/>
    <w:lvl w:ilvl="0" w:tentative="0">
      <w:start w:val="1"/>
      <w:numFmt w:val="decimal"/>
      <w:suff w:val="nothing"/>
      <w:lvlText w:val="%1、"/>
      <w:lvlJc w:val="left"/>
    </w:lvl>
  </w:abstractNum>
  <w:abstractNum w:abstractNumId="25">
    <w:nsid w:val="3A032F38"/>
    <w:multiLevelType w:val="singleLevel"/>
    <w:tmpl w:val="3A032F38"/>
    <w:lvl w:ilvl="0" w:tentative="0">
      <w:start w:val="1"/>
      <w:numFmt w:val="decimal"/>
      <w:suff w:val="nothing"/>
      <w:lvlText w:val="%1．"/>
      <w:lvlJc w:val="left"/>
      <w:pPr>
        <w:ind w:left="0" w:firstLine="400"/>
      </w:pPr>
      <w:rPr>
        <w:rFonts w:hint="default"/>
      </w:rPr>
    </w:lvl>
  </w:abstractNum>
  <w:abstractNum w:abstractNumId="26">
    <w:nsid w:val="3B89DF98"/>
    <w:multiLevelType w:val="singleLevel"/>
    <w:tmpl w:val="3B89DF98"/>
    <w:lvl w:ilvl="0" w:tentative="0">
      <w:start w:val="1"/>
      <w:numFmt w:val="decimal"/>
      <w:suff w:val="nothing"/>
      <w:lvlText w:val="%1．"/>
      <w:lvlJc w:val="left"/>
      <w:pPr>
        <w:ind w:left="0" w:firstLine="400"/>
      </w:pPr>
      <w:rPr>
        <w:rFonts w:hint="default"/>
      </w:rPr>
    </w:lvl>
  </w:abstractNum>
  <w:abstractNum w:abstractNumId="27">
    <w:nsid w:val="4173F300"/>
    <w:multiLevelType w:val="singleLevel"/>
    <w:tmpl w:val="4173F300"/>
    <w:lvl w:ilvl="0" w:tentative="0">
      <w:start w:val="1"/>
      <w:numFmt w:val="decimal"/>
      <w:suff w:val="nothing"/>
      <w:lvlText w:val="%1．"/>
      <w:lvlJc w:val="left"/>
      <w:pPr>
        <w:ind w:left="0" w:firstLine="400"/>
      </w:pPr>
      <w:rPr>
        <w:rFonts w:hint="default"/>
      </w:rPr>
    </w:lvl>
  </w:abstractNum>
  <w:abstractNum w:abstractNumId="28">
    <w:nsid w:val="43DEBA70"/>
    <w:multiLevelType w:val="singleLevel"/>
    <w:tmpl w:val="43DEBA70"/>
    <w:lvl w:ilvl="0" w:tentative="0">
      <w:start w:val="1"/>
      <w:numFmt w:val="decimal"/>
      <w:suff w:val="nothing"/>
      <w:lvlText w:val="%1．"/>
      <w:lvlJc w:val="left"/>
      <w:pPr>
        <w:ind w:left="0" w:firstLine="400"/>
      </w:pPr>
      <w:rPr>
        <w:rFonts w:hint="default"/>
      </w:rPr>
    </w:lvl>
  </w:abstractNum>
  <w:abstractNum w:abstractNumId="29">
    <w:nsid w:val="4BEEEFFD"/>
    <w:multiLevelType w:val="singleLevel"/>
    <w:tmpl w:val="4BEEEFFD"/>
    <w:lvl w:ilvl="0" w:tentative="0">
      <w:start w:val="6"/>
      <w:numFmt w:val="decimal"/>
      <w:suff w:val="nothing"/>
      <w:lvlText w:val="%1、"/>
      <w:lvlJc w:val="left"/>
    </w:lvl>
  </w:abstractNum>
  <w:abstractNum w:abstractNumId="30">
    <w:nsid w:val="4C20C66D"/>
    <w:multiLevelType w:val="singleLevel"/>
    <w:tmpl w:val="4C20C66D"/>
    <w:lvl w:ilvl="0" w:tentative="0">
      <w:start w:val="1"/>
      <w:numFmt w:val="decimal"/>
      <w:suff w:val="nothing"/>
      <w:lvlText w:val="%1．"/>
      <w:lvlJc w:val="left"/>
      <w:pPr>
        <w:ind w:left="0" w:firstLine="400"/>
      </w:pPr>
      <w:rPr>
        <w:rFonts w:hint="default"/>
      </w:rPr>
    </w:lvl>
  </w:abstractNum>
  <w:abstractNum w:abstractNumId="31">
    <w:nsid w:val="599213DE"/>
    <w:multiLevelType w:val="singleLevel"/>
    <w:tmpl w:val="599213DE"/>
    <w:lvl w:ilvl="0" w:tentative="0">
      <w:start w:val="1"/>
      <w:numFmt w:val="decimal"/>
      <w:suff w:val="nothing"/>
      <w:lvlText w:val="%1．"/>
      <w:lvlJc w:val="left"/>
      <w:pPr>
        <w:ind w:left="0" w:firstLine="400"/>
      </w:pPr>
      <w:rPr>
        <w:rFonts w:hint="default"/>
      </w:rPr>
    </w:lvl>
  </w:abstractNum>
  <w:abstractNum w:abstractNumId="32">
    <w:nsid w:val="5A3B1229"/>
    <w:multiLevelType w:val="singleLevel"/>
    <w:tmpl w:val="5A3B1229"/>
    <w:lvl w:ilvl="0" w:tentative="0">
      <w:start w:val="1"/>
      <w:numFmt w:val="decimal"/>
      <w:suff w:val="nothing"/>
      <w:lvlText w:val="%1．"/>
      <w:lvlJc w:val="left"/>
      <w:pPr>
        <w:ind w:left="0" w:firstLine="400"/>
      </w:pPr>
      <w:rPr>
        <w:rFonts w:hint="default"/>
      </w:rPr>
    </w:lvl>
  </w:abstractNum>
  <w:abstractNum w:abstractNumId="33">
    <w:nsid w:val="5A5288D9"/>
    <w:multiLevelType w:val="singleLevel"/>
    <w:tmpl w:val="5A5288D9"/>
    <w:lvl w:ilvl="0" w:tentative="0">
      <w:start w:val="1"/>
      <w:numFmt w:val="decimal"/>
      <w:suff w:val="nothing"/>
      <w:lvlText w:val="%1．"/>
      <w:lvlJc w:val="left"/>
      <w:pPr>
        <w:ind w:left="0" w:firstLine="400"/>
      </w:pPr>
      <w:rPr>
        <w:rFonts w:hint="default"/>
      </w:rPr>
    </w:lvl>
  </w:abstractNum>
  <w:abstractNum w:abstractNumId="34">
    <w:nsid w:val="6341E325"/>
    <w:multiLevelType w:val="singleLevel"/>
    <w:tmpl w:val="6341E325"/>
    <w:lvl w:ilvl="0" w:tentative="0">
      <w:start w:val="1"/>
      <w:numFmt w:val="decimal"/>
      <w:suff w:val="nothing"/>
      <w:lvlText w:val="%1．"/>
      <w:lvlJc w:val="left"/>
      <w:pPr>
        <w:ind w:left="0" w:firstLine="400"/>
      </w:pPr>
      <w:rPr>
        <w:rFonts w:hint="default"/>
      </w:rPr>
    </w:lvl>
  </w:abstractNum>
  <w:abstractNum w:abstractNumId="35">
    <w:nsid w:val="68E0E801"/>
    <w:multiLevelType w:val="singleLevel"/>
    <w:tmpl w:val="68E0E801"/>
    <w:lvl w:ilvl="0" w:tentative="0">
      <w:start w:val="1"/>
      <w:numFmt w:val="decimal"/>
      <w:suff w:val="nothing"/>
      <w:lvlText w:val="%1．"/>
      <w:lvlJc w:val="left"/>
      <w:pPr>
        <w:ind w:left="0" w:firstLine="400"/>
      </w:pPr>
      <w:rPr>
        <w:rFonts w:hint="default"/>
      </w:rPr>
    </w:lvl>
  </w:abstractNum>
  <w:abstractNum w:abstractNumId="36">
    <w:nsid w:val="6AD038F2"/>
    <w:multiLevelType w:val="singleLevel"/>
    <w:tmpl w:val="6AD038F2"/>
    <w:lvl w:ilvl="0" w:tentative="0">
      <w:start w:val="1"/>
      <w:numFmt w:val="decimal"/>
      <w:suff w:val="nothing"/>
      <w:lvlText w:val="%1．"/>
      <w:lvlJc w:val="left"/>
      <w:pPr>
        <w:ind w:left="0" w:firstLine="400"/>
      </w:pPr>
      <w:rPr>
        <w:rFonts w:hint="default"/>
      </w:rPr>
    </w:lvl>
  </w:abstractNum>
  <w:abstractNum w:abstractNumId="37">
    <w:nsid w:val="6D741594"/>
    <w:multiLevelType w:val="singleLevel"/>
    <w:tmpl w:val="6D741594"/>
    <w:lvl w:ilvl="0" w:tentative="0">
      <w:start w:val="1"/>
      <w:numFmt w:val="decimal"/>
      <w:suff w:val="nothing"/>
      <w:lvlText w:val="%1．"/>
      <w:lvlJc w:val="left"/>
      <w:pPr>
        <w:ind w:left="0" w:firstLine="400"/>
      </w:pPr>
      <w:rPr>
        <w:rFonts w:hint="default"/>
      </w:rPr>
    </w:lvl>
  </w:abstractNum>
  <w:abstractNum w:abstractNumId="38">
    <w:nsid w:val="7AF642D3"/>
    <w:multiLevelType w:val="singleLevel"/>
    <w:tmpl w:val="7AF642D3"/>
    <w:lvl w:ilvl="0" w:tentative="0">
      <w:start w:val="1"/>
      <w:numFmt w:val="decimal"/>
      <w:suff w:val="nothing"/>
      <w:lvlText w:val="%1．"/>
      <w:lvlJc w:val="left"/>
      <w:pPr>
        <w:ind w:left="0" w:firstLine="400"/>
      </w:pPr>
      <w:rPr>
        <w:rFonts w:hint="default"/>
      </w:rPr>
    </w:lvl>
  </w:abstractNum>
  <w:num w:numId="1">
    <w:abstractNumId w:val="15"/>
  </w:num>
  <w:num w:numId="2">
    <w:abstractNumId w:val="9"/>
  </w:num>
  <w:num w:numId="3">
    <w:abstractNumId w:val="1"/>
  </w:num>
  <w:num w:numId="4">
    <w:abstractNumId w:val="4"/>
  </w:num>
  <w:num w:numId="5">
    <w:abstractNumId w:val="5"/>
  </w:num>
  <w:num w:numId="6">
    <w:abstractNumId w:val="2"/>
  </w:num>
  <w:num w:numId="7">
    <w:abstractNumId w:val="18"/>
  </w:num>
  <w:num w:numId="8">
    <w:abstractNumId w:val="32"/>
  </w:num>
  <w:num w:numId="9">
    <w:abstractNumId w:val="3"/>
  </w:num>
  <w:num w:numId="10">
    <w:abstractNumId w:val="20"/>
  </w:num>
  <w:num w:numId="11">
    <w:abstractNumId w:val="22"/>
  </w:num>
  <w:num w:numId="12">
    <w:abstractNumId w:val="17"/>
  </w:num>
  <w:num w:numId="13">
    <w:abstractNumId w:val="14"/>
  </w:num>
  <w:num w:numId="14">
    <w:abstractNumId w:val="35"/>
  </w:num>
  <w:num w:numId="15">
    <w:abstractNumId w:val="27"/>
  </w:num>
  <w:num w:numId="16">
    <w:abstractNumId w:val="7"/>
  </w:num>
  <w:num w:numId="17">
    <w:abstractNumId w:val="28"/>
  </w:num>
  <w:num w:numId="18">
    <w:abstractNumId w:val="13"/>
  </w:num>
  <w:num w:numId="19">
    <w:abstractNumId w:val="26"/>
  </w:num>
  <w:num w:numId="20">
    <w:abstractNumId w:val="34"/>
  </w:num>
  <w:num w:numId="21">
    <w:abstractNumId w:val="19"/>
  </w:num>
  <w:num w:numId="22">
    <w:abstractNumId w:val="25"/>
  </w:num>
  <w:num w:numId="23">
    <w:abstractNumId w:val="16"/>
  </w:num>
  <w:num w:numId="24">
    <w:abstractNumId w:val="12"/>
  </w:num>
  <w:num w:numId="25">
    <w:abstractNumId w:val="31"/>
  </w:num>
  <w:num w:numId="26">
    <w:abstractNumId w:val="21"/>
  </w:num>
  <w:num w:numId="27">
    <w:abstractNumId w:val="23"/>
  </w:num>
  <w:num w:numId="28">
    <w:abstractNumId w:val="38"/>
  </w:num>
  <w:num w:numId="29">
    <w:abstractNumId w:val="36"/>
  </w:num>
  <w:num w:numId="30">
    <w:abstractNumId w:val="30"/>
  </w:num>
  <w:num w:numId="31">
    <w:abstractNumId w:val="33"/>
  </w:num>
  <w:num w:numId="32">
    <w:abstractNumId w:val="37"/>
  </w:num>
  <w:num w:numId="33">
    <w:abstractNumId w:val="0"/>
  </w:num>
  <w:num w:numId="34">
    <w:abstractNumId w:val="8"/>
  </w:num>
  <w:num w:numId="35">
    <w:abstractNumId w:val="29"/>
  </w:num>
  <w:num w:numId="36">
    <w:abstractNumId w:val="24"/>
  </w:num>
  <w:num w:numId="37">
    <w:abstractNumId w:val="6"/>
  </w:num>
  <w:num w:numId="38">
    <w:abstractNumId w:val="1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42C38"/>
    <w:rsid w:val="00011765"/>
    <w:rsid w:val="000136ED"/>
    <w:rsid w:val="00024CFA"/>
    <w:rsid w:val="00032AC7"/>
    <w:rsid w:val="0005143C"/>
    <w:rsid w:val="00077375"/>
    <w:rsid w:val="00077E30"/>
    <w:rsid w:val="00092590"/>
    <w:rsid w:val="000D2D58"/>
    <w:rsid w:val="000D7DC5"/>
    <w:rsid w:val="000E4802"/>
    <w:rsid w:val="000E4D2A"/>
    <w:rsid w:val="00131D13"/>
    <w:rsid w:val="001361A7"/>
    <w:rsid w:val="001422C0"/>
    <w:rsid w:val="00145564"/>
    <w:rsid w:val="00147C45"/>
    <w:rsid w:val="00162FBD"/>
    <w:rsid w:val="00165F0B"/>
    <w:rsid w:val="001703DB"/>
    <w:rsid w:val="001A162B"/>
    <w:rsid w:val="001C33A6"/>
    <w:rsid w:val="001D5E73"/>
    <w:rsid w:val="001E6FFF"/>
    <w:rsid w:val="001F33D1"/>
    <w:rsid w:val="0020026E"/>
    <w:rsid w:val="00243C0F"/>
    <w:rsid w:val="0026443B"/>
    <w:rsid w:val="0027219A"/>
    <w:rsid w:val="002754BA"/>
    <w:rsid w:val="00291024"/>
    <w:rsid w:val="002B43E3"/>
    <w:rsid w:val="002D0C95"/>
    <w:rsid w:val="002E3BA5"/>
    <w:rsid w:val="002F422D"/>
    <w:rsid w:val="00317D6A"/>
    <w:rsid w:val="00321744"/>
    <w:rsid w:val="003239A0"/>
    <w:rsid w:val="0032769D"/>
    <w:rsid w:val="00341626"/>
    <w:rsid w:val="0036278C"/>
    <w:rsid w:val="003657F6"/>
    <w:rsid w:val="00371496"/>
    <w:rsid w:val="00374CCC"/>
    <w:rsid w:val="003753BB"/>
    <w:rsid w:val="003B7D50"/>
    <w:rsid w:val="003F0F2A"/>
    <w:rsid w:val="003F2F7D"/>
    <w:rsid w:val="003F3888"/>
    <w:rsid w:val="003F7065"/>
    <w:rsid w:val="00404B12"/>
    <w:rsid w:val="0042320C"/>
    <w:rsid w:val="0044596D"/>
    <w:rsid w:val="0045193C"/>
    <w:rsid w:val="0045753C"/>
    <w:rsid w:val="00465184"/>
    <w:rsid w:val="0046601D"/>
    <w:rsid w:val="00467525"/>
    <w:rsid w:val="004B0002"/>
    <w:rsid w:val="004B5ABD"/>
    <w:rsid w:val="004C4913"/>
    <w:rsid w:val="004D4FDF"/>
    <w:rsid w:val="004E13C3"/>
    <w:rsid w:val="004E7F05"/>
    <w:rsid w:val="004F5371"/>
    <w:rsid w:val="00504D3C"/>
    <w:rsid w:val="00506E08"/>
    <w:rsid w:val="0053183F"/>
    <w:rsid w:val="00550D31"/>
    <w:rsid w:val="00582C8A"/>
    <w:rsid w:val="00590849"/>
    <w:rsid w:val="005C5DC3"/>
    <w:rsid w:val="005C7E20"/>
    <w:rsid w:val="005D3C08"/>
    <w:rsid w:val="005D5391"/>
    <w:rsid w:val="005E320E"/>
    <w:rsid w:val="00602371"/>
    <w:rsid w:val="00620F86"/>
    <w:rsid w:val="00641F0B"/>
    <w:rsid w:val="00641F4E"/>
    <w:rsid w:val="00642B7D"/>
    <w:rsid w:val="00682483"/>
    <w:rsid w:val="00687B23"/>
    <w:rsid w:val="0069544E"/>
    <w:rsid w:val="006B63BB"/>
    <w:rsid w:val="006B6567"/>
    <w:rsid w:val="006C13E1"/>
    <w:rsid w:val="006D3AEB"/>
    <w:rsid w:val="006D44DF"/>
    <w:rsid w:val="00723F85"/>
    <w:rsid w:val="00746F68"/>
    <w:rsid w:val="00770A31"/>
    <w:rsid w:val="007A6030"/>
    <w:rsid w:val="007A6105"/>
    <w:rsid w:val="007E65AC"/>
    <w:rsid w:val="007F3874"/>
    <w:rsid w:val="008051F7"/>
    <w:rsid w:val="008257CE"/>
    <w:rsid w:val="00826388"/>
    <w:rsid w:val="00831ACB"/>
    <w:rsid w:val="00861CAC"/>
    <w:rsid w:val="00872B2F"/>
    <w:rsid w:val="00873F38"/>
    <w:rsid w:val="00882C4C"/>
    <w:rsid w:val="00884436"/>
    <w:rsid w:val="00891487"/>
    <w:rsid w:val="008A0B30"/>
    <w:rsid w:val="008A15A9"/>
    <w:rsid w:val="008D4183"/>
    <w:rsid w:val="008D46AB"/>
    <w:rsid w:val="008D55DE"/>
    <w:rsid w:val="008E485E"/>
    <w:rsid w:val="00901325"/>
    <w:rsid w:val="00917F5F"/>
    <w:rsid w:val="009230B5"/>
    <w:rsid w:val="00930969"/>
    <w:rsid w:val="00931E4C"/>
    <w:rsid w:val="00937C81"/>
    <w:rsid w:val="009534C4"/>
    <w:rsid w:val="009578FC"/>
    <w:rsid w:val="00957E37"/>
    <w:rsid w:val="00961B5D"/>
    <w:rsid w:val="00962E22"/>
    <w:rsid w:val="0098062B"/>
    <w:rsid w:val="00985204"/>
    <w:rsid w:val="0099161D"/>
    <w:rsid w:val="009A2DDD"/>
    <w:rsid w:val="009B5967"/>
    <w:rsid w:val="009D2CFC"/>
    <w:rsid w:val="009E1184"/>
    <w:rsid w:val="009F74C2"/>
    <w:rsid w:val="00A2413E"/>
    <w:rsid w:val="00A77E1C"/>
    <w:rsid w:val="00AC330F"/>
    <w:rsid w:val="00AD26F5"/>
    <w:rsid w:val="00B007B6"/>
    <w:rsid w:val="00B15878"/>
    <w:rsid w:val="00B261B8"/>
    <w:rsid w:val="00B2660E"/>
    <w:rsid w:val="00B3617D"/>
    <w:rsid w:val="00B442ED"/>
    <w:rsid w:val="00B541F0"/>
    <w:rsid w:val="00B6273D"/>
    <w:rsid w:val="00B70A64"/>
    <w:rsid w:val="00B75742"/>
    <w:rsid w:val="00B802CD"/>
    <w:rsid w:val="00B85BCC"/>
    <w:rsid w:val="00BB2DEC"/>
    <w:rsid w:val="00BB3F08"/>
    <w:rsid w:val="00BB72E1"/>
    <w:rsid w:val="00BC49DD"/>
    <w:rsid w:val="00BD7FF3"/>
    <w:rsid w:val="00C0508B"/>
    <w:rsid w:val="00C15115"/>
    <w:rsid w:val="00C23B9B"/>
    <w:rsid w:val="00C242C1"/>
    <w:rsid w:val="00C3570F"/>
    <w:rsid w:val="00C4111C"/>
    <w:rsid w:val="00C4149D"/>
    <w:rsid w:val="00C45F37"/>
    <w:rsid w:val="00C46380"/>
    <w:rsid w:val="00C50DE0"/>
    <w:rsid w:val="00C551E0"/>
    <w:rsid w:val="00C55334"/>
    <w:rsid w:val="00C84AC9"/>
    <w:rsid w:val="00C922F1"/>
    <w:rsid w:val="00CA1BA2"/>
    <w:rsid w:val="00CC5290"/>
    <w:rsid w:val="00CC69B2"/>
    <w:rsid w:val="00CD3923"/>
    <w:rsid w:val="00CF3411"/>
    <w:rsid w:val="00CF7972"/>
    <w:rsid w:val="00D03E45"/>
    <w:rsid w:val="00D5512B"/>
    <w:rsid w:val="00D565D8"/>
    <w:rsid w:val="00D7356C"/>
    <w:rsid w:val="00D810D7"/>
    <w:rsid w:val="00D96C8F"/>
    <w:rsid w:val="00DA6563"/>
    <w:rsid w:val="00DB3061"/>
    <w:rsid w:val="00DE7795"/>
    <w:rsid w:val="00DF2778"/>
    <w:rsid w:val="00E224E6"/>
    <w:rsid w:val="00E30A9E"/>
    <w:rsid w:val="00E75E8F"/>
    <w:rsid w:val="00E9203A"/>
    <w:rsid w:val="00E92C8C"/>
    <w:rsid w:val="00E9482C"/>
    <w:rsid w:val="00E9640A"/>
    <w:rsid w:val="00E96469"/>
    <w:rsid w:val="00EA1B84"/>
    <w:rsid w:val="00EA5ECE"/>
    <w:rsid w:val="00EC132A"/>
    <w:rsid w:val="00ED0C46"/>
    <w:rsid w:val="00EE3DD7"/>
    <w:rsid w:val="00EF365B"/>
    <w:rsid w:val="00EF36A0"/>
    <w:rsid w:val="00F1040F"/>
    <w:rsid w:val="00F201F9"/>
    <w:rsid w:val="00F53B46"/>
    <w:rsid w:val="00F56638"/>
    <w:rsid w:val="00F572F7"/>
    <w:rsid w:val="00F641F0"/>
    <w:rsid w:val="00F834FC"/>
    <w:rsid w:val="00F86E46"/>
    <w:rsid w:val="00F91605"/>
    <w:rsid w:val="00F92A21"/>
    <w:rsid w:val="00FA386F"/>
    <w:rsid w:val="00FC471C"/>
    <w:rsid w:val="00FF7B04"/>
    <w:rsid w:val="01A67929"/>
    <w:rsid w:val="026B5DDD"/>
    <w:rsid w:val="033578CD"/>
    <w:rsid w:val="036A381E"/>
    <w:rsid w:val="03D25F4D"/>
    <w:rsid w:val="043A2C48"/>
    <w:rsid w:val="04BC1DC1"/>
    <w:rsid w:val="04CF74BF"/>
    <w:rsid w:val="05CC6775"/>
    <w:rsid w:val="06086892"/>
    <w:rsid w:val="06557350"/>
    <w:rsid w:val="07352A01"/>
    <w:rsid w:val="07441DBB"/>
    <w:rsid w:val="07AD5D4B"/>
    <w:rsid w:val="07DF6929"/>
    <w:rsid w:val="08544258"/>
    <w:rsid w:val="085F7AA3"/>
    <w:rsid w:val="09800806"/>
    <w:rsid w:val="09E64FF5"/>
    <w:rsid w:val="0AA76FBF"/>
    <w:rsid w:val="0B235F7B"/>
    <w:rsid w:val="0B2F1A6E"/>
    <w:rsid w:val="0BA635B8"/>
    <w:rsid w:val="0BB57F35"/>
    <w:rsid w:val="0BDE436E"/>
    <w:rsid w:val="0BF975D4"/>
    <w:rsid w:val="0C79042F"/>
    <w:rsid w:val="0D771902"/>
    <w:rsid w:val="0DEF204A"/>
    <w:rsid w:val="0E114226"/>
    <w:rsid w:val="0E47690C"/>
    <w:rsid w:val="0EE11016"/>
    <w:rsid w:val="0F8D5235"/>
    <w:rsid w:val="0FA55CDF"/>
    <w:rsid w:val="0FD077A1"/>
    <w:rsid w:val="102054DB"/>
    <w:rsid w:val="10DD1B0B"/>
    <w:rsid w:val="11DC59FB"/>
    <w:rsid w:val="11EA5A94"/>
    <w:rsid w:val="12305EFB"/>
    <w:rsid w:val="124F4D73"/>
    <w:rsid w:val="126E412D"/>
    <w:rsid w:val="131F2BA9"/>
    <w:rsid w:val="13610E30"/>
    <w:rsid w:val="13FA73C3"/>
    <w:rsid w:val="149D36C2"/>
    <w:rsid w:val="15C23C39"/>
    <w:rsid w:val="15E1388F"/>
    <w:rsid w:val="15F15CEE"/>
    <w:rsid w:val="16632468"/>
    <w:rsid w:val="1717798F"/>
    <w:rsid w:val="18102FE4"/>
    <w:rsid w:val="188679A6"/>
    <w:rsid w:val="18DF0BBE"/>
    <w:rsid w:val="18E96F81"/>
    <w:rsid w:val="194B7BA6"/>
    <w:rsid w:val="1950200A"/>
    <w:rsid w:val="19835C90"/>
    <w:rsid w:val="1A987730"/>
    <w:rsid w:val="1AB3730E"/>
    <w:rsid w:val="1B74106C"/>
    <w:rsid w:val="1BAE50A3"/>
    <w:rsid w:val="1BD04114"/>
    <w:rsid w:val="1CDB5FD7"/>
    <w:rsid w:val="1D3B1E22"/>
    <w:rsid w:val="1EBC778F"/>
    <w:rsid w:val="1F010B51"/>
    <w:rsid w:val="1F6979D2"/>
    <w:rsid w:val="20355EE7"/>
    <w:rsid w:val="206A2EB1"/>
    <w:rsid w:val="20DE03F7"/>
    <w:rsid w:val="21150FF9"/>
    <w:rsid w:val="21652695"/>
    <w:rsid w:val="226B28DB"/>
    <w:rsid w:val="22F3410A"/>
    <w:rsid w:val="238C3558"/>
    <w:rsid w:val="245519ED"/>
    <w:rsid w:val="248F1659"/>
    <w:rsid w:val="24994A7B"/>
    <w:rsid w:val="25A55661"/>
    <w:rsid w:val="25A96156"/>
    <w:rsid w:val="262769B7"/>
    <w:rsid w:val="27AC2113"/>
    <w:rsid w:val="27C934D7"/>
    <w:rsid w:val="283B286F"/>
    <w:rsid w:val="29442C38"/>
    <w:rsid w:val="29983BC2"/>
    <w:rsid w:val="29E32E65"/>
    <w:rsid w:val="2A3F23C6"/>
    <w:rsid w:val="2AA011AD"/>
    <w:rsid w:val="2BC746F9"/>
    <w:rsid w:val="2C0A501D"/>
    <w:rsid w:val="2C0D4C6F"/>
    <w:rsid w:val="2C935709"/>
    <w:rsid w:val="2E8B34F0"/>
    <w:rsid w:val="2F590CF4"/>
    <w:rsid w:val="2F930E7D"/>
    <w:rsid w:val="2FCC03EA"/>
    <w:rsid w:val="308C7E88"/>
    <w:rsid w:val="31247651"/>
    <w:rsid w:val="317D10C8"/>
    <w:rsid w:val="31D7663D"/>
    <w:rsid w:val="31F02ECD"/>
    <w:rsid w:val="327113E4"/>
    <w:rsid w:val="32864EEE"/>
    <w:rsid w:val="32C7333E"/>
    <w:rsid w:val="3400788E"/>
    <w:rsid w:val="34970EA7"/>
    <w:rsid w:val="36315EC6"/>
    <w:rsid w:val="38D7689E"/>
    <w:rsid w:val="38E847A1"/>
    <w:rsid w:val="38FA3BB3"/>
    <w:rsid w:val="394E720F"/>
    <w:rsid w:val="3A0545AB"/>
    <w:rsid w:val="3A4D489A"/>
    <w:rsid w:val="3A661559"/>
    <w:rsid w:val="3A855A6A"/>
    <w:rsid w:val="3AD931E4"/>
    <w:rsid w:val="3B7C2D2E"/>
    <w:rsid w:val="3BA4545F"/>
    <w:rsid w:val="3C7B7002"/>
    <w:rsid w:val="3CA10E23"/>
    <w:rsid w:val="3CE14B6D"/>
    <w:rsid w:val="3D052EB2"/>
    <w:rsid w:val="3D343DB8"/>
    <w:rsid w:val="3DA61B58"/>
    <w:rsid w:val="3E683ACA"/>
    <w:rsid w:val="3EB56414"/>
    <w:rsid w:val="3F8F3590"/>
    <w:rsid w:val="3FDC3539"/>
    <w:rsid w:val="401A25B5"/>
    <w:rsid w:val="40E83DB3"/>
    <w:rsid w:val="41225A13"/>
    <w:rsid w:val="415F51C0"/>
    <w:rsid w:val="41C756A2"/>
    <w:rsid w:val="41D76386"/>
    <w:rsid w:val="42D1142C"/>
    <w:rsid w:val="434D6EF6"/>
    <w:rsid w:val="4350731E"/>
    <w:rsid w:val="43B30160"/>
    <w:rsid w:val="43CE0846"/>
    <w:rsid w:val="43CE464D"/>
    <w:rsid w:val="44597189"/>
    <w:rsid w:val="44CB47C5"/>
    <w:rsid w:val="44F663DA"/>
    <w:rsid w:val="450142A3"/>
    <w:rsid w:val="46511297"/>
    <w:rsid w:val="46E33561"/>
    <w:rsid w:val="46FD3C88"/>
    <w:rsid w:val="473563B8"/>
    <w:rsid w:val="47627C82"/>
    <w:rsid w:val="47D4550C"/>
    <w:rsid w:val="47DD7D88"/>
    <w:rsid w:val="48584929"/>
    <w:rsid w:val="49A16891"/>
    <w:rsid w:val="4A4664E0"/>
    <w:rsid w:val="4A5C7D76"/>
    <w:rsid w:val="4B040B47"/>
    <w:rsid w:val="4B9F1C2E"/>
    <w:rsid w:val="4BA72CB1"/>
    <w:rsid w:val="4BEB68BC"/>
    <w:rsid w:val="4C84141E"/>
    <w:rsid w:val="4D444AB2"/>
    <w:rsid w:val="4D8A4A89"/>
    <w:rsid w:val="4DF17174"/>
    <w:rsid w:val="4EB16604"/>
    <w:rsid w:val="4F4D31F6"/>
    <w:rsid w:val="4FCD036A"/>
    <w:rsid w:val="50236031"/>
    <w:rsid w:val="513F14DD"/>
    <w:rsid w:val="51956078"/>
    <w:rsid w:val="51B10C23"/>
    <w:rsid w:val="51D71DF9"/>
    <w:rsid w:val="52215735"/>
    <w:rsid w:val="52982007"/>
    <w:rsid w:val="53BC308F"/>
    <w:rsid w:val="54834E3F"/>
    <w:rsid w:val="548F08E5"/>
    <w:rsid w:val="54E3514F"/>
    <w:rsid w:val="551A1AD1"/>
    <w:rsid w:val="560954DD"/>
    <w:rsid w:val="565D2A86"/>
    <w:rsid w:val="57AE5CF2"/>
    <w:rsid w:val="57EC183A"/>
    <w:rsid w:val="584629E3"/>
    <w:rsid w:val="5895620F"/>
    <w:rsid w:val="58AB692F"/>
    <w:rsid w:val="59E75A53"/>
    <w:rsid w:val="5B042C84"/>
    <w:rsid w:val="5B4414EF"/>
    <w:rsid w:val="5B63650B"/>
    <w:rsid w:val="5BE87E54"/>
    <w:rsid w:val="5BFA4573"/>
    <w:rsid w:val="5C2C6190"/>
    <w:rsid w:val="5C492198"/>
    <w:rsid w:val="5CB05F39"/>
    <w:rsid w:val="5DA047EC"/>
    <w:rsid w:val="5E402912"/>
    <w:rsid w:val="5F1E68C3"/>
    <w:rsid w:val="5F2A3351"/>
    <w:rsid w:val="6038235F"/>
    <w:rsid w:val="60F14EBE"/>
    <w:rsid w:val="617002A5"/>
    <w:rsid w:val="628B3529"/>
    <w:rsid w:val="628B362A"/>
    <w:rsid w:val="62AB538D"/>
    <w:rsid w:val="62C61019"/>
    <w:rsid w:val="63171A5A"/>
    <w:rsid w:val="63547E7D"/>
    <w:rsid w:val="63EF2745"/>
    <w:rsid w:val="643964E8"/>
    <w:rsid w:val="64FC2AE1"/>
    <w:rsid w:val="65E7222E"/>
    <w:rsid w:val="66506947"/>
    <w:rsid w:val="666A08EC"/>
    <w:rsid w:val="673D43C0"/>
    <w:rsid w:val="67F834A4"/>
    <w:rsid w:val="69327CA5"/>
    <w:rsid w:val="6973282D"/>
    <w:rsid w:val="69AA6151"/>
    <w:rsid w:val="6A0249D3"/>
    <w:rsid w:val="6A084BF9"/>
    <w:rsid w:val="6AC20FF2"/>
    <w:rsid w:val="6ACF08A3"/>
    <w:rsid w:val="6BB11D90"/>
    <w:rsid w:val="6C873FEE"/>
    <w:rsid w:val="6C8C6D0C"/>
    <w:rsid w:val="6CB0231E"/>
    <w:rsid w:val="6CC1456C"/>
    <w:rsid w:val="6E2B3532"/>
    <w:rsid w:val="6EA246B8"/>
    <w:rsid w:val="6ED33C82"/>
    <w:rsid w:val="6EED25CC"/>
    <w:rsid w:val="6F2A416E"/>
    <w:rsid w:val="704A7B14"/>
    <w:rsid w:val="705549E4"/>
    <w:rsid w:val="70B55A88"/>
    <w:rsid w:val="70D87A37"/>
    <w:rsid w:val="71F74559"/>
    <w:rsid w:val="71FC6D83"/>
    <w:rsid w:val="72561CBA"/>
    <w:rsid w:val="72577E69"/>
    <w:rsid w:val="72F358CC"/>
    <w:rsid w:val="73824596"/>
    <w:rsid w:val="73CE394D"/>
    <w:rsid w:val="74C15E3C"/>
    <w:rsid w:val="755F07E8"/>
    <w:rsid w:val="756908BD"/>
    <w:rsid w:val="756D379E"/>
    <w:rsid w:val="757440BA"/>
    <w:rsid w:val="75A8775F"/>
    <w:rsid w:val="75F82226"/>
    <w:rsid w:val="7687773C"/>
    <w:rsid w:val="76F862E5"/>
    <w:rsid w:val="7801226B"/>
    <w:rsid w:val="7A036872"/>
    <w:rsid w:val="7A0956C2"/>
    <w:rsid w:val="7A491DEF"/>
    <w:rsid w:val="7A6541A8"/>
    <w:rsid w:val="7AFA3E5C"/>
    <w:rsid w:val="7BD434EE"/>
    <w:rsid w:val="7C481565"/>
    <w:rsid w:val="7CB56681"/>
    <w:rsid w:val="7D184323"/>
    <w:rsid w:val="7D6A3992"/>
    <w:rsid w:val="7DAA4BCC"/>
    <w:rsid w:val="7DB64E06"/>
    <w:rsid w:val="7DD11ABA"/>
    <w:rsid w:val="7DDF70C3"/>
    <w:rsid w:val="7E065C22"/>
    <w:rsid w:val="7E5D13EE"/>
    <w:rsid w:val="7E675D95"/>
    <w:rsid w:val="7EEC7F63"/>
    <w:rsid w:val="7F217272"/>
    <w:rsid w:val="7F757992"/>
    <w:rsid w:val="7FB9482F"/>
    <w:rsid w:val="7FF86A61"/>
    <w:rsid w:val="7FF939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line="340" w:lineRule="exact"/>
      <w:outlineLvl w:val="0"/>
    </w:pPr>
    <w:rPr>
      <w:b/>
      <w:bCs/>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spacing w:before="161"/>
      <w:ind w:left="133"/>
    </w:pPr>
    <w:rPr>
      <w:sz w:val="24"/>
    </w:rPr>
  </w:style>
  <w:style w:type="paragraph" w:styleId="5">
    <w:name w:val="Normal Indent"/>
    <w:basedOn w:val="1"/>
    <w:qFormat/>
    <w:uiPriority w:val="0"/>
    <w:pPr>
      <w:ind w:firstLine="420" w:firstLineChars="200"/>
    </w:pPr>
  </w:style>
  <w:style w:type="paragraph" w:styleId="6">
    <w:name w:val="annotation text"/>
    <w:basedOn w:val="1"/>
    <w:link w:val="37"/>
    <w:qFormat/>
    <w:uiPriority w:val="0"/>
    <w:pPr>
      <w:jc w:val="left"/>
    </w:pPr>
  </w:style>
  <w:style w:type="paragraph" w:styleId="7">
    <w:name w:val="Body Text Indent"/>
    <w:basedOn w:val="1"/>
    <w:qFormat/>
    <w:uiPriority w:val="0"/>
    <w:pPr>
      <w:spacing w:line="200" w:lineRule="exact"/>
      <w:ind w:firstLine="301"/>
    </w:pPr>
    <w:rPr>
      <w:rFonts w:ascii="宋体" w:hAnsi="Courier New"/>
      <w:spacing w:val="-4"/>
      <w:sz w:val="18"/>
      <w:szCs w:val="20"/>
    </w:rPr>
  </w:style>
  <w:style w:type="paragraph" w:styleId="8">
    <w:name w:val="Plain Text"/>
    <w:basedOn w:val="1"/>
    <w:next w:val="1"/>
    <w:qFormat/>
    <w:uiPriority w:val="0"/>
    <w:rPr>
      <w:rFonts w:ascii="宋体" w:hAnsi="Courier New"/>
      <w:szCs w:val="20"/>
    </w:rPr>
  </w:style>
  <w:style w:type="paragraph" w:styleId="9">
    <w:name w:val="Date"/>
    <w:basedOn w:val="1"/>
    <w:next w:val="1"/>
    <w:qFormat/>
    <w:uiPriority w:val="0"/>
    <w:rPr>
      <w:szCs w:val="20"/>
    </w:rPr>
  </w:style>
  <w:style w:type="paragraph" w:styleId="10">
    <w:name w:val="Balloon Text"/>
    <w:basedOn w:val="1"/>
    <w:link w:val="34"/>
    <w:qFormat/>
    <w:uiPriority w:val="0"/>
    <w:rPr>
      <w:sz w:val="18"/>
      <w:szCs w:val="18"/>
    </w:rPr>
  </w:style>
  <w:style w:type="paragraph" w:styleId="11">
    <w:name w:val="footer"/>
    <w:basedOn w:val="1"/>
    <w:next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before="120" w:after="120"/>
      <w:jc w:val="left"/>
    </w:pPr>
    <w:rPr>
      <w:b/>
      <w:bCs/>
      <w:caps/>
      <w:sz w:val="20"/>
      <w:szCs w:val="20"/>
    </w:rPr>
  </w:style>
  <w:style w:type="paragraph" w:styleId="14">
    <w:name w:val="Subtitle"/>
    <w:basedOn w:val="1"/>
    <w:next w:val="1"/>
    <w:qFormat/>
    <w:uiPriority w:val="0"/>
    <w:pPr>
      <w:spacing w:line="312" w:lineRule="auto"/>
      <w:jc w:val="center"/>
      <w:outlineLvl w:val="1"/>
    </w:pPr>
    <w:rPr>
      <w:rFonts w:ascii="Cambria" w:hAnsi="Cambria"/>
      <w:b/>
      <w:bCs/>
      <w:kern w:val="28"/>
      <w:sz w:val="32"/>
      <w:szCs w:val="32"/>
    </w:rPr>
  </w:style>
  <w:style w:type="paragraph" w:styleId="15">
    <w:name w:val="toc 2"/>
    <w:basedOn w:val="1"/>
    <w:next w:val="1"/>
    <w:qFormat/>
    <w:uiPriority w:val="0"/>
    <w:pPr>
      <w:tabs>
        <w:tab w:val="right" w:leader="dot" w:pos="9628"/>
      </w:tabs>
      <w:ind w:left="420" w:firstLine="120"/>
      <w:jc w:val="left"/>
    </w:pPr>
    <w:rPr>
      <w:smallCaps/>
      <w:sz w:val="20"/>
      <w:szCs w:val="20"/>
    </w:rPr>
  </w:style>
  <w:style w:type="paragraph" w:styleId="16">
    <w:name w:val="Normal (Web)"/>
    <w:basedOn w:val="1"/>
    <w:qFormat/>
    <w:uiPriority w:val="99"/>
    <w:pPr>
      <w:spacing w:beforeAutospacing="1" w:afterAutospacing="1"/>
      <w:jc w:val="left"/>
    </w:pPr>
    <w:rPr>
      <w:kern w:val="0"/>
      <w:sz w:val="24"/>
    </w:rPr>
  </w:style>
  <w:style w:type="paragraph" w:styleId="17">
    <w:name w:val="annotation subject"/>
    <w:basedOn w:val="6"/>
    <w:next w:val="6"/>
    <w:link w:val="36"/>
    <w:qFormat/>
    <w:uiPriority w:val="0"/>
    <w:rPr>
      <w:b/>
      <w:bCs/>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page number"/>
    <w:basedOn w:val="20"/>
    <w:qFormat/>
    <w:uiPriority w:val="0"/>
  </w:style>
  <w:style w:type="character" w:styleId="23">
    <w:name w:val="FollowedHyperlink"/>
    <w:basedOn w:val="20"/>
    <w:qFormat/>
    <w:uiPriority w:val="0"/>
    <w:rPr>
      <w:rFonts w:hint="eastAsia" w:ascii="微软雅黑" w:hAnsi="微软雅黑" w:eastAsia="微软雅黑" w:cs="微软雅黑"/>
      <w:color w:val="02396F"/>
      <w:u w:val="single"/>
    </w:rPr>
  </w:style>
  <w:style w:type="character" w:styleId="24">
    <w:name w:val="Emphasis"/>
    <w:basedOn w:val="20"/>
    <w:qFormat/>
    <w:uiPriority w:val="20"/>
    <w:rPr>
      <w:color w:val="CC0000"/>
    </w:rPr>
  </w:style>
  <w:style w:type="character" w:styleId="25">
    <w:name w:val="Hyperlink"/>
    <w:qFormat/>
    <w:uiPriority w:val="0"/>
    <w:rPr>
      <w:color w:val="0000FF"/>
      <w:u w:val="single"/>
    </w:rPr>
  </w:style>
  <w:style w:type="character" w:styleId="26">
    <w:name w:val="annotation reference"/>
    <w:basedOn w:val="20"/>
    <w:qFormat/>
    <w:uiPriority w:val="0"/>
    <w:rPr>
      <w:sz w:val="21"/>
      <w:szCs w:val="21"/>
    </w:rPr>
  </w:style>
  <w:style w:type="paragraph" w:customStyle="1" w:styleId="27">
    <w:name w:val="标准正文"/>
    <w:basedOn w:val="1"/>
    <w:qFormat/>
    <w:uiPriority w:val="0"/>
    <w:pPr>
      <w:spacing w:line="360" w:lineRule="auto"/>
      <w:ind w:firstLine="480" w:firstLineChars="200"/>
      <w:jc w:val="left"/>
    </w:pPr>
    <w:rPr>
      <w:rFonts w:ascii="宋体" w:hAnsi="宋体"/>
      <w:sz w:val="24"/>
    </w:rPr>
  </w:style>
  <w:style w:type="paragraph" w:customStyle="1" w:styleId="28">
    <w:name w:val="正文段"/>
    <w:basedOn w:val="1"/>
    <w:qFormat/>
    <w:uiPriority w:val="0"/>
    <w:pPr>
      <w:widowControl/>
      <w:snapToGrid w:val="0"/>
      <w:spacing w:afterLines="50"/>
      <w:ind w:firstLine="200" w:firstLineChars="200"/>
    </w:pPr>
    <w:rPr>
      <w:kern w:val="0"/>
      <w:sz w:val="24"/>
      <w:szCs w:val="20"/>
    </w:rPr>
  </w:style>
  <w:style w:type="paragraph" w:customStyle="1" w:styleId="29">
    <w:name w:val="p0"/>
    <w:basedOn w:val="1"/>
    <w:qFormat/>
    <w:uiPriority w:val="0"/>
    <w:pPr>
      <w:widowControl/>
    </w:pPr>
    <w:rPr>
      <w:kern w:val="0"/>
      <w:szCs w:val="21"/>
    </w:rPr>
  </w:style>
  <w:style w:type="paragraph" w:styleId="30">
    <w:name w:val="List Paragraph"/>
    <w:basedOn w:val="1"/>
    <w:qFormat/>
    <w:uiPriority w:val="34"/>
    <w:pPr>
      <w:ind w:firstLine="420" w:firstLineChars="200"/>
    </w:pPr>
  </w:style>
  <w:style w:type="paragraph" w:customStyle="1" w:styleId="31">
    <w:name w:val="列出段落1"/>
    <w:basedOn w:val="1"/>
    <w:qFormat/>
    <w:uiPriority w:val="99"/>
    <w:pPr>
      <w:ind w:firstLine="420" w:firstLineChars="200"/>
    </w:pPr>
  </w:style>
  <w:style w:type="paragraph" w:customStyle="1" w:styleId="32">
    <w:name w:val="WPSOffice手动目录 1"/>
    <w:qFormat/>
    <w:uiPriority w:val="0"/>
    <w:rPr>
      <w:rFonts w:ascii="Times New Roman" w:hAnsi="Times New Roman" w:eastAsia="宋体" w:cs="Times New Roman"/>
      <w:lang w:val="en-US" w:eastAsia="zh-CN" w:bidi="ar-SA"/>
    </w:rPr>
  </w:style>
  <w:style w:type="character" w:customStyle="1" w:styleId="33">
    <w:name w:val="gjfg"/>
    <w:basedOn w:val="20"/>
    <w:qFormat/>
    <w:uiPriority w:val="0"/>
  </w:style>
  <w:style w:type="character" w:customStyle="1" w:styleId="34">
    <w:name w:val="批注框文本 Char"/>
    <w:basedOn w:val="20"/>
    <w:link w:val="10"/>
    <w:qFormat/>
    <w:uiPriority w:val="0"/>
    <w:rPr>
      <w:kern w:val="2"/>
      <w:sz w:val="18"/>
      <w:szCs w:val="18"/>
    </w:rPr>
  </w:style>
  <w:style w:type="character" w:customStyle="1" w:styleId="35">
    <w:name w:val="redfilenumber"/>
    <w:basedOn w:val="20"/>
    <w:qFormat/>
    <w:uiPriority w:val="0"/>
    <w:rPr>
      <w:color w:val="BA2636"/>
      <w:sz w:val="18"/>
      <w:szCs w:val="18"/>
    </w:rPr>
  </w:style>
  <w:style w:type="character" w:customStyle="1" w:styleId="36">
    <w:name w:val="批注主题 Char"/>
    <w:basedOn w:val="37"/>
    <w:link w:val="17"/>
    <w:qFormat/>
    <w:uiPriority w:val="0"/>
    <w:rPr>
      <w:b/>
      <w:bCs/>
      <w:kern w:val="2"/>
      <w:sz w:val="21"/>
      <w:szCs w:val="24"/>
    </w:rPr>
  </w:style>
  <w:style w:type="character" w:customStyle="1" w:styleId="37">
    <w:name w:val="批注文字 Char"/>
    <w:basedOn w:val="20"/>
    <w:link w:val="6"/>
    <w:qFormat/>
    <w:uiPriority w:val="0"/>
    <w:rPr>
      <w:kern w:val="2"/>
      <w:sz w:val="21"/>
      <w:szCs w:val="24"/>
    </w:rPr>
  </w:style>
  <w:style w:type="character" w:customStyle="1" w:styleId="38">
    <w:name w:val="redfilefwwh"/>
    <w:basedOn w:val="20"/>
    <w:qFormat/>
    <w:uiPriority w:val="0"/>
    <w:rPr>
      <w:color w:val="BA2636"/>
      <w:sz w:val="18"/>
      <w:szCs w:val="18"/>
    </w:rPr>
  </w:style>
  <w:style w:type="character" w:customStyle="1" w:styleId="39">
    <w:name w:val="displayarti"/>
    <w:basedOn w:val="20"/>
    <w:qFormat/>
    <w:uiPriority w:val="0"/>
    <w:rPr>
      <w:color w:val="FFFFFF"/>
      <w:shd w:val="clear" w:color="auto" w:fill="A00000"/>
    </w:rPr>
  </w:style>
  <w:style w:type="character" w:customStyle="1" w:styleId="40">
    <w:name w:val="qxdate"/>
    <w:basedOn w:val="20"/>
    <w:qFormat/>
    <w:uiPriority w:val="0"/>
    <w:rPr>
      <w:color w:val="333333"/>
      <w:sz w:val="18"/>
      <w:szCs w:val="18"/>
    </w:rPr>
  </w:style>
  <w:style w:type="character" w:customStyle="1" w:styleId="41">
    <w:name w:val="cfdate"/>
    <w:basedOn w:val="20"/>
    <w:qFormat/>
    <w:uiPriority w:val="0"/>
    <w:rPr>
      <w:color w:val="333333"/>
      <w:sz w:val="18"/>
      <w:szCs w:val="18"/>
    </w:rPr>
  </w:style>
  <w:style w:type="character" w:customStyle="1" w:styleId="42">
    <w:name w:val="font51"/>
    <w:basedOn w:val="20"/>
    <w:qFormat/>
    <w:uiPriority w:val="0"/>
    <w:rPr>
      <w:rFonts w:hint="eastAsia" w:ascii="宋体" w:hAnsi="宋体" w:eastAsia="宋体" w:cs="宋体"/>
      <w:color w:val="000000"/>
      <w:sz w:val="21"/>
      <w:szCs w:val="21"/>
      <w:u w:val="none"/>
    </w:rPr>
  </w:style>
  <w:style w:type="paragraph" w:customStyle="1" w:styleId="43">
    <w:name w:val="pa-0"/>
    <w:basedOn w:val="1"/>
    <w:qFormat/>
    <w:uiPriority w:val="0"/>
    <w:pPr>
      <w:widowControl/>
      <w:spacing w:line="340" w:lineRule="atLeast"/>
      <w:jc w:val="center"/>
    </w:pPr>
    <w:rPr>
      <w:rFonts w:ascii="宋体" w:hAnsi="宋体" w:cs="宋体"/>
      <w:kern w:val="0"/>
      <w:sz w:val="24"/>
    </w:rPr>
  </w:style>
  <w:style w:type="paragraph" w:customStyle="1" w:styleId="44">
    <w:name w:val="二级条标题"/>
    <w:basedOn w:val="1"/>
    <w:next w:val="1"/>
    <w:qFormat/>
    <w:uiPriority w:val="0"/>
    <w:pPr>
      <w:widowControl/>
      <w:numPr>
        <w:ilvl w:val="3"/>
        <w:numId w:val="1"/>
      </w:numPr>
      <w:tabs>
        <w:tab w:val="left" w:pos="1680"/>
      </w:tabs>
      <w:jc w:val="left"/>
      <w:outlineLvl w:val="3"/>
    </w:pPr>
    <w:rPr>
      <w:rFonts w:eastAsia="黑体"/>
      <w:kern w:val="0"/>
      <w:szCs w:val="20"/>
    </w:rPr>
  </w:style>
  <w:style w:type="paragraph" w:customStyle="1" w:styleId="45">
    <w:name w:val="列出段落2"/>
    <w:basedOn w:val="1"/>
    <w:qFormat/>
    <w:uiPriority w:val="99"/>
    <w:pPr>
      <w:ind w:firstLine="420" w:firstLineChars="200"/>
    </w:pPr>
  </w:style>
  <w:style w:type="character" w:customStyle="1" w:styleId="46">
    <w:name w:val="NormalCharacter"/>
    <w:semiHidden/>
    <w:qFormat/>
    <w:uiPriority w:val="0"/>
    <w:rPr>
      <w:kern w:val="2"/>
      <w:sz w:val="21"/>
      <w:szCs w:val="24"/>
      <w:lang w:val="en-US" w:eastAsia="zh-CN" w:bidi="ar-SA"/>
    </w:rPr>
  </w:style>
  <w:style w:type="paragraph" w:customStyle="1" w:styleId="4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48">
    <w:name w:val="font11"/>
    <w:basedOn w:val="20"/>
    <w:qFormat/>
    <w:uiPriority w:val="0"/>
    <w:rPr>
      <w:rFonts w:ascii="Calibri" w:hAnsi="Calibri" w:cs="Calibri"/>
      <w:color w:val="000000"/>
      <w:sz w:val="18"/>
      <w:szCs w:val="18"/>
      <w:u w:val="none"/>
    </w:rPr>
  </w:style>
  <w:style w:type="character" w:customStyle="1" w:styleId="49">
    <w:name w:val="font01"/>
    <w:basedOn w:val="20"/>
    <w:qFormat/>
    <w:uiPriority w:val="0"/>
    <w:rPr>
      <w:rFonts w:hint="eastAsia" w:ascii="宋体" w:hAnsi="宋体" w:eastAsia="宋体" w:cs="宋体"/>
      <w:color w:val="000000"/>
      <w:sz w:val="18"/>
      <w:szCs w:val="18"/>
      <w:u w:val="none"/>
    </w:rPr>
  </w:style>
  <w:style w:type="paragraph" w:customStyle="1" w:styleId="50">
    <w:name w:val="List Paragraph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2BB91F-C5E0-4050-88AA-3CA63EE72D41}">
  <ds:schemaRefs/>
</ds:datastoreItem>
</file>

<file path=docProps/app.xml><?xml version="1.0" encoding="utf-8"?>
<Properties xmlns="http://schemas.openxmlformats.org/officeDocument/2006/extended-properties" xmlns:vt="http://schemas.openxmlformats.org/officeDocument/2006/docPropsVTypes">
  <Template>Normal.dotm</Template>
  <Company>中顺科技</Company>
  <Pages>69</Pages>
  <Words>8702</Words>
  <Characters>49605</Characters>
  <Lines>413</Lines>
  <Paragraphs>116</Paragraphs>
  <TotalTime>24</TotalTime>
  <ScaleCrop>false</ScaleCrop>
  <LinksUpToDate>false</LinksUpToDate>
  <CharactersWithSpaces>58191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2020-11-09T12:51:00Z</dcterms:created>
  <dc:creator>Administrator</dc:creator>
  <cp:lastModifiedBy>WPS_1559554841</cp:lastModifiedBy>
  <cp:lastPrinted>2020-11-10T03:40:00Z</cp:lastPrinted>
  <dcterms:modified xsi:type="dcterms:W3CDTF">2020-11-20T04:09:25Z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