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3" w:beforeLines="10" w:line="400" w:lineRule="exact"/>
        <w:rPr>
          <w:rFonts w:eastAsia="华康简魏碑"/>
          <w:b/>
          <w:bCs/>
          <w:color w:val="000000" w:themeColor="text1"/>
          <w:spacing w:val="80"/>
          <w:sz w:val="28"/>
          <w:szCs w:val="28"/>
          <w:highlight w:val="none"/>
          <w14:textFill>
            <w14:solidFill>
              <w14:schemeClr w14:val="tx1"/>
            </w14:solidFill>
          </w14:textFill>
        </w:rPr>
      </w:pPr>
    </w:p>
    <w:p>
      <w:pPr>
        <w:pStyle w:val="18"/>
        <w:adjustRightInd/>
        <w:spacing w:line="240" w:lineRule="auto"/>
        <w:jc w:val="center"/>
        <w:textAlignment w:val="auto"/>
        <w:rPr>
          <w:rFonts w:ascii="华康简魏碑" w:eastAsia="华康简魏碑"/>
          <w:b/>
          <w:bCs/>
          <w:color w:val="auto"/>
          <w:spacing w:val="80"/>
          <w:sz w:val="64"/>
          <w:highlight w:val="none"/>
        </w:rPr>
      </w:pPr>
      <w:r>
        <w:rPr>
          <w:rFonts w:hint="eastAsia" w:ascii="华康简魏碑" w:eastAsia="华康简魏碑"/>
          <w:b/>
          <w:bCs/>
          <w:color w:val="auto"/>
          <w:spacing w:val="80"/>
          <w:sz w:val="64"/>
          <w:highlight w:val="none"/>
        </w:rPr>
        <w:t>南宁市政府采购</w:t>
      </w:r>
    </w:p>
    <w:p>
      <w:pPr>
        <w:pStyle w:val="18"/>
        <w:jc w:val="center"/>
        <w:rPr>
          <w:rFonts w:ascii="楷体_GB2312" w:eastAsia="楷体_GB2312"/>
          <w:b/>
          <w:bCs/>
          <w:color w:val="auto"/>
          <w:sz w:val="44"/>
          <w:szCs w:val="44"/>
          <w:highlight w:val="none"/>
        </w:rPr>
      </w:pPr>
    </w:p>
    <w:p>
      <w:pPr>
        <w:pStyle w:val="18"/>
        <w:adjustRightInd/>
        <w:spacing w:line="240" w:lineRule="auto"/>
        <w:jc w:val="center"/>
        <w:textAlignment w:val="auto"/>
        <w:rPr>
          <w:color w:val="auto"/>
          <w:sz w:val="96"/>
          <w:szCs w:val="96"/>
          <w:highlight w:val="none"/>
        </w:rPr>
      </w:pPr>
      <w:r>
        <w:rPr>
          <w:rFonts w:hint="eastAsia"/>
          <w:color w:val="auto"/>
          <w:sz w:val="96"/>
          <w:szCs w:val="96"/>
          <w:highlight w:val="none"/>
        </w:rPr>
        <w:t>公开招标</w:t>
      </w:r>
      <w:bookmarkStart w:id="88" w:name="_GoBack"/>
      <w:bookmarkEnd w:id="88"/>
      <w:r>
        <w:rPr>
          <w:rFonts w:hint="eastAsia"/>
          <w:color w:val="auto"/>
          <w:sz w:val="96"/>
          <w:szCs w:val="96"/>
          <w:highlight w:val="none"/>
        </w:rPr>
        <w:t>文件</w:t>
      </w:r>
    </w:p>
    <w:p>
      <w:pPr>
        <w:jc w:val="center"/>
        <w:rPr>
          <w:rFonts w:ascii="宋体" w:hAnsi="宋体"/>
          <w:b/>
          <w:color w:val="auto"/>
          <w:sz w:val="36"/>
          <w:szCs w:val="36"/>
          <w:highlight w:val="none"/>
        </w:rPr>
      </w:pP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服务</w:t>
      </w:r>
      <w:r>
        <w:rPr>
          <w:rFonts w:hint="eastAsia" w:ascii="宋体" w:hAnsi="宋体"/>
          <w:b/>
          <w:color w:val="auto"/>
          <w:sz w:val="36"/>
          <w:szCs w:val="36"/>
          <w:highlight w:val="none"/>
        </w:rPr>
        <w:t>类</w:t>
      </w:r>
      <w:r>
        <w:rPr>
          <w:rFonts w:hint="eastAsia" w:ascii="宋体" w:hAnsi="宋体"/>
          <w:b/>
          <w:color w:val="auto"/>
          <w:sz w:val="36"/>
          <w:szCs w:val="36"/>
          <w:highlight w:val="none"/>
          <w:lang w:eastAsia="zh-CN"/>
        </w:rPr>
        <w:t>，</w:t>
      </w:r>
      <w:r>
        <w:rPr>
          <w:rFonts w:hint="eastAsia" w:ascii="宋体" w:hAnsi="宋体"/>
          <w:b/>
          <w:color w:val="auto"/>
          <w:sz w:val="36"/>
          <w:szCs w:val="36"/>
          <w:highlight w:val="none"/>
        </w:rPr>
        <w:t>交易)</w:t>
      </w:r>
    </w:p>
    <w:p>
      <w:pPr>
        <w:jc w:val="center"/>
        <w:rPr>
          <w:rFonts w:ascii="宋体" w:hAnsi="宋体"/>
          <w:b/>
          <w:color w:val="auto"/>
          <w:sz w:val="32"/>
          <w:szCs w:val="32"/>
          <w:highlight w:val="none"/>
        </w:rPr>
      </w:pPr>
    </w:p>
    <w:p>
      <w:pPr>
        <w:pStyle w:val="18"/>
        <w:rPr>
          <w:color w:val="auto"/>
          <w:highlight w:val="none"/>
        </w:rPr>
      </w:pPr>
    </w:p>
    <w:p>
      <w:pPr>
        <w:tabs>
          <w:tab w:val="left" w:pos="7665"/>
        </w:tabs>
        <w:ind w:right="-94" w:rightChars="-45"/>
        <w:rPr>
          <w:rFonts w:ascii="宋体" w:hAnsi="Courier New"/>
          <w:color w:val="auto"/>
          <w:szCs w:val="20"/>
          <w:highlight w:val="none"/>
        </w:rPr>
      </w:pPr>
    </w:p>
    <w:p>
      <w:pPr>
        <w:adjustRightInd/>
        <w:spacing w:line="240" w:lineRule="auto"/>
        <w:ind w:left="2530" w:hanging="2250" w:hangingChars="700"/>
        <w:jc w:val="left"/>
        <w:textAlignment w:val="auto"/>
        <w:rPr>
          <w:rFonts w:ascii="宋体" w:hAnsi="宋体"/>
          <w:b/>
          <w:color w:val="auto"/>
          <w:spacing w:val="-20"/>
          <w:sz w:val="36"/>
          <w:szCs w:val="36"/>
          <w:highlight w:val="none"/>
        </w:rPr>
      </w:pPr>
      <w:r>
        <w:rPr>
          <w:rFonts w:hint="eastAsia" w:ascii="宋体" w:hAnsi="宋体"/>
          <w:b/>
          <w:color w:val="auto"/>
          <w:spacing w:val="-20"/>
          <w:sz w:val="36"/>
          <w:szCs w:val="36"/>
          <w:highlight w:val="none"/>
        </w:rPr>
        <w:t>项目名称：南宁职业技术学院软件技术专业群2020年度“双高”</w:t>
      </w:r>
      <w:r>
        <w:rPr>
          <w:rFonts w:hint="eastAsia" w:ascii="宋体" w:hAnsi="宋体"/>
          <w:b/>
          <w:color w:val="auto"/>
          <w:spacing w:val="-20"/>
          <w:sz w:val="36"/>
          <w:szCs w:val="36"/>
          <w:highlight w:val="none"/>
          <w:lang w:eastAsia="zh-CN"/>
        </w:rPr>
        <w:t>课</w:t>
      </w:r>
      <w:r>
        <w:rPr>
          <w:rFonts w:hint="eastAsia" w:ascii="宋体" w:hAnsi="宋体"/>
          <w:b/>
          <w:color w:val="auto"/>
          <w:spacing w:val="-20"/>
          <w:sz w:val="36"/>
          <w:szCs w:val="36"/>
          <w:highlight w:val="none"/>
        </w:rPr>
        <w:t>程资源</w:t>
      </w:r>
      <w:r>
        <w:rPr>
          <w:rFonts w:hint="eastAsia" w:ascii="宋体" w:hAnsi="宋体"/>
          <w:b/>
          <w:color w:val="auto"/>
          <w:spacing w:val="-20"/>
          <w:sz w:val="36"/>
          <w:szCs w:val="36"/>
          <w:highlight w:val="none"/>
          <w:lang w:eastAsia="zh-CN"/>
        </w:rPr>
        <w:t>建</w:t>
      </w:r>
      <w:r>
        <w:rPr>
          <w:rFonts w:hint="eastAsia" w:ascii="宋体" w:hAnsi="宋体"/>
          <w:b/>
          <w:color w:val="auto"/>
          <w:spacing w:val="-20"/>
          <w:sz w:val="36"/>
          <w:szCs w:val="36"/>
          <w:highlight w:val="none"/>
        </w:rPr>
        <w:t>设采购</w:t>
      </w:r>
    </w:p>
    <w:p>
      <w:pPr>
        <w:adjustRightInd/>
        <w:spacing w:line="240" w:lineRule="auto"/>
        <w:jc w:val="left"/>
        <w:textAlignment w:val="auto"/>
        <w:rPr>
          <w:rFonts w:ascii="宋体" w:hAnsi="宋体"/>
          <w:b/>
          <w:color w:val="auto"/>
          <w:sz w:val="36"/>
          <w:szCs w:val="36"/>
          <w:highlight w:val="none"/>
        </w:rPr>
      </w:pPr>
      <w:r>
        <w:rPr>
          <w:rFonts w:hint="eastAsia" w:ascii="宋体" w:hAnsi="宋体"/>
          <w:b/>
          <w:color w:val="auto"/>
          <w:sz w:val="36"/>
          <w:szCs w:val="36"/>
          <w:highlight w:val="none"/>
        </w:rPr>
        <w:t>项目编号：NNZC2020-G3-990494-ZXGJ</w:t>
      </w:r>
    </w:p>
    <w:p>
      <w:pPr>
        <w:adjustRightInd/>
        <w:spacing w:line="240" w:lineRule="auto"/>
        <w:jc w:val="left"/>
        <w:textAlignment w:val="auto"/>
        <w:rPr>
          <w:rFonts w:hint="eastAsia" w:eastAsia="宋体"/>
          <w:color w:val="auto"/>
          <w:highlight w:val="none"/>
          <w:lang w:eastAsia="zh-CN"/>
        </w:rPr>
      </w:pPr>
      <w:r>
        <w:rPr>
          <w:rFonts w:hint="eastAsia" w:ascii="宋体" w:hAnsi="宋体"/>
          <w:b/>
          <w:color w:val="auto"/>
          <w:sz w:val="36"/>
          <w:szCs w:val="36"/>
          <w:highlight w:val="none"/>
        </w:rPr>
        <w:t>审批编号</w:t>
      </w:r>
      <w:r>
        <w:rPr>
          <w:rFonts w:hint="eastAsia" w:ascii="宋体" w:hAnsi="宋体"/>
          <w:b/>
          <w:color w:val="auto"/>
          <w:sz w:val="36"/>
          <w:szCs w:val="36"/>
          <w:highlight w:val="none"/>
          <w:lang w:eastAsia="zh-CN"/>
        </w:rPr>
        <w:t>：</w:t>
      </w:r>
      <w:r>
        <w:rPr>
          <w:rFonts w:hint="eastAsia" w:ascii="宋体" w:hAnsi="宋体"/>
          <w:b/>
          <w:color w:val="auto"/>
          <w:sz w:val="36"/>
          <w:szCs w:val="36"/>
          <w:highlight w:val="none"/>
          <w:lang w:val="en-US" w:eastAsia="zh-CN"/>
        </w:rPr>
        <w:t>[2020]NCCJW760</w:t>
      </w:r>
    </w:p>
    <w:p>
      <w:pPr>
        <w:jc w:val="center"/>
        <w:rPr>
          <w:rFonts w:hint="eastAsia"/>
          <w:color w:val="auto"/>
          <w:highlight w:val="none"/>
          <w:lang w:val="en-US" w:eastAsia="zh-CN"/>
        </w:rPr>
      </w:pPr>
    </w:p>
    <w:p>
      <w:pPr>
        <w:jc w:val="center"/>
        <w:rPr>
          <w:b/>
          <w:color w:val="auto"/>
          <w:sz w:val="36"/>
          <w:szCs w:val="36"/>
          <w:highlight w:val="none"/>
        </w:rPr>
      </w:pPr>
      <w:r>
        <w:rPr>
          <w:rFonts w:hint="eastAsia"/>
          <w:color w:val="auto"/>
          <w:highlight w:val="none"/>
          <w:lang w:val="en-US" w:eastAsia="zh-CN"/>
        </w:rPr>
        <w:t xml:space="preserve"> </w:t>
      </w:r>
    </w:p>
    <w:p>
      <w:pPr>
        <w:rPr>
          <w:b/>
          <w:color w:val="auto"/>
          <w:sz w:val="36"/>
          <w:szCs w:val="36"/>
          <w:highlight w:val="none"/>
        </w:rPr>
      </w:pPr>
      <w:r>
        <w:rPr>
          <w:rFonts w:hint="eastAsia"/>
          <w:b/>
          <w:color w:val="auto"/>
          <w:sz w:val="36"/>
          <w:szCs w:val="36"/>
          <w:highlight w:val="none"/>
        </w:rPr>
        <w:t>采购人：南宁职业技术学院</w:t>
      </w:r>
    </w:p>
    <w:p>
      <w:pPr>
        <w:rPr>
          <w:b/>
          <w:color w:val="auto"/>
          <w:sz w:val="36"/>
          <w:szCs w:val="36"/>
          <w:highlight w:val="none"/>
        </w:rPr>
      </w:pPr>
      <w:r>
        <w:rPr>
          <w:rFonts w:hint="eastAsia"/>
          <w:b/>
          <w:color w:val="auto"/>
          <w:sz w:val="36"/>
          <w:szCs w:val="36"/>
          <w:highlight w:val="none"/>
        </w:rPr>
        <w:t>采购代理机构：中昕国际项目管理有限公司</w:t>
      </w:r>
    </w:p>
    <w:p>
      <w:pPr>
        <w:ind w:firstLine="1890" w:firstLineChars="523"/>
        <w:rPr>
          <w:b/>
          <w:color w:val="auto"/>
          <w:sz w:val="36"/>
          <w:szCs w:val="36"/>
          <w:highlight w:val="none"/>
        </w:rPr>
      </w:pPr>
    </w:p>
    <w:p>
      <w:pPr>
        <w:widowControl/>
        <w:jc w:val="center"/>
        <w:rPr>
          <w:rFonts w:eastAsia="华康简魏碑"/>
          <w:b/>
          <w:bCs/>
          <w:color w:val="auto"/>
          <w:spacing w:val="80"/>
          <w:sz w:val="28"/>
          <w:szCs w:val="28"/>
          <w:highlight w:val="none"/>
        </w:rPr>
      </w:pPr>
      <w:r>
        <w:rPr>
          <w:rFonts w:hint="eastAsia" w:ascii="宋体" w:hAnsi="宋体"/>
          <w:b/>
          <w:color w:val="auto"/>
          <w:sz w:val="36"/>
          <w:szCs w:val="36"/>
          <w:highlight w:val="none"/>
        </w:rPr>
        <w:t>2020年</w:t>
      </w:r>
      <w:r>
        <w:rPr>
          <w:rFonts w:hint="eastAsia" w:ascii="宋体" w:hAnsi="宋体"/>
          <w:b/>
          <w:color w:val="auto"/>
          <w:sz w:val="36"/>
          <w:szCs w:val="36"/>
          <w:highlight w:val="none"/>
          <w:lang w:val="en-US" w:eastAsia="zh-CN"/>
        </w:rPr>
        <w:t>12</w:t>
      </w:r>
      <w:r>
        <w:rPr>
          <w:rFonts w:hint="eastAsia" w:ascii="宋体" w:hAnsi="宋体"/>
          <w:b/>
          <w:color w:val="auto"/>
          <w:sz w:val="36"/>
          <w:szCs w:val="36"/>
          <w:highlight w:val="none"/>
        </w:rPr>
        <w:t>月</w:t>
      </w:r>
    </w:p>
    <w:p>
      <w:pPr>
        <w:rPr>
          <w:rFonts w:eastAsia="华康简魏碑"/>
          <w:b/>
          <w:bCs/>
          <w:color w:val="auto"/>
          <w:spacing w:val="80"/>
          <w:sz w:val="28"/>
          <w:szCs w:val="28"/>
          <w:highlight w:val="none"/>
        </w:rPr>
      </w:pPr>
    </w:p>
    <w:p>
      <w:pPr>
        <w:pStyle w:val="7"/>
        <w:rPr>
          <w:color w:val="auto"/>
          <w:highlight w:val="none"/>
        </w:rPr>
      </w:pPr>
    </w:p>
    <w:p>
      <w:pPr>
        <w:pStyle w:val="18"/>
        <w:jc w:val="center"/>
        <w:rPr>
          <w:rFonts w:ascii="Times New Roman" w:hAnsi="Times New Roman"/>
          <w:b/>
          <w:color w:val="auto"/>
          <w:sz w:val="48"/>
          <w:szCs w:val="48"/>
          <w:highlight w:val="none"/>
        </w:rPr>
        <w:sectPr>
          <w:headerReference r:id="rId4" w:type="first"/>
          <w:headerReference r:id="rId3" w:type="default"/>
          <w:footerReference r:id="rId5" w:type="default"/>
          <w:pgSz w:w="11906" w:h="16838"/>
          <w:pgMar w:top="1134" w:right="1134" w:bottom="1134" w:left="1134" w:header="720" w:footer="720" w:gutter="0"/>
          <w:pgNumType w:start="1"/>
          <w:cols w:space="720" w:num="1"/>
          <w:titlePg/>
          <w:docGrid w:type="lines" w:linePitch="331" w:charSpace="0"/>
        </w:sectPr>
      </w:pPr>
    </w:p>
    <w:p>
      <w:pPr>
        <w:pStyle w:val="18"/>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     录</w:t>
      </w:r>
    </w:p>
    <w:p>
      <w:pPr>
        <w:pStyle w:val="18"/>
        <w:spacing w:line="240" w:lineRule="auto"/>
        <w:jc w:val="center"/>
        <w:rPr>
          <w:rFonts w:ascii="Times New Roman" w:hAnsi="Times New Roman"/>
          <w:b/>
          <w:color w:val="auto"/>
          <w:sz w:val="28"/>
          <w:szCs w:val="28"/>
          <w:highlight w:val="none"/>
        </w:rPr>
      </w:pPr>
    </w:p>
    <w:p>
      <w:pPr>
        <w:pStyle w:val="24"/>
        <w:tabs>
          <w:tab w:val="right" w:leader="dot" w:pos="9628"/>
        </w:tabs>
        <w:spacing w:line="480" w:lineRule="auto"/>
        <w:rPr>
          <w:rFonts w:ascii="宋体" w:hAnsi="宋体"/>
          <w:b w:val="0"/>
          <w:bCs w:val="0"/>
          <w:caps w:val="0"/>
          <w:color w:val="auto"/>
          <w:sz w:val="24"/>
          <w:szCs w:val="24"/>
          <w:highlight w:val="none"/>
        </w:rPr>
      </w:pPr>
      <w:bookmarkStart w:id="0" w:name="_Toc139966433"/>
      <w:bookmarkStart w:id="1" w:name="_Toc213206171"/>
      <w:bookmarkStart w:id="2" w:name="_Toc139967217"/>
      <w:bookmarkStart w:id="3" w:name="_Toc139967210"/>
      <w:bookmarkStart w:id="4" w:name="_Toc139966426"/>
      <w:r>
        <w:rPr>
          <w:rFonts w:ascii="宋体" w:hAnsi="宋体"/>
          <w:b w:val="0"/>
          <w:bCs w:val="0"/>
          <w:caps w:val="0"/>
          <w:color w:val="auto"/>
          <w:sz w:val="24"/>
          <w:szCs w:val="24"/>
          <w:highlight w:val="none"/>
        </w:rPr>
        <w:fldChar w:fldCharType="begin"/>
      </w:r>
      <w:r>
        <w:rPr>
          <w:rFonts w:ascii="宋体" w:hAnsi="宋体"/>
          <w:b w:val="0"/>
          <w:bCs w:val="0"/>
          <w:caps w:val="0"/>
          <w:color w:val="auto"/>
          <w:sz w:val="24"/>
          <w:szCs w:val="24"/>
          <w:highlight w:val="none"/>
        </w:rPr>
        <w:instrText xml:space="preserve"> TOC \o "1-3" \h \z \u </w:instrText>
      </w:r>
      <w:r>
        <w:rPr>
          <w:rFonts w:ascii="宋体" w:hAnsi="宋体"/>
          <w:b w:val="0"/>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"_Toc495996892" </w:instrText>
      </w:r>
      <w:r>
        <w:rPr>
          <w:color w:val="auto"/>
          <w:highlight w:val="none"/>
        </w:rPr>
        <w:fldChar w:fldCharType="separate"/>
      </w:r>
      <w:r>
        <w:rPr>
          <w:rStyle w:val="40"/>
          <w:rFonts w:hint="eastAsia" w:ascii="宋体" w:hAnsi="宋体"/>
          <w:color w:val="auto"/>
          <w:sz w:val="24"/>
          <w:szCs w:val="24"/>
          <w:highlight w:val="none"/>
        </w:rPr>
        <w:t>第一章</w:t>
      </w:r>
      <w:r>
        <w:rPr>
          <w:rStyle w:val="40"/>
          <w:rFonts w:ascii="宋体" w:hAnsi="宋体"/>
          <w:color w:val="auto"/>
          <w:sz w:val="24"/>
          <w:szCs w:val="24"/>
          <w:highlight w:val="none"/>
        </w:rPr>
        <w:t xml:space="preserve">  </w:t>
      </w:r>
      <w:r>
        <w:rPr>
          <w:rStyle w:val="40"/>
          <w:rFonts w:hint="eastAsia" w:ascii="宋体" w:hAnsi="宋体"/>
          <w:color w:val="auto"/>
          <w:sz w:val="24"/>
          <w:szCs w:val="24"/>
          <w:highlight w:val="none"/>
        </w:rPr>
        <w:t>公告</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_Toc495996892 \h </w:instrText>
      </w:r>
      <w:r>
        <w:rPr>
          <w:rFonts w:ascii="宋体" w:hAnsi="宋体"/>
          <w:color w:val="auto"/>
          <w:sz w:val="24"/>
          <w:szCs w:val="24"/>
          <w:highlight w:val="none"/>
        </w:rPr>
        <w:fldChar w:fldCharType="separate"/>
      </w:r>
      <w:r>
        <w:rPr>
          <w:rFonts w:ascii="宋体" w:hAnsi="宋体"/>
          <w:color w:val="auto"/>
          <w:sz w:val="24"/>
          <w:szCs w:val="24"/>
          <w:highlight w:val="none"/>
        </w:rPr>
        <w:t>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4"/>
        <w:tabs>
          <w:tab w:val="right" w:leader="dot" w:pos="9628"/>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"_Toc495996893" </w:instrText>
      </w:r>
      <w:r>
        <w:rPr>
          <w:color w:val="auto"/>
          <w:highlight w:val="none"/>
        </w:rPr>
        <w:fldChar w:fldCharType="separate"/>
      </w:r>
      <w:r>
        <w:rPr>
          <w:rStyle w:val="40"/>
          <w:rFonts w:hint="eastAsia" w:ascii="宋体" w:hAnsi="宋体"/>
          <w:color w:val="auto"/>
          <w:sz w:val="24"/>
          <w:szCs w:val="24"/>
          <w:highlight w:val="none"/>
        </w:rPr>
        <w:t>第二章</w:t>
      </w:r>
      <w:r>
        <w:rPr>
          <w:rStyle w:val="40"/>
          <w:rFonts w:ascii="宋体" w:hAnsi="宋体"/>
          <w:color w:val="auto"/>
          <w:sz w:val="24"/>
          <w:szCs w:val="24"/>
          <w:highlight w:val="none"/>
        </w:rPr>
        <w:t xml:space="preserve">  </w:t>
      </w:r>
      <w:r>
        <w:rPr>
          <w:rStyle w:val="40"/>
          <w:rFonts w:hint="eastAsia" w:ascii="宋体" w:hAnsi="宋体"/>
          <w:color w:val="auto"/>
          <w:sz w:val="24"/>
          <w:szCs w:val="24"/>
          <w:highlight w:val="none"/>
        </w:rPr>
        <w:t>项目需求一览表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_Toc495996893 \h </w:instrText>
      </w:r>
      <w:r>
        <w:rPr>
          <w:rFonts w:ascii="宋体" w:hAnsi="宋体"/>
          <w:color w:val="auto"/>
          <w:sz w:val="24"/>
          <w:szCs w:val="24"/>
          <w:highlight w:val="none"/>
        </w:rPr>
        <w:fldChar w:fldCharType="separate"/>
      </w:r>
      <w:r>
        <w:rPr>
          <w:rFonts w:ascii="宋体" w:hAnsi="宋体"/>
          <w:color w:val="auto"/>
          <w:sz w:val="24"/>
          <w:szCs w:val="24"/>
          <w:highlight w:val="none"/>
        </w:rPr>
        <w:t>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4"/>
        <w:tabs>
          <w:tab w:val="right" w:leader="dot" w:pos="9628"/>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"_Toc495996894" </w:instrText>
      </w:r>
      <w:r>
        <w:rPr>
          <w:color w:val="auto"/>
          <w:highlight w:val="none"/>
        </w:rPr>
        <w:fldChar w:fldCharType="separate"/>
      </w:r>
      <w:r>
        <w:rPr>
          <w:rStyle w:val="40"/>
          <w:rFonts w:hint="eastAsia" w:ascii="宋体" w:hAnsi="宋体"/>
          <w:color w:val="auto"/>
          <w:sz w:val="24"/>
          <w:szCs w:val="24"/>
          <w:highlight w:val="none"/>
        </w:rPr>
        <w:t>第三章</w:t>
      </w:r>
      <w:r>
        <w:rPr>
          <w:rStyle w:val="40"/>
          <w:rFonts w:ascii="宋体" w:hAnsi="宋体"/>
          <w:color w:val="auto"/>
          <w:sz w:val="24"/>
          <w:szCs w:val="24"/>
          <w:highlight w:val="none"/>
        </w:rPr>
        <w:t xml:space="preserve"> </w:t>
      </w:r>
      <w:r>
        <w:rPr>
          <w:rStyle w:val="40"/>
          <w:rFonts w:hint="eastAsia" w:ascii="宋体" w:hAnsi="宋体"/>
          <w:color w:val="auto"/>
          <w:sz w:val="24"/>
          <w:szCs w:val="24"/>
          <w:highlight w:val="none"/>
        </w:rPr>
        <w:t xml:space="preserve"> 评标办法</w:t>
      </w:r>
      <w:bookmarkStart w:id="5" w:name="_Hlt2950624"/>
      <w:bookmarkStart w:id="6" w:name="_Hlt2950625"/>
      <w:r>
        <w:rPr>
          <w:rFonts w:ascii="宋体" w:hAnsi="宋体"/>
          <w:color w:val="auto"/>
          <w:sz w:val="24"/>
          <w:szCs w:val="24"/>
          <w:highlight w:val="none"/>
        </w:rPr>
        <w:tab/>
      </w:r>
      <w:bookmarkEnd w:id="5"/>
      <w:bookmarkEnd w:id="6"/>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_Toc495996894 \h </w:instrText>
      </w:r>
      <w:r>
        <w:rPr>
          <w:rFonts w:ascii="宋体" w:hAnsi="宋体"/>
          <w:color w:val="auto"/>
          <w:sz w:val="24"/>
          <w:szCs w:val="24"/>
          <w:highlight w:val="none"/>
        </w:rPr>
        <w:fldChar w:fldCharType="separate"/>
      </w:r>
      <w:r>
        <w:rPr>
          <w:rFonts w:ascii="宋体" w:hAnsi="宋体"/>
          <w:color w:val="auto"/>
          <w:sz w:val="24"/>
          <w:szCs w:val="24"/>
          <w:highlight w:val="none"/>
        </w:rPr>
        <w:t>26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4"/>
        <w:tabs>
          <w:tab w:val="right" w:leader="dot" w:pos="9628"/>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"_Toc495996907" </w:instrText>
      </w:r>
      <w:r>
        <w:rPr>
          <w:color w:val="auto"/>
          <w:highlight w:val="none"/>
        </w:rPr>
        <w:fldChar w:fldCharType="separate"/>
      </w:r>
      <w:r>
        <w:rPr>
          <w:rStyle w:val="40"/>
          <w:rFonts w:hint="eastAsia" w:ascii="宋体" w:hAnsi="宋体"/>
          <w:color w:val="auto"/>
          <w:sz w:val="24"/>
          <w:szCs w:val="24"/>
          <w:highlight w:val="none"/>
        </w:rPr>
        <w:t>第四章</w:t>
      </w:r>
      <w:r>
        <w:rPr>
          <w:rStyle w:val="40"/>
          <w:rFonts w:ascii="宋体" w:hAnsi="宋体"/>
          <w:color w:val="auto"/>
          <w:sz w:val="24"/>
          <w:szCs w:val="24"/>
          <w:highlight w:val="none"/>
        </w:rPr>
        <w:t xml:space="preserve">  </w:t>
      </w:r>
      <w:r>
        <w:rPr>
          <w:rStyle w:val="40"/>
          <w:rFonts w:hint="eastAsia" w:ascii="宋体" w:hAnsi="宋体"/>
          <w:color w:val="auto"/>
          <w:sz w:val="24"/>
          <w:szCs w:val="24"/>
          <w:highlight w:val="none"/>
        </w:rPr>
        <w:t>投标</w:t>
      </w:r>
      <w:bookmarkStart w:id="7" w:name="_Hlt496000532"/>
      <w:r>
        <w:rPr>
          <w:rStyle w:val="40"/>
          <w:rFonts w:hint="eastAsia" w:ascii="宋体" w:hAnsi="宋体"/>
          <w:color w:val="auto"/>
          <w:sz w:val="24"/>
          <w:szCs w:val="24"/>
          <w:highlight w:val="none"/>
        </w:rPr>
        <w:t>人</w:t>
      </w:r>
      <w:bookmarkEnd w:id="7"/>
      <w:r>
        <w:rPr>
          <w:rStyle w:val="40"/>
          <w:rFonts w:hint="eastAsia" w:ascii="宋体" w:hAnsi="宋体"/>
          <w:color w:val="auto"/>
          <w:sz w:val="24"/>
          <w:szCs w:val="24"/>
          <w:highlight w:val="none"/>
        </w:rPr>
        <w:t>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_Toc495996907 \h </w:instrText>
      </w:r>
      <w:r>
        <w:rPr>
          <w:rFonts w:ascii="宋体" w:hAnsi="宋体"/>
          <w:color w:val="auto"/>
          <w:sz w:val="24"/>
          <w:szCs w:val="24"/>
          <w:highlight w:val="none"/>
        </w:rPr>
        <w:fldChar w:fldCharType="separate"/>
      </w:r>
      <w:r>
        <w:rPr>
          <w:rFonts w:ascii="宋体" w:hAnsi="宋体"/>
          <w:color w:val="auto"/>
          <w:sz w:val="24"/>
          <w:szCs w:val="24"/>
          <w:highlight w:val="none"/>
        </w:rPr>
        <w:t>26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7"/>
        <w:spacing w:line="480" w:lineRule="auto"/>
        <w:rPr>
          <w:rFonts w:ascii="宋体" w:hAnsi="宋体"/>
          <w:smallCaps w:val="0"/>
          <w:color w:val="auto"/>
          <w:sz w:val="24"/>
          <w:szCs w:val="24"/>
          <w:highlight w:val="none"/>
        </w:rPr>
      </w:pPr>
      <w:r>
        <w:rPr>
          <w:color w:val="auto"/>
          <w:highlight w:val="none"/>
        </w:rPr>
        <w:fldChar w:fldCharType="begin"/>
      </w:r>
      <w:r>
        <w:rPr>
          <w:color w:val="auto"/>
          <w:highlight w:val="none"/>
        </w:rPr>
        <w:instrText xml:space="preserve"> HYPERLINK \l "_Toc495996908" </w:instrText>
      </w:r>
      <w:r>
        <w:rPr>
          <w:color w:val="auto"/>
          <w:highlight w:val="none"/>
        </w:rPr>
        <w:fldChar w:fldCharType="separate"/>
      </w:r>
      <w:r>
        <w:rPr>
          <w:rStyle w:val="40"/>
          <w:rFonts w:hint="eastAsia" w:ascii="宋体" w:hAnsi="宋体"/>
          <w:b/>
          <w:color w:val="auto"/>
          <w:sz w:val="24"/>
          <w:szCs w:val="24"/>
          <w:highlight w:val="none"/>
        </w:rPr>
        <w:t>一</w:t>
      </w:r>
      <w:r>
        <w:rPr>
          <w:rStyle w:val="40"/>
          <w:rFonts w:ascii="宋体" w:hAnsi="宋体"/>
          <w:b/>
          <w:color w:val="auto"/>
          <w:sz w:val="24"/>
          <w:szCs w:val="24"/>
          <w:highlight w:val="none"/>
        </w:rPr>
        <w:t xml:space="preserve">    </w:t>
      </w:r>
      <w:r>
        <w:rPr>
          <w:rStyle w:val="40"/>
          <w:rFonts w:hint="eastAsia" w:ascii="宋体" w:hAnsi="宋体"/>
          <w:b/>
          <w:color w:val="auto"/>
          <w:sz w:val="24"/>
          <w:szCs w:val="24"/>
          <w:highlight w:val="none"/>
        </w:rPr>
        <w:t>总</w:t>
      </w:r>
      <w:r>
        <w:rPr>
          <w:rStyle w:val="40"/>
          <w:rFonts w:ascii="宋体" w:hAnsi="宋体"/>
          <w:b/>
          <w:color w:val="auto"/>
          <w:sz w:val="24"/>
          <w:szCs w:val="24"/>
          <w:highlight w:val="none"/>
        </w:rPr>
        <w:t xml:space="preserve">  </w:t>
      </w:r>
      <w:r>
        <w:rPr>
          <w:rStyle w:val="40"/>
          <w:rFonts w:hint="eastAsia" w:ascii="宋体" w:hAnsi="宋体"/>
          <w:b/>
          <w:color w:val="auto"/>
          <w:sz w:val="24"/>
          <w:szCs w:val="24"/>
          <w:highlight w:val="none"/>
        </w:rPr>
        <w:t>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_Toc495996908 \h </w:instrText>
      </w:r>
      <w:r>
        <w:rPr>
          <w:rFonts w:ascii="宋体" w:hAnsi="宋体"/>
          <w:color w:val="auto"/>
          <w:sz w:val="24"/>
          <w:szCs w:val="24"/>
          <w:highlight w:val="none"/>
        </w:rPr>
        <w:fldChar w:fldCharType="separate"/>
      </w:r>
      <w:r>
        <w:rPr>
          <w:rFonts w:ascii="宋体" w:hAnsi="宋体"/>
          <w:color w:val="auto"/>
          <w:sz w:val="24"/>
          <w:szCs w:val="24"/>
          <w:highlight w:val="none"/>
        </w:rPr>
        <w:t>46</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7"/>
        <w:spacing w:line="480" w:lineRule="auto"/>
        <w:rPr>
          <w:rFonts w:ascii="宋体" w:hAnsi="宋体"/>
          <w:smallCaps w:val="0"/>
          <w:color w:val="auto"/>
          <w:sz w:val="24"/>
          <w:szCs w:val="24"/>
          <w:highlight w:val="none"/>
        </w:rPr>
      </w:pPr>
      <w:r>
        <w:rPr>
          <w:color w:val="auto"/>
          <w:highlight w:val="none"/>
        </w:rPr>
        <w:fldChar w:fldCharType="begin"/>
      </w:r>
      <w:r>
        <w:rPr>
          <w:color w:val="auto"/>
          <w:highlight w:val="none"/>
        </w:rPr>
        <w:instrText xml:space="preserve"> HYPERLINK \l "_Toc495996909" </w:instrText>
      </w:r>
      <w:r>
        <w:rPr>
          <w:color w:val="auto"/>
          <w:highlight w:val="none"/>
        </w:rPr>
        <w:fldChar w:fldCharType="separate"/>
      </w:r>
      <w:r>
        <w:rPr>
          <w:rStyle w:val="40"/>
          <w:rFonts w:hint="eastAsia" w:ascii="宋体" w:hAnsi="宋体"/>
          <w:b/>
          <w:color w:val="auto"/>
          <w:sz w:val="24"/>
          <w:szCs w:val="24"/>
          <w:highlight w:val="none"/>
        </w:rPr>
        <w:t>二</w:t>
      </w:r>
      <w:r>
        <w:rPr>
          <w:rStyle w:val="40"/>
          <w:rFonts w:ascii="宋体" w:hAnsi="宋体"/>
          <w:b/>
          <w:color w:val="auto"/>
          <w:sz w:val="24"/>
          <w:szCs w:val="24"/>
          <w:highlight w:val="none"/>
        </w:rPr>
        <w:t xml:space="preserve">    </w:t>
      </w:r>
      <w:r>
        <w:rPr>
          <w:rStyle w:val="40"/>
          <w:rFonts w:hint="eastAsia" w:ascii="宋体" w:hAnsi="宋体"/>
          <w:b/>
          <w:color w:val="auto"/>
          <w:sz w:val="24"/>
          <w:szCs w:val="24"/>
          <w:highlight w:val="none"/>
        </w:rPr>
        <w:t>公开招标文件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_Toc495996909 \h </w:instrText>
      </w:r>
      <w:r>
        <w:rPr>
          <w:rFonts w:ascii="宋体" w:hAnsi="宋体"/>
          <w:color w:val="auto"/>
          <w:sz w:val="24"/>
          <w:szCs w:val="24"/>
          <w:highlight w:val="none"/>
        </w:rPr>
        <w:fldChar w:fldCharType="separate"/>
      </w:r>
      <w:r>
        <w:rPr>
          <w:rFonts w:ascii="宋体" w:hAnsi="宋体"/>
          <w:color w:val="auto"/>
          <w:sz w:val="24"/>
          <w:szCs w:val="24"/>
          <w:highlight w:val="none"/>
        </w:rPr>
        <w:t>49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7"/>
        <w:spacing w:line="480" w:lineRule="auto"/>
        <w:rPr>
          <w:rFonts w:ascii="宋体" w:hAnsi="宋体"/>
          <w:smallCaps w:val="0"/>
          <w:color w:val="auto"/>
          <w:sz w:val="24"/>
          <w:szCs w:val="24"/>
          <w:highlight w:val="none"/>
        </w:rPr>
      </w:pPr>
      <w:r>
        <w:rPr>
          <w:color w:val="auto"/>
          <w:highlight w:val="none"/>
        </w:rPr>
        <w:fldChar w:fldCharType="begin"/>
      </w:r>
      <w:r>
        <w:rPr>
          <w:color w:val="auto"/>
          <w:highlight w:val="none"/>
        </w:rPr>
        <w:instrText xml:space="preserve"> HYPERLINK \l "_Toc495996910" </w:instrText>
      </w:r>
      <w:r>
        <w:rPr>
          <w:color w:val="auto"/>
          <w:highlight w:val="none"/>
        </w:rPr>
        <w:fldChar w:fldCharType="separate"/>
      </w:r>
      <w:r>
        <w:rPr>
          <w:rStyle w:val="40"/>
          <w:rFonts w:hint="eastAsia" w:ascii="宋体" w:hAnsi="宋体"/>
          <w:b/>
          <w:color w:val="auto"/>
          <w:sz w:val="24"/>
          <w:szCs w:val="24"/>
          <w:highlight w:val="none"/>
        </w:rPr>
        <w:t>三</w:t>
      </w:r>
      <w:r>
        <w:rPr>
          <w:rStyle w:val="40"/>
          <w:rFonts w:ascii="宋体" w:hAnsi="宋体"/>
          <w:b/>
          <w:color w:val="auto"/>
          <w:sz w:val="24"/>
          <w:szCs w:val="24"/>
          <w:highlight w:val="none"/>
        </w:rPr>
        <w:t xml:space="preserve">    </w:t>
      </w:r>
      <w:r>
        <w:rPr>
          <w:rStyle w:val="40"/>
          <w:rFonts w:hint="eastAsia" w:ascii="宋体" w:hAnsi="宋体"/>
          <w:b/>
          <w:color w:val="auto"/>
          <w:sz w:val="24"/>
          <w:szCs w:val="24"/>
          <w:highlight w:val="none"/>
        </w:rPr>
        <w:t>投标文件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_Toc495996910 \h </w:instrText>
      </w:r>
      <w:r>
        <w:rPr>
          <w:rFonts w:ascii="宋体" w:hAnsi="宋体"/>
          <w:color w:val="auto"/>
          <w:sz w:val="24"/>
          <w:szCs w:val="24"/>
          <w:highlight w:val="none"/>
        </w:rPr>
        <w:fldChar w:fldCharType="separate"/>
      </w:r>
      <w:r>
        <w:rPr>
          <w:rFonts w:ascii="宋体" w:hAnsi="宋体"/>
          <w:color w:val="auto"/>
          <w:sz w:val="24"/>
          <w:szCs w:val="24"/>
          <w:highlight w:val="none"/>
        </w:rPr>
        <w:t>50</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7"/>
        <w:spacing w:line="480" w:lineRule="auto"/>
        <w:rPr>
          <w:rFonts w:ascii="宋体" w:hAnsi="宋体"/>
          <w:smallCaps w:val="0"/>
          <w:color w:val="auto"/>
          <w:sz w:val="24"/>
          <w:szCs w:val="24"/>
          <w:highlight w:val="none"/>
        </w:rPr>
      </w:pPr>
      <w:r>
        <w:rPr>
          <w:color w:val="auto"/>
          <w:highlight w:val="none"/>
        </w:rPr>
        <w:fldChar w:fldCharType="begin"/>
      </w:r>
      <w:r>
        <w:rPr>
          <w:color w:val="auto"/>
          <w:highlight w:val="none"/>
        </w:rPr>
        <w:instrText xml:space="preserve"> HYPERLINK \l "_Toc495996911" </w:instrText>
      </w:r>
      <w:r>
        <w:rPr>
          <w:color w:val="auto"/>
          <w:highlight w:val="none"/>
        </w:rPr>
        <w:fldChar w:fldCharType="separate"/>
      </w:r>
      <w:r>
        <w:rPr>
          <w:rStyle w:val="40"/>
          <w:rFonts w:hint="eastAsia" w:ascii="宋体" w:hAnsi="宋体"/>
          <w:b/>
          <w:color w:val="auto"/>
          <w:sz w:val="24"/>
          <w:szCs w:val="24"/>
          <w:highlight w:val="none"/>
        </w:rPr>
        <w:t>四</w:t>
      </w:r>
      <w:r>
        <w:rPr>
          <w:rStyle w:val="40"/>
          <w:rFonts w:ascii="宋体" w:hAnsi="宋体"/>
          <w:b/>
          <w:color w:val="auto"/>
          <w:sz w:val="24"/>
          <w:szCs w:val="24"/>
          <w:highlight w:val="none"/>
        </w:rPr>
        <w:t xml:space="preserve">    </w:t>
      </w:r>
      <w:r>
        <w:rPr>
          <w:rStyle w:val="40"/>
          <w:rFonts w:hint="eastAsia" w:ascii="宋体" w:hAnsi="宋体"/>
          <w:b/>
          <w:color w:val="auto"/>
          <w:sz w:val="24"/>
          <w:szCs w:val="24"/>
          <w:highlight w:val="none"/>
        </w:rPr>
        <w:t>投标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_Toc495996911 \h </w:instrText>
      </w:r>
      <w:r>
        <w:rPr>
          <w:rFonts w:ascii="宋体" w:hAnsi="宋体"/>
          <w:color w:val="auto"/>
          <w:sz w:val="24"/>
          <w:szCs w:val="24"/>
          <w:highlight w:val="none"/>
        </w:rPr>
        <w:fldChar w:fldCharType="separate"/>
      </w:r>
      <w:r>
        <w:rPr>
          <w:rFonts w:ascii="宋体" w:hAnsi="宋体"/>
          <w:color w:val="auto"/>
          <w:sz w:val="24"/>
          <w:szCs w:val="24"/>
          <w:highlight w:val="none"/>
        </w:rPr>
        <w:t>53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7"/>
        <w:spacing w:line="480" w:lineRule="auto"/>
        <w:rPr>
          <w:rFonts w:ascii="宋体" w:hAnsi="宋体"/>
          <w:smallCaps w:val="0"/>
          <w:color w:val="auto"/>
          <w:sz w:val="24"/>
          <w:szCs w:val="24"/>
          <w:highlight w:val="none"/>
        </w:rPr>
      </w:pPr>
      <w:r>
        <w:rPr>
          <w:color w:val="auto"/>
          <w:highlight w:val="none"/>
        </w:rPr>
        <w:fldChar w:fldCharType="begin"/>
      </w:r>
      <w:r>
        <w:rPr>
          <w:color w:val="auto"/>
          <w:highlight w:val="none"/>
        </w:rPr>
        <w:instrText xml:space="preserve"> HYPERLINK \l "_Toc495996912" </w:instrText>
      </w:r>
      <w:r>
        <w:rPr>
          <w:color w:val="auto"/>
          <w:highlight w:val="none"/>
        </w:rPr>
        <w:fldChar w:fldCharType="separate"/>
      </w:r>
      <w:r>
        <w:rPr>
          <w:rStyle w:val="40"/>
          <w:rFonts w:hint="eastAsia" w:ascii="宋体" w:hAnsi="宋体"/>
          <w:b/>
          <w:color w:val="auto"/>
          <w:sz w:val="24"/>
          <w:szCs w:val="24"/>
          <w:highlight w:val="none"/>
        </w:rPr>
        <w:t>五</w:t>
      </w:r>
      <w:r>
        <w:rPr>
          <w:rStyle w:val="40"/>
          <w:rFonts w:ascii="宋体" w:hAnsi="宋体"/>
          <w:b/>
          <w:color w:val="auto"/>
          <w:sz w:val="24"/>
          <w:szCs w:val="24"/>
          <w:highlight w:val="none"/>
        </w:rPr>
        <w:t xml:space="preserve">    </w:t>
      </w:r>
      <w:r>
        <w:rPr>
          <w:rStyle w:val="40"/>
          <w:rFonts w:hint="eastAsia" w:ascii="宋体" w:hAnsi="宋体"/>
          <w:b/>
          <w:color w:val="auto"/>
          <w:sz w:val="24"/>
          <w:szCs w:val="24"/>
          <w:highlight w:val="none"/>
        </w:rPr>
        <w:t>开标与评标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_Toc495996912 \h </w:instrText>
      </w:r>
      <w:r>
        <w:rPr>
          <w:rFonts w:ascii="宋体" w:hAnsi="宋体"/>
          <w:color w:val="auto"/>
          <w:sz w:val="24"/>
          <w:szCs w:val="24"/>
          <w:highlight w:val="none"/>
        </w:rPr>
        <w:fldChar w:fldCharType="separate"/>
      </w:r>
      <w:r>
        <w:rPr>
          <w:rFonts w:ascii="宋体" w:hAnsi="宋体"/>
          <w:color w:val="auto"/>
          <w:sz w:val="24"/>
          <w:szCs w:val="24"/>
          <w:highlight w:val="none"/>
        </w:rPr>
        <w:t>53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7"/>
        <w:spacing w:line="480" w:lineRule="auto"/>
        <w:rPr>
          <w:rFonts w:ascii="宋体" w:hAnsi="宋体"/>
          <w:smallCaps w:val="0"/>
          <w:color w:val="auto"/>
          <w:sz w:val="24"/>
          <w:szCs w:val="24"/>
          <w:highlight w:val="none"/>
        </w:rPr>
      </w:pPr>
      <w:r>
        <w:rPr>
          <w:color w:val="auto"/>
          <w:highlight w:val="none"/>
        </w:rPr>
        <w:fldChar w:fldCharType="begin"/>
      </w:r>
      <w:r>
        <w:rPr>
          <w:color w:val="auto"/>
          <w:highlight w:val="none"/>
        </w:rPr>
        <w:instrText xml:space="preserve"> HYPERLINK \l "_Toc495996913" </w:instrText>
      </w:r>
      <w:r>
        <w:rPr>
          <w:color w:val="auto"/>
          <w:highlight w:val="none"/>
        </w:rPr>
        <w:fldChar w:fldCharType="separate"/>
      </w:r>
      <w:r>
        <w:rPr>
          <w:rStyle w:val="40"/>
          <w:rFonts w:hint="eastAsia" w:ascii="宋体" w:hAnsi="宋体"/>
          <w:b/>
          <w:color w:val="auto"/>
          <w:sz w:val="24"/>
          <w:szCs w:val="24"/>
          <w:highlight w:val="none"/>
        </w:rPr>
        <w:t>六</w:t>
      </w:r>
      <w:r>
        <w:rPr>
          <w:rStyle w:val="40"/>
          <w:rFonts w:ascii="宋体" w:hAnsi="宋体"/>
          <w:b/>
          <w:color w:val="auto"/>
          <w:sz w:val="24"/>
          <w:szCs w:val="24"/>
          <w:highlight w:val="none"/>
        </w:rPr>
        <w:t xml:space="preserve">    </w:t>
      </w:r>
      <w:r>
        <w:rPr>
          <w:rStyle w:val="40"/>
          <w:rFonts w:hint="eastAsia" w:ascii="宋体" w:hAnsi="宋体"/>
          <w:b/>
          <w:color w:val="auto"/>
          <w:sz w:val="24"/>
          <w:szCs w:val="24"/>
          <w:highlight w:val="none"/>
        </w:rPr>
        <w:t>合同授予</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_Toc495996913 \h </w:instrText>
      </w:r>
      <w:r>
        <w:rPr>
          <w:rFonts w:ascii="宋体" w:hAnsi="宋体"/>
          <w:color w:val="auto"/>
          <w:sz w:val="24"/>
          <w:szCs w:val="24"/>
          <w:highlight w:val="none"/>
        </w:rPr>
        <w:fldChar w:fldCharType="separate"/>
      </w:r>
      <w:r>
        <w:rPr>
          <w:rFonts w:ascii="宋体" w:hAnsi="宋体"/>
          <w:color w:val="auto"/>
          <w:sz w:val="24"/>
          <w:szCs w:val="24"/>
          <w:highlight w:val="none"/>
        </w:rPr>
        <w:t>58</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7"/>
        <w:spacing w:line="480" w:lineRule="auto"/>
        <w:rPr>
          <w:rFonts w:ascii="宋体" w:hAnsi="宋体"/>
          <w:smallCaps w:val="0"/>
          <w:color w:val="auto"/>
          <w:sz w:val="24"/>
          <w:szCs w:val="24"/>
          <w:highlight w:val="none"/>
        </w:rPr>
      </w:pPr>
      <w:r>
        <w:rPr>
          <w:color w:val="auto"/>
          <w:highlight w:val="none"/>
        </w:rPr>
        <w:fldChar w:fldCharType="begin"/>
      </w:r>
      <w:r>
        <w:rPr>
          <w:color w:val="auto"/>
          <w:highlight w:val="none"/>
        </w:rPr>
        <w:instrText xml:space="preserve"> HYPERLINK \l "_Toc495996914" </w:instrText>
      </w:r>
      <w:r>
        <w:rPr>
          <w:color w:val="auto"/>
          <w:highlight w:val="none"/>
        </w:rPr>
        <w:fldChar w:fldCharType="separate"/>
      </w:r>
      <w:r>
        <w:rPr>
          <w:rStyle w:val="40"/>
          <w:rFonts w:hint="eastAsia" w:ascii="宋体" w:hAnsi="宋体"/>
          <w:b/>
          <w:color w:val="auto"/>
          <w:sz w:val="24"/>
          <w:szCs w:val="24"/>
          <w:highlight w:val="none"/>
        </w:rPr>
        <w:t>七</w:t>
      </w:r>
      <w:r>
        <w:rPr>
          <w:rStyle w:val="40"/>
          <w:rFonts w:ascii="宋体" w:hAnsi="宋体"/>
          <w:b/>
          <w:color w:val="auto"/>
          <w:sz w:val="24"/>
          <w:szCs w:val="24"/>
          <w:highlight w:val="none"/>
        </w:rPr>
        <w:t xml:space="preserve">    </w:t>
      </w:r>
      <w:r>
        <w:rPr>
          <w:rStyle w:val="40"/>
          <w:rFonts w:hint="eastAsia" w:ascii="宋体" w:hAnsi="宋体"/>
          <w:b/>
          <w:color w:val="auto"/>
          <w:sz w:val="24"/>
          <w:szCs w:val="24"/>
          <w:highlight w:val="none"/>
        </w:rPr>
        <w:t>其他事项</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_Toc495996914 \h </w:instrText>
      </w:r>
      <w:r>
        <w:rPr>
          <w:rFonts w:ascii="宋体" w:hAnsi="宋体"/>
          <w:color w:val="auto"/>
          <w:sz w:val="24"/>
          <w:szCs w:val="24"/>
          <w:highlight w:val="none"/>
        </w:rPr>
        <w:fldChar w:fldCharType="separate"/>
      </w:r>
      <w:r>
        <w:rPr>
          <w:rFonts w:ascii="宋体" w:hAnsi="宋体"/>
          <w:color w:val="auto"/>
          <w:sz w:val="24"/>
          <w:szCs w:val="24"/>
          <w:highlight w:val="none"/>
        </w:rPr>
        <w:t>59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4"/>
        <w:tabs>
          <w:tab w:val="right" w:leader="dot" w:pos="9628"/>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"_Toc495996915" </w:instrText>
      </w:r>
      <w:r>
        <w:rPr>
          <w:color w:val="auto"/>
          <w:highlight w:val="none"/>
        </w:rPr>
        <w:fldChar w:fldCharType="separate"/>
      </w:r>
      <w:r>
        <w:rPr>
          <w:rStyle w:val="40"/>
          <w:rFonts w:hint="eastAsia" w:ascii="宋体" w:hAnsi="宋体"/>
          <w:color w:val="auto"/>
          <w:sz w:val="24"/>
          <w:szCs w:val="24"/>
          <w:highlight w:val="none"/>
        </w:rPr>
        <w:t>第五章</w:t>
      </w:r>
      <w:r>
        <w:rPr>
          <w:rStyle w:val="40"/>
          <w:rFonts w:ascii="宋体" w:hAnsi="宋体"/>
          <w:color w:val="auto"/>
          <w:sz w:val="24"/>
          <w:szCs w:val="24"/>
          <w:highlight w:val="none"/>
        </w:rPr>
        <w:t xml:space="preserve">  </w:t>
      </w:r>
      <w:r>
        <w:rPr>
          <w:rStyle w:val="40"/>
          <w:rFonts w:hint="eastAsia" w:ascii="宋体" w:hAnsi="宋体"/>
          <w:color w:val="auto"/>
          <w:sz w:val="24"/>
          <w:szCs w:val="24"/>
          <w:highlight w:val="none"/>
        </w:rPr>
        <w:t>投标</w:t>
      </w:r>
      <w:bookmarkStart w:id="8" w:name="_Hlt503818241"/>
      <w:bookmarkStart w:id="9" w:name="_Hlt503818242"/>
      <w:r>
        <w:rPr>
          <w:rStyle w:val="40"/>
          <w:rFonts w:hint="eastAsia" w:ascii="宋体" w:hAnsi="宋体"/>
          <w:color w:val="auto"/>
          <w:sz w:val="24"/>
          <w:szCs w:val="24"/>
          <w:highlight w:val="none"/>
        </w:rPr>
        <w:t>文</w:t>
      </w:r>
      <w:bookmarkEnd w:id="8"/>
      <w:bookmarkEnd w:id="9"/>
      <w:r>
        <w:rPr>
          <w:rStyle w:val="40"/>
          <w:rFonts w:hint="eastAsia" w:ascii="宋体" w:hAnsi="宋体"/>
          <w:color w:val="auto"/>
          <w:sz w:val="24"/>
          <w:szCs w:val="24"/>
          <w:highlight w:val="none"/>
        </w:rPr>
        <w:t>件格式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_Toc495996915 \h </w:instrText>
      </w:r>
      <w:r>
        <w:rPr>
          <w:rFonts w:ascii="宋体" w:hAnsi="宋体"/>
          <w:color w:val="auto"/>
          <w:sz w:val="24"/>
          <w:szCs w:val="24"/>
          <w:highlight w:val="none"/>
        </w:rPr>
        <w:fldChar w:fldCharType="separate"/>
      </w:r>
      <w:r>
        <w:rPr>
          <w:rFonts w:ascii="宋体" w:hAnsi="宋体"/>
          <w:color w:val="auto"/>
          <w:sz w:val="24"/>
          <w:szCs w:val="24"/>
          <w:highlight w:val="none"/>
        </w:rPr>
        <w:t>61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pPr>
        <w:pStyle w:val="24"/>
        <w:tabs>
          <w:tab w:val="right" w:leader="dot" w:pos="9628"/>
        </w:tabs>
        <w:spacing w:line="48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"_Toc495996918" </w:instrText>
      </w:r>
      <w:r>
        <w:rPr>
          <w:color w:val="auto"/>
          <w:highlight w:val="none"/>
        </w:rPr>
        <w:fldChar w:fldCharType="separate"/>
      </w:r>
      <w:r>
        <w:rPr>
          <w:rStyle w:val="40"/>
          <w:rFonts w:hint="eastAsia" w:ascii="宋体" w:hAnsi="宋体"/>
          <w:color w:val="auto"/>
          <w:sz w:val="24"/>
          <w:szCs w:val="24"/>
          <w:highlight w:val="none"/>
        </w:rPr>
        <w:t>第六章</w:t>
      </w:r>
      <w:r>
        <w:rPr>
          <w:rStyle w:val="40"/>
          <w:rFonts w:ascii="宋体" w:hAnsi="宋体"/>
          <w:color w:val="auto"/>
          <w:sz w:val="24"/>
          <w:szCs w:val="24"/>
          <w:highlight w:val="none"/>
        </w:rPr>
        <w:t xml:space="preserve">  </w:t>
      </w:r>
      <w:r>
        <w:rPr>
          <w:rStyle w:val="40"/>
          <w:rFonts w:hint="eastAsia" w:ascii="宋体" w:hAnsi="宋体"/>
          <w:color w:val="auto"/>
          <w:sz w:val="24"/>
          <w:szCs w:val="24"/>
          <w:highlight w:val="none"/>
        </w:rPr>
        <w:t>合同条款及格式</w:t>
      </w:r>
      <w:r>
        <w:rPr>
          <w:rFonts w:ascii="宋体" w:hAnsi="宋体"/>
          <w:color w:val="auto"/>
          <w:sz w:val="24"/>
          <w:szCs w:val="24"/>
          <w:highlight w:val="none"/>
        </w:rPr>
        <w:tab/>
      </w:r>
      <w:r>
        <w:rPr>
          <w:rFonts w:ascii="宋体" w:hAnsi="宋体"/>
          <w:color w:val="auto"/>
          <w:sz w:val="24"/>
          <w:szCs w:val="24"/>
          <w:highlight w:val="none"/>
        </w:rPr>
        <w:fldChar w:fldCharType="end"/>
      </w:r>
      <w:r>
        <w:rPr>
          <w:rFonts w:hint="eastAsia" w:ascii="宋体" w:hAnsi="宋体"/>
          <w:color w:val="auto"/>
          <w:sz w:val="24"/>
          <w:szCs w:val="24"/>
          <w:highlight w:val="none"/>
        </w:rPr>
        <w:t>62</w:t>
      </w:r>
    </w:p>
    <w:p>
      <w:pPr>
        <w:pStyle w:val="24"/>
        <w:tabs>
          <w:tab w:val="right" w:leader="dot" w:pos="9638"/>
        </w:tabs>
        <w:spacing w:line="480" w:lineRule="auto"/>
        <w:rPr>
          <w:color w:val="auto"/>
          <w:sz w:val="24"/>
          <w:szCs w:val="24"/>
          <w:highlight w:val="none"/>
        </w:rPr>
      </w:pPr>
      <w:r>
        <w:rPr>
          <w:rFonts w:hint="eastAsia"/>
          <w:color w:val="auto"/>
          <w:sz w:val="24"/>
          <w:szCs w:val="24"/>
          <w:highlight w:val="none"/>
        </w:rPr>
        <w:t>第七章</w:t>
      </w:r>
      <w:r>
        <w:rPr>
          <w:color w:val="auto"/>
          <w:sz w:val="24"/>
          <w:szCs w:val="24"/>
          <w:highlight w:val="none"/>
        </w:rPr>
        <w:t xml:space="preserve">  </w:t>
      </w:r>
      <w:r>
        <w:rPr>
          <w:rFonts w:hint="eastAsia"/>
          <w:color w:val="auto"/>
          <w:sz w:val="24"/>
          <w:szCs w:val="24"/>
          <w:highlight w:val="none"/>
        </w:rPr>
        <w:t>质疑材料格式</w:t>
      </w:r>
      <w:r>
        <w:rPr>
          <w:color w:val="auto"/>
          <w:sz w:val="24"/>
          <w:szCs w:val="24"/>
          <w:highlight w:val="none"/>
        </w:rPr>
        <w:tab/>
      </w:r>
      <w:r>
        <w:rPr>
          <w:rFonts w:hint="eastAsia"/>
          <w:color w:val="auto"/>
          <w:sz w:val="24"/>
          <w:szCs w:val="24"/>
          <w:highlight w:val="none"/>
        </w:rPr>
        <w:t>68</w:t>
      </w:r>
    </w:p>
    <w:p>
      <w:pPr>
        <w:pStyle w:val="18"/>
        <w:spacing w:line="480" w:lineRule="auto"/>
        <w:jc w:val="center"/>
        <w:outlineLvl w:val="0"/>
        <w:rPr>
          <w:rFonts w:hAnsi="宋体"/>
          <w:b/>
          <w:bCs/>
          <w:caps/>
          <w:color w:val="auto"/>
          <w:sz w:val="28"/>
          <w:szCs w:val="28"/>
          <w:highlight w:val="none"/>
        </w:rPr>
      </w:pPr>
      <w:r>
        <w:rPr>
          <w:rFonts w:hAnsi="宋体"/>
          <w:b/>
          <w:bCs/>
          <w:caps/>
          <w:color w:val="auto"/>
          <w:sz w:val="24"/>
          <w:highlight w:val="none"/>
        </w:rPr>
        <w:fldChar w:fldCharType="end"/>
      </w:r>
      <w:bookmarkStart w:id="10" w:name="_Toc213325920"/>
    </w:p>
    <w:p>
      <w:pPr>
        <w:pStyle w:val="18"/>
        <w:jc w:val="center"/>
        <w:outlineLvl w:val="0"/>
        <w:rPr>
          <w:rFonts w:hAnsi="宋体"/>
          <w:b/>
          <w:bCs/>
          <w:caps/>
          <w:color w:val="auto"/>
          <w:sz w:val="28"/>
          <w:szCs w:val="28"/>
          <w:highlight w:val="none"/>
        </w:rPr>
      </w:pPr>
    </w:p>
    <w:p>
      <w:pPr>
        <w:pStyle w:val="18"/>
        <w:jc w:val="center"/>
        <w:outlineLvl w:val="0"/>
        <w:rPr>
          <w:rFonts w:hAnsi="宋体"/>
          <w:b/>
          <w:color w:val="auto"/>
          <w:sz w:val="36"/>
          <w:szCs w:val="36"/>
          <w:highlight w:val="none"/>
        </w:rPr>
      </w:pPr>
      <w:bookmarkStart w:id="11" w:name="_Toc495996892"/>
      <w:r>
        <w:rPr>
          <w:rFonts w:ascii="Times New Roman" w:hAnsi="Times New Roman"/>
          <w:b/>
          <w:color w:val="auto"/>
          <w:sz w:val="36"/>
          <w:highlight w:val="none"/>
        </w:rPr>
        <w:br w:type="page"/>
      </w:r>
      <w:r>
        <w:rPr>
          <w:rFonts w:hint="eastAsia" w:ascii="Times New Roman" w:hAnsi="Times New Roman"/>
          <w:b/>
          <w:color w:val="auto"/>
          <w:sz w:val="36"/>
          <w:highlight w:val="none"/>
        </w:rPr>
        <w:t>第一章  招标公告</w:t>
      </w:r>
      <w:bookmarkEnd w:id="0"/>
      <w:bookmarkEnd w:id="1"/>
      <w:bookmarkEnd w:id="2"/>
      <w:bookmarkEnd w:id="10"/>
      <w:bookmarkEnd w:id="11"/>
    </w:p>
    <w:p>
      <w:pPr>
        <w:pBdr>
          <w:top w:val="single" w:color="auto" w:sz="4" w:space="1"/>
          <w:left w:val="single" w:color="auto" w:sz="4" w:space="4"/>
          <w:bottom w:val="single" w:color="auto" w:sz="4" w:space="12"/>
          <w:right w:val="single" w:color="auto" w:sz="4" w:space="4"/>
        </w:pBdr>
        <w:spacing w:line="32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项目概况</w:t>
      </w:r>
    </w:p>
    <w:p>
      <w:pPr>
        <w:pBdr>
          <w:top w:val="single" w:color="auto" w:sz="4" w:space="1"/>
          <w:left w:val="single" w:color="auto" w:sz="4" w:space="4"/>
          <w:bottom w:val="single" w:color="auto" w:sz="4" w:space="12"/>
          <w:right w:val="single" w:color="auto" w:sz="4" w:space="4"/>
        </w:pBdr>
        <w:spacing w:line="320" w:lineRule="exact"/>
        <w:ind w:firstLine="420" w:firstLineChars="200"/>
        <w:rPr>
          <w:rFonts w:ascii="宋体" w:hAnsi="宋体"/>
          <w:b/>
          <w:i/>
          <w:iCs/>
          <w:color w:val="auto"/>
          <w:szCs w:val="21"/>
          <w:highlight w:val="none"/>
          <w:u w:val="single"/>
        </w:rPr>
      </w:pPr>
      <w:r>
        <w:rPr>
          <w:rFonts w:hint="eastAsia" w:ascii="宋体" w:hAnsi="宋体"/>
          <w:color w:val="auto"/>
          <w:szCs w:val="21"/>
          <w:highlight w:val="none"/>
          <w:u w:val="single"/>
          <w:lang w:eastAsia="zh-CN"/>
        </w:rPr>
        <w:t>南宁职业技术学院软件技术专业群2020年度“双高”课程资源建设采购</w:t>
      </w:r>
      <w:r>
        <w:rPr>
          <w:rFonts w:hint="eastAsia" w:ascii="宋体" w:hAnsi="宋体"/>
          <w:color w:val="auto"/>
          <w:szCs w:val="21"/>
          <w:highlight w:val="none"/>
        </w:rPr>
        <w:t>招标项目的潜在投标人应在</w:t>
      </w:r>
      <w:r>
        <w:rPr>
          <w:rFonts w:ascii="宋体" w:hAnsi="宋体"/>
          <w:color w:val="auto"/>
          <w:szCs w:val="21"/>
          <w:highlight w:val="none"/>
          <w:u w:val="single"/>
        </w:rPr>
        <w:t>南宁市公共资源交易中心网上</w:t>
      </w:r>
      <w:r>
        <w:rPr>
          <w:rFonts w:hint="eastAsia" w:ascii="宋体" w:hAnsi="宋体"/>
          <w:color w:val="auto"/>
          <w:szCs w:val="21"/>
          <w:highlight w:val="none"/>
          <w:u w:val="single"/>
        </w:rPr>
        <w:t>自行</w:t>
      </w:r>
      <w:r>
        <w:rPr>
          <w:rFonts w:ascii="宋体" w:hAnsi="宋体"/>
          <w:color w:val="auto"/>
          <w:szCs w:val="21"/>
          <w:highlight w:val="none"/>
          <w:u w:val="single"/>
        </w:rPr>
        <w:t>下载</w:t>
      </w:r>
      <w:r>
        <w:rPr>
          <w:rFonts w:hint="eastAsia" w:ascii="宋体" w:hAnsi="宋体"/>
          <w:color w:val="auto"/>
          <w:szCs w:val="21"/>
          <w:highlight w:val="none"/>
        </w:rPr>
        <w:t>获取招标文件，并于</w:t>
      </w:r>
      <w:r>
        <w:rPr>
          <w:rFonts w:hint="eastAsia" w:ascii="宋体" w:hAnsi="宋体"/>
          <w:color w:val="auto"/>
          <w:szCs w:val="21"/>
          <w:highlight w:val="none"/>
          <w:u w:val="single"/>
        </w:rPr>
        <w:t>2020</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u w:val="single"/>
        </w:rPr>
        <w:t>日09 时30分（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pPr>
        <w:spacing w:line="500" w:lineRule="exact"/>
        <w:ind w:firstLine="422"/>
        <w:rPr>
          <w:rFonts w:ascii="宋体" w:hAnsi="宋体" w:cs="Arial"/>
          <w:b/>
          <w:color w:val="auto"/>
          <w:kern w:val="1"/>
          <w:szCs w:val="21"/>
          <w:highlight w:val="none"/>
        </w:rPr>
      </w:pPr>
      <w:bookmarkStart w:id="12" w:name="_Toc28359079"/>
      <w:bookmarkStart w:id="13" w:name="_Toc35393621"/>
      <w:bookmarkStart w:id="14" w:name="_Toc35393790"/>
      <w:bookmarkStart w:id="15" w:name="_Toc28359002"/>
      <w:bookmarkStart w:id="16" w:name="_Toc44405601"/>
      <w:bookmarkStart w:id="17" w:name="_Hlk24379207"/>
      <w:r>
        <w:rPr>
          <w:rFonts w:hint="eastAsia" w:ascii="宋体" w:hAnsi="宋体" w:cs="Arial"/>
          <w:b/>
          <w:color w:val="auto"/>
          <w:kern w:val="1"/>
          <w:szCs w:val="21"/>
          <w:highlight w:val="none"/>
        </w:rPr>
        <w:t>一、项目基本情况</w:t>
      </w:r>
      <w:bookmarkEnd w:id="12"/>
      <w:bookmarkEnd w:id="13"/>
      <w:bookmarkEnd w:id="14"/>
      <w:bookmarkEnd w:id="15"/>
      <w:bookmarkEnd w:id="16"/>
    </w:p>
    <w:p>
      <w:pPr>
        <w:spacing w:line="500" w:lineRule="exact"/>
        <w:ind w:firstLine="422"/>
        <w:rPr>
          <w:rFonts w:ascii="宋体" w:hAnsi="宋体" w:cs="Arial"/>
          <w:bCs/>
          <w:color w:val="auto"/>
          <w:kern w:val="1"/>
          <w:szCs w:val="21"/>
          <w:highlight w:val="none"/>
        </w:rPr>
      </w:pPr>
      <w:r>
        <w:rPr>
          <w:rFonts w:hint="eastAsia" w:ascii="宋体" w:hAnsi="宋体" w:cs="Arial"/>
          <w:b/>
          <w:color w:val="auto"/>
          <w:kern w:val="1"/>
          <w:szCs w:val="21"/>
          <w:highlight w:val="none"/>
        </w:rPr>
        <w:t>项目编号：NNZC2020-G3-990494-ZXGJ</w:t>
      </w:r>
    </w:p>
    <w:p>
      <w:pPr>
        <w:spacing w:line="500" w:lineRule="exact"/>
        <w:ind w:firstLine="422" w:firstLineChars="200"/>
        <w:rPr>
          <w:rFonts w:ascii="宋体" w:hAnsi="宋体" w:cs="Arial"/>
          <w:b/>
          <w:bCs/>
          <w:color w:val="auto"/>
          <w:kern w:val="1"/>
          <w:szCs w:val="21"/>
          <w:highlight w:val="none"/>
        </w:rPr>
      </w:pPr>
      <w:r>
        <w:rPr>
          <w:rFonts w:ascii="宋体" w:hAnsi="宋体" w:cs="Arial"/>
          <w:b/>
          <w:bCs/>
          <w:color w:val="auto"/>
          <w:kern w:val="1"/>
          <w:szCs w:val="21"/>
          <w:highlight w:val="none"/>
        </w:rPr>
        <w:t>审批编号：</w:t>
      </w:r>
      <w:r>
        <w:rPr>
          <w:rFonts w:hint="eastAsia" w:ascii="宋体" w:hAnsi="宋体" w:cs="Arial"/>
          <w:b/>
          <w:bCs/>
          <w:color w:val="auto"/>
          <w:kern w:val="1"/>
          <w:szCs w:val="21"/>
          <w:highlight w:val="none"/>
        </w:rPr>
        <w:t>[2020]NCCJW760</w:t>
      </w:r>
    </w:p>
    <w:p>
      <w:pPr>
        <w:spacing w:line="50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项目名称：南宁职业技术学院软件技术专业群2020年度“双高”课程资源建设采购</w:t>
      </w:r>
    </w:p>
    <w:bookmarkEnd w:id="17"/>
    <w:p>
      <w:pPr>
        <w:spacing w:line="500" w:lineRule="exact"/>
        <w:ind w:firstLine="422"/>
        <w:rPr>
          <w:rFonts w:hint="eastAsia" w:ascii="宋体" w:hAnsi="宋体" w:cs="Arial"/>
          <w:b/>
          <w:bCs/>
          <w:color w:val="auto"/>
          <w:kern w:val="1"/>
          <w:szCs w:val="21"/>
          <w:highlight w:val="none"/>
        </w:rPr>
      </w:pPr>
      <w:r>
        <w:rPr>
          <w:rFonts w:hint="eastAsia" w:ascii="宋体" w:hAnsi="宋体" w:cs="Arial"/>
          <w:b/>
          <w:color w:val="auto"/>
          <w:kern w:val="1"/>
          <w:szCs w:val="21"/>
          <w:highlight w:val="none"/>
        </w:rPr>
        <w:t>预算金额：A</w:t>
      </w:r>
      <w:r>
        <w:rPr>
          <w:rFonts w:hint="eastAsia" w:ascii="宋体" w:hAnsi="宋体" w:cs="Arial"/>
          <w:b/>
          <w:bCs/>
          <w:color w:val="auto"/>
          <w:kern w:val="1"/>
          <w:szCs w:val="21"/>
          <w:highlight w:val="none"/>
        </w:rPr>
        <w:t>分标：人工智能技术服务专业课程资源建设采购</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叁拾陆万元整（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eastAsia="zh-CN"/>
        </w:rPr>
        <w:t>360000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rPr>
        <w:t>；</w:t>
      </w:r>
    </w:p>
    <w:p>
      <w:pPr>
        <w:spacing w:line="500" w:lineRule="exact"/>
        <w:ind w:firstLine="1476" w:firstLineChars="700"/>
        <w:rPr>
          <w:rFonts w:ascii="宋体" w:hAnsi="宋体" w:cs="Arial"/>
          <w:b/>
          <w:bCs/>
          <w:color w:val="auto"/>
          <w:kern w:val="1"/>
          <w:szCs w:val="21"/>
          <w:highlight w:val="none"/>
        </w:rPr>
      </w:pPr>
      <w:r>
        <w:rPr>
          <w:rFonts w:hint="eastAsia" w:ascii="宋体" w:hAnsi="宋体" w:cs="Arial"/>
          <w:b/>
          <w:bCs/>
          <w:color w:val="auto"/>
          <w:kern w:val="1"/>
          <w:szCs w:val="21"/>
          <w:highlight w:val="none"/>
        </w:rPr>
        <w:t>B分标：Hadoop大数据平台运维国际化课程包采购</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陆万元整（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eastAsia="zh-CN"/>
        </w:rPr>
        <w:t>60000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rPr>
        <w:t>；</w:t>
      </w:r>
    </w:p>
    <w:p>
      <w:pPr>
        <w:spacing w:line="500" w:lineRule="exact"/>
        <w:ind w:firstLine="1476" w:firstLineChars="700"/>
        <w:rPr>
          <w:rFonts w:hint="default" w:ascii="宋体" w:hAnsi="宋体" w:cs="Arial"/>
          <w:b/>
          <w:bCs/>
          <w:color w:val="auto"/>
          <w:kern w:val="1"/>
          <w:szCs w:val="21"/>
          <w:highlight w:val="none"/>
          <w:lang w:val="en-US" w:eastAsia="zh-CN"/>
        </w:rPr>
      </w:pPr>
      <w:r>
        <w:rPr>
          <w:rFonts w:hint="eastAsia" w:ascii="宋体" w:hAnsi="宋体" w:cs="Arial"/>
          <w:b/>
          <w:bCs/>
          <w:color w:val="auto"/>
          <w:kern w:val="1"/>
          <w:szCs w:val="21"/>
          <w:highlight w:val="none"/>
        </w:rPr>
        <w:t>C分标：Web前端开发1+X课证一体课程项目采购</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壹拾万零伍仟元整</w:t>
      </w:r>
      <w:r>
        <w:rPr>
          <w:rFonts w:hint="eastAsia" w:ascii="宋体" w:hAnsi="宋体" w:cs="Arial"/>
          <w:b/>
          <w:bCs/>
          <w:color w:val="auto"/>
          <w:kern w:val="1"/>
          <w:szCs w:val="21"/>
          <w:highlight w:val="none"/>
          <w:lang w:eastAsia="zh-CN"/>
        </w:rPr>
        <w:t>（</w:t>
      </w:r>
      <w:r>
        <w:rPr>
          <w:rFonts w:hint="eastAsia" w:ascii="宋体" w:hAnsi="宋体" w:eastAsia="宋体" w:cs="宋体"/>
          <w:b/>
          <w:bCs/>
          <w:color w:val="auto"/>
          <w:kern w:val="1"/>
          <w:szCs w:val="21"/>
          <w:highlight w:val="none"/>
          <w:lang w:eastAsia="zh-CN"/>
        </w:rPr>
        <w:t>￥</w:t>
      </w:r>
      <w:r>
        <w:rPr>
          <w:rFonts w:hint="eastAsia" w:ascii="宋体" w:hAnsi="宋体" w:cs="Arial"/>
          <w:b/>
          <w:bCs/>
          <w:color w:val="auto"/>
          <w:kern w:val="1"/>
          <w:szCs w:val="21"/>
          <w:highlight w:val="none"/>
          <w:lang w:eastAsia="zh-CN"/>
        </w:rPr>
        <w:t>105000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w:t>
      </w:r>
    </w:p>
    <w:p>
      <w:pPr>
        <w:spacing w:line="500" w:lineRule="exact"/>
        <w:ind w:firstLine="422"/>
        <w:rPr>
          <w:rFonts w:hint="eastAsia" w:ascii="宋体" w:hAnsi="宋体" w:cs="Arial"/>
          <w:b/>
          <w:bCs/>
          <w:color w:val="auto"/>
          <w:kern w:val="1"/>
          <w:szCs w:val="21"/>
          <w:highlight w:val="none"/>
          <w:lang w:val="en-US" w:eastAsia="zh-CN"/>
        </w:rPr>
      </w:pPr>
      <w:r>
        <w:rPr>
          <w:rFonts w:hint="eastAsia" w:ascii="宋体" w:hAnsi="宋体" w:cs="Arial"/>
          <w:b/>
          <w:bCs/>
          <w:color w:val="auto"/>
          <w:kern w:val="1"/>
          <w:szCs w:val="21"/>
          <w:highlight w:val="none"/>
          <w:lang w:val="en-US" w:eastAsia="zh-CN"/>
        </w:rPr>
        <w:t xml:space="preserve">    </w:t>
      </w:r>
      <w:r>
        <w:rPr>
          <w:rFonts w:hint="eastAsia" w:ascii="宋体" w:hAnsi="宋体" w:eastAsia="宋体" w:cs="Arial"/>
          <w:b/>
          <w:bCs/>
          <w:color w:val="auto"/>
          <w:kern w:val="1"/>
          <w:sz w:val="21"/>
          <w:szCs w:val="21"/>
          <w:highlight w:val="none"/>
          <w:lang w:val="en-US" w:eastAsia="zh-CN" w:bidi="ar-SA"/>
        </w:rPr>
        <w:t xml:space="preserve">      D</w:t>
      </w:r>
      <w:r>
        <w:rPr>
          <w:rFonts w:hint="eastAsia" w:ascii="宋体" w:hAnsi="宋体" w:cs="Arial"/>
          <w:b/>
          <w:bCs/>
          <w:color w:val="auto"/>
          <w:kern w:val="1"/>
          <w:szCs w:val="21"/>
          <w:highlight w:val="none"/>
          <w:lang w:val="en-US" w:eastAsia="zh-CN"/>
        </w:rPr>
        <w:t>分标：计算机网络与信息安全专业课程包采购，贰拾贰万伍仟元整（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val="en-US" w:eastAsia="zh-CN"/>
        </w:rPr>
        <w:t xml:space="preserve">225000.00 ）；      </w:t>
      </w:r>
    </w:p>
    <w:p>
      <w:pPr>
        <w:spacing w:line="500" w:lineRule="exact"/>
        <w:ind w:firstLine="1476" w:firstLineChars="700"/>
        <w:rPr>
          <w:rFonts w:hint="default" w:ascii="宋体" w:hAnsi="宋体" w:cs="Arial"/>
          <w:b/>
          <w:bCs/>
          <w:color w:val="auto"/>
          <w:kern w:val="1"/>
          <w:szCs w:val="21"/>
          <w:highlight w:val="none"/>
          <w:lang w:val="en-US" w:eastAsia="zh-CN"/>
        </w:rPr>
      </w:pPr>
      <w:r>
        <w:rPr>
          <w:rFonts w:hint="eastAsia" w:ascii="宋体" w:hAnsi="宋体" w:cs="Arial"/>
          <w:b/>
          <w:bCs/>
          <w:color w:val="auto"/>
          <w:kern w:val="1"/>
          <w:szCs w:val="21"/>
          <w:highlight w:val="none"/>
          <w:lang w:val="en-US" w:eastAsia="zh-CN"/>
        </w:rPr>
        <w:t>E分标：移动通信技术专业精品课程教学资源建设,壹拾万元整（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val="en-US" w:eastAsia="zh-CN"/>
        </w:rPr>
        <w:t>100000.00）</w:t>
      </w:r>
    </w:p>
    <w:p>
      <w:pPr>
        <w:spacing w:line="500" w:lineRule="exact"/>
        <w:ind w:firstLine="422"/>
        <w:rPr>
          <w:rFonts w:hint="eastAsia" w:ascii="宋体" w:hAnsi="宋体" w:cs="Arial"/>
          <w:b/>
          <w:bCs/>
          <w:color w:val="auto"/>
          <w:kern w:val="1"/>
          <w:szCs w:val="21"/>
          <w:highlight w:val="none"/>
        </w:rPr>
      </w:pPr>
      <w:r>
        <w:rPr>
          <w:rFonts w:hint="eastAsia" w:ascii="宋体" w:hAnsi="宋体" w:cs="Arial"/>
          <w:b/>
          <w:color w:val="auto"/>
          <w:kern w:val="1"/>
          <w:szCs w:val="21"/>
          <w:highlight w:val="none"/>
        </w:rPr>
        <w:t>最高限价：A</w:t>
      </w:r>
      <w:r>
        <w:rPr>
          <w:rFonts w:hint="eastAsia" w:ascii="宋体" w:hAnsi="宋体" w:cs="Arial"/>
          <w:b/>
          <w:bCs/>
          <w:color w:val="auto"/>
          <w:kern w:val="1"/>
          <w:szCs w:val="21"/>
          <w:highlight w:val="none"/>
        </w:rPr>
        <w:t>分标：人工智能技术服务专业课程资源建设采购</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叁拾陆万元整（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eastAsia="zh-CN"/>
        </w:rPr>
        <w:t>360000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rPr>
        <w:t>；</w:t>
      </w:r>
    </w:p>
    <w:p>
      <w:pPr>
        <w:spacing w:line="500" w:lineRule="exact"/>
        <w:ind w:firstLine="1476" w:firstLineChars="700"/>
        <w:rPr>
          <w:rFonts w:ascii="宋体" w:hAnsi="宋体" w:cs="Arial"/>
          <w:b/>
          <w:bCs/>
          <w:color w:val="auto"/>
          <w:kern w:val="1"/>
          <w:szCs w:val="21"/>
          <w:highlight w:val="none"/>
        </w:rPr>
      </w:pPr>
      <w:r>
        <w:rPr>
          <w:rFonts w:hint="eastAsia" w:ascii="宋体" w:hAnsi="宋体" w:cs="Arial"/>
          <w:b/>
          <w:bCs/>
          <w:color w:val="auto"/>
          <w:kern w:val="1"/>
          <w:szCs w:val="21"/>
          <w:highlight w:val="none"/>
        </w:rPr>
        <w:t>B分标：Hadoop大数据平台运维国际化课程包采购</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陆万元整（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eastAsia="zh-CN"/>
        </w:rPr>
        <w:t>60000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rPr>
        <w:t>；</w:t>
      </w:r>
    </w:p>
    <w:p>
      <w:pPr>
        <w:spacing w:line="500" w:lineRule="exact"/>
        <w:ind w:firstLine="1476" w:firstLineChars="700"/>
        <w:rPr>
          <w:rFonts w:hint="default" w:ascii="宋体" w:hAnsi="宋体" w:cs="Arial"/>
          <w:b/>
          <w:bCs/>
          <w:color w:val="auto"/>
          <w:kern w:val="1"/>
          <w:szCs w:val="21"/>
          <w:highlight w:val="none"/>
          <w:lang w:val="en-US" w:eastAsia="zh-CN"/>
        </w:rPr>
      </w:pPr>
      <w:r>
        <w:rPr>
          <w:rFonts w:hint="eastAsia" w:ascii="宋体" w:hAnsi="宋体" w:cs="Arial"/>
          <w:b/>
          <w:bCs/>
          <w:color w:val="auto"/>
          <w:kern w:val="1"/>
          <w:szCs w:val="21"/>
          <w:highlight w:val="none"/>
        </w:rPr>
        <w:t>C分标：Web前端开发1+X课证一体课程项目采购</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壹拾万零伍仟元整</w:t>
      </w:r>
      <w:r>
        <w:rPr>
          <w:rFonts w:hint="eastAsia" w:ascii="宋体" w:hAnsi="宋体" w:cs="Arial"/>
          <w:b/>
          <w:bCs/>
          <w:color w:val="auto"/>
          <w:kern w:val="1"/>
          <w:szCs w:val="21"/>
          <w:highlight w:val="none"/>
          <w:lang w:eastAsia="zh-CN"/>
        </w:rPr>
        <w:t>（</w:t>
      </w:r>
      <w:r>
        <w:rPr>
          <w:rFonts w:hint="eastAsia" w:ascii="宋体" w:hAnsi="宋体" w:eastAsia="宋体" w:cs="宋体"/>
          <w:b/>
          <w:bCs/>
          <w:color w:val="auto"/>
          <w:kern w:val="1"/>
          <w:szCs w:val="21"/>
          <w:highlight w:val="none"/>
          <w:lang w:eastAsia="zh-CN"/>
        </w:rPr>
        <w:t>￥</w:t>
      </w:r>
      <w:r>
        <w:rPr>
          <w:rFonts w:hint="eastAsia" w:ascii="宋体" w:hAnsi="宋体" w:cs="Arial"/>
          <w:b/>
          <w:bCs/>
          <w:color w:val="auto"/>
          <w:kern w:val="1"/>
          <w:szCs w:val="21"/>
          <w:highlight w:val="none"/>
          <w:lang w:eastAsia="zh-CN"/>
        </w:rPr>
        <w:t>105000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lang w:eastAsia="zh-CN"/>
        </w:rPr>
        <w:t>）</w:t>
      </w:r>
      <w:r>
        <w:rPr>
          <w:rFonts w:hint="eastAsia" w:ascii="宋体" w:hAnsi="宋体" w:cs="Arial"/>
          <w:b/>
          <w:bCs/>
          <w:color w:val="auto"/>
          <w:kern w:val="1"/>
          <w:szCs w:val="21"/>
          <w:highlight w:val="none"/>
          <w:lang w:val="en-US" w:eastAsia="zh-CN"/>
        </w:rPr>
        <w:t>；</w:t>
      </w:r>
    </w:p>
    <w:p>
      <w:pPr>
        <w:spacing w:line="500" w:lineRule="exact"/>
        <w:ind w:firstLine="422"/>
        <w:rPr>
          <w:rFonts w:hint="eastAsia" w:ascii="宋体" w:hAnsi="宋体" w:cs="Arial"/>
          <w:b/>
          <w:bCs/>
          <w:color w:val="auto"/>
          <w:kern w:val="1"/>
          <w:szCs w:val="21"/>
          <w:highlight w:val="none"/>
          <w:lang w:val="en-US" w:eastAsia="zh-CN"/>
        </w:rPr>
      </w:pPr>
      <w:r>
        <w:rPr>
          <w:rFonts w:hint="eastAsia" w:ascii="宋体" w:hAnsi="宋体" w:cs="Arial"/>
          <w:b/>
          <w:bCs/>
          <w:color w:val="auto"/>
          <w:kern w:val="1"/>
          <w:szCs w:val="21"/>
          <w:highlight w:val="none"/>
          <w:lang w:val="en-US" w:eastAsia="zh-CN"/>
        </w:rPr>
        <w:t xml:space="preserve">    </w:t>
      </w:r>
      <w:r>
        <w:rPr>
          <w:rFonts w:hint="eastAsia" w:ascii="宋体" w:hAnsi="宋体" w:eastAsia="宋体" w:cs="Arial"/>
          <w:b/>
          <w:bCs/>
          <w:color w:val="auto"/>
          <w:kern w:val="1"/>
          <w:sz w:val="21"/>
          <w:szCs w:val="21"/>
          <w:highlight w:val="none"/>
          <w:lang w:val="en-US" w:eastAsia="zh-CN" w:bidi="ar-SA"/>
        </w:rPr>
        <w:t xml:space="preserve">      D</w:t>
      </w:r>
      <w:r>
        <w:rPr>
          <w:rFonts w:hint="eastAsia" w:ascii="宋体" w:hAnsi="宋体" w:cs="Arial"/>
          <w:b/>
          <w:bCs/>
          <w:color w:val="auto"/>
          <w:kern w:val="1"/>
          <w:szCs w:val="21"/>
          <w:highlight w:val="none"/>
          <w:lang w:val="en-US" w:eastAsia="zh-CN"/>
        </w:rPr>
        <w:t>分标：计算机网络与信息安全专业课程包采购，贰拾贰万伍仟元整（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val="en-US" w:eastAsia="zh-CN"/>
        </w:rPr>
        <w:t xml:space="preserve">225000.00 ）；      </w:t>
      </w:r>
    </w:p>
    <w:p>
      <w:pPr>
        <w:spacing w:line="500" w:lineRule="exact"/>
        <w:ind w:firstLine="1476" w:firstLineChars="700"/>
        <w:rPr>
          <w:rFonts w:ascii="宋体" w:hAnsi="宋体" w:cs="Arial"/>
          <w:b/>
          <w:color w:val="auto"/>
          <w:kern w:val="1"/>
          <w:szCs w:val="21"/>
          <w:highlight w:val="none"/>
        </w:rPr>
      </w:pPr>
      <w:r>
        <w:rPr>
          <w:rFonts w:hint="eastAsia" w:ascii="宋体" w:hAnsi="宋体" w:cs="Arial"/>
          <w:b/>
          <w:bCs/>
          <w:color w:val="auto"/>
          <w:kern w:val="1"/>
          <w:szCs w:val="21"/>
          <w:highlight w:val="none"/>
          <w:lang w:val="en-US" w:eastAsia="zh-CN"/>
        </w:rPr>
        <w:t>E分标：移动通信技术专业精品课程教学资源建设,壹拾万元整（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val="en-US" w:eastAsia="zh-CN"/>
        </w:rPr>
        <w:t>100000.00）</w:t>
      </w:r>
    </w:p>
    <w:p>
      <w:pPr>
        <w:spacing w:line="50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采购需求：</w:t>
      </w:r>
    </w:p>
    <w:p>
      <w:pPr>
        <w:pStyle w:val="7"/>
        <w:rPr>
          <w:rFonts w:ascii="宋体" w:hAnsi="宋体" w:eastAsia="宋体" w:cs="宋体"/>
          <w:color w:val="auto"/>
          <w:highlight w:val="none"/>
        </w:rPr>
      </w:pPr>
      <w:r>
        <w:rPr>
          <w:rFonts w:hint="eastAsia" w:ascii="宋体" w:hAnsi="宋体" w:eastAsia="宋体" w:cs="宋体"/>
          <w:color w:val="auto"/>
          <w:highlight w:val="none"/>
        </w:rPr>
        <w:t>A分标</w:t>
      </w:r>
    </w:p>
    <w:tbl>
      <w:tblPr>
        <w:tblStyle w:val="33"/>
        <w:tblpPr w:leftFromText="180" w:rightFromText="18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359"/>
        <w:gridCol w:w="1377"/>
        <w:gridCol w:w="5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Arial"/>
                <w:b/>
                <w:color w:val="auto"/>
                <w:kern w:val="1"/>
                <w:sz w:val="21"/>
                <w:szCs w:val="21"/>
                <w:highlight w:val="none"/>
              </w:rPr>
            </w:pPr>
            <w:r>
              <w:rPr>
                <w:rFonts w:hint="eastAsia" w:ascii="宋体" w:hAnsi="宋体" w:cs="Arial"/>
                <w:b/>
                <w:color w:val="auto"/>
                <w:kern w:val="1"/>
                <w:sz w:val="21"/>
                <w:szCs w:val="21"/>
                <w:highlight w:val="none"/>
              </w:rPr>
              <w:t>序号</w:t>
            </w:r>
          </w:p>
        </w:tc>
        <w:tc>
          <w:tcPr>
            <w:tcW w:w="23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Arial"/>
                <w:b/>
                <w:color w:val="auto"/>
                <w:kern w:val="1"/>
                <w:sz w:val="21"/>
                <w:szCs w:val="21"/>
                <w:highlight w:val="none"/>
              </w:rPr>
            </w:pPr>
            <w:r>
              <w:rPr>
                <w:rFonts w:hint="eastAsia" w:ascii="宋体" w:hAnsi="宋体" w:cs="Arial"/>
                <w:b/>
                <w:color w:val="auto"/>
                <w:kern w:val="1"/>
                <w:sz w:val="21"/>
                <w:szCs w:val="21"/>
                <w:highlight w:val="none"/>
              </w:rPr>
              <w:t>标的名称</w:t>
            </w:r>
          </w:p>
        </w:tc>
        <w:tc>
          <w:tcPr>
            <w:tcW w:w="13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Arial"/>
                <w:b/>
                <w:color w:val="auto"/>
                <w:kern w:val="1"/>
                <w:sz w:val="21"/>
                <w:szCs w:val="21"/>
                <w:highlight w:val="none"/>
              </w:rPr>
            </w:pPr>
            <w:r>
              <w:rPr>
                <w:rFonts w:hint="eastAsia" w:ascii="宋体" w:hAnsi="宋体" w:cs="Arial"/>
                <w:b/>
                <w:color w:val="auto"/>
                <w:kern w:val="1"/>
                <w:sz w:val="21"/>
                <w:szCs w:val="21"/>
                <w:highlight w:val="none"/>
              </w:rPr>
              <w:t>数量及单位</w:t>
            </w:r>
          </w:p>
        </w:tc>
        <w:tc>
          <w:tcPr>
            <w:tcW w:w="50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Arial"/>
                <w:b/>
                <w:color w:val="auto"/>
                <w:kern w:val="1"/>
                <w:sz w:val="21"/>
                <w:szCs w:val="21"/>
                <w:highlight w:val="none"/>
              </w:rPr>
            </w:pPr>
            <w:r>
              <w:rPr>
                <w:rFonts w:hint="eastAsia" w:ascii="宋体" w:hAnsi="宋体" w:cs="Arial"/>
                <w:b/>
                <w:color w:val="auto"/>
                <w:kern w:val="1"/>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rPr>
            </w:pPr>
          </w:p>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1</w:t>
            </w:r>
          </w:p>
        </w:tc>
        <w:tc>
          <w:tcPr>
            <w:tcW w:w="23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《人工智能应用基础》课程视频</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30个</w:t>
            </w:r>
          </w:p>
        </w:tc>
        <w:tc>
          <w:tcPr>
            <w:tcW w:w="50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lang w:val="en-US" w:eastAsia="zh-CN"/>
              </w:rPr>
              <w:t>1</w:t>
            </w:r>
            <w:r>
              <w:rPr>
                <w:rFonts w:hint="eastAsia" w:ascii="宋体" w:hAnsi="宋体" w:cs="宋体"/>
                <w:color w:val="auto"/>
                <w:kern w:val="0"/>
                <w:sz w:val="21"/>
                <w:szCs w:val="21"/>
                <w:highlight w:val="none"/>
                <w:u w:color="000000"/>
              </w:rPr>
              <w:t>.内容和质量：视频知识内容完全匹配大纲内容；课程内容以视频为主要载体，围绕某个知识点内容展开，内容系统、完整。要求视频图像清晰，声音和画面同步，播放时没有明显的噪点，播放流畅……（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lang w:val="en-US" w:eastAsia="zh-CN"/>
              </w:rPr>
            </w:pPr>
            <w:r>
              <w:rPr>
                <w:rFonts w:hint="eastAsia" w:ascii="宋体" w:hAnsi="宋体" w:cs="宋体"/>
                <w:color w:val="auto"/>
                <w:kern w:val="0"/>
                <w:sz w:val="21"/>
                <w:szCs w:val="21"/>
                <w:highlight w:val="none"/>
                <w:u w:color="000000"/>
                <w:lang w:val="en-US" w:eastAsia="zh-CN"/>
              </w:rPr>
              <w:t>2</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《人工智能应用基础》课件PPT</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30个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1.素材应符合相关技术规范。PPT涉及的技术应为最新主流技术，不允许出现明显的已过时的技术……（具体内容详见本公告附件：采购需求）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lang w:val="en-US" w:eastAsia="zh-CN"/>
              </w:rPr>
            </w:pPr>
            <w:r>
              <w:rPr>
                <w:rFonts w:hint="eastAsia" w:ascii="宋体" w:hAnsi="宋体" w:cs="宋体"/>
                <w:color w:val="auto"/>
                <w:kern w:val="0"/>
                <w:sz w:val="21"/>
                <w:szCs w:val="21"/>
                <w:highlight w:val="none"/>
                <w:u w:color="000000"/>
                <w:lang w:val="en-US" w:eastAsia="zh-CN"/>
              </w:rPr>
              <w:t>3</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《Python核心技术》课程视频</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80个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1.内容和质量：视频知识内容完全匹配大纲内容，采用双师授课；课程内容以视频为主要载体，围绕某个知识点内容展开，内容系统、完整。要求视频图像清晰，声音和画面同步，播放时没有明显的噪点，播放流畅……（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lang w:val="en-US" w:eastAsia="zh-CN"/>
              </w:rPr>
            </w:pPr>
            <w:r>
              <w:rPr>
                <w:rFonts w:hint="eastAsia" w:ascii="宋体" w:hAnsi="宋体" w:cs="宋体"/>
                <w:color w:val="auto"/>
                <w:kern w:val="0"/>
                <w:sz w:val="21"/>
                <w:szCs w:val="21"/>
                <w:highlight w:val="none"/>
                <w:u w:color="000000"/>
                <w:lang w:val="en-US" w:eastAsia="zh-CN"/>
              </w:rPr>
              <w:t>4</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《Python核心技术》课件PPT</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80个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1.素材应符合相关技术规范。PPT涉及的技术应为最新主流技术，不允许出现明显的已过时的技术……（具体内容详见本公告附件：采购需求）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lang w:val="en-US" w:eastAsia="zh-CN"/>
              </w:rPr>
            </w:pPr>
            <w:r>
              <w:rPr>
                <w:rFonts w:hint="eastAsia" w:ascii="宋体" w:hAnsi="宋体" w:cs="宋体"/>
                <w:color w:val="auto"/>
                <w:kern w:val="0"/>
                <w:sz w:val="21"/>
                <w:szCs w:val="21"/>
                <w:highlight w:val="none"/>
                <w:u w:color="000000"/>
                <w:lang w:val="en-US" w:eastAsia="zh-CN"/>
              </w:rPr>
              <w:t>5</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《机器学习技术》课程视频</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40个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1.内容和质量：视频知识内容完全匹配大纲内容；课程内容以视频为主要载体，围绕某个知识点内容展开，内容系统、完整。要求视频图像清晰，声音和画面同步，播放时没有明显的噪点，播放流畅……（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lang w:val="en-US" w:eastAsia="zh-CN"/>
              </w:rPr>
            </w:pPr>
            <w:r>
              <w:rPr>
                <w:rFonts w:hint="eastAsia" w:ascii="宋体" w:hAnsi="宋体" w:cs="宋体"/>
                <w:color w:val="auto"/>
                <w:kern w:val="0"/>
                <w:sz w:val="21"/>
                <w:szCs w:val="21"/>
                <w:highlight w:val="none"/>
                <w:u w:color="000000"/>
                <w:lang w:val="en-US" w:eastAsia="zh-CN"/>
              </w:rPr>
              <w:t>6</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cs="宋体"/>
                <w:color w:val="auto"/>
                <w:kern w:val="0"/>
                <w:sz w:val="21"/>
                <w:szCs w:val="21"/>
                <w:highlight w:val="none"/>
                <w:u w:color="000000"/>
                <w:lang w:val="en-US" w:eastAsia="zh-CN"/>
              </w:rPr>
            </w:pPr>
            <w:r>
              <w:rPr>
                <w:rFonts w:hint="eastAsia" w:ascii="宋体" w:hAnsi="宋体" w:cs="宋体"/>
                <w:color w:val="auto"/>
                <w:kern w:val="0"/>
                <w:sz w:val="21"/>
                <w:szCs w:val="21"/>
                <w:highlight w:val="none"/>
                <w:u w:color="000000"/>
              </w:rPr>
              <w:t>《机器学习技术》课件PPT</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30个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1.素材应符合相关技术规范。PPT涉及的技术应为最新主流技术，不允许出现明显的已过时的技术……（具体内容详见本公告附件：采购需求）</w:t>
            </w:r>
          </w:p>
        </w:tc>
      </w:tr>
    </w:tbl>
    <w:p>
      <w:pPr>
        <w:spacing w:line="50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B分标</w:t>
      </w:r>
    </w:p>
    <w:tbl>
      <w:tblPr>
        <w:tblStyle w:val="33"/>
        <w:tblpPr w:leftFromText="180" w:rightFromText="18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359"/>
        <w:gridCol w:w="1377"/>
        <w:gridCol w:w="5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23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标的名称</w:t>
            </w:r>
          </w:p>
        </w:tc>
        <w:tc>
          <w:tcPr>
            <w:tcW w:w="13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数量及单位</w:t>
            </w:r>
          </w:p>
        </w:tc>
        <w:tc>
          <w:tcPr>
            <w:tcW w:w="50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p>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w:t>
            </w:r>
          </w:p>
        </w:tc>
        <w:tc>
          <w:tcPr>
            <w:tcW w:w="23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Hadoop大数据平台运维国际化课程包教学视频</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1.内容应覆盖《Hadoop开发基础》课程，并融合《大数据平台运维职业技能等级标准》……（具体内容详见本公告附件：采购需求）</w:t>
            </w:r>
          </w:p>
        </w:tc>
      </w:tr>
    </w:tbl>
    <w:p>
      <w:pPr>
        <w:spacing w:line="50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C分标</w:t>
      </w:r>
    </w:p>
    <w:tbl>
      <w:tblPr>
        <w:tblStyle w:val="33"/>
        <w:tblpPr w:leftFromText="180" w:rightFromText="18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359"/>
        <w:gridCol w:w="1377"/>
        <w:gridCol w:w="5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23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标的名称</w:t>
            </w:r>
          </w:p>
        </w:tc>
        <w:tc>
          <w:tcPr>
            <w:tcW w:w="13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数量及单位</w:t>
            </w:r>
          </w:p>
        </w:tc>
        <w:tc>
          <w:tcPr>
            <w:tcW w:w="50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p>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w:t>
            </w:r>
          </w:p>
        </w:tc>
        <w:tc>
          <w:tcPr>
            <w:tcW w:w="23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《Web前端开发1+X课证一体课程》PPT课件</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1套</w:t>
            </w:r>
          </w:p>
        </w:tc>
        <w:tc>
          <w:tcPr>
            <w:tcW w:w="50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课件应包含《HTML5+CSS3开发技术》、《JavaScript前端开发》、《Vue应用程序开发》3个技术领域内容，素材应符合相关技术规范。PPT涉及的技术应为最新主流技术，不允许出现明显的已过时的技术。每个技术领域PPT不少于8个，能体现整门技术领域的知识框架……（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kern w:val="0"/>
                <w:sz w:val="21"/>
                <w:szCs w:val="21"/>
                <w:highlight w:val="none"/>
                <w:u w:color="000000"/>
                <w:lang w:val="en-US" w:eastAsia="zh-CN"/>
              </w:rPr>
              <w:t>2</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《Web前端开发1+X课证一体课程》教学视频</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100个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1.内容应覆盖《HTML5+CSS3开发技术》、《JavaScript前端开发》、《Vue应用程序开发》3个技术领域……（具体内容详见本公告附件：采购需求）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kern w:val="0"/>
                <w:sz w:val="21"/>
                <w:szCs w:val="21"/>
                <w:highlight w:val="none"/>
                <w:u w:color="000000"/>
                <w:lang w:val="en-US" w:eastAsia="zh-CN"/>
              </w:rPr>
              <w:t>3</w:t>
            </w:r>
          </w:p>
        </w:tc>
        <w:tc>
          <w:tcPr>
            <w:tcW w:w="2359"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《Web前端开发1+X课证一体课程》线上课程</w:t>
            </w:r>
          </w:p>
        </w:tc>
        <w:tc>
          <w:tcPr>
            <w:tcW w:w="13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sym w:font="Wingdings" w:char="F0AB"/>
            </w:r>
            <w:r>
              <w:rPr>
                <w:rFonts w:hint="eastAsia" w:ascii="宋体" w:hAnsi="宋体" w:eastAsia="宋体" w:cs="宋体"/>
                <w:color w:val="auto"/>
                <w:kern w:val="0"/>
                <w:sz w:val="21"/>
                <w:szCs w:val="21"/>
                <w:highlight w:val="none"/>
                <w:u w:color="000000"/>
              </w:rPr>
              <w:t>1. 根据课程资源，设计并制作体现课程资源情况的首页、导航、功能栏目以及二级页面等，设计独特的网站风格……（具体内容详见本公告附件：采购需求）</w:t>
            </w:r>
          </w:p>
        </w:tc>
      </w:tr>
    </w:tbl>
    <w:p>
      <w:pPr>
        <w:spacing w:line="440" w:lineRule="exact"/>
        <w:ind w:firstLine="422"/>
        <w:rPr>
          <w:rFonts w:hint="eastAsia" w:ascii="宋体" w:hAnsi="宋体" w:cs="Arial"/>
          <w:b/>
          <w:color w:val="auto"/>
          <w:kern w:val="1"/>
          <w:szCs w:val="21"/>
          <w:highlight w:val="none"/>
          <w:lang w:val="en-US" w:eastAsia="zh-CN"/>
        </w:rPr>
      </w:pPr>
      <w:r>
        <w:rPr>
          <w:rFonts w:hint="eastAsia" w:ascii="宋体" w:hAnsi="宋体" w:cs="Arial"/>
          <w:b/>
          <w:color w:val="auto"/>
          <w:kern w:val="1"/>
          <w:szCs w:val="21"/>
          <w:highlight w:val="none"/>
          <w:lang w:val="en-US" w:eastAsia="zh-CN"/>
        </w:rPr>
        <w:t>D分标</w:t>
      </w:r>
    </w:p>
    <w:tbl>
      <w:tblPr>
        <w:tblStyle w:val="33"/>
        <w:tblpPr w:leftFromText="180" w:rightFromText="18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359"/>
        <w:gridCol w:w="1377"/>
        <w:gridCol w:w="5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23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标的名称</w:t>
            </w:r>
          </w:p>
        </w:tc>
        <w:tc>
          <w:tcPr>
            <w:tcW w:w="13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数量及单位</w:t>
            </w:r>
          </w:p>
        </w:tc>
        <w:tc>
          <w:tcPr>
            <w:tcW w:w="50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1</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《web应用安全与管理》课程包PPT课件</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20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1.要求依据1+X“网络安全评估”职业技能等级要求（中级）“Web 安全评估测试”工作领域的职业技能要求进行开发，素材应符合相关技术规范……（具体内容详见本公告附件：采购需求）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sz w:val="21"/>
                <w:szCs w:val="21"/>
                <w:highlight w:val="none"/>
              </w:rPr>
              <w:t>2</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《web应用安全与管理》课程包教学视频</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 内容应参照1+X“网络安全评估”职业技能等级要求（中级）“Web 安全评估测试”工作领域的职业技能要求进行开发……（具体内容详见本公告附件：采购需求）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sz w:val="21"/>
                <w:szCs w:val="21"/>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《Linux操作系统管理》PPT课件</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20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1.课件应根据RHCSA（Red Hat Certified System Administrator）国际化课程标准进行开发……（具体内容详见本公告附件：采购需求）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sz w:val="21"/>
                <w:szCs w:val="21"/>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《Linux操作系统管理》教学视频</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 内容应根据RHCSA（Red Hat Certified System Administrator）国际化课程标准进行开发……（具体内容详见本公告附件：采购需求）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lang w:val="en-US" w:eastAsia="zh-CN"/>
              </w:rPr>
            </w:pPr>
            <w:r>
              <w:rPr>
                <w:rFonts w:hint="eastAsia" w:ascii="宋体" w:hAnsi="宋体" w:eastAsia="宋体" w:cs="宋体"/>
                <w:color w:val="auto"/>
                <w:kern w:val="0"/>
                <w:sz w:val="21"/>
                <w:szCs w:val="21"/>
                <w:highlight w:val="none"/>
                <w:lang w:bidi="ar"/>
              </w:rPr>
              <w:t>5</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sz w:val="21"/>
                <w:szCs w:val="21"/>
                <w:highlight w:val="none"/>
              </w:rPr>
              <w:t>专业核心课程微课</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lang w:bidi="ar"/>
              </w:rPr>
              <w:t>10个</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1.每门微课材料包含微课视频，以及在微课录制过程中使用到的全部辅助扩展资料：教学方案设计、课件、习题、动画、视频、图片、答案、总结等……（具体内容详见本公告附件：采购需求）</w:t>
            </w:r>
          </w:p>
        </w:tc>
      </w:tr>
    </w:tbl>
    <w:p>
      <w:pPr>
        <w:spacing w:line="440" w:lineRule="exact"/>
        <w:ind w:firstLine="422"/>
        <w:rPr>
          <w:rFonts w:hint="eastAsia" w:ascii="宋体" w:hAnsi="宋体" w:cs="Arial"/>
          <w:b/>
          <w:color w:val="auto"/>
          <w:kern w:val="1"/>
          <w:szCs w:val="21"/>
          <w:highlight w:val="none"/>
          <w:lang w:val="en-US" w:eastAsia="zh-CN"/>
        </w:rPr>
      </w:pPr>
      <w:r>
        <w:rPr>
          <w:rFonts w:hint="eastAsia" w:ascii="宋体" w:hAnsi="宋体" w:cs="Arial"/>
          <w:b/>
          <w:color w:val="auto"/>
          <w:kern w:val="1"/>
          <w:szCs w:val="21"/>
          <w:highlight w:val="none"/>
          <w:lang w:val="en-US" w:eastAsia="zh-CN"/>
        </w:rPr>
        <w:t>E分标</w:t>
      </w:r>
    </w:p>
    <w:tbl>
      <w:tblPr>
        <w:tblStyle w:val="33"/>
        <w:tblpPr w:leftFromText="180" w:rightFromText="18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359"/>
        <w:gridCol w:w="1377"/>
        <w:gridCol w:w="5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23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标的名称</w:t>
            </w:r>
          </w:p>
        </w:tc>
        <w:tc>
          <w:tcPr>
            <w:tcW w:w="13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数量及单位</w:t>
            </w:r>
          </w:p>
        </w:tc>
        <w:tc>
          <w:tcPr>
            <w:tcW w:w="50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《基站建设与维护》及《通信工程制图与数字化表达》课程介绍宣传片</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w:t>
            </w:r>
          </w:p>
        </w:tc>
        <w:tc>
          <w:tcPr>
            <w:tcW w:w="50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★1.课程介绍包括课程特点、教学目标、教学内容覆盖面、教学方法及组织形式、授课对象要求、教材与参考资料等内容……（具体内容详见本公告附件：采购需求）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《基站建设与维护》配套精品微课程</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★1.视频总时长不低于30分钟。</w:t>
            </w:r>
          </w:p>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★2.视频按知识点的颗粒来制作，每一个控制在5-10分钟之内……（具体内容详见本公告附件：采购需求）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《基站建设与维护》配套3D动画</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★1.制作3个及以上动画。</w:t>
            </w:r>
          </w:p>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★2.动画按知识点的颗粒来制作，每一个控制在3分钟以上……（具体内容详见本公告附件：采购需求）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《通信工程制图与数字化表达》配套精品微课程</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★1.视频总时长不低于20分钟。</w:t>
            </w:r>
          </w:p>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★2.视频按知识点的颗粒来制作，每一个控制在5-10分钟之内……（具体内容详见本公告附件：采购需求）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《通信工程制图与数字化表达》配套3D动画</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5028"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★1.制作3个及以上动画。</w:t>
            </w:r>
          </w:p>
          <w:p>
            <w:pPr>
              <w:spacing w:line="320" w:lineRule="exact"/>
              <w:jc w:val="left"/>
              <w:rPr>
                <w:rFonts w:hint="eastAsia" w:ascii="宋体" w:hAnsi="宋体" w:eastAsia="宋体" w:cs="宋体"/>
                <w:color w:val="auto"/>
                <w:kern w:val="0"/>
                <w:sz w:val="21"/>
                <w:szCs w:val="21"/>
                <w:highlight w:val="none"/>
                <w:u w:color="000000"/>
              </w:rPr>
            </w:pPr>
            <w:r>
              <w:rPr>
                <w:rFonts w:hint="eastAsia" w:ascii="宋体" w:hAnsi="宋体" w:eastAsia="宋体" w:cs="宋体"/>
                <w:color w:val="auto"/>
                <w:kern w:val="0"/>
                <w:sz w:val="21"/>
                <w:szCs w:val="21"/>
                <w:highlight w:val="none"/>
                <w:u w:color="000000"/>
              </w:rPr>
              <w:t>★2.动画按知识点的颗粒来制作，每一个控制在3分钟以上……（具体内容详见本公告附件：采购需求）</w:t>
            </w:r>
          </w:p>
        </w:tc>
      </w:tr>
    </w:tbl>
    <w:p>
      <w:pPr>
        <w:spacing w:line="44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合同履行期限：</w:t>
      </w:r>
    </w:p>
    <w:p>
      <w:pPr>
        <w:spacing w:line="440" w:lineRule="exact"/>
        <w:ind w:firstLine="316" w:firstLineChars="150"/>
        <w:rPr>
          <w:rFonts w:ascii="宋体" w:hAnsi="宋体" w:cs="Arial"/>
          <w:color w:val="auto"/>
          <w:kern w:val="1"/>
          <w:szCs w:val="21"/>
          <w:highlight w:val="none"/>
        </w:rPr>
      </w:pPr>
      <w:r>
        <w:rPr>
          <w:rFonts w:hint="eastAsia" w:ascii="宋体" w:hAnsi="宋体" w:cs="Arial"/>
          <w:b/>
          <w:color w:val="auto"/>
          <w:kern w:val="1"/>
          <w:szCs w:val="21"/>
          <w:highlight w:val="none"/>
        </w:rPr>
        <w:t>A分标：</w:t>
      </w:r>
      <w:r>
        <w:rPr>
          <w:rFonts w:hint="eastAsia" w:ascii="宋体" w:hAnsi="宋体" w:cs="Arial"/>
          <w:color w:val="auto"/>
          <w:kern w:val="1"/>
          <w:szCs w:val="21"/>
          <w:highlight w:val="none"/>
        </w:rPr>
        <w:t>自合同签订之日起至项目验收合格。</w:t>
      </w:r>
    </w:p>
    <w:p>
      <w:pPr>
        <w:spacing w:line="440" w:lineRule="exact"/>
        <w:ind w:firstLine="316" w:firstLineChars="150"/>
        <w:rPr>
          <w:rFonts w:ascii="宋体" w:hAnsi="宋体" w:cs="Arial"/>
          <w:b/>
          <w:color w:val="auto"/>
          <w:kern w:val="1"/>
          <w:szCs w:val="21"/>
          <w:highlight w:val="none"/>
        </w:rPr>
      </w:pPr>
      <w:r>
        <w:rPr>
          <w:rFonts w:hint="eastAsia" w:ascii="宋体" w:hAnsi="宋体" w:cs="Arial"/>
          <w:b/>
          <w:color w:val="auto"/>
          <w:kern w:val="1"/>
          <w:szCs w:val="21"/>
          <w:highlight w:val="none"/>
        </w:rPr>
        <w:t>B分标：</w:t>
      </w:r>
      <w:r>
        <w:rPr>
          <w:rFonts w:hint="eastAsia" w:ascii="宋体" w:hAnsi="宋体" w:cs="Arial"/>
          <w:color w:val="auto"/>
          <w:kern w:val="1"/>
          <w:szCs w:val="21"/>
          <w:highlight w:val="none"/>
        </w:rPr>
        <w:t>自合同签订之日起至项目验收合格。</w:t>
      </w:r>
    </w:p>
    <w:p>
      <w:pPr>
        <w:spacing w:line="440" w:lineRule="exact"/>
        <w:ind w:firstLine="316" w:firstLineChars="150"/>
        <w:rPr>
          <w:rFonts w:hint="eastAsia" w:ascii="宋体" w:hAnsi="宋体" w:cs="Arial"/>
          <w:color w:val="auto"/>
          <w:kern w:val="1"/>
          <w:szCs w:val="21"/>
          <w:highlight w:val="none"/>
        </w:rPr>
      </w:pPr>
      <w:r>
        <w:rPr>
          <w:rFonts w:hint="eastAsia" w:ascii="宋体" w:hAnsi="宋体" w:cs="Arial"/>
          <w:b/>
          <w:color w:val="auto"/>
          <w:kern w:val="1"/>
          <w:szCs w:val="21"/>
          <w:highlight w:val="none"/>
        </w:rPr>
        <w:t>C分标：</w:t>
      </w:r>
      <w:r>
        <w:rPr>
          <w:rFonts w:hint="eastAsia" w:ascii="宋体" w:hAnsi="宋体" w:cs="Arial"/>
          <w:color w:val="auto"/>
          <w:kern w:val="1"/>
          <w:szCs w:val="21"/>
          <w:highlight w:val="none"/>
        </w:rPr>
        <w:t>自合同签订之日起至项目验收合格。</w:t>
      </w:r>
    </w:p>
    <w:p>
      <w:pPr>
        <w:spacing w:line="440" w:lineRule="exact"/>
        <w:ind w:firstLine="316" w:firstLineChars="150"/>
        <w:rPr>
          <w:rFonts w:ascii="宋体" w:hAnsi="宋体" w:cs="Arial"/>
          <w:b/>
          <w:color w:val="auto"/>
          <w:kern w:val="1"/>
          <w:szCs w:val="21"/>
          <w:highlight w:val="none"/>
        </w:rPr>
      </w:pPr>
      <w:r>
        <w:rPr>
          <w:rFonts w:hint="eastAsia" w:ascii="宋体" w:hAnsi="宋体" w:cs="Arial"/>
          <w:b/>
          <w:color w:val="auto"/>
          <w:kern w:val="1"/>
          <w:szCs w:val="21"/>
          <w:highlight w:val="none"/>
          <w:lang w:val="en-US" w:eastAsia="zh-CN"/>
        </w:rPr>
        <w:t>D</w:t>
      </w:r>
      <w:r>
        <w:rPr>
          <w:rFonts w:hint="eastAsia" w:ascii="宋体" w:hAnsi="宋体" w:cs="Arial"/>
          <w:b/>
          <w:color w:val="auto"/>
          <w:kern w:val="1"/>
          <w:szCs w:val="21"/>
          <w:highlight w:val="none"/>
        </w:rPr>
        <w:t>分标：</w:t>
      </w:r>
      <w:r>
        <w:rPr>
          <w:rFonts w:hint="eastAsia" w:ascii="宋体" w:hAnsi="宋体" w:cs="Arial"/>
          <w:color w:val="auto"/>
          <w:kern w:val="1"/>
          <w:szCs w:val="21"/>
          <w:highlight w:val="none"/>
        </w:rPr>
        <w:t>自合同签订之日起至项目验收合格。</w:t>
      </w:r>
    </w:p>
    <w:p>
      <w:pPr>
        <w:spacing w:line="440" w:lineRule="exact"/>
        <w:ind w:firstLine="316" w:firstLineChars="150"/>
        <w:rPr>
          <w:rFonts w:hint="eastAsia" w:eastAsia="宋体"/>
          <w:color w:val="auto"/>
          <w:highlight w:val="none"/>
          <w:lang w:val="en-US" w:eastAsia="zh-CN"/>
        </w:rPr>
      </w:pPr>
      <w:r>
        <w:rPr>
          <w:rFonts w:hint="eastAsia" w:ascii="宋体" w:hAnsi="宋体" w:cs="Arial"/>
          <w:b/>
          <w:color w:val="auto"/>
          <w:kern w:val="1"/>
          <w:szCs w:val="21"/>
          <w:highlight w:val="none"/>
          <w:lang w:val="en-US" w:eastAsia="zh-CN"/>
        </w:rPr>
        <w:t>E</w:t>
      </w:r>
      <w:r>
        <w:rPr>
          <w:rFonts w:hint="eastAsia" w:ascii="宋体" w:hAnsi="宋体" w:cs="Arial"/>
          <w:b/>
          <w:color w:val="auto"/>
          <w:kern w:val="1"/>
          <w:szCs w:val="21"/>
          <w:highlight w:val="none"/>
        </w:rPr>
        <w:t>分标：</w:t>
      </w:r>
      <w:r>
        <w:rPr>
          <w:rFonts w:hint="eastAsia" w:ascii="宋体" w:hAnsi="宋体" w:cs="Arial"/>
          <w:color w:val="auto"/>
          <w:kern w:val="1"/>
          <w:szCs w:val="21"/>
          <w:highlight w:val="none"/>
        </w:rPr>
        <w:t>自合同签订之日起至项目验收合格。</w:t>
      </w:r>
    </w:p>
    <w:p>
      <w:pPr>
        <w:spacing w:line="44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本项目不接受联合体投标。</w:t>
      </w:r>
    </w:p>
    <w:p>
      <w:pPr>
        <w:spacing w:line="440" w:lineRule="exact"/>
        <w:ind w:firstLine="422"/>
        <w:rPr>
          <w:rFonts w:ascii="宋体" w:hAnsi="宋体" w:cs="Arial"/>
          <w:b/>
          <w:bCs/>
          <w:color w:val="auto"/>
          <w:kern w:val="1"/>
          <w:szCs w:val="21"/>
          <w:highlight w:val="none"/>
        </w:rPr>
      </w:pPr>
      <w:bookmarkStart w:id="18" w:name="_Toc28359003"/>
      <w:bookmarkStart w:id="19" w:name="_Toc28359080"/>
      <w:bookmarkStart w:id="20" w:name="_Toc35393791"/>
      <w:bookmarkStart w:id="21" w:name="_Toc35393622"/>
      <w:bookmarkStart w:id="22" w:name="_Toc44405602"/>
      <w:r>
        <w:rPr>
          <w:rFonts w:hint="eastAsia" w:ascii="宋体" w:hAnsi="宋体" w:cs="Arial"/>
          <w:b/>
          <w:bCs/>
          <w:color w:val="auto"/>
          <w:kern w:val="1"/>
          <w:szCs w:val="21"/>
          <w:highlight w:val="none"/>
        </w:rPr>
        <w:t>二、投标人的资格要求：</w:t>
      </w:r>
      <w:bookmarkEnd w:id="18"/>
      <w:bookmarkEnd w:id="19"/>
      <w:bookmarkEnd w:id="20"/>
      <w:bookmarkEnd w:id="21"/>
      <w:bookmarkEnd w:id="22"/>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1.满足《中华人民共和国政府采购法》第二十二条规定；</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2. 落实政府采购政策需满足的资格要求：无</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3.本项目的特定资格要求：无</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5.对在“信用中国”网站(www.creditchina.gov.cn)、中国政府采购网(www.ccgp.gov.cn)等渠道列入失信被执行人、重大税收违法案件当事人名单、采购严重违法失信行为记录名单及其他不符合法律规定条件的供应商，不得参与采购活动；</w:t>
      </w:r>
      <w:r>
        <w:rPr>
          <w:rFonts w:ascii="宋体" w:hAnsi="宋体" w:cs="Arial"/>
          <w:color w:val="auto"/>
          <w:kern w:val="1"/>
          <w:szCs w:val="21"/>
          <w:highlight w:val="none"/>
        </w:rPr>
        <w:t xml:space="preserve"> </w:t>
      </w:r>
    </w:p>
    <w:p>
      <w:pPr>
        <w:spacing w:line="440" w:lineRule="exact"/>
        <w:ind w:firstLine="422"/>
        <w:rPr>
          <w:rFonts w:ascii="宋体" w:hAnsi="宋体" w:cs="Arial"/>
          <w:b/>
          <w:bCs/>
          <w:color w:val="auto"/>
          <w:kern w:val="1"/>
          <w:szCs w:val="21"/>
          <w:highlight w:val="none"/>
        </w:rPr>
      </w:pPr>
      <w:bookmarkStart w:id="23" w:name="_Toc35393623"/>
      <w:bookmarkStart w:id="24" w:name="_Toc35393792"/>
      <w:bookmarkStart w:id="25" w:name="_Toc44405603"/>
      <w:r>
        <w:rPr>
          <w:rFonts w:hint="eastAsia" w:ascii="宋体" w:hAnsi="宋体" w:cs="Arial"/>
          <w:b/>
          <w:bCs/>
          <w:color w:val="auto"/>
          <w:kern w:val="1"/>
          <w:szCs w:val="21"/>
          <w:highlight w:val="none"/>
        </w:rPr>
        <w:t>三、获取招标文件</w:t>
      </w:r>
      <w:bookmarkEnd w:id="23"/>
      <w:bookmarkEnd w:id="24"/>
      <w:bookmarkEnd w:id="25"/>
    </w:p>
    <w:p>
      <w:pPr>
        <w:spacing w:line="440" w:lineRule="exact"/>
        <w:ind w:firstLine="495"/>
        <w:rPr>
          <w:rFonts w:ascii="宋体" w:hAnsi="宋体" w:cs="Arial"/>
          <w:color w:val="auto"/>
          <w:kern w:val="1"/>
          <w:szCs w:val="21"/>
          <w:highlight w:val="none"/>
        </w:rPr>
      </w:pPr>
      <w:r>
        <w:rPr>
          <w:rFonts w:hint="eastAsia" w:ascii="宋体" w:hAnsi="宋体" w:cs="Arial"/>
          <w:color w:val="auto"/>
          <w:kern w:val="1"/>
          <w:szCs w:val="21"/>
          <w:highlight w:val="none"/>
        </w:rPr>
        <w:t>在</w:t>
      </w:r>
      <w:r>
        <w:rPr>
          <w:rFonts w:ascii="宋体" w:hAnsi="宋体" w:cs="Arial"/>
          <w:color w:val="auto"/>
          <w:kern w:val="1"/>
          <w:szCs w:val="21"/>
          <w:highlight w:val="none"/>
        </w:rPr>
        <w:t>南宁市公共资源交易中心网上</w:t>
      </w:r>
      <w:r>
        <w:rPr>
          <w:rFonts w:hint="eastAsia" w:ascii="宋体" w:hAnsi="宋体" w:cs="Arial"/>
          <w:color w:val="auto"/>
          <w:kern w:val="1"/>
          <w:szCs w:val="21"/>
          <w:highlight w:val="none"/>
        </w:rPr>
        <w:t>自行</w:t>
      </w:r>
      <w:r>
        <w:rPr>
          <w:rFonts w:ascii="宋体" w:hAnsi="宋体" w:cs="Arial"/>
          <w:color w:val="auto"/>
          <w:kern w:val="1"/>
          <w:szCs w:val="21"/>
          <w:highlight w:val="none"/>
        </w:rPr>
        <w:t>下载</w:t>
      </w:r>
      <w:r>
        <w:rPr>
          <w:rFonts w:hint="eastAsia" w:ascii="宋体" w:hAnsi="宋体" w:cs="Arial"/>
          <w:color w:val="auto"/>
          <w:kern w:val="1"/>
          <w:szCs w:val="21"/>
          <w:highlight w:val="none"/>
        </w:rPr>
        <w:t>，登陆南宁市公共资源交易中心网站（网址：</w:t>
      </w:r>
      <w:r>
        <w:rPr>
          <w:rFonts w:hint="eastAsia"/>
          <w:color w:val="auto"/>
          <w:highlight w:val="none"/>
        </w:rPr>
        <w:fldChar w:fldCharType="begin"/>
      </w:r>
      <w:r>
        <w:rPr>
          <w:color w:val="auto"/>
          <w:highlight w:val="none"/>
        </w:rPr>
        <w:instrText xml:space="preserve"> HYPERLINK "http://www.nnggzy.org.cn），在南宁市公共资源交易中心或各分支机构的采购公告栏内查找相关项目的采购公告，并点击该公告的附件，即可免费浏览或下载项目的招标" </w:instrText>
      </w:r>
      <w:r>
        <w:rPr>
          <w:rFonts w:hint="eastAsia"/>
          <w:color w:val="auto"/>
          <w:highlight w:val="none"/>
        </w:rPr>
        <w:fldChar w:fldCharType="separate"/>
      </w:r>
      <w:r>
        <w:rPr>
          <w:rFonts w:hint="eastAsia" w:ascii="宋体" w:hAnsi="宋体" w:cs="Arial"/>
          <w:color w:val="auto"/>
          <w:kern w:val="1"/>
          <w:szCs w:val="21"/>
          <w:highlight w:val="none"/>
        </w:rPr>
        <w:t>www.nnggzy.org.cn），在南宁市公共资源交易中心或各分支机构的采购公告栏内查找相关项目的采购公告，并点击该公告的附件，即可免费浏览或下载项目的招标</w:t>
      </w:r>
      <w:r>
        <w:rPr>
          <w:rFonts w:hint="eastAsia" w:ascii="宋体" w:hAnsi="宋体" w:cs="Arial"/>
          <w:color w:val="auto"/>
          <w:kern w:val="1"/>
          <w:szCs w:val="21"/>
          <w:highlight w:val="none"/>
        </w:rPr>
        <w:fldChar w:fldCharType="end"/>
      </w:r>
      <w:r>
        <w:rPr>
          <w:rFonts w:hint="eastAsia" w:ascii="宋体" w:hAnsi="宋体" w:cs="Arial"/>
          <w:color w:val="auto"/>
          <w:kern w:val="1"/>
          <w:szCs w:val="21"/>
          <w:highlight w:val="none"/>
        </w:rPr>
        <w:t>文件。</w:t>
      </w:r>
    </w:p>
    <w:p>
      <w:pPr>
        <w:spacing w:line="440" w:lineRule="exact"/>
        <w:ind w:firstLine="422"/>
        <w:rPr>
          <w:rFonts w:ascii="宋体" w:hAnsi="宋体" w:cs="Arial"/>
          <w:b/>
          <w:bCs/>
          <w:color w:val="auto"/>
          <w:kern w:val="1"/>
          <w:szCs w:val="21"/>
          <w:highlight w:val="none"/>
        </w:rPr>
      </w:pPr>
      <w:bookmarkStart w:id="26" w:name="_Toc28359082"/>
      <w:bookmarkStart w:id="27" w:name="_Toc28359005"/>
      <w:bookmarkStart w:id="28" w:name="_Toc44405604"/>
      <w:bookmarkStart w:id="29" w:name="_Toc35393624"/>
      <w:bookmarkStart w:id="30" w:name="_Toc35393793"/>
      <w:r>
        <w:rPr>
          <w:rFonts w:hint="eastAsia" w:ascii="宋体" w:hAnsi="宋体" w:cs="Arial"/>
          <w:b/>
          <w:bCs/>
          <w:color w:val="auto"/>
          <w:kern w:val="1"/>
          <w:szCs w:val="21"/>
          <w:highlight w:val="none"/>
        </w:rPr>
        <w:t>四、提交投标文件</w:t>
      </w:r>
      <w:bookmarkEnd w:id="26"/>
      <w:bookmarkEnd w:id="27"/>
      <w:r>
        <w:rPr>
          <w:rFonts w:hint="eastAsia" w:ascii="宋体" w:hAnsi="宋体" w:cs="Arial"/>
          <w:b/>
          <w:bCs/>
          <w:color w:val="auto"/>
          <w:kern w:val="1"/>
          <w:szCs w:val="21"/>
          <w:highlight w:val="none"/>
        </w:rPr>
        <w:t>截止时间、开标时间和地点</w:t>
      </w:r>
      <w:bookmarkEnd w:id="28"/>
      <w:bookmarkEnd w:id="29"/>
      <w:bookmarkEnd w:id="30"/>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1.投标截止时间：2020年</w:t>
      </w:r>
      <w:r>
        <w:rPr>
          <w:rFonts w:hint="eastAsia" w:ascii="宋体" w:hAnsi="宋体" w:cs="Arial"/>
          <w:color w:val="auto"/>
          <w:kern w:val="1"/>
          <w:szCs w:val="21"/>
          <w:highlight w:val="none"/>
          <w:lang w:val="en-US" w:eastAsia="zh-CN"/>
        </w:rPr>
        <w:t>12</w:t>
      </w:r>
      <w:r>
        <w:rPr>
          <w:rFonts w:hint="eastAsia" w:ascii="宋体" w:hAnsi="宋体" w:cs="Arial"/>
          <w:color w:val="auto"/>
          <w:kern w:val="1"/>
          <w:szCs w:val="21"/>
          <w:highlight w:val="none"/>
        </w:rPr>
        <w:t>月</w:t>
      </w:r>
      <w:r>
        <w:rPr>
          <w:rFonts w:hint="eastAsia" w:ascii="宋体" w:hAnsi="宋体" w:cs="Arial"/>
          <w:color w:val="auto"/>
          <w:kern w:val="1"/>
          <w:szCs w:val="21"/>
          <w:highlight w:val="none"/>
          <w:lang w:val="en-US" w:eastAsia="zh-CN"/>
        </w:rPr>
        <w:t>22</w:t>
      </w:r>
      <w:r>
        <w:rPr>
          <w:rFonts w:hint="eastAsia" w:ascii="宋体" w:hAnsi="宋体" w:cs="Arial"/>
          <w:color w:val="auto"/>
          <w:kern w:val="1"/>
          <w:szCs w:val="21"/>
          <w:highlight w:val="none"/>
        </w:rPr>
        <w:t>日上午9时30分</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2.1投标文件必须在投标截止时间前送达。采购代理机构工作人员签收邮寄包裹的时间即为投标人投标文件的送达时间，逾期送达的投标文件无效，后果由投标人自行承担。</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2.2投标人应充分预留投标文件邮寄、送达所需要的时间。为确保疫情防控期间邮寄包裹能及时送达，投标人应选择邮寄运送时间有保障的快递公司寄送投标文件。</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2.4投标文件邮寄地址：广西南宁市青秀区枫林路11号枫林蓝岸1栋一单元1101号（中昕国际项目管理有限公司），收件人：蒋工，联系电话：0771-5670450。</w:t>
      </w:r>
    </w:p>
    <w:p>
      <w:pPr>
        <w:spacing w:line="440" w:lineRule="exact"/>
        <w:ind w:firstLine="422"/>
        <w:rPr>
          <w:rFonts w:ascii="宋体" w:hAnsi="宋体" w:cs="Arial"/>
          <w:color w:val="auto"/>
          <w:kern w:val="1"/>
          <w:szCs w:val="21"/>
          <w:highlight w:val="none"/>
        </w:rPr>
      </w:pPr>
      <w:r>
        <w:rPr>
          <w:rFonts w:hint="eastAsia" w:ascii="宋体" w:hAnsi="宋体" w:cs="Arial"/>
          <w:color w:val="auto"/>
          <w:kern w:val="1"/>
          <w:szCs w:val="21"/>
          <w:highlight w:val="none"/>
        </w:rPr>
        <w:t>3.</w:t>
      </w:r>
      <w:r>
        <w:rPr>
          <w:rFonts w:ascii="宋体" w:hAnsi="宋体" w:cs="Arial"/>
          <w:color w:val="auto"/>
          <w:kern w:val="1"/>
          <w:szCs w:val="21"/>
          <w:highlight w:val="none"/>
        </w:rPr>
        <w:t xml:space="preserve"> 开标时间及地点：</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3.1本次招标将于2020年</w:t>
      </w:r>
      <w:r>
        <w:rPr>
          <w:rFonts w:hint="eastAsia" w:ascii="宋体" w:hAnsi="宋体" w:cs="Arial"/>
          <w:bCs/>
          <w:color w:val="auto"/>
          <w:kern w:val="1"/>
          <w:szCs w:val="21"/>
          <w:highlight w:val="none"/>
          <w:lang w:val="en-US" w:eastAsia="zh-CN"/>
        </w:rPr>
        <w:t>12</w:t>
      </w:r>
      <w:r>
        <w:rPr>
          <w:rFonts w:hint="eastAsia" w:ascii="宋体" w:hAnsi="宋体" w:cs="Arial"/>
          <w:bCs/>
          <w:color w:val="auto"/>
          <w:kern w:val="1"/>
          <w:szCs w:val="21"/>
          <w:highlight w:val="none"/>
        </w:rPr>
        <w:t>月</w:t>
      </w:r>
      <w:r>
        <w:rPr>
          <w:rFonts w:hint="eastAsia" w:ascii="宋体" w:hAnsi="宋体" w:cs="Arial"/>
          <w:bCs/>
          <w:color w:val="auto"/>
          <w:kern w:val="1"/>
          <w:szCs w:val="21"/>
          <w:highlight w:val="none"/>
          <w:lang w:val="en-US" w:eastAsia="zh-CN"/>
        </w:rPr>
        <w:t>22</w:t>
      </w:r>
      <w:r>
        <w:rPr>
          <w:rFonts w:hint="eastAsia" w:ascii="宋体" w:hAnsi="宋体" w:cs="Arial"/>
          <w:bCs/>
          <w:color w:val="auto"/>
          <w:kern w:val="1"/>
          <w:szCs w:val="21"/>
          <w:highlight w:val="none"/>
        </w:rPr>
        <w:t>日上午9时30分在南宁市良庆区玉洞大道33号（市青少年活动中心旁）南宁市公共资源交易中心开标厅（具体详见9楼电子显示屏场地安排）开标。</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3.2投标人不参加现场开标活动。</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3.3投标文件拆封及密封性检查：截标后，采购代理机构工作人员在公共资源交易中心工作人员和采购人的见证下拆开投标文件包封，采购人对投标文件密封性和投标文件正副本数量进行签字确认。</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3.4关于投标人的报价：由采购代理机构在投标文件商务技术符合性审查结束后，根据投标人的投标报价情况填写开标记录表，交由评标委员会对投标人的报价、交货期等内容进行签字确认。</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3.5关于投标文件澄清的有关要求</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40" w:lineRule="exact"/>
        <w:ind w:firstLine="422"/>
        <w:rPr>
          <w:rFonts w:ascii="宋体" w:hAnsi="宋体" w:cs="Arial"/>
          <w:bCs/>
          <w:color w:val="auto"/>
          <w:kern w:val="1"/>
          <w:szCs w:val="21"/>
          <w:highlight w:val="none"/>
        </w:rPr>
      </w:pPr>
      <w:r>
        <w:rPr>
          <w:rFonts w:hint="eastAsia" w:ascii="宋体" w:hAnsi="宋体" w:cs="Arial"/>
          <w:bCs/>
          <w:color w:val="auto"/>
          <w:kern w:val="1"/>
          <w:szCs w:val="21"/>
          <w:highlight w:val="none"/>
        </w:rPr>
        <w:t>3.5.3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22"/>
        <w:rPr>
          <w:rFonts w:ascii="宋体" w:hAnsi="宋体" w:cs="Arial"/>
          <w:b/>
          <w:bCs/>
          <w:color w:val="auto"/>
          <w:kern w:val="1"/>
          <w:szCs w:val="21"/>
          <w:highlight w:val="none"/>
        </w:rPr>
      </w:pPr>
      <w:bookmarkStart w:id="31" w:name="_Toc28359007"/>
      <w:bookmarkStart w:id="32" w:name="_Toc28359084"/>
      <w:bookmarkStart w:id="33" w:name="_Toc35393794"/>
      <w:bookmarkStart w:id="34" w:name="_Toc44405605"/>
      <w:bookmarkStart w:id="35" w:name="_Toc35393625"/>
      <w:r>
        <w:rPr>
          <w:rFonts w:hint="eastAsia" w:ascii="宋体" w:hAnsi="宋体" w:cs="Arial"/>
          <w:b/>
          <w:bCs/>
          <w:color w:val="auto"/>
          <w:kern w:val="1"/>
          <w:szCs w:val="21"/>
          <w:highlight w:val="none"/>
        </w:rPr>
        <w:t>五、公告期限</w:t>
      </w:r>
      <w:bookmarkEnd w:id="31"/>
      <w:bookmarkEnd w:id="32"/>
      <w:bookmarkEnd w:id="33"/>
      <w:bookmarkEnd w:id="34"/>
      <w:bookmarkEnd w:id="35"/>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自本公告发布之日起5个工作日。</w:t>
      </w:r>
    </w:p>
    <w:p>
      <w:pPr>
        <w:spacing w:line="440" w:lineRule="exact"/>
        <w:ind w:firstLine="422"/>
        <w:rPr>
          <w:rFonts w:ascii="宋体" w:hAnsi="宋体" w:cs="Arial"/>
          <w:b/>
          <w:bCs/>
          <w:color w:val="auto"/>
          <w:kern w:val="1"/>
          <w:szCs w:val="21"/>
          <w:highlight w:val="none"/>
        </w:rPr>
      </w:pPr>
      <w:bookmarkStart w:id="36" w:name="_Toc44405606"/>
      <w:bookmarkStart w:id="37" w:name="_Toc35393795"/>
      <w:bookmarkStart w:id="38" w:name="_Toc35393626"/>
      <w:r>
        <w:rPr>
          <w:rFonts w:hint="eastAsia" w:ascii="宋体" w:hAnsi="宋体" w:cs="Arial"/>
          <w:b/>
          <w:bCs/>
          <w:color w:val="auto"/>
          <w:kern w:val="1"/>
          <w:szCs w:val="21"/>
          <w:highlight w:val="none"/>
        </w:rPr>
        <w:t>六、其他补充事宜</w:t>
      </w:r>
      <w:bookmarkEnd w:id="36"/>
      <w:bookmarkEnd w:id="37"/>
      <w:bookmarkEnd w:id="38"/>
    </w:p>
    <w:p>
      <w:pPr>
        <w:spacing w:line="440" w:lineRule="exact"/>
        <w:ind w:firstLine="474"/>
        <w:rPr>
          <w:rFonts w:ascii="宋体" w:hAnsi="宋体" w:cs="Arial"/>
          <w:color w:val="auto"/>
          <w:kern w:val="1"/>
          <w:szCs w:val="21"/>
          <w:highlight w:val="none"/>
        </w:rPr>
      </w:pPr>
      <w:r>
        <w:rPr>
          <w:rFonts w:hint="eastAsia" w:ascii="宋体" w:hAnsi="宋体" w:cs="Arial"/>
          <w:b/>
          <w:bCs/>
          <w:color w:val="auto"/>
          <w:kern w:val="1"/>
          <w:szCs w:val="21"/>
          <w:highlight w:val="none"/>
        </w:rPr>
        <w:t>1.</w:t>
      </w:r>
      <w:r>
        <w:rPr>
          <w:rFonts w:ascii="宋体" w:hAnsi="宋体" w:cs="Arial"/>
          <w:b/>
          <w:bCs/>
          <w:color w:val="auto"/>
          <w:kern w:val="1"/>
          <w:szCs w:val="21"/>
          <w:highlight w:val="none"/>
        </w:rPr>
        <w:t>投标保证金</w:t>
      </w:r>
      <w:r>
        <w:rPr>
          <w:rFonts w:ascii="宋体" w:hAnsi="宋体" w:cs="Arial"/>
          <w:color w:val="auto"/>
          <w:kern w:val="1"/>
          <w:szCs w:val="21"/>
          <w:highlight w:val="none"/>
        </w:rPr>
        <w:t>：</w:t>
      </w:r>
    </w:p>
    <w:p>
      <w:pPr>
        <w:spacing w:line="440" w:lineRule="exact"/>
        <w:ind w:firstLine="422"/>
        <w:rPr>
          <w:rFonts w:ascii="宋体" w:hAnsi="宋体" w:cs="Arial"/>
          <w:b/>
          <w:color w:val="auto"/>
          <w:kern w:val="1"/>
          <w:szCs w:val="21"/>
          <w:highlight w:val="none"/>
        </w:rPr>
      </w:pPr>
      <w:r>
        <w:rPr>
          <w:rFonts w:ascii="宋体" w:hAnsi="宋体" w:cs="Arial"/>
          <w:color w:val="auto"/>
          <w:kern w:val="1"/>
          <w:szCs w:val="21"/>
          <w:highlight w:val="none"/>
        </w:rPr>
        <w:t>投标保证金（人民币）：</w:t>
      </w:r>
      <w:r>
        <w:rPr>
          <w:rFonts w:hint="eastAsia" w:ascii="宋体" w:hAnsi="宋体" w:cs="Arial"/>
          <w:b/>
          <w:bCs/>
          <w:color w:val="auto"/>
          <w:kern w:val="1"/>
          <w:szCs w:val="21"/>
          <w:highlight w:val="none"/>
        </w:rPr>
        <w:t>无</w:t>
      </w:r>
    </w:p>
    <w:p>
      <w:pPr>
        <w:spacing w:line="440" w:lineRule="exact"/>
        <w:ind w:firstLine="422"/>
        <w:rPr>
          <w:rFonts w:ascii="宋体" w:hAnsi="宋体" w:cs="Arial"/>
          <w:b/>
          <w:color w:val="auto"/>
          <w:kern w:val="1"/>
          <w:szCs w:val="21"/>
          <w:highlight w:val="none"/>
        </w:rPr>
      </w:pPr>
      <w:r>
        <w:rPr>
          <w:rFonts w:hint="eastAsia" w:ascii="宋体" w:hAnsi="宋体" w:cs="Arial"/>
          <w:b/>
          <w:color w:val="auto"/>
          <w:kern w:val="1"/>
          <w:szCs w:val="21"/>
          <w:highlight w:val="none"/>
        </w:rPr>
        <w:t>2.</w:t>
      </w:r>
      <w:r>
        <w:rPr>
          <w:rFonts w:ascii="宋体" w:hAnsi="宋体" w:cs="Arial"/>
          <w:b/>
          <w:color w:val="auto"/>
          <w:kern w:val="1"/>
          <w:szCs w:val="21"/>
          <w:highlight w:val="none"/>
        </w:rPr>
        <w:t xml:space="preserve"> 网上查询地址：</w:t>
      </w:r>
    </w:p>
    <w:p>
      <w:pPr>
        <w:spacing w:line="440" w:lineRule="exact"/>
        <w:ind w:firstLine="420"/>
        <w:rPr>
          <w:rFonts w:ascii="宋体" w:hAnsi="宋体" w:cs="宋体"/>
          <w:color w:val="auto"/>
          <w:kern w:val="1"/>
          <w:szCs w:val="21"/>
          <w:highlight w:val="none"/>
        </w:rPr>
      </w:pP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highlight w:val="none"/>
        </w:rPr>
        <w:t xml:space="preserve"> www.ccgp.gov.cn（中国政府采购网），www.gxzfcg.gov.cn（广西壮族自治区政府采购网）， http://zfcg.nanning.gov.cn/index.do（南宁政府采购网），</w:t>
      </w:r>
      <w:r>
        <w:rPr>
          <w:rFonts w:ascii="宋体" w:hAnsi="宋体"/>
          <w:color w:val="auto"/>
          <w:highlight w:val="none"/>
        </w:rPr>
        <w:t>www.nnggzy.org.cn</w:t>
      </w:r>
      <w:r>
        <w:rPr>
          <w:rFonts w:hint="eastAsia" w:ascii="宋体" w:hAnsi="宋体"/>
          <w:color w:val="auto"/>
          <w:highlight w:val="none"/>
        </w:rPr>
        <w:t>（南宁市公共资源交易中心网）</w:t>
      </w:r>
      <w:r>
        <w:rPr>
          <w:rFonts w:ascii="宋体" w:hAnsi="宋体" w:cs="宋体"/>
          <w:color w:val="auto"/>
          <w:kern w:val="1"/>
          <w:szCs w:val="21"/>
          <w:highlight w:val="none"/>
        </w:rPr>
        <w:t>。</w:t>
      </w:r>
      <w:r>
        <w:rPr>
          <w:rFonts w:ascii="宋体" w:hAnsi="宋体" w:cs="宋体"/>
          <w:color w:val="auto"/>
          <w:kern w:val="1"/>
          <w:szCs w:val="21"/>
          <w:highlight w:val="none"/>
        </w:rPr>
        <w:fldChar w:fldCharType="end"/>
      </w:r>
    </w:p>
    <w:p>
      <w:pPr>
        <w:snapToGrid w:val="0"/>
        <w:spacing w:line="440" w:lineRule="exact"/>
        <w:ind w:firstLine="422" w:firstLineChars="200"/>
        <w:rPr>
          <w:rFonts w:ascii="宋体" w:hAnsi="宋体"/>
          <w:b/>
          <w:color w:val="auto"/>
          <w:szCs w:val="21"/>
          <w:highlight w:val="none"/>
        </w:rPr>
      </w:pPr>
      <w:r>
        <w:rPr>
          <w:rFonts w:hint="eastAsia" w:ascii="宋体" w:hAnsi="宋体" w:cs="Arial"/>
          <w:b/>
          <w:color w:val="auto"/>
          <w:kern w:val="1"/>
          <w:szCs w:val="21"/>
          <w:highlight w:val="none"/>
        </w:rPr>
        <w:t>3.</w:t>
      </w:r>
      <w:r>
        <w:rPr>
          <w:rFonts w:hint="eastAsia" w:ascii="宋体" w:hAnsi="宋体"/>
          <w:b/>
          <w:color w:val="auto"/>
          <w:szCs w:val="21"/>
          <w:highlight w:val="none"/>
        </w:rPr>
        <w:t xml:space="preserve"> 本项目需要落实的政府采购政策：</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1.《政府采购促进中小企业发展暂行办法》（财库〔2011〕181号）。</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2.政府采购支持采用本国产品的政策。</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3.强制采购、优先采购环境标志产品、节能产品。 </w:t>
      </w:r>
    </w:p>
    <w:p>
      <w:pPr>
        <w:snapToGrid w:val="0"/>
        <w:spacing w:line="440" w:lineRule="exact"/>
        <w:ind w:firstLine="420" w:firstLineChars="200"/>
        <w:rPr>
          <w:rFonts w:ascii="宋体" w:hAnsi="宋体"/>
          <w:bCs/>
          <w:color w:val="auto"/>
          <w:highlight w:val="none"/>
        </w:rPr>
      </w:pPr>
      <w:r>
        <w:rPr>
          <w:rFonts w:hint="eastAsia" w:ascii="宋体" w:hAnsi="宋体"/>
          <w:color w:val="auto"/>
          <w:szCs w:val="21"/>
          <w:highlight w:val="none"/>
        </w:rPr>
        <w:t>4.</w:t>
      </w:r>
      <w:r>
        <w:rPr>
          <w:rFonts w:hint="eastAsia" w:ascii="宋体" w:hAnsi="宋体"/>
          <w:bCs/>
          <w:color w:val="auto"/>
          <w:highlight w:val="none"/>
        </w:rPr>
        <w:t>《财政部、司法部关于政府采购支持监狱企业发展有关问题的通知》（财库〔2014〕68号）。</w:t>
      </w:r>
    </w:p>
    <w:p>
      <w:pPr>
        <w:snapToGrid w:val="0"/>
        <w:spacing w:line="440" w:lineRule="exact"/>
        <w:ind w:firstLine="420" w:firstLineChars="200"/>
        <w:rPr>
          <w:rFonts w:ascii="宋体" w:hAnsi="宋体"/>
          <w:color w:val="auto"/>
          <w:szCs w:val="21"/>
          <w:highlight w:val="none"/>
          <w:shd w:val="clear" w:color="auto" w:fill="FFFFFF"/>
        </w:rPr>
      </w:pPr>
      <w:r>
        <w:rPr>
          <w:rFonts w:hint="eastAsia" w:ascii="宋体" w:hAnsi="宋体"/>
          <w:bCs/>
          <w:color w:val="auto"/>
          <w:highlight w:val="none"/>
        </w:rPr>
        <w:t>5.</w:t>
      </w:r>
      <w:r>
        <w:rPr>
          <w:rFonts w:hint="eastAsia" w:ascii="宋体" w:hAnsi="宋体"/>
          <w:color w:val="auto"/>
          <w:highlight w:val="none"/>
        </w:rPr>
        <w:t xml:space="preserve"> </w:t>
      </w:r>
      <w:r>
        <w:rPr>
          <w:rFonts w:hint="eastAsia" w:ascii="宋体" w:hAnsi="宋体"/>
          <w:bCs/>
          <w:color w:val="auto"/>
          <w:highlight w:val="none"/>
        </w:rPr>
        <w:t>《关于促进残疾人就业政府采购政策的通知》（财库〔2017〕141号）。</w:t>
      </w:r>
    </w:p>
    <w:p>
      <w:pPr>
        <w:spacing w:line="440" w:lineRule="exact"/>
        <w:ind w:firstLine="422"/>
        <w:rPr>
          <w:rFonts w:ascii="宋体" w:hAnsi="宋体" w:cs="Arial"/>
          <w:b/>
          <w:bCs/>
          <w:color w:val="auto"/>
          <w:kern w:val="1"/>
          <w:szCs w:val="21"/>
          <w:highlight w:val="none"/>
        </w:rPr>
      </w:pPr>
      <w:bookmarkStart w:id="39" w:name="_Toc28359085"/>
      <w:bookmarkStart w:id="40" w:name="_Toc28359008"/>
      <w:bookmarkStart w:id="41" w:name="_Toc35393627"/>
      <w:bookmarkStart w:id="42" w:name="_Toc35393796"/>
      <w:bookmarkStart w:id="43" w:name="_Toc44405607"/>
      <w:r>
        <w:rPr>
          <w:rFonts w:hint="eastAsia" w:ascii="宋体" w:hAnsi="宋体" w:cs="Arial"/>
          <w:b/>
          <w:bCs/>
          <w:color w:val="auto"/>
          <w:kern w:val="1"/>
          <w:szCs w:val="21"/>
          <w:highlight w:val="none"/>
        </w:rPr>
        <w:t>七、对本次招标提出询问，请按</w:t>
      </w:r>
      <w:r>
        <w:rPr>
          <w:rFonts w:ascii="宋体" w:hAnsi="宋体" w:cs="Arial"/>
          <w:b/>
          <w:bCs/>
          <w:color w:val="auto"/>
          <w:kern w:val="1"/>
          <w:szCs w:val="21"/>
          <w:highlight w:val="none"/>
        </w:rPr>
        <w:t>以下方式</w:t>
      </w:r>
      <w:r>
        <w:rPr>
          <w:rFonts w:hint="eastAsia" w:ascii="宋体" w:hAnsi="宋体" w:cs="Arial"/>
          <w:b/>
          <w:bCs/>
          <w:color w:val="auto"/>
          <w:kern w:val="1"/>
          <w:szCs w:val="21"/>
          <w:highlight w:val="none"/>
        </w:rPr>
        <w:t>联系。</w:t>
      </w:r>
      <w:bookmarkEnd w:id="39"/>
      <w:bookmarkEnd w:id="40"/>
      <w:bookmarkEnd w:id="41"/>
      <w:bookmarkEnd w:id="42"/>
      <w:bookmarkEnd w:id="43"/>
    </w:p>
    <w:p>
      <w:pPr>
        <w:spacing w:line="440" w:lineRule="exact"/>
        <w:ind w:firstLine="420"/>
        <w:rPr>
          <w:rFonts w:ascii="宋体" w:hAnsi="宋体" w:cs="Arial"/>
          <w:color w:val="auto"/>
          <w:kern w:val="1"/>
          <w:szCs w:val="21"/>
          <w:highlight w:val="none"/>
        </w:rPr>
      </w:pPr>
      <w:r>
        <w:rPr>
          <w:rFonts w:ascii="宋体" w:hAnsi="宋体" w:cs="Arial"/>
          <w:color w:val="auto"/>
          <w:kern w:val="1"/>
          <w:szCs w:val="21"/>
          <w:highlight w:val="none"/>
        </w:rPr>
        <w:t>1、</w:t>
      </w:r>
      <w:r>
        <w:rPr>
          <w:rFonts w:hint="eastAsia" w:ascii="宋体" w:hAnsi="宋体" w:cs="Arial"/>
          <w:color w:val="auto"/>
          <w:kern w:val="1"/>
          <w:szCs w:val="21"/>
          <w:highlight w:val="none"/>
        </w:rPr>
        <w:t>采购人：南宁职业技术学院</w:t>
      </w:r>
    </w:p>
    <w:p>
      <w:pPr>
        <w:spacing w:line="440" w:lineRule="exact"/>
        <w:ind w:firstLine="420"/>
        <w:rPr>
          <w:rFonts w:ascii="宋体" w:hAnsi="宋体" w:cs="Arial"/>
          <w:color w:val="auto"/>
          <w:kern w:val="1"/>
          <w:szCs w:val="21"/>
          <w:highlight w:val="none"/>
        </w:rPr>
      </w:pPr>
      <w:r>
        <w:rPr>
          <w:rFonts w:hint="eastAsia" w:ascii="宋体" w:hAnsi="宋体" w:cs="Arial"/>
          <w:color w:val="auto"/>
          <w:kern w:val="1"/>
          <w:szCs w:val="21"/>
          <w:highlight w:val="none"/>
        </w:rPr>
        <w:t xml:space="preserve">联系人：莫老师  联系电话：0771-2029355  联系地址：广西南宁市西乡塘区大学西路169号  </w:t>
      </w:r>
    </w:p>
    <w:p>
      <w:pPr>
        <w:spacing w:line="440" w:lineRule="exact"/>
        <w:ind w:firstLine="420"/>
        <w:rPr>
          <w:rFonts w:ascii="宋体" w:hAnsi="宋体" w:cs="Arial"/>
          <w:color w:val="auto"/>
          <w:kern w:val="1"/>
          <w:szCs w:val="21"/>
          <w:highlight w:val="none"/>
        </w:rPr>
      </w:pPr>
      <w:r>
        <w:rPr>
          <w:rFonts w:ascii="宋体" w:hAnsi="宋体" w:cs="Arial"/>
          <w:color w:val="auto"/>
          <w:kern w:val="1"/>
          <w:szCs w:val="21"/>
          <w:highlight w:val="none"/>
        </w:rPr>
        <w:t>2、采购代理机构：</w:t>
      </w:r>
      <w:r>
        <w:rPr>
          <w:rFonts w:hint="eastAsia" w:ascii="宋体" w:hAnsi="宋体" w:cs="Arial"/>
          <w:color w:val="auto"/>
          <w:kern w:val="1"/>
          <w:szCs w:val="21"/>
          <w:highlight w:val="none"/>
        </w:rPr>
        <w:t>中昕国际项目管理有限公司</w:t>
      </w:r>
      <w:r>
        <w:rPr>
          <w:rFonts w:ascii="宋体" w:hAnsi="宋体" w:cs="Arial"/>
          <w:color w:val="auto"/>
          <w:kern w:val="1"/>
          <w:szCs w:val="21"/>
          <w:highlight w:val="none"/>
        </w:rPr>
        <w:t>；</w:t>
      </w:r>
    </w:p>
    <w:p>
      <w:pPr>
        <w:spacing w:line="440" w:lineRule="exact"/>
        <w:ind w:firstLine="420"/>
        <w:rPr>
          <w:rFonts w:ascii="宋体" w:hAnsi="宋体" w:cs="Arial"/>
          <w:color w:val="auto"/>
          <w:kern w:val="1"/>
          <w:szCs w:val="21"/>
          <w:highlight w:val="none"/>
        </w:rPr>
      </w:pPr>
      <w:r>
        <w:rPr>
          <w:rFonts w:ascii="宋体" w:hAnsi="宋体" w:cs="Arial"/>
          <w:color w:val="auto"/>
          <w:kern w:val="1"/>
          <w:szCs w:val="21"/>
          <w:highlight w:val="none"/>
        </w:rPr>
        <w:t>项目联系人：</w:t>
      </w:r>
      <w:r>
        <w:rPr>
          <w:rFonts w:hint="eastAsia" w:ascii="宋体" w:hAnsi="宋体" w:cs="Arial"/>
          <w:color w:val="auto"/>
          <w:kern w:val="1"/>
          <w:szCs w:val="21"/>
          <w:highlight w:val="none"/>
        </w:rPr>
        <w:t>余晖</w:t>
      </w:r>
      <w:r>
        <w:rPr>
          <w:rFonts w:ascii="宋体" w:hAnsi="宋体" w:cs="Arial"/>
          <w:color w:val="auto"/>
          <w:kern w:val="1"/>
          <w:szCs w:val="21"/>
          <w:highlight w:val="none"/>
        </w:rPr>
        <w:t>；联系电话：0771-</w:t>
      </w:r>
      <w:r>
        <w:rPr>
          <w:rFonts w:hint="eastAsia" w:ascii="宋体" w:hAnsi="宋体" w:cs="Arial"/>
          <w:color w:val="auto"/>
          <w:kern w:val="1"/>
          <w:szCs w:val="21"/>
          <w:highlight w:val="none"/>
        </w:rPr>
        <w:t>5670450</w:t>
      </w:r>
      <w:r>
        <w:rPr>
          <w:rFonts w:ascii="宋体" w:hAnsi="宋体" w:cs="Arial"/>
          <w:color w:val="auto"/>
          <w:kern w:val="1"/>
          <w:szCs w:val="21"/>
          <w:highlight w:val="none"/>
        </w:rPr>
        <w:t>传真：0771-</w:t>
      </w:r>
      <w:r>
        <w:rPr>
          <w:rFonts w:hint="eastAsia" w:ascii="宋体" w:hAnsi="宋体" w:cs="Arial"/>
          <w:color w:val="auto"/>
          <w:kern w:val="1"/>
          <w:szCs w:val="21"/>
          <w:highlight w:val="none"/>
        </w:rPr>
        <w:t>5670645</w:t>
      </w:r>
      <w:r>
        <w:rPr>
          <w:rFonts w:ascii="宋体" w:hAnsi="宋体" w:cs="Arial"/>
          <w:color w:val="auto"/>
          <w:kern w:val="1"/>
          <w:szCs w:val="21"/>
          <w:highlight w:val="none"/>
        </w:rPr>
        <w:t>；</w:t>
      </w:r>
    </w:p>
    <w:p>
      <w:pPr>
        <w:spacing w:line="440" w:lineRule="exact"/>
        <w:ind w:firstLine="420"/>
        <w:rPr>
          <w:rFonts w:ascii="宋体" w:hAnsi="宋体" w:cs="Arial"/>
          <w:color w:val="auto"/>
          <w:kern w:val="1"/>
          <w:szCs w:val="21"/>
          <w:highlight w:val="none"/>
        </w:rPr>
      </w:pPr>
      <w:r>
        <w:rPr>
          <w:rFonts w:ascii="宋体" w:hAnsi="宋体" w:cs="Arial"/>
          <w:color w:val="auto"/>
          <w:kern w:val="1"/>
          <w:szCs w:val="21"/>
          <w:highlight w:val="none"/>
        </w:rPr>
        <w:t>联系地址：</w:t>
      </w:r>
      <w:r>
        <w:rPr>
          <w:rFonts w:hint="eastAsia" w:ascii="宋体" w:hAnsi="宋体" w:cs="Arial"/>
          <w:color w:val="auto"/>
          <w:kern w:val="1"/>
          <w:szCs w:val="21"/>
          <w:highlight w:val="none"/>
        </w:rPr>
        <w:t>南宁市青秀区枫林路11号枫林蓝岸1号楼1单元1101号 。</w:t>
      </w:r>
    </w:p>
    <w:p>
      <w:pPr>
        <w:snapToGrid w:val="0"/>
        <w:spacing w:line="440" w:lineRule="exact"/>
        <w:ind w:firstLine="420"/>
        <w:jc w:val="right"/>
        <w:rPr>
          <w:rFonts w:ascii="宋体" w:hAnsi="宋体" w:cs="宋体"/>
          <w:color w:val="auto"/>
          <w:kern w:val="1"/>
          <w:szCs w:val="21"/>
          <w:highlight w:val="none"/>
        </w:rPr>
      </w:pPr>
      <w:r>
        <w:rPr>
          <w:rFonts w:hint="eastAsia" w:ascii="宋体" w:hAnsi="宋体" w:cs="Arial"/>
          <w:color w:val="auto"/>
          <w:kern w:val="1"/>
          <w:szCs w:val="21"/>
          <w:highlight w:val="none"/>
        </w:rPr>
        <w:t>中昕国际项目管理有限公司</w:t>
      </w:r>
    </w:p>
    <w:p>
      <w:pPr>
        <w:spacing w:line="440" w:lineRule="exact"/>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u w:val="single"/>
        </w:rPr>
        <w:t>20</w:t>
      </w:r>
      <w:r>
        <w:rPr>
          <w:rFonts w:hint="eastAsia" w:ascii="宋体" w:hAnsi="宋体" w:cs="宋体"/>
          <w:color w:val="auto"/>
          <w:szCs w:val="21"/>
          <w:highlight w:val="none"/>
          <w:u w:val="single"/>
        </w:rPr>
        <w:t>20</w:t>
      </w:r>
      <w:r>
        <w:rPr>
          <w:rFonts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ascii="宋体" w:hAnsi="宋体" w:cs="宋体"/>
          <w:color w:val="auto"/>
          <w:szCs w:val="21"/>
          <w:highlight w:val="none"/>
        </w:rPr>
        <w:t>月</w:t>
      </w:r>
      <w:r>
        <w:rPr>
          <w:rFonts w:hint="eastAsia" w:ascii="宋体" w:hAnsi="宋体" w:cs="宋体"/>
          <w:color w:val="auto"/>
          <w:szCs w:val="21"/>
          <w:highlight w:val="none"/>
          <w:u w:val="single"/>
          <w:lang w:val="en-US" w:eastAsia="zh-CN"/>
        </w:rPr>
        <w:t>01</w:t>
      </w:r>
      <w:r>
        <w:rPr>
          <w:rFonts w:ascii="宋体" w:hAnsi="宋体" w:cs="宋体"/>
          <w:color w:val="auto"/>
          <w:szCs w:val="21"/>
          <w:highlight w:val="none"/>
        </w:rPr>
        <w:t>日</w:t>
      </w:r>
    </w:p>
    <w:p>
      <w:pPr>
        <w:pStyle w:val="18"/>
        <w:spacing w:line="360" w:lineRule="auto"/>
        <w:jc w:val="center"/>
        <w:outlineLvl w:val="0"/>
        <w:rPr>
          <w:rFonts w:ascii="Times New Roman" w:hAnsi="Times New Roman"/>
          <w:b/>
          <w:color w:val="auto"/>
          <w:sz w:val="36"/>
          <w:highlight w:val="none"/>
        </w:rPr>
      </w:pPr>
      <w:bookmarkStart w:id="44" w:name="_Toc213325921"/>
      <w:bookmarkStart w:id="45" w:name="_Toc139967215"/>
      <w:bookmarkStart w:id="46" w:name="_Toc139966431"/>
      <w:bookmarkStart w:id="47" w:name="_Toc495996893"/>
      <w:bookmarkStart w:id="48" w:name="_Toc213206172"/>
      <w:r>
        <w:rPr>
          <w:rFonts w:hint="eastAsia" w:ascii="Times New Roman" w:hAnsi="Times New Roman"/>
          <w:b/>
          <w:color w:val="auto"/>
          <w:sz w:val="36"/>
          <w:highlight w:val="none"/>
        </w:rPr>
        <w:t>第二章  项目需求一览表</w:t>
      </w:r>
      <w:bookmarkEnd w:id="44"/>
      <w:bookmarkEnd w:id="45"/>
      <w:bookmarkEnd w:id="46"/>
      <w:bookmarkEnd w:id="47"/>
      <w:bookmarkEnd w:id="48"/>
    </w:p>
    <w:p>
      <w:pPr>
        <w:spacing w:line="360" w:lineRule="exact"/>
        <w:rPr>
          <w:rFonts w:hAnsi="宋体"/>
          <w:b/>
          <w:color w:val="auto"/>
          <w:szCs w:val="21"/>
          <w:highlight w:val="none"/>
        </w:rPr>
      </w:pPr>
      <w:bookmarkStart w:id="49" w:name="_Toc213206173"/>
      <w:bookmarkStart w:id="50" w:name="_Toc139966432"/>
      <w:bookmarkStart w:id="51" w:name="_Toc213325922"/>
      <w:bookmarkStart w:id="52" w:name="_Toc139967216"/>
      <w:r>
        <w:rPr>
          <w:rFonts w:hint="eastAsia" w:hAnsi="宋体"/>
          <w:b/>
          <w:color w:val="auto"/>
          <w:szCs w:val="21"/>
          <w:highlight w:val="none"/>
        </w:rPr>
        <w:t>说明：</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2、供应商应注意下列内容：</w:t>
      </w:r>
    </w:p>
    <w:p>
      <w:pPr>
        <w:spacing w:line="320" w:lineRule="exact"/>
        <w:ind w:firstLine="422" w:firstLineChars="200"/>
        <w:rPr>
          <w:rFonts w:ascii="宋体" w:hAnsi="宋体"/>
          <w:b/>
          <w:color w:val="auto"/>
          <w:szCs w:val="21"/>
          <w:highlight w:val="none"/>
        </w:rPr>
      </w:pPr>
      <w:r>
        <w:rPr>
          <w:rFonts w:hint="eastAsia" w:ascii="宋体" w:hAnsi="宋体"/>
          <w:b/>
          <w:color w:val="auto"/>
          <w:szCs w:val="21"/>
          <w:highlight w:val="none"/>
        </w:rPr>
        <w:t>招标文件中带“★ ”的条款为本次采购的实质性的商务、技术或服务要求，供应商须满足或响应，若无法完全满足，将会被认定为无效投标。</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3、本项目需求一览表中的内容如与第六章“合同条款及格式”相关条款不一致的，以本表为准。</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4、供应商应承诺投标文件中提供的证明材料和资质文件真实，如出现虚假应标情况，供应商除了应接受有关部门的处罚外，还应依据《中华人民共和国合同法》的相关条款来确定赔偿金额。</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5、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 。若采购货物含有此类产品时，投标人的投标货物必须使用政府强制采购的节能产品，投标人在投标文件中必须提供所投产品有效的认证证书（加盖投标人公章），否则相应投标无效。</w:t>
      </w:r>
    </w:p>
    <w:p>
      <w:pPr>
        <w:spacing w:line="320" w:lineRule="exact"/>
        <w:ind w:firstLine="420" w:firstLineChars="200"/>
        <w:rPr>
          <w:rFonts w:hint="eastAsia" w:hAnsi="宋体"/>
          <w:b/>
          <w:bCs/>
          <w:color w:val="auto"/>
          <w:highlight w:val="none"/>
        </w:rPr>
      </w:pPr>
      <w:r>
        <w:rPr>
          <w:rFonts w:hint="eastAsia" w:ascii="宋体" w:hAnsi="宋体"/>
          <w:color w:val="auto"/>
          <w:szCs w:val="21"/>
          <w:highlight w:val="none"/>
        </w:rPr>
        <w:t>6、</w:t>
      </w:r>
      <w:r>
        <w:rPr>
          <w:rFonts w:hAnsi="宋体"/>
          <w:b/>
          <w:bCs/>
          <w:color w:val="auto"/>
          <w:highlight w:val="none"/>
        </w:rPr>
        <w:t>本次</w:t>
      </w:r>
      <w:r>
        <w:rPr>
          <w:rFonts w:hint="eastAsia" w:hAnsi="宋体"/>
          <w:b/>
          <w:bCs/>
          <w:color w:val="auto"/>
          <w:highlight w:val="none"/>
          <w:lang w:val="en-US" w:eastAsia="zh-CN"/>
        </w:rPr>
        <w:t>A分标</w:t>
      </w:r>
      <w:r>
        <w:rPr>
          <w:rFonts w:hAnsi="宋体"/>
          <w:b/>
          <w:bCs/>
          <w:color w:val="auto"/>
          <w:highlight w:val="none"/>
        </w:rPr>
        <w:t>货物采购最高限价</w:t>
      </w:r>
      <w:r>
        <w:rPr>
          <w:rFonts w:hint="eastAsia" w:hAnsi="宋体"/>
          <w:b/>
          <w:bCs/>
          <w:color w:val="auto"/>
          <w:highlight w:val="none"/>
        </w:rPr>
        <w:t>：</w:t>
      </w:r>
      <w:r>
        <w:rPr>
          <w:rFonts w:hint="eastAsia" w:ascii="宋体" w:hAnsi="宋体" w:cs="Arial"/>
          <w:b/>
          <w:bCs/>
          <w:color w:val="auto"/>
          <w:kern w:val="1"/>
          <w:szCs w:val="21"/>
          <w:highlight w:val="none"/>
          <w:lang w:val="en-US" w:eastAsia="zh-CN"/>
        </w:rPr>
        <w:t>叁拾陆万元整（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eastAsia="zh-CN"/>
        </w:rPr>
        <w:t>360000</w:t>
      </w:r>
      <w:r>
        <w:rPr>
          <w:rFonts w:hint="eastAsia" w:ascii="宋体" w:hAnsi="宋体" w:cs="Arial"/>
          <w:b/>
          <w:bCs/>
          <w:color w:val="auto"/>
          <w:kern w:val="1"/>
          <w:szCs w:val="21"/>
          <w:highlight w:val="none"/>
          <w:lang w:val="en-US" w:eastAsia="zh-CN"/>
        </w:rPr>
        <w:t>.00）</w:t>
      </w:r>
      <w:r>
        <w:rPr>
          <w:rFonts w:hint="eastAsia" w:hAnsi="宋体"/>
          <w:b/>
          <w:bCs/>
          <w:color w:val="auto"/>
          <w:highlight w:val="none"/>
          <w:lang w:eastAsia="zh-CN"/>
        </w:rPr>
        <w:t>；</w:t>
      </w:r>
      <w:r>
        <w:rPr>
          <w:rFonts w:hint="eastAsia" w:hAnsi="宋体"/>
          <w:b/>
          <w:bCs/>
          <w:color w:val="auto"/>
          <w:highlight w:val="none"/>
          <w:lang w:val="en-US" w:eastAsia="zh-CN"/>
        </w:rPr>
        <w:t>B分标</w:t>
      </w:r>
      <w:r>
        <w:rPr>
          <w:rFonts w:hint="eastAsia" w:hAnsi="宋体"/>
          <w:b/>
          <w:bCs/>
          <w:color w:val="auto"/>
          <w:highlight w:val="none"/>
          <w:lang w:eastAsia="zh-CN"/>
        </w:rPr>
        <w:t>货物</w:t>
      </w:r>
      <w:r>
        <w:rPr>
          <w:rFonts w:hAnsi="宋体"/>
          <w:b/>
          <w:bCs/>
          <w:color w:val="auto"/>
          <w:highlight w:val="none"/>
        </w:rPr>
        <w:t>货物采购最高限价</w:t>
      </w:r>
      <w:r>
        <w:rPr>
          <w:rFonts w:hint="eastAsia" w:hAnsi="宋体"/>
          <w:b/>
          <w:bCs/>
          <w:color w:val="auto"/>
          <w:highlight w:val="none"/>
        </w:rPr>
        <w:t>：</w:t>
      </w:r>
      <w:r>
        <w:rPr>
          <w:rFonts w:hint="eastAsia" w:ascii="宋体" w:hAnsi="宋体" w:cs="Arial"/>
          <w:b/>
          <w:bCs/>
          <w:color w:val="auto"/>
          <w:kern w:val="1"/>
          <w:szCs w:val="21"/>
          <w:highlight w:val="none"/>
          <w:lang w:val="en-US" w:eastAsia="zh-CN"/>
        </w:rPr>
        <w:t>陆万元整（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eastAsia="zh-CN"/>
        </w:rPr>
        <w:t>60000</w:t>
      </w:r>
      <w:r>
        <w:rPr>
          <w:rFonts w:hint="eastAsia" w:ascii="宋体" w:hAnsi="宋体" w:cs="Arial"/>
          <w:b/>
          <w:bCs/>
          <w:color w:val="auto"/>
          <w:kern w:val="1"/>
          <w:szCs w:val="21"/>
          <w:highlight w:val="none"/>
          <w:lang w:val="en-US" w:eastAsia="zh-CN"/>
        </w:rPr>
        <w:t>.00）；</w:t>
      </w:r>
      <w:r>
        <w:rPr>
          <w:rFonts w:hint="eastAsia" w:hAnsi="宋体"/>
          <w:b/>
          <w:bCs/>
          <w:color w:val="auto"/>
          <w:highlight w:val="none"/>
          <w:lang w:val="en-US" w:eastAsia="zh-CN"/>
        </w:rPr>
        <w:t>C分标</w:t>
      </w:r>
      <w:r>
        <w:rPr>
          <w:rFonts w:hAnsi="宋体"/>
          <w:b/>
          <w:bCs/>
          <w:color w:val="auto"/>
          <w:highlight w:val="none"/>
        </w:rPr>
        <w:t>货物采购最高限价</w:t>
      </w:r>
      <w:r>
        <w:rPr>
          <w:rFonts w:hint="eastAsia" w:hAnsi="宋体"/>
          <w:b/>
          <w:bCs/>
          <w:color w:val="auto"/>
          <w:highlight w:val="none"/>
        </w:rPr>
        <w:t>：</w:t>
      </w:r>
      <w:r>
        <w:rPr>
          <w:rFonts w:hint="eastAsia" w:ascii="宋体" w:hAnsi="宋体" w:cs="Arial"/>
          <w:b/>
          <w:bCs/>
          <w:color w:val="auto"/>
          <w:kern w:val="1"/>
          <w:szCs w:val="21"/>
          <w:highlight w:val="none"/>
          <w:lang w:val="en-US" w:eastAsia="zh-CN"/>
        </w:rPr>
        <w:t>壹拾万零伍仟元整</w:t>
      </w:r>
      <w:r>
        <w:rPr>
          <w:rFonts w:hint="eastAsia" w:ascii="宋体" w:hAnsi="宋体" w:cs="Arial"/>
          <w:b/>
          <w:bCs/>
          <w:color w:val="auto"/>
          <w:kern w:val="1"/>
          <w:szCs w:val="21"/>
          <w:highlight w:val="none"/>
          <w:lang w:eastAsia="zh-CN"/>
        </w:rPr>
        <w:t>（</w:t>
      </w:r>
      <w:r>
        <w:rPr>
          <w:rFonts w:hint="eastAsia" w:ascii="宋体" w:hAnsi="宋体" w:eastAsia="宋体" w:cs="宋体"/>
          <w:b/>
          <w:bCs/>
          <w:color w:val="auto"/>
          <w:kern w:val="1"/>
          <w:szCs w:val="21"/>
          <w:highlight w:val="none"/>
          <w:lang w:eastAsia="zh-CN"/>
        </w:rPr>
        <w:t>￥</w:t>
      </w:r>
      <w:r>
        <w:rPr>
          <w:rFonts w:hint="eastAsia" w:ascii="宋体" w:hAnsi="宋体" w:cs="Arial"/>
          <w:b/>
          <w:bCs/>
          <w:color w:val="auto"/>
          <w:kern w:val="1"/>
          <w:szCs w:val="21"/>
          <w:highlight w:val="none"/>
          <w:lang w:eastAsia="zh-CN"/>
        </w:rPr>
        <w:t>105000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lang w:eastAsia="zh-CN"/>
        </w:rPr>
        <w:t>）</w:t>
      </w:r>
      <w:r>
        <w:rPr>
          <w:rFonts w:hint="eastAsia" w:hAnsi="宋体"/>
          <w:b/>
          <w:bCs/>
          <w:color w:val="auto"/>
          <w:highlight w:val="none"/>
          <w:lang w:eastAsia="zh-CN"/>
        </w:rPr>
        <w:t>；</w:t>
      </w:r>
      <w:r>
        <w:rPr>
          <w:rFonts w:hint="eastAsia" w:hAnsi="宋体"/>
          <w:b/>
          <w:bCs/>
          <w:color w:val="auto"/>
          <w:highlight w:val="none"/>
          <w:lang w:val="en-US" w:eastAsia="zh-CN"/>
        </w:rPr>
        <w:t>D分标</w:t>
      </w:r>
      <w:r>
        <w:rPr>
          <w:rFonts w:hAnsi="宋体"/>
          <w:b/>
          <w:bCs/>
          <w:color w:val="auto"/>
          <w:highlight w:val="none"/>
        </w:rPr>
        <w:t>货物采购最高限价</w:t>
      </w:r>
      <w:r>
        <w:rPr>
          <w:rFonts w:hint="eastAsia" w:hAnsi="宋体"/>
          <w:b/>
          <w:bCs/>
          <w:color w:val="auto"/>
          <w:highlight w:val="none"/>
        </w:rPr>
        <w:t>：</w:t>
      </w:r>
      <w:r>
        <w:rPr>
          <w:rFonts w:hint="eastAsia" w:ascii="宋体" w:hAnsi="宋体" w:cs="Arial"/>
          <w:b/>
          <w:bCs/>
          <w:color w:val="auto"/>
          <w:kern w:val="1"/>
          <w:szCs w:val="21"/>
          <w:highlight w:val="none"/>
          <w:lang w:val="en-US" w:eastAsia="zh-CN"/>
        </w:rPr>
        <w:t>贰拾贰万伍仟元整（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val="en-US" w:eastAsia="zh-CN"/>
        </w:rPr>
        <w:t>225000.00 ）</w:t>
      </w:r>
      <w:r>
        <w:rPr>
          <w:rFonts w:hint="eastAsia" w:hAnsi="宋体"/>
          <w:b/>
          <w:bCs/>
          <w:color w:val="auto"/>
          <w:highlight w:val="none"/>
          <w:lang w:eastAsia="zh-CN"/>
        </w:rPr>
        <w:t>；</w:t>
      </w:r>
      <w:r>
        <w:rPr>
          <w:rFonts w:hint="eastAsia" w:hAnsi="宋体"/>
          <w:b/>
          <w:bCs/>
          <w:color w:val="auto"/>
          <w:highlight w:val="none"/>
          <w:lang w:val="en-US" w:eastAsia="zh-CN"/>
        </w:rPr>
        <w:t>E分标</w:t>
      </w:r>
      <w:r>
        <w:rPr>
          <w:rFonts w:hAnsi="宋体"/>
          <w:b/>
          <w:bCs/>
          <w:color w:val="auto"/>
          <w:highlight w:val="none"/>
        </w:rPr>
        <w:t>货物采购最高限价</w:t>
      </w:r>
      <w:r>
        <w:rPr>
          <w:rFonts w:hint="eastAsia" w:hAnsi="宋体"/>
          <w:b/>
          <w:bCs/>
          <w:color w:val="auto"/>
          <w:highlight w:val="none"/>
        </w:rPr>
        <w:t>：</w:t>
      </w:r>
      <w:r>
        <w:rPr>
          <w:rFonts w:hint="eastAsia" w:ascii="宋体" w:hAnsi="宋体" w:cs="Arial"/>
          <w:b/>
          <w:bCs/>
          <w:color w:val="auto"/>
          <w:kern w:val="1"/>
          <w:szCs w:val="21"/>
          <w:highlight w:val="none"/>
          <w:lang w:val="en-US" w:eastAsia="zh-CN"/>
        </w:rPr>
        <w:t>壹拾万元整（</w:t>
      </w:r>
      <w:r>
        <w:rPr>
          <w:rFonts w:hint="eastAsia" w:ascii="宋体" w:hAnsi="宋体" w:eastAsia="宋体" w:cs="宋体"/>
          <w:b/>
          <w:bCs/>
          <w:color w:val="auto"/>
          <w:kern w:val="1"/>
          <w:szCs w:val="21"/>
          <w:highlight w:val="none"/>
          <w:lang w:val="en-US" w:eastAsia="zh-CN"/>
        </w:rPr>
        <w:t>￥</w:t>
      </w:r>
      <w:r>
        <w:rPr>
          <w:rFonts w:hint="eastAsia" w:ascii="宋体" w:hAnsi="宋体" w:cs="Arial"/>
          <w:b/>
          <w:bCs/>
          <w:color w:val="auto"/>
          <w:kern w:val="1"/>
          <w:szCs w:val="21"/>
          <w:highlight w:val="none"/>
          <w:lang w:val="en-US" w:eastAsia="zh-CN"/>
        </w:rPr>
        <w:t>100000.00）</w:t>
      </w:r>
      <w:r>
        <w:rPr>
          <w:rFonts w:hint="eastAsia" w:hAnsi="宋体"/>
          <w:b/>
          <w:bCs/>
          <w:color w:val="auto"/>
          <w:highlight w:val="none"/>
          <w:lang w:eastAsia="zh-CN"/>
        </w:rPr>
        <w:t>。</w:t>
      </w:r>
      <w:r>
        <w:rPr>
          <w:rFonts w:hint="eastAsia" w:hAnsi="宋体"/>
          <w:b/>
          <w:bCs/>
          <w:color w:val="auto"/>
          <w:highlight w:val="none"/>
          <w:lang w:val="en-US" w:eastAsia="zh-CN"/>
        </w:rPr>
        <w:t>各分标</w:t>
      </w:r>
      <w:r>
        <w:rPr>
          <w:rFonts w:hint="eastAsia" w:hAnsi="宋体"/>
          <w:b/>
          <w:bCs/>
          <w:color w:val="auto"/>
          <w:highlight w:val="none"/>
          <w:lang w:eastAsia="zh-CN"/>
        </w:rPr>
        <w:t>分项最高限价详见表格。</w:t>
      </w:r>
    </w:p>
    <w:p>
      <w:pPr>
        <w:spacing w:line="32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7、本项目各分标均为服务类项目，无核心产品；</w:t>
      </w:r>
    </w:p>
    <w:p>
      <w:pPr>
        <w:spacing w:line="320" w:lineRule="exact"/>
        <w:ind w:firstLine="316" w:firstLineChars="1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1248"/>
        <w:gridCol w:w="398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参考品牌、型号</w:t>
            </w:r>
          </w:p>
        </w:tc>
        <w:tc>
          <w:tcPr>
            <w:tcW w:w="3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技术参数要求</w:t>
            </w:r>
          </w:p>
        </w:tc>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《人工智能应用基础》课程视频</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30个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1.内容和质量：视频知识内容完全匹配大纲内容；课程内容以视频为主要载体，围绕某个知识点内容展开，内容系统、完整。要求视频图像清晰，声音和画面同步，播放时没有明显的噪点，播放流畅。</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2.脚本、样片等资源内容应符合我国法律法规，尊重各民族的风俗习惯，版权不存在争议，文字内容的使用应符合规范，符合国家标准。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3.数量：教学视频总数量不少于 30 个；</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4.时长：平均单个教学视频时长7~12分钟，总时长不低于390分钟；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5.格式和清晰度：视频格式为MP4，分辨率为1920*1080高清格式。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6.视频在平台运行。</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设计与脚本必须通过采购方审核。</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8.中标方全程负责课程视频制作的课程设计、脚本编写、视频录制和后期处理。</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90000</w:t>
            </w:r>
            <w:r>
              <w:rPr>
                <w:rFonts w:hint="eastAsia" w:ascii="宋体" w:hAnsi="宋体" w:eastAsia="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《人工智能应用基础》课件PPT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30个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1.素材应符合相关技术规范。PPT涉及的技术应为最新主流技术，不允许出现明显的已过时的技术。</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4.3页面行距合适，左右边距均匀、适当。</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 各级标题宜采用不同的字体，一张幻灯片上文字颜色不宜过多，注意文字与背景色的反差。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4.6文件内链接都采用相对链接，并能够正常打开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6.数量：每个PPT内容对应1个课时，共30个PPT，每个PPT不少于10页。</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7. 设计与脚本必须通过采购方审核。</w:t>
            </w:r>
          </w:p>
          <w:p>
            <w:pPr>
              <w:widowControl/>
              <w:jc w:val="left"/>
              <w:rPr>
                <w:rFonts w:hint="eastAsia" w:ascii="宋体" w:hAnsi="宋体" w:eastAsia="宋体" w:cs="宋体"/>
                <w:b/>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8.中标方全程负责课程视频制作的课程设计、脚本编写、视频录制和后期处理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30000</w:t>
            </w:r>
            <w:r>
              <w:rPr>
                <w:rFonts w:hint="eastAsia" w:ascii="宋体" w:hAnsi="宋体" w:eastAsia="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《Python核心技术》课程视频</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80个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1.内容和质量：视频知识内容完全匹配大纲内容，采用双师授课；课程内容以视频为主要载体，围绕某个知识点内容展开，内容系统、完整。要求视频图像清晰，声音和画面同步，播放时没有明显的噪点，播放流畅。</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2.脚本、样片等资源内容应符合我国法律法规，尊重各民族的风俗习惯，版权不存在争议，文字内容的使用应符合规范，符合国家标准。</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3.数量：教学视频总数量不少于 80 个；</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4.时长：平均单个教学视频时长7-12分钟；</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5.格式和清晰度：视频分辨率为1920*1080高清格式。</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6. 设计与脚本必须通过采购方审核。</w:t>
            </w:r>
          </w:p>
          <w:p>
            <w:pPr>
              <w:widowControl/>
              <w:jc w:val="left"/>
              <w:rPr>
                <w:rFonts w:hint="eastAsia" w:ascii="宋体" w:hAnsi="宋体" w:eastAsia="宋体" w:cs="宋体"/>
                <w:b/>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7.中标方全程负责课程视频制作的课程设计、脚本编写、视频录制和后期处理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100000</w:t>
            </w:r>
            <w:r>
              <w:rPr>
                <w:rFonts w:hint="eastAsia" w:ascii="宋体" w:hAnsi="宋体" w:eastAsia="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《Python核心技术》课件PPT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80个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1.素材应符合相关技术规范。PPT涉及的技术应为最新主流技术，不允许出现明显的已过时的技术。</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4.3页面行距合适，左右边距均匀、适当。</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 各级标题宜采用不同的字体，一张幻灯片上文字颜色不宜过多，注意文字与背景色的反差。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4.6文件内链接都采用相对链接，并能够正常打开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6.数量：每个PPT内容对应1个课时，共80个PPT，每个PPT不少于10页。</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8. 设计与脚本必须通过采购方审核。</w:t>
            </w:r>
          </w:p>
          <w:p>
            <w:pPr>
              <w:widowControl/>
              <w:jc w:val="left"/>
              <w:rPr>
                <w:rFonts w:hint="eastAsia" w:ascii="宋体" w:hAnsi="宋体" w:eastAsia="宋体" w:cs="宋体"/>
                <w:b/>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9.中标方全程负责课程视频制作的课程设计、脚本编写、视频录制和后期处理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20000</w:t>
            </w:r>
            <w:r>
              <w:rPr>
                <w:rFonts w:hint="eastAsia" w:ascii="宋体" w:hAnsi="宋体" w:eastAsia="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《机器学习技术》课程视频</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40个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1.内容和质量：视频知识内容完全匹配大纲内容；课程内容以视频为主要载体，围绕某个知识点内容展开，内容系统、完整。要求视频图像清晰，声音和画面同步，播放时没有明显的噪点，播放流畅。</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2.脚本、样片等资源内容应符合我国法律法规，尊重各民族的风俗习惯，版权不存在争议，文字内容的使用应符合规范，符合国家标准。</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3.数量：教学视频总数量不少于40 个；</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4.时长：平均单个教学视频时长7-12分钟；</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5.格式和清晰度：视频分辨率为1920*1080高清格式。</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6. 设计与脚本必须通过采购方审核。</w:t>
            </w:r>
          </w:p>
          <w:p>
            <w:pPr>
              <w:widowControl/>
              <w:jc w:val="left"/>
              <w:rPr>
                <w:rFonts w:hint="eastAsia" w:ascii="宋体" w:hAnsi="宋体" w:eastAsia="宋体" w:cs="宋体"/>
                <w:b/>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7.中标方全程负责课程视频制作的课程设计、脚本编写、视频录制和后期处理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100000</w:t>
            </w:r>
            <w:r>
              <w:rPr>
                <w:rFonts w:hint="eastAsia" w:ascii="宋体" w:hAnsi="宋体" w:eastAsia="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《机器学习技术》课件PPT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40个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1.素材应符合相关技术规范。PPT涉及的技术应为最新主流技术，不允许出现明显的已过时的技术。</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4.3页面行距合适，左右边距均匀、适当。</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 各级标题宜采用不同的字体，一张幻灯片上文字颜色不宜过多，注意文字与背景色的反差。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4.6文件内链接都采用相对链接，并能够正常打开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6.数量：每个PPT内容对应1个课时，共40个PPT，每个PPT不少于10页。</w:t>
            </w:r>
          </w:p>
          <w:p>
            <w:pPr>
              <w:widowControl/>
              <w:jc w:val="left"/>
              <w:rPr>
                <w:rFonts w:hint="eastAsia" w:ascii="宋体" w:hAnsi="宋体" w:eastAsia="宋体" w:cs="宋体"/>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7. 设计与脚本必须通过采购方审核。</w:t>
            </w:r>
          </w:p>
          <w:p>
            <w:pPr>
              <w:widowControl/>
              <w:jc w:val="left"/>
              <w:rPr>
                <w:rFonts w:hint="eastAsia" w:ascii="宋体" w:hAnsi="宋体" w:eastAsia="宋体" w:cs="宋体"/>
                <w:b/>
                <w:color w:val="auto"/>
                <w:sz w:val="21"/>
                <w:szCs w:val="21"/>
                <w:highlight w:val="none"/>
              </w:rPr>
            </w:pPr>
            <w:r>
              <w:rPr>
                <w:rFonts w:hint="eastAsia" w:ascii="宋体" w:hAnsi="宋体"/>
                <w:b/>
                <w:color w:val="auto"/>
                <w:szCs w:val="21"/>
                <w:highlight w:val="none"/>
              </w:rPr>
              <w:t>★</w:t>
            </w:r>
            <w:r>
              <w:rPr>
                <w:rFonts w:hint="eastAsia" w:ascii="宋体" w:hAnsi="宋体" w:eastAsia="宋体" w:cs="宋体"/>
                <w:color w:val="auto"/>
                <w:sz w:val="21"/>
                <w:szCs w:val="21"/>
                <w:highlight w:val="none"/>
              </w:rPr>
              <w:t>8.中标方全程负责课程视频制作的课程设计、脚本编写、视频录制和后期处理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20000</w:t>
            </w:r>
            <w:r>
              <w:rPr>
                <w:rFonts w:hint="eastAsia" w:ascii="宋体" w:hAnsi="宋体" w:eastAsia="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42"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分项最高限价</w:t>
            </w:r>
            <w:r>
              <w:rPr>
                <w:rFonts w:hint="eastAsia" w:ascii="宋体" w:hAnsi="宋体" w:cs="宋体"/>
                <w:b/>
                <w:color w:val="auto"/>
                <w:sz w:val="21"/>
                <w:szCs w:val="21"/>
                <w:highlight w:val="none"/>
                <w:lang w:val="en-US" w:eastAsia="zh-CN"/>
              </w:rPr>
              <w:t>合计</w:t>
            </w:r>
          </w:p>
        </w:tc>
        <w:tc>
          <w:tcPr>
            <w:tcW w:w="572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cs="Times New Roman" w:asciiTheme="minorEastAsia" w:hAnsiTheme="minorEastAsia"/>
                <w:b/>
                <w:bCs/>
                <w:color w:val="auto"/>
                <w:sz w:val="24"/>
                <w:szCs w:val="24"/>
                <w:highlight w:val="none"/>
              </w:rPr>
            </w:pPr>
            <w:r>
              <w:rPr>
                <w:rFonts w:hint="eastAsia" w:ascii="宋体" w:hAnsi="宋体" w:eastAsia="宋体" w:cs="宋体"/>
                <w:b/>
                <w:color w:val="auto"/>
                <w:sz w:val="21"/>
                <w:szCs w:val="21"/>
                <w:highlight w:val="none"/>
              </w:rPr>
              <w:t>叁拾陆万元整（￥360000.00）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宋体" w:hAnsi="宋体" w:eastAsia="宋体" w:cs="宋体"/>
                <w:b/>
                <w:bCs/>
                <w:strike/>
                <w:color w:val="auto"/>
                <w:sz w:val="21"/>
                <w:szCs w:val="21"/>
                <w:highlight w:val="none"/>
              </w:rPr>
            </w:pPr>
            <w:r>
              <w:rPr>
                <w:rFonts w:hint="eastAsia" w:ascii="宋体" w:hAnsi="宋体" w:eastAsia="宋体" w:cs="宋体"/>
                <w:color w:val="auto"/>
                <w:sz w:val="21"/>
                <w:szCs w:val="21"/>
                <w:highlight w:val="none"/>
              </w:rPr>
              <w:t>商务条款</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★一、签定合同日期：自中标通知书发出之日起7个工作日内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★二、交货期：自合同签订之日起 20 日历天内（含安装）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三、交货地点：南宁职业技术学院</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四、交货方式：现场交货</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五、售后服务要求：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★1、质保期1年（自交货并验收合格之日起计）；</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2、按国家规定的厂家承诺实行"三包",免费送货上门、免费安装、调试及相应人员培训；</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3、故障响应及修复：接到故障电话 1 小时内派技术人员远程支持，远程支持无法解决的问题 24 小时内上门支持，在 48 小时内解决问题。</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六、其他要求：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★1、投标报价为采购人指定地点的现场交货价，包括：</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w:t>
            </w:r>
            <w:r>
              <w:rPr>
                <w:rFonts w:hint="eastAsia" w:ascii="宋体" w:hAnsi="宋体" w:cs="宋体"/>
                <w:snapToGrid w:val="0"/>
                <w:color w:val="auto"/>
                <w:spacing w:val="2"/>
                <w:kern w:val="0"/>
                <w:sz w:val="21"/>
                <w:szCs w:val="21"/>
                <w:highlight w:val="none"/>
                <w:lang w:val="en-US" w:eastAsia="zh-CN"/>
              </w:rPr>
              <w:t>服务</w:t>
            </w:r>
            <w:r>
              <w:rPr>
                <w:rFonts w:hint="eastAsia" w:ascii="宋体" w:hAnsi="宋体" w:eastAsia="宋体" w:cs="宋体"/>
                <w:snapToGrid w:val="0"/>
                <w:color w:val="auto"/>
                <w:spacing w:val="2"/>
                <w:kern w:val="0"/>
                <w:sz w:val="21"/>
                <w:szCs w:val="21"/>
                <w:highlight w:val="none"/>
              </w:rPr>
              <w:t>的价格；</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（2）调试、培训、技术支持、售后服务等费用；</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（3）必要的保险费用和各项税费；</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w:t>
            </w:r>
            <w:r>
              <w:rPr>
                <w:rFonts w:hint="eastAsia" w:ascii="宋体" w:hAnsi="宋体" w:cs="宋体"/>
                <w:snapToGrid w:val="0"/>
                <w:color w:val="auto"/>
                <w:spacing w:val="2"/>
                <w:kern w:val="0"/>
                <w:sz w:val="21"/>
                <w:szCs w:val="21"/>
                <w:highlight w:val="none"/>
                <w:lang w:val="en-US" w:eastAsia="zh-CN"/>
              </w:rPr>
              <w:t>4</w:t>
            </w:r>
            <w:r>
              <w:rPr>
                <w:rFonts w:hint="eastAsia" w:ascii="宋体" w:hAnsi="宋体" w:eastAsia="宋体" w:cs="宋体"/>
                <w:snapToGrid w:val="0"/>
                <w:color w:val="auto"/>
                <w:spacing w:val="2"/>
                <w:kern w:val="0"/>
                <w:sz w:val="21"/>
                <w:szCs w:val="21"/>
                <w:highlight w:val="none"/>
              </w:rPr>
              <w:t>）包含安装费用。</w:t>
            </w:r>
          </w:p>
          <w:p>
            <w:pPr>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rPr>
              <w:t>★2、付款方式：本项目无预付款，供应商交货完毕并经验收合格后，一次性支付合同款。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演示要求</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1、演示内容</w:t>
            </w:r>
            <w:r>
              <w:rPr>
                <w:rFonts w:hint="eastAsia" w:ascii="宋体" w:hAnsi="宋体" w:cs="宋体"/>
                <w:snapToGrid w:val="0"/>
                <w:color w:val="auto"/>
                <w:spacing w:val="2"/>
                <w:kern w:val="0"/>
                <w:sz w:val="21"/>
                <w:szCs w:val="21"/>
                <w:highlight w:val="none"/>
                <w:lang w:eastAsia="zh-CN"/>
              </w:rPr>
              <w:t>：某一门课程的视频、PPT、课程标准、教学内容与要求、各单元学时分配实践教学项目实施计划、课程考核与评价</w:t>
            </w:r>
          </w:p>
          <w:p>
            <w:pPr>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2、演示评审的相关事宜</w:t>
            </w:r>
          </w:p>
          <w:p>
            <w:pPr>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投标人提供U盘或光盘演示客户案例系统或完整系统（使用录屏演示真实系统操作，不接受PPT、截图等非真实软件系统操作演示），U盘或光盘须随投标文件一起提交。录屏内容演示时间(20分钟)内。投标人无须到现场进行演示，评标委员会根据投标人提供的U盘或光盘中录屏演示系统的情况根据“第三章 评标办法”的规定进行评分。</w:t>
            </w:r>
          </w:p>
          <w:p>
            <w:pPr>
              <w:rPr>
                <w:rFonts w:hint="eastAsia" w:ascii="宋体" w:hAnsi="宋体" w:eastAsia="宋体" w:cs="宋体"/>
                <w:snapToGrid w:val="0"/>
                <w:color w:val="auto"/>
                <w:spacing w:val="2"/>
                <w:kern w:val="0"/>
                <w:sz w:val="21"/>
                <w:szCs w:val="21"/>
                <w:highlight w:val="none"/>
              </w:rPr>
            </w:pPr>
            <w:r>
              <w:rPr>
                <w:rFonts w:hint="eastAsia" w:ascii="宋体" w:hAnsi="宋体" w:eastAsia="宋体" w:cs="宋体"/>
                <w:b/>
                <w:bCs/>
                <w:snapToGrid w:val="0"/>
                <w:color w:val="auto"/>
                <w:spacing w:val="2"/>
                <w:kern w:val="0"/>
                <w:sz w:val="21"/>
                <w:szCs w:val="21"/>
                <w:highlight w:val="none"/>
              </w:rPr>
              <w:t>投标人须确认U盘或光盘中内容的完整和准确性，因演示载体原因导致演示不成功或无法演示的，由投标人自行承担因此产生的后果。</w:t>
            </w:r>
          </w:p>
        </w:tc>
      </w:tr>
    </w:tbl>
    <w:p>
      <w:pPr>
        <w:spacing w:line="360" w:lineRule="exact"/>
        <w:ind w:firstLine="640" w:firstLineChars="200"/>
        <w:rPr>
          <w:rFonts w:ascii="宋体" w:hAnsi="宋体"/>
          <w:color w:val="auto"/>
          <w:sz w:val="32"/>
          <w:szCs w:val="32"/>
          <w:highlight w:val="none"/>
        </w:rPr>
      </w:pPr>
    </w:p>
    <w:p>
      <w:pPr>
        <w:pStyle w:val="7"/>
        <w:rPr>
          <w:color w:val="auto"/>
          <w:highlight w:val="none"/>
        </w:rPr>
      </w:pPr>
    </w:p>
    <w:p>
      <w:pPr>
        <w:spacing w:line="360" w:lineRule="exact"/>
        <w:rPr>
          <w:color w:val="auto"/>
          <w:highlight w:val="none"/>
        </w:rPr>
      </w:pPr>
    </w:p>
    <w:p>
      <w:pPr>
        <w:rPr>
          <w:color w:val="auto"/>
          <w:highlight w:val="none"/>
        </w:rPr>
      </w:pPr>
    </w:p>
    <w:p>
      <w:pPr>
        <w:pStyle w:val="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1248"/>
        <w:gridCol w:w="398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参考品牌、型号</w:t>
            </w:r>
          </w:p>
        </w:tc>
        <w:tc>
          <w:tcPr>
            <w:tcW w:w="3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技术参数要求</w:t>
            </w:r>
          </w:p>
        </w:tc>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default" w:ascii="宋体" w:hAnsi="宋体" w:eastAsia="宋体" w:cs="宋体"/>
                <w:b/>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Hadoop大数据平台运维国际化课程包教学视频</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★1.内容应覆盖《Hadoop开发基础》课程，并融合《大数据平台运维职业技能等级标准》。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2.要求视频图像清晰，声音和画面同步，播放时没有明显的噪点，播放流畅。</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3.脚本、样片等资源内容应符合我国法律法规，尊重各民族的风俗习惯，文字内容的使用应符合规范，符合国家标准</w:t>
            </w:r>
            <w:r>
              <w:rPr>
                <w:rFonts w:hint="eastAsia" w:ascii="宋体" w:hAnsi="宋体" w:eastAsia="宋体" w:cs="宋体"/>
                <w:color w:val="auto"/>
                <w:sz w:val="21"/>
                <w:szCs w:val="21"/>
                <w:highlight w:val="none"/>
                <w:lang w:eastAsia="zh-Hans"/>
              </w:rPr>
              <w:t>，不得出现有广告嫌疑或与采购项目无关标识性内容。视频的所有权及相应权益归属采购人。未经采购人许可，中标人不得以任何形式侵犯其所有权。</w:t>
            </w:r>
            <w:r>
              <w:rPr>
                <w:rFonts w:hint="eastAsia" w:ascii="宋体" w:hAnsi="宋体" w:eastAsia="宋体" w:cs="宋体"/>
                <w:color w:val="auto"/>
                <w:sz w:val="21"/>
                <w:szCs w:val="21"/>
                <w:highlight w:val="none"/>
              </w:rPr>
              <w:t>若因此带来的后果由中标公司单方面承担。。</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★4.视频格式为MP4，分辨率为1920*1080高清格式，每个视频时长3-20min，总时长不少于500min（含微课视频）。视频需提供两种版本，一种带字幕视频，一种不带字幕视频（字幕单独提供</w:t>
            </w:r>
            <w:r>
              <w:rPr>
                <w:rFonts w:hint="eastAsia" w:ascii="宋体" w:hAnsi="宋体" w:eastAsia="宋体" w:cs="宋体"/>
                <w:color w:val="auto"/>
                <w:sz w:val="21"/>
                <w:szCs w:val="21"/>
                <w:highlight w:val="none"/>
                <w:lang w:eastAsia="zh-Hans"/>
              </w:rPr>
              <w:t>，字幕使用符合国家标准的规范字，不出现繁体字、异体字（国家规定的除外）、错别字；字幕的字体、大小、色彩搭配、摆放位置、停留时间、出入屏方式力求与其他要素（画面、解说词、音乐）配合适当，不得破坏原有画面</w:t>
            </w:r>
            <w:r>
              <w:rPr>
                <w:rFonts w:hint="eastAsia" w:ascii="宋体" w:hAnsi="宋体" w:eastAsia="宋体" w:cs="宋体"/>
                <w:color w:val="auto"/>
                <w:sz w:val="21"/>
                <w:szCs w:val="21"/>
                <w:highlight w:val="none"/>
              </w:rPr>
              <w:t>），若某些视频超过300M，还需提供压缩至300M以下的版本。</w:t>
            </w:r>
          </w:p>
          <w:p>
            <w:pP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★5.视频中的微课视频总数应不少于30个，其中每个章节中的微课视频不少于3个。</w:t>
            </w:r>
            <w:r>
              <w:rPr>
                <w:rFonts w:hint="eastAsia" w:ascii="宋体" w:hAnsi="宋体" w:eastAsia="宋体" w:cs="宋体"/>
                <w:color w:val="auto"/>
                <w:sz w:val="21"/>
                <w:szCs w:val="21"/>
                <w:highlight w:val="none"/>
                <w:lang w:eastAsia="zh-Hans"/>
              </w:rPr>
              <w:t>课程中的重点或难点原理或操作过程（如HDFS的读写原理、MapReduce的工作过程等）需使用动画型微课视频呈现，将抽象概念具体化，微观概念可视化，动画表现形式不能过于单调；动画内容中用到的位图必须画面清晰，不能有图像过于模糊等现象出现（特效除外）；动画内容播放过程中纯静态画面停留时间不得超过5秒；动画内容中出现的文字需清晰准确，不得出现多字、少字、错字、别字、乱码等情况。</w:t>
            </w:r>
          </w:p>
          <w:p>
            <w:pP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6.动画型微课视频的中的素材，须向采购人提供完整的项目工程文件和源文件，可供采购人进行二次编辑或修改。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★7.视频应全程嵌入甲方Logo，使用带有甲方Logo的片头片尾或使用甲方指定的片头片尾，提供srt格式字幕。</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60000</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42"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分项最高限价</w:t>
            </w:r>
            <w:r>
              <w:rPr>
                <w:rFonts w:hint="eastAsia" w:ascii="宋体" w:hAnsi="宋体" w:cs="宋体"/>
                <w:b/>
                <w:color w:val="auto"/>
                <w:sz w:val="21"/>
                <w:szCs w:val="21"/>
                <w:highlight w:val="none"/>
                <w:lang w:val="en-US" w:eastAsia="zh-CN"/>
              </w:rPr>
              <w:t>合计</w:t>
            </w:r>
          </w:p>
        </w:tc>
        <w:tc>
          <w:tcPr>
            <w:tcW w:w="572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cs="Times New Roman" w:asciiTheme="minorEastAsia" w:hAnsiTheme="minorEastAsia"/>
                <w:b/>
                <w:bCs/>
                <w:color w:val="auto"/>
                <w:sz w:val="21"/>
                <w:szCs w:val="21"/>
                <w:highlight w:val="none"/>
              </w:rPr>
            </w:pPr>
            <w:r>
              <w:rPr>
                <w:rFonts w:hint="eastAsia" w:ascii="宋体" w:hAnsi="宋体" w:cs="宋体"/>
                <w:b/>
                <w:color w:val="auto"/>
                <w:sz w:val="21"/>
                <w:szCs w:val="21"/>
                <w:highlight w:val="none"/>
                <w:lang w:val="en-US" w:eastAsia="zh-CN"/>
              </w:rPr>
              <w:t>陆万元整（￥60000.00）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宋体" w:hAnsi="宋体" w:eastAsia="宋体" w:cs="宋体"/>
                <w:b/>
                <w:bCs/>
                <w:strike/>
                <w:color w:val="auto"/>
                <w:sz w:val="21"/>
                <w:szCs w:val="21"/>
                <w:highlight w:val="none"/>
              </w:rPr>
            </w:pPr>
            <w:r>
              <w:rPr>
                <w:rFonts w:hint="eastAsia" w:ascii="宋体" w:hAnsi="宋体" w:eastAsia="宋体" w:cs="宋体"/>
                <w:color w:val="auto"/>
                <w:sz w:val="21"/>
                <w:szCs w:val="21"/>
                <w:highlight w:val="none"/>
              </w:rPr>
              <w:t>商务条款</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color w:val="auto"/>
                <w:highlight w:val="none"/>
              </w:rPr>
            </w:pPr>
            <w:r>
              <w:rPr>
                <w:rFonts w:hint="eastAsia"/>
                <w:color w:val="auto"/>
                <w:highlight w:val="none"/>
              </w:rPr>
              <w:t>★一、签定合同日期：自中标通知书发出之日起7个工作日内</w:t>
            </w:r>
          </w:p>
          <w:p>
            <w:pPr>
              <w:widowControl/>
              <w:spacing w:line="440" w:lineRule="exact"/>
              <w:jc w:val="left"/>
              <w:rPr>
                <w:rFonts w:hint="eastAsia"/>
                <w:color w:val="auto"/>
                <w:highlight w:val="none"/>
              </w:rPr>
            </w:pPr>
            <w:r>
              <w:rPr>
                <w:rFonts w:hint="eastAsia"/>
                <w:color w:val="auto"/>
                <w:highlight w:val="none"/>
              </w:rPr>
              <w:t>★二、交货期：自合同签订之日起 20 日历天内（含安装）</w:t>
            </w:r>
          </w:p>
          <w:p>
            <w:pPr>
              <w:widowControl/>
              <w:spacing w:line="440" w:lineRule="exact"/>
              <w:jc w:val="left"/>
              <w:rPr>
                <w:rFonts w:hint="eastAsia"/>
                <w:color w:val="auto"/>
                <w:highlight w:val="none"/>
              </w:rPr>
            </w:pPr>
            <w:r>
              <w:rPr>
                <w:rFonts w:hint="eastAsia"/>
                <w:color w:val="auto"/>
                <w:highlight w:val="none"/>
              </w:rPr>
              <w:t>三、交货地点：南宁职业技术学院</w:t>
            </w:r>
          </w:p>
          <w:p>
            <w:pPr>
              <w:widowControl/>
              <w:spacing w:line="440" w:lineRule="exact"/>
              <w:jc w:val="left"/>
              <w:rPr>
                <w:rFonts w:hint="eastAsia"/>
                <w:color w:val="auto"/>
                <w:highlight w:val="none"/>
              </w:rPr>
            </w:pPr>
            <w:r>
              <w:rPr>
                <w:rFonts w:hint="eastAsia"/>
                <w:color w:val="auto"/>
                <w:highlight w:val="none"/>
              </w:rPr>
              <w:t>四、交货方式：现场交货</w:t>
            </w:r>
          </w:p>
          <w:p>
            <w:pPr>
              <w:widowControl/>
              <w:spacing w:line="440" w:lineRule="exact"/>
              <w:jc w:val="left"/>
              <w:rPr>
                <w:rFonts w:hint="eastAsia"/>
                <w:color w:val="auto"/>
                <w:highlight w:val="none"/>
              </w:rPr>
            </w:pPr>
            <w:r>
              <w:rPr>
                <w:rFonts w:hint="eastAsia"/>
                <w:color w:val="auto"/>
                <w:highlight w:val="none"/>
              </w:rPr>
              <w:t>五、售后服务要求：</w:t>
            </w:r>
          </w:p>
          <w:p>
            <w:pPr>
              <w:widowControl/>
              <w:spacing w:line="440" w:lineRule="exact"/>
              <w:jc w:val="left"/>
              <w:rPr>
                <w:rFonts w:hint="eastAsia"/>
                <w:color w:val="auto"/>
                <w:highlight w:val="none"/>
              </w:rPr>
            </w:pPr>
            <w:r>
              <w:rPr>
                <w:rFonts w:hint="eastAsia"/>
                <w:color w:val="auto"/>
                <w:highlight w:val="none"/>
              </w:rPr>
              <w:t>★1、质保期1年（自交货并验收合格之日起计），保障内容包括视频字幕修改、课程封面图片、个别画面调整、个别视频片段的编辑修改、少量教学资源美化调整等。</w:t>
            </w:r>
          </w:p>
          <w:p>
            <w:pPr>
              <w:widowControl/>
              <w:spacing w:line="440" w:lineRule="exact"/>
              <w:jc w:val="left"/>
              <w:rPr>
                <w:rFonts w:hint="eastAsia"/>
                <w:color w:val="auto"/>
                <w:highlight w:val="none"/>
              </w:rPr>
            </w:pPr>
            <w:r>
              <w:rPr>
                <w:rFonts w:hint="eastAsia"/>
                <w:color w:val="auto"/>
                <w:highlight w:val="none"/>
              </w:rPr>
              <w:t>2、按国家规定的厂家承诺实行"三包",免费送货上门、免费安装、调试及相应人员培训；</w:t>
            </w:r>
          </w:p>
          <w:p>
            <w:pPr>
              <w:widowControl/>
              <w:spacing w:line="440" w:lineRule="exact"/>
              <w:jc w:val="left"/>
              <w:rPr>
                <w:rFonts w:hint="eastAsia"/>
                <w:color w:val="auto"/>
                <w:highlight w:val="none"/>
              </w:rPr>
            </w:pPr>
            <w:r>
              <w:rPr>
                <w:rFonts w:hint="eastAsia"/>
                <w:color w:val="auto"/>
                <w:highlight w:val="none"/>
              </w:rPr>
              <w:t>3、故障响应及修复：接到故障电话 1 小时内派技术人员远程支持，远程支持无法解决的问题 24 小时内上门支持，在 48 小时内解决问题。</w:t>
            </w:r>
          </w:p>
          <w:p>
            <w:pPr>
              <w:widowControl/>
              <w:spacing w:line="440" w:lineRule="exact"/>
              <w:jc w:val="left"/>
              <w:rPr>
                <w:rFonts w:hint="eastAsia"/>
                <w:color w:val="auto"/>
                <w:highlight w:val="none"/>
              </w:rPr>
            </w:pPr>
            <w:r>
              <w:rPr>
                <w:rFonts w:hint="eastAsia"/>
                <w:color w:val="auto"/>
                <w:highlight w:val="none"/>
              </w:rPr>
              <w:t>六、其他要求：</w:t>
            </w:r>
          </w:p>
          <w:p>
            <w:pPr>
              <w:widowControl/>
              <w:spacing w:line="440" w:lineRule="exact"/>
              <w:jc w:val="left"/>
              <w:rPr>
                <w:rFonts w:hint="eastAsia"/>
                <w:color w:val="auto"/>
                <w:highlight w:val="none"/>
              </w:rPr>
            </w:pPr>
            <w:r>
              <w:rPr>
                <w:rFonts w:hint="eastAsia"/>
                <w:color w:val="auto"/>
                <w:highlight w:val="none"/>
              </w:rPr>
              <w:t>★1、投标报价为采购人指定地点的现场交货价，包括：</w:t>
            </w:r>
          </w:p>
          <w:p>
            <w:pPr>
              <w:widowControl/>
              <w:spacing w:line="440" w:lineRule="exact"/>
              <w:jc w:val="left"/>
              <w:rPr>
                <w:rFonts w:hint="eastAsia"/>
                <w:color w:val="auto"/>
                <w:highlight w:val="none"/>
              </w:rPr>
            </w:pPr>
            <w:r>
              <w:rPr>
                <w:rFonts w:hint="eastAsia"/>
                <w:color w:val="auto"/>
                <w:highlight w:val="none"/>
              </w:rPr>
              <w:t>（1）</w:t>
            </w:r>
            <w:r>
              <w:rPr>
                <w:rFonts w:hint="eastAsia"/>
                <w:color w:val="auto"/>
                <w:highlight w:val="none"/>
                <w:lang w:val="en-US" w:eastAsia="zh-CN"/>
              </w:rPr>
              <w:t>服务</w:t>
            </w:r>
            <w:r>
              <w:rPr>
                <w:rFonts w:hint="eastAsia"/>
                <w:color w:val="auto"/>
                <w:highlight w:val="none"/>
              </w:rPr>
              <w:t>的价格；</w:t>
            </w:r>
          </w:p>
          <w:p>
            <w:pPr>
              <w:widowControl/>
              <w:spacing w:line="440" w:lineRule="exact"/>
              <w:jc w:val="left"/>
              <w:rPr>
                <w:rFonts w:hint="eastAsia"/>
                <w:color w:val="auto"/>
                <w:highlight w:val="none"/>
              </w:rPr>
            </w:pPr>
            <w:r>
              <w:rPr>
                <w:rFonts w:hint="eastAsia"/>
                <w:color w:val="auto"/>
                <w:highlight w:val="none"/>
              </w:rPr>
              <w:t>（2）调试、培训、技术支持、售后服务等费用；</w:t>
            </w:r>
          </w:p>
          <w:p>
            <w:pPr>
              <w:widowControl/>
              <w:spacing w:line="440" w:lineRule="exact"/>
              <w:jc w:val="left"/>
              <w:rPr>
                <w:rFonts w:hint="eastAsia"/>
                <w:color w:val="auto"/>
                <w:highlight w:val="none"/>
              </w:rPr>
            </w:pPr>
            <w:r>
              <w:rPr>
                <w:rFonts w:hint="eastAsia"/>
                <w:color w:val="auto"/>
                <w:highlight w:val="none"/>
              </w:rPr>
              <w:t>（3）必要的保险费用和各项税费；</w:t>
            </w:r>
          </w:p>
          <w:p>
            <w:pPr>
              <w:widowControl/>
              <w:spacing w:line="440" w:lineRule="exact"/>
              <w:jc w:val="left"/>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）包含安装费用。</w:t>
            </w:r>
          </w:p>
          <w:p>
            <w:pPr>
              <w:rPr>
                <w:rFonts w:hint="eastAsia"/>
                <w:color w:val="auto"/>
                <w:highlight w:val="none"/>
              </w:rPr>
            </w:pPr>
            <w:r>
              <w:rPr>
                <w:rFonts w:hint="eastAsia"/>
                <w:color w:val="auto"/>
                <w:highlight w:val="none"/>
              </w:rPr>
              <w:t>★2、付款方式：本项目无预付款，供应商交货完毕并经验收合格后，一次性支付合同款。</w:t>
            </w:r>
          </w:p>
          <w:p>
            <w:pPr>
              <w:rPr>
                <w:rFonts w:hint="eastAsia"/>
                <w:color w:val="auto"/>
                <w:highlight w:val="none"/>
              </w:rPr>
            </w:pPr>
            <w:r>
              <w:rPr>
                <w:rFonts w:hint="eastAsia"/>
                <w:color w:val="auto"/>
                <w:highlight w:val="none"/>
              </w:rPr>
              <w:t>★3、视频脚本、ppt大纲等须经采购人充分沟通确认方能制作。</w:t>
            </w:r>
          </w:p>
          <w:p>
            <w:pPr>
              <w:rPr>
                <w:rFonts w:hint="eastAsia"/>
                <w:color w:val="auto"/>
                <w:highlight w:val="none"/>
              </w:rPr>
            </w:pPr>
            <w:r>
              <w:rPr>
                <w:rFonts w:hint="eastAsia"/>
                <w:color w:val="auto"/>
                <w:highlight w:val="none"/>
              </w:rPr>
              <w:t>★4、本项目采购的服务成果知识产权归采购人所有。中标人应保证针对本项目的各类资源素材涉及到的知识产权和所提供的相关技术资料是合法取得，不会因为采购人的使用而被责令停止使用、追偿或要求赔偿损失，如出现此情况，一切经济和法律责任均由中标人承担。</w:t>
            </w:r>
          </w:p>
          <w:p>
            <w:pPr>
              <w:rPr>
                <w:rFonts w:hint="eastAsia"/>
                <w:color w:val="auto"/>
                <w:highlight w:val="none"/>
              </w:rPr>
            </w:pPr>
            <w:r>
              <w:rPr>
                <w:rFonts w:hint="eastAsia"/>
                <w:color w:val="auto"/>
                <w:highlight w:val="none"/>
              </w:rPr>
              <w:t>★5、中标人承诺提供的项目开发团队，并在中标后实际参与项目开发人员不可变更。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演示要求</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1、演示内容</w:t>
            </w:r>
            <w:r>
              <w:rPr>
                <w:rFonts w:hint="eastAsia" w:ascii="宋体" w:hAnsi="宋体" w:cs="宋体"/>
                <w:snapToGrid w:val="0"/>
                <w:color w:val="auto"/>
                <w:spacing w:val="2"/>
                <w:kern w:val="0"/>
                <w:sz w:val="21"/>
                <w:szCs w:val="21"/>
                <w:highlight w:val="none"/>
                <w:lang w:eastAsia="zh-CN"/>
              </w:rPr>
              <w:t>：</w:t>
            </w:r>
            <w:r>
              <w:rPr>
                <w:rFonts w:hint="eastAsia"/>
                <w:color w:val="auto"/>
                <w:highlight w:val="none"/>
              </w:rPr>
              <w:t>投标人制作的其他信息技术类在线课程微课视频样片</w:t>
            </w:r>
            <w:r>
              <w:rPr>
                <w:rFonts w:hint="eastAsia"/>
                <w:color w:val="auto"/>
                <w:highlight w:val="none"/>
                <w:lang w:eastAsia="zh-CN"/>
              </w:rPr>
              <w:t>。</w:t>
            </w:r>
          </w:p>
          <w:p>
            <w:pPr>
              <w:rPr>
                <w:rFonts w:hint="eastAsia" w:ascii="宋体" w:hAnsi="宋体" w:eastAsia="宋体" w:cs="宋体"/>
                <w:b/>
                <w:bCs/>
                <w:snapToGrid w:val="0"/>
                <w:color w:val="auto"/>
                <w:spacing w:val="2"/>
                <w:kern w:val="0"/>
                <w:sz w:val="21"/>
                <w:szCs w:val="21"/>
                <w:highlight w:val="none"/>
              </w:rPr>
            </w:pPr>
            <w:r>
              <w:rPr>
                <w:rFonts w:hint="eastAsia" w:ascii="宋体" w:hAnsi="宋体" w:eastAsia="宋体" w:cs="宋体"/>
                <w:b/>
                <w:bCs/>
                <w:snapToGrid w:val="0"/>
                <w:color w:val="auto"/>
                <w:spacing w:val="2"/>
                <w:kern w:val="0"/>
                <w:sz w:val="21"/>
                <w:szCs w:val="21"/>
                <w:highlight w:val="none"/>
              </w:rPr>
              <w:t>2、演示评审的相关事宜</w:t>
            </w:r>
          </w:p>
          <w:p>
            <w:pPr>
              <w:rPr>
                <w:rFonts w:hint="eastAsia"/>
                <w:color w:val="auto"/>
                <w:highlight w:val="none"/>
              </w:rPr>
            </w:pPr>
            <w:r>
              <w:rPr>
                <w:rFonts w:hint="eastAsia"/>
                <w:color w:val="auto"/>
                <w:highlight w:val="none"/>
              </w:rPr>
              <w:t>投标人提供U盘或光盘演示投标人制作的其他信息技术类在线课程微课视频样片（提供完整视频文件，不接受截图、片段等非完整视频演示），U盘或光盘须随投标文件一起提交。视频样片演示时间(20分钟)内，必须基于投标人完成的真实课程项目（提供证明材料）。</w:t>
            </w:r>
          </w:p>
          <w:p>
            <w:pPr>
              <w:rPr>
                <w:rFonts w:hint="eastAsia" w:ascii="宋体" w:hAnsi="宋体" w:eastAsia="宋体" w:cs="宋体"/>
                <w:snapToGrid w:val="0"/>
                <w:color w:val="auto"/>
                <w:spacing w:val="2"/>
                <w:kern w:val="0"/>
                <w:sz w:val="21"/>
                <w:szCs w:val="21"/>
                <w:highlight w:val="none"/>
              </w:rPr>
            </w:pPr>
            <w:r>
              <w:rPr>
                <w:rFonts w:hint="eastAsia"/>
                <w:color w:val="auto"/>
                <w:highlight w:val="none"/>
                <w:lang w:val="en-US" w:eastAsia="zh-CN"/>
              </w:rPr>
              <w:t>3、</w:t>
            </w:r>
            <w:r>
              <w:rPr>
                <w:rFonts w:hint="eastAsia"/>
                <w:color w:val="auto"/>
                <w:highlight w:val="none"/>
              </w:rPr>
              <w:t>投标人须确认U盘或光盘中内容的完整和准确性，因演示载体原因导致演示不成功或无法演示的，由投标人自行承担因此产生的后果。</w:t>
            </w:r>
          </w:p>
        </w:tc>
      </w:tr>
    </w:tbl>
    <w:p>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1248"/>
        <w:gridCol w:w="398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参考品牌、型号</w:t>
            </w:r>
          </w:p>
        </w:tc>
        <w:tc>
          <w:tcPr>
            <w:tcW w:w="3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技术参数要求</w:t>
            </w:r>
          </w:p>
        </w:tc>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《Web前端开发1+X课证一体课程》PPT课件</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★1.课件应包含《HTML5+CSS3开发技术》、《JavaScript前端开发》、《Vue应用程序开发》3个技术领域内容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素材应符合相关技术规范。PPT涉及的技术应为最新主流技术，不允许出现明显的已过时的技术。每个技术领域PPT不少于8个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能体现整门技术领域的知识框架。</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4.3页面行距建议为1.2倍，可适当增大，左右边距均匀、适当。</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各级标题宜采用不同的字体，一张幻灯片上文字颜色不宜过多，注意文字与背景色的反差。</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4.6文件内链接都采用相对链接，并能够正常打开</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15000</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《Web前端开发1+X课证一体课程》教学视频</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100个</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★1.内容应覆盖《HTML5+CSS3开发技术》、《JavaScript前端开发》、《Vue应用程序开发》3个技术领域。</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2.要求视频图像清晰，声音和画面同步，播放时没有明显的噪点，播放流畅。</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脚本、样片等资源内容应符合我国法律法规，尊重各民族的风俗习惯，版权不存在争议，文字内容的使用应符合规范，符合国家标准。</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视频格式为MP4，分辨率为720P高清格式，每个视频时长3-20分钟，总时长不少于500分钟。</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★5.中标方全程负责课程视频制作的课程设计、脚本编写、视频录制和后期处理。</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70000</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《Web前端开发1+X课证一体课程》线上课程</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1个</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根据课程资源，设计并制作体现课程资源情况的首页、导航、功能栏目以及二级页面等，设计独特的网站风格。</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要体现课程学习的顶层设计和框架结构，考虑面向学生、教师、企业用户、社会学习者等不同人群，提供针对这些人群的导学导览设计，使不同学习者能够迅速获取所需内容，明确学习路径。</w:t>
            </w:r>
          </w:p>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★3.中标方全程负责课程视频制作的课程设计、脚本编写、视频录制和后期处理。</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20000</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42"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分项最高限价</w:t>
            </w:r>
            <w:r>
              <w:rPr>
                <w:rFonts w:hint="eastAsia" w:ascii="宋体" w:hAnsi="宋体" w:eastAsia="宋体" w:cs="宋体"/>
                <w:b/>
                <w:color w:val="auto"/>
                <w:sz w:val="21"/>
                <w:szCs w:val="21"/>
                <w:highlight w:val="none"/>
                <w:lang w:val="en-US" w:eastAsia="zh-CN"/>
              </w:rPr>
              <w:t>合计</w:t>
            </w:r>
          </w:p>
        </w:tc>
        <w:tc>
          <w:tcPr>
            <w:tcW w:w="572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bCs/>
                <w:color w:val="auto"/>
                <w:sz w:val="21"/>
                <w:szCs w:val="21"/>
                <w:highlight w:val="none"/>
              </w:rPr>
            </w:pPr>
            <w:r>
              <w:rPr>
                <w:rFonts w:hint="eastAsia" w:ascii="宋体" w:hAnsi="宋体" w:cs="Arial"/>
                <w:b/>
                <w:bCs/>
                <w:color w:val="auto"/>
                <w:kern w:val="1"/>
                <w:szCs w:val="21"/>
                <w:highlight w:val="none"/>
                <w:lang w:val="en-US" w:eastAsia="zh-CN"/>
              </w:rPr>
              <w:t>壹拾万零伍仟元整</w:t>
            </w:r>
            <w:r>
              <w:rPr>
                <w:rFonts w:hint="eastAsia" w:ascii="宋体" w:hAnsi="宋体" w:cs="Arial"/>
                <w:b/>
                <w:bCs/>
                <w:color w:val="auto"/>
                <w:kern w:val="1"/>
                <w:szCs w:val="21"/>
                <w:highlight w:val="none"/>
                <w:lang w:eastAsia="zh-CN"/>
              </w:rPr>
              <w:t>（</w:t>
            </w:r>
            <w:r>
              <w:rPr>
                <w:rFonts w:hint="eastAsia" w:ascii="宋体" w:hAnsi="宋体" w:eastAsia="宋体" w:cs="宋体"/>
                <w:b/>
                <w:bCs/>
                <w:color w:val="auto"/>
                <w:kern w:val="1"/>
                <w:szCs w:val="21"/>
                <w:highlight w:val="none"/>
                <w:lang w:eastAsia="zh-CN"/>
              </w:rPr>
              <w:t>￥</w:t>
            </w:r>
            <w:r>
              <w:rPr>
                <w:rFonts w:hint="eastAsia" w:ascii="宋体" w:hAnsi="宋体" w:cs="Arial"/>
                <w:b/>
                <w:bCs/>
                <w:color w:val="auto"/>
                <w:kern w:val="1"/>
                <w:szCs w:val="21"/>
                <w:highlight w:val="none"/>
                <w:lang w:eastAsia="zh-CN"/>
              </w:rPr>
              <w:t>105000</w:t>
            </w:r>
            <w:r>
              <w:rPr>
                <w:rFonts w:hint="eastAsia" w:ascii="宋体" w:hAnsi="宋体" w:cs="Arial"/>
                <w:b/>
                <w:bCs/>
                <w:color w:val="auto"/>
                <w:kern w:val="1"/>
                <w:szCs w:val="21"/>
                <w:highlight w:val="none"/>
                <w:lang w:val="en-US" w:eastAsia="zh-CN"/>
              </w:rPr>
              <w:t>.00</w:t>
            </w:r>
            <w:r>
              <w:rPr>
                <w:rFonts w:hint="eastAsia" w:ascii="宋体" w:hAnsi="宋体" w:cs="Arial"/>
                <w:b/>
                <w:bCs/>
                <w:color w:val="auto"/>
                <w:kern w:val="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宋体" w:hAnsi="宋体" w:eastAsia="宋体" w:cs="宋体"/>
                <w:b/>
                <w:bCs/>
                <w:strike/>
                <w:color w:val="auto"/>
                <w:sz w:val="21"/>
                <w:szCs w:val="21"/>
                <w:highlight w:val="none"/>
              </w:rPr>
            </w:pPr>
            <w:r>
              <w:rPr>
                <w:rFonts w:hint="eastAsia" w:ascii="宋体" w:hAnsi="宋体" w:eastAsia="宋体" w:cs="宋体"/>
                <w:color w:val="auto"/>
                <w:sz w:val="21"/>
                <w:szCs w:val="21"/>
                <w:highlight w:val="none"/>
              </w:rPr>
              <w:t>商务条款</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★一、签定合同日期：自中标通知书发出之日起7个工作日内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★二、交货期：自合同签订之日起 20 日历天内（含安装）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三、交货地点：南宁职业技术学院</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四、交货方式：现场交货</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五、售后服务要求：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★1、质保期1年（自交货并验收合格之日起计）；</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2、按国家规定的厂家承诺实行"三包",免费送货上门、免费安装、调试及相应人员培训；</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3、故障响应及修复：接到故障电话 1 小时内派技术人员远程支持，远程支持无法解决的问题 24 小时内上门支持，在 48 小时内解决问题。</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六、其他要求：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★1、投标报价为采购人指定地点的现场交货价，包括：</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w:t>
            </w:r>
            <w:r>
              <w:rPr>
                <w:rFonts w:hint="eastAsia" w:ascii="宋体" w:hAnsi="宋体" w:cs="宋体"/>
                <w:snapToGrid w:val="0"/>
                <w:color w:val="auto"/>
                <w:spacing w:val="2"/>
                <w:kern w:val="0"/>
                <w:sz w:val="21"/>
                <w:szCs w:val="21"/>
                <w:highlight w:val="none"/>
                <w:lang w:val="en-US" w:eastAsia="zh-CN"/>
              </w:rPr>
              <w:t>服务</w:t>
            </w:r>
            <w:r>
              <w:rPr>
                <w:rFonts w:hint="eastAsia" w:ascii="宋体" w:hAnsi="宋体" w:eastAsia="宋体" w:cs="宋体"/>
                <w:snapToGrid w:val="0"/>
                <w:color w:val="auto"/>
                <w:spacing w:val="2"/>
                <w:kern w:val="0"/>
                <w:sz w:val="21"/>
                <w:szCs w:val="21"/>
                <w:highlight w:val="none"/>
              </w:rPr>
              <w:t>的价格；</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（2）调试、培训、技术支持、售后服务等费用；</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（3）必要的保险费用和各项税费；</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w:t>
            </w:r>
            <w:r>
              <w:rPr>
                <w:rFonts w:hint="eastAsia" w:ascii="宋体" w:hAnsi="宋体" w:cs="宋体"/>
                <w:snapToGrid w:val="0"/>
                <w:color w:val="auto"/>
                <w:spacing w:val="2"/>
                <w:kern w:val="0"/>
                <w:sz w:val="21"/>
                <w:szCs w:val="21"/>
                <w:highlight w:val="none"/>
                <w:lang w:val="en-US" w:eastAsia="zh-CN"/>
              </w:rPr>
              <w:t>4</w:t>
            </w:r>
            <w:r>
              <w:rPr>
                <w:rFonts w:hint="eastAsia" w:ascii="宋体" w:hAnsi="宋体" w:eastAsia="宋体" w:cs="宋体"/>
                <w:snapToGrid w:val="0"/>
                <w:color w:val="auto"/>
                <w:spacing w:val="2"/>
                <w:kern w:val="0"/>
                <w:sz w:val="21"/>
                <w:szCs w:val="21"/>
                <w:highlight w:val="none"/>
              </w:rPr>
              <w:t>）包含安装费用。</w:t>
            </w:r>
          </w:p>
          <w:p>
            <w:pPr>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rPr>
              <w:t>★2、付款方式：本项目无预付款，供应商交货完毕并经验收合格后，一次性支付合同款。</w:t>
            </w:r>
          </w:p>
        </w:tc>
      </w:tr>
    </w:tbl>
    <w:p>
      <w:pPr>
        <w:rPr>
          <w:color w:val="auto"/>
          <w:highlight w:val="none"/>
        </w:rPr>
      </w:pPr>
    </w:p>
    <w:p>
      <w:pPr>
        <w:pStyle w:val="7"/>
        <w:rPr>
          <w:rFonts w:hint="eastAsia"/>
          <w:color w:val="auto"/>
          <w:sz w:val="21"/>
          <w:szCs w:val="21"/>
          <w:highlight w:val="none"/>
          <w:lang w:val="en-US" w:eastAsia="zh-CN"/>
        </w:rPr>
      </w:pPr>
      <w:r>
        <w:rPr>
          <w:rFonts w:hint="eastAsia"/>
          <w:color w:val="auto"/>
          <w:sz w:val="21"/>
          <w:szCs w:val="21"/>
          <w:highlight w:val="none"/>
          <w:lang w:val="en-US" w:eastAsia="zh-CN"/>
        </w:rPr>
        <w:t>D分标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1248"/>
        <w:gridCol w:w="398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参考品牌、型号</w:t>
            </w:r>
          </w:p>
        </w:tc>
        <w:tc>
          <w:tcPr>
            <w:tcW w:w="3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技术参数要求</w:t>
            </w:r>
          </w:p>
        </w:tc>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《web应用安全与管理》课程包PPT课件</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20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★1.要求依据1+X“网络安全评估”职业技能等级要求（中级）“Web 安全评估测试”工作领域的职业技能要求进行开发，素材应符合相关技术规范。</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4.3页面行距建议为1.2倍，可适当增大，左右边距均匀、适当。</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 各级标题宜采用不同的字体，一张幻灯片上文字颜色不宜过多，注意文字与背景色的反差。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4.6文件内链接都采用相对链接，并能够正常打开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15000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《web应用安全与管理》课程包教学视频</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内容应参照1+X“网络安全评估”职业技能等级要求（中级）“Web 安全评估测试”工作领域的职业技能要求进行开发。</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★2.授课讲师必须为参加过1+X“网络安全评估”职业技能师资培训；（验收时提供培训证书复印件）</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3.要求视频图像清晰，声音和画面同步，播放时没有明显的噪点，播放流畅。</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脚本、样片等资源内容应符合我国法律法规，尊重各民族的风俗习惯，版权不存在争议，文字内容的使用应符合规范，符合国家标准。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视频格式为MP4，分辨率为1920*1080高清格式，每个视频时长3-8分钟，总时长不少于500分钟。</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60000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《Linux操作系统管理》PPT课件</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20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★1.课件应根据RHCSA（Red Hat Certified System Administrator）国际化课程标准进行开发。</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2.图形素材格式要求：*.jpg或*.png。</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3.模板应用：模板朴素、大方，颜色适宜，便于长时间观看；在模板的适当位置标明课程名称、模块（章或节）序号与模块（章或节）的名称。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4.版式设计：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4.1每页版面的字数不宜太多。采用宜于投影展示的字体，字体大小适中。</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4.2文字要醒目，避免使用与背景色相近的字体颜色。</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4.3页面行距建议为1.2倍，可适当增大，左右边距均匀、适当。</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4.4页面设计的原则是版面内容分布美观大方。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 各级标题宜采用不同的字体，一张幻灯片上文字颜色不宜过多，注意文字与背景色的反差。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4.6文件内链接都采用相对链接，并能够正常打开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5.课件内容应符合我国法律法规，尊重各民族的风俗习惯，版权不存在争议。</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9000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《Linux操作系统管理》教学视频</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100</w:t>
            </w:r>
            <w:r>
              <w:rPr>
                <w:rFonts w:hint="eastAsia" w:ascii="宋体" w:hAnsi="宋体" w:eastAsia="宋体" w:cs="宋体"/>
                <w:color w:val="auto"/>
                <w:sz w:val="21"/>
                <w:szCs w:val="21"/>
                <w:highlight w:val="none"/>
                <w:lang w:bidi="ar"/>
              </w:rPr>
              <w:t>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内容应根据RHCSA（Red Hat Certified System Administrator）国际化课程标准进行开发。</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2.要求视频图像清晰，声音和画面同步，播放时没有明显的噪点，播放流畅。</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脚本、样片等资源内容应符合我国法律法规，尊重各民族的风俗习惯，版权不存在争议，文字内容的使用应符合规范，符合国家标准。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视频格式为MP4，分辨率为1920*1080高清格式，每个视频时长3-8min，总时长不少于500min。</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bidi="ar"/>
              </w:rPr>
              <w:t>41000</w:t>
            </w:r>
            <w:r>
              <w:rPr>
                <w:rFonts w:hint="eastAsia" w:ascii="宋体" w:hAnsi="宋体" w:cs="宋体"/>
                <w:b/>
                <w:color w:val="auto"/>
                <w:kern w:val="0"/>
                <w:sz w:val="21"/>
                <w:szCs w:val="21"/>
                <w:highlight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专业核心课程微课</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10个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stheme="minorEastAsia"/>
                <w:color w:val="auto"/>
                <w:sz w:val="18"/>
                <w:szCs w:val="18"/>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1.每门微课材料包含微课视频，以及在微课录制过程中使用到的全部辅助扩展资料：教学方案设计、课件、习题、动画、视频、图片、答案、总结等。</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微课视频：时长5-10分钟为宜（不超过15分钟）；视频图像清晰稳定、构图合理、声音清楚，主要教学环节有字幕提示等；演示文稿：配合视频讲授使用的主要教学课件为PPT格式；教学方案设计应注明讲课内容所属大类专业、专业、课程名称、知识点（技能点）名称及适用对象等信息。满足参加自治区教学类技能比赛的要求。</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微课选题：选取教学环节中某一知识点、技能点、专题、实训活动作为选题，针对教学中的常见、典型、有代表性的问题或内容进行设计，类型包括但不限于：讲授类、解题类、答疑类、实训实验类、活动类。选题尽量“小而精”，具备独立性、完整性、示范性、代表性。</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bidi="ar"/>
              </w:rPr>
              <w:t>100000</w:t>
            </w:r>
            <w:r>
              <w:rPr>
                <w:rFonts w:hint="eastAsia" w:ascii="宋体" w:hAnsi="宋体" w:cs="宋体"/>
                <w:b/>
                <w:color w:val="auto"/>
                <w:kern w:val="0"/>
                <w:sz w:val="21"/>
                <w:szCs w:val="21"/>
                <w:highlight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42"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分项最高限价</w:t>
            </w:r>
            <w:r>
              <w:rPr>
                <w:rFonts w:hint="eastAsia" w:ascii="宋体" w:hAnsi="宋体" w:eastAsia="宋体" w:cs="宋体"/>
                <w:b/>
                <w:color w:val="auto"/>
                <w:sz w:val="21"/>
                <w:szCs w:val="21"/>
                <w:highlight w:val="none"/>
                <w:lang w:val="en-US" w:eastAsia="zh-CN"/>
              </w:rPr>
              <w:t>合计</w:t>
            </w:r>
          </w:p>
        </w:tc>
        <w:tc>
          <w:tcPr>
            <w:tcW w:w="572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 xml:space="preserve">贰拾贰万伍仟元整（￥225000.00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宋体" w:hAnsi="宋体" w:eastAsia="宋体" w:cs="宋体"/>
                <w:b/>
                <w:bCs/>
                <w:strike/>
                <w:color w:val="auto"/>
                <w:sz w:val="21"/>
                <w:szCs w:val="21"/>
                <w:highlight w:val="none"/>
              </w:rPr>
            </w:pPr>
            <w:r>
              <w:rPr>
                <w:rFonts w:hint="eastAsia" w:ascii="宋体" w:hAnsi="宋体" w:eastAsia="宋体" w:cs="宋体"/>
                <w:color w:val="auto"/>
                <w:sz w:val="21"/>
                <w:szCs w:val="21"/>
                <w:highlight w:val="none"/>
              </w:rPr>
              <w:t>商务条款</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★一、签定合同日期：自中标通知书发出之日起7个工作日内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★二、交货期：自合同签订之日起 20 日历天内（含安装）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三、交货地点：南宁职业技术学院</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四、交货方式：现场交货</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五、售后服务要求：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★1、质保期1年（自交货并验收合格之日起计）；</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2、按国家规定的厂家承诺实行"三包",免费送货上门、免费安装、调试及相应人员培训；</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3、故障响应及修复：接到故障电话 1 小时内派技术人员远程支持，远程支持无法解决的问题 24 小时内上门支持，在 48 小时内解决问题。</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六、其他要求：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★1、投标报价为采购人指定地点的现场交货价，包括：</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w:t>
            </w:r>
            <w:r>
              <w:rPr>
                <w:rFonts w:hint="eastAsia" w:ascii="宋体" w:hAnsi="宋体" w:cs="宋体"/>
                <w:snapToGrid w:val="0"/>
                <w:color w:val="auto"/>
                <w:spacing w:val="2"/>
                <w:kern w:val="0"/>
                <w:sz w:val="21"/>
                <w:szCs w:val="21"/>
                <w:highlight w:val="none"/>
                <w:lang w:val="en-US" w:eastAsia="zh-CN"/>
              </w:rPr>
              <w:t>服务</w:t>
            </w:r>
            <w:r>
              <w:rPr>
                <w:rFonts w:hint="eastAsia" w:ascii="宋体" w:hAnsi="宋体" w:eastAsia="宋体" w:cs="宋体"/>
                <w:snapToGrid w:val="0"/>
                <w:color w:val="auto"/>
                <w:spacing w:val="2"/>
                <w:kern w:val="0"/>
                <w:sz w:val="21"/>
                <w:szCs w:val="21"/>
                <w:highlight w:val="none"/>
              </w:rPr>
              <w:t>的价格；</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（2）调试、培训、技术支持、售后服务等费用；</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（3）必要的保险费用和各项税费；</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w:t>
            </w:r>
            <w:r>
              <w:rPr>
                <w:rFonts w:hint="eastAsia" w:ascii="宋体" w:hAnsi="宋体" w:cs="宋体"/>
                <w:snapToGrid w:val="0"/>
                <w:color w:val="auto"/>
                <w:spacing w:val="2"/>
                <w:kern w:val="0"/>
                <w:sz w:val="21"/>
                <w:szCs w:val="21"/>
                <w:highlight w:val="none"/>
                <w:lang w:val="en-US" w:eastAsia="zh-CN"/>
              </w:rPr>
              <w:t>4</w:t>
            </w:r>
            <w:r>
              <w:rPr>
                <w:rFonts w:hint="eastAsia" w:ascii="宋体" w:hAnsi="宋体" w:eastAsia="宋体" w:cs="宋体"/>
                <w:snapToGrid w:val="0"/>
                <w:color w:val="auto"/>
                <w:spacing w:val="2"/>
                <w:kern w:val="0"/>
                <w:sz w:val="21"/>
                <w:szCs w:val="21"/>
                <w:highlight w:val="none"/>
              </w:rPr>
              <w:t>）包含安装费用。</w:t>
            </w:r>
          </w:p>
          <w:p>
            <w:pPr>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rPr>
              <w:t>★2、付款方式：本项目无预付款，供应商交货完毕并经验收合格后，一次性支付合同款。</w:t>
            </w:r>
          </w:p>
        </w:tc>
      </w:tr>
    </w:tbl>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p>
    <w:p>
      <w:pPr>
        <w:pStyle w:val="7"/>
        <w:rPr>
          <w:rFonts w:hint="eastAsia" w:ascii="宋体" w:hAnsi="宋体" w:eastAsia="宋体" w:cs="宋体"/>
          <w:b/>
          <w:bCs/>
          <w:color w:val="auto"/>
          <w:highlight w:val="none"/>
          <w:lang w:val="en-US" w:eastAsia="zh-CN"/>
        </w:rPr>
      </w:pPr>
    </w:p>
    <w:p>
      <w:pPr>
        <w:rPr>
          <w:rFonts w:hint="eastAsia"/>
          <w:color w:val="auto"/>
          <w:highlight w:val="none"/>
          <w:lang w:val="en-US" w:eastAsia="zh-CN"/>
        </w:rPr>
      </w:pPr>
    </w:p>
    <w:p>
      <w:pPr>
        <w:rPr>
          <w:rFonts w:hint="eastAsia" w:ascii="宋体" w:hAnsi="宋体" w:eastAsia="宋体" w:cs="宋体"/>
          <w:b/>
          <w:bCs/>
          <w:color w:val="auto"/>
          <w:highlight w:val="none"/>
          <w:lang w:val="en-US" w:eastAsia="zh-CN"/>
        </w:rPr>
      </w:pPr>
    </w:p>
    <w:p>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E分标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1248"/>
        <w:gridCol w:w="398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参考品牌、型号</w:t>
            </w:r>
          </w:p>
        </w:tc>
        <w:tc>
          <w:tcPr>
            <w:tcW w:w="3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技术参数要求</w:t>
            </w:r>
          </w:p>
        </w:tc>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《基站建设与维护》及《通信工程制图与数字化表达》课程介绍宣传片</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2个</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21"/>
                <w:szCs w:val="21"/>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★1.课程介绍包括课程特点、教学目标、教学内容覆盖面、教学方法及组织形式、授课对象要求、教材与参考资料等内容。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★2.提供每门课程3至5分钟的课程介绍视频，视频质量达到高清级别（1080p，分辨率为1920x1080），要求契合课程内容，且有吸引力。</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3.中标方全程负责课程视频制作的课程设计、脚本编写、视频录制和后期处理。</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20000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《基站建设与维护》配套精品微课程</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1套</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21"/>
                <w:szCs w:val="21"/>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★1.视频总时长不低于30分钟。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★2.视频按知识点的颗粒来制作，每一个控制在5-10分钟之内。</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3.片头片尾：视频需添加统一的片头和片尾，根据课程内容进行策划，时长5-10秒。片头需包含课程负责人老师的照片和简介。</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★4.视频中必须有南宁职业技术学院LOGO。</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5.视频需提供两种版本，一种是带字幕视频，一种是不带字幕视频（字幕单独提供），若某些视频超过300M，还需提供压缩至300M以下的版本。</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★6.录制设备：使用专业级话筒和领夹式无线麦。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（1）视频帧率：不少于30帧/秒，采用逐行扫描。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（2）视频码率：动态码流的最高码率不高于2500Kbps，最低码率不得低于1024Kbps。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（3）视频信号：全片图像同步性能稳定。</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（4）字幕：每屏只出现一行字幕，并且出现的水平位置必须保持一致；字体、大小、色彩、摆放位置、停留时间、出入屏方式等协调，无错别字，不破坏原有画面。</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（5）音频压缩：采用AAC(MPEG4 Part3)格式。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采样率：48 kHz。</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（6）音频码流率：128Kbps(恒定)。</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（7）声道：双声道，且做混音处理。</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30000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《基站建设与维护》配套3D动画</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1套</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21"/>
                <w:szCs w:val="21"/>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★1.制作3个及以上动画。</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★2.动画按知识点的颗粒来制作，每一个控制在3分钟以上。</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3.动画色彩造型和谐，帧和帧之间的关联性强。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4.动画演播过程要求流畅，静止画面时间不超过5秒钟。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5.动画中必须有南宁职业技术学院LOGO。</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6.采用html5格式。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7.案例严格按照课程内容的表现需求进行设计和制作。</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（1）动画为MP4或SWF格式，解说配音应采用标准普通话，并提供音量控制。</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（2）音频文件采样率为22.05kHz及以上；位数为16位；声道为双声道，支持混音处理。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（3）音频压缩采用AAC(MPEG4 Part3)格式。音频原始响度应为89分贝的声压值，并提供控制音量的开关。</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（4）字幕要使用符合国家标准的规范字，字幕不能破坏原有画面。每屏只有一行字幕且保持每屏字幕出现位置一致。字幕使用特殊字体需拥有自主产权。</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（5）动画帧频：25帧/秒。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（6）音频品质：mp3，比特率32kbps以上。</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（7）动画文件大小：单个动画不超过50M。</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（8）动画分辨率为1280*720。</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（9）动画输出成品符合16:9宽屏标准。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（10）动画需添加视频片头片尾，片头时间3-10秒，片尾时间2-5秒。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（11）动画开始要有醒目标题，标题体现动画内容。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不得在动画中添加任何形式的恶意代码或与课程学习无关的超链接等内容。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★8.交付时需提供动画脚本文档、完整人设资料、动画源文件、带有版权信息的最终文件、动画制作过程中的所有素材。</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（1）成品动画版权归南宁职业技术学院。</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（2）保持每个动画素材的独立性。不设置两个或多个动画文件之间的嵌套及链接关系。</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18000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《通信工程制图与数字化表达》配套精品微课程</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1套</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21"/>
                <w:szCs w:val="21"/>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★1.视频总时长不低于20分钟。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★2.视频按知识点的颗粒来制作，每一个控制在5-10分钟之内。</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3.片头片尾：视频需添加统一的片头和片尾，根据课程内容进行策划，时长5-10秒，片头需包含课程负责人老师的照片和简介。</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★4.视频中必须有南宁职业技术学院LOGO。</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5.视频需提供两种版本，一种是带字幕视频，一种是不带字幕视频（字幕单独提供），若某些视频超过300M，还需提供压缩至300M以下的版本。</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★6.录制设备：使用专业级话筒和领夹式无线麦。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视频帧率：不少于30帧/秒，采用逐行扫描。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视频码率：动态码流的最高码率不高于2500Kbps，最低码率不得低于1024Kbps。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（3）视频信号：全片图像同步性能稳定。</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（4）字幕：每屏只出现一行字幕，并且出现的水平位置必须保持一致；字体、大小、色彩、摆放位置、停留时间、出入屏方式等协调，无错别字，不破坏原有画面。</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（5）音频压缩：采用AAC(MPEG4 Part3)格式。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采样率：48 kHz。</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（6）音频码流率：128Kbps(恒定)。</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（7）声道：双声道，且做混音处理。</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20000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《通信工程制图与数字化表达》配套3D动画</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1套</w:t>
            </w:r>
          </w:p>
        </w:tc>
        <w:tc>
          <w:tcPr>
            <w:tcW w:w="12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rPr>
            </w:pPr>
            <w:r>
              <w:rPr>
                <w:rFonts w:hint="eastAsia" w:asciiTheme="minorEastAsia" w:hAnsiTheme="minorEastAsia"/>
                <w:color w:val="auto"/>
                <w:sz w:val="21"/>
                <w:szCs w:val="21"/>
                <w:highlight w:val="none"/>
              </w:rPr>
              <w:t>定制</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★1.制作3个及以上动画。</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★2.动画按知识点的颗粒来制作，每一个控制在3分钟以上。</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3.动画色彩造型和谐，帧和帧之间的关联性强。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4.动画演播过程要求流畅，静止画面时间不超过5秒钟。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5.动画中必须有南宁职业技术学院LOGO。</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6.采用html5格式。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7.案例严格按照课程内容的表现需求进行设计和制作。</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（1）动画为MP4或SWF格式，解说配音应采用标准普通话，并提供音量控制。</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（2）音频文件采样率为22.05kHz及以上；位数为16位；声道为双声道，支持混音处理。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（3）音频压缩采用AAC(MPEG4 Part3)格式。音频原始响度应为89分贝的声压值，并提供控制音量的开关。</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（4）字幕要使用符合国家标准的规范字，字幕不能破坏原有画面。每屏只有一行字幕且保持每屏字幕出现位置一致。字幕使用特殊字体需拥有自主产权。</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（5）动画帧频：25帧/秒。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（6）音频品质：mp3，比特率32kbps以上。</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（7）动画文件大小：单个动画不超过50M。</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（8）动画分辨率为1280*720。</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（9）动画输出成品符合16:9宽屏标准。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（10）动画需添加视频片头片尾，片头时间3-10秒，片尾时间2-5秒。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（11）动画开始要有醒目标题，标题体现动画内容。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不得在动画中添加任何形式的恶意代码或与课程学习无关的超链接等内容。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★8.交付时需提供动画脚本文档、完整人设资料、动画源文件、带有版权信息的最终文件、动画制作过程中的所有素材。</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（1）成品动画版权归南宁职业技术学院。</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（2）保持每个动画素材的独立性。不设置两个或多个动画文件之间的嵌套及链接关系。</w:t>
            </w:r>
          </w:p>
          <w:p>
            <w:pPr>
              <w:widowControl/>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★9.中标方全程负责课程视频制作的课程设计、脚本编写、视频录制和后期处理</w:t>
            </w:r>
            <w:r>
              <w:rPr>
                <w:rFonts w:hint="eastAsia" w:ascii="宋体" w:hAnsi="宋体" w:eastAsia="宋体" w:cs="宋体"/>
                <w:color w:val="auto"/>
                <w:sz w:val="21"/>
                <w:szCs w:val="21"/>
                <w:highlight w:val="none"/>
                <w:lang w:eastAsia="zh-CN"/>
              </w:rPr>
              <w:t>。</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12000</w:t>
            </w:r>
            <w:r>
              <w:rPr>
                <w:rFonts w:hint="eastAsia" w:ascii="宋体" w:hAnsi="宋体" w:cs="宋体"/>
                <w:b/>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42"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分项最高限价</w:t>
            </w:r>
            <w:r>
              <w:rPr>
                <w:rFonts w:hint="eastAsia" w:ascii="宋体" w:hAnsi="宋体" w:eastAsia="宋体" w:cs="宋体"/>
                <w:b/>
                <w:color w:val="auto"/>
                <w:sz w:val="21"/>
                <w:szCs w:val="21"/>
                <w:highlight w:val="none"/>
                <w:lang w:val="en-US" w:eastAsia="zh-CN"/>
              </w:rPr>
              <w:t>合计</w:t>
            </w:r>
          </w:p>
        </w:tc>
        <w:tc>
          <w:tcPr>
            <w:tcW w:w="5723"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壹拾万元整（￥100000.00）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hint="eastAsia" w:ascii="宋体" w:hAnsi="宋体" w:eastAsia="宋体" w:cs="宋体"/>
                <w:b/>
                <w:bCs/>
                <w:strike/>
                <w:color w:val="auto"/>
                <w:sz w:val="21"/>
                <w:szCs w:val="21"/>
                <w:highlight w:val="none"/>
              </w:rPr>
            </w:pPr>
            <w:r>
              <w:rPr>
                <w:rFonts w:hint="eastAsia" w:ascii="宋体" w:hAnsi="宋体" w:eastAsia="宋体" w:cs="宋体"/>
                <w:color w:val="auto"/>
                <w:sz w:val="21"/>
                <w:szCs w:val="21"/>
                <w:highlight w:val="none"/>
              </w:rPr>
              <w:t>商务条款</w:t>
            </w:r>
          </w:p>
        </w:tc>
        <w:tc>
          <w:tcPr>
            <w:tcW w:w="9311" w:type="dxa"/>
            <w:gridSpan w:val="5"/>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★一、签定合同日期：自中标通知书发出之日起7个工作日内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★二、交货期：自合同签订之日起 20 日历天内（含安装）</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三、交货地点：南宁职业技术学院</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四、交货方式：现场交货</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五、售后服务要求：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★1、质保期1年（自交货并验收合格之日起计）；</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2、按国家规定的厂家承诺实行"三包",免费送货上门、免费安装、调试及相应人员培训；</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3、故障响应及修复：接到故障电话 1 小时内派技术人员远程支持，远程支持无法解决的问题 24 小时内上门支持，在 48 小时内解决问题。</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六、其他要求：</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★1、投标报价为采购人指定地点的现场交货价，包括：</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（1）</w:t>
            </w:r>
            <w:r>
              <w:rPr>
                <w:rFonts w:hint="eastAsia" w:ascii="宋体" w:hAnsi="宋体" w:cs="宋体"/>
                <w:snapToGrid w:val="0"/>
                <w:color w:val="auto"/>
                <w:spacing w:val="2"/>
                <w:kern w:val="0"/>
                <w:sz w:val="21"/>
                <w:szCs w:val="21"/>
                <w:highlight w:val="none"/>
                <w:lang w:val="en-US" w:eastAsia="zh-CN"/>
              </w:rPr>
              <w:t>服务</w:t>
            </w:r>
            <w:r>
              <w:rPr>
                <w:rFonts w:hint="eastAsia" w:ascii="宋体" w:hAnsi="宋体" w:eastAsia="宋体" w:cs="宋体"/>
                <w:snapToGrid w:val="0"/>
                <w:color w:val="auto"/>
                <w:spacing w:val="2"/>
                <w:kern w:val="0"/>
                <w:sz w:val="21"/>
                <w:szCs w:val="21"/>
                <w:highlight w:val="none"/>
              </w:rPr>
              <w:t>的价格；</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（2）调试、培训、技术支持、售后服务等费用；</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（3）必要的保险费用和各项税费；</w:t>
            </w:r>
          </w:p>
          <w:p>
            <w:pPr>
              <w:widowControl/>
              <w:spacing w:line="440" w:lineRule="exact"/>
              <w:jc w:val="left"/>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w:t>
            </w:r>
            <w:r>
              <w:rPr>
                <w:rFonts w:hint="eastAsia" w:ascii="宋体" w:hAnsi="宋体" w:cs="宋体"/>
                <w:snapToGrid w:val="0"/>
                <w:color w:val="auto"/>
                <w:spacing w:val="2"/>
                <w:kern w:val="0"/>
                <w:sz w:val="21"/>
                <w:szCs w:val="21"/>
                <w:highlight w:val="none"/>
                <w:lang w:val="en-US" w:eastAsia="zh-CN"/>
              </w:rPr>
              <w:t>4</w:t>
            </w:r>
            <w:r>
              <w:rPr>
                <w:rFonts w:hint="eastAsia" w:ascii="宋体" w:hAnsi="宋体" w:eastAsia="宋体" w:cs="宋体"/>
                <w:snapToGrid w:val="0"/>
                <w:color w:val="auto"/>
                <w:spacing w:val="2"/>
                <w:kern w:val="0"/>
                <w:sz w:val="21"/>
                <w:szCs w:val="21"/>
                <w:highlight w:val="none"/>
              </w:rPr>
              <w:t>）包含安装费用。</w:t>
            </w:r>
          </w:p>
          <w:p>
            <w:pPr>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kern w:val="0"/>
                <w:sz w:val="21"/>
                <w:szCs w:val="21"/>
                <w:highlight w:val="none"/>
              </w:rPr>
              <w:t>★2、付款方式：本项目无预付款，供应商交货完毕并经验收合格后，一次性支付合同款。</w:t>
            </w:r>
          </w:p>
        </w:tc>
      </w:tr>
    </w:tbl>
    <w:p>
      <w:pPr>
        <w:pStyle w:val="7"/>
        <w:rPr>
          <w:rFonts w:hint="default"/>
          <w:color w:val="auto"/>
          <w:highlight w:val="none"/>
          <w:lang w:val="en-US" w:eastAsia="zh-CN"/>
        </w:rPr>
      </w:pPr>
    </w:p>
    <w:p>
      <w:pPr>
        <w:rPr>
          <w:color w:val="auto"/>
          <w:highlight w:val="none"/>
        </w:rPr>
        <w:sectPr>
          <w:footerReference r:id="rId7" w:type="first"/>
          <w:footerReference r:id="rId6" w:type="default"/>
          <w:pgSz w:w="11906" w:h="16838"/>
          <w:pgMar w:top="1134" w:right="1134" w:bottom="1134" w:left="1134" w:header="720" w:footer="720" w:gutter="0"/>
          <w:cols w:space="720" w:num="1"/>
          <w:titlePg/>
          <w:docGrid w:type="lines" w:linePitch="331" w:charSpace="0"/>
        </w:sectPr>
      </w:pPr>
    </w:p>
    <w:p>
      <w:pPr>
        <w:pStyle w:val="18"/>
        <w:jc w:val="center"/>
        <w:outlineLvl w:val="0"/>
        <w:rPr>
          <w:rFonts w:ascii="Times New Roman" w:hAnsi="Times New Roman"/>
          <w:b/>
          <w:color w:val="auto"/>
          <w:sz w:val="36"/>
          <w:highlight w:val="none"/>
        </w:rPr>
      </w:pPr>
      <w:bookmarkStart w:id="53" w:name="_Toc495996894"/>
      <w:r>
        <w:rPr>
          <w:rFonts w:hint="eastAsia" w:ascii="Times New Roman" w:hAnsi="Times New Roman"/>
          <w:b/>
          <w:color w:val="auto"/>
          <w:sz w:val="36"/>
          <w:highlight w:val="none"/>
        </w:rPr>
        <w:t>第三章 评标办法</w:t>
      </w:r>
      <w:bookmarkEnd w:id="53"/>
    </w:p>
    <w:bookmarkEnd w:id="49"/>
    <w:bookmarkEnd w:id="50"/>
    <w:bookmarkEnd w:id="51"/>
    <w:bookmarkEnd w:id="52"/>
    <w:p>
      <w:pPr>
        <w:pStyle w:val="18"/>
        <w:spacing w:line="360" w:lineRule="auto"/>
        <w:jc w:val="center"/>
        <w:rPr>
          <w:rFonts w:hint="eastAsia" w:hAnsi="宋体" w:cs="宋体"/>
          <w:b/>
          <w:bCs/>
          <w:color w:val="auto"/>
          <w:highlight w:val="none"/>
          <w:lang w:val="en-US" w:eastAsia="zh-CN"/>
        </w:rPr>
      </w:pPr>
      <w:bookmarkStart w:id="54" w:name="_Toc213206174"/>
      <w:bookmarkStart w:id="55" w:name="_Toc213325923"/>
      <w:bookmarkStart w:id="56" w:name="_Toc495996907"/>
      <w:r>
        <w:rPr>
          <w:rFonts w:hint="eastAsia" w:hAnsi="宋体" w:cs="宋体"/>
          <w:b/>
          <w:bCs/>
          <w:color w:val="auto"/>
          <w:highlight w:val="none"/>
          <w:lang w:eastAsia="zh-CN"/>
        </w:rPr>
        <w:t>（</w:t>
      </w:r>
      <w:r>
        <w:rPr>
          <w:rFonts w:hint="eastAsia" w:hAnsi="宋体" w:cs="宋体"/>
          <w:b/>
          <w:bCs/>
          <w:color w:val="auto"/>
          <w:highlight w:val="none"/>
          <w:lang w:val="en-US" w:eastAsia="zh-CN"/>
        </w:rPr>
        <w:t>适用A分标）</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（一）评标委员会以招标文件为依据，对投标文件进行评审，对投标人的投标报价、技术文件及商务文件等三部分内容按百分制打分，其中价格分30分，技术分40分，商务分30分</w:t>
      </w:r>
      <w:r>
        <w:rPr>
          <w:rFonts w:hint="eastAsia" w:ascii="宋体" w:hAnsi="宋体" w:eastAsia="宋体" w:cs="宋体"/>
          <w:color w:val="auto"/>
          <w:kern w:val="0"/>
          <w:sz w:val="21"/>
          <w:szCs w:val="21"/>
          <w:highlight w:val="none"/>
          <w:lang w:eastAsia="zh-CN"/>
        </w:rPr>
        <w:t>、</w:t>
      </w:r>
      <w:r>
        <w:rPr>
          <w:rFonts w:hint="eastAsia" w:cs="Times New Roman" w:asciiTheme="minorEastAsia" w:hAnsiTheme="minorEastAsia"/>
          <w:color w:val="auto"/>
          <w:kern w:val="0"/>
          <w:sz w:val="21"/>
          <w:szCs w:val="21"/>
          <w:highlight w:val="none"/>
          <w:lang w:eastAsia="zh-CN"/>
        </w:rPr>
        <w:t>诚信分</w:t>
      </w:r>
      <w:r>
        <w:rPr>
          <w:rFonts w:hint="eastAsia" w:cs="Times New Roman" w:asciiTheme="minorEastAsia" w:hAnsiTheme="minorEastAsia"/>
          <w:color w:val="auto"/>
          <w:kern w:val="0"/>
          <w:sz w:val="21"/>
          <w:szCs w:val="21"/>
          <w:highlight w:val="none"/>
          <w:lang w:val="en-US" w:eastAsia="zh-CN"/>
        </w:rPr>
        <w:t>-6分</w:t>
      </w:r>
      <w:r>
        <w:rPr>
          <w:rFonts w:hint="eastAsia" w:ascii="宋体" w:hAnsi="宋体" w:eastAsia="宋体" w:cs="宋体"/>
          <w:color w:val="auto"/>
          <w:kern w:val="0"/>
          <w:sz w:val="21"/>
          <w:szCs w:val="21"/>
          <w:highlight w:val="none"/>
        </w:rPr>
        <w:t>。（评标时，对于带有主观因素的评分，由各评委独立进行评价、打分，不允许讨论。）</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（二）评分细则：（按四舍五入取至小数点后四位）</w:t>
      </w:r>
    </w:p>
    <w:p>
      <w:pPr>
        <w:spacing w:line="360" w:lineRule="auto"/>
        <w:ind w:left="145" w:leftChars="69" w:firstLine="295" w:firstLineChars="14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rPr>
        <w:t>、价格分………………………………………………………………………………………30分</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）对小型和微型企业产品的价格给予</w:t>
      </w:r>
      <w:r>
        <w:rPr>
          <w:rFonts w:hint="eastAsia" w:ascii="宋体" w:hAnsi="宋体" w:eastAsia="宋体" w:cs="宋体"/>
          <w:color w:val="auto"/>
          <w:kern w:val="0"/>
          <w:sz w:val="21"/>
          <w:szCs w:val="21"/>
          <w:highlight w:val="none"/>
          <w:lang w:val="en-US" w:eastAsia="zh-CN"/>
        </w:rPr>
        <w:t>10</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的价格扣除，扣除后的价格为评标价，即评标价＝投标报价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10</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要求提供的《投标报价表》和《中小企业声明函》为评分依据）</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）对大中型企业和其他自然人、法人或者其他组织与小型、微型企业组成联合体，且联合体协议中约定小型、微型企业的协议合同金额占到联合体协议合同总金额</w:t>
      </w:r>
      <w:r>
        <w:rPr>
          <w:rFonts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rPr>
        <w:t>以上的，给予</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的价格扣除，扣除后的价格为评标价，即评标价＝投标报价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rPr>
        <w:t>）。（以投标人按第五章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要求提供的《投标报价表》、《中小企业声明函》和《联合体协议书》为评分依据）</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）投标产品提供企业按《关于政府采购支持监狱企业发展有关问题的通知》</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财库</w:t>
      </w:r>
      <w:r>
        <w:rPr>
          <w:rFonts w:ascii="宋体" w:hAnsi="宋体" w:eastAsia="宋体" w:cs="宋体"/>
          <w:color w:val="auto"/>
          <w:kern w:val="0"/>
          <w:sz w:val="21"/>
          <w:szCs w:val="21"/>
          <w:highlight w:val="none"/>
        </w:rPr>
        <w:t>[2014]68</w:t>
      </w:r>
      <w:r>
        <w:rPr>
          <w:rFonts w:hint="eastAsia" w:ascii="宋体" w:hAnsi="宋体" w:eastAsia="宋体" w:cs="宋体"/>
          <w:color w:val="auto"/>
          <w:kern w:val="0"/>
          <w:sz w:val="21"/>
          <w:szCs w:val="21"/>
          <w:highlight w:val="none"/>
        </w:rPr>
        <w:t>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认定为监狱企业的，在政府采购活动中，监狱企业视同小型、微型企业。（以投标人按第五章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要求提供的《报价表》和由省级以上监狱管理局、戒毒管理局</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含新疆生产建设兵团</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出具的属于监狱企业的证明文件为评分依据）</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）投标产品提供企业按《关于促进残疾人就业政府采购政策的通知》</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财库〔</w:t>
      </w:r>
      <w:r>
        <w:rPr>
          <w:rFonts w:ascii="宋体" w:hAnsi="宋体" w:eastAsia="宋体" w:cs="宋体"/>
          <w:color w:val="auto"/>
          <w:kern w:val="0"/>
          <w:sz w:val="21"/>
          <w:szCs w:val="21"/>
          <w:highlight w:val="none"/>
        </w:rPr>
        <w:t>2017</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rPr>
        <w:t>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要求提供的《报价表》和《残疾人福利性单位声明函》为评分依据）</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）除上述情况外，评标价＝投标报价。</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rPr>
        <w:t>）价格分计算公式：</w:t>
      </w:r>
    </w:p>
    <w:p>
      <w:pPr>
        <w:spacing w:line="360" w:lineRule="auto"/>
        <w:ind w:firstLine="2310" w:firstLineChars="11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投标人最低投标报价金额</w:t>
      </w:r>
    </w:p>
    <w:p>
      <w:pPr>
        <w:spacing w:line="360" w:lineRule="auto"/>
        <w:ind w:left="145" w:leftChars="69" w:firstLine="280" w:firstLineChars="140"/>
        <w:jc w:val="left"/>
        <w:rPr>
          <w:rFonts w:ascii="宋体" w:hAnsi="宋体" w:eastAsia="宋体" w:cs="宋体"/>
          <w:color w:val="auto"/>
          <w:kern w:val="0"/>
          <w:sz w:val="21"/>
          <w:szCs w:val="21"/>
          <w:highlight w:val="none"/>
        </w:rPr>
      </w:pPr>
      <w:r>
        <w:rPr>
          <w:rFonts w:ascii="宋体" w:hAnsi="宋体" w:eastAsia="宋体" w:cs="宋体"/>
          <w:color w:val="auto"/>
          <w:kern w:val="0"/>
          <w:sz w:val="20"/>
          <w:szCs w:val="21"/>
          <w:highlight w:val="none"/>
        </w:rPr>
        <mc:AlternateContent>
          <mc:Choice Requires="wps">
            <w:drawing>
              <wp:anchor distT="0" distB="0" distL="114300" distR="114300" simplePos="0" relativeHeight="251701248" behindDoc="0" locked="0" layoutInCell="1" allowOverlap="1">
                <wp:simplePos x="0" y="0"/>
                <wp:positionH relativeFrom="column">
                  <wp:posOffset>1354455</wp:posOffset>
                </wp:positionH>
                <wp:positionV relativeFrom="paragraph">
                  <wp:posOffset>131445</wp:posOffset>
                </wp:positionV>
                <wp:extent cx="16002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6.65pt;margin-top:10.35pt;height:0pt;width:126pt;z-index:251701248;mso-width-relative:page;mso-height-relative:page;" filled="f" stroked="t" coordsize="21600,21600" o:gfxdata="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AGZQNYA&#10;AAAJAQAADwAAAAAAAAABACAAAAAiAAAAZHJzL2Rvd25yZXYueG1sUEsBAhQAFAAAAAgAh07iQDWv&#10;vkXoAQAAuA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kern w:val="0"/>
          <w:sz w:val="21"/>
          <w:szCs w:val="21"/>
          <w:highlight w:val="none"/>
        </w:rPr>
        <w:t xml:space="preserve">某投标人价格分＝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×30分</w:t>
      </w:r>
    </w:p>
    <w:p>
      <w:pPr>
        <w:spacing w:line="360" w:lineRule="auto"/>
        <w:ind w:left="145" w:leftChars="69" w:firstLine="2184" w:firstLineChars="10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某投标人投标报价金额</w:t>
      </w:r>
    </w:p>
    <w:p>
      <w:pPr>
        <w:spacing w:line="360" w:lineRule="auto"/>
        <w:ind w:left="145" w:leftChars="69" w:firstLine="295" w:firstLineChars="140"/>
        <w:jc w:val="left"/>
        <w:rPr>
          <w:rFonts w:ascii="宋体" w:hAnsi="宋体" w:eastAsia="宋体" w:cs="宋体"/>
          <w:b/>
          <w:color w:val="auto"/>
          <w:kern w:val="0"/>
          <w:sz w:val="21"/>
          <w:szCs w:val="21"/>
          <w:highlight w:val="none"/>
        </w:rPr>
      </w:pPr>
    </w:p>
    <w:p>
      <w:pPr>
        <w:spacing w:line="360" w:lineRule="auto"/>
        <w:ind w:left="145" w:leftChars="69" w:firstLine="295" w:firstLineChars="14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rPr>
        <w:t>、技术分………………………………………………………………………………………40分</w:t>
      </w:r>
    </w:p>
    <w:p>
      <w:pPr>
        <w:spacing w:before="156"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南宁职业技术学院人工智能技术服务专业人才培养方案以及资源库建设方案，对建设背景、建设基础、建设思路、目标、内容、特色、成效、建设推进计划做详细描述，并按采购文件要求提供人才培养方案。</w:t>
      </w:r>
    </w:p>
    <w:p>
      <w:pPr>
        <w:spacing w:before="156"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一档（1分）：人才培养方案简单，需求理解程度一般，基本满足项目建设需求；</w:t>
      </w:r>
    </w:p>
    <w:p>
      <w:pPr>
        <w:spacing w:before="156"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分）：人才培养方案描述详细，内容比较齐全，基本符合项目建设实际，基本满足项目建设需求；</w:t>
      </w:r>
    </w:p>
    <w:p>
      <w:pPr>
        <w:spacing w:before="156"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三档（5分）：人才培养方案描述详细，内容齐全，培养方案先进、可行、符合业界技术发展方向，了解客户建设目标及需求，完全符合项目建设实际，完全满足项目建设需求。</w:t>
      </w:r>
    </w:p>
    <w:p>
      <w:pPr>
        <w:spacing w:before="156"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（2）投标产品技术性能指标及配置对招标要求的响应程度：投标产品指标全部满足或优于招标文件要求得</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分。任何一项非实质性要求和条件（不带“</w:t>
      </w:r>
      <w:r>
        <w:rPr>
          <w:rFonts w:hint="eastAsia" w:eastAsia="Times New Roman" w:cs="Times New Roman" w:asciiTheme="minorEastAsia" w:hAnsiTheme="minorEastAsia"/>
          <w:color w:val="auto"/>
          <w:kern w:val="0"/>
          <w:sz w:val="21"/>
          <w:szCs w:val="21"/>
          <w:highlight w:val="none"/>
        </w:rPr>
        <w:sym w:font="Wingdings" w:char="00AB"/>
      </w:r>
      <w:r>
        <w:rPr>
          <w:rFonts w:hint="eastAsia" w:ascii="宋体" w:hAnsi="宋体" w:eastAsia="宋体" w:cs="宋体"/>
          <w:color w:val="auto"/>
          <w:kern w:val="0"/>
          <w:sz w:val="21"/>
          <w:szCs w:val="21"/>
          <w:highlight w:val="none"/>
        </w:rPr>
        <w:t>”号条款）不满足1项扣1分，超过</w:t>
      </w:r>
      <w:r>
        <w:rPr>
          <w:rFonts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rPr>
        <w:t>项（含</w:t>
      </w:r>
      <w:r>
        <w:rPr>
          <w:rFonts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rPr>
        <w:t>项）本评分细则不得分。</w:t>
      </w:r>
    </w:p>
    <w:p>
      <w:pPr>
        <w:spacing w:before="156"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（3）根据供应商课程资源库展示情况评分，本项满分20分，不演示不得分。</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1）投标供应商提供U盘或光盘展示所采购的某一门课程的课程标准，包括：课程基本信息、课程预期学习效果、教学内容与要求、各单元学时分配、实践教学项目实施计划、课程考核与评价等。</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一档（1分）：所提供演示内容不全面，只提供1-2项演示内容；</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二档（2分）：所提供演示内容较高于2项，但未能提供全部内容；</w:t>
      </w:r>
    </w:p>
    <w:p>
      <w:pPr>
        <w:spacing w:before="156" w:line="360" w:lineRule="auto"/>
        <w:ind w:left="145" w:leftChars="69" w:firstLine="399" w:firstLineChars="19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三档（5分）：提供所有演示内容。</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2）投标供应商提供U盘或光盘展示采购的某一门课程的视频样例，平均单个教学视频时长7-12分钟，分辨率不低于1920*1080。</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一档（1分）：所提供演示视频，内容全面详细，层次分明，风格统一，达到1-2部。</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二档（2分）：所提供演示视频，内容全面详细，层次分明，风格统一，超过5部；</w:t>
      </w:r>
    </w:p>
    <w:p>
      <w:pPr>
        <w:spacing w:before="156" w:line="360" w:lineRule="auto"/>
        <w:ind w:left="145" w:leftChars="69" w:firstLine="399" w:firstLineChars="19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三档（5分）：所提供演示视频，内容全面详细，层次分明，风格统一，超过8部。</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3）投标供应商提供U盘或光盘展示所采购的某一门课程的课件至少20个PPT 样例 ，单个课件PPT不少于10页，PPT设计符合教学规范，格式规范</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一档（1分）：所提供课件数量不少于20个；</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二档（2分）： 所提供的课件数量不少于20个PPT，单个课件样例不少于10页；</w:t>
      </w:r>
    </w:p>
    <w:p>
      <w:pPr>
        <w:spacing w:before="156" w:line="360" w:lineRule="auto"/>
        <w:ind w:left="145" w:leftChars="69" w:firstLine="399" w:firstLineChars="19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三档（5分）：所提供课件不少于20个PPT 样例，单个课件PPT不少于10页，PPT设计内容详细规范，符合教学规范。</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4）投标供应商提供U盘或光盘展示 所采购的某一门课程的课程实验手册和实验代码样例，实验手册内容须包含问题、方案、环境、资源、解决步骤、代码等内容，格式规范。</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一档（1分）：所提供演示内容不全面，只提供2-3项演示内容；</w:t>
      </w:r>
    </w:p>
    <w:p>
      <w:pPr>
        <w:spacing w:before="156"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二档（2分）：所提供演示内容较高于4项，但未能提供全部内容；</w:t>
      </w:r>
    </w:p>
    <w:p>
      <w:pPr>
        <w:spacing w:before="156" w:line="360" w:lineRule="auto"/>
        <w:ind w:left="145" w:leftChars="69" w:firstLine="399" w:firstLineChars="19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三档（5分）：提供所有演示内容并且格式规范。</w:t>
      </w:r>
    </w:p>
    <w:p>
      <w:pPr>
        <w:spacing w:before="156" w:line="360" w:lineRule="auto"/>
        <w:ind w:left="145" w:leftChars="69" w:firstLine="399" w:firstLineChars="190"/>
        <w:jc w:val="left"/>
        <w:rPr>
          <w:rFonts w:ascii="宋体" w:hAnsi="宋体" w:eastAsia="宋体" w:cs="宋体"/>
          <w:color w:val="auto"/>
          <w:kern w:val="0"/>
          <w:sz w:val="21"/>
          <w:szCs w:val="21"/>
          <w:highlight w:val="none"/>
        </w:rPr>
      </w:pPr>
    </w:p>
    <w:p>
      <w:pPr>
        <w:spacing w:line="360" w:lineRule="auto"/>
        <w:ind w:left="145" w:leftChars="69" w:firstLine="295" w:firstLineChars="14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rPr>
        <w:t>、商务分………………………………………………………………………………………</w:t>
      </w:r>
      <w:r>
        <w:rPr>
          <w:rFonts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rPr>
        <w:t>0分</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本项评分中的第</w:t>
      </w:r>
      <w:r>
        <w:rPr>
          <w:rFonts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rPr>
        <w:t>）点由各评委独立进行评价、进档、打分，不允许讨论</w:t>
      </w:r>
      <w:r>
        <w:rPr>
          <w:rFonts w:ascii="宋体" w:hAnsi="宋体" w:eastAsia="宋体" w:cs="宋体"/>
          <w:color w:val="auto"/>
          <w:kern w:val="0"/>
          <w:sz w:val="21"/>
          <w:szCs w:val="21"/>
          <w:highlight w:val="none"/>
        </w:rPr>
        <w:t>]</w:t>
      </w:r>
    </w:p>
    <w:p>
      <w:pPr>
        <w:spacing w:line="360" w:lineRule="auto"/>
        <w:ind w:left="145" w:leftChars="69" w:firstLine="294" w:firstLineChars="140"/>
        <w:jc w:val="left"/>
        <w:rPr>
          <w:rFonts w:eastAsia="Times New Roman" w:asciiTheme="minorEastAsia" w:hAnsi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1）投标人为本项目提供的实施人员曾为全国职业院校技能大赛提供过技术支持，能为此次项目提供指导服务，</w:t>
      </w:r>
      <w:r>
        <w:rPr>
          <w:rFonts w:hint="eastAsia" w:ascii="宋体" w:hAnsi="宋体" w:eastAsia="宋体" w:cs="宋体"/>
          <w:color w:val="auto"/>
          <w:kern w:val="0"/>
          <w:sz w:val="21"/>
          <w:szCs w:val="21"/>
          <w:highlight w:val="none"/>
        </w:rPr>
        <w:t>须</w:t>
      </w:r>
      <w:r>
        <w:rPr>
          <w:rFonts w:hint="eastAsia" w:asciiTheme="minorEastAsia" w:hAnsiTheme="minorEastAsia" w:eastAsiaTheme="minorEastAsia" w:cstheme="minorEastAsia"/>
          <w:color w:val="auto"/>
          <w:kern w:val="0"/>
          <w:sz w:val="21"/>
          <w:szCs w:val="21"/>
          <w:highlight w:val="none"/>
        </w:rPr>
        <w:t>提供全国职业院校技能大赛专家证书复印件并加盖供应商公章，得5分，</w:t>
      </w:r>
      <w:r>
        <w:rPr>
          <w:rFonts w:hint="eastAsia" w:eastAsia="Times New Roman" w:asciiTheme="minorEastAsia" w:hAnsiTheme="minorEastAsia" w:cstheme="minorEastAsia"/>
          <w:color w:val="auto"/>
          <w:kern w:val="0"/>
          <w:sz w:val="21"/>
          <w:szCs w:val="21"/>
          <w:highlight w:val="none"/>
        </w:rPr>
        <w:t>资料不符</w:t>
      </w:r>
      <w:r>
        <w:rPr>
          <w:rFonts w:hint="eastAsia" w:asciiTheme="minorEastAsia" w:hAnsiTheme="minorEastAsia" w:eastAsiaTheme="minorEastAsia" w:cstheme="minorEastAsia"/>
          <w:color w:val="auto"/>
          <w:kern w:val="0"/>
          <w:sz w:val="21"/>
          <w:szCs w:val="21"/>
          <w:highlight w:val="none"/>
        </w:rPr>
        <w:t>或者未提供得0分。</w:t>
      </w:r>
    </w:p>
    <w:p>
      <w:pPr>
        <w:spacing w:line="360" w:lineRule="auto"/>
        <w:ind w:left="145" w:leftChars="69" w:firstLine="294" w:firstLineChars="140"/>
        <w:jc w:val="left"/>
        <w:rPr>
          <w:rFonts w:ascii="宋体" w:hAnsi="宋体" w:eastAsia="Times New Roman" w:cs="宋体"/>
          <w:color w:val="auto"/>
          <w:kern w:val="0"/>
          <w:sz w:val="21"/>
          <w:szCs w:val="21"/>
          <w:highlight w:val="none"/>
        </w:rPr>
      </w:pP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）投标人具有教育部产学协同育人合作项目建设单位资质，提供证明材料的复印件并加盖投标人鲜章，得5分，没有或者未提供得0分。</w:t>
      </w:r>
    </w:p>
    <w:p>
      <w:pPr>
        <w:spacing w:line="360" w:lineRule="auto"/>
        <w:ind w:left="145" w:leftChars="69" w:firstLine="294" w:firstLineChars="140"/>
        <w:jc w:val="left"/>
        <w:rPr>
          <w:rFonts w:eastAsia="Times New Roman" w:asciiTheme="minorEastAsia" w:hAnsiTheme="minorEastAsia" w:cstheme="minorEastAsia"/>
          <w:color w:val="auto"/>
          <w:kern w:val="0"/>
          <w:sz w:val="21"/>
          <w:szCs w:val="21"/>
          <w:highlight w:val="none"/>
        </w:rPr>
      </w:pP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t>投标人具有知识产权管理体系认证资质，通过知识产权管理体系符合标准，</w:t>
      </w:r>
      <w:r>
        <w:rPr>
          <w:rFonts w:hint="eastAsia" w:ascii="宋体" w:hAnsi="宋体" w:eastAsia="宋体" w:cs="宋体"/>
          <w:color w:val="auto"/>
          <w:kern w:val="0"/>
          <w:sz w:val="21"/>
          <w:szCs w:val="21"/>
          <w:highlight w:val="none"/>
        </w:rPr>
        <w:t>须</w:t>
      </w:r>
      <w:r>
        <w:rPr>
          <w:rFonts w:hint="eastAsia" w:asciiTheme="minorEastAsia" w:hAnsiTheme="minorEastAsia" w:eastAsiaTheme="minorEastAsia" w:cstheme="minorEastAsia"/>
          <w:color w:val="auto"/>
          <w:kern w:val="0"/>
          <w:sz w:val="21"/>
          <w:szCs w:val="21"/>
          <w:highlight w:val="none"/>
        </w:rPr>
        <w:t>提供证书的复印件并加盖供应商公章，得5分，</w:t>
      </w:r>
      <w:r>
        <w:rPr>
          <w:rFonts w:hint="eastAsia" w:eastAsia="Times New Roman" w:asciiTheme="minorEastAsia" w:hAnsiTheme="minorEastAsia" w:cstheme="minorEastAsia"/>
          <w:color w:val="auto"/>
          <w:kern w:val="0"/>
          <w:sz w:val="21"/>
          <w:szCs w:val="21"/>
          <w:highlight w:val="none"/>
        </w:rPr>
        <w:t>资料不符</w:t>
      </w:r>
      <w:r>
        <w:rPr>
          <w:rFonts w:hint="eastAsia" w:asciiTheme="minorEastAsia" w:hAnsiTheme="minorEastAsia" w:eastAsiaTheme="minorEastAsia" w:cstheme="minorEastAsia"/>
          <w:color w:val="auto"/>
          <w:kern w:val="0"/>
          <w:sz w:val="21"/>
          <w:szCs w:val="21"/>
          <w:highlight w:val="none"/>
        </w:rPr>
        <w:t>或者未提供得0分</w:t>
      </w:r>
      <w:r>
        <w:rPr>
          <w:rFonts w:hint="eastAsia" w:eastAsia="Times New Roman" w:asciiTheme="minorEastAsia" w:hAnsiTheme="minorEastAsia" w:cstheme="minorEastAsia"/>
          <w:color w:val="auto"/>
          <w:kern w:val="0"/>
          <w:sz w:val="21"/>
          <w:szCs w:val="21"/>
          <w:highlight w:val="none"/>
        </w:rPr>
        <w:t>。</w:t>
      </w:r>
    </w:p>
    <w:p>
      <w:pPr>
        <w:spacing w:line="360" w:lineRule="auto"/>
        <w:ind w:left="145" w:leftChars="69" w:firstLine="294" w:firstLineChars="1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4）投标人所投软件制造商属于教育部全国职业教育教师企业实践基地的得4分，须提供相关证明材料，资料不符或者未提供得0分。</w:t>
      </w:r>
    </w:p>
    <w:p>
      <w:pPr>
        <w:spacing w:line="360" w:lineRule="auto"/>
        <w:ind w:left="145" w:leftChars="69" w:firstLine="294" w:firstLineChars="1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5）投标人所投软件制造商属于人社部职业技能培训线上平台机构的得4分，须提供相关证明材料，资料不符或者未提供得0分。</w:t>
      </w:r>
    </w:p>
    <w:p>
      <w:pPr>
        <w:spacing w:line="360" w:lineRule="auto"/>
        <w:ind w:left="145" w:leftChars="69" w:firstLine="294" w:firstLineChars="1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6）投标人具备省级及以上软件行业协会会员资质，具有软件行业开发经验，能为本次项目提供真实项目开发案例。提供会员证书的复印件并加盖投标人鲜章，得2分，没有或者未提供得0分。</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）售后服务方案情况（5分）</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）一档（</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分）</w:t>
      </w:r>
    </w:p>
    <w:p>
      <w:pPr>
        <w:spacing w:line="360" w:lineRule="auto"/>
        <w:ind w:left="145" w:leftChars="69" w:firstLine="399" w:firstLineChars="19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评定范围：投标人提供的售后服务方案、技术支持、售后服务承诺较简单。</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）二档（3分）</w:t>
      </w:r>
    </w:p>
    <w:p>
      <w:pPr>
        <w:spacing w:line="360" w:lineRule="auto"/>
        <w:ind w:left="145" w:leftChars="69" w:firstLine="399" w:firstLineChars="19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评定范围：投标人提供的售后服务方案、技术支持、售后服务承诺较一般。后续保障内容比较科学、合理、售后服务系统完善、针对性强，综合实力较为强大。</w:t>
      </w:r>
    </w:p>
    <w:p>
      <w:pPr>
        <w:spacing w:line="360" w:lineRule="auto"/>
        <w:ind w:left="145" w:leftChars="69" w:firstLine="294" w:firstLineChars="14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）三档（5分）</w:t>
      </w:r>
    </w:p>
    <w:p>
      <w:pPr>
        <w:spacing w:line="360" w:lineRule="auto"/>
        <w:ind w:left="145" w:leftChars="69" w:firstLine="399" w:firstLineChars="19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评定范围：投标人提供的售后服务方案详细、具体、明确、规范；技术支持、售后服务承诺完整、可行。后续保障内容科学、合理、售后服务系统完善、针对性强，综合实力强大。提供</w:t>
      </w:r>
      <w:r>
        <w:rPr>
          <w:rFonts w:ascii="宋体" w:hAnsi="宋体" w:eastAsia="宋体" w:cs="宋体"/>
          <w:color w:val="auto"/>
          <w:kern w:val="0"/>
          <w:sz w:val="21"/>
          <w:szCs w:val="21"/>
          <w:highlight w:val="none"/>
        </w:rPr>
        <w:t>7*24</w:t>
      </w:r>
      <w:r>
        <w:rPr>
          <w:rFonts w:hint="eastAsia" w:ascii="宋体" w:hAnsi="宋体" w:eastAsia="宋体" w:cs="宋体"/>
          <w:color w:val="auto"/>
          <w:kern w:val="0"/>
          <w:sz w:val="21"/>
          <w:szCs w:val="21"/>
          <w:highlight w:val="none"/>
        </w:rPr>
        <w:t>服务，承诺免费对采购单位的需求变更进行完善，完全满足采购单位的要求。</w:t>
      </w:r>
    </w:p>
    <w:p>
      <w:pPr>
        <w:spacing w:line="360" w:lineRule="auto"/>
        <w:ind w:firstLine="420" w:firstLineChars="200"/>
        <w:rPr>
          <w:rFonts w:ascii="宋体" w:hAnsi="宋体" w:cs="宋体"/>
          <w:color w:val="auto"/>
          <w:szCs w:val="21"/>
          <w:highlight w:val="none"/>
        </w:rPr>
      </w:pPr>
      <w:r>
        <w:rPr>
          <w:rFonts w:hint="eastAsia"/>
          <w:color w:val="auto"/>
          <w:highlight w:val="none"/>
          <w:lang w:val="en-US" w:eastAsia="zh-CN"/>
        </w:rPr>
        <w:t>4、</w:t>
      </w:r>
      <w:r>
        <w:rPr>
          <w:color w:val="auto"/>
          <w:highlight w:val="none"/>
        </w:rPr>
        <w:t>诚信分………………………………………………（-6分）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numPr>
          <w:ilvl w:val="0"/>
          <w:numId w:val="11"/>
        </w:numPr>
        <w:spacing w:line="360" w:lineRule="auto"/>
        <w:ind w:left="145" w:leftChars="69" w:firstLine="295" w:firstLineChars="14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总得分＝</w:t>
      </w:r>
      <w:r>
        <w:rPr>
          <w:rFonts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rPr>
        <w:t>＋</w:t>
      </w:r>
      <w:r>
        <w:rPr>
          <w:rFonts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rPr>
        <w:t>＋</w:t>
      </w:r>
      <w:r>
        <w:rPr>
          <w:rFonts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rPr>
        <w:t>。</w:t>
      </w:r>
    </w:p>
    <w:p>
      <w:pPr>
        <w:numPr>
          <w:ilvl w:val="0"/>
          <w:numId w:val="11"/>
        </w:numPr>
        <w:spacing w:line="360" w:lineRule="auto"/>
        <w:ind w:left="145" w:leftChars="69" w:firstLine="294" w:firstLineChars="140"/>
        <w:jc w:val="left"/>
        <w:rPr>
          <w:color w:val="auto"/>
          <w:highlight w:val="none"/>
        </w:rPr>
      </w:pPr>
      <w:r>
        <w:rPr>
          <w:rFonts w:hint="eastAsia" w:ascii="宋体" w:hAnsi="宋体" w:eastAsia="宋体" w:cs="宋体"/>
          <w:color w:val="auto"/>
          <w:kern w:val="0"/>
          <w:sz w:val="21"/>
          <w:szCs w:val="21"/>
          <w:highlight w:val="none"/>
        </w:rPr>
        <w:t>中标标准：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18"/>
        <w:spacing w:line="360" w:lineRule="auto"/>
        <w:jc w:val="center"/>
        <w:rPr>
          <w:rFonts w:hint="default" w:hAnsi="宋体" w:cs="宋体"/>
          <w:b/>
          <w:bCs/>
          <w:color w:val="auto"/>
          <w:highlight w:val="none"/>
          <w:lang w:val="en-US" w:eastAsia="zh-CN"/>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jc w:val="center"/>
        <w:rPr>
          <w:rFonts w:hint="eastAsia" w:hAnsi="宋体" w:cs="宋体"/>
          <w:b/>
          <w:bCs/>
          <w:color w:val="auto"/>
          <w:highlight w:val="none"/>
          <w:lang w:val="en-US" w:eastAsia="zh-CN"/>
        </w:rPr>
      </w:pPr>
      <w:r>
        <w:rPr>
          <w:rFonts w:hint="eastAsia" w:hAnsi="宋体" w:cs="宋体"/>
          <w:b/>
          <w:bCs/>
          <w:color w:val="auto"/>
          <w:highlight w:val="none"/>
          <w:lang w:eastAsia="zh-CN"/>
        </w:rPr>
        <w:t>（</w:t>
      </w:r>
      <w:r>
        <w:rPr>
          <w:rFonts w:hint="eastAsia" w:hAnsi="宋体" w:cs="宋体"/>
          <w:b/>
          <w:bCs/>
          <w:color w:val="auto"/>
          <w:highlight w:val="none"/>
          <w:lang w:val="en-US" w:eastAsia="zh-CN"/>
        </w:rPr>
        <w:t>适用B分标）</w:t>
      </w:r>
    </w:p>
    <w:p>
      <w:pPr>
        <w:pStyle w:val="18"/>
        <w:spacing w:line="360" w:lineRule="auto"/>
        <w:jc w:val="center"/>
        <w:rPr>
          <w:rFonts w:hint="default" w:hAnsi="宋体" w:cs="宋体"/>
          <w:b/>
          <w:bCs/>
          <w:color w:val="auto"/>
          <w:highlight w:val="none"/>
          <w:lang w:val="en-US" w:eastAsia="zh-CN"/>
        </w:rPr>
      </w:pP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（一）评标委员会以招标文件为依据，对投标文件进行评审，对投标人的投标报价、技术文件及商务文件等三部分内容按百分制打分，其中价格分</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分，技术分</w:t>
      </w:r>
      <w:r>
        <w:rPr>
          <w:rFonts w:cs="Times New Roman" w:asciiTheme="minorEastAsia" w:hAnsiTheme="minorEastAsia" w:eastAsiaTheme="minorEastAsia"/>
          <w:color w:val="auto"/>
          <w:kern w:val="0"/>
          <w:sz w:val="21"/>
          <w:szCs w:val="21"/>
          <w:highlight w:val="none"/>
        </w:rPr>
        <w:t>40</w:t>
      </w:r>
      <w:r>
        <w:rPr>
          <w:rFonts w:hint="eastAsia" w:cs="Times New Roman" w:asciiTheme="minorEastAsia" w:hAnsiTheme="minorEastAsia" w:eastAsiaTheme="minorEastAsia"/>
          <w:color w:val="auto"/>
          <w:kern w:val="0"/>
          <w:sz w:val="21"/>
          <w:szCs w:val="21"/>
          <w:highlight w:val="none"/>
        </w:rPr>
        <w:t>分，商务分</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分</w:t>
      </w:r>
      <w:r>
        <w:rPr>
          <w:rFonts w:hint="eastAsia" w:cs="Times New Roman" w:asciiTheme="minorEastAsia" w:hAnsiTheme="minorEastAsia"/>
          <w:color w:val="auto"/>
          <w:kern w:val="0"/>
          <w:sz w:val="21"/>
          <w:szCs w:val="21"/>
          <w:highlight w:val="none"/>
          <w:lang w:eastAsia="zh-CN"/>
        </w:rPr>
        <w:t>、诚信分</w:t>
      </w:r>
      <w:r>
        <w:rPr>
          <w:rFonts w:hint="eastAsia" w:cs="Times New Roman" w:asciiTheme="minorEastAsia" w:hAnsiTheme="minorEastAsia"/>
          <w:color w:val="auto"/>
          <w:kern w:val="0"/>
          <w:sz w:val="21"/>
          <w:szCs w:val="21"/>
          <w:highlight w:val="none"/>
          <w:lang w:val="en-US" w:eastAsia="zh-CN"/>
        </w:rPr>
        <w:t>-6分</w:t>
      </w:r>
      <w:r>
        <w:rPr>
          <w:rFonts w:hint="eastAsia" w:cs="Times New Roman" w:asciiTheme="minorEastAsia" w:hAnsiTheme="minorEastAsia" w:eastAsiaTheme="minorEastAsia"/>
          <w:color w:val="auto"/>
          <w:kern w:val="0"/>
          <w:sz w:val="21"/>
          <w:szCs w:val="21"/>
          <w:highlight w:val="none"/>
        </w:rPr>
        <w:t>。（评标时，对于带有主观因素的评分，由各评委独立进行评价、打分，不允许讨论。）</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（二）评分细则：（按四舍五入取至小数点后四位）</w:t>
      </w:r>
    </w:p>
    <w:p>
      <w:pPr>
        <w:spacing w:line="360" w:lineRule="auto"/>
        <w:ind w:firstLine="211" w:firstLineChars="100"/>
        <w:rPr>
          <w:rFonts w:cs="Times New Roman" w:asciiTheme="minorEastAsia" w:hAnsiTheme="minorEastAsia" w:eastAsiaTheme="minorEastAsia"/>
          <w:b/>
          <w:color w:val="auto"/>
          <w:kern w:val="0"/>
          <w:sz w:val="21"/>
          <w:szCs w:val="21"/>
          <w:highlight w:val="none"/>
        </w:rPr>
      </w:pPr>
      <w:r>
        <w:rPr>
          <w:rFonts w:cs="Times New Roman" w:asciiTheme="minorEastAsia" w:hAnsiTheme="minorEastAsia" w:eastAsiaTheme="minorEastAsia"/>
          <w:b/>
          <w:color w:val="auto"/>
          <w:kern w:val="0"/>
          <w:sz w:val="21"/>
          <w:szCs w:val="21"/>
          <w:highlight w:val="none"/>
        </w:rPr>
        <w:t>1</w:t>
      </w:r>
      <w:r>
        <w:rPr>
          <w:rFonts w:hint="eastAsia" w:cs="Times New Roman" w:asciiTheme="minorEastAsia" w:hAnsiTheme="minorEastAsia" w:eastAsiaTheme="minorEastAsia"/>
          <w:b/>
          <w:color w:val="auto"/>
          <w:kern w:val="0"/>
          <w:sz w:val="21"/>
          <w:szCs w:val="21"/>
          <w:highlight w:val="none"/>
        </w:rPr>
        <w:t>、价格分…………………………………………………………………………………………</w:t>
      </w:r>
      <w:r>
        <w:rPr>
          <w:rFonts w:cs="Times New Roman" w:asciiTheme="minorEastAsia" w:hAnsiTheme="minorEastAsia" w:eastAsiaTheme="minorEastAsia"/>
          <w:b/>
          <w:color w:val="auto"/>
          <w:kern w:val="0"/>
          <w:sz w:val="21"/>
          <w:szCs w:val="21"/>
          <w:highlight w:val="none"/>
        </w:rPr>
        <w:t>30</w:t>
      </w:r>
      <w:r>
        <w:rPr>
          <w:rFonts w:hint="eastAsia" w:cs="Times New Roman" w:asciiTheme="minorEastAsia" w:hAnsiTheme="minorEastAsia" w:eastAsiaTheme="minorEastAsia"/>
          <w:b/>
          <w:color w:val="auto"/>
          <w:kern w:val="0"/>
          <w:sz w:val="21"/>
          <w:szCs w:val="21"/>
          <w:highlight w:val="none"/>
        </w:rPr>
        <w:t>分</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1.1对小型和微型企业产品的价格给予</w:t>
      </w:r>
      <w:r>
        <w:rPr>
          <w:rFonts w:hint="eastAsia" w:cs="Times New Roman" w:asciiTheme="minorEastAsia" w:hAnsiTheme="minorEastAsia"/>
          <w:color w:val="auto"/>
          <w:kern w:val="0"/>
          <w:sz w:val="21"/>
          <w:szCs w:val="21"/>
          <w:highlight w:val="none"/>
          <w:lang w:val="en-US" w:eastAsia="zh-CN"/>
        </w:rPr>
        <w:t>10</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的价格扣除，扣除后的价格为评标价，即评标价＝投标报价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color w:val="auto"/>
          <w:kern w:val="0"/>
          <w:sz w:val="21"/>
          <w:szCs w:val="21"/>
          <w:highlight w:val="none"/>
          <w:lang w:val="en-US" w:eastAsia="zh-CN"/>
        </w:rPr>
        <w:t>10</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要求提供的《投标报价表》和《中小企业声明函》为评分依据）</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1.2对大中型企业和其他自然人、法人或者其他组织与小型、微型企业组成联合体，且联合体协议中约定小型、微型企业的协议合同金额占到联合体协议合同总金额</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以上的，给予</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的价格扣除，扣除后的价格为评标价，即评标价＝投标报价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1-2%</w:t>
      </w:r>
      <w:r>
        <w:rPr>
          <w:rFonts w:hint="eastAsia" w:cs="Times New Roman" w:asciiTheme="minorEastAsia" w:hAnsiTheme="minorEastAsia" w:eastAsiaTheme="minorEastAsia"/>
          <w:color w:val="auto"/>
          <w:kern w:val="0"/>
          <w:sz w:val="21"/>
          <w:szCs w:val="21"/>
          <w:highlight w:val="none"/>
        </w:rPr>
        <w:t>）。（以投标人按第五章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要求提供的《投标报价表》、《中小企业声明函》和《联合体协议书》为评分依据）</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1.3投标产品提供企业按《关于政府采购支持监狱企业发展有关问题的通知》</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财库</w:t>
      </w:r>
      <w:r>
        <w:rPr>
          <w:rFonts w:cs="Times New Roman" w:asciiTheme="minorEastAsia" w:hAnsiTheme="minorEastAsia" w:eastAsiaTheme="minorEastAsia"/>
          <w:color w:val="auto"/>
          <w:kern w:val="0"/>
          <w:sz w:val="21"/>
          <w:szCs w:val="21"/>
          <w:highlight w:val="none"/>
        </w:rPr>
        <w:t>[2014]68</w:t>
      </w:r>
      <w:r>
        <w:rPr>
          <w:rFonts w:hint="eastAsia" w:cs="Times New Roman" w:asciiTheme="minorEastAsia" w:hAnsiTheme="minorEastAsia" w:eastAsiaTheme="minorEastAsia"/>
          <w:color w:val="auto"/>
          <w:kern w:val="0"/>
          <w:sz w:val="21"/>
          <w:szCs w:val="21"/>
          <w:highlight w:val="none"/>
        </w:rPr>
        <w:t>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认定为监狱企业的，在政府采购活动中，监狱企业视同小型、微型企业。（以投标人按第五章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要求提供的《报价表》和由省级以上监狱管理局、戒毒管理局</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含新疆生产建设兵团</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出具的属于监狱企业的证明文件为评分依据）</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1.4投标产品提供企业按《关于促进残疾人就业政府采购政策的通知》</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财库〔</w:t>
      </w:r>
      <w:r>
        <w:rPr>
          <w:rFonts w:cs="Times New Roman" w:asciiTheme="minorEastAsia" w:hAnsiTheme="minorEastAsia" w:eastAsiaTheme="minorEastAsia"/>
          <w:color w:val="auto"/>
          <w:kern w:val="0"/>
          <w:sz w:val="21"/>
          <w:szCs w:val="21"/>
          <w:highlight w:val="none"/>
        </w:rPr>
        <w:t>2017</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141</w:t>
      </w:r>
      <w:r>
        <w:rPr>
          <w:rFonts w:hint="eastAsia" w:cs="Times New Roman" w:asciiTheme="minorEastAsia" w:hAnsiTheme="minorEastAsia" w:eastAsiaTheme="minorEastAsia"/>
          <w:color w:val="auto"/>
          <w:kern w:val="0"/>
          <w:sz w:val="21"/>
          <w:szCs w:val="21"/>
          <w:highlight w:val="none"/>
        </w:rPr>
        <w:t>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要求提供的《报价表》和《残疾人福利性单位声明函》为评分依据）</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1.5除上述情况外，评标价＝投标报价。</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1.6价格分计算公式：</w:t>
      </w:r>
    </w:p>
    <w:p>
      <w:pPr>
        <w:ind w:firstLine="2100" w:firstLineChars="10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投标人最低投标报价金额</w:t>
      </w:r>
    </w:p>
    <w:p>
      <w:pPr>
        <w:ind w:firstLine="315" w:firstLineChars="150"/>
        <w:rPr>
          <w:rFonts w:hint="eastAsia" w:cs="Times New Roman" w:asciiTheme="minorEastAsia" w:hAnsiTheme="minorEastAsia" w:eastAsiaTheme="minorEastAsia"/>
          <w:color w:val="auto"/>
          <w:kern w:val="0"/>
          <w:sz w:val="21"/>
          <w:szCs w:val="21"/>
          <w:highlight w:val="none"/>
        </w:rPr>
      </w:pPr>
    </w:p>
    <w:p>
      <w:pPr>
        <w:ind w:firstLine="300" w:firstLineChars="150"/>
        <w:rPr>
          <w:rFonts w:cs="Times New Roman" w:asciiTheme="minorEastAsia" w:hAnsiTheme="minorEastAsia" w:eastAsiaTheme="minorEastAsia"/>
          <w:color w:val="auto"/>
          <w:kern w:val="0"/>
          <w:sz w:val="21"/>
          <w:szCs w:val="21"/>
          <w:highlight w:val="none"/>
        </w:rPr>
      </w:pPr>
      <w:r>
        <w:rPr>
          <w:rFonts w:eastAsia="Times New Roman" w:cs="Times New Roman" w:asciiTheme="minorEastAsia" w:hAnsiTheme="minorEastAsia"/>
          <w:color w:val="auto"/>
          <w:kern w:val="0"/>
          <w:sz w:val="20"/>
          <w:szCs w:val="21"/>
          <w:highlight w:val="none"/>
        </w:rPr>
        <mc:AlternateContent>
          <mc:Choice Requires="wps">
            <w:drawing>
              <wp:anchor distT="0" distB="0" distL="114300" distR="114300" simplePos="0" relativeHeight="251729920" behindDoc="0" locked="0" layoutInCell="1" allowOverlap="1">
                <wp:simplePos x="0" y="0"/>
                <wp:positionH relativeFrom="column">
                  <wp:posOffset>1263015</wp:posOffset>
                </wp:positionH>
                <wp:positionV relativeFrom="paragraph">
                  <wp:posOffset>103505</wp:posOffset>
                </wp:positionV>
                <wp:extent cx="16002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45pt;margin-top:8.15pt;height:0pt;width:126pt;z-index:251729920;mso-width-relative:page;mso-height-relative:page;" filled="f" stroked="t" coordsize="21600,21600" o:gfxdata="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AuJNYA&#10;AAAJAQAADwAAAAAAAAABACAAAAAiAAAAZHJzL2Rvd25yZXYueG1sUEsBAhQAFAAAAAgAh07iQN+F&#10;84noAQAAuAMAAA4AAAAAAAAAAQAgAAAAJQEAAGRycy9lMm9Eb2MueG1sUEsFBgAAAAAGAAYAWQEA&#10;AH8FAAAAAA==&#10;">
                <v:fill on="f" focussize="0,0"/>
                <v:stroke color="#000000" joinstyle="round"/>
                <v:imagedata o:title=""/>
                <o:lock v:ext="edit" aspectratio="f"/>
              </v:line>
            </w:pict>
          </mc:Fallback>
        </mc:AlternateContent>
      </w:r>
      <w:r>
        <w:rPr>
          <w:rFonts w:hint="eastAsia" w:cs="Times New Roman" w:asciiTheme="minorEastAsia" w:hAnsiTheme="minorEastAsia" w:eastAsiaTheme="minorEastAsia"/>
          <w:color w:val="auto"/>
          <w:kern w:val="0"/>
          <w:sz w:val="21"/>
          <w:szCs w:val="21"/>
          <w:highlight w:val="none"/>
        </w:rPr>
        <w:t xml:space="preserve">某投标人价格分＝ </w:t>
      </w:r>
      <w:r>
        <w:rPr>
          <w:rFonts w:cs="Times New Roman" w:asciiTheme="minorEastAsia" w:hAnsiTheme="minorEastAsia" w:eastAsiaTheme="minorEastAsia"/>
          <w:color w:val="auto"/>
          <w:kern w:val="0"/>
          <w:sz w:val="21"/>
          <w:szCs w:val="21"/>
          <w:highlight w:val="none"/>
        </w:rPr>
        <w:t xml:space="preserve">                           </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分</w:t>
      </w:r>
    </w:p>
    <w:p>
      <w:pPr>
        <w:ind w:firstLine="2100" w:firstLineChars="10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某投标人投标报价金额</w:t>
      </w:r>
    </w:p>
    <w:p>
      <w:pPr>
        <w:spacing w:line="360" w:lineRule="auto"/>
        <w:ind w:firstLine="211" w:firstLineChars="100"/>
        <w:rPr>
          <w:rFonts w:cs="Times New Roman" w:asciiTheme="minorEastAsia" w:hAnsiTheme="minorEastAsia" w:eastAsiaTheme="minorEastAsia"/>
          <w:b/>
          <w:color w:val="auto"/>
          <w:kern w:val="0"/>
          <w:sz w:val="21"/>
          <w:szCs w:val="21"/>
          <w:highlight w:val="none"/>
        </w:rPr>
      </w:pPr>
    </w:p>
    <w:p>
      <w:pPr>
        <w:spacing w:line="360" w:lineRule="auto"/>
        <w:ind w:firstLine="211" w:firstLineChars="100"/>
        <w:rPr>
          <w:rFonts w:cs="Times New Roman" w:asciiTheme="minorEastAsia" w:hAnsiTheme="minorEastAsia" w:eastAsiaTheme="minorEastAsia"/>
          <w:b/>
          <w:color w:val="auto"/>
          <w:kern w:val="0"/>
          <w:sz w:val="21"/>
          <w:szCs w:val="21"/>
          <w:highlight w:val="none"/>
        </w:rPr>
      </w:pPr>
    </w:p>
    <w:p>
      <w:pPr>
        <w:spacing w:line="360" w:lineRule="auto"/>
        <w:ind w:firstLine="211" w:firstLineChars="100"/>
        <w:rPr>
          <w:rFonts w:cs="Times New Roman" w:asciiTheme="minorEastAsia" w:hAnsiTheme="minorEastAsia" w:eastAsiaTheme="minorEastAsia"/>
          <w:b/>
          <w:color w:val="auto"/>
          <w:kern w:val="0"/>
          <w:sz w:val="21"/>
          <w:szCs w:val="21"/>
          <w:highlight w:val="none"/>
        </w:rPr>
      </w:pPr>
      <w:r>
        <w:rPr>
          <w:rFonts w:cs="Times New Roman" w:asciiTheme="minorEastAsia" w:hAnsiTheme="minorEastAsia" w:eastAsiaTheme="minorEastAsia"/>
          <w:b/>
          <w:color w:val="auto"/>
          <w:kern w:val="0"/>
          <w:sz w:val="21"/>
          <w:szCs w:val="21"/>
          <w:highlight w:val="none"/>
        </w:rPr>
        <w:t>2</w:t>
      </w:r>
      <w:r>
        <w:rPr>
          <w:rFonts w:hint="eastAsia" w:cs="Times New Roman" w:asciiTheme="minorEastAsia" w:hAnsiTheme="minorEastAsia" w:eastAsiaTheme="minorEastAsia"/>
          <w:b/>
          <w:color w:val="auto"/>
          <w:kern w:val="0"/>
          <w:sz w:val="21"/>
          <w:szCs w:val="21"/>
          <w:highlight w:val="none"/>
        </w:rPr>
        <w:t>、技术分…………………………………………………………………………………………</w:t>
      </w:r>
      <w:r>
        <w:rPr>
          <w:rFonts w:cs="Times New Roman" w:asciiTheme="minorEastAsia" w:hAnsiTheme="minorEastAsia" w:eastAsiaTheme="minorEastAsia"/>
          <w:b/>
          <w:color w:val="auto"/>
          <w:kern w:val="0"/>
          <w:sz w:val="21"/>
          <w:szCs w:val="21"/>
          <w:highlight w:val="none"/>
        </w:rPr>
        <w:t>40</w:t>
      </w:r>
      <w:r>
        <w:rPr>
          <w:rFonts w:hint="eastAsia" w:cs="Times New Roman" w:asciiTheme="minorEastAsia" w:hAnsiTheme="minorEastAsia" w:eastAsiaTheme="minorEastAsia"/>
          <w:b/>
          <w:color w:val="auto"/>
          <w:kern w:val="0"/>
          <w:sz w:val="21"/>
          <w:szCs w:val="21"/>
          <w:highlight w:val="none"/>
        </w:rPr>
        <w:t>分</w:t>
      </w:r>
    </w:p>
    <w:p>
      <w:pPr>
        <w:spacing w:before="156"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1）对本项目的整体理解，项目建设与实施。（15分）</w:t>
      </w:r>
    </w:p>
    <w:p>
      <w:pPr>
        <w:spacing w:before="156" w:line="360" w:lineRule="auto"/>
        <w:ind w:firstLine="514" w:firstLineChars="245"/>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一档（6分）：方案详细，人员、设备、时间安排计划未提供，管理制度完善，无合理化建议或建议不能被接受，满足招标要求。</w:t>
      </w:r>
    </w:p>
    <w:p>
      <w:pPr>
        <w:spacing w:before="156" w:line="360" w:lineRule="auto"/>
        <w:ind w:firstLine="514" w:firstLineChars="245"/>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二档（9分）：方案详细，人员、设备、时间安排合理，但管理制度未提供，无合理化建议或建议不能被接受，满足招标要求。</w:t>
      </w:r>
    </w:p>
    <w:p>
      <w:pPr>
        <w:spacing w:before="156" w:line="360" w:lineRule="auto"/>
        <w:ind w:firstLine="514" w:firstLineChars="245"/>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三档（12分）：方案详细，人员、设备、时间安排合理，管理制度完善，无合理化建议或建议不能被接受，满足招标要求。</w:t>
      </w:r>
    </w:p>
    <w:p>
      <w:pPr>
        <w:spacing w:before="156" w:line="360" w:lineRule="auto"/>
        <w:ind w:firstLine="514" w:firstLineChars="245"/>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四档（15分）：完全满足招标要求，人员、设备、时间安排合理，各项管理制度完善，在满足招标要求的前提下能提出合理化建议并被接受。</w:t>
      </w:r>
    </w:p>
    <w:p>
      <w:pPr>
        <w:spacing w:before="156"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2）项目组成员（10分）</w:t>
      </w:r>
    </w:p>
    <w:p>
      <w:pPr>
        <w:spacing w:before="156" w:line="360" w:lineRule="auto"/>
        <w:ind w:firstLine="630" w:firstLineChars="3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（1）课编导至少3人，要求计算机相关专业，满足得6分；</w:t>
      </w:r>
    </w:p>
    <w:p>
      <w:pPr>
        <w:spacing w:before="156" w:line="360" w:lineRule="auto"/>
        <w:ind w:firstLine="630" w:firstLineChars="3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（2）</w:t>
      </w:r>
      <w:r>
        <w:rPr>
          <w:rFonts w:cs="Times New Roman" w:asciiTheme="minorEastAsia" w:hAnsiTheme="minorEastAsia" w:eastAsiaTheme="minorEastAsia"/>
          <w:color w:val="auto"/>
          <w:kern w:val="0"/>
          <w:sz w:val="21"/>
          <w:szCs w:val="21"/>
          <w:highlight w:val="none"/>
        </w:rPr>
        <w:t xml:space="preserve"> </w:t>
      </w:r>
      <w:r>
        <w:rPr>
          <w:rFonts w:hint="eastAsia" w:cs="Times New Roman" w:asciiTheme="minorEastAsia" w:hAnsiTheme="minorEastAsia" w:eastAsiaTheme="minorEastAsia"/>
          <w:color w:val="auto"/>
          <w:kern w:val="0"/>
          <w:sz w:val="21"/>
          <w:szCs w:val="21"/>
          <w:highlight w:val="none"/>
        </w:rPr>
        <w:t>PPT设计及界面设计人员至少1人，要求艺术设计专业，满足得1分；</w:t>
      </w:r>
    </w:p>
    <w:p>
      <w:pPr>
        <w:spacing w:before="156" w:line="360" w:lineRule="auto"/>
        <w:ind w:firstLine="630" w:firstLineChars="3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（3）其他技术人员至少3人，满足得3分。</w:t>
      </w:r>
    </w:p>
    <w:p>
      <w:pPr>
        <w:spacing w:before="156" w:line="360" w:lineRule="auto"/>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（以上所有人员需提供学历证书或资格证书复印件并加盖公章，并提供劳动合同复印件，项目组成员总数不少于6人）</w:t>
      </w:r>
    </w:p>
    <w:p>
      <w:pPr>
        <w:spacing w:before="156"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3）样片现场演示（15分）</w:t>
      </w:r>
    </w:p>
    <w:p>
      <w:pPr>
        <w:spacing w:before="156" w:line="360" w:lineRule="auto"/>
        <w:ind w:firstLine="514" w:firstLineChars="245"/>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 投标人提供U盘或光盘演示投标人制作的其他信息技术类在线课程微课视频样片（提供完整视频文件，不接受截图、片段等非完整视频演示）。视频样片演示时间(20分钟)内，必须基于投标人完成的真实课程项目（提供证明材料）。根据投标人提供的U盘或光盘中的视频样片质量满分得10分。</w:t>
      </w:r>
    </w:p>
    <w:p>
      <w:pPr>
        <w:spacing w:before="156" w:line="360" w:lineRule="auto"/>
        <w:ind w:firstLine="514" w:firstLineChars="245"/>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一档（0分）：教学内容设计存在不科学或不正确、结构不完整、逻辑不清晰，或存在视频画面模糊不清、图像不稳定、声画不同步、用语不规范、声音不清晰等差超过3处。</w:t>
      </w:r>
    </w:p>
    <w:p>
      <w:pPr>
        <w:spacing w:before="156" w:line="360" w:lineRule="auto"/>
        <w:ind w:firstLine="514" w:firstLineChars="245"/>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二档（5分）：教学内容设计存在不科学或不正确、结构不完整、逻辑不清晰，或存在视频画面模糊不清、图像不稳定、声画不同步、用语不规范、声音不清晰等少于3处（含）。</w:t>
      </w:r>
    </w:p>
    <w:p>
      <w:pPr>
        <w:spacing w:before="156" w:line="360" w:lineRule="auto"/>
        <w:ind w:firstLine="514" w:firstLineChars="245"/>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三档（10分）：教学内容设计科学正确、结构完整、逻辑清晰，视频画面清晰、图像稳定、声画同步、用语规范、声音清晰。</w:t>
      </w:r>
    </w:p>
    <w:p>
      <w:pPr>
        <w:spacing w:before="156" w:line="360" w:lineRule="auto"/>
        <w:ind w:firstLine="514" w:firstLineChars="245"/>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(2) 能提供演示视频样片对应的项目合同得5分。</w:t>
      </w:r>
    </w:p>
    <w:p>
      <w:pPr>
        <w:spacing w:line="360" w:lineRule="auto"/>
        <w:ind w:firstLine="103" w:firstLineChars="49"/>
        <w:rPr>
          <w:rFonts w:cs="Times New Roman" w:asciiTheme="minorEastAsia" w:hAnsiTheme="minorEastAsia" w:eastAsiaTheme="minorEastAsia"/>
          <w:b/>
          <w:color w:val="auto"/>
          <w:kern w:val="0"/>
          <w:sz w:val="21"/>
          <w:szCs w:val="21"/>
          <w:highlight w:val="none"/>
        </w:rPr>
      </w:pPr>
      <w:r>
        <w:rPr>
          <w:rFonts w:cs="Times New Roman" w:asciiTheme="minorEastAsia" w:hAnsiTheme="minorEastAsia" w:eastAsiaTheme="minorEastAsia"/>
          <w:b/>
          <w:color w:val="auto"/>
          <w:kern w:val="0"/>
          <w:sz w:val="21"/>
          <w:szCs w:val="21"/>
          <w:highlight w:val="none"/>
        </w:rPr>
        <w:t>3</w:t>
      </w:r>
      <w:r>
        <w:rPr>
          <w:rFonts w:hint="eastAsia" w:cs="Times New Roman" w:asciiTheme="minorEastAsia" w:hAnsiTheme="minorEastAsia" w:eastAsiaTheme="minorEastAsia"/>
          <w:b/>
          <w:color w:val="auto"/>
          <w:kern w:val="0"/>
          <w:sz w:val="21"/>
          <w:szCs w:val="21"/>
          <w:highlight w:val="none"/>
        </w:rPr>
        <w:t>、商务分…………………………………………………………………………………………</w:t>
      </w:r>
      <w:r>
        <w:rPr>
          <w:rFonts w:cs="Times New Roman" w:asciiTheme="minorEastAsia" w:hAnsiTheme="minorEastAsia" w:eastAsiaTheme="minorEastAsia"/>
          <w:b/>
          <w:color w:val="auto"/>
          <w:kern w:val="0"/>
          <w:sz w:val="21"/>
          <w:szCs w:val="21"/>
          <w:highlight w:val="none"/>
        </w:rPr>
        <w:t>30</w:t>
      </w:r>
      <w:r>
        <w:rPr>
          <w:rFonts w:hint="eastAsia" w:cs="Times New Roman" w:asciiTheme="minorEastAsia" w:hAnsiTheme="minorEastAsia" w:eastAsiaTheme="minorEastAsia"/>
          <w:b/>
          <w:color w:val="auto"/>
          <w:kern w:val="0"/>
          <w:sz w:val="21"/>
          <w:szCs w:val="21"/>
          <w:highlight w:val="none"/>
        </w:rPr>
        <w:t>分</w:t>
      </w:r>
    </w:p>
    <w:p>
      <w:pPr>
        <w:spacing w:line="360" w:lineRule="auto"/>
        <w:ind w:left="145" w:leftChars="69"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1）投标人拟投入本项目的相关专业技术人员有大数据或计算机类工程师证</w:t>
      </w:r>
      <w:r>
        <w:rPr>
          <w:rFonts w:hint="eastAsia" w:cs="Times New Roman" w:asciiTheme="minorEastAsia" w:hAnsiTheme="minorEastAsia"/>
          <w:color w:val="auto"/>
          <w:kern w:val="0"/>
          <w:sz w:val="21"/>
          <w:szCs w:val="21"/>
          <w:highlight w:val="none"/>
          <w:lang w:eastAsia="zh-CN"/>
        </w:rPr>
        <w:t>的</w:t>
      </w:r>
      <w:r>
        <w:rPr>
          <w:rFonts w:hint="eastAsia" w:cs="Times New Roman" w:asciiTheme="minorEastAsia" w:hAnsiTheme="minorEastAsia" w:eastAsiaTheme="minorEastAsia"/>
          <w:color w:val="auto"/>
          <w:kern w:val="0"/>
          <w:sz w:val="21"/>
          <w:szCs w:val="21"/>
          <w:highlight w:val="none"/>
        </w:rPr>
        <w:t>每人得2分。本项满分共10分。（需提供专业人员花名册包括姓名、性别、出生日期、学历，提供证书及所有人员</w:t>
      </w:r>
      <w:r>
        <w:rPr>
          <w:rFonts w:cs="Times New Roman" w:asciiTheme="minorEastAsia" w:hAnsiTheme="minorEastAsia" w:eastAsiaTheme="minorEastAsia"/>
          <w:color w:val="auto"/>
          <w:kern w:val="0"/>
          <w:sz w:val="21"/>
          <w:szCs w:val="21"/>
          <w:highlight w:val="none"/>
        </w:rPr>
        <w:t>2020年度内连续3个月</w:t>
      </w:r>
      <w:r>
        <w:rPr>
          <w:rFonts w:hint="eastAsia" w:cs="Times New Roman" w:asciiTheme="minorEastAsia" w:hAnsiTheme="minorEastAsia" w:eastAsiaTheme="minorEastAsia"/>
          <w:color w:val="auto"/>
          <w:kern w:val="0"/>
          <w:sz w:val="21"/>
          <w:szCs w:val="21"/>
          <w:highlight w:val="none"/>
        </w:rPr>
        <w:t>在竞标单位的合同）。</w:t>
      </w:r>
      <w:r>
        <w:rPr>
          <w:rFonts w:cs="Times New Roman" w:asciiTheme="minorEastAsia" w:hAnsiTheme="minorEastAsia" w:eastAsiaTheme="minorEastAsia"/>
          <w:color w:val="auto"/>
          <w:kern w:val="0"/>
          <w:sz w:val="21"/>
          <w:szCs w:val="21"/>
          <w:highlight w:val="none"/>
        </w:rPr>
        <w:br w:type="textWrapping"/>
      </w:r>
      <w:r>
        <w:rPr>
          <w:rFonts w:hint="eastAsia" w:cs="Times New Roman" w:asciiTheme="minorEastAsia" w:hAnsiTheme="minorEastAsia" w:eastAsiaTheme="minorEastAsia"/>
          <w:color w:val="auto"/>
          <w:kern w:val="0"/>
          <w:sz w:val="21"/>
          <w:szCs w:val="21"/>
          <w:highlight w:val="none"/>
        </w:rPr>
        <w:t xml:space="preserve">    2）投标人2017年以来具有大数据或信息技术教育类业绩的（以中标通知书、合同复印件或发票为准），每项大数据或信息技术教育类业绩得2分，最高得10分。</w:t>
      </w:r>
    </w:p>
    <w:p>
      <w:pPr>
        <w:spacing w:line="360" w:lineRule="auto"/>
        <w:ind w:firstLine="525" w:firstLineChars="25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3）售后服务方案情况（</w:t>
      </w:r>
      <w:r>
        <w:rPr>
          <w:rFonts w:cs="Times New Roman" w:asciiTheme="minorEastAsia" w:hAnsiTheme="minorEastAsia" w:eastAsiaTheme="minorEastAsia"/>
          <w:color w:val="auto"/>
          <w:kern w:val="0"/>
          <w:sz w:val="21"/>
          <w:szCs w:val="21"/>
          <w:highlight w:val="none"/>
        </w:rPr>
        <w:t>10</w:t>
      </w:r>
      <w:r>
        <w:rPr>
          <w:rFonts w:hint="eastAsia" w:cs="Times New Roman" w:asciiTheme="minorEastAsia" w:hAnsiTheme="minorEastAsia" w:eastAsiaTheme="minorEastAsia"/>
          <w:color w:val="auto"/>
          <w:kern w:val="0"/>
          <w:sz w:val="21"/>
          <w:szCs w:val="21"/>
          <w:highlight w:val="none"/>
        </w:rPr>
        <w:t>分）</w:t>
      </w:r>
    </w:p>
    <w:p>
      <w:pPr>
        <w:spacing w:line="360" w:lineRule="auto"/>
        <w:ind w:left="145" w:leftChars="69"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一档（</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分）:投标人提供的售后服务方案和售后服务承诺说明，不能提供服务人员名单及相关证明（要求提供服务人员毕业证或职称证，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w:t>
      </w:r>
    </w:p>
    <w:p>
      <w:pPr>
        <w:spacing w:line="360" w:lineRule="auto"/>
        <w:ind w:left="145" w:leftChars="69"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二档（</w:t>
      </w:r>
      <w:r>
        <w:rPr>
          <w:rFonts w:cs="Times New Roman" w:asciiTheme="minorEastAsia" w:hAnsiTheme="minorEastAsia" w:eastAsiaTheme="minorEastAsia"/>
          <w:color w:val="auto"/>
          <w:kern w:val="0"/>
          <w:sz w:val="21"/>
          <w:szCs w:val="21"/>
          <w:highlight w:val="none"/>
        </w:rPr>
        <w:t>7</w:t>
      </w:r>
      <w:r>
        <w:rPr>
          <w:rFonts w:hint="eastAsia" w:cs="Times New Roman" w:asciiTheme="minorEastAsia" w:hAnsiTheme="minorEastAsia" w:eastAsiaTheme="minorEastAsia"/>
          <w:color w:val="auto"/>
          <w:kern w:val="0"/>
          <w:sz w:val="21"/>
          <w:szCs w:val="21"/>
          <w:highlight w:val="none"/>
        </w:rPr>
        <w:t>分）:投标人提供的售后服务方案和售后服务承诺说明，提供服务人员名单及相关证明不足3人（要求提供服务人员毕业证或职称证，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w:t>
      </w:r>
    </w:p>
    <w:p>
      <w:pPr>
        <w:spacing w:line="360" w:lineRule="auto"/>
        <w:ind w:left="145" w:leftChars="69" w:firstLine="420" w:firstLineChars="200"/>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三档（</w:t>
      </w:r>
      <w:r>
        <w:rPr>
          <w:rFonts w:cs="Times New Roman" w:asciiTheme="minorEastAsia" w:hAnsiTheme="minorEastAsia" w:eastAsiaTheme="minorEastAsia"/>
          <w:color w:val="auto"/>
          <w:kern w:val="0"/>
          <w:sz w:val="21"/>
          <w:szCs w:val="21"/>
          <w:highlight w:val="none"/>
        </w:rPr>
        <w:t>10</w:t>
      </w:r>
      <w:r>
        <w:rPr>
          <w:rFonts w:hint="eastAsia" w:cs="Times New Roman" w:asciiTheme="minorEastAsia" w:hAnsiTheme="minorEastAsia" w:eastAsiaTheme="minorEastAsia"/>
          <w:color w:val="auto"/>
          <w:kern w:val="0"/>
          <w:sz w:val="21"/>
          <w:szCs w:val="21"/>
          <w:highlight w:val="none"/>
        </w:rPr>
        <w:t>分）:投标人提供的售后服务方案详细、具体、明确、规范；售后服务承诺完整、可行。维护期内运行维护人员不少于三人，（要求提供服务人员毕业证或职称证，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），提供</w:t>
      </w:r>
      <w:r>
        <w:rPr>
          <w:rFonts w:cs="Times New Roman" w:asciiTheme="minorEastAsia" w:hAnsiTheme="minorEastAsia" w:eastAsiaTheme="minorEastAsia"/>
          <w:color w:val="auto"/>
          <w:kern w:val="0"/>
          <w:sz w:val="21"/>
          <w:szCs w:val="21"/>
          <w:highlight w:val="none"/>
        </w:rPr>
        <w:t>7*24</w:t>
      </w:r>
      <w:r>
        <w:rPr>
          <w:rFonts w:hint="eastAsia" w:cs="Times New Roman" w:asciiTheme="minorEastAsia" w:hAnsiTheme="minorEastAsia" w:eastAsiaTheme="minorEastAsia"/>
          <w:color w:val="auto"/>
          <w:kern w:val="0"/>
          <w:sz w:val="21"/>
          <w:szCs w:val="21"/>
          <w:highlight w:val="none"/>
        </w:rPr>
        <w:t>服务，承诺免费对采购单位的需求变更进行完善，完全满足采购单位的要求。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诚信分………………………………………………（-6分）</w:t>
      </w:r>
    </w:p>
    <w:p>
      <w:pPr>
        <w:spacing w:line="360" w:lineRule="auto"/>
        <w:ind w:firstLine="420" w:firstLineChars="200"/>
        <w:rPr>
          <w:color w:val="auto"/>
          <w:highlight w:val="none"/>
        </w:rPr>
      </w:pPr>
      <w:r>
        <w:rPr>
          <w:rFonts w:ascii="宋体" w:hAnsi="宋体"/>
          <w:color w:val="auto"/>
          <w:szCs w:val="21"/>
          <w:highlight w:val="none"/>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ind w:firstLine="422" w:firstLineChars="200"/>
        <w:rPr>
          <w:rFonts w:cs="Times New Roman" w:asciiTheme="minorEastAsia" w:hAnsiTheme="minorEastAsia" w:eastAsiaTheme="minorEastAsia"/>
          <w:b/>
          <w:color w:val="auto"/>
          <w:kern w:val="0"/>
          <w:sz w:val="21"/>
          <w:szCs w:val="21"/>
          <w:highlight w:val="none"/>
        </w:rPr>
      </w:pPr>
      <w:r>
        <w:rPr>
          <w:rFonts w:hint="eastAsia" w:cs="Times New Roman" w:asciiTheme="minorEastAsia" w:hAnsiTheme="minorEastAsia" w:eastAsiaTheme="minorEastAsia"/>
          <w:b/>
          <w:color w:val="auto"/>
          <w:kern w:val="0"/>
          <w:sz w:val="21"/>
          <w:szCs w:val="21"/>
          <w:highlight w:val="none"/>
        </w:rPr>
        <w:t>（三）总得分＝</w:t>
      </w:r>
      <w:r>
        <w:rPr>
          <w:rFonts w:cs="Times New Roman" w:asciiTheme="minorEastAsia" w:hAnsiTheme="minorEastAsia" w:eastAsiaTheme="minorEastAsia"/>
          <w:b/>
          <w:color w:val="auto"/>
          <w:kern w:val="0"/>
          <w:sz w:val="21"/>
          <w:szCs w:val="21"/>
          <w:highlight w:val="none"/>
        </w:rPr>
        <w:t>1</w:t>
      </w:r>
      <w:r>
        <w:rPr>
          <w:rFonts w:hint="eastAsia" w:cs="Times New Roman" w:asciiTheme="minorEastAsia" w:hAnsiTheme="minorEastAsia" w:eastAsiaTheme="minorEastAsia"/>
          <w:b/>
          <w:color w:val="auto"/>
          <w:kern w:val="0"/>
          <w:sz w:val="21"/>
          <w:szCs w:val="21"/>
          <w:highlight w:val="none"/>
        </w:rPr>
        <w:t>＋</w:t>
      </w:r>
      <w:r>
        <w:rPr>
          <w:rFonts w:cs="Times New Roman" w:asciiTheme="minorEastAsia" w:hAnsiTheme="minorEastAsia" w:eastAsiaTheme="minorEastAsia"/>
          <w:b/>
          <w:color w:val="auto"/>
          <w:kern w:val="0"/>
          <w:sz w:val="21"/>
          <w:szCs w:val="21"/>
          <w:highlight w:val="none"/>
        </w:rPr>
        <w:t>2</w:t>
      </w:r>
      <w:r>
        <w:rPr>
          <w:rFonts w:hint="eastAsia" w:cs="Times New Roman" w:asciiTheme="minorEastAsia" w:hAnsiTheme="minorEastAsia" w:eastAsiaTheme="minorEastAsia"/>
          <w:b/>
          <w:color w:val="auto"/>
          <w:kern w:val="0"/>
          <w:sz w:val="21"/>
          <w:szCs w:val="21"/>
          <w:highlight w:val="none"/>
        </w:rPr>
        <w:t>＋</w:t>
      </w:r>
      <w:r>
        <w:rPr>
          <w:rFonts w:cs="Times New Roman" w:asciiTheme="minorEastAsia" w:hAnsiTheme="minorEastAsia" w:eastAsiaTheme="minorEastAsia"/>
          <w:b/>
          <w:color w:val="auto"/>
          <w:kern w:val="0"/>
          <w:sz w:val="21"/>
          <w:szCs w:val="21"/>
          <w:highlight w:val="none"/>
        </w:rPr>
        <w:t>3</w:t>
      </w:r>
      <w:r>
        <w:rPr>
          <w:rFonts w:hint="eastAsia" w:cs="Times New Roman" w:asciiTheme="minorEastAsia" w:hAnsiTheme="minorEastAsia"/>
          <w:b/>
          <w:color w:val="auto"/>
          <w:kern w:val="0"/>
          <w:sz w:val="21"/>
          <w:szCs w:val="21"/>
          <w:highlight w:val="none"/>
          <w:lang w:val="en-US" w:eastAsia="zh-CN"/>
        </w:rPr>
        <w:t>+4</w:t>
      </w:r>
      <w:r>
        <w:rPr>
          <w:rFonts w:hint="eastAsia" w:cs="Times New Roman" w:asciiTheme="minorEastAsia" w:hAnsiTheme="minorEastAsia" w:eastAsiaTheme="minorEastAsia"/>
          <w:b/>
          <w:color w:val="auto"/>
          <w:kern w:val="0"/>
          <w:sz w:val="21"/>
          <w:szCs w:val="21"/>
          <w:highlight w:val="none"/>
        </w:rPr>
        <w:t>。</w:t>
      </w:r>
    </w:p>
    <w:p>
      <w:pPr>
        <w:pStyle w:val="18"/>
        <w:spacing w:line="360" w:lineRule="auto"/>
        <w:rPr>
          <w:rFonts w:hint="eastAsia" w:hAnsi="宋体" w:cs="宋体"/>
          <w:b/>
          <w:bCs/>
          <w:color w:val="auto"/>
          <w:highlight w:val="none"/>
        </w:rPr>
      </w:pPr>
      <w:r>
        <w:rPr>
          <w:rFonts w:hint="eastAsia" w:cs="Times New Roman" w:asciiTheme="minorEastAsia" w:hAnsiTheme="minorEastAsia" w:eastAsiaTheme="minorEastAsia"/>
          <w:color w:val="auto"/>
          <w:kern w:val="0"/>
          <w:sz w:val="21"/>
          <w:szCs w:val="21"/>
          <w:highlight w:val="none"/>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18"/>
        <w:spacing w:line="360" w:lineRule="auto"/>
        <w:rPr>
          <w:rFonts w:hint="eastAsia" w:hAnsi="宋体" w:cs="宋体"/>
          <w:b/>
          <w:bCs/>
          <w:color w:val="auto"/>
          <w:highlight w:val="none"/>
        </w:rPr>
      </w:pPr>
    </w:p>
    <w:p>
      <w:pPr>
        <w:pStyle w:val="18"/>
        <w:spacing w:line="360" w:lineRule="auto"/>
        <w:rPr>
          <w:rFonts w:hint="eastAsia" w:hAnsi="宋体" w:cs="宋体"/>
          <w:b/>
          <w:bCs/>
          <w:color w:val="auto"/>
          <w:highlight w:val="none"/>
        </w:rPr>
      </w:pPr>
    </w:p>
    <w:p>
      <w:pPr>
        <w:pStyle w:val="18"/>
        <w:spacing w:line="360" w:lineRule="auto"/>
        <w:jc w:val="center"/>
        <w:rPr>
          <w:rFonts w:hint="eastAsia" w:hAnsi="宋体" w:cs="宋体"/>
          <w:b/>
          <w:bCs/>
          <w:color w:val="auto"/>
          <w:highlight w:val="none"/>
          <w:lang w:val="en-US" w:eastAsia="zh-CN"/>
        </w:rPr>
      </w:pPr>
      <w:r>
        <w:rPr>
          <w:rFonts w:hint="eastAsia" w:hAnsi="宋体" w:cs="宋体"/>
          <w:b/>
          <w:bCs/>
          <w:color w:val="auto"/>
          <w:highlight w:val="none"/>
          <w:lang w:eastAsia="zh-CN"/>
        </w:rPr>
        <w:t>（</w:t>
      </w:r>
      <w:r>
        <w:rPr>
          <w:rFonts w:hint="eastAsia" w:hAnsi="宋体" w:cs="宋体"/>
          <w:b/>
          <w:bCs/>
          <w:color w:val="auto"/>
          <w:highlight w:val="none"/>
          <w:lang w:val="en-US" w:eastAsia="zh-CN"/>
        </w:rPr>
        <w:t>适用C分标）</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（一）评标委员会以招标文件为依据，对投标文件进行评审，对投标人的投标报价、技术文件及商务文件等三部分内容按百分制打分，其中价格分</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分，技术分</w:t>
      </w:r>
      <w:r>
        <w:rPr>
          <w:rFonts w:cs="Times New Roman" w:asciiTheme="minorEastAsia" w:hAnsiTheme="minorEastAsia" w:eastAsiaTheme="minorEastAsia"/>
          <w:color w:val="auto"/>
          <w:kern w:val="0"/>
          <w:sz w:val="21"/>
          <w:szCs w:val="21"/>
          <w:highlight w:val="none"/>
        </w:rPr>
        <w:t>40</w:t>
      </w:r>
      <w:r>
        <w:rPr>
          <w:rFonts w:hint="eastAsia" w:cs="Times New Roman" w:asciiTheme="minorEastAsia" w:hAnsiTheme="minorEastAsia" w:eastAsiaTheme="minorEastAsia"/>
          <w:color w:val="auto"/>
          <w:kern w:val="0"/>
          <w:sz w:val="21"/>
          <w:szCs w:val="21"/>
          <w:highlight w:val="none"/>
        </w:rPr>
        <w:t>分，商务分</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分</w:t>
      </w:r>
      <w:r>
        <w:rPr>
          <w:rFonts w:hint="eastAsia" w:cs="Times New Roman" w:asciiTheme="minorEastAsia" w:hAnsiTheme="minorEastAsia"/>
          <w:color w:val="auto"/>
          <w:kern w:val="0"/>
          <w:sz w:val="21"/>
          <w:szCs w:val="21"/>
          <w:highlight w:val="none"/>
          <w:lang w:eastAsia="zh-CN"/>
        </w:rPr>
        <w:t>、诚信分</w:t>
      </w:r>
      <w:r>
        <w:rPr>
          <w:rFonts w:hint="eastAsia" w:cs="Times New Roman" w:asciiTheme="minorEastAsia" w:hAnsiTheme="minorEastAsia"/>
          <w:color w:val="auto"/>
          <w:kern w:val="0"/>
          <w:sz w:val="21"/>
          <w:szCs w:val="21"/>
          <w:highlight w:val="none"/>
          <w:lang w:val="en-US" w:eastAsia="zh-CN"/>
        </w:rPr>
        <w:t>-6分</w:t>
      </w:r>
      <w:r>
        <w:rPr>
          <w:rFonts w:hint="eastAsia" w:cs="Times New Roman" w:asciiTheme="minorEastAsia" w:hAnsiTheme="minorEastAsia" w:eastAsiaTheme="minorEastAsia"/>
          <w:color w:val="auto"/>
          <w:kern w:val="0"/>
          <w:sz w:val="21"/>
          <w:szCs w:val="21"/>
          <w:highlight w:val="none"/>
        </w:rPr>
        <w:t>。（评标时，对于带有主观因素的评分，由各评委独立进行评价、打分，不允许讨论。）</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（二）评分细则：（按四舍五入取至小数点后四位）</w:t>
      </w:r>
    </w:p>
    <w:p>
      <w:pPr>
        <w:spacing w:line="360" w:lineRule="auto"/>
        <w:ind w:firstLine="211" w:firstLineChars="100"/>
        <w:rPr>
          <w:rFonts w:eastAsia="Times New Roman" w:cs="Times New Roman" w:asciiTheme="minorEastAsia" w:hAnsiTheme="minorEastAsia"/>
          <w:b/>
          <w:color w:val="auto"/>
          <w:kern w:val="0"/>
          <w:sz w:val="20"/>
          <w:szCs w:val="21"/>
          <w:highlight w:val="none"/>
        </w:rPr>
      </w:pPr>
      <w:r>
        <w:rPr>
          <w:rFonts w:cs="Times New Roman" w:asciiTheme="minorEastAsia" w:hAnsiTheme="minorEastAsia" w:eastAsiaTheme="minorEastAsia"/>
          <w:b/>
          <w:color w:val="auto"/>
          <w:kern w:val="0"/>
          <w:sz w:val="21"/>
          <w:szCs w:val="21"/>
          <w:highlight w:val="none"/>
        </w:rPr>
        <w:t>1</w:t>
      </w:r>
      <w:r>
        <w:rPr>
          <w:rFonts w:hint="eastAsia" w:cs="Times New Roman" w:asciiTheme="minorEastAsia" w:hAnsiTheme="minorEastAsia" w:eastAsiaTheme="minorEastAsia"/>
          <w:b/>
          <w:color w:val="auto"/>
          <w:kern w:val="0"/>
          <w:sz w:val="21"/>
          <w:szCs w:val="21"/>
          <w:highlight w:val="none"/>
        </w:rPr>
        <w:t>、价格分…………………………………………………………………………………………</w:t>
      </w:r>
      <w:r>
        <w:rPr>
          <w:rFonts w:cs="Times New Roman" w:asciiTheme="minorEastAsia" w:hAnsiTheme="minorEastAsia" w:eastAsiaTheme="minorEastAsia"/>
          <w:b/>
          <w:color w:val="auto"/>
          <w:kern w:val="0"/>
          <w:sz w:val="21"/>
          <w:szCs w:val="21"/>
          <w:highlight w:val="none"/>
        </w:rPr>
        <w:t>30</w:t>
      </w:r>
      <w:r>
        <w:rPr>
          <w:rFonts w:hint="eastAsia" w:cs="Times New Roman" w:asciiTheme="minorEastAsia" w:hAnsiTheme="minorEastAsia" w:eastAsiaTheme="minorEastAsia"/>
          <w:b/>
          <w:color w:val="auto"/>
          <w:kern w:val="0"/>
          <w:sz w:val="21"/>
          <w:szCs w:val="21"/>
          <w:highlight w:val="none"/>
        </w:rPr>
        <w:t>分</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）对小型和微型企业产品的价格给予</w:t>
      </w:r>
      <w:r>
        <w:rPr>
          <w:rFonts w:hint="eastAsia" w:cs="Times New Roman" w:asciiTheme="minorEastAsia" w:hAnsiTheme="minorEastAsia"/>
          <w:color w:val="auto"/>
          <w:kern w:val="0"/>
          <w:sz w:val="21"/>
          <w:szCs w:val="21"/>
          <w:highlight w:val="none"/>
          <w:lang w:val="en-US" w:eastAsia="zh-CN"/>
        </w:rPr>
        <w:t>10</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的价格扣除，扣除后的价格为评标价，即评标价＝投标报价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color w:val="auto"/>
          <w:kern w:val="0"/>
          <w:sz w:val="21"/>
          <w:szCs w:val="21"/>
          <w:highlight w:val="none"/>
          <w:lang w:val="en-US" w:eastAsia="zh-CN"/>
        </w:rPr>
        <w:t>10</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要求提供的《投标报价表》和《中小企业声明函》为评分依据）</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）对大中型企业和其他自然人、法人或者其他组织与小型、微型企业组成联合体，且联合体协议中约定小型、微型企业的协议合同金额占到联合体协议合同总金额</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以上的，给予</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的价格扣除，扣除后的价格为评标价，即评标价＝投标报价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1-2%</w:t>
      </w:r>
      <w:r>
        <w:rPr>
          <w:rFonts w:hint="eastAsia" w:cs="Times New Roman" w:asciiTheme="minorEastAsia" w:hAnsiTheme="minorEastAsia" w:eastAsiaTheme="minorEastAsia"/>
          <w:color w:val="auto"/>
          <w:kern w:val="0"/>
          <w:sz w:val="21"/>
          <w:szCs w:val="21"/>
          <w:highlight w:val="none"/>
        </w:rPr>
        <w:t>）。（以投标人按第五章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要求提供的《投标报价表》、《中小企业声明函》和《联合体协议书》为评分依据）</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）投标产品提供企业按《关于政府采购支持监狱企业发展有关问题的通知》</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财库</w:t>
      </w:r>
      <w:r>
        <w:rPr>
          <w:rFonts w:cs="Times New Roman" w:asciiTheme="minorEastAsia" w:hAnsiTheme="minorEastAsia" w:eastAsiaTheme="minorEastAsia"/>
          <w:color w:val="auto"/>
          <w:kern w:val="0"/>
          <w:sz w:val="21"/>
          <w:szCs w:val="21"/>
          <w:highlight w:val="none"/>
        </w:rPr>
        <w:t>[2014]68</w:t>
      </w:r>
      <w:r>
        <w:rPr>
          <w:rFonts w:hint="eastAsia" w:cs="Times New Roman" w:asciiTheme="minorEastAsia" w:hAnsiTheme="minorEastAsia" w:eastAsiaTheme="minorEastAsia"/>
          <w:color w:val="auto"/>
          <w:kern w:val="0"/>
          <w:sz w:val="21"/>
          <w:szCs w:val="21"/>
          <w:highlight w:val="none"/>
        </w:rPr>
        <w:t>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认定为监狱企业的，在政府采购活动中，监狱企业视同小型、微型企业。（以投标人按第五章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要求提供的《报价表》和由省级以上监狱管理局、戒毒管理局</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含新疆生产建设兵团</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出具的属于监狱企业的证明文件为评分依据）</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4</w:t>
      </w:r>
      <w:r>
        <w:rPr>
          <w:rFonts w:hint="eastAsia" w:cs="Times New Roman" w:asciiTheme="minorEastAsia" w:hAnsiTheme="minorEastAsia" w:eastAsiaTheme="minorEastAsia"/>
          <w:color w:val="auto"/>
          <w:kern w:val="0"/>
          <w:sz w:val="21"/>
          <w:szCs w:val="21"/>
          <w:highlight w:val="none"/>
        </w:rPr>
        <w:t>）投标产品提供企业按《关于促进残疾人就业政府采购政策的通知》</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财库〔</w:t>
      </w:r>
      <w:r>
        <w:rPr>
          <w:rFonts w:cs="Times New Roman" w:asciiTheme="minorEastAsia" w:hAnsiTheme="minorEastAsia" w:eastAsiaTheme="minorEastAsia"/>
          <w:color w:val="auto"/>
          <w:kern w:val="0"/>
          <w:sz w:val="21"/>
          <w:szCs w:val="21"/>
          <w:highlight w:val="none"/>
        </w:rPr>
        <w:t>2017</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141</w:t>
      </w:r>
      <w:r>
        <w:rPr>
          <w:rFonts w:hint="eastAsia" w:cs="Times New Roman" w:asciiTheme="minorEastAsia" w:hAnsiTheme="minorEastAsia" w:eastAsiaTheme="minorEastAsia"/>
          <w:color w:val="auto"/>
          <w:kern w:val="0"/>
          <w:sz w:val="21"/>
          <w:szCs w:val="21"/>
          <w:highlight w:val="none"/>
        </w:rPr>
        <w:t>号</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投标文件格式</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1"/>
          <w:szCs w:val="21"/>
          <w:highlight w:val="none"/>
        </w:rPr>
        <w:t>要求提供的《报价表》和《残疾人福利性单位声明函》为评分依据）</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5</w:t>
      </w:r>
      <w:r>
        <w:rPr>
          <w:rFonts w:hint="eastAsia" w:cs="Times New Roman" w:asciiTheme="minorEastAsia" w:hAnsiTheme="minorEastAsia" w:eastAsiaTheme="minorEastAsia"/>
          <w:color w:val="auto"/>
          <w:kern w:val="0"/>
          <w:sz w:val="21"/>
          <w:szCs w:val="21"/>
          <w:highlight w:val="none"/>
        </w:rPr>
        <w:t>）除上述情况外，评标价＝投标报价。</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6</w:t>
      </w:r>
      <w:r>
        <w:rPr>
          <w:rFonts w:hint="eastAsia" w:cs="Times New Roman" w:asciiTheme="minorEastAsia" w:hAnsiTheme="minorEastAsia" w:eastAsiaTheme="minorEastAsia"/>
          <w:color w:val="auto"/>
          <w:kern w:val="0"/>
          <w:sz w:val="21"/>
          <w:szCs w:val="21"/>
          <w:highlight w:val="none"/>
        </w:rPr>
        <w:t>）价格分计算公式：</w:t>
      </w:r>
    </w:p>
    <w:p>
      <w:pPr>
        <w:spacing w:line="360" w:lineRule="auto"/>
        <w:ind w:firstLine="2100" w:firstLineChars="10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投标人最低投标报价金额</w:t>
      </w:r>
    </w:p>
    <w:p>
      <w:pPr>
        <w:spacing w:line="360" w:lineRule="auto"/>
        <w:ind w:firstLine="300" w:firstLineChars="150"/>
        <w:rPr>
          <w:rFonts w:eastAsia="Times New Roman" w:cs="Times New Roman" w:asciiTheme="minorEastAsia" w:hAnsiTheme="minorEastAsia"/>
          <w:color w:val="auto"/>
          <w:kern w:val="0"/>
          <w:sz w:val="20"/>
          <w:szCs w:val="21"/>
          <w:highlight w:val="none"/>
        </w:rPr>
      </w:pPr>
      <w:r>
        <w:rPr>
          <w:rFonts w:eastAsia="Times New Roman" w:cs="Times New Roman" w:asciiTheme="minorEastAsia" w:hAnsiTheme="minorEastAsia"/>
          <w:color w:val="auto"/>
          <w:kern w:val="0"/>
          <w:sz w:val="20"/>
          <w:szCs w:val="21"/>
          <w:highlight w:val="none"/>
        </w:rPr>
        <mc:AlternateContent>
          <mc:Choice Requires="wps">
            <w:drawing>
              <wp:anchor distT="0" distB="0" distL="114300" distR="114300" simplePos="0" relativeHeight="251760640" behindDoc="0" locked="0" layoutInCell="1" allowOverlap="1">
                <wp:simplePos x="0" y="0"/>
                <wp:positionH relativeFrom="column">
                  <wp:posOffset>1263015</wp:posOffset>
                </wp:positionH>
                <wp:positionV relativeFrom="paragraph">
                  <wp:posOffset>103505</wp:posOffset>
                </wp:positionV>
                <wp:extent cx="16002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45pt;margin-top:8.15pt;height:0pt;width:126pt;z-index:251760640;mso-width-relative:page;mso-height-relative:page;" filled="f" stroked="t" coordsize="21600,21600" o:gfxdata="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vgLiTW&#10;AAAACQEAAA8AAAAAAAAAAQAgAAAAIgAAAGRycy9kb3ducmV2LnhtbFBLAQIUABQAAAAIAIdO4kB5&#10;nMjN6QEAALgDAAAOAAAAAAAAAAEAIAAAACUBAABkcnMvZTJvRG9jLnhtbFBLBQYAAAAABgAGAFkB&#10;AACABQAAAAA=&#10;">
                <v:fill on="f" focussize="0,0"/>
                <v:stroke color="#000000" joinstyle="round"/>
                <v:imagedata o:title=""/>
                <o:lock v:ext="edit" aspectratio="f"/>
              </v:line>
            </w:pict>
          </mc:Fallback>
        </mc:AlternateContent>
      </w:r>
      <w:r>
        <w:rPr>
          <w:rFonts w:hint="eastAsia" w:cs="Times New Roman" w:asciiTheme="minorEastAsia" w:hAnsiTheme="minorEastAsia" w:eastAsiaTheme="minorEastAsia"/>
          <w:color w:val="auto"/>
          <w:kern w:val="0"/>
          <w:sz w:val="21"/>
          <w:szCs w:val="21"/>
          <w:highlight w:val="none"/>
        </w:rPr>
        <w:t xml:space="preserve">某投标人价格分＝ </w:t>
      </w:r>
      <w:r>
        <w:rPr>
          <w:rFonts w:cs="Times New Roman" w:asciiTheme="minorEastAsia" w:hAnsiTheme="minorEastAsia" w:eastAsiaTheme="minorEastAsia"/>
          <w:color w:val="auto"/>
          <w:kern w:val="0"/>
          <w:sz w:val="21"/>
          <w:szCs w:val="21"/>
          <w:highlight w:val="none"/>
        </w:rPr>
        <w:t xml:space="preserve">                           </w:t>
      </w: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30</w:t>
      </w:r>
      <w:r>
        <w:rPr>
          <w:rFonts w:hint="eastAsia" w:cs="Times New Roman" w:asciiTheme="minorEastAsia" w:hAnsiTheme="minorEastAsia" w:eastAsiaTheme="minorEastAsia"/>
          <w:color w:val="auto"/>
          <w:kern w:val="0"/>
          <w:sz w:val="21"/>
          <w:szCs w:val="21"/>
          <w:highlight w:val="none"/>
        </w:rPr>
        <w:t>分</w:t>
      </w:r>
    </w:p>
    <w:p>
      <w:pPr>
        <w:spacing w:line="360" w:lineRule="auto"/>
        <w:ind w:firstLine="2100" w:firstLineChars="1000"/>
        <w:rPr>
          <w:rFonts w:cs="Times New Roman" w:asciiTheme="minorEastAsia" w:hAnsiTheme="minorEastAsia" w:eastAsia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某投标人投标报价金额</w:t>
      </w:r>
    </w:p>
    <w:p>
      <w:pPr>
        <w:spacing w:line="360" w:lineRule="auto"/>
        <w:ind w:firstLine="211" w:firstLineChars="100"/>
        <w:rPr>
          <w:rFonts w:eastAsia="Times New Roman" w:cs="Times New Roman" w:asciiTheme="minorEastAsia" w:hAnsiTheme="minorEastAsia"/>
          <w:b/>
          <w:color w:val="auto"/>
          <w:kern w:val="0"/>
          <w:sz w:val="20"/>
          <w:szCs w:val="21"/>
          <w:highlight w:val="none"/>
        </w:rPr>
      </w:pPr>
      <w:r>
        <w:rPr>
          <w:rFonts w:cs="Times New Roman" w:asciiTheme="minorEastAsia" w:hAnsiTheme="minorEastAsia" w:eastAsiaTheme="minorEastAsia"/>
          <w:b/>
          <w:color w:val="auto"/>
          <w:kern w:val="0"/>
          <w:sz w:val="21"/>
          <w:szCs w:val="21"/>
          <w:highlight w:val="none"/>
        </w:rPr>
        <w:t>2</w:t>
      </w:r>
      <w:r>
        <w:rPr>
          <w:rFonts w:hint="eastAsia" w:cs="Times New Roman" w:asciiTheme="minorEastAsia" w:hAnsiTheme="minorEastAsia" w:eastAsiaTheme="minorEastAsia"/>
          <w:b/>
          <w:color w:val="auto"/>
          <w:kern w:val="0"/>
          <w:sz w:val="21"/>
          <w:szCs w:val="21"/>
          <w:highlight w:val="none"/>
        </w:rPr>
        <w:t>、技术分………………………………………………………………………………………</w:t>
      </w:r>
      <w:r>
        <w:rPr>
          <w:rFonts w:cs="Times New Roman" w:asciiTheme="minorEastAsia" w:hAnsiTheme="minorEastAsia" w:eastAsiaTheme="minorEastAsia"/>
          <w:b/>
          <w:color w:val="auto"/>
          <w:kern w:val="0"/>
          <w:sz w:val="21"/>
          <w:szCs w:val="21"/>
          <w:highlight w:val="none"/>
        </w:rPr>
        <w:t>4</w:t>
      </w:r>
      <w:r>
        <w:rPr>
          <w:rFonts w:hint="eastAsia" w:cs="Times New Roman" w:asciiTheme="minorEastAsia" w:hAnsiTheme="minorEastAsia" w:eastAsiaTheme="minorEastAsia"/>
          <w:b/>
          <w:color w:val="auto"/>
          <w:kern w:val="0"/>
          <w:sz w:val="21"/>
          <w:szCs w:val="21"/>
          <w:highlight w:val="none"/>
          <w:lang w:val="en-US" w:eastAsia="zh-CN"/>
        </w:rPr>
        <w:t>2</w:t>
      </w:r>
      <w:r>
        <w:rPr>
          <w:rFonts w:hint="eastAsia" w:cs="Times New Roman" w:asciiTheme="minorEastAsia" w:hAnsiTheme="minorEastAsia" w:eastAsiaTheme="minorEastAsia"/>
          <w:b/>
          <w:color w:val="auto"/>
          <w:kern w:val="0"/>
          <w:sz w:val="21"/>
          <w:szCs w:val="21"/>
          <w:highlight w:val="none"/>
        </w:rPr>
        <w:t>分</w:t>
      </w:r>
    </w:p>
    <w:p>
      <w:pPr>
        <w:spacing w:line="360" w:lineRule="auto"/>
        <w:ind w:firstLine="514" w:firstLineChars="245"/>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1)</w:t>
      </w:r>
      <w:r>
        <w:rPr>
          <w:rFonts w:eastAsia="Times New Roman" w:cs="Times New Roman" w:asciiTheme="minorEastAsia" w:hAnsiTheme="minorEastAsia"/>
          <w:color w:val="auto"/>
          <w:kern w:val="0"/>
          <w:sz w:val="21"/>
          <w:szCs w:val="21"/>
          <w:highlight w:val="none"/>
        </w:rPr>
        <w:t>课程建设</w:t>
      </w:r>
      <w:r>
        <w:rPr>
          <w:rFonts w:hint="eastAsia" w:cs="Times New Roman" w:asciiTheme="minorEastAsia" w:hAnsiTheme="minorEastAsia" w:eastAsiaTheme="minorEastAsia"/>
          <w:color w:val="auto"/>
          <w:kern w:val="0"/>
          <w:sz w:val="21"/>
          <w:szCs w:val="21"/>
          <w:highlight w:val="none"/>
        </w:rPr>
        <w:t>技术方案的科学性和完整性（</w:t>
      </w:r>
      <w:r>
        <w:rPr>
          <w:rFonts w:cs="Times New Roman" w:asciiTheme="minorEastAsia" w:hAnsiTheme="minorEastAsia" w:eastAsiaTheme="minorEastAsia"/>
          <w:color w:val="auto"/>
          <w:kern w:val="0"/>
          <w:sz w:val="21"/>
          <w:szCs w:val="21"/>
          <w:highlight w:val="none"/>
        </w:rPr>
        <w:t>20</w:t>
      </w:r>
      <w:r>
        <w:rPr>
          <w:rFonts w:hint="eastAsia" w:cs="Times New Roman" w:asciiTheme="minorEastAsia" w:hAnsiTheme="minorEastAsia" w:eastAsiaTheme="minorEastAsia"/>
          <w:color w:val="auto"/>
          <w:kern w:val="0"/>
          <w:sz w:val="21"/>
          <w:szCs w:val="21"/>
          <w:highlight w:val="none"/>
        </w:rPr>
        <w:t>分）</w:t>
      </w:r>
    </w:p>
    <w:p>
      <w:pPr>
        <w:spacing w:line="360" w:lineRule="auto"/>
        <w:ind w:firstLine="407" w:firstLineChars="194"/>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）一档（</w:t>
      </w:r>
      <w:r>
        <w:rPr>
          <w:rFonts w:cs="Times New Roman" w:asciiTheme="minorEastAsia" w:hAnsiTheme="minorEastAsia" w:eastAsiaTheme="minorEastAsia"/>
          <w:color w:val="auto"/>
          <w:kern w:val="0"/>
          <w:sz w:val="21"/>
          <w:szCs w:val="21"/>
          <w:highlight w:val="none"/>
        </w:rPr>
        <w:t>7</w:t>
      </w:r>
      <w:r>
        <w:rPr>
          <w:rFonts w:hint="eastAsia" w:cs="Times New Roman" w:asciiTheme="minorEastAsia" w:hAnsiTheme="minorEastAsia" w:eastAsiaTheme="minorEastAsia"/>
          <w:color w:val="auto"/>
          <w:kern w:val="0"/>
          <w:sz w:val="21"/>
          <w:szCs w:val="21"/>
          <w:highlight w:val="none"/>
        </w:rPr>
        <w:t>分）</w:t>
      </w:r>
      <w:r>
        <w:rPr>
          <w:rFonts w:hint="eastAsia" w:cs="Times New Roman" w:asciiTheme="minorEastAsia" w:hAnsiTheme="minorEastAsia" w:eastAsiaTheme="minorEastAsia"/>
          <w:color w:val="auto"/>
          <w:kern w:val="0"/>
          <w:sz w:val="20"/>
          <w:szCs w:val="21"/>
          <w:highlight w:val="none"/>
        </w:rPr>
        <w:t>:</w:t>
      </w:r>
      <w:r>
        <w:rPr>
          <w:rFonts w:hint="eastAsia" w:cs="Times New Roman" w:asciiTheme="minorEastAsia" w:hAnsiTheme="minorEastAsia" w:eastAsiaTheme="minorEastAsia"/>
          <w:color w:val="auto"/>
          <w:kern w:val="0"/>
          <w:sz w:val="21"/>
          <w:szCs w:val="21"/>
          <w:highlight w:val="none"/>
        </w:rPr>
        <w:t>提供了南宁职业技术学院</w:t>
      </w:r>
      <w:r>
        <w:rPr>
          <w:rFonts w:cs="Times New Roman" w:asciiTheme="minorEastAsia" w:hAnsiTheme="minorEastAsia" w:eastAsiaTheme="minorEastAsia"/>
          <w:color w:val="auto"/>
          <w:kern w:val="0"/>
          <w:sz w:val="21"/>
          <w:szCs w:val="21"/>
          <w:highlight w:val="none"/>
        </w:rPr>
        <w:t>Web前端开发1+X课程一体项目</w:t>
      </w:r>
      <w:r>
        <w:rPr>
          <w:rFonts w:hint="eastAsia" w:cs="Times New Roman" w:asciiTheme="minorEastAsia" w:hAnsiTheme="minorEastAsia" w:eastAsiaTheme="minorEastAsia"/>
          <w:color w:val="auto"/>
          <w:kern w:val="0"/>
          <w:sz w:val="21"/>
          <w:szCs w:val="21"/>
          <w:highlight w:val="none"/>
        </w:rPr>
        <w:t>建设方案，但对项目建设目标、建设思路、整体架构、特色与创新、建设推进计划</w:t>
      </w:r>
      <w:r>
        <w:rPr>
          <w:rFonts w:eastAsia="Times New Roman" w:cs="Times New Roman" w:asciiTheme="minorEastAsia" w:hAnsiTheme="minorEastAsia"/>
          <w:color w:val="auto"/>
          <w:kern w:val="0"/>
          <w:sz w:val="21"/>
          <w:szCs w:val="21"/>
          <w:highlight w:val="none"/>
        </w:rPr>
        <w:t>等</w:t>
      </w:r>
      <w:r>
        <w:rPr>
          <w:rFonts w:hint="eastAsia" w:cs="Times New Roman" w:asciiTheme="minorEastAsia" w:hAnsiTheme="minorEastAsia" w:eastAsiaTheme="minorEastAsia"/>
          <w:color w:val="auto"/>
          <w:kern w:val="0"/>
          <w:sz w:val="21"/>
          <w:szCs w:val="21"/>
          <w:highlight w:val="none"/>
        </w:rPr>
        <w:t>未提供详细描述，或未包含</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门课程详细完整的项目、任务、知识点和技能点，以及各知识点和技能点所对应的资源形式和最低数量方案。</w:t>
      </w:r>
    </w:p>
    <w:p>
      <w:pPr>
        <w:spacing w:line="360" w:lineRule="auto"/>
        <w:ind w:firstLine="42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）二档（</w:t>
      </w:r>
      <w:r>
        <w:rPr>
          <w:rFonts w:cs="Times New Roman" w:asciiTheme="minorEastAsia" w:hAnsiTheme="minorEastAsia" w:eastAsiaTheme="minorEastAsia"/>
          <w:color w:val="auto"/>
          <w:kern w:val="0"/>
          <w:sz w:val="21"/>
          <w:szCs w:val="21"/>
          <w:highlight w:val="none"/>
        </w:rPr>
        <w:t>14</w:t>
      </w:r>
      <w:r>
        <w:rPr>
          <w:rFonts w:hint="eastAsia" w:cs="Times New Roman"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w:t>
      </w:r>
      <w:r>
        <w:rPr>
          <w:rFonts w:hint="eastAsia" w:cs="Times New Roman" w:asciiTheme="minorEastAsia" w:hAnsiTheme="minorEastAsia" w:eastAsiaTheme="minorEastAsia"/>
          <w:color w:val="auto"/>
          <w:kern w:val="0"/>
          <w:sz w:val="20"/>
          <w:szCs w:val="21"/>
          <w:highlight w:val="none"/>
        </w:rPr>
        <w:t>:</w:t>
      </w:r>
      <w:r>
        <w:rPr>
          <w:rFonts w:hint="eastAsia" w:cs="Times New Roman" w:asciiTheme="minorEastAsia" w:hAnsiTheme="minorEastAsia" w:eastAsiaTheme="minorEastAsia"/>
          <w:color w:val="auto"/>
          <w:kern w:val="0"/>
          <w:sz w:val="21"/>
          <w:szCs w:val="21"/>
          <w:highlight w:val="none"/>
        </w:rPr>
        <w:t>提供了南宁职业技术学院</w:t>
      </w:r>
      <w:r>
        <w:rPr>
          <w:rFonts w:cs="Times New Roman" w:asciiTheme="minorEastAsia" w:hAnsiTheme="minorEastAsia" w:eastAsiaTheme="minorEastAsia"/>
          <w:color w:val="auto"/>
          <w:kern w:val="0"/>
          <w:sz w:val="21"/>
          <w:szCs w:val="21"/>
          <w:highlight w:val="none"/>
        </w:rPr>
        <w:t>Web前端开发1+X课程一体项目</w:t>
      </w:r>
      <w:r>
        <w:rPr>
          <w:rFonts w:hint="eastAsia" w:cs="Times New Roman" w:asciiTheme="minorEastAsia" w:hAnsiTheme="minorEastAsia" w:eastAsiaTheme="minorEastAsia"/>
          <w:color w:val="auto"/>
          <w:kern w:val="0"/>
          <w:sz w:val="21"/>
          <w:szCs w:val="21"/>
          <w:highlight w:val="none"/>
        </w:rPr>
        <w:t>建设方案，对项目建设目标、建设思路、整体架构、特色与创新、建设推进计划</w:t>
      </w:r>
      <w:r>
        <w:rPr>
          <w:rFonts w:eastAsia="Times New Roman" w:cs="Times New Roman" w:asciiTheme="minorEastAsia" w:hAnsiTheme="minorEastAsia"/>
          <w:color w:val="auto"/>
          <w:kern w:val="0"/>
          <w:sz w:val="21"/>
          <w:szCs w:val="21"/>
          <w:highlight w:val="none"/>
        </w:rPr>
        <w:t>等</w:t>
      </w:r>
      <w:r>
        <w:rPr>
          <w:rFonts w:hint="eastAsia" w:cs="Times New Roman" w:asciiTheme="minorEastAsia" w:hAnsiTheme="minorEastAsia" w:eastAsiaTheme="minorEastAsia"/>
          <w:color w:val="auto"/>
          <w:kern w:val="0"/>
          <w:sz w:val="21"/>
          <w:szCs w:val="21"/>
          <w:highlight w:val="none"/>
        </w:rPr>
        <w:t>有基本描述，人才培养方案和资源建设方案无漏项，基本满足采购文件要求，内容无前后矛盾。技术方案未完整体现与职业标准、技术标准、专业特点、区域经济需求的吻合程度，</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建设方案中</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门课程的项目、任务、知识点和技能点，以及各知识点和技能点所对应的资源形式和最低数量方案的设计较为一般。</w:t>
      </w:r>
    </w:p>
    <w:p>
      <w:pPr>
        <w:spacing w:line="360" w:lineRule="auto"/>
        <w:ind w:firstLine="42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）三档（</w:t>
      </w:r>
      <w:r>
        <w:rPr>
          <w:rFonts w:cs="Times New Roman" w:asciiTheme="minorEastAsia" w:hAnsiTheme="minorEastAsia" w:eastAsiaTheme="minorEastAsia"/>
          <w:color w:val="auto"/>
          <w:kern w:val="0"/>
          <w:sz w:val="21"/>
          <w:szCs w:val="21"/>
          <w:highlight w:val="none"/>
        </w:rPr>
        <w:t>20</w:t>
      </w:r>
      <w:r>
        <w:rPr>
          <w:rFonts w:hint="eastAsia" w:cs="Times New Roman" w:asciiTheme="minorEastAsia" w:hAnsiTheme="minorEastAsia" w:eastAsiaTheme="minorEastAsia"/>
          <w:color w:val="auto"/>
          <w:kern w:val="0"/>
          <w:sz w:val="21"/>
          <w:szCs w:val="21"/>
          <w:highlight w:val="none"/>
        </w:rPr>
        <w:t>分）：提供了南宁职业技术学院</w:t>
      </w:r>
      <w:r>
        <w:rPr>
          <w:rFonts w:cs="Times New Roman" w:asciiTheme="minorEastAsia" w:hAnsiTheme="minorEastAsia" w:eastAsiaTheme="minorEastAsia"/>
          <w:color w:val="auto"/>
          <w:kern w:val="0"/>
          <w:sz w:val="21"/>
          <w:szCs w:val="21"/>
          <w:highlight w:val="none"/>
        </w:rPr>
        <w:t>Web前端开发1+X课程一体项目</w:t>
      </w:r>
      <w:r>
        <w:rPr>
          <w:rFonts w:hint="eastAsia" w:cs="Times New Roman" w:asciiTheme="minorEastAsia" w:hAnsiTheme="minorEastAsia" w:eastAsiaTheme="minorEastAsia"/>
          <w:color w:val="auto"/>
          <w:kern w:val="0"/>
          <w:sz w:val="21"/>
          <w:szCs w:val="21"/>
          <w:highlight w:val="none"/>
        </w:rPr>
        <w:t>建设方案，对项目建设目标、建设思路、整体架构、特色与创新、建设推进计划</w:t>
      </w:r>
      <w:r>
        <w:rPr>
          <w:rFonts w:eastAsia="Times New Roman" w:cs="Times New Roman" w:asciiTheme="minorEastAsia" w:hAnsiTheme="minorEastAsia"/>
          <w:color w:val="auto"/>
          <w:kern w:val="0"/>
          <w:sz w:val="21"/>
          <w:szCs w:val="21"/>
          <w:highlight w:val="none"/>
        </w:rPr>
        <w:t>等</w:t>
      </w:r>
      <w:r>
        <w:rPr>
          <w:rFonts w:hint="eastAsia" w:cs="Times New Roman" w:asciiTheme="minorEastAsia" w:hAnsiTheme="minorEastAsia" w:eastAsiaTheme="minorEastAsia"/>
          <w:color w:val="auto"/>
          <w:kern w:val="0"/>
          <w:sz w:val="21"/>
          <w:szCs w:val="21"/>
          <w:highlight w:val="none"/>
        </w:rPr>
        <w:t>有详细的阐述。投标方案点对点应答详尽、明晰，满足采购文件要求，内容齐全、表述准确、条理清晰，内容无前后矛盾，符合采购文件要求。建设方案与与职业标准、技术标准、专业特点、区域经济需求高度吻合，体现方案的科学性、规范性、先进性、实用性。方案科学合理、具有一定的前瞻性，充分考虑了</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建设的需求。</w:t>
      </w:r>
    </w:p>
    <w:p>
      <w:pPr>
        <w:spacing w:line="360" w:lineRule="auto"/>
        <w:ind w:firstLine="514" w:firstLineChars="245"/>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）新技术应用能力和资源整合利用的能力（</w:t>
      </w:r>
      <w:r>
        <w:rPr>
          <w:rFonts w:hint="eastAsia" w:cs="Times New Roman" w:asciiTheme="minorEastAsia" w:hAnsiTheme="minorEastAsia" w:eastAsiaTheme="minorEastAsia"/>
          <w:color w:val="auto"/>
          <w:kern w:val="0"/>
          <w:sz w:val="21"/>
          <w:szCs w:val="21"/>
          <w:highlight w:val="none"/>
          <w:lang w:val="en-US" w:eastAsia="zh-CN"/>
        </w:rPr>
        <w:t>12</w:t>
      </w:r>
      <w:r>
        <w:rPr>
          <w:rFonts w:hint="eastAsia" w:cs="Times New Roman" w:asciiTheme="minorEastAsia" w:hAnsiTheme="minorEastAsia" w:eastAsiaTheme="minorEastAsia"/>
          <w:color w:val="auto"/>
          <w:kern w:val="0"/>
          <w:sz w:val="21"/>
          <w:szCs w:val="21"/>
          <w:highlight w:val="none"/>
        </w:rPr>
        <w:t>分）</w:t>
      </w:r>
    </w:p>
    <w:p>
      <w:pPr>
        <w:spacing w:line="360" w:lineRule="auto"/>
        <w:ind w:firstLine="407" w:firstLineChars="194"/>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）一档（</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建设中未体现</w:t>
      </w:r>
      <w:r>
        <w:rPr>
          <w:rFonts w:cs="Times New Roman" w:asciiTheme="minorEastAsia" w:hAnsiTheme="minorEastAsia" w:eastAsiaTheme="minorEastAsia"/>
          <w:color w:val="auto"/>
          <w:kern w:val="0"/>
          <w:sz w:val="21"/>
          <w:szCs w:val="21"/>
          <w:highlight w:val="none"/>
        </w:rPr>
        <w:t>Html5、Vue、ES5等最新技术</w:t>
      </w:r>
      <w:r>
        <w:rPr>
          <w:rFonts w:hint="eastAsia" w:cs="Times New Roman" w:asciiTheme="minorEastAsia" w:hAnsiTheme="minorEastAsia" w:eastAsiaTheme="minorEastAsia"/>
          <w:color w:val="auto"/>
          <w:kern w:val="0"/>
          <w:sz w:val="21"/>
          <w:szCs w:val="21"/>
          <w:highlight w:val="none"/>
        </w:rPr>
        <w:t>的应用，对新技术应用未提出针对性方案。方案无法证明能够满足标书中对该项技术应用的要求。</w:t>
      </w:r>
    </w:p>
    <w:p>
      <w:pPr>
        <w:spacing w:line="360" w:lineRule="auto"/>
        <w:ind w:firstLine="407" w:firstLineChars="194"/>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）二档（</w:t>
      </w:r>
      <w:r>
        <w:rPr>
          <w:rFonts w:cs="Times New Roman" w:asciiTheme="minorEastAsia" w:hAnsiTheme="minorEastAsia" w:eastAsiaTheme="minorEastAsia"/>
          <w:color w:val="auto"/>
          <w:kern w:val="0"/>
          <w:sz w:val="21"/>
          <w:szCs w:val="21"/>
          <w:highlight w:val="none"/>
        </w:rPr>
        <w:t>6</w:t>
      </w:r>
      <w:r>
        <w:rPr>
          <w:rFonts w:hint="eastAsia" w:cs="Times New Roman"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建设中未体现</w:t>
      </w:r>
      <w:r>
        <w:rPr>
          <w:rFonts w:cs="Times New Roman" w:asciiTheme="minorEastAsia" w:hAnsiTheme="minorEastAsia" w:eastAsiaTheme="minorEastAsia"/>
          <w:color w:val="auto"/>
          <w:kern w:val="0"/>
          <w:sz w:val="21"/>
          <w:szCs w:val="21"/>
          <w:highlight w:val="none"/>
        </w:rPr>
        <w:t>Html5、Vue、ES5等最新技术</w:t>
      </w:r>
      <w:r>
        <w:rPr>
          <w:rFonts w:hint="eastAsia" w:cs="Times New Roman" w:asciiTheme="minorEastAsia" w:hAnsiTheme="minorEastAsia" w:eastAsiaTheme="minorEastAsia"/>
          <w:color w:val="auto"/>
          <w:kern w:val="0"/>
          <w:sz w:val="21"/>
          <w:szCs w:val="21"/>
          <w:highlight w:val="none"/>
        </w:rPr>
        <w:t>的应用，但与实际职业岗位技能标准、技术标准吻合度不高，参与项目开发的团队的资历证明材料无法证明有掌握相关技术的人员。方案无法证明在</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建设中应用该项新技术的可能性。</w:t>
      </w:r>
    </w:p>
    <w:p>
      <w:pPr>
        <w:spacing w:line="360" w:lineRule="auto"/>
        <w:ind w:firstLine="407" w:firstLineChars="194"/>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）三档（</w:t>
      </w:r>
      <w:r>
        <w:rPr>
          <w:rFonts w:hint="eastAsia" w:cs="Times New Roman" w:asciiTheme="minorEastAsia" w:hAnsiTheme="minorEastAsia" w:eastAsiaTheme="minorEastAsia"/>
          <w:color w:val="auto"/>
          <w:kern w:val="0"/>
          <w:sz w:val="21"/>
          <w:szCs w:val="21"/>
          <w:highlight w:val="none"/>
          <w:lang w:val="en-US" w:eastAsia="zh-CN"/>
        </w:rPr>
        <w:t>12</w:t>
      </w:r>
      <w:r>
        <w:rPr>
          <w:rFonts w:hint="eastAsia" w:cs="Times New Roman"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课程</w:t>
      </w:r>
      <w:r>
        <w:rPr>
          <w:rFonts w:hint="eastAsia" w:cs="Times New Roman" w:asciiTheme="minorEastAsia" w:hAnsiTheme="minorEastAsia" w:eastAsiaTheme="minorEastAsia"/>
          <w:color w:val="auto"/>
          <w:kern w:val="0"/>
          <w:sz w:val="21"/>
          <w:szCs w:val="21"/>
          <w:highlight w:val="none"/>
        </w:rPr>
        <w:t>建设中体现</w:t>
      </w:r>
      <w:r>
        <w:rPr>
          <w:rFonts w:cs="Times New Roman" w:asciiTheme="minorEastAsia" w:hAnsiTheme="minorEastAsia" w:eastAsiaTheme="minorEastAsia"/>
          <w:color w:val="auto"/>
          <w:kern w:val="0"/>
          <w:sz w:val="21"/>
          <w:szCs w:val="21"/>
          <w:highlight w:val="none"/>
        </w:rPr>
        <w:t>Html5、Vue、ES5等最新技术</w:t>
      </w:r>
      <w:r>
        <w:rPr>
          <w:rFonts w:hint="eastAsia" w:cs="Times New Roman" w:asciiTheme="minorEastAsia" w:hAnsiTheme="minorEastAsia" w:eastAsiaTheme="minorEastAsia"/>
          <w:color w:val="auto"/>
          <w:kern w:val="0"/>
          <w:sz w:val="21"/>
          <w:szCs w:val="21"/>
          <w:highlight w:val="none"/>
        </w:rPr>
        <w:t>的应用，与实际职业岗位技能标准、技术标准吻合度较高，参与项目开发的团队的资历证明材料能证明有掌握相关技术的人员，具备相关开发能力，方案可行，并在微课</w:t>
      </w:r>
      <w:r>
        <w:rPr>
          <w:rFonts w:eastAsia="Times New Roman" w:cs="Times New Roman" w:asciiTheme="minorEastAsia" w:hAnsiTheme="minorEastAsia"/>
          <w:color w:val="auto"/>
          <w:kern w:val="0"/>
          <w:sz w:val="21"/>
          <w:szCs w:val="21"/>
          <w:highlight w:val="none"/>
        </w:rPr>
        <w:t>演示</w:t>
      </w:r>
      <w:r>
        <w:rPr>
          <w:rFonts w:hint="eastAsia" w:cs="Times New Roman" w:asciiTheme="minorEastAsia" w:hAnsiTheme="minorEastAsia" w:eastAsiaTheme="minorEastAsia"/>
          <w:color w:val="auto"/>
          <w:kern w:val="0"/>
          <w:sz w:val="21"/>
          <w:szCs w:val="21"/>
          <w:highlight w:val="none"/>
        </w:rPr>
        <w:t>视频中体现这部分新技术应用情况。</w:t>
      </w:r>
    </w:p>
    <w:p>
      <w:pPr>
        <w:spacing w:line="360" w:lineRule="auto"/>
        <w:ind w:firstLine="514" w:firstLineChars="245"/>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）项目组人员投入及素质情况（</w:t>
      </w:r>
      <w:r>
        <w:rPr>
          <w:rFonts w:cs="Times New Roman" w:asciiTheme="minorEastAsia" w:hAnsiTheme="minorEastAsia" w:eastAsiaTheme="minorEastAsia"/>
          <w:color w:val="auto"/>
          <w:kern w:val="0"/>
          <w:sz w:val="21"/>
          <w:szCs w:val="21"/>
          <w:highlight w:val="none"/>
        </w:rPr>
        <w:t>10</w:t>
      </w:r>
      <w:r>
        <w:rPr>
          <w:rFonts w:hint="eastAsia" w:cs="Times New Roman" w:asciiTheme="minorEastAsia" w:hAnsiTheme="minorEastAsia" w:eastAsiaTheme="minorEastAsia"/>
          <w:color w:val="auto"/>
          <w:kern w:val="0"/>
          <w:sz w:val="21"/>
          <w:szCs w:val="21"/>
          <w:highlight w:val="none"/>
        </w:rPr>
        <w:t>分）</w:t>
      </w:r>
    </w:p>
    <w:p>
      <w:pPr>
        <w:spacing w:line="360" w:lineRule="auto"/>
        <w:ind w:firstLine="420" w:firstLineChars="200"/>
        <w:rPr>
          <w:rFonts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 xml:space="preserve">（1） </w:t>
      </w:r>
      <w:r>
        <w:rPr>
          <w:rFonts w:hint="eastAsia" w:cs="宋体" w:asciiTheme="minorEastAsia" w:hAnsiTheme="minorEastAsia" w:eastAsiaTheme="minorEastAsia"/>
          <w:color w:val="auto"/>
          <w:kern w:val="0"/>
          <w:sz w:val="21"/>
          <w:szCs w:val="21"/>
          <w:highlight w:val="none"/>
        </w:rPr>
        <w:t>课程专家</w:t>
      </w:r>
      <w:r>
        <w:rPr>
          <w:rFonts w:cs="Times New Roman" w:asciiTheme="minorEastAsia" w:hAnsiTheme="minorEastAsia" w:eastAsiaTheme="minorEastAsia"/>
          <w:color w:val="auto"/>
          <w:kern w:val="0"/>
          <w:sz w:val="21"/>
          <w:szCs w:val="21"/>
          <w:highlight w:val="none"/>
        </w:rPr>
        <w:t>至少3人，</w:t>
      </w:r>
      <w:r>
        <w:rPr>
          <w:rFonts w:hint="eastAsia" w:cs="宋体" w:asciiTheme="minorEastAsia" w:hAnsiTheme="minorEastAsia" w:eastAsiaTheme="minorEastAsia"/>
          <w:color w:val="auto"/>
          <w:kern w:val="0"/>
          <w:sz w:val="21"/>
          <w:szCs w:val="21"/>
          <w:highlight w:val="none"/>
        </w:rPr>
        <w:t>要求指导过前端开发相关比赛或具有</w:t>
      </w:r>
      <w:r>
        <w:rPr>
          <w:rFonts w:cs="Times New Roman" w:asciiTheme="minorEastAsia" w:hAnsiTheme="minorEastAsia" w:eastAsiaTheme="minorEastAsia"/>
          <w:color w:val="auto"/>
          <w:kern w:val="0"/>
          <w:sz w:val="21"/>
          <w:szCs w:val="21"/>
          <w:highlight w:val="none"/>
        </w:rPr>
        <w:t>3</w:t>
      </w:r>
      <w:r>
        <w:rPr>
          <w:rFonts w:hint="eastAsia" w:cs="宋体" w:asciiTheme="minorEastAsia" w:hAnsiTheme="minorEastAsia" w:eastAsiaTheme="minorEastAsia"/>
          <w:color w:val="auto"/>
          <w:kern w:val="0"/>
          <w:sz w:val="21"/>
          <w:szCs w:val="21"/>
          <w:highlight w:val="none"/>
        </w:rPr>
        <w:t>年前端开发领域项目的工作，</w:t>
      </w:r>
      <w:r>
        <w:rPr>
          <w:rFonts w:cs="Times New Roman" w:asciiTheme="minorEastAsia" w:hAnsiTheme="minorEastAsia" w:eastAsiaTheme="minorEastAsia"/>
          <w:color w:val="auto"/>
          <w:kern w:val="0"/>
          <w:sz w:val="21"/>
          <w:szCs w:val="21"/>
          <w:highlight w:val="none"/>
        </w:rPr>
        <w:t>满足得6分；</w:t>
      </w:r>
      <w:r>
        <w:rPr>
          <w:rFonts w:hint="eastAsia" w:cs="宋体" w:asciiTheme="minorEastAsia" w:hAnsiTheme="minorEastAsia" w:eastAsiaTheme="minorEastAsia"/>
          <w:color w:val="auto"/>
          <w:kern w:val="0"/>
          <w:sz w:val="21"/>
          <w:szCs w:val="21"/>
          <w:highlight w:val="none"/>
        </w:rPr>
        <w:t>（要求提供获奖证书，或者公司开具的工作经历证明）</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（2）</w:t>
      </w:r>
      <w:r>
        <w:rPr>
          <w:rFonts w:cs="Times New Roman" w:asciiTheme="minorEastAsia" w:hAnsiTheme="minorEastAsia" w:eastAsiaTheme="minorEastAsia"/>
          <w:color w:val="auto"/>
          <w:kern w:val="0"/>
          <w:sz w:val="21"/>
          <w:szCs w:val="21"/>
          <w:highlight w:val="none"/>
        </w:rPr>
        <w:t>PPT设计及界面设计人员至少1人，要求艺术设计专业，满足得1分；</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（3）</w:t>
      </w:r>
      <w:r>
        <w:rPr>
          <w:rFonts w:cs="Times New Roman" w:asciiTheme="minorEastAsia" w:hAnsiTheme="minorEastAsia" w:eastAsiaTheme="minorEastAsia"/>
          <w:color w:val="auto"/>
          <w:kern w:val="0"/>
          <w:sz w:val="21"/>
          <w:szCs w:val="21"/>
          <w:highlight w:val="none"/>
        </w:rPr>
        <w:t>其他技术人员至少3人，满足得3分。</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（以上所有人员需提供学历证书或资格证书复印件并加盖公章，</w:t>
      </w:r>
      <w:r>
        <w:rPr>
          <w:rFonts w:hint="eastAsia" w:cs="Times New Roman" w:asciiTheme="minorEastAsia" w:hAnsiTheme="minorEastAsia" w:eastAsiaTheme="minorEastAsia"/>
          <w:color w:val="auto"/>
          <w:kern w:val="0"/>
          <w:sz w:val="21"/>
          <w:szCs w:val="21"/>
          <w:highlight w:val="none"/>
        </w:rPr>
        <w:t>并提供劳动合同复印件</w:t>
      </w:r>
      <w:r>
        <w:rPr>
          <w:rFonts w:cs="Times New Roman" w:asciiTheme="minorEastAsia" w:hAnsiTheme="minorEastAsia" w:eastAsiaTheme="minorEastAsia"/>
          <w:color w:val="auto"/>
          <w:kern w:val="0"/>
          <w:sz w:val="21"/>
          <w:szCs w:val="21"/>
          <w:highlight w:val="none"/>
        </w:rPr>
        <w:t>）</w:t>
      </w:r>
    </w:p>
    <w:p>
      <w:pPr>
        <w:spacing w:line="360" w:lineRule="auto"/>
        <w:ind w:firstLine="103" w:firstLineChars="49"/>
        <w:rPr>
          <w:rFonts w:eastAsia="Times New Roman" w:cs="Times New Roman" w:asciiTheme="minorEastAsia" w:hAnsiTheme="minorEastAsia"/>
          <w:b/>
          <w:color w:val="auto"/>
          <w:kern w:val="0"/>
          <w:sz w:val="20"/>
          <w:szCs w:val="21"/>
          <w:highlight w:val="none"/>
        </w:rPr>
      </w:pPr>
      <w:r>
        <w:rPr>
          <w:rFonts w:cs="Times New Roman" w:asciiTheme="minorEastAsia" w:hAnsiTheme="minorEastAsia" w:eastAsiaTheme="minorEastAsia"/>
          <w:b/>
          <w:color w:val="auto"/>
          <w:kern w:val="0"/>
          <w:sz w:val="21"/>
          <w:szCs w:val="21"/>
          <w:highlight w:val="none"/>
        </w:rPr>
        <w:t>3</w:t>
      </w:r>
      <w:r>
        <w:rPr>
          <w:rFonts w:hint="eastAsia" w:cs="Times New Roman" w:asciiTheme="minorEastAsia" w:hAnsiTheme="minorEastAsia" w:eastAsiaTheme="minorEastAsia"/>
          <w:b/>
          <w:color w:val="auto"/>
          <w:kern w:val="0"/>
          <w:sz w:val="21"/>
          <w:szCs w:val="21"/>
          <w:highlight w:val="none"/>
        </w:rPr>
        <w:t>、商务分…………………………………………………………………………………………</w:t>
      </w:r>
      <w:r>
        <w:rPr>
          <w:rFonts w:cs="Times New Roman" w:asciiTheme="minorEastAsia" w:hAnsiTheme="minorEastAsia" w:eastAsiaTheme="minorEastAsia"/>
          <w:b/>
          <w:color w:val="auto"/>
          <w:kern w:val="0"/>
          <w:sz w:val="21"/>
          <w:szCs w:val="21"/>
          <w:highlight w:val="none"/>
        </w:rPr>
        <w:t>3</w:t>
      </w:r>
      <w:r>
        <w:rPr>
          <w:rFonts w:hint="eastAsia" w:cs="Times New Roman" w:asciiTheme="minorEastAsia" w:hAnsiTheme="minorEastAsia" w:eastAsiaTheme="minorEastAsia"/>
          <w:b/>
          <w:color w:val="auto"/>
          <w:kern w:val="0"/>
          <w:sz w:val="21"/>
          <w:szCs w:val="21"/>
          <w:highlight w:val="none"/>
          <w:lang w:val="en-US" w:eastAsia="zh-CN"/>
        </w:rPr>
        <w:t>2</w:t>
      </w:r>
      <w:r>
        <w:rPr>
          <w:rFonts w:hint="eastAsia" w:cs="Times New Roman" w:asciiTheme="minorEastAsia" w:hAnsiTheme="minorEastAsia" w:eastAsiaTheme="minorEastAsia"/>
          <w:b/>
          <w:color w:val="auto"/>
          <w:kern w:val="0"/>
          <w:sz w:val="21"/>
          <w:szCs w:val="21"/>
          <w:highlight w:val="none"/>
        </w:rPr>
        <w:t>分</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）投标人在本地设有服务机构的得2分（提供营业执照或由当地政府机关开具的办事机构相关证明材料复印件，原件备查）。</w:t>
      </w:r>
    </w:p>
    <w:p>
      <w:pPr>
        <w:spacing w:line="360" w:lineRule="auto"/>
        <w:ind w:firstLine="420" w:firstLineChars="200"/>
        <w:rPr>
          <w:rFonts w:eastAsia="Times New Roman" w:cs="Times New Roman" w:asciiTheme="minorEastAsia" w:hAnsiTheme="minorEastAsia"/>
          <w:color w:val="auto"/>
          <w:kern w:val="0"/>
          <w:sz w:val="20"/>
          <w:szCs w:val="21"/>
          <w:highlight w:val="none"/>
        </w:rPr>
      </w:pPr>
      <w:r>
        <w:rPr>
          <w:rFonts w:eastAsia="Times New Roman" w:cs="Times New Roman" w:asciiTheme="minorEastAsia" w:hAnsi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）投标人拟投入本项目的相关专业技术人员有专业技术证书的，</w:t>
      </w:r>
      <w:r>
        <w:rPr>
          <w:rFonts w:cs="Times New Roman" w:asciiTheme="minorEastAsia" w:hAnsiTheme="minorEastAsia" w:eastAsiaTheme="minorEastAsia"/>
          <w:color w:val="auto"/>
          <w:kern w:val="0"/>
          <w:sz w:val="21"/>
          <w:szCs w:val="21"/>
          <w:highlight w:val="none"/>
        </w:rPr>
        <w:t>计</w:t>
      </w:r>
      <w:r>
        <w:rPr>
          <w:rFonts w:hint="eastAsia" w:cs="Times New Roman" w:asciiTheme="minorEastAsia" w:hAnsiTheme="minorEastAsia" w:eastAsiaTheme="minorEastAsia"/>
          <w:color w:val="auto"/>
          <w:kern w:val="0"/>
          <w:sz w:val="21"/>
          <w:szCs w:val="21"/>
          <w:highlight w:val="none"/>
        </w:rPr>
        <w:t>算机类高级工程师证，每个证得</w:t>
      </w:r>
      <w:r>
        <w:rPr>
          <w:rFonts w:eastAsia="Times New Roman" w:cs="Times New Roman" w:asciiTheme="minorEastAsia" w:hAnsi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分；计算机类工程师证每人得</w:t>
      </w:r>
      <w:r>
        <w:rPr>
          <w:rFonts w:eastAsia="Times New Roman" w:cs="Times New Roman" w:asciiTheme="minorEastAsia" w:hAnsi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分。本项满分共</w:t>
      </w:r>
      <w:r>
        <w:rPr>
          <w:rFonts w:eastAsia="Times New Roman" w:cs="Times New Roman" w:asciiTheme="minorEastAsia" w:hAnsiTheme="minorEastAsia"/>
          <w:color w:val="auto"/>
          <w:kern w:val="0"/>
          <w:sz w:val="21"/>
          <w:szCs w:val="21"/>
          <w:highlight w:val="none"/>
        </w:rPr>
        <w:t>6</w:t>
      </w:r>
      <w:r>
        <w:rPr>
          <w:rFonts w:hint="eastAsia" w:cs="Times New Roman" w:asciiTheme="minorEastAsia" w:hAnsiTheme="minorEastAsia" w:eastAsiaTheme="minorEastAsia"/>
          <w:color w:val="auto"/>
          <w:kern w:val="0"/>
          <w:sz w:val="21"/>
          <w:szCs w:val="21"/>
          <w:highlight w:val="none"/>
        </w:rPr>
        <w:t>分。（需提供专业人员花名册包括姓名、性别、出生日期、学历，提供证书及所有人员</w:t>
      </w:r>
      <w:r>
        <w:rPr>
          <w:rFonts w:cs="Times New Roman" w:asciiTheme="minorEastAsia" w:hAnsiTheme="minorEastAsia" w:eastAsiaTheme="minorEastAsia"/>
          <w:color w:val="auto"/>
          <w:kern w:val="0"/>
          <w:sz w:val="21"/>
          <w:szCs w:val="21"/>
          <w:highlight w:val="none"/>
        </w:rPr>
        <w:t>2020年度内连续3个月</w:t>
      </w:r>
      <w:r>
        <w:rPr>
          <w:rFonts w:hint="eastAsia" w:cs="Times New Roman" w:asciiTheme="minorEastAsia" w:hAnsiTheme="minorEastAsia" w:eastAsiaTheme="minorEastAsia"/>
          <w:color w:val="auto"/>
          <w:kern w:val="0"/>
          <w:sz w:val="21"/>
          <w:szCs w:val="21"/>
          <w:highlight w:val="none"/>
        </w:rPr>
        <w:t>在竞标单位的社保缴费记录复印件，原件备查）。</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eastAsia="Times New Roman" w:cs="宋体" w:asciiTheme="minorEastAsia" w:hAnsiTheme="minorEastAsia"/>
          <w:color w:val="auto"/>
          <w:kern w:val="0"/>
          <w:sz w:val="21"/>
          <w:szCs w:val="21"/>
          <w:highlight w:val="none"/>
        </w:rPr>
        <w:t>3</w:t>
      </w:r>
      <w:r>
        <w:rPr>
          <w:rFonts w:hint="eastAsia" w:cs="宋体" w:asciiTheme="minorEastAsia" w:hAnsiTheme="minorEastAsia" w:eastAsiaTheme="minorEastAsia"/>
          <w:color w:val="auto"/>
          <w:kern w:val="0"/>
          <w:sz w:val="21"/>
          <w:szCs w:val="21"/>
          <w:highlight w:val="none"/>
        </w:rPr>
        <w:t>）投标人</w:t>
      </w:r>
      <w:r>
        <w:rPr>
          <w:rFonts w:cs="Times New Roman" w:asciiTheme="minorEastAsia" w:hAnsiTheme="minorEastAsia" w:eastAsiaTheme="minorEastAsia"/>
          <w:color w:val="auto"/>
          <w:kern w:val="0"/>
          <w:sz w:val="21"/>
          <w:szCs w:val="21"/>
          <w:highlight w:val="none"/>
        </w:rPr>
        <w:t>2017</w:t>
      </w:r>
      <w:r>
        <w:rPr>
          <w:rFonts w:hint="eastAsia" w:cs="宋体" w:asciiTheme="minorEastAsia" w:hAnsiTheme="minorEastAsia" w:eastAsiaTheme="minorEastAsia"/>
          <w:color w:val="auto"/>
          <w:kern w:val="0"/>
          <w:sz w:val="21"/>
          <w:szCs w:val="21"/>
          <w:highlight w:val="none"/>
        </w:rPr>
        <w:t>年以来具有前端开发领域类别相关业绩的，每项计算机</w:t>
      </w:r>
      <w:r>
        <w:rPr>
          <w:rFonts w:hint="eastAsia" w:cs="宋体" w:asciiTheme="minorEastAsia" w:hAnsiTheme="minorEastAsia" w:eastAsiaTheme="minorEastAsia"/>
          <w:color w:val="auto"/>
          <w:kern w:val="0"/>
          <w:sz w:val="21"/>
          <w:szCs w:val="21"/>
          <w:highlight w:val="none"/>
          <w:lang w:val="en-US" w:eastAsia="zh-CN"/>
        </w:rPr>
        <w:t>类</w:t>
      </w:r>
      <w:r>
        <w:rPr>
          <w:rFonts w:hint="eastAsia" w:cs="宋体" w:asciiTheme="minorEastAsia" w:hAnsiTheme="minorEastAsia" w:eastAsiaTheme="minorEastAsia"/>
          <w:color w:val="auto"/>
          <w:kern w:val="0"/>
          <w:sz w:val="21"/>
          <w:szCs w:val="21"/>
          <w:highlight w:val="none"/>
        </w:rPr>
        <w:t>业绩得2分。</w:t>
      </w:r>
      <w:r>
        <w:rPr>
          <w:rFonts w:cs="Times New Roman" w:asciiTheme="minorEastAsia" w:hAnsiTheme="minorEastAsia" w:eastAsiaTheme="minorEastAsia"/>
          <w:color w:val="auto"/>
          <w:kern w:val="0"/>
          <w:sz w:val="21"/>
          <w:szCs w:val="21"/>
          <w:highlight w:val="none"/>
        </w:rPr>
        <w:br w:type="textWrapping"/>
      </w:r>
      <w:r>
        <w:rPr>
          <w:rFonts w:hint="eastAsia" w:cs="Times New Roman" w:asciiTheme="minorEastAsia" w:hAnsiTheme="minorEastAsia" w:eastAsiaTheme="minorEastAsia"/>
          <w:color w:val="auto"/>
          <w:kern w:val="0"/>
          <w:sz w:val="21"/>
          <w:szCs w:val="21"/>
          <w:highlight w:val="none"/>
        </w:rPr>
        <w:t xml:space="preserve">    </w:t>
      </w:r>
      <w:r>
        <w:rPr>
          <w:rFonts w:eastAsia="Times New Roman" w:cs="Times New Roman" w:asciiTheme="minorEastAsia" w:hAnsiTheme="minorEastAsia"/>
          <w:color w:val="auto"/>
          <w:kern w:val="0"/>
          <w:sz w:val="21"/>
          <w:szCs w:val="21"/>
          <w:highlight w:val="none"/>
        </w:rPr>
        <w:t>4</w:t>
      </w:r>
      <w:r>
        <w:rPr>
          <w:rFonts w:hint="eastAsia" w:cs="宋体" w:asciiTheme="minorEastAsia" w:hAnsiTheme="minorEastAsia" w:eastAsiaTheme="minorEastAsia"/>
          <w:color w:val="auto"/>
          <w:kern w:val="0"/>
          <w:sz w:val="21"/>
          <w:szCs w:val="21"/>
          <w:highlight w:val="none"/>
        </w:rPr>
        <w:t>）投标人</w:t>
      </w:r>
      <w:r>
        <w:rPr>
          <w:rFonts w:cs="Times New Roman" w:asciiTheme="minorEastAsia" w:hAnsiTheme="minorEastAsia" w:eastAsiaTheme="minorEastAsia"/>
          <w:color w:val="auto"/>
          <w:kern w:val="0"/>
          <w:sz w:val="21"/>
          <w:szCs w:val="21"/>
          <w:highlight w:val="none"/>
        </w:rPr>
        <w:t>2017</w:t>
      </w:r>
      <w:r>
        <w:rPr>
          <w:rFonts w:hint="eastAsia" w:cs="宋体" w:asciiTheme="minorEastAsia" w:hAnsiTheme="minorEastAsia" w:eastAsiaTheme="minorEastAsia"/>
          <w:color w:val="auto"/>
          <w:kern w:val="0"/>
          <w:sz w:val="21"/>
          <w:szCs w:val="21"/>
          <w:highlight w:val="none"/>
        </w:rPr>
        <w:t>年以来具有教育类信息类别相关业绩的，每项得2分，最高得</w:t>
      </w:r>
      <w:r>
        <w:rPr>
          <w:rFonts w:eastAsia="Times New Roman" w:cs="Times New Roman" w:asciiTheme="minorEastAsia" w:hAnsiTheme="minorEastAsia"/>
          <w:color w:val="auto"/>
          <w:kern w:val="0"/>
          <w:sz w:val="21"/>
          <w:szCs w:val="21"/>
          <w:highlight w:val="none"/>
        </w:rPr>
        <w:t>6</w:t>
      </w:r>
      <w:r>
        <w:rPr>
          <w:rFonts w:hint="eastAsia" w:cs="宋体" w:asciiTheme="minorEastAsia" w:hAnsiTheme="minorEastAsia" w:eastAsiaTheme="minorEastAsia"/>
          <w:color w:val="auto"/>
          <w:kern w:val="0"/>
          <w:sz w:val="21"/>
          <w:szCs w:val="21"/>
          <w:highlight w:val="none"/>
        </w:rPr>
        <w:t>分。</w:t>
      </w:r>
      <w:r>
        <w:rPr>
          <w:rFonts w:cs="Times New Roman" w:asciiTheme="minorEastAsia" w:hAnsiTheme="minorEastAsia" w:eastAsiaTheme="minorEastAsia"/>
          <w:color w:val="auto"/>
          <w:kern w:val="0"/>
          <w:sz w:val="21"/>
          <w:szCs w:val="21"/>
          <w:highlight w:val="none"/>
        </w:rPr>
        <w:t> </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eastAsia="Times New Roman" w:cs="Times New Roman" w:asciiTheme="minorEastAsia" w:hAnsiTheme="minorEastAsia"/>
          <w:color w:val="auto"/>
          <w:kern w:val="0"/>
          <w:sz w:val="21"/>
          <w:szCs w:val="21"/>
          <w:highlight w:val="none"/>
        </w:rPr>
        <w:t>5</w:t>
      </w:r>
      <w:r>
        <w:rPr>
          <w:rFonts w:hint="eastAsia" w:cs="Times New Roman" w:asciiTheme="minorEastAsia" w:hAnsiTheme="minorEastAsia" w:eastAsiaTheme="minorEastAsia"/>
          <w:color w:val="auto"/>
          <w:kern w:val="0"/>
          <w:sz w:val="21"/>
          <w:szCs w:val="21"/>
          <w:highlight w:val="none"/>
        </w:rPr>
        <w:t>）售后服务方案情况（</w:t>
      </w:r>
      <w:r>
        <w:rPr>
          <w:rFonts w:hint="eastAsia" w:cs="Times New Roman" w:asciiTheme="minorEastAsia" w:hAnsiTheme="minorEastAsia" w:eastAsiaTheme="minorEastAsia"/>
          <w:color w:val="auto"/>
          <w:kern w:val="0"/>
          <w:sz w:val="21"/>
          <w:szCs w:val="21"/>
          <w:highlight w:val="none"/>
          <w:lang w:val="en-US" w:eastAsia="zh-CN"/>
        </w:rPr>
        <w:t>12</w:t>
      </w:r>
      <w:r>
        <w:rPr>
          <w:rFonts w:hint="eastAsia" w:cs="Times New Roman" w:asciiTheme="minorEastAsia" w:hAnsiTheme="minorEastAsia" w:eastAsiaTheme="minorEastAsia"/>
          <w:color w:val="auto"/>
          <w:kern w:val="0"/>
          <w:sz w:val="21"/>
          <w:szCs w:val="21"/>
          <w:highlight w:val="none"/>
        </w:rPr>
        <w:t>分）</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1</w:t>
      </w:r>
      <w:r>
        <w:rPr>
          <w:rFonts w:hint="eastAsia" w:cs="Times New Roman" w:asciiTheme="minorEastAsia" w:hAnsiTheme="minorEastAsia" w:eastAsiaTheme="minorEastAsia"/>
          <w:color w:val="auto"/>
          <w:kern w:val="0"/>
          <w:sz w:val="21"/>
          <w:szCs w:val="21"/>
          <w:highlight w:val="none"/>
        </w:rPr>
        <w:t>）一档（</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分）：投标人提供的售后服务方案和售后服务承诺说明，不能提供服务人员名单及相关证明（要求提供服务人员毕业证或职称证，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2</w:t>
      </w:r>
      <w:r>
        <w:rPr>
          <w:rFonts w:hint="eastAsia" w:cs="Times New Roman" w:asciiTheme="minorEastAsia" w:hAnsiTheme="minorEastAsia" w:eastAsiaTheme="minorEastAsia"/>
          <w:color w:val="auto"/>
          <w:kern w:val="0"/>
          <w:sz w:val="21"/>
          <w:szCs w:val="21"/>
          <w:highlight w:val="none"/>
        </w:rPr>
        <w:t>）二档（</w:t>
      </w:r>
      <w:r>
        <w:rPr>
          <w:rFonts w:cs="Times New Roman" w:asciiTheme="minorEastAsia" w:hAnsiTheme="minorEastAsia" w:eastAsiaTheme="minorEastAsia"/>
          <w:color w:val="auto"/>
          <w:kern w:val="0"/>
          <w:sz w:val="21"/>
          <w:szCs w:val="21"/>
          <w:highlight w:val="none"/>
        </w:rPr>
        <w:t>7</w:t>
      </w:r>
      <w:r>
        <w:rPr>
          <w:rFonts w:hint="eastAsia" w:cs="Times New Roman" w:asciiTheme="minorEastAsia" w:hAnsiTheme="minorEastAsia" w:eastAsiaTheme="minorEastAsia"/>
          <w:color w:val="auto"/>
          <w:kern w:val="0"/>
          <w:sz w:val="21"/>
          <w:szCs w:val="21"/>
          <w:highlight w:val="none"/>
        </w:rPr>
        <w:t>分）：投标人提供的售后服务方案和售后服务承诺说明，提供服务人员名单及相关证明不足3人（要求提供服务人员毕业证或职称证，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w:t>
      </w:r>
    </w:p>
    <w:p>
      <w:pPr>
        <w:spacing w:line="360" w:lineRule="auto"/>
        <w:ind w:left="145" w:leftChars="69" w:firstLine="420" w:firstLineChars="200"/>
        <w:rPr>
          <w:rFonts w:eastAsia="Times New Roman" w:cs="Times New Roman" w:asciiTheme="minorEastAsia" w:hAnsiTheme="minorEastAsia"/>
          <w:color w:val="auto"/>
          <w:kern w:val="0"/>
          <w:sz w:val="20"/>
          <w:szCs w:val="21"/>
          <w:highlight w:val="none"/>
        </w:rPr>
      </w:pPr>
      <w:r>
        <w:rPr>
          <w:rFonts w:hint="eastAsia" w:cs="Times New Roman" w:asciiTheme="minorEastAsia" w:hAnsiTheme="minorEastAsia" w:eastAsiaTheme="minorEastAsia"/>
          <w:color w:val="auto"/>
          <w:kern w:val="0"/>
          <w:sz w:val="21"/>
          <w:szCs w:val="21"/>
          <w:highlight w:val="none"/>
        </w:rPr>
        <w:t>（</w:t>
      </w:r>
      <w:r>
        <w:rPr>
          <w:rFonts w:cs="Times New Roman" w:asciiTheme="minorEastAsia" w:hAnsiTheme="minorEastAsia" w:eastAsiaTheme="minorEastAsia"/>
          <w:color w:val="auto"/>
          <w:kern w:val="0"/>
          <w:sz w:val="21"/>
          <w:szCs w:val="21"/>
          <w:highlight w:val="none"/>
        </w:rPr>
        <w:t>3</w:t>
      </w:r>
      <w:r>
        <w:rPr>
          <w:rFonts w:hint="eastAsia" w:cs="Times New Roman" w:asciiTheme="minorEastAsia" w:hAnsiTheme="minorEastAsia" w:eastAsiaTheme="minorEastAsia"/>
          <w:color w:val="auto"/>
          <w:kern w:val="0"/>
          <w:sz w:val="21"/>
          <w:szCs w:val="21"/>
          <w:highlight w:val="none"/>
        </w:rPr>
        <w:t>）三档（</w:t>
      </w:r>
      <w:r>
        <w:rPr>
          <w:rFonts w:hint="eastAsia" w:cs="Times New Roman" w:asciiTheme="minorEastAsia" w:hAnsiTheme="minorEastAsia" w:eastAsiaTheme="minorEastAsia"/>
          <w:color w:val="auto"/>
          <w:kern w:val="0"/>
          <w:sz w:val="21"/>
          <w:szCs w:val="21"/>
          <w:highlight w:val="none"/>
          <w:lang w:val="en-US" w:eastAsia="zh-CN"/>
        </w:rPr>
        <w:t>12</w:t>
      </w:r>
      <w:r>
        <w:rPr>
          <w:rFonts w:hint="eastAsia" w:cs="Times New Roman" w:asciiTheme="minorEastAsia" w:hAnsiTheme="minorEastAsia" w:eastAsiaTheme="minorEastAsia"/>
          <w:color w:val="auto"/>
          <w:kern w:val="0"/>
          <w:sz w:val="21"/>
          <w:szCs w:val="21"/>
          <w:highlight w:val="none"/>
        </w:rPr>
        <w:t>分）：投标人提供的售后服务方案详细、具体、明确、规范；售后服务承诺完整、可行。维护期内运行维护人员不少于三人，（要求提供服务人员毕业证或职称证，</w:t>
      </w:r>
      <w:r>
        <w:rPr>
          <w:rFonts w:cs="Times New Roman" w:asciiTheme="minorEastAsia" w:hAnsiTheme="minorEastAsia" w:eastAsiaTheme="minorEastAsia"/>
          <w:color w:val="auto"/>
          <w:kern w:val="0"/>
          <w:sz w:val="21"/>
          <w:szCs w:val="21"/>
          <w:highlight w:val="none"/>
        </w:rPr>
        <w:t>2020年度内</w:t>
      </w:r>
      <w:r>
        <w:rPr>
          <w:rFonts w:hint="eastAsia" w:cs="Times New Roman" w:asciiTheme="minorEastAsia" w:hAnsiTheme="minorEastAsia" w:eastAsiaTheme="minorEastAsia"/>
          <w:color w:val="auto"/>
          <w:kern w:val="0"/>
          <w:sz w:val="21"/>
          <w:szCs w:val="21"/>
          <w:highlight w:val="none"/>
        </w:rPr>
        <w:t>的劳动合同等</w:t>
      </w:r>
      <w:r>
        <w:rPr>
          <w:rFonts w:hint="eastAsia" w:cs="Times New Roman" w:asciiTheme="minorEastAsia" w:hAnsiTheme="minorEastAsia" w:eastAsiaTheme="minorEastAsia"/>
          <w:color w:val="auto"/>
          <w:kern w:val="0"/>
          <w:sz w:val="21"/>
          <w:szCs w:val="21"/>
          <w:highlight w:val="none"/>
          <w:lang w:val="en-US" w:eastAsia="zh-CN"/>
        </w:rPr>
        <w:t>证明材料</w:t>
      </w:r>
      <w:r>
        <w:rPr>
          <w:rFonts w:hint="eastAsia" w:cs="Times New Roman" w:asciiTheme="minorEastAsia" w:hAnsiTheme="minorEastAsia" w:eastAsiaTheme="minorEastAsia"/>
          <w:color w:val="auto"/>
          <w:kern w:val="0"/>
          <w:sz w:val="21"/>
          <w:szCs w:val="21"/>
          <w:highlight w:val="none"/>
        </w:rPr>
        <w:t>），提供</w:t>
      </w:r>
      <w:r>
        <w:rPr>
          <w:rFonts w:cs="Times New Roman" w:asciiTheme="minorEastAsia" w:hAnsiTheme="minorEastAsia" w:eastAsiaTheme="minorEastAsia"/>
          <w:color w:val="auto"/>
          <w:kern w:val="0"/>
          <w:sz w:val="21"/>
          <w:szCs w:val="21"/>
          <w:highlight w:val="none"/>
        </w:rPr>
        <w:t>7*24</w:t>
      </w:r>
      <w:r>
        <w:rPr>
          <w:rFonts w:hint="eastAsia" w:cs="Times New Roman" w:asciiTheme="minorEastAsia" w:hAnsiTheme="minorEastAsia" w:eastAsiaTheme="minorEastAsia"/>
          <w:color w:val="auto"/>
          <w:kern w:val="0"/>
          <w:sz w:val="21"/>
          <w:szCs w:val="21"/>
          <w:highlight w:val="none"/>
        </w:rPr>
        <w:t>服务，承诺免费对采购单位的需求变更进行完善，完全满足采购单位的要求。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诚信分………………………………………………（-6分）</w:t>
      </w:r>
    </w:p>
    <w:p>
      <w:pPr>
        <w:spacing w:line="360" w:lineRule="auto"/>
        <w:ind w:firstLine="420" w:firstLineChars="200"/>
        <w:rPr>
          <w:color w:val="auto"/>
          <w:highlight w:val="none"/>
        </w:rPr>
      </w:pPr>
      <w:r>
        <w:rPr>
          <w:rFonts w:ascii="宋体" w:hAnsi="宋体"/>
          <w:color w:val="auto"/>
          <w:szCs w:val="21"/>
          <w:highlight w:val="none"/>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ind w:firstLine="422" w:firstLineChars="200"/>
        <w:rPr>
          <w:rFonts w:eastAsia="Times New Roman" w:cs="Times New Roman" w:asciiTheme="minorEastAsia" w:hAnsiTheme="minorEastAsia"/>
          <w:b/>
          <w:color w:val="auto"/>
          <w:kern w:val="0"/>
          <w:sz w:val="20"/>
          <w:szCs w:val="21"/>
          <w:highlight w:val="none"/>
        </w:rPr>
      </w:pPr>
      <w:r>
        <w:rPr>
          <w:rFonts w:hint="eastAsia" w:cs="Times New Roman" w:asciiTheme="minorEastAsia" w:hAnsiTheme="minorEastAsia" w:eastAsiaTheme="minorEastAsia"/>
          <w:b/>
          <w:color w:val="auto"/>
          <w:kern w:val="0"/>
          <w:sz w:val="21"/>
          <w:szCs w:val="21"/>
          <w:highlight w:val="none"/>
        </w:rPr>
        <w:t>（三）总得分＝</w:t>
      </w:r>
      <w:r>
        <w:rPr>
          <w:rFonts w:cs="Times New Roman" w:asciiTheme="minorEastAsia" w:hAnsiTheme="minorEastAsia" w:eastAsiaTheme="minorEastAsia"/>
          <w:b/>
          <w:color w:val="auto"/>
          <w:kern w:val="0"/>
          <w:sz w:val="21"/>
          <w:szCs w:val="21"/>
          <w:highlight w:val="none"/>
        </w:rPr>
        <w:t>1</w:t>
      </w:r>
      <w:r>
        <w:rPr>
          <w:rFonts w:hint="eastAsia" w:cs="Times New Roman" w:asciiTheme="minorEastAsia" w:hAnsiTheme="minorEastAsia" w:eastAsiaTheme="minorEastAsia"/>
          <w:b/>
          <w:color w:val="auto"/>
          <w:kern w:val="0"/>
          <w:sz w:val="21"/>
          <w:szCs w:val="21"/>
          <w:highlight w:val="none"/>
        </w:rPr>
        <w:t>＋</w:t>
      </w:r>
      <w:r>
        <w:rPr>
          <w:rFonts w:cs="Times New Roman" w:asciiTheme="minorEastAsia" w:hAnsiTheme="minorEastAsia" w:eastAsiaTheme="minorEastAsia"/>
          <w:b/>
          <w:color w:val="auto"/>
          <w:kern w:val="0"/>
          <w:sz w:val="21"/>
          <w:szCs w:val="21"/>
          <w:highlight w:val="none"/>
        </w:rPr>
        <w:t>2</w:t>
      </w:r>
      <w:r>
        <w:rPr>
          <w:rFonts w:hint="eastAsia" w:cs="Times New Roman" w:asciiTheme="minorEastAsia" w:hAnsiTheme="minorEastAsia" w:eastAsiaTheme="minorEastAsia"/>
          <w:b/>
          <w:color w:val="auto"/>
          <w:kern w:val="0"/>
          <w:sz w:val="21"/>
          <w:szCs w:val="21"/>
          <w:highlight w:val="none"/>
        </w:rPr>
        <w:t>＋</w:t>
      </w:r>
      <w:r>
        <w:rPr>
          <w:rFonts w:cs="Times New Roman" w:asciiTheme="minorEastAsia" w:hAnsiTheme="minorEastAsia" w:eastAsiaTheme="minorEastAsia"/>
          <w:b/>
          <w:color w:val="auto"/>
          <w:kern w:val="0"/>
          <w:sz w:val="21"/>
          <w:szCs w:val="21"/>
          <w:highlight w:val="none"/>
        </w:rPr>
        <w:t>3</w:t>
      </w:r>
      <w:r>
        <w:rPr>
          <w:rFonts w:hint="eastAsia" w:cs="Times New Roman" w:asciiTheme="minorEastAsia" w:hAnsiTheme="minorEastAsia"/>
          <w:b/>
          <w:color w:val="auto"/>
          <w:kern w:val="0"/>
          <w:sz w:val="21"/>
          <w:szCs w:val="21"/>
          <w:highlight w:val="none"/>
          <w:lang w:val="en-US" w:eastAsia="zh-CN"/>
        </w:rPr>
        <w:t>+4</w:t>
      </w:r>
      <w:r>
        <w:rPr>
          <w:rFonts w:hint="eastAsia" w:cs="Times New Roman" w:asciiTheme="minorEastAsia" w:hAnsiTheme="minorEastAsia" w:eastAsiaTheme="minorEastAsia"/>
          <w:b/>
          <w:color w:val="auto"/>
          <w:kern w:val="0"/>
          <w:sz w:val="21"/>
          <w:szCs w:val="21"/>
          <w:highlight w:val="none"/>
        </w:rPr>
        <w:t>。</w:t>
      </w:r>
    </w:p>
    <w:p>
      <w:pPr>
        <w:pStyle w:val="18"/>
        <w:spacing w:line="360" w:lineRule="auto"/>
        <w:rPr>
          <w:rFonts w:hint="eastAsia" w:cs="Times New Roman"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kern w:val="0"/>
          <w:sz w:val="21"/>
          <w:szCs w:val="21"/>
          <w:highlight w:val="none"/>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rPr>
          <w:rFonts w:hint="eastAsia" w:cs="Times New Roman" w:asciiTheme="minorEastAsia" w:hAnsiTheme="minorEastAsia" w:eastAsiaTheme="minorEastAsia"/>
          <w:color w:val="auto"/>
          <w:kern w:val="0"/>
          <w:sz w:val="21"/>
          <w:szCs w:val="21"/>
          <w:highlight w:val="none"/>
        </w:rPr>
      </w:pPr>
    </w:p>
    <w:p>
      <w:pPr>
        <w:pStyle w:val="18"/>
        <w:spacing w:line="360" w:lineRule="auto"/>
        <w:jc w:val="center"/>
        <w:rPr>
          <w:rFonts w:hint="eastAsia" w:hAnsi="宋体" w:cs="宋体"/>
          <w:b/>
          <w:bCs/>
          <w:color w:val="auto"/>
          <w:highlight w:val="none"/>
          <w:lang w:val="en-US" w:eastAsia="zh-CN"/>
        </w:rPr>
      </w:pPr>
      <w:r>
        <w:rPr>
          <w:rFonts w:hint="eastAsia" w:hAnsi="宋体" w:cs="宋体"/>
          <w:b/>
          <w:bCs/>
          <w:color w:val="auto"/>
          <w:highlight w:val="none"/>
          <w:lang w:eastAsia="zh-CN"/>
        </w:rPr>
        <w:t>（</w:t>
      </w:r>
      <w:r>
        <w:rPr>
          <w:rFonts w:hint="eastAsia" w:hAnsi="宋体" w:cs="宋体"/>
          <w:b/>
          <w:bCs/>
          <w:color w:val="auto"/>
          <w:highlight w:val="none"/>
          <w:lang w:val="en-US" w:eastAsia="zh-CN"/>
        </w:rPr>
        <w:t>适用D分标）</w:t>
      </w:r>
    </w:p>
    <w:p>
      <w:pPr>
        <w:pStyle w:val="18"/>
        <w:spacing w:line="360" w:lineRule="auto"/>
        <w:rPr>
          <w:rFonts w:hint="eastAsia" w:hAnsi="宋体" w:cs="宋体"/>
          <w:b/>
          <w:bCs/>
          <w:color w:val="auto"/>
          <w:highlight w:val="none"/>
        </w:rPr>
      </w:pP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（一）评标委员会以招标文件为依据，对投标文件进行评审，对投标人的投标报价、技术文件及商务文件等三部分内容按百分制打分，其中价格分</w:t>
      </w:r>
      <w:r>
        <w:rPr>
          <w:rFonts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rPr>
        <w:t>分，技术分</w:t>
      </w:r>
      <w:r>
        <w:rPr>
          <w:rFonts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5分，商务分25分</w:t>
      </w:r>
      <w:r>
        <w:rPr>
          <w:rFonts w:hint="eastAsia" w:ascii="宋体" w:hAnsi="宋体" w:eastAsia="宋体" w:cs="宋体"/>
          <w:color w:val="auto"/>
          <w:kern w:val="0"/>
          <w:sz w:val="21"/>
          <w:szCs w:val="21"/>
          <w:highlight w:val="none"/>
          <w:lang w:eastAsia="zh-CN"/>
        </w:rPr>
        <w:t>、诚信分</w:t>
      </w:r>
      <w:r>
        <w:rPr>
          <w:rFonts w:hint="eastAsia" w:ascii="宋体" w:hAnsi="宋体" w:eastAsia="宋体" w:cs="宋体"/>
          <w:color w:val="auto"/>
          <w:kern w:val="0"/>
          <w:sz w:val="21"/>
          <w:szCs w:val="21"/>
          <w:highlight w:val="none"/>
          <w:lang w:val="en-US" w:eastAsia="zh-CN"/>
        </w:rPr>
        <w:t>-6分</w:t>
      </w:r>
      <w:r>
        <w:rPr>
          <w:rFonts w:hint="eastAsia" w:ascii="宋体" w:hAnsi="宋体" w:eastAsia="宋体" w:cs="宋体"/>
          <w:color w:val="auto"/>
          <w:kern w:val="0"/>
          <w:sz w:val="21"/>
          <w:szCs w:val="21"/>
          <w:highlight w:val="none"/>
        </w:rPr>
        <w:t>。（评标时，对于带有主观因素的评分，由各评委独立进行评价、打分，不允许讨论。）</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（二）评分细则：（按四舍五入取至小数点后四位）</w:t>
      </w:r>
    </w:p>
    <w:p>
      <w:pPr>
        <w:spacing w:line="360" w:lineRule="auto"/>
        <w:ind w:firstLine="422" w:firstLineChars="20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rPr>
        <w:t>、价格分………………………………………………………………………………………</w:t>
      </w:r>
      <w:r>
        <w:rPr>
          <w:rFonts w:ascii="宋体" w:hAnsi="宋体" w:eastAsia="宋体" w:cs="宋体"/>
          <w:b/>
          <w:color w:val="auto"/>
          <w:kern w:val="0"/>
          <w:sz w:val="21"/>
          <w:szCs w:val="21"/>
          <w:highlight w:val="none"/>
        </w:rPr>
        <w:t>30</w:t>
      </w:r>
      <w:r>
        <w:rPr>
          <w:rFonts w:hint="eastAsia" w:ascii="宋体" w:hAnsi="宋体" w:eastAsia="宋体" w:cs="宋体"/>
          <w:b/>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）对小型和微型企业产品的价格给予</w:t>
      </w:r>
      <w:r>
        <w:rPr>
          <w:rFonts w:hint="eastAsia" w:ascii="宋体" w:hAnsi="宋体" w:eastAsia="宋体" w:cs="宋体"/>
          <w:color w:val="auto"/>
          <w:kern w:val="0"/>
          <w:sz w:val="21"/>
          <w:szCs w:val="21"/>
          <w:highlight w:val="none"/>
          <w:lang w:val="en-US" w:eastAsia="zh-CN"/>
        </w:rPr>
        <w:t>10</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的价格扣除，扣除后的价格为评标价，即评标价＝投标报价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10</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要求提供的《投标报价表》和《中小企业声明函》为评分依据）</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）对大中型企业和其他自然人、法人或者其他组织与小型、微型企业组成联合体，且联合体协议中约定小型、微型企业的协议合同金额占到联合体协议合同总金额</w:t>
      </w:r>
      <w:r>
        <w:rPr>
          <w:rFonts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rPr>
        <w:t>以上的，给予</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的价格扣除，扣除后的价格为评标价，即评标价＝投标报价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rPr>
        <w:t>）。（以投标人按第五章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要求提供的《投标报价表》、《中小企业声明函》和《联合体协议书》为评分依据）</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）投标产品提供企业按《关于政府采购支持监狱企业发展有关问题的通知》</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财库</w:t>
      </w:r>
      <w:r>
        <w:rPr>
          <w:rFonts w:ascii="宋体" w:hAnsi="宋体" w:eastAsia="宋体" w:cs="宋体"/>
          <w:color w:val="auto"/>
          <w:kern w:val="0"/>
          <w:sz w:val="21"/>
          <w:szCs w:val="21"/>
          <w:highlight w:val="none"/>
        </w:rPr>
        <w:t>[2014]68</w:t>
      </w:r>
      <w:r>
        <w:rPr>
          <w:rFonts w:hint="eastAsia" w:ascii="宋体" w:hAnsi="宋体" w:eastAsia="宋体" w:cs="宋体"/>
          <w:color w:val="auto"/>
          <w:kern w:val="0"/>
          <w:sz w:val="21"/>
          <w:szCs w:val="21"/>
          <w:highlight w:val="none"/>
        </w:rPr>
        <w:t>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认定为监狱企业的，在政府采购活动中，监狱企业视同小型、微型企业。（以投标人按第五章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要求提供的《报价表》和由省级以上监狱管理局、戒毒管理局</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含新疆生产建设兵团</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出具的属于监狱企业的证明文件为评分依据）</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）投标产品提供企业按《关于促进残疾人就业政府采购政策的通知》</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财库〔</w:t>
      </w:r>
      <w:r>
        <w:rPr>
          <w:rFonts w:ascii="宋体" w:hAnsi="宋体" w:eastAsia="宋体" w:cs="宋体"/>
          <w:color w:val="auto"/>
          <w:kern w:val="0"/>
          <w:sz w:val="21"/>
          <w:szCs w:val="21"/>
          <w:highlight w:val="none"/>
        </w:rPr>
        <w:t>2017</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rPr>
        <w:t>号</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投标文件格式</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要求提供的《报价表》和《残疾人福利性单位声明函》为评分依据）</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）除上述情况外，评标价＝投标报价。</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rPr>
        <w:t>）价格分计算公式：</w:t>
      </w:r>
    </w:p>
    <w:p>
      <w:pPr>
        <w:spacing w:line="360" w:lineRule="auto"/>
        <w:ind w:firstLine="2205" w:firstLineChars="105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投标人最低投标报价金额</w:t>
      </w:r>
    </w:p>
    <w:p>
      <w:pPr>
        <w:spacing w:line="360" w:lineRule="auto"/>
        <w:ind w:firstLine="40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0"/>
          <w:szCs w:val="21"/>
          <w:highlight w:val="none"/>
        </w:rPr>
        <mc:AlternateContent>
          <mc:Choice Requires="wps">
            <w:drawing>
              <wp:anchor distT="0" distB="0" distL="114300" distR="114300" simplePos="0" relativeHeight="251797504" behindDoc="0" locked="0" layoutInCell="1" allowOverlap="1">
                <wp:simplePos x="0" y="0"/>
                <wp:positionH relativeFrom="column">
                  <wp:posOffset>1263015</wp:posOffset>
                </wp:positionH>
                <wp:positionV relativeFrom="paragraph">
                  <wp:posOffset>103505</wp:posOffset>
                </wp:positionV>
                <wp:extent cx="16002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45pt;margin-top:8.15pt;height:0pt;width:126pt;z-index:251797504;mso-width-relative:page;mso-height-relative:page;" filled="f" stroked="t" coordsize="21600,21600" o:gfxdata="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AuJNYA&#10;AAAJAQAADwAAAAAAAAABACAAAAAiAAAAZHJzL2Rvd25yZXYueG1sUEsBAhQAFAAAAAgAh07iQB8I&#10;aMLoAQAAuA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kern w:val="0"/>
          <w:sz w:val="21"/>
          <w:szCs w:val="21"/>
          <w:highlight w:val="none"/>
        </w:rPr>
        <w:t xml:space="preserve">某投标人价格分＝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rPr>
        <w:t>分</w:t>
      </w:r>
    </w:p>
    <w:p>
      <w:pPr>
        <w:spacing w:line="360" w:lineRule="auto"/>
        <w:ind w:firstLine="2205" w:firstLineChars="105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某投标人投标报价金额</w:t>
      </w:r>
    </w:p>
    <w:p>
      <w:pPr>
        <w:spacing w:line="360" w:lineRule="auto"/>
        <w:ind w:firstLine="420" w:firstLineChars="200"/>
        <w:jc w:val="left"/>
        <w:rPr>
          <w:rFonts w:ascii="宋体" w:hAnsi="宋体" w:eastAsia="宋体" w:cs="宋体"/>
          <w:color w:val="auto"/>
          <w:kern w:val="0"/>
          <w:sz w:val="21"/>
          <w:szCs w:val="21"/>
          <w:highlight w:val="none"/>
        </w:rPr>
      </w:pPr>
    </w:p>
    <w:p>
      <w:pPr>
        <w:spacing w:line="360" w:lineRule="auto"/>
        <w:ind w:firstLine="422" w:firstLineChars="20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rPr>
        <w:t>、技术分………………………………………………………………………………………</w:t>
      </w:r>
      <w:r>
        <w:rPr>
          <w:rFonts w:ascii="宋体" w:hAnsi="宋体" w:eastAsia="宋体" w:cs="宋体"/>
          <w:b/>
          <w:color w:val="auto"/>
          <w:kern w:val="0"/>
          <w:sz w:val="21"/>
          <w:szCs w:val="21"/>
          <w:highlight w:val="none"/>
        </w:rPr>
        <w:t>45</w:t>
      </w:r>
      <w:r>
        <w:rPr>
          <w:rFonts w:hint="eastAsia" w:ascii="宋体" w:hAnsi="宋体" w:eastAsia="宋体" w:cs="宋体"/>
          <w:b/>
          <w:color w:val="auto"/>
          <w:kern w:val="0"/>
          <w:sz w:val="21"/>
          <w:szCs w:val="21"/>
          <w:highlight w:val="none"/>
        </w:rPr>
        <w:t>分</w:t>
      </w:r>
    </w:p>
    <w:p>
      <w:pPr>
        <w:spacing w:before="156"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 xml:space="preserve"> 服务实施方案（</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）一档（</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评定范围：基本满足招标文件要求，有项目执行组织措施、项目执行保障措施，实施组织方案一般，有欠缺，《</w:t>
      </w:r>
      <w:r>
        <w:rPr>
          <w:rFonts w:ascii="宋体" w:hAnsi="宋体" w:eastAsia="宋体" w:cs="宋体"/>
          <w:color w:val="auto"/>
          <w:kern w:val="0"/>
          <w:sz w:val="21"/>
          <w:szCs w:val="21"/>
          <w:highlight w:val="none"/>
        </w:rPr>
        <w:t>w</w:t>
      </w:r>
      <w:r>
        <w:rPr>
          <w:rFonts w:hint="eastAsia" w:ascii="宋体" w:hAnsi="宋体" w:eastAsia="宋体" w:cs="宋体"/>
          <w:color w:val="auto"/>
          <w:kern w:val="0"/>
          <w:sz w:val="21"/>
          <w:szCs w:val="21"/>
          <w:highlight w:val="none"/>
        </w:rPr>
        <w:t>eb应用安全与管理》课程包建设方案中未体现教育部发布的1+X证书制度试点的第三批职业教育培训评价组织及职业技能等级证书中“网络安全评估”职业技能等级的技术要求，《Linux操作系统管理》国际化课程包建设方案中未体现红帽认证证书的技术要求，对新技术应用未提出针对性方案。</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）二档（</w:t>
      </w:r>
      <w:r>
        <w:rPr>
          <w:rFonts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评定范围：在满足一档的基础上，项目执行组织措施、项目执行保障措施详细可行，方案资料齐全、实施组织方案良好，《</w:t>
      </w:r>
      <w:r>
        <w:rPr>
          <w:rFonts w:ascii="宋体" w:hAnsi="宋体" w:eastAsia="宋体" w:cs="宋体"/>
          <w:color w:val="auto"/>
          <w:kern w:val="0"/>
          <w:sz w:val="21"/>
          <w:szCs w:val="21"/>
          <w:highlight w:val="none"/>
        </w:rPr>
        <w:t>w</w:t>
      </w:r>
      <w:r>
        <w:rPr>
          <w:rFonts w:hint="eastAsia" w:ascii="宋体" w:hAnsi="宋体" w:eastAsia="宋体" w:cs="宋体"/>
          <w:color w:val="auto"/>
          <w:kern w:val="0"/>
          <w:sz w:val="21"/>
          <w:szCs w:val="21"/>
          <w:highlight w:val="none"/>
        </w:rPr>
        <w:t>eb应用安全与管理》课程包建设方案中有体现教育部发布的1+X证书制度试点的第三批职业教育培训评价组织及职业技能等级证书中“网络安全评估”职业技能等级的技术要求，《Linux操作系统管理》国际化课程包建设方案中有体现红帽认证证书或IT行业认证方面的技术要求，但与实际职业岗位技能标准、技术标准吻合度不高。</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）三档（</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在满足二档的基础上，项目执行组织措施、项目执行保障措施详细可行，熟悉项目流程及业务，方案资料齐全、实施组织方案完善，可为采购人提供更好的实施措施，项目小组人员。方案科学合理、具有一定的前瞻性，充分考虑了资源库建设的需求。《</w:t>
      </w:r>
      <w:r>
        <w:rPr>
          <w:rFonts w:ascii="宋体" w:hAnsi="宋体" w:eastAsia="宋体" w:cs="宋体"/>
          <w:color w:val="auto"/>
          <w:kern w:val="0"/>
          <w:sz w:val="21"/>
          <w:szCs w:val="21"/>
          <w:highlight w:val="none"/>
        </w:rPr>
        <w:t>w</w:t>
      </w:r>
      <w:r>
        <w:rPr>
          <w:rFonts w:hint="eastAsia" w:ascii="宋体" w:hAnsi="宋体" w:eastAsia="宋体" w:cs="宋体"/>
          <w:color w:val="auto"/>
          <w:kern w:val="0"/>
          <w:sz w:val="21"/>
          <w:szCs w:val="21"/>
          <w:highlight w:val="none"/>
        </w:rPr>
        <w:t>eb应用安全与管理》课程包建设方案中有体现教育部发布的1+X证书制度试点的第三批职业教育培训评价组织及职业技能等级证书中</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网络安全评估</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职业技能等级的技术要求，《Linux操作系统管理》国际化课程包建设方案中有体现红帽认证证书或</w:t>
      </w:r>
      <w:r>
        <w:rPr>
          <w:rFonts w:ascii="宋体" w:hAnsi="宋体" w:eastAsia="宋体" w:cs="宋体"/>
          <w:color w:val="auto"/>
          <w:kern w:val="0"/>
          <w:sz w:val="21"/>
          <w:szCs w:val="21"/>
          <w:highlight w:val="none"/>
        </w:rPr>
        <w:t>IT</w:t>
      </w:r>
      <w:r>
        <w:rPr>
          <w:rFonts w:hint="eastAsia" w:ascii="宋体" w:hAnsi="宋体" w:eastAsia="宋体" w:cs="宋体"/>
          <w:color w:val="auto"/>
          <w:kern w:val="0"/>
          <w:sz w:val="21"/>
          <w:szCs w:val="21"/>
          <w:highlight w:val="none"/>
        </w:rPr>
        <w:t>行业认证方面的技术要求，与实际职业岗位技能标准、技术标准吻合度较高，参与项目开发的团队具有丰富的网络，安全项目实施经验，项目实施小组配备有至少5名华为，思科，红帽等主流认证厂商颁发的技术工程师认证资质的技术工程师（响应文件中提供相关技术人员的职称或资格证书复印件和近3个月的社保证明，原件备查），具备相关开发能力，方案可行，并承诺在教学案例、课程作品库中体现这部分新技术应用情况。</w:t>
      </w:r>
    </w:p>
    <w:p>
      <w:pPr>
        <w:spacing w:before="156"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）培训方案（</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）一档（</w:t>
      </w: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评定范围：培训方案基本可行，投入的培训队伍基本满足要求，评定为一般的。</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）二档（</w:t>
      </w:r>
      <w:r>
        <w:rPr>
          <w:rFonts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rPr>
        <w:t>分）</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评定范围：根据实际情况做出可行性的、表述清晰、完整、合理的培训方案，投入的培训队伍及时间安排合理，能较好满足培训要求，评定为良好。</w:t>
      </w:r>
    </w:p>
    <w:p>
      <w:pPr>
        <w:spacing w:before="156"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）三档（</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定范围：根据实际情况做出可行性的、表述清晰、完整、科学的培训方案，投入的培训队伍及时间安排合理，能最大限度满足培训要求，措施到位，资源配置充分，为华为，思科，红帽等主流设备生产厂商的授权培训机构（提供证书复印件），项目培训讲师为华为，思科，红帽等主流网络设备生产厂商的认证讲师（响应文件中提供相关技术人员的资格证书复印件和近3个月的社保证明，原件备查），能够提供专人有完善的人员的使用培训，评定为优秀。</w:t>
      </w:r>
    </w:p>
    <w:p>
      <w:pPr>
        <w:spacing w:before="156"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）技术配置分（</w:t>
      </w:r>
      <w:r>
        <w:rPr>
          <w:rFonts w:ascii="宋体" w:hAnsi="宋体" w:eastAsia="宋体" w:cs="宋体"/>
          <w:color w:val="auto"/>
          <w:kern w:val="0"/>
          <w:sz w:val="21"/>
          <w:szCs w:val="21"/>
          <w:highlight w:val="none"/>
        </w:rPr>
        <w:t>15</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default" w:ascii="Calibri" w:hAnsi="Calibri" w:eastAsia="宋体" w:cs="Calibri"/>
          <w:color w:val="auto"/>
          <w:kern w:val="0"/>
          <w:sz w:val="21"/>
          <w:szCs w:val="21"/>
          <w:highlight w:val="none"/>
        </w:rPr>
        <w:t>①</w:t>
      </w:r>
      <w:r>
        <w:rPr>
          <w:rFonts w:hint="eastAsia" w:ascii="宋体" w:hAnsi="宋体" w:eastAsia="宋体" w:cs="宋体"/>
          <w:color w:val="auto"/>
          <w:kern w:val="0"/>
          <w:sz w:val="21"/>
          <w:szCs w:val="21"/>
          <w:highlight w:val="none"/>
        </w:rPr>
        <w:t>投标人可提供广西境内本地化服务的（独立法人单位，非办事处、代理商，响应文件中提供机构的营业执照复印件及服务人员社保缴纳证明，原件备查）；如现未在有本地化服务机构的能承诺在成交后30天里内在广西成立分公司服务机构的，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default" w:ascii="Calibri" w:hAnsi="Calibri" w:eastAsia="宋体" w:cs="Calibri"/>
          <w:color w:val="auto"/>
          <w:kern w:val="0"/>
          <w:sz w:val="21"/>
          <w:szCs w:val="21"/>
          <w:highlight w:val="none"/>
        </w:rPr>
        <w:t>②</w:t>
      </w:r>
      <w:r>
        <w:rPr>
          <w:rFonts w:hint="eastAsia" w:ascii="宋体" w:hAnsi="宋体" w:eastAsia="宋体" w:cs="宋体"/>
          <w:color w:val="auto"/>
          <w:kern w:val="0"/>
          <w:sz w:val="21"/>
          <w:szCs w:val="21"/>
          <w:highlight w:val="none"/>
        </w:rPr>
        <w:t>投标人具备业内领先的信息安全应急响应能力，可借助于自身领先的工具，运用威胁情报、规则引擎、文件虚拟执行、机器学习等技术，可精准发现网络中的入侵行为，调查、分析、研判安全事件发生的根源,提供数字证据（要求提供威胁分析工具相关采购证明文件，确保设备处于可随时调动使用解决问题，并加盖投标人公章），为本项目提供先进技术素材支持的，满足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3 \* GB3 \* MERGEFORMAT </w:instrText>
      </w:r>
      <w:r>
        <w:rPr>
          <w:rFonts w:hint="eastAsia" w:ascii="宋体" w:hAnsi="宋体" w:eastAsia="宋体" w:cs="宋体"/>
          <w:color w:val="auto"/>
          <w:kern w:val="0"/>
          <w:sz w:val="21"/>
          <w:szCs w:val="21"/>
          <w:highlight w:val="none"/>
        </w:rPr>
        <w:fldChar w:fldCharType="separate"/>
      </w:r>
      <w:r>
        <w:rPr>
          <w:color w:val="auto"/>
          <w:highlight w:val="none"/>
        </w:rPr>
        <w:t>③</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投标人具有业内领先的信息安全自动化渗透测试工具，贯穿整个渗透过程的操作，包括信息收集、插件管理、指纹管理、漏洞发现、漏洞利用、后渗透攻击等模块（提供相应功能截图并加盖投标人公章）得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分，可为本项目提供先进技术素材支持的，满足得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fldChar w:fldCharType="begin"/>
      </w:r>
      <w:r>
        <w:rPr>
          <w:rFonts w:hint="eastAsia" w:ascii="宋体" w:hAnsi="宋体" w:cs="宋体"/>
          <w:color w:val="auto"/>
          <w:kern w:val="0"/>
          <w:sz w:val="21"/>
          <w:szCs w:val="21"/>
          <w:highlight w:val="none"/>
          <w:lang w:val="en-US" w:eastAsia="zh-CN"/>
        </w:rPr>
        <w:instrText xml:space="preserve"> = 4 \* GB3 \* MERGEFORMAT </w:instrText>
      </w:r>
      <w:r>
        <w:rPr>
          <w:rFonts w:hint="eastAsia" w:ascii="宋体" w:hAnsi="宋体" w:cs="宋体"/>
          <w:color w:val="auto"/>
          <w:kern w:val="0"/>
          <w:sz w:val="21"/>
          <w:szCs w:val="21"/>
          <w:highlight w:val="none"/>
          <w:lang w:val="en-US" w:eastAsia="zh-CN"/>
        </w:rPr>
        <w:fldChar w:fldCharType="separate"/>
      </w:r>
      <w:r>
        <w:rPr>
          <w:color w:val="auto"/>
          <w:highlight w:val="none"/>
        </w:rPr>
        <w:t>④</w:t>
      </w:r>
      <w:r>
        <w:rPr>
          <w:rFonts w:hint="eastAsia" w:ascii="宋体" w:hAnsi="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rPr>
        <w:t>投标人具有业内领先的信息安全自动化渗透测试工具，可以根据可编程平台提供的接口编写自己的攻击插件，实现自定义的攻击需求（提供相应功能截图并加盖投标人公章）得</w:t>
      </w: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分，为本项目提供先进技术素材支持的，满足得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fldChar w:fldCharType="begin"/>
      </w:r>
      <w:r>
        <w:rPr>
          <w:rFonts w:hint="eastAsia" w:ascii="宋体" w:hAnsi="宋体" w:cs="宋体"/>
          <w:color w:val="auto"/>
          <w:kern w:val="0"/>
          <w:sz w:val="21"/>
          <w:szCs w:val="21"/>
          <w:highlight w:val="none"/>
          <w:lang w:val="en-US" w:eastAsia="zh-CN"/>
        </w:rPr>
        <w:instrText xml:space="preserve"> = 5 \* GB3 \* MERGEFORMAT </w:instrText>
      </w:r>
      <w:r>
        <w:rPr>
          <w:rFonts w:hint="eastAsia" w:ascii="宋体" w:hAnsi="宋体" w:cs="宋体"/>
          <w:color w:val="auto"/>
          <w:kern w:val="0"/>
          <w:sz w:val="21"/>
          <w:szCs w:val="21"/>
          <w:highlight w:val="none"/>
          <w:lang w:val="en-US" w:eastAsia="zh-CN"/>
        </w:rPr>
        <w:fldChar w:fldCharType="separate"/>
      </w:r>
      <w:r>
        <w:rPr>
          <w:color w:val="auto"/>
          <w:highlight w:val="none"/>
        </w:rPr>
        <w:t>⑤</w:t>
      </w:r>
      <w:r>
        <w:rPr>
          <w:rFonts w:hint="eastAsia" w:ascii="宋体" w:hAnsi="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rPr>
        <w:t>投标人具有业内领先的信息安全自动化渗透测试工具，可利用http协议、DNS协议等远程获取外带数据；可通过内置的方法反弹交互shell到平台，执行vim、交互执行操作等功能（提供相应功能截图并加盖投标人公章），可为本项目提供先进技术素材支持的，得</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firstLine="422" w:firstLineChars="200"/>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rPr>
        <w:t>、商务分……………………………………………………………………………………</w:t>
      </w:r>
      <w:r>
        <w:rPr>
          <w:rFonts w:ascii="宋体" w:hAnsi="宋体" w:eastAsia="宋体" w:cs="宋体"/>
          <w:b/>
          <w:color w:val="auto"/>
          <w:kern w:val="0"/>
          <w:sz w:val="21"/>
          <w:szCs w:val="21"/>
          <w:highlight w:val="none"/>
        </w:rPr>
        <w:t>25</w:t>
      </w:r>
      <w:r>
        <w:rPr>
          <w:rFonts w:hint="eastAsia" w:ascii="宋体" w:hAnsi="宋体" w:eastAsia="宋体" w:cs="宋体"/>
          <w:b/>
          <w:color w:val="auto"/>
          <w:kern w:val="0"/>
          <w:sz w:val="21"/>
          <w:szCs w:val="21"/>
          <w:highlight w:val="none"/>
        </w:rPr>
        <w:t>分</w:t>
      </w:r>
    </w:p>
    <w:p>
      <w:pPr>
        <w:spacing w:line="360" w:lineRule="auto"/>
        <w:ind w:left="315" w:leftChars="150"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（1）投标人通过ISO</w:t>
      </w:r>
      <w:r>
        <w:rPr>
          <w:rFonts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rPr>
        <w:t>9001质量管理体系认证的，提供相关证明复印件及官网查询证明截图并加盖供应商公章，得2分；；</w:t>
      </w:r>
    </w:p>
    <w:p>
      <w:pPr>
        <w:spacing w:line="360" w:lineRule="auto"/>
        <w:ind w:left="315" w:leftChars="150"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）投标人通过ISO</w:t>
      </w:r>
      <w:r>
        <w:rPr>
          <w:rFonts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rPr>
        <w:t>20000</w:t>
      </w:r>
      <w:r>
        <w:rPr>
          <w:rFonts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rPr>
        <w:t>IT服务管理体系认证的，提供相关证明复印件及官网查询证明截图并加盖供应商公章，得2分；</w:t>
      </w:r>
    </w:p>
    <w:p>
      <w:pPr>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）投标人具有良好的商业信用，获得第三方机构认定AAA信用等级的，提供相关证明复印件及官网查询证明截图并加盖供应商公章，得</w:t>
      </w: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分；</w:t>
      </w:r>
    </w:p>
    <w:p>
      <w:pPr>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）投标人具有中国信息安全测评中心颁发的注册信息安全专业人员</w:t>
      </w:r>
      <w:r>
        <w:rPr>
          <w:rFonts w:ascii="宋体" w:hAnsi="宋体" w:eastAsia="宋体" w:cs="宋体"/>
          <w:color w:val="auto"/>
          <w:kern w:val="0"/>
          <w:sz w:val="21"/>
          <w:szCs w:val="21"/>
          <w:highlight w:val="none"/>
        </w:rPr>
        <w:t>CI</w:t>
      </w:r>
      <w:r>
        <w:rPr>
          <w:rFonts w:hint="eastAsia" w:ascii="宋体" w:hAnsi="宋体" w:eastAsia="宋体" w:cs="宋体"/>
          <w:color w:val="auto"/>
          <w:kern w:val="0"/>
          <w:sz w:val="21"/>
          <w:szCs w:val="21"/>
          <w:highlight w:val="none"/>
        </w:rPr>
        <w:t>SP证书的，提供相关技术人员的职称或资格证书复印件和近 3 个月的社保证明，每一个得1分，满分</w:t>
      </w: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分。</w:t>
      </w:r>
    </w:p>
    <w:p>
      <w:pPr>
        <w:spacing w:line="360" w:lineRule="auto"/>
        <w:ind w:left="145" w:leftChars="69"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）投标人具有优秀的网络、安全工程技术能力，项目人员具有华为，思科，红帽等主流网络设备生产厂商的HCIE、</w:t>
      </w:r>
      <w:r>
        <w:rPr>
          <w:rFonts w:ascii="宋体" w:hAnsi="宋体" w:eastAsia="宋体" w:cs="宋体"/>
          <w:color w:val="auto"/>
          <w:kern w:val="0"/>
          <w:sz w:val="21"/>
          <w:szCs w:val="21"/>
          <w:highlight w:val="none"/>
        </w:rPr>
        <w:t>CC</w:t>
      </w:r>
      <w:r>
        <w:rPr>
          <w:rFonts w:hint="eastAsia" w:ascii="宋体" w:hAnsi="宋体" w:eastAsia="宋体" w:cs="宋体"/>
          <w:color w:val="auto"/>
          <w:kern w:val="0"/>
          <w:sz w:val="21"/>
          <w:szCs w:val="21"/>
          <w:highlight w:val="none"/>
        </w:rPr>
        <w:t>IE、</w:t>
      </w:r>
      <w:r>
        <w:rPr>
          <w:rFonts w:ascii="宋体" w:hAnsi="宋体" w:eastAsia="宋体" w:cs="宋体"/>
          <w:color w:val="auto"/>
          <w:kern w:val="0"/>
          <w:sz w:val="21"/>
          <w:szCs w:val="21"/>
          <w:highlight w:val="none"/>
        </w:rPr>
        <w:t>RHCA</w:t>
      </w:r>
      <w:r>
        <w:rPr>
          <w:rFonts w:hint="eastAsia" w:ascii="宋体" w:hAnsi="宋体" w:eastAsia="宋体" w:cs="宋体"/>
          <w:color w:val="auto"/>
          <w:kern w:val="0"/>
          <w:sz w:val="21"/>
          <w:szCs w:val="21"/>
          <w:highlight w:val="none"/>
        </w:rPr>
        <w:t>专家认证证书的（提供相关技术人员的证书复印件和近3个月的社保证明，原件备查），得2分。</w:t>
      </w:r>
    </w:p>
    <w:p>
      <w:pPr>
        <w:spacing w:line="360" w:lineRule="auto"/>
        <w:ind w:left="145" w:leftChars="69"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rPr>
        <w:t>）投标人具有丰富的校企合作开发经验，如合同复印件等，每份得1分，满分5分。</w:t>
      </w:r>
      <w:r>
        <w:rPr>
          <w:rFonts w:ascii="宋体" w:hAnsi="宋体" w:eastAsia="宋体" w:cs="宋体"/>
          <w:color w:val="auto"/>
          <w:kern w:val="0"/>
          <w:sz w:val="21"/>
          <w:szCs w:val="21"/>
          <w:highlight w:val="none"/>
        </w:rPr>
        <w:t> </w:t>
      </w:r>
    </w:p>
    <w:p>
      <w:pPr>
        <w:spacing w:line="360" w:lineRule="auto"/>
        <w:ind w:left="145" w:leftChars="69" w:firstLine="420" w:firstLineChars="200"/>
        <w:jc w:val="left"/>
        <w:rPr>
          <w:rFonts w:hint="eastAsia" w:ascii="宋体" w:hAnsi="宋体" w:eastAsia="宋体" w:cs="宋体"/>
          <w:color w:val="auto"/>
          <w:kern w:val="0"/>
          <w:sz w:val="21"/>
          <w:szCs w:val="21"/>
          <w:highlight w:val="none"/>
          <w:lang w:eastAsia="zh-CN"/>
        </w:rPr>
      </w:pPr>
      <w:r>
        <w:rPr>
          <w:rFonts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rPr>
        <w:t>）投标人可提供真实的网络、安全工程项目素材供项目使用。要求响应文件中提交真实的网络、安全工程项目政府采购中标（成交）公告以及合同复印件；，每份得2分，满分10分</w:t>
      </w:r>
      <w:r>
        <w:rPr>
          <w:rFonts w:hint="eastAsia" w:ascii="宋体" w:hAnsi="宋体" w:eastAsia="宋体" w:cs="宋体"/>
          <w:color w:val="auto"/>
          <w:kern w:val="0"/>
          <w:sz w:val="21"/>
          <w:szCs w:val="21"/>
          <w:highlight w:val="none"/>
          <w:lang w:eastAsia="zh-CN"/>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诚信分………………………………………………（-6分）</w:t>
      </w:r>
    </w:p>
    <w:p>
      <w:pPr>
        <w:spacing w:line="360" w:lineRule="auto"/>
        <w:ind w:firstLine="420" w:firstLineChars="200"/>
        <w:rPr>
          <w:rFonts w:hint="eastAsia"/>
          <w:color w:val="auto"/>
          <w:highlight w:val="none"/>
          <w:lang w:eastAsia="zh-CN"/>
        </w:rPr>
      </w:pPr>
      <w:r>
        <w:rPr>
          <w:rFonts w:ascii="宋体" w:hAnsi="宋体"/>
          <w:color w:val="auto"/>
          <w:szCs w:val="21"/>
          <w:highlight w:val="none"/>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ind w:firstLine="422" w:firstLineChars="200"/>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（三）总得分＝</w:t>
      </w:r>
      <w:r>
        <w:rPr>
          <w:rFonts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rPr>
        <w:t>＋</w:t>
      </w:r>
      <w:r>
        <w:rPr>
          <w:rFonts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rPr>
        <w:t>＋</w:t>
      </w:r>
      <w:r>
        <w:rPr>
          <w:rFonts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rPr>
        <w:t>。</w:t>
      </w:r>
    </w:p>
    <w:p>
      <w:pPr>
        <w:pStyle w:val="18"/>
        <w:spacing w:line="360" w:lineRule="auto"/>
        <w:rPr>
          <w:rFonts w:hint="eastAsia" w:hAnsi="宋体" w:cs="宋体"/>
          <w:b/>
          <w:bCs/>
          <w:color w:val="auto"/>
          <w:highlight w:val="none"/>
        </w:rPr>
      </w:pPr>
      <w:r>
        <w:rPr>
          <w:rFonts w:hint="eastAsia" w:ascii="宋体" w:hAnsi="宋体" w:eastAsia="宋体" w:cs="宋体"/>
          <w:color w:val="auto"/>
          <w:kern w:val="0"/>
          <w:sz w:val="21"/>
          <w:szCs w:val="21"/>
          <w:highlight w:val="none"/>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60" w:lineRule="auto"/>
        <w:jc w:val="center"/>
        <w:rPr>
          <w:rFonts w:hint="eastAsia" w:hAnsi="宋体" w:cs="宋体"/>
          <w:b/>
          <w:bCs/>
          <w:color w:val="auto"/>
          <w:highlight w:val="none"/>
          <w:lang w:val="en-US" w:eastAsia="zh-CN"/>
        </w:rPr>
      </w:pPr>
      <w:r>
        <w:rPr>
          <w:rFonts w:hint="eastAsia" w:hAnsi="宋体" w:cs="宋体"/>
          <w:b/>
          <w:bCs/>
          <w:color w:val="auto"/>
          <w:highlight w:val="none"/>
          <w:lang w:eastAsia="zh-CN"/>
        </w:rPr>
        <w:t>（</w:t>
      </w:r>
      <w:r>
        <w:rPr>
          <w:rFonts w:hint="eastAsia" w:hAnsi="宋体" w:cs="宋体"/>
          <w:b/>
          <w:bCs/>
          <w:color w:val="auto"/>
          <w:highlight w:val="none"/>
          <w:lang w:val="en-US" w:eastAsia="zh-CN"/>
        </w:rPr>
        <w:t>适用E分标）</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（一）评标委员会以招标文件为依据，对投标文件进行评审，对投标人的投标报价、技术文件及商务文件等三部分内容按百分制打分，其中价格分</w:t>
      </w:r>
      <w:r>
        <w:rPr>
          <w:rFonts w:eastAsia="Times New Roman" w:cs="Times New Roman" w:asciiTheme="minorEastAsia" w:hAnsiTheme="minorEastAsia"/>
          <w:color w:val="auto"/>
          <w:kern w:val="0"/>
          <w:sz w:val="21"/>
          <w:szCs w:val="21"/>
          <w:highlight w:val="none"/>
        </w:rPr>
        <w:t>30</w:t>
      </w:r>
      <w:r>
        <w:rPr>
          <w:rFonts w:hint="eastAsia" w:eastAsia="Times New Roman" w:cs="Times New Roman" w:asciiTheme="minorEastAsia" w:hAnsiTheme="minorEastAsia"/>
          <w:color w:val="auto"/>
          <w:kern w:val="0"/>
          <w:sz w:val="21"/>
          <w:szCs w:val="21"/>
          <w:highlight w:val="none"/>
        </w:rPr>
        <w:t>分，技术分40分，商务分30分</w:t>
      </w:r>
      <w:r>
        <w:rPr>
          <w:rFonts w:hint="eastAsia" w:eastAsia="宋体" w:cs="Times New Roman" w:asciiTheme="minorEastAsia" w:hAnsiTheme="minorEastAsia"/>
          <w:color w:val="auto"/>
          <w:kern w:val="0"/>
          <w:sz w:val="21"/>
          <w:szCs w:val="21"/>
          <w:highlight w:val="none"/>
          <w:lang w:eastAsia="zh-CN"/>
        </w:rPr>
        <w:t>、诚信分</w:t>
      </w:r>
      <w:r>
        <w:rPr>
          <w:rFonts w:hint="eastAsia" w:eastAsia="宋体" w:cs="Times New Roman" w:asciiTheme="minorEastAsia" w:hAnsiTheme="minorEastAsia"/>
          <w:color w:val="auto"/>
          <w:kern w:val="0"/>
          <w:sz w:val="21"/>
          <w:szCs w:val="21"/>
          <w:highlight w:val="none"/>
          <w:lang w:val="en-US" w:eastAsia="zh-CN"/>
        </w:rPr>
        <w:t>-6分</w:t>
      </w:r>
      <w:r>
        <w:rPr>
          <w:rFonts w:hint="eastAsia" w:eastAsia="Times New Roman" w:cs="Times New Roman" w:asciiTheme="minorEastAsia" w:hAnsiTheme="minorEastAsia"/>
          <w:color w:val="auto"/>
          <w:kern w:val="0"/>
          <w:sz w:val="21"/>
          <w:szCs w:val="21"/>
          <w:highlight w:val="none"/>
        </w:rPr>
        <w:t>。（评标时，对于带有主观因素的评分，由各评委独立进行评价、打分，不允许讨论。）</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（二）评分细则：（按四舍五入取至小数点后四位）</w:t>
      </w:r>
    </w:p>
    <w:p>
      <w:pPr>
        <w:spacing w:line="360" w:lineRule="auto"/>
        <w:ind w:firstLine="210" w:firstLineChars="100"/>
        <w:rPr>
          <w:rFonts w:eastAsia="Times New Roman" w:cs="Times New Roman" w:asciiTheme="minorEastAsia" w:hAnsiTheme="minorEastAsia"/>
          <w:b/>
          <w:color w:val="auto"/>
          <w:kern w:val="0"/>
          <w:sz w:val="21"/>
          <w:szCs w:val="21"/>
          <w:highlight w:val="none"/>
        </w:rPr>
      </w:pPr>
      <w:r>
        <w:rPr>
          <w:rFonts w:eastAsia="Times New Roman" w:cs="Times New Roman" w:asciiTheme="minorEastAsia" w:hAnsiTheme="minorEastAsia"/>
          <w:b/>
          <w:color w:val="auto"/>
          <w:kern w:val="0"/>
          <w:sz w:val="21"/>
          <w:szCs w:val="21"/>
          <w:highlight w:val="none"/>
        </w:rPr>
        <w:t>1</w:t>
      </w:r>
      <w:r>
        <w:rPr>
          <w:rFonts w:hint="eastAsia" w:eastAsia="Times New Roman" w:cs="Times New Roman" w:asciiTheme="minorEastAsia" w:hAnsiTheme="minorEastAsia"/>
          <w:b/>
          <w:color w:val="auto"/>
          <w:kern w:val="0"/>
          <w:sz w:val="21"/>
          <w:szCs w:val="21"/>
          <w:highlight w:val="none"/>
        </w:rPr>
        <w:t>、价格分………………………………………………………………………………………</w:t>
      </w:r>
      <w:r>
        <w:rPr>
          <w:rFonts w:eastAsia="Times New Roman" w:cs="Times New Roman" w:asciiTheme="minorEastAsia" w:hAnsiTheme="minorEastAsia"/>
          <w:b/>
          <w:color w:val="auto"/>
          <w:kern w:val="0"/>
          <w:sz w:val="21"/>
          <w:szCs w:val="21"/>
          <w:highlight w:val="none"/>
        </w:rPr>
        <w:t>30</w:t>
      </w:r>
      <w:r>
        <w:rPr>
          <w:rFonts w:hint="eastAsia" w:eastAsia="Times New Roman" w:cs="Times New Roman" w:asciiTheme="minorEastAsia" w:hAnsiTheme="minorEastAsia"/>
          <w:b/>
          <w:color w:val="auto"/>
          <w:kern w:val="0"/>
          <w:sz w:val="21"/>
          <w:szCs w:val="21"/>
          <w:highlight w:val="none"/>
        </w:rPr>
        <w:t>分</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1</w:t>
      </w:r>
      <w:r>
        <w:rPr>
          <w:rFonts w:hint="eastAsia" w:eastAsia="Times New Roman" w:cs="Times New Roman" w:asciiTheme="minorEastAsia" w:hAnsiTheme="minorEastAsia"/>
          <w:color w:val="auto"/>
          <w:kern w:val="0"/>
          <w:sz w:val="21"/>
          <w:szCs w:val="21"/>
          <w:highlight w:val="none"/>
        </w:rPr>
        <w:t>）对小型和微型企业产品的价格给予</w:t>
      </w:r>
      <w:r>
        <w:rPr>
          <w:rFonts w:hint="eastAsia" w:eastAsia="宋体" w:cs="Times New Roman" w:asciiTheme="minorEastAsia" w:hAnsiTheme="minorEastAsia"/>
          <w:color w:val="auto"/>
          <w:kern w:val="0"/>
          <w:sz w:val="21"/>
          <w:szCs w:val="21"/>
          <w:highlight w:val="none"/>
          <w:lang w:val="en-US" w:eastAsia="zh-CN"/>
        </w:rPr>
        <w:t>10</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的价格扣除，扣除后的价格为评标价，即评标价＝投标报价</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1-</w:t>
      </w:r>
      <w:r>
        <w:rPr>
          <w:rFonts w:hint="eastAsia" w:eastAsia="宋体" w:cs="Times New Roman" w:asciiTheme="minorEastAsia" w:hAnsiTheme="minorEastAsia"/>
          <w:color w:val="auto"/>
          <w:kern w:val="0"/>
          <w:sz w:val="21"/>
          <w:szCs w:val="21"/>
          <w:highlight w:val="none"/>
          <w:lang w:val="en-US" w:eastAsia="zh-CN"/>
        </w:rPr>
        <w:t>10</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）。（以投标人按第五章</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投标文件格式</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要求提供的《投标报价表》和《中小企业声明函》为评分依据）</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2</w:t>
      </w:r>
      <w:r>
        <w:rPr>
          <w:rFonts w:hint="eastAsia" w:eastAsia="Times New Roman" w:cs="Times New Roman" w:asciiTheme="minorEastAsia" w:hAnsiTheme="minorEastAsia"/>
          <w:color w:val="auto"/>
          <w:kern w:val="0"/>
          <w:sz w:val="21"/>
          <w:szCs w:val="21"/>
          <w:highlight w:val="none"/>
        </w:rPr>
        <w:t>）对大中型企业和其他自然人、法人或者其他组织与小型、微型企业组成联合体，且联合体协议中约定小型、微型企业的协议合同金额占到联合体协议合同总金额</w:t>
      </w:r>
      <w:r>
        <w:rPr>
          <w:rFonts w:eastAsia="Times New Roman" w:cs="Times New Roman" w:asciiTheme="minorEastAsia" w:hAnsiTheme="minorEastAsia"/>
          <w:color w:val="auto"/>
          <w:kern w:val="0"/>
          <w:sz w:val="21"/>
          <w:szCs w:val="21"/>
          <w:highlight w:val="none"/>
        </w:rPr>
        <w:t>30%</w:t>
      </w:r>
      <w:r>
        <w:rPr>
          <w:rFonts w:hint="eastAsia" w:eastAsia="Times New Roman" w:cs="Times New Roman" w:asciiTheme="minorEastAsia" w:hAnsiTheme="minorEastAsia"/>
          <w:color w:val="auto"/>
          <w:kern w:val="0"/>
          <w:sz w:val="21"/>
          <w:szCs w:val="21"/>
          <w:highlight w:val="none"/>
        </w:rPr>
        <w:t>以上的，给予</w:t>
      </w:r>
      <w:r>
        <w:rPr>
          <w:rFonts w:eastAsia="Times New Roman" w:cs="Times New Roman" w:asciiTheme="minorEastAsia" w:hAnsiTheme="minorEastAsia"/>
          <w:color w:val="auto"/>
          <w:kern w:val="0"/>
          <w:sz w:val="21"/>
          <w:szCs w:val="21"/>
          <w:highlight w:val="none"/>
        </w:rPr>
        <w:t>2%</w:t>
      </w:r>
      <w:r>
        <w:rPr>
          <w:rFonts w:hint="eastAsia" w:eastAsia="Times New Roman" w:cs="Times New Roman" w:asciiTheme="minorEastAsia" w:hAnsiTheme="minorEastAsia"/>
          <w:color w:val="auto"/>
          <w:kern w:val="0"/>
          <w:sz w:val="21"/>
          <w:szCs w:val="21"/>
          <w:highlight w:val="none"/>
        </w:rPr>
        <w:t>的价格扣除，扣除后的价格为评标价，即评标价＝投标报价</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1-2%</w:t>
      </w:r>
      <w:r>
        <w:rPr>
          <w:rFonts w:hint="eastAsia" w:eastAsia="Times New Roman" w:cs="Times New Roman" w:asciiTheme="minorEastAsia" w:hAnsiTheme="minorEastAsia"/>
          <w:color w:val="auto"/>
          <w:kern w:val="0"/>
          <w:sz w:val="21"/>
          <w:szCs w:val="21"/>
          <w:highlight w:val="none"/>
        </w:rPr>
        <w:t>）。（以投标人按第五章</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投标文件格式</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要求提供的《投标报价表》、《中小企业声明函》和《联合体协议书》为评分依据）</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3</w:t>
      </w:r>
      <w:r>
        <w:rPr>
          <w:rFonts w:hint="eastAsia" w:eastAsia="Times New Roman" w:cs="Times New Roman" w:asciiTheme="minorEastAsia" w:hAnsiTheme="minorEastAsia"/>
          <w:color w:val="auto"/>
          <w:kern w:val="0"/>
          <w:sz w:val="21"/>
          <w:szCs w:val="21"/>
          <w:highlight w:val="none"/>
        </w:rPr>
        <w:t>）投标产品提供企业按《关于政府采购支持监狱企业发展有关问题的通知》</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财库</w:t>
      </w:r>
      <w:r>
        <w:rPr>
          <w:rFonts w:eastAsia="Times New Roman" w:cs="Times New Roman" w:asciiTheme="minorEastAsia" w:hAnsiTheme="minorEastAsia"/>
          <w:color w:val="auto"/>
          <w:kern w:val="0"/>
          <w:sz w:val="21"/>
          <w:szCs w:val="21"/>
          <w:highlight w:val="none"/>
        </w:rPr>
        <w:t>[2014]68</w:t>
      </w:r>
      <w:r>
        <w:rPr>
          <w:rFonts w:hint="eastAsia" w:eastAsia="Times New Roman" w:cs="Times New Roman" w:asciiTheme="minorEastAsia" w:hAnsiTheme="minorEastAsia"/>
          <w:color w:val="auto"/>
          <w:kern w:val="0"/>
          <w:sz w:val="21"/>
          <w:szCs w:val="21"/>
          <w:highlight w:val="none"/>
        </w:rPr>
        <w:t>号</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认定为监狱企业的，在政府采购活动中，监狱企业视同小型、微型企业。（以投标人按第五章</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投标文件格式</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要求提供的《报价表》和由省级以上监狱管理局、戒毒管理局</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含新疆生产建设兵团</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出具的属于监狱企业的证明文件为评分依据）</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4</w:t>
      </w:r>
      <w:r>
        <w:rPr>
          <w:rFonts w:hint="eastAsia" w:eastAsia="Times New Roman" w:cs="Times New Roman" w:asciiTheme="minorEastAsia" w:hAnsiTheme="minorEastAsia"/>
          <w:color w:val="auto"/>
          <w:kern w:val="0"/>
          <w:sz w:val="21"/>
          <w:szCs w:val="21"/>
          <w:highlight w:val="none"/>
        </w:rPr>
        <w:t>）投标产品提供企业按《关于促进残疾人就业政府采购政策的通知》</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财库〔</w:t>
      </w:r>
      <w:r>
        <w:rPr>
          <w:rFonts w:eastAsia="Times New Roman" w:cs="Times New Roman" w:asciiTheme="minorEastAsia" w:hAnsiTheme="minorEastAsia"/>
          <w:color w:val="auto"/>
          <w:kern w:val="0"/>
          <w:sz w:val="21"/>
          <w:szCs w:val="21"/>
          <w:highlight w:val="none"/>
        </w:rPr>
        <w:t>2017</w:t>
      </w: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141</w:t>
      </w:r>
      <w:r>
        <w:rPr>
          <w:rFonts w:hint="eastAsia" w:eastAsia="Times New Roman" w:cs="Times New Roman" w:asciiTheme="minorEastAsia" w:hAnsiTheme="minorEastAsia"/>
          <w:color w:val="auto"/>
          <w:kern w:val="0"/>
          <w:sz w:val="21"/>
          <w:szCs w:val="21"/>
          <w:highlight w:val="none"/>
        </w:rPr>
        <w:t>号</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投标文件格式</w:t>
      </w:r>
      <w:r>
        <w:rPr>
          <w:rFonts w:eastAsia="Times New Roman" w:cs="Times New Roman" w:asciiTheme="minorEastAsia" w:hAnsiTheme="minorEastAsia"/>
          <w:color w:val="auto"/>
          <w:kern w:val="0"/>
          <w:sz w:val="21"/>
          <w:szCs w:val="21"/>
          <w:highlight w:val="none"/>
        </w:rPr>
        <w:t>”</w:t>
      </w:r>
      <w:r>
        <w:rPr>
          <w:rFonts w:hint="eastAsia" w:eastAsia="Times New Roman" w:cs="Times New Roman" w:asciiTheme="minorEastAsia" w:hAnsiTheme="minorEastAsia"/>
          <w:color w:val="auto"/>
          <w:kern w:val="0"/>
          <w:sz w:val="21"/>
          <w:szCs w:val="21"/>
          <w:highlight w:val="none"/>
        </w:rPr>
        <w:t>要求提供的《报价表》和《残疾人福利性单位声明函》为评分依据）</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5</w:t>
      </w:r>
      <w:r>
        <w:rPr>
          <w:rFonts w:hint="eastAsia" w:eastAsia="Times New Roman" w:cs="Times New Roman" w:asciiTheme="minorEastAsia" w:hAnsiTheme="minorEastAsia"/>
          <w:color w:val="auto"/>
          <w:kern w:val="0"/>
          <w:sz w:val="21"/>
          <w:szCs w:val="21"/>
          <w:highlight w:val="none"/>
        </w:rPr>
        <w:t>）除上述情况外，评标价＝投标报价。</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6</w:t>
      </w:r>
      <w:r>
        <w:rPr>
          <w:rFonts w:hint="eastAsia" w:eastAsia="Times New Roman" w:cs="Times New Roman" w:asciiTheme="minorEastAsia" w:hAnsiTheme="minorEastAsia"/>
          <w:color w:val="auto"/>
          <w:kern w:val="0"/>
          <w:sz w:val="21"/>
          <w:szCs w:val="21"/>
          <w:highlight w:val="none"/>
        </w:rPr>
        <w:t>）价格分计算公式：</w:t>
      </w:r>
    </w:p>
    <w:p>
      <w:pPr>
        <w:ind w:firstLine="2100" w:firstLineChars="10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投标人最低投标报价金额</w:t>
      </w:r>
    </w:p>
    <w:p>
      <w:pPr>
        <w:ind w:firstLine="300" w:firstLineChars="150"/>
        <w:rPr>
          <w:rFonts w:eastAsia="Times New Roman" w:cs="Times New Roman" w:asciiTheme="minorEastAsia" w:hAnsiTheme="minorEastAsia"/>
          <w:color w:val="auto"/>
          <w:kern w:val="0"/>
          <w:sz w:val="21"/>
          <w:szCs w:val="21"/>
          <w:highlight w:val="none"/>
        </w:rPr>
      </w:pPr>
      <w:r>
        <w:rPr>
          <w:rFonts w:eastAsia="Times New Roman" w:cs="Times New Roman" w:asciiTheme="minorEastAsia" w:hAnsiTheme="minorEastAsia"/>
          <w:color w:val="auto"/>
          <w:kern w:val="0"/>
          <w:sz w:val="20"/>
          <w:szCs w:val="21"/>
          <w:highlight w:val="none"/>
        </w:rPr>
        <mc:AlternateContent>
          <mc:Choice Requires="wps">
            <w:drawing>
              <wp:anchor distT="0" distB="0" distL="114300" distR="114300" simplePos="0" relativeHeight="251836416" behindDoc="0" locked="0" layoutInCell="1" allowOverlap="1">
                <wp:simplePos x="0" y="0"/>
                <wp:positionH relativeFrom="column">
                  <wp:posOffset>1263015</wp:posOffset>
                </wp:positionH>
                <wp:positionV relativeFrom="paragraph">
                  <wp:posOffset>103505</wp:posOffset>
                </wp:positionV>
                <wp:extent cx="16002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45pt;margin-top:8.15pt;height:0pt;width:126pt;z-index:251836416;mso-width-relative:page;mso-height-relative:page;" filled="f" stroked="t" coordsize="21600,21600" o:gfxdata="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AuJNYA&#10;AAAJAQAADwAAAAAAAAABACAAAAAiAAAAZHJzL2Rvd25yZXYueG1sUEsBAhQAFAAAAAgAh07iQLkR&#10;U4boAQAAuAMAAA4AAAAAAAAAAQAgAAAAJQEAAGRycy9lMm9Eb2MueG1sUEsFBgAAAAAGAAYAWQEA&#10;AH8FAAAAAA==&#10;">
                <v:fill on="f" focussize="0,0"/>
                <v:stroke color="#000000" joinstyle="round"/>
                <v:imagedata o:title=""/>
                <o:lock v:ext="edit" aspectratio="f"/>
              </v:line>
            </w:pict>
          </mc:Fallback>
        </mc:AlternateContent>
      </w:r>
      <w:r>
        <w:rPr>
          <w:rFonts w:hint="eastAsia" w:eastAsia="Times New Roman" w:cs="Times New Roman" w:asciiTheme="minorEastAsia" w:hAnsiTheme="minorEastAsia"/>
          <w:color w:val="auto"/>
          <w:kern w:val="0"/>
          <w:sz w:val="21"/>
          <w:szCs w:val="21"/>
          <w:highlight w:val="none"/>
        </w:rPr>
        <w:t xml:space="preserve">某投标人价格分＝ </w:t>
      </w:r>
      <w:r>
        <w:rPr>
          <w:rFonts w:eastAsia="Times New Roman" w:cs="Times New Roman" w:asciiTheme="minorEastAsia" w:hAnsiTheme="minorEastAsia"/>
          <w:color w:val="auto"/>
          <w:kern w:val="0"/>
          <w:sz w:val="21"/>
          <w:szCs w:val="21"/>
          <w:highlight w:val="none"/>
        </w:rPr>
        <w:t xml:space="preserve">                           </w:t>
      </w: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30</w:t>
      </w:r>
      <w:r>
        <w:rPr>
          <w:rFonts w:hint="eastAsia" w:eastAsia="Times New Roman" w:cs="Times New Roman" w:asciiTheme="minorEastAsia" w:hAnsiTheme="minorEastAsia"/>
          <w:color w:val="auto"/>
          <w:kern w:val="0"/>
          <w:sz w:val="21"/>
          <w:szCs w:val="21"/>
          <w:highlight w:val="none"/>
        </w:rPr>
        <w:t>分</w:t>
      </w:r>
    </w:p>
    <w:p>
      <w:pPr>
        <w:ind w:firstLine="2100" w:firstLineChars="10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某投标人投标报价金额</w:t>
      </w:r>
    </w:p>
    <w:p>
      <w:pPr>
        <w:pStyle w:val="14"/>
        <w:rPr>
          <w:rFonts w:cs="Times New Roman" w:asciiTheme="minorEastAsia" w:hAnsiTheme="minorEastAsia" w:eastAsiaTheme="minorEastAsia"/>
          <w:color w:val="auto"/>
          <w:kern w:val="0"/>
          <w:sz w:val="21"/>
          <w:szCs w:val="21"/>
          <w:highlight w:val="none"/>
        </w:rPr>
      </w:pPr>
    </w:p>
    <w:p>
      <w:pPr>
        <w:pStyle w:val="14"/>
        <w:rPr>
          <w:rFonts w:cs="Times New Roman" w:asciiTheme="minorEastAsia" w:hAnsiTheme="minorEastAsia" w:eastAsiaTheme="minorEastAsia"/>
          <w:color w:val="auto"/>
          <w:kern w:val="0"/>
          <w:sz w:val="21"/>
          <w:szCs w:val="21"/>
          <w:highlight w:val="none"/>
        </w:rPr>
      </w:pPr>
    </w:p>
    <w:p>
      <w:pPr>
        <w:spacing w:line="360" w:lineRule="auto"/>
        <w:ind w:firstLine="210" w:firstLineChars="100"/>
        <w:rPr>
          <w:rFonts w:eastAsia="Times New Roman" w:cs="Times New Roman" w:asciiTheme="minorEastAsia" w:hAnsiTheme="minorEastAsia"/>
          <w:b/>
          <w:color w:val="auto"/>
          <w:kern w:val="0"/>
          <w:sz w:val="21"/>
          <w:szCs w:val="21"/>
          <w:highlight w:val="none"/>
        </w:rPr>
      </w:pPr>
      <w:r>
        <w:rPr>
          <w:rFonts w:eastAsia="Times New Roman" w:cs="Times New Roman" w:asciiTheme="minorEastAsia" w:hAnsiTheme="minorEastAsia"/>
          <w:b/>
          <w:color w:val="auto"/>
          <w:kern w:val="0"/>
          <w:sz w:val="21"/>
          <w:szCs w:val="21"/>
          <w:highlight w:val="none"/>
        </w:rPr>
        <w:t>2</w:t>
      </w:r>
      <w:r>
        <w:rPr>
          <w:rFonts w:hint="eastAsia" w:eastAsia="Times New Roman" w:cs="Times New Roman" w:asciiTheme="minorEastAsia" w:hAnsiTheme="minorEastAsia"/>
          <w:b/>
          <w:color w:val="auto"/>
          <w:kern w:val="0"/>
          <w:sz w:val="21"/>
          <w:szCs w:val="21"/>
          <w:highlight w:val="none"/>
        </w:rPr>
        <w:t>、技术分………………………………………………………………………………………40分</w:t>
      </w:r>
    </w:p>
    <w:p>
      <w:pPr>
        <w:numPr>
          <w:ilvl w:val="0"/>
          <w:numId w:val="12"/>
        </w:numPr>
        <w:spacing w:before="156" w:line="360" w:lineRule="auto"/>
        <w:ind w:firstLine="514" w:firstLineChars="245"/>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人才培养方案（满分</w:t>
      </w:r>
      <w:r>
        <w:rPr>
          <w:rFonts w:hint="eastAsia" w:cs="Times New Roman" w:asciiTheme="minorEastAsia" w:hAnsiTheme="minorEastAsia"/>
          <w:color w:val="auto"/>
          <w:kern w:val="0"/>
          <w:sz w:val="21"/>
          <w:szCs w:val="21"/>
          <w:highlight w:val="none"/>
          <w:lang w:val="en-US" w:eastAsia="zh-CN"/>
        </w:rPr>
        <w:t>10</w:t>
      </w:r>
      <w:r>
        <w:rPr>
          <w:rFonts w:hint="eastAsia" w:eastAsia="Times New Roman" w:cs="Times New Roman" w:asciiTheme="minorEastAsia" w:hAnsiTheme="minorEastAsia"/>
          <w:color w:val="auto"/>
          <w:kern w:val="0"/>
          <w:sz w:val="21"/>
          <w:szCs w:val="21"/>
          <w:highlight w:val="none"/>
        </w:rPr>
        <w:t>分）</w:t>
      </w:r>
    </w:p>
    <w:p>
      <w:pPr>
        <w:spacing w:before="156" w:line="360" w:lineRule="auto"/>
        <w:ind w:firstLine="630" w:firstLineChars="3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基本要求：提供完整的移动通信技术专业人才培养方案。</w:t>
      </w:r>
    </w:p>
    <w:p>
      <w:pPr>
        <w:spacing w:before="156" w:line="360" w:lineRule="auto"/>
        <w:ind w:firstLine="407" w:firstLineChars="194"/>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1</w:t>
      </w:r>
      <w:r>
        <w:rPr>
          <w:rFonts w:hint="eastAsia" w:eastAsia="Times New Roman" w:cs="Times New Roman" w:asciiTheme="minorEastAsia" w:hAnsiTheme="minorEastAsia"/>
          <w:color w:val="auto"/>
          <w:kern w:val="0"/>
          <w:sz w:val="21"/>
          <w:szCs w:val="21"/>
          <w:highlight w:val="none"/>
        </w:rPr>
        <w:t>）一档（3分）</w:t>
      </w:r>
    </w:p>
    <w:p>
      <w:pPr>
        <w:spacing w:line="360" w:lineRule="auto"/>
        <w:ind w:firstLine="420" w:firstLineChars="20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评定范围：提供完整的人才培养方案，但较为简单。</w:t>
      </w:r>
    </w:p>
    <w:p>
      <w:pPr>
        <w:spacing w:before="156" w:line="360" w:lineRule="auto"/>
        <w:ind w:firstLine="42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2</w:t>
      </w:r>
      <w:r>
        <w:rPr>
          <w:rFonts w:hint="eastAsia" w:eastAsia="Times New Roman" w:cs="Times New Roman" w:asciiTheme="minorEastAsia" w:hAnsiTheme="minorEastAsia"/>
          <w:color w:val="auto"/>
          <w:kern w:val="0"/>
          <w:sz w:val="21"/>
          <w:szCs w:val="21"/>
          <w:highlight w:val="none"/>
        </w:rPr>
        <w:t>）二档（</w:t>
      </w:r>
      <w:r>
        <w:rPr>
          <w:rFonts w:hint="eastAsia" w:cs="Times New Roman" w:asciiTheme="minorEastAsia" w:hAnsiTheme="minorEastAsia"/>
          <w:color w:val="auto"/>
          <w:kern w:val="0"/>
          <w:sz w:val="21"/>
          <w:szCs w:val="21"/>
          <w:highlight w:val="none"/>
          <w:lang w:val="en-US" w:eastAsia="zh-CN"/>
        </w:rPr>
        <w:t>6</w:t>
      </w:r>
      <w:r>
        <w:rPr>
          <w:rFonts w:hint="eastAsia" w:eastAsia="Times New Roman" w:cs="Times New Roman" w:asciiTheme="minorEastAsia" w:hAnsiTheme="minorEastAsia"/>
          <w:color w:val="auto"/>
          <w:kern w:val="0"/>
          <w:sz w:val="21"/>
          <w:szCs w:val="21"/>
          <w:highlight w:val="none"/>
        </w:rPr>
        <w:t>分）</w:t>
      </w:r>
    </w:p>
    <w:p>
      <w:pPr>
        <w:spacing w:before="156" w:line="360" w:lineRule="auto"/>
        <w:ind w:firstLine="42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评定范围：人才培养方案完整，但与行业需求、教育教学标准、企业岗位、技术标准、学校专业群发展规划等结合一般。</w:t>
      </w:r>
    </w:p>
    <w:p>
      <w:pPr>
        <w:spacing w:before="156" w:line="360" w:lineRule="auto"/>
        <w:ind w:firstLine="42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3</w:t>
      </w:r>
      <w:r>
        <w:rPr>
          <w:rFonts w:hint="eastAsia" w:eastAsia="Times New Roman" w:cs="Times New Roman" w:asciiTheme="minorEastAsia" w:hAnsiTheme="minorEastAsia"/>
          <w:color w:val="auto"/>
          <w:kern w:val="0"/>
          <w:sz w:val="21"/>
          <w:szCs w:val="21"/>
          <w:highlight w:val="none"/>
        </w:rPr>
        <w:t>）三档（</w:t>
      </w:r>
      <w:r>
        <w:rPr>
          <w:rFonts w:hint="eastAsia" w:cs="Times New Roman" w:asciiTheme="minorEastAsia" w:hAnsiTheme="minorEastAsia"/>
          <w:color w:val="auto"/>
          <w:kern w:val="0"/>
          <w:sz w:val="21"/>
          <w:szCs w:val="21"/>
          <w:highlight w:val="none"/>
          <w:lang w:val="en-US" w:eastAsia="zh-CN"/>
        </w:rPr>
        <w:t>10</w:t>
      </w:r>
      <w:r>
        <w:rPr>
          <w:rFonts w:hint="eastAsia" w:eastAsia="Times New Roman" w:cs="Times New Roman" w:asciiTheme="minorEastAsia" w:hAnsiTheme="minorEastAsia"/>
          <w:color w:val="auto"/>
          <w:kern w:val="0"/>
          <w:sz w:val="21"/>
          <w:szCs w:val="21"/>
          <w:highlight w:val="none"/>
        </w:rPr>
        <w:t>分）</w:t>
      </w:r>
    </w:p>
    <w:p>
      <w:pPr>
        <w:tabs>
          <w:tab w:val="left" w:pos="6663"/>
        </w:tabs>
        <w:spacing w:before="156" w:line="360" w:lineRule="auto"/>
        <w:ind w:firstLine="42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评定范围：人才培养方案完整，描述详细具体，与行业需求、教育教学标准、企业岗位、技术标准、学校专业群发展规划等结合紧密，方案的科学性、合理性、可行性较强。</w:t>
      </w:r>
    </w:p>
    <w:p>
      <w:pPr>
        <w:spacing w:before="156" w:line="360" w:lineRule="auto"/>
        <w:ind w:firstLine="514" w:firstLineChars="245"/>
        <w:rPr>
          <w:rFonts w:eastAsia="Times New Roman" w:cs="Times New Roman" w:asciiTheme="minorEastAsia" w:hAnsiTheme="minorEastAsia"/>
          <w:color w:val="auto"/>
          <w:kern w:val="0"/>
          <w:sz w:val="21"/>
          <w:szCs w:val="21"/>
          <w:highlight w:val="none"/>
        </w:rPr>
      </w:pPr>
      <w:r>
        <w:rPr>
          <w:rFonts w:eastAsia="Times New Roman" w:cs="Times New Roman" w:asciiTheme="minorEastAsia" w:hAnsiTheme="minorEastAsia"/>
          <w:color w:val="auto"/>
          <w:kern w:val="0"/>
          <w:sz w:val="21"/>
          <w:szCs w:val="21"/>
          <w:highlight w:val="none"/>
        </w:rPr>
        <w:t>2</w:t>
      </w:r>
      <w:r>
        <w:rPr>
          <w:rFonts w:hint="eastAsia" w:eastAsia="Times New Roman" w:cs="Times New Roman" w:asciiTheme="minorEastAsia" w:hAnsiTheme="minorEastAsia"/>
          <w:color w:val="auto"/>
          <w:kern w:val="0"/>
          <w:sz w:val="21"/>
          <w:szCs w:val="21"/>
          <w:highlight w:val="none"/>
        </w:rPr>
        <w:t>）项目建设计划书（满分</w:t>
      </w:r>
      <w:r>
        <w:rPr>
          <w:rFonts w:hint="eastAsia" w:cs="Times New Roman" w:asciiTheme="minorEastAsia" w:hAnsiTheme="minorEastAsia"/>
          <w:color w:val="auto"/>
          <w:kern w:val="0"/>
          <w:sz w:val="21"/>
          <w:szCs w:val="21"/>
          <w:highlight w:val="none"/>
          <w:lang w:val="en-US" w:eastAsia="zh-CN"/>
        </w:rPr>
        <w:t>10</w:t>
      </w:r>
      <w:r>
        <w:rPr>
          <w:rFonts w:hint="eastAsia" w:eastAsia="Times New Roman" w:cs="Times New Roman" w:asciiTheme="minorEastAsia" w:hAnsiTheme="minorEastAsia"/>
          <w:color w:val="auto"/>
          <w:kern w:val="0"/>
          <w:sz w:val="21"/>
          <w:szCs w:val="21"/>
          <w:highlight w:val="none"/>
        </w:rPr>
        <w:t>分）</w:t>
      </w:r>
    </w:p>
    <w:p>
      <w:pPr>
        <w:spacing w:before="156" w:line="360" w:lineRule="auto"/>
        <w:ind w:firstLine="514" w:firstLineChars="245"/>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基本要求：提供与本采购内容吻合的项目建设计划书：</w:t>
      </w:r>
    </w:p>
    <w:p>
      <w:pPr>
        <w:spacing w:before="156" w:line="360" w:lineRule="auto"/>
        <w:ind w:firstLine="407" w:firstLineChars="194"/>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1</w:t>
      </w:r>
      <w:r>
        <w:rPr>
          <w:rFonts w:hint="eastAsia" w:eastAsia="Times New Roman" w:cs="Times New Roman" w:asciiTheme="minorEastAsia" w:hAnsiTheme="minorEastAsia"/>
          <w:color w:val="auto"/>
          <w:kern w:val="0"/>
          <w:sz w:val="21"/>
          <w:szCs w:val="21"/>
          <w:highlight w:val="none"/>
        </w:rPr>
        <w:t>）一档（3分）</w:t>
      </w:r>
    </w:p>
    <w:p>
      <w:pPr>
        <w:spacing w:before="156" w:line="360" w:lineRule="auto"/>
        <w:ind w:firstLine="411" w:firstLineChars="196"/>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评定范围：提供有完整的项目建设计划书，但较为简单。</w:t>
      </w:r>
    </w:p>
    <w:p>
      <w:pPr>
        <w:spacing w:before="156" w:line="360" w:lineRule="auto"/>
        <w:ind w:firstLine="407" w:firstLineChars="194"/>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2</w:t>
      </w:r>
      <w:r>
        <w:rPr>
          <w:rFonts w:hint="eastAsia" w:eastAsia="Times New Roman" w:cs="Times New Roman" w:asciiTheme="minorEastAsia" w:hAnsiTheme="minorEastAsia"/>
          <w:color w:val="auto"/>
          <w:kern w:val="0"/>
          <w:sz w:val="21"/>
          <w:szCs w:val="21"/>
          <w:highlight w:val="none"/>
        </w:rPr>
        <w:t>）二档（</w:t>
      </w:r>
      <w:r>
        <w:rPr>
          <w:rFonts w:hint="eastAsia" w:cs="Times New Roman" w:asciiTheme="minorEastAsia" w:hAnsiTheme="minorEastAsia"/>
          <w:color w:val="auto"/>
          <w:kern w:val="0"/>
          <w:sz w:val="21"/>
          <w:szCs w:val="21"/>
          <w:highlight w:val="none"/>
          <w:lang w:val="en-US" w:eastAsia="zh-CN"/>
        </w:rPr>
        <w:t>6</w:t>
      </w:r>
      <w:r>
        <w:rPr>
          <w:rFonts w:hint="eastAsia" w:eastAsia="Times New Roman" w:cs="Times New Roman" w:asciiTheme="minorEastAsia" w:hAnsiTheme="minorEastAsia"/>
          <w:color w:val="auto"/>
          <w:kern w:val="0"/>
          <w:sz w:val="21"/>
          <w:szCs w:val="21"/>
          <w:highlight w:val="none"/>
        </w:rPr>
        <w:t>分）</w:t>
      </w:r>
    </w:p>
    <w:p>
      <w:pPr>
        <w:spacing w:before="156" w:line="360" w:lineRule="auto"/>
        <w:ind w:firstLine="411" w:firstLineChars="196"/>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评定范围：项目建设计划书完整，但不够具体详细，科学性、先进性和可行性一般。</w:t>
      </w:r>
    </w:p>
    <w:p>
      <w:pPr>
        <w:spacing w:before="156" w:line="360" w:lineRule="auto"/>
        <w:ind w:firstLine="407" w:firstLineChars="194"/>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eastAsia="Times New Roman" w:cs="Times New Roman" w:asciiTheme="minorEastAsia" w:hAnsiTheme="minorEastAsia"/>
          <w:color w:val="auto"/>
          <w:kern w:val="0"/>
          <w:sz w:val="21"/>
          <w:szCs w:val="21"/>
          <w:highlight w:val="none"/>
        </w:rPr>
        <w:t>3</w:t>
      </w:r>
      <w:r>
        <w:rPr>
          <w:rFonts w:hint="eastAsia" w:eastAsia="Times New Roman" w:cs="Times New Roman" w:asciiTheme="minorEastAsia" w:hAnsiTheme="minorEastAsia"/>
          <w:color w:val="auto"/>
          <w:kern w:val="0"/>
          <w:sz w:val="21"/>
          <w:szCs w:val="21"/>
          <w:highlight w:val="none"/>
        </w:rPr>
        <w:t>）三档（</w:t>
      </w:r>
      <w:r>
        <w:rPr>
          <w:rFonts w:hint="eastAsia" w:cs="Times New Roman" w:asciiTheme="minorEastAsia" w:hAnsiTheme="minorEastAsia"/>
          <w:color w:val="auto"/>
          <w:kern w:val="0"/>
          <w:sz w:val="21"/>
          <w:szCs w:val="21"/>
          <w:highlight w:val="none"/>
          <w:lang w:val="en-US" w:eastAsia="zh-CN"/>
        </w:rPr>
        <w:t>10</w:t>
      </w:r>
      <w:r>
        <w:rPr>
          <w:rFonts w:hint="eastAsia" w:eastAsia="Times New Roman" w:cs="Times New Roman" w:asciiTheme="minorEastAsia" w:hAnsiTheme="minorEastAsia"/>
          <w:color w:val="auto"/>
          <w:kern w:val="0"/>
          <w:sz w:val="21"/>
          <w:szCs w:val="21"/>
          <w:highlight w:val="none"/>
        </w:rPr>
        <w:t>分）</w:t>
      </w:r>
    </w:p>
    <w:p>
      <w:pPr>
        <w:spacing w:before="156" w:line="360" w:lineRule="auto"/>
        <w:ind w:firstLine="411" w:firstLineChars="196"/>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项目计划书完整，对资源库建设目标、建设思路、整体架构、特色与创新、建设推进计划、资源库应用推广措施均有合理的安排；对应课程均有具体的项目、任务、创新点、知识点和技能点，以及所对应的教学资源形式、数量方案。明确项目团队人员构成及其负责内容、项目进度计划。计划书整体科学合理、思路清晰，具有一定的前瞻性，充分满足资源库建设的需求。</w:t>
      </w:r>
    </w:p>
    <w:p>
      <w:pPr>
        <w:spacing w:before="156" w:line="480" w:lineRule="auto"/>
        <w:ind w:firstLine="514" w:firstLineChars="245"/>
        <w:rPr>
          <w:rFonts w:cs="Times New Roman" w:asciiTheme="minorEastAsia" w:hAnsiTheme="minorEastAsia" w:eastAsiaTheme="minorEastAsia"/>
          <w:color w:val="auto"/>
          <w:kern w:val="0"/>
          <w:sz w:val="21"/>
          <w:szCs w:val="21"/>
          <w:highlight w:val="none"/>
        </w:rPr>
      </w:pPr>
      <w:r>
        <w:rPr>
          <w:rFonts w:eastAsia="Times New Roman" w:cs="Times New Roman" w:asciiTheme="minorEastAsia" w:hAnsiTheme="minorEastAsia"/>
          <w:color w:val="auto"/>
          <w:kern w:val="0"/>
          <w:sz w:val="21"/>
          <w:szCs w:val="21"/>
          <w:highlight w:val="none"/>
        </w:rPr>
        <w:t>3</w:t>
      </w:r>
      <w:r>
        <w:rPr>
          <w:rFonts w:hint="eastAsia" w:eastAsia="Times New Roman" w:cs="Times New Roman" w:asciiTheme="minorEastAsia" w:hAnsiTheme="minorEastAsia"/>
          <w:color w:val="auto"/>
          <w:kern w:val="0"/>
          <w:sz w:val="21"/>
          <w:szCs w:val="21"/>
          <w:highlight w:val="none"/>
        </w:rPr>
        <w:t>）项目负责人情况（满分</w:t>
      </w:r>
      <w:r>
        <w:rPr>
          <w:rFonts w:hint="eastAsia" w:cs="Times New Roman" w:asciiTheme="minorEastAsia" w:hAnsiTheme="minorEastAsia"/>
          <w:color w:val="auto"/>
          <w:kern w:val="0"/>
          <w:sz w:val="21"/>
          <w:szCs w:val="21"/>
          <w:highlight w:val="none"/>
          <w:lang w:val="en-US" w:eastAsia="zh-CN"/>
        </w:rPr>
        <w:t>8</w:t>
      </w:r>
      <w:r>
        <w:rPr>
          <w:rFonts w:hint="eastAsia" w:eastAsia="Times New Roman" w:cs="Times New Roman" w:asciiTheme="minorEastAsia" w:hAnsiTheme="minorEastAsia"/>
          <w:color w:val="auto"/>
          <w:kern w:val="0"/>
          <w:sz w:val="21"/>
          <w:szCs w:val="21"/>
          <w:highlight w:val="none"/>
        </w:rPr>
        <w:t>分）</w:t>
      </w:r>
    </w:p>
    <w:p>
      <w:pPr>
        <w:spacing w:line="48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（1）学历学位：硕士及以上学位的，得3分；学士学位的，得1分；</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（2）职称：职称：通信类副高及以上职称的，得5分；通信类中级职称的，得1分；</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（需提供对应人员的身份证、学历或学位证、职称证等证书证明材料，以及2020年近三个月的社保缴纳证明材料）</w:t>
      </w:r>
    </w:p>
    <w:p>
      <w:pPr>
        <w:spacing w:before="156" w:line="480" w:lineRule="auto"/>
        <w:ind w:firstLine="514" w:firstLineChars="245"/>
        <w:rPr>
          <w:rFonts w:cs="Times New Roman" w:asciiTheme="minorEastAsia" w:hAnsiTheme="minorEastAsia" w:eastAsia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4）项目投入人员情况（满分</w:t>
      </w:r>
      <w:r>
        <w:rPr>
          <w:rFonts w:hint="eastAsia" w:cs="Times New Roman" w:asciiTheme="minorEastAsia" w:hAnsiTheme="minorEastAsia"/>
          <w:color w:val="auto"/>
          <w:kern w:val="0"/>
          <w:sz w:val="21"/>
          <w:szCs w:val="21"/>
          <w:highlight w:val="none"/>
          <w:lang w:val="en-US" w:eastAsia="zh-CN"/>
        </w:rPr>
        <w:t>12</w:t>
      </w:r>
      <w:r>
        <w:rPr>
          <w:rFonts w:hint="eastAsia" w:eastAsia="Times New Roman" w:cs="Times New Roman" w:asciiTheme="minorEastAsia" w:hAnsiTheme="minorEastAsia"/>
          <w:color w:val="auto"/>
          <w:kern w:val="0"/>
          <w:sz w:val="21"/>
          <w:szCs w:val="21"/>
          <w:highlight w:val="none"/>
        </w:rPr>
        <w:t>分）</w:t>
      </w:r>
    </w:p>
    <w:p>
      <w:pPr>
        <w:spacing w:line="48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（1）职称人数：项目人员具有通信类副高级以上职称的，每人得3分；具有通信类中级职称的，每人得2分。满分4分。</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（2）新技术证书（满分4分）：</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a、取得达索（Dassault）、欧特克（Autodesk）、本特利（Bentley）等国际主流厂商3D建模相关认证证书的，每个证书得2分；</w:t>
      </w:r>
    </w:p>
    <w:p>
      <w:pPr>
        <w:spacing w:line="360" w:lineRule="auto"/>
        <w:ind w:left="145" w:leftChars="69" w:firstLine="315" w:firstLineChars="150"/>
        <w:rPr>
          <w:rFonts w:hint="eastAsia"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（3）项目人员2019年以来与院校合作项目获得国家级二等奖以上的，每个奖项得3分；获得国家级三等奖的，每个奖项得 1分。满分4分。</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（项目人员不能与项目负责人重复。以上各项需提供对应人员的身份证、学历或学位证、职称证、认证证书等证书证明材料，以及2020年近三个月的社保缴纳证明材料）</w:t>
      </w:r>
    </w:p>
    <w:p>
      <w:pPr>
        <w:spacing w:line="360" w:lineRule="auto"/>
        <w:ind w:firstLine="103" w:firstLineChars="49"/>
        <w:rPr>
          <w:rFonts w:eastAsia="Times New Roman" w:cs="Times New Roman" w:asciiTheme="minorEastAsia" w:hAnsiTheme="minorEastAsia"/>
          <w:b/>
          <w:color w:val="auto"/>
          <w:kern w:val="0"/>
          <w:sz w:val="21"/>
          <w:szCs w:val="21"/>
          <w:highlight w:val="none"/>
        </w:rPr>
      </w:pPr>
      <w:r>
        <w:rPr>
          <w:rFonts w:eastAsia="Times New Roman" w:cs="Times New Roman" w:asciiTheme="minorEastAsia" w:hAnsiTheme="minorEastAsia"/>
          <w:b/>
          <w:color w:val="auto"/>
          <w:kern w:val="0"/>
          <w:sz w:val="21"/>
          <w:szCs w:val="21"/>
          <w:highlight w:val="none"/>
        </w:rPr>
        <w:t>3</w:t>
      </w:r>
      <w:r>
        <w:rPr>
          <w:rFonts w:hint="eastAsia" w:eastAsia="Times New Roman" w:cs="Times New Roman" w:asciiTheme="minorEastAsia" w:hAnsiTheme="minorEastAsia"/>
          <w:b/>
          <w:color w:val="auto"/>
          <w:kern w:val="0"/>
          <w:sz w:val="21"/>
          <w:szCs w:val="21"/>
          <w:highlight w:val="none"/>
        </w:rPr>
        <w:t>、商务分…………………………………………………………………………………………</w:t>
      </w:r>
      <w:r>
        <w:rPr>
          <w:rFonts w:eastAsia="Times New Roman" w:cs="Times New Roman" w:asciiTheme="minorEastAsia" w:hAnsiTheme="minorEastAsia"/>
          <w:b/>
          <w:color w:val="auto"/>
          <w:kern w:val="0"/>
          <w:sz w:val="21"/>
          <w:szCs w:val="21"/>
          <w:highlight w:val="none"/>
        </w:rPr>
        <w:t>3</w:t>
      </w:r>
      <w:r>
        <w:rPr>
          <w:rFonts w:hint="eastAsia" w:eastAsia="Times New Roman" w:cs="Times New Roman" w:asciiTheme="minorEastAsia" w:hAnsiTheme="minorEastAsia"/>
          <w:b/>
          <w:color w:val="auto"/>
          <w:kern w:val="0"/>
          <w:sz w:val="21"/>
          <w:szCs w:val="21"/>
          <w:highlight w:val="none"/>
        </w:rPr>
        <w:t>0分</w:t>
      </w:r>
    </w:p>
    <w:p>
      <w:pPr>
        <w:spacing w:line="48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 xml:space="preserve"> </w:t>
      </w:r>
      <w:r>
        <w:rPr>
          <w:rFonts w:hint="eastAsia" w:cs="Times New Roman" w:asciiTheme="minorEastAsia" w:hAnsiTheme="minorEastAsia"/>
          <w:color w:val="auto"/>
          <w:kern w:val="0"/>
          <w:sz w:val="21"/>
          <w:szCs w:val="21"/>
          <w:highlight w:val="none"/>
          <w:lang w:val="en-US" w:eastAsia="zh-CN"/>
        </w:rPr>
        <w:t>1</w:t>
      </w:r>
      <w:r>
        <w:rPr>
          <w:rFonts w:hint="eastAsia" w:eastAsia="Times New Roman" w:cs="Times New Roman" w:asciiTheme="minorEastAsia" w:hAnsiTheme="minorEastAsia"/>
          <w:color w:val="auto"/>
          <w:kern w:val="0"/>
          <w:sz w:val="21"/>
          <w:szCs w:val="21"/>
          <w:highlight w:val="none"/>
        </w:rPr>
        <w:t>）行业体系认证（满分</w:t>
      </w:r>
      <w:r>
        <w:rPr>
          <w:rFonts w:hint="eastAsia" w:cs="Times New Roman" w:asciiTheme="minorEastAsia" w:hAnsiTheme="minorEastAsia"/>
          <w:color w:val="auto"/>
          <w:kern w:val="0"/>
          <w:sz w:val="21"/>
          <w:szCs w:val="21"/>
          <w:highlight w:val="none"/>
          <w:lang w:val="en-US" w:eastAsia="zh-CN"/>
        </w:rPr>
        <w:t>12</w:t>
      </w:r>
      <w:r>
        <w:rPr>
          <w:rFonts w:hint="eastAsia" w:eastAsia="Times New Roman" w:cs="Times New Roman" w:asciiTheme="minorEastAsia" w:hAnsiTheme="minorEastAsia"/>
          <w:color w:val="auto"/>
          <w:kern w:val="0"/>
          <w:sz w:val="21"/>
          <w:szCs w:val="21"/>
          <w:highlight w:val="none"/>
        </w:rPr>
        <w:t>分）</w:t>
      </w:r>
    </w:p>
    <w:p>
      <w:pPr>
        <w:spacing w:line="48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具备国际质量体系认证、环境管理体系认证、职业健康安全管理体系认证、高新技术企业的，每个证得</w:t>
      </w:r>
      <w:r>
        <w:rPr>
          <w:rFonts w:hint="eastAsia" w:cs="Times New Roman" w:asciiTheme="minorEastAsia" w:hAnsiTheme="minorEastAsia"/>
          <w:color w:val="auto"/>
          <w:kern w:val="0"/>
          <w:sz w:val="21"/>
          <w:szCs w:val="21"/>
          <w:highlight w:val="none"/>
          <w:lang w:val="en-US" w:eastAsia="zh-CN"/>
        </w:rPr>
        <w:t>3</w:t>
      </w:r>
      <w:r>
        <w:rPr>
          <w:rFonts w:hint="eastAsia" w:eastAsia="Times New Roman" w:cs="Times New Roman" w:asciiTheme="minorEastAsia" w:hAnsiTheme="minorEastAsia"/>
          <w:color w:val="auto"/>
          <w:kern w:val="0"/>
          <w:sz w:val="21"/>
          <w:szCs w:val="21"/>
          <w:highlight w:val="none"/>
        </w:rPr>
        <w:t>分，满分</w:t>
      </w:r>
      <w:r>
        <w:rPr>
          <w:rFonts w:hint="eastAsia" w:cs="Times New Roman" w:asciiTheme="minorEastAsia" w:hAnsiTheme="minorEastAsia"/>
          <w:color w:val="auto"/>
          <w:kern w:val="0"/>
          <w:sz w:val="21"/>
          <w:szCs w:val="21"/>
          <w:highlight w:val="none"/>
          <w:lang w:val="en-US" w:eastAsia="zh-CN"/>
        </w:rPr>
        <w:t>12</w:t>
      </w:r>
      <w:r>
        <w:rPr>
          <w:rFonts w:hint="eastAsia" w:eastAsia="Times New Roman" w:cs="Times New Roman" w:asciiTheme="minorEastAsia" w:hAnsiTheme="minorEastAsia"/>
          <w:color w:val="auto"/>
          <w:kern w:val="0"/>
          <w:sz w:val="21"/>
          <w:szCs w:val="21"/>
          <w:highlight w:val="none"/>
        </w:rPr>
        <w:t>分。</w:t>
      </w:r>
    </w:p>
    <w:p>
      <w:pPr>
        <w:spacing w:line="48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cs="Times New Roman" w:asciiTheme="minorEastAsia" w:hAnsiTheme="minorEastAsia"/>
          <w:color w:val="auto"/>
          <w:kern w:val="0"/>
          <w:sz w:val="21"/>
          <w:szCs w:val="21"/>
          <w:highlight w:val="none"/>
          <w:lang w:val="en-US" w:eastAsia="zh-CN"/>
        </w:rPr>
        <w:t>2</w:t>
      </w:r>
      <w:r>
        <w:rPr>
          <w:rFonts w:hint="eastAsia" w:eastAsia="Times New Roman" w:cs="Times New Roman" w:asciiTheme="minorEastAsia" w:hAnsiTheme="minorEastAsia"/>
          <w:color w:val="auto"/>
          <w:kern w:val="0"/>
          <w:sz w:val="21"/>
          <w:szCs w:val="21"/>
          <w:highlight w:val="none"/>
        </w:rPr>
        <w:t>）相关业绩（满分</w:t>
      </w:r>
      <w:r>
        <w:rPr>
          <w:rFonts w:hint="eastAsia" w:cs="Times New Roman" w:asciiTheme="minorEastAsia" w:hAnsiTheme="minorEastAsia"/>
          <w:color w:val="auto"/>
          <w:kern w:val="0"/>
          <w:sz w:val="21"/>
          <w:szCs w:val="21"/>
          <w:highlight w:val="none"/>
          <w:lang w:val="en-US" w:eastAsia="zh-CN"/>
        </w:rPr>
        <w:t>6</w:t>
      </w:r>
      <w:r>
        <w:rPr>
          <w:rFonts w:hint="eastAsia" w:eastAsia="Times New Roman" w:cs="Times New Roman" w:asciiTheme="minorEastAsia" w:hAnsiTheme="minorEastAsia"/>
          <w:color w:val="auto"/>
          <w:kern w:val="0"/>
          <w:sz w:val="21"/>
          <w:szCs w:val="21"/>
          <w:highlight w:val="none"/>
        </w:rPr>
        <w:t>分）</w:t>
      </w:r>
    </w:p>
    <w:p>
      <w:pPr>
        <w:spacing w:line="480" w:lineRule="auto"/>
        <w:ind w:left="145" w:leftChars="69" w:firstLine="315" w:firstLineChars="150"/>
        <w:rPr>
          <w:rFonts w:hint="eastAsia"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w:t>
      </w:r>
      <w:r>
        <w:rPr>
          <w:rFonts w:hint="eastAsia" w:cs="Times New Roman" w:asciiTheme="minorEastAsia" w:hAnsiTheme="minorEastAsia"/>
          <w:color w:val="auto"/>
          <w:kern w:val="0"/>
          <w:sz w:val="21"/>
          <w:szCs w:val="21"/>
          <w:highlight w:val="none"/>
          <w:lang w:val="en-US" w:eastAsia="zh-CN"/>
        </w:rPr>
        <w:t>1</w:t>
      </w:r>
      <w:r>
        <w:rPr>
          <w:rFonts w:hint="eastAsia" w:eastAsia="Times New Roman" w:cs="Times New Roman" w:asciiTheme="minorEastAsia" w:hAnsiTheme="minorEastAsia"/>
          <w:color w:val="auto"/>
          <w:kern w:val="0"/>
          <w:sz w:val="21"/>
          <w:szCs w:val="21"/>
          <w:highlight w:val="none"/>
        </w:rPr>
        <w:t>）投标人自2017年以来具有高职移动通信技术专业教学资源库建设类的，每项得</w:t>
      </w:r>
      <w:r>
        <w:rPr>
          <w:rFonts w:hint="eastAsia" w:cs="Times New Roman" w:asciiTheme="minorEastAsia" w:hAnsiTheme="minorEastAsia"/>
          <w:color w:val="auto"/>
          <w:kern w:val="0"/>
          <w:sz w:val="21"/>
          <w:szCs w:val="21"/>
          <w:highlight w:val="none"/>
          <w:lang w:val="en-US" w:eastAsia="zh-CN"/>
        </w:rPr>
        <w:t>6</w:t>
      </w:r>
      <w:r>
        <w:rPr>
          <w:rFonts w:hint="eastAsia" w:eastAsia="Times New Roman" w:cs="Times New Roman" w:asciiTheme="minorEastAsia" w:hAnsiTheme="minorEastAsia"/>
          <w:color w:val="auto"/>
          <w:kern w:val="0"/>
          <w:sz w:val="21"/>
          <w:szCs w:val="21"/>
          <w:highlight w:val="none"/>
        </w:rPr>
        <w:t>分，最高得</w:t>
      </w:r>
      <w:r>
        <w:rPr>
          <w:rFonts w:hint="eastAsia" w:cs="Times New Roman" w:asciiTheme="minorEastAsia" w:hAnsiTheme="minorEastAsia"/>
          <w:color w:val="auto"/>
          <w:kern w:val="0"/>
          <w:sz w:val="21"/>
          <w:szCs w:val="21"/>
          <w:highlight w:val="none"/>
          <w:lang w:val="en-US" w:eastAsia="zh-CN"/>
        </w:rPr>
        <w:t>6</w:t>
      </w:r>
      <w:r>
        <w:rPr>
          <w:rFonts w:hint="eastAsia" w:eastAsia="Times New Roman" w:cs="Times New Roman" w:asciiTheme="minorEastAsia" w:hAnsiTheme="minorEastAsia"/>
          <w:color w:val="auto"/>
          <w:kern w:val="0"/>
          <w:sz w:val="21"/>
          <w:szCs w:val="21"/>
          <w:highlight w:val="none"/>
        </w:rPr>
        <w:t>分。（以中标通知书或合同复印件为准）</w:t>
      </w:r>
    </w:p>
    <w:p>
      <w:pPr>
        <w:spacing w:line="48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cs="Times New Roman" w:asciiTheme="minorEastAsia" w:hAnsiTheme="minorEastAsia"/>
          <w:color w:val="auto"/>
          <w:kern w:val="0"/>
          <w:sz w:val="21"/>
          <w:szCs w:val="21"/>
          <w:highlight w:val="none"/>
          <w:lang w:val="en-US" w:eastAsia="zh-CN"/>
        </w:rPr>
        <w:t>3</w:t>
      </w:r>
      <w:r>
        <w:rPr>
          <w:rFonts w:hint="eastAsia" w:eastAsia="Times New Roman" w:cs="Times New Roman" w:asciiTheme="minorEastAsia" w:hAnsiTheme="minorEastAsia"/>
          <w:color w:val="auto"/>
          <w:kern w:val="0"/>
          <w:sz w:val="21"/>
          <w:szCs w:val="21"/>
          <w:highlight w:val="none"/>
        </w:rPr>
        <w:t>）售后服务方案情况（满分</w:t>
      </w:r>
      <w:r>
        <w:rPr>
          <w:rFonts w:hint="eastAsia" w:cs="Times New Roman" w:asciiTheme="minorEastAsia" w:hAnsiTheme="minorEastAsia"/>
          <w:color w:val="auto"/>
          <w:kern w:val="0"/>
          <w:sz w:val="21"/>
          <w:szCs w:val="21"/>
          <w:highlight w:val="none"/>
          <w:lang w:val="en-US" w:eastAsia="zh-CN"/>
        </w:rPr>
        <w:t>12</w:t>
      </w:r>
      <w:r>
        <w:rPr>
          <w:rFonts w:hint="eastAsia" w:eastAsia="Times New Roman" w:cs="Times New Roman" w:asciiTheme="minorEastAsia" w:hAnsiTheme="minorEastAsia"/>
          <w:color w:val="auto"/>
          <w:kern w:val="0"/>
          <w:sz w:val="21"/>
          <w:szCs w:val="21"/>
          <w:highlight w:val="none"/>
        </w:rPr>
        <w:t>分）</w:t>
      </w:r>
    </w:p>
    <w:p>
      <w:pPr>
        <w:spacing w:line="48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（1）一档（3分）</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评定范围：投标人提供的售后服务方案和承诺较简单。</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（2）二档（</w:t>
      </w:r>
      <w:r>
        <w:rPr>
          <w:rFonts w:hint="eastAsia" w:cs="Times New Roman" w:asciiTheme="minorEastAsia" w:hAnsiTheme="minorEastAsia"/>
          <w:color w:val="auto"/>
          <w:kern w:val="0"/>
          <w:sz w:val="21"/>
          <w:szCs w:val="21"/>
          <w:highlight w:val="none"/>
          <w:lang w:val="en-US" w:eastAsia="zh-CN"/>
        </w:rPr>
        <w:t>7</w:t>
      </w:r>
      <w:r>
        <w:rPr>
          <w:rFonts w:hint="eastAsia" w:eastAsia="Times New Roman" w:cs="Times New Roman" w:asciiTheme="minorEastAsia" w:hAnsiTheme="minorEastAsia"/>
          <w:color w:val="auto"/>
          <w:kern w:val="0"/>
          <w:sz w:val="21"/>
          <w:szCs w:val="21"/>
          <w:highlight w:val="none"/>
        </w:rPr>
        <w:t>分）</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评定范围：投标人提供的售后服务方案和承诺，科学性及可行性一般。</w:t>
      </w:r>
    </w:p>
    <w:p>
      <w:pPr>
        <w:spacing w:line="360" w:lineRule="auto"/>
        <w:ind w:left="145" w:leftChars="69" w:firstLine="315" w:firstLineChars="150"/>
        <w:rPr>
          <w:rFonts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（3）三档（</w:t>
      </w:r>
      <w:r>
        <w:rPr>
          <w:rFonts w:hint="eastAsia" w:cs="Times New Roman" w:asciiTheme="minorEastAsia" w:hAnsiTheme="minorEastAsia"/>
          <w:color w:val="auto"/>
          <w:kern w:val="0"/>
          <w:sz w:val="21"/>
          <w:szCs w:val="21"/>
          <w:highlight w:val="none"/>
          <w:lang w:val="en-US" w:eastAsia="zh-CN"/>
        </w:rPr>
        <w:t>12</w:t>
      </w:r>
      <w:r>
        <w:rPr>
          <w:rFonts w:hint="eastAsia" w:eastAsia="Times New Roman" w:cs="Times New Roman" w:asciiTheme="minorEastAsia" w:hAnsiTheme="minorEastAsia"/>
          <w:color w:val="auto"/>
          <w:kern w:val="0"/>
          <w:sz w:val="21"/>
          <w:szCs w:val="21"/>
          <w:highlight w:val="none"/>
        </w:rPr>
        <w:t>分）</w:t>
      </w:r>
    </w:p>
    <w:p>
      <w:pPr>
        <w:spacing w:line="360" w:lineRule="auto"/>
        <w:ind w:left="145" w:leftChars="69" w:firstLine="315" w:firstLineChars="150"/>
        <w:rPr>
          <w:rFonts w:hint="eastAsia" w:eastAsia="Times New Roman" w:cs="Times New Roman" w:asciiTheme="minorEastAsia" w:hAnsiTheme="minorEastAsia"/>
          <w:color w:val="auto"/>
          <w:kern w:val="0"/>
          <w:sz w:val="21"/>
          <w:szCs w:val="21"/>
          <w:highlight w:val="none"/>
        </w:rPr>
      </w:pPr>
      <w:r>
        <w:rPr>
          <w:rFonts w:hint="eastAsia" w:eastAsia="Times New Roman" w:cs="Times New Roman" w:asciiTheme="minorEastAsia" w:hAnsiTheme="minorEastAsia"/>
          <w:color w:val="auto"/>
          <w:kern w:val="0"/>
          <w:sz w:val="21"/>
          <w:szCs w:val="21"/>
          <w:highlight w:val="none"/>
        </w:rPr>
        <w:t>评定范围：投标人提供的售后服务方案和承诺完整详细、具体明确、科学合理、可行性高；并承诺免费对采购单位的需求变更进行完善；承诺协助专业教学资源库在全国范围内推广应用，并通过自治区教育主管部门验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诚信分………………………………………………（-6分）</w:t>
      </w:r>
    </w:p>
    <w:p>
      <w:pPr>
        <w:spacing w:line="360" w:lineRule="auto"/>
        <w:ind w:firstLine="420" w:firstLineChars="200"/>
        <w:rPr>
          <w:rFonts w:hint="eastAsia"/>
          <w:color w:val="auto"/>
          <w:highlight w:val="none"/>
          <w:lang w:eastAsia="zh-CN"/>
        </w:rPr>
      </w:pPr>
      <w:r>
        <w:rPr>
          <w:rFonts w:ascii="宋体" w:hAnsi="宋体"/>
          <w:color w:val="auto"/>
          <w:szCs w:val="21"/>
          <w:highlight w:val="none"/>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ind w:firstLine="420" w:firstLineChars="200"/>
        <w:rPr>
          <w:rFonts w:eastAsia="Times New Roman" w:cs="Times New Roman" w:asciiTheme="minorEastAsia" w:hAnsiTheme="minorEastAsia"/>
          <w:b/>
          <w:color w:val="auto"/>
          <w:kern w:val="0"/>
          <w:sz w:val="21"/>
          <w:szCs w:val="21"/>
          <w:highlight w:val="none"/>
        </w:rPr>
      </w:pPr>
      <w:r>
        <w:rPr>
          <w:rFonts w:hint="eastAsia" w:eastAsia="Times New Roman" w:cs="Times New Roman" w:asciiTheme="minorEastAsia" w:hAnsiTheme="minorEastAsia"/>
          <w:b/>
          <w:color w:val="auto"/>
          <w:kern w:val="0"/>
          <w:sz w:val="21"/>
          <w:szCs w:val="21"/>
          <w:highlight w:val="none"/>
        </w:rPr>
        <w:t>（三）总得分＝</w:t>
      </w:r>
      <w:r>
        <w:rPr>
          <w:rFonts w:eastAsia="Times New Roman" w:cs="Times New Roman" w:asciiTheme="minorEastAsia" w:hAnsiTheme="minorEastAsia"/>
          <w:b/>
          <w:color w:val="auto"/>
          <w:kern w:val="0"/>
          <w:sz w:val="21"/>
          <w:szCs w:val="21"/>
          <w:highlight w:val="none"/>
        </w:rPr>
        <w:t>1</w:t>
      </w:r>
      <w:r>
        <w:rPr>
          <w:rFonts w:hint="eastAsia" w:eastAsia="Times New Roman" w:cs="Times New Roman" w:asciiTheme="minorEastAsia" w:hAnsiTheme="minorEastAsia"/>
          <w:b/>
          <w:color w:val="auto"/>
          <w:kern w:val="0"/>
          <w:sz w:val="21"/>
          <w:szCs w:val="21"/>
          <w:highlight w:val="none"/>
        </w:rPr>
        <w:t>＋</w:t>
      </w:r>
      <w:r>
        <w:rPr>
          <w:rFonts w:eastAsia="Times New Roman" w:cs="Times New Roman" w:asciiTheme="minorEastAsia" w:hAnsiTheme="minorEastAsia"/>
          <w:b/>
          <w:color w:val="auto"/>
          <w:kern w:val="0"/>
          <w:sz w:val="21"/>
          <w:szCs w:val="21"/>
          <w:highlight w:val="none"/>
        </w:rPr>
        <w:t>2</w:t>
      </w:r>
      <w:r>
        <w:rPr>
          <w:rFonts w:hint="eastAsia" w:eastAsia="Times New Roman" w:cs="Times New Roman" w:asciiTheme="minorEastAsia" w:hAnsiTheme="minorEastAsia"/>
          <w:b/>
          <w:color w:val="auto"/>
          <w:kern w:val="0"/>
          <w:sz w:val="21"/>
          <w:szCs w:val="21"/>
          <w:highlight w:val="none"/>
        </w:rPr>
        <w:t>＋</w:t>
      </w:r>
      <w:r>
        <w:rPr>
          <w:rFonts w:eastAsia="Times New Roman" w:cs="Times New Roman" w:asciiTheme="minorEastAsia" w:hAnsiTheme="minorEastAsia"/>
          <w:b/>
          <w:color w:val="auto"/>
          <w:kern w:val="0"/>
          <w:sz w:val="21"/>
          <w:szCs w:val="21"/>
          <w:highlight w:val="none"/>
        </w:rPr>
        <w:t>3</w:t>
      </w:r>
      <w:r>
        <w:rPr>
          <w:rFonts w:hint="eastAsia" w:cs="Times New Roman" w:asciiTheme="minorEastAsia" w:hAnsiTheme="minorEastAsia"/>
          <w:b/>
          <w:color w:val="auto"/>
          <w:kern w:val="0"/>
          <w:sz w:val="21"/>
          <w:szCs w:val="21"/>
          <w:highlight w:val="none"/>
          <w:lang w:val="en-US" w:eastAsia="zh-CN"/>
        </w:rPr>
        <w:t xml:space="preserve"> </w:t>
      </w:r>
      <w:r>
        <w:rPr>
          <w:rFonts w:hint="eastAsia" w:eastAsia="宋体" w:cs="Times New Roman" w:asciiTheme="minorEastAsia" w:hAnsiTheme="minorEastAsia"/>
          <w:b/>
          <w:color w:val="auto"/>
          <w:kern w:val="0"/>
          <w:sz w:val="21"/>
          <w:szCs w:val="21"/>
          <w:highlight w:val="none"/>
          <w:lang w:val="en-US" w:eastAsia="zh-CN"/>
        </w:rPr>
        <w:t>+</w:t>
      </w:r>
      <w:r>
        <w:rPr>
          <w:rFonts w:hint="eastAsia" w:cs="Times New Roman" w:asciiTheme="minorEastAsia" w:hAnsiTheme="minorEastAsia"/>
          <w:b/>
          <w:color w:val="auto"/>
          <w:kern w:val="0"/>
          <w:sz w:val="21"/>
          <w:szCs w:val="21"/>
          <w:highlight w:val="none"/>
          <w:lang w:val="en-US" w:eastAsia="zh-CN"/>
        </w:rPr>
        <w:t xml:space="preserve"> </w:t>
      </w:r>
      <w:r>
        <w:rPr>
          <w:rFonts w:hint="eastAsia" w:eastAsia="宋体" w:cs="Times New Roman" w:asciiTheme="minorEastAsia" w:hAnsiTheme="minorEastAsia"/>
          <w:b/>
          <w:color w:val="auto"/>
          <w:kern w:val="0"/>
          <w:sz w:val="21"/>
          <w:szCs w:val="21"/>
          <w:highlight w:val="none"/>
          <w:lang w:val="en-US" w:eastAsia="zh-CN"/>
        </w:rPr>
        <w:t>4</w:t>
      </w:r>
      <w:r>
        <w:rPr>
          <w:rFonts w:hint="eastAsia" w:eastAsia="Times New Roman" w:cs="Times New Roman" w:asciiTheme="minorEastAsia" w:hAnsiTheme="minorEastAsia"/>
          <w:b/>
          <w:color w:val="auto"/>
          <w:kern w:val="0"/>
          <w:sz w:val="21"/>
          <w:szCs w:val="21"/>
          <w:highlight w:val="none"/>
        </w:rPr>
        <w:t>。</w:t>
      </w:r>
    </w:p>
    <w:p>
      <w:pPr>
        <w:pStyle w:val="18"/>
        <w:spacing w:line="380" w:lineRule="exact"/>
        <w:ind w:firstLine="420" w:firstLineChars="200"/>
        <w:rPr>
          <w:rFonts w:hint="eastAsia" w:ascii="Times New Roman" w:hAnsi="Times New Roman"/>
          <w:b/>
          <w:color w:val="auto"/>
          <w:sz w:val="36"/>
          <w:highlight w:val="none"/>
        </w:rPr>
      </w:pPr>
      <w:r>
        <w:rPr>
          <w:rFonts w:hint="eastAsia" w:eastAsia="Times New Roman" w:cs="Times New Roman" w:asciiTheme="minorEastAsia" w:hAnsiTheme="minorEastAsia"/>
          <w:color w:val="auto"/>
          <w:kern w:val="0"/>
          <w:sz w:val="21"/>
          <w:szCs w:val="21"/>
          <w:highlight w:val="none"/>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int="eastAsia" w:ascii="Times New Roman" w:hAnsi="Times New Roman"/>
          <w:b/>
          <w:color w:val="auto"/>
          <w:sz w:val="36"/>
          <w:highlight w:val="none"/>
        </w:rPr>
      </w:pPr>
    </w:p>
    <w:p>
      <w:pPr>
        <w:pStyle w:val="18"/>
        <w:spacing w:line="380" w:lineRule="exact"/>
        <w:ind w:firstLine="2891" w:firstLineChars="800"/>
        <w:rPr>
          <w:rFonts w:hAnsi="宋体"/>
          <w:b/>
          <w:color w:val="auto"/>
          <w:sz w:val="36"/>
          <w:szCs w:val="36"/>
          <w:highlight w:val="none"/>
        </w:rPr>
      </w:pPr>
      <w:r>
        <w:rPr>
          <w:rFonts w:hint="eastAsia" w:ascii="Times New Roman" w:hAnsi="Times New Roman"/>
          <w:b/>
          <w:color w:val="auto"/>
          <w:sz w:val="36"/>
          <w:highlight w:val="none"/>
        </w:rPr>
        <w:t>第四章  投标人须知</w:t>
      </w:r>
      <w:bookmarkEnd w:id="3"/>
      <w:bookmarkEnd w:id="4"/>
      <w:bookmarkEnd w:id="54"/>
      <w:bookmarkEnd w:id="55"/>
      <w:bookmarkEnd w:id="56"/>
      <w:bookmarkStart w:id="57" w:name="_Toc213326415"/>
    </w:p>
    <w:p>
      <w:pPr>
        <w:pStyle w:val="18"/>
        <w:spacing w:line="720" w:lineRule="auto"/>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投标人须知前附表</w:t>
      </w:r>
      <w:bookmarkEnd w:id="57"/>
      <w:r>
        <w:rPr>
          <w:rFonts w:hint="eastAsia" w:ascii="Times New Roman" w:hAnsi="Times New Roman"/>
          <w:b/>
          <w:color w:val="auto"/>
          <w:sz w:val="30"/>
          <w:szCs w:val="30"/>
          <w:highlight w:val="none"/>
        </w:rPr>
        <w:t xml:space="preserve"> </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389"/>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b/>
                <w:color w:val="auto"/>
                <w:szCs w:val="21"/>
                <w:highlight w:val="none"/>
              </w:rPr>
            </w:pPr>
            <w:r>
              <w:rPr>
                <w:rFonts w:hint="eastAsia" w:hAnsi="宋体"/>
                <w:b/>
                <w:color w:val="auto"/>
                <w:szCs w:val="21"/>
                <w:highlight w:val="none"/>
              </w:rPr>
              <w:t>条款号</w:t>
            </w:r>
          </w:p>
        </w:tc>
        <w:tc>
          <w:tcPr>
            <w:tcW w:w="2389" w:type="dxa"/>
            <w:vAlign w:val="center"/>
          </w:tcPr>
          <w:p>
            <w:pPr>
              <w:pStyle w:val="18"/>
              <w:spacing w:line="240" w:lineRule="atLeast"/>
              <w:jc w:val="center"/>
              <w:rPr>
                <w:rFonts w:hAnsi="宋体"/>
                <w:b/>
                <w:color w:val="auto"/>
                <w:szCs w:val="21"/>
                <w:highlight w:val="none"/>
              </w:rPr>
            </w:pPr>
            <w:r>
              <w:rPr>
                <w:rFonts w:hint="eastAsia" w:hAnsi="宋体"/>
                <w:b/>
                <w:color w:val="auto"/>
                <w:szCs w:val="21"/>
                <w:highlight w:val="none"/>
              </w:rPr>
              <w:t>条款名称</w:t>
            </w:r>
          </w:p>
        </w:tc>
        <w:tc>
          <w:tcPr>
            <w:tcW w:w="6484" w:type="dxa"/>
          </w:tcPr>
          <w:p>
            <w:pPr>
              <w:pStyle w:val="18"/>
              <w:spacing w:line="240" w:lineRule="atLeast"/>
              <w:jc w:val="center"/>
              <w:rPr>
                <w:rFonts w:hAnsi="宋体"/>
                <w:b/>
                <w:color w:val="auto"/>
                <w:szCs w:val="21"/>
                <w:highlight w:val="none"/>
              </w:rPr>
            </w:pPr>
            <w:r>
              <w:rPr>
                <w:rFonts w:hint="eastAsia" w:hAnsi="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采购人</w:t>
            </w:r>
          </w:p>
        </w:tc>
        <w:tc>
          <w:tcPr>
            <w:tcW w:w="6484" w:type="dxa"/>
            <w:vAlign w:val="center"/>
          </w:tcPr>
          <w:p>
            <w:pPr>
              <w:pStyle w:val="18"/>
              <w:spacing w:line="360" w:lineRule="exact"/>
              <w:rPr>
                <w:rFonts w:cs="宋体"/>
                <w:color w:val="auto"/>
                <w:szCs w:val="21"/>
                <w:highlight w:val="none"/>
              </w:rPr>
            </w:pPr>
            <w:r>
              <w:rPr>
                <w:rFonts w:cs="宋体"/>
                <w:color w:val="auto"/>
                <w:szCs w:val="21"/>
                <w:highlight w:val="none"/>
              </w:rPr>
              <w:t>名称：</w:t>
            </w:r>
            <w:r>
              <w:rPr>
                <w:rFonts w:hint="eastAsia" w:cs="宋体"/>
                <w:color w:val="auto"/>
                <w:szCs w:val="21"/>
                <w:highlight w:val="none"/>
              </w:rPr>
              <w:t>南宁职业技术学院</w:t>
            </w:r>
          </w:p>
          <w:p>
            <w:pPr>
              <w:pStyle w:val="18"/>
              <w:spacing w:line="360" w:lineRule="exact"/>
              <w:rPr>
                <w:color w:val="auto"/>
                <w:highlight w:val="none"/>
              </w:rPr>
            </w:pPr>
            <w:r>
              <w:rPr>
                <w:rFonts w:hint="eastAsia"/>
                <w:color w:val="auto"/>
                <w:highlight w:val="none"/>
              </w:rPr>
              <w:t xml:space="preserve">联系人：莫老师，联系电话：0771-2029355 </w:t>
            </w:r>
          </w:p>
          <w:p>
            <w:pPr>
              <w:pStyle w:val="18"/>
              <w:spacing w:line="240" w:lineRule="atLeast"/>
              <w:rPr>
                <w:rFonts w:hAnsi="宋体" w:cs="Arial"/>
                <w:color w:val="auto"/>
                <w:szCs w:val="21"/>
                <w:highlight w:val="none"/>
                <w:u w:val="single"/>
              </w:rPr>
            </w:pPr>
            <w:r>
              <w:rPr>
                <w:rFonts w:hint="eastAsia"/>
                <w:color w:val="auto"/>
                <w:highlight w:val="none"/>
              </w:rPr>
              <w:t xml:space="preserve">联系地址：广西南宁市西乡塘区大学西路169号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1.2</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采购代理机构</w:t>
            </w:r>
          </w:p>
        </w:tc>
        <w:tc>
          <w:tcPr>
            <w:tcW w:w="6484" w:type="dxa"/>
            <w:vAlign w:val="center"/>
          </w:tcPr>
          <w:p>
            <w:pPr>
              <w:pStyle w:val="18"/>
              <w:spacing w:line="360" w:lineRule="exact"/>
              <w:rPr>
                <w:color w:val="auto"/>
                <w:highlight w:val="none"/>
              </w:rPr>
            </w:pPr>
            <w:r>
              <w:rPr>
                <w:rFonts w:hint="eastAsia"/>
                <w:color w:val="auto"/>
                <w:highlight w:val="none"/>
              </w:rPr>
              <w:t xml:space="preserve">名称：中昕国际项目管理有限公司 </w:t>
            </w:r>
          </w:p>
          <w:p>
            <w:pPr>
              <w:pStyle w:val="18"/>
              <w:spacing w:line="360" w:lineRule="exact"/>
              <w:rPr>
                <w:color w:val="auto"/>
                <w:highlight w:val="none"/>
              </w:rPr>
            </w:pPr>
            <w:r>
              <w:rPr>
                <w:rFonts w:hint="eastAsia"/>
                <w:color w:val="auto"/>
                <w:highlight w:val="none"/>
              </w:rPr>
              <w:t>地址：</w:t>
            </w:r>
            <w:r>
              <w:rPr>
                <w:rFonts w:hint="eastAsia" w:hAnsi="宋体" w:cs="Arial"/>
                <w:color w:val="auto"/>
                <w:kern w:val="1"/>
                <w:szCs w:val="21"/>
                <w:highlight w:val="none"/>
              </w:rPr>
              <w:t>南宁市青秀区枫林路11号枫林蓝岸1号楼1单元1101号。</w:t>
            </w:r>
          </w:p>
          <w:p>
            <w:pPr>
              <w:pStyle w:val="18"/>
              <w:spacing w:line="360" w:lineRule="exact"/>
              <w:rPr>
                <w:color w:val="auto"/>
                <w:highlight w:val="none"/>
              </w:rPr>
            </w:pPr>
            <w:r>
              <w:rPr>
                <w:rFonts w:hint="eastAsia"/>
                <w:color w:val="auto"/>
                <w:highlight w:val="none"/>
              </w:rPr>
              <w:t xml:space="preserve">项目联系人：余晖 </w:t>
            </w:r>
          </w:p>
          <w:p>
            <w:pPr>
              <w:pStyle w:val="18"/>
              <w:spacing w:line="360" w:lineRule="exact"/>
              <w:rPr>
                <w:color w:val="auto"/>
                <w:highlight w:val="none"/>
              </w:rPr>
            </w:pPr>
            <w:r>
              <w:rPr>
                <w:rFonts w:hint="eastAsia"/>
                <w:color w:val="auto"/>
                <w:highlight w:val="none"/>
              </w:rPr>
              <w:t>联系电话：</w:t>
            </w:r>
            <w:bookmarkStart w:id="58" w:name="CgwjmbEntity：TEL_0"/>
            <w:bookmarkEnd w:id="58"/>
            <w:r>
              <w:rPr>
                <w:rFonts w:hint="eastAsia"/>
                <w:color w:val="auto"/>
                <w:highlight w:val="none"/>
              </w:rPr>
              <w:t>0771-5670450</w:t>
            </w:r>
          </w:p>
          <w:p>
            <w:pPr>
              <w:pStyle w:val="18"/>
              <w:spacing w:line="240" w:lineRule="atLeast"/>
              <w:rPr>
                <w:rFonts w:hAnsi="宋体"/>
                <w:color w:val="auto"/>
                <w:szCs w:val="21"/>
                <w:highlight w:val="none"/>
              </w:rPr>
            </w:pPr>
            <w:r>
              <w:rPr>
                <w:rFonts w:hint="eastAsia"/>
                <w:color w:val="auto"/>
                <w:highlight w:val="none"/>
              </w:rPr>
              <w:t>传真电话：0771-5670645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1.3</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项目名称</w:t>
            </w:r>
          </w:p>
        </w:tc>
        <w:tc>
          <w:tcPr>
            <w:tcW w:w="6484" w:type="dxa"/>
            <w:vAlign w:val="center"/>
          </w:tcPr>
          <w:p>
            <w:pPr>
              <w:pStyle w:val="18"/>
              <w:spacing w:line="240" w:lineRule="atLeast"/>
              <w:rPr>
                <w:rFonts w:hint="eastAsia" w:hAnsi="宋体" w:eastAsia="宋体"/>
                <w:color w:val="auto"/>
                <w:szCs w:val="21"/>
                <w:highlight w:val="none"/>
                <w:lang w:eastAsia="zh-CN"/>
              </w:rPr>
            </w:pPr>
            <w:r>
              <w:rPr>
                <w:rFonts w:hint="eastAsia" w:hAnsi="宋体"/>
                <w:color w:val="auto"/>
                <w:szCs w:val="21"/>
                <w:highlight w:val="none"/>
                <w:lang w:eastAsia="zh-CN"/>
              </w:rPr>
              <w:t>南宁职业技术学院软件技术专业群2020年度“双高”课程资源建设采购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1.4</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项目编号</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NNZC2020-G3-990494-ZXGJ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预算金额</w:t>
            </w:r>
          </w:p>
        </w:tc>
        <w:tc>
          <w:tcPr>
            <w:tcW w:w="6484" w:type="dxa"/>
            <w:vAlign w:val="center"/>
          </w:tcPr>
          <w:p>
            <w:pPr>
              <w:pStyle w:val="18"/>
              <w:spacing w:line="240" w:lineRule="atLeast"/>
              <w:rPr>
                <w:rFonts w:hint="eastAsia" w:hAnsi="宋体"/>
                <w:color w:val="auto"/>
                <w:szCs w:val="21"/>
                <w:highlight w:val="none"/>
              </w:rPr>
            </w:pPr>
            <w:r>
              <w:rPr>
                <w:rFonts w:hint="eastAsia" w:hAnsi="宋体"/>
                <w:color w:val="auto"/>
                <w:szCs w:val="21"/>
                <w:highlight w:val="none"/>
              </w:rPr>
              <w:t>A分标：叁拾陆万元整（￥360000.00）；</w:t>
            </w:r>
          </w:p>
          <w:p>
            <w:pPr>
              <w:pStyle w:val="18"/>
              <w:spacing w:line="240" w:lineRule="atLeast"/>
              <w:rPr>
                <w:rFonts w:hint="eastAsia" w:hAnsi="宋体"/>
                <w:color w:val="auto"/>
                <w:szCs w:val="21"/>
                <w:highlight w:val="none"/>
              </w:rPr>
            </w:pPr>
            <w:r>
              <w:rPr>
                <w:rFonts w:hint="eastAsia" w:hAnsi="宋体"/>
                <w:color w:val="auto"/>
                <w:szCs w:val="21"/>
                <w:highlight w:val="none"/>
              </w:rPr>
              <w:t>B分标：陆万元整（￥60000.00）；</w:t>
            </w:r>
          </w:p>
          <w:p>
            <w:pPr>
              <w:pStyle w:val="18"/>
              <w:spacing w:line="240" w:lineRule="atLeast"/>
              <w:rPr>
                <w:rFonts w:hint="eastAsia" w:hAnsi="宋体"/>
                <w:color w:val="auto"/>
                <w:szCs w:val="21"/>
                <w:highlight w:val="none"/>
              </w:rPr>
            </w:pPr>
            <w:r>
              <w:rPr>
                <w:rFonts w:hint="eastAsia" w:hAnsi="宋体"/>
                <w:color w:val="auto"/>
                <w:szCs w:val="21"/>
                <w:highlight w:val="none"/>
              </w:rPr>
              <w:t>C分标：壹拾万零伍仟元整（￥105000.00）；</w:t>
            </w:r>
          </w:p>
          <w:p>
            <w:pPr>
              <w:pStyle w:val="18"/>
              <w:spacing w:line="240" w:lineRule="atLeast"/>
              <w:rPr>
                <w:rFonts w:hint="eastAsia" w:hAnsi="宋体"/>
                <w:color w:val="auto"/>
                <w:szCs w:val="21"/>
                <w:highlight w:val="none"/>
              </w:rPr>
            </w:pPr>
            <w:r>
              <w:rPr>
                <w:rFonts w:hint="eastAsia" w:hAnsi="宋体"/>
                <w:color w:val="auto"/>
                <w:szCs w:val="21"/>
                <w:highlight w:val="none"/>
              </w:rPr>
              <w:t xml:space="preserve">D分标：贰拾贰万伍仟元整（￥225000.00 ）；      </w:t>
            </w:r>
          </w:p>
          <w:p>
            <w:pPr>
              <w:pStyle w:val="18"/>
              <w:spacing w:line="240" w:lineRule="atLeast"/>
              <w:rPr>
                <w:rFonts w:hint="eastAsia" w:hAnsi="宋体" w:eastAsia="宋体"/>
                <w:color w:val="auto"/>
                <w:szCs w:val="21"/>
                <w:highlight w:val="none"/>
                <w:lang w:val="en-US" w:eastAsia="zh-CN"/>
              </w:rPr>
            </w:pPr>
            <w:r>
              <w:rPr>
                <w:rFonts w:hint="eastAsia" w:hAnsi="宋体"/>
                <w:color w:val="auto"/>
                <w:szCs w:val="21"/>
                <w:highlight w:val="none"/>
              </w:rPr>
              <w:t>E分标：壹拾万元整（￥100000.00）</w:t>
            </w:r>
            <w:r>
              <w:rPr>
                <w:rFonts w:hint="eastAsia"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1.7</w:t>
            </w:r>
          </w:p>
        </w:tc>
        <w:tc>
          <w:tcPr>
            <w:tcW w:w="2389" w:type="dxa"/>
            <w:vAlign w:val="center"/>
          </w:tcPr>
          <w:p>
            <w:pPr>
              <w:pStyle w:val="18"/>
              <w:spacing w:line="360" w:lineRule="exact"/>
              <w:jc w:val="center"/>
              <w:rPr>
                <w:rFonts w:hAnsi="宋体"/>
                <w:color w:val="auto"/>
                <w:szCs w:val="21"/>
                <w:highlight w:val="none"/>
              </w:rPr>
            </w:pPr>
            <w:r>
              <w:rPr>
                <w:rFonts w:hint="eastAsia" w:hAnsi="宋体"/>
                <w:color w:val="auto"/>
                <w:szCs w:val="21"/>
                <w:highlight w:val="none"/>
              </w:rPr>
              <w:t>获取招标文件的时间、地点、方式及招标文件售价</w:t>
            </w:r>
          </w:p>
        </w:tc>
        <w:tc>
          <w:tcPr>
            <w:tcW w:w="6484" w:type="dxa"/>
            <w:vAlign w:val="center"/>
          </w:tcPr>
          <w:p>
            <w:pPr>
              <w:pStyle w:val="18"/>
              <w:spacing w:line="240" w:lineRule="atLeast"/>
              <w:rPr>
                <w:rFonts w:hAnsi="宋体" w:cs="Arial"/>
                <w:color w:val="auto"/>
                <w:szCs w:val="21"/>
                <w:highlight w:val="none"/>
              </w:rPr>
            </w:pPr>
            <w:r>
              <w:rPr>
                <w:rFonts w:hint="eastAsia" w:hAnsi="宋体" w:cs="Arial"/>
                <w:color w:val="auto"/>
                <w:szCs w:val="21"/>
                <w:highlight w:val="none"/>
              </w:rPr>
              <w:t>时间：自公告发布之日起。</w:t>
            </w:r>
          </w:p>
          <w:p>
            <w:pPr>
              <w:pStyle w:val="18"/>
              <w:spacing w:line="240" w:lineRule="atLeast"/>
              <w:rPr>
                <w:rFonts w:hAnsi="宋体" w:cs="Arial"/>
                <w:color w:val="auto"/>
                <w:szCs w:val="21"/>
                <w:highlight w:val="none"/>
              </w:rPr>
            </w:pPr>
            <w:r>
              <w:rPr>
                <w:rFonts w:hint="eastAsia" w:hAnsi="宋体" w:cs="Arial"/>
                <w:color w:val="auto"/>
                <w:szCs w:val="21"/>
                <w:highlight w:val="none"/>
              </w:rPr>
              <w:t>方式: 本项目不发放纸质文件，供应商自行在南宁市公共资源交易平</w:t>
            </w:r>
          </w:p>
          <w:p>
            <w:pPr>
              <w:pStyle w:val="18"/>
              <w:spacing w:line="240" w:lineRule="atLeast"/>
              <w:rPr>
                <w:rFonts w:hAnsi="宋体" w:cs="Arial"/>
                <w:color w:val="auto"/>
                <w:szCs w:val="21"/>
                <w:highlight w:val="none"/>
              </w:rPr>
            </w:pPr>
            <w:r>
              <w:rPr>
                <w:rFonts w:hint="eastAsia" w:hAnsi="宋体" w:cs="Arial"/>
                <w:color w:val="auto"/>
                <w:szCs w:val="21"/>
                <w:highlight w:val="none"/>
              </w:rPr>
              <w:t>台(http://www.nnggzy.net/)的信息公告处下载采购文件（具体操作</w:t>
            </w:r>
          </w:p>
          <w:p>
            <w:pPr>
              <w:pStyle w:val="18"/>
              <w:spacing w:line="240" w:lineRule="atLeast"/>
              <w:rPr>
                <w:rFonts w:hAnsi="宋体" w:cs="Arial"/>
                <w:color w:val="auto"/>
                <w:szCs w:val="21"/>
                <w:highlight w:val="none"/>
              </w:rPr>
            </w:pPr>
            <w:r>
              <w:rPr>
                <w:rFonts w:hint="eastAsia" w:hAnsi="宋体" w:cs="Arial"/>
                <w:color w:val="auto"/>
                <w:szCs w:val="21"/>
                <w:highlight w:val="none"/>
              </w:rPr>
              <w:t>方法参见南宁市公共资源交易中心门户网站办事指南中的“投标单位</w:t>
            </w:r>
          </w:p>
          <w:p>
            <w:pPr>
              <w:pStyle w:val="18"/>
              <w:spacing w:line="240" w:lineRule="atLeast"/>
              <w:rPr>
                <w:rFonts w:hAnsi="宋体" w:cs="Arial"/>
                <w:color w:val="auto"/>
                <w:szCs w:val="21"/>
                <w:highlight w:val="none"/>
              </w:rPr>
            </w:pPr>
            <w:r>
              <w:rPr>
                <w:rFonts w:hint="eastAsia" w:hAnsi="宋体" w:cs="Arial"/>
                <w:color w:val="auto"/>
                <w:szCs w:val="21"/>
                <w:highlight w:val="none"/>
              </w:rPr>
              <w:t>下载采购文件等文件的操作指南”）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3.4</w:t>
            </w:r>
          </w:p>
        </w:tc>
        <w:tc>
          <w:tcPr>
            <w:tcW w:w="2389" w:type="dxa"/>
            <w:vAlign w:val="center"/>
          </w:tcPr>
          <w:p>
            <w:pPr>
              <w:pStyle w:val="18"/>
              <w:spacing w:line="240" w:lineRule="atLeast"/>
              <w:jc w:val="center"/>
              <w:rPr>
                <w:rFonts w:hAnsi="宋体"/>
                <w:color w:val="auto"/>
                <w:szCs w:val="21"/>
                <w:highlight w:val="none"/>
              </w:rPr>
            </w:pPr>
            <w:r>
              <w:rPr>
                <w:rFonts w:hint="eastAsia" w:hAnsi="宋体"/>
                <w:bCs/>
                <w:color w:val="auto"/>
                <w:szCs w:val="21"/>
                <w:highlight w:val="none"/>
              </w:rPr>
              <w:t>投标人应具备的特定资格条件</w:t>
            </w:r>
          </w:p>
        </w:tc>
        <w:tc>
          <w:tcPr>
            <w:tcW w:w="6484" w:type="dxa"/>
            <w:vAlign w:val="center"/>
          </w:tcPr>
          <w:p>
            <w:pPr>
              <w:snapToGrid w:val="0"/>
              <w:spacing w:line="240" w:lineRule="atLeast"/>
              <w:rPr>
                <w:rFonts w:ascii="宋体" w:hAnsi="宋体" w:cs="Arial"/>
                <w:b/>
                <w:bCs/>
                <w:color w:val="auto"/>
                <w:szCs w:val="21"/>
                <w:highlight w:val="none"/>
              </w:rPr>
            </w:pPr>
            <w:r>
              <w:rPr>
                <w:rFonts w:hint="eastAsia" w:ascii="宋体" w:hAnsi="宋体" w:cs="Arial"/>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3.5</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是否接受联合体投标</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Merge w:val="restart"/>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4.1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招标文件质疑提交</w:t>
            </w:r>
            <w:r>
              <w:rPr>
                <w:rFonts w:hint="eastAsia" w:hAnsi="宋体" w:cs="宋体"/>
                <w:color w:val="auto"/>
                <w:kern w:val="0"/>
                <w:szCs w:val="21"/>
                <w:highlight w:val="none"/>
              </w:rPr>
              <w:t>的截止时间</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在收到招标文件之日起七个工作日内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Merge w:val="continue"/>
            <w:vAlign w:val="center"/>
          </w:tcPr>
          <w:p>
            <w:pPr>
              <w:pStyle w:val="18"/>
              <w:spacing w:line="240" w:lineRule="atLeast"/>
              <w:jc w:val="center"/>
              <w:rPr>
                <w:rFonts w:hAnsi="宋体"/>
                <w:color w:val="auto"/>
                <w:szCs w:val="21"/>
                <w:highlight w:val="none"/>
              </w:rPr>
            </w:pP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质疑提交地点、电话</w:t>
            </w:r>
          </w:p>
        </w:tc>
        <w:tc>
          <w:tcPr>
            <w:tcW w:w="6484" w:type="dxa"/>
            <w:vAlign w:val="center"/>
          </w:tcPr>
          <w:p>
            <w:pPr>
              <w:pStyle w:val="18"/>
              <w:spacing w:line="240" w:lineRule="atLeast"/>
              <w:rPr>
                <w:rFonts w:hAnsi="宋体"/>
                <w:color w:val="auto"/>
                <w:szCs w:val="21"/>
                <w:highlight w:val="none"/>
                <w:u w:val="single"/>
              </w:rPr>
            </w:pPr>
            <w:r>
              <w:rPr>
                <w:rFonts w:hint="eastAsia" w:hAnsi="宋体" w:cs="Arial"/>
                <w:color w:val="auto"/>
                <w:szCs w:val="21"/>
                <w:highlight w:val="none"/>
              </w:rPr>
              <w:t>中昕国际项目管理有限公司，地址：南宁市青秀区枫林路11号枫林蓝岸1号楼1单元1101号，质疑咨询电话：0771-5670450。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7.1</w:t>
            </w:r>
          </w:p>
        </w:tc>
        <w:tc>
          <w:tcPr>
            <w:tcW w:w="2389" w:type="dxa"/>
            <w:vAlign w:val="center"/>
          </w:tcPr>
          <w:p>
            <w:pPr>
              <w:pStyle w:val="18"/>
              <w:spacing w:line="240" w:lineRule="atLeast"/>
              <w:jc w:val="center"/>
              <w:rPr>
                <w:rFonts w:hAnsi="宋体" w:cs="宋体"/>
                <w:color w:val="auto"/>
                <w:kern w:val="0"/>
                <w:szCs w:val="21"/>
                <w:highlight w:val="none"/>
              </w:rPr>
            </w:pPr>
            <w:r>
              <w:rPr>
                <w:rFonts w:hint="eastAsia" w:hAnsi="宋体" w:cs="宋体"/>
                <w:color w:val="auto"/>
                <w:kern w:val="0"/>
                <w:szCs w:val="21"/>
                <w:highlight w:val="none"/>
              </w:rPr>
              <w:t>投标人要求澄清的截止</w:t>
            </w:r>
          </w:p>
          <w:p>
            <w:pPr>
              <w:pStyle w:val="18"/>
              <w:spacing w:line="240" w:lineRule="atLeast"/>
              <w:jc w:val="center"/>
              <w:rPr>
                <w:rFonts w:hAnsi="宋体"/>
                <w:color w:val="auto"/>
                <w:szCs w:val="21"/>
                <w:highlight w:val="none"/>
              </w:rPr>
            </w:pPr>
            <w:r>
              <w:rPr>
                <w:rFonts w:hint="eastAsia" w:hAnsi="宋体" w:cs="宋体"/>
                <w:color w:val="auto"/>
                <w:kern w:val="0"/>
                <w:szCs w:val="21"/>
                <w:highlight w:val="none"/>
              </w:rPr>
              <w:t>时间</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投标人发现招标文件有误或有不合理要求的，必须在收到招标文件之日起七个工作日内以书面形式要求采购人、采购代理机构澄清。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8.7</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投标文件副本份数</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报价文件：正本1份，副本4份</w:t>
            </w:r>
          </w:p>
          <w:p>
            <w:pPr>
              <w:pStyle w:val="18"/>
              <w:spacing w:line="240" w:lineRule="atLeast"/>
              <w:rPr>
                <w:rFonts w:hAnsi="宋体"/>
                <w:color w:val="auto"/>
                <w:szCs w:val="21"/>
                <w:highlight w:val="none"/>
              </w:rPr>
            </w:pPr>
            <w:r>
              <w:rPr>
                <w:rFonts w:hint="eastAsia" w:hAnsi="宋体"/>
                <w:color w:val="auto"/>
                <w:szCs w:val="21"/>
                <w:highlight w:val="none"/>
              </w:rPr>
              <w:t>资格文件：正本1份，副本4份</w:t>
            </w:r>
          </w:p>
          <w:p>
            <w:pPr>
              <w:pStyle w:val="18"/>
              <w:spacing w:line="360" w:lineRule="auto"/>
              <w:rPr>
                <w:rFonts w:hAnsi="宋体"/>
                <w:color w:val="auto"/>
                <w:szCs w:val="21"/>
                <w:highlight w:val="none"/>
              </w:rPr>
            </w:pPr>
            <w:r>
              <w:rPr>
                <w:rFonts w:hint="eastAsia" w:hAnsi="宋体"/>
                <w:color w:val="auto"/>
                <w:szCs w:val="21"/>
                <w:highlight w:val="none"/>
              </w:rPr>
              <w:t>技术文件：正本1份，副本4份</w:t>
            </w:r>
          </w:p>
          <w:p>
            <w:pPr>
              <w:pStyle w:val="18"/>
              <w:spacing w:line="240" w:lineRule="atLeast"/>
              <w:rPr>
                <w:rFonts w:hAnsi="宋体"/>
                <w:color w:val="auto"/>
                <w:szCs w:val="21"/>
                <w:highlight w:val="none"/>
              </w:rPr>
            </w:pPr>
            <w:r>
              <w:rPr>
                <w:rFonts w:hint="eastAsia" w:hAnsi="宋体"/>
                <w:color w:val="auto"/>
                <w:szCs w:val="21"/>
                <w:highlight w:val="none"/>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p>
        </w:tc>
        <w:tc>
          <w:tcPr>
            <w:tcW w:w="2389" w:type="dxa"/>
            <w:vAlign w:val="center"/>
          </w:tcPr>
          <w:p>
            <w:pPr>
              <w:pStyle w:val="18"/>
              <w:spacing w:line="240" w:lineRule="atLeast"/>
              <w:jc w:val="center"/>
              <w:rPr>
                <w:rFonts w:hAnsi="宋体"/>
                <w:color w:val="auto"/>
                <w:szCs w:val="21"/>
                <w:highlight w:val="none"/>
              </w:rPr>
            </w:pPr>
            <w:r>
              <w:rPr>
                <w:rFonts w:hint="eastAsia" w:hAnsi="宋体" w:cs="Courier New"/>
                <w:color w:val="auto"/>
                <w:szCs w:val="21"/>
                <w:highlight w:val="none"/>
              </w:rPr>
              <w:t>投标文件电子版</w:t>
            </w:r>
          </w:p>
        </w:tc>
        <w:tc>
          <w:tcPr>
            <w:tcW w:w="6484" w:type="dxa"/>
            <w:vAlign w:val="center"/>
          </w:tcPr>
          <w:p>
            <w:pPr>
              <w:snapToGrid w:val="0"/>
              <w:spacing w:line="240" w:lineRule="atLeast"/>
              <w:jc w:val="left"/>
              <w:rPr>
                <w:rFonts w:ascii="宋体" w:hAnsi="宋体" w:cs="Courier New"/>
                <w:color w:val="auto"/>
                <w:szCs w:val="21"/>
                <w:highlight w:val="none"/>
              </w:rPr>
            </w:pPr>
            <w:r>
              <w:rPr>
                <w:rFonts w:hint="eastAsia" w:ascii="宋体" w:hAnsi="宋体" w:cs="Courier New"/>
                <w:color w:val="auto"/>
                <w:szCs w:val="21"/>
                <w:highlight w:val="none"/>
              </w:rPr>
              <w:t>投标人在递交投标文件时，同时递交投标文件电子版。</w:t>
            </w:r>
          </w:p>
          <w:p>
            <w:pPr>
              <w:snapToGrid w:val="0"/>
              <w:spacing w:line="240" w:lineRule="atLeast"/>
              <w:jc w:val="left"/>
              <w:rPr>
                <w:rFonts w:ascii="宋体" w:hAnsi="宋体" w:cs="Courier New"/>
                <w:color w:val="auto"/>
                <w:szCs w:val="21"/>
                <w:highlight w:val="none"/>
              </w:rPr>
            </w:pPr>
            <w:r>
              <w:rPr>
                <w:rFonts w:hint="eastAsia" w:ascii="宋体" w:hAnsi="宋体" w:cs="Courier New"/>
                <w:color w:val="auto"/>
                <w:szCs w:val="21"/>
                <w:highlight w:val="none"/>
              </w:rPr>
              <w:t>1、投标文件电子版内容：</w:t>
            </w:r>
            <w:r>
              <w:rPr>
                <w:rFonts w:hint="eastAsia" w:ascii="宋体" w:hAnsi="宋体" w:cs="Courier New"/>
                <w:bCs/>
                <w:color w:val="auto"/>
                <w:szCs w:val="21"/>
                <w:highlight w:val="none"/>
              </w:rPr>
              <w:t>报价文件、资格文件、商务文件、技术文件</w:t>
            </w:r>
            <w:r>
              <w:rPr>
                <w:rFonts w:hint="eastAsia" w:ascii="宋体" w:hAnsi="宋体" w:cs="Courier New"/>
                <w:color w:val="auto"/>
                <w:szCs w:val="21"/>
                <w:highlight w:val="none"/>
              </w:rPr>
              <w:t>。</w:t>
            </w:r>
          </w:p>
          <w:p>
            <w:pPr>
              <w:snapToGrid w:val="0"/>
              <w:spacing w:line="240" w:lineRule="atLeast"/>
              <w:jc w:val="left"/>
              <w:rPr>
                <w:rFonts w:ascii="宋体" w:hAnsi="宋体" w:cs="Courier New"/>
                <w:color w:val="auto"/>
                <w:szCs w:val="21"/>
                <w:highlight w:val="none"/>
              </w:rPr>
            </w:pPr>
            <w:r>
              <w:rPr>
                <w:rFonts w:hint="eastAsia" w:ascii="宋体" w:hAnsi="宋体" w:cs="Courier New"/>
                <w:color w:val="auto"/>
                <w:szCs w:val="21"/>
                <w:highlight w:val="none"/>
              </w:rPr>
              <w:t>2、投标文件电子版份数：1份。</w:t>
            </w:r>
          </w:p>
          <w:p>
            <w:pPr>
              <w:snapToGrid w:val="0"/>
              <w:spacing w:line="240" w:lineRule="atLeast"/>
              <w:jc w:val="left"/>
              <w:rPr>
                <w:rFonts w:ascii="宋体" w:hAnsi="宋体" w:cs="Courier New"/>
                <w:color w:val="auto"/>
                <w:szCs w:val="21"/>
                <w:highlight w:val="none"/>
              </w:rPr>
            </w:pPr>
            <w:r>
              <w:rPr>
                <w:rFonts w:hint="eastAsia" w:ascii="宋体" w:hAnsi="宋体" w:cs="Courier New"/>
                <w:color w:val="auto"/>
                <w:szCs w:val="21"/>
                <w:highlight w:val="none"/>
              </w:rPr>
              <w:t>3、投标文件电子版形式：可编辑的word文档格式。</w:t>
            </w:r>
          </w:p>
          <w:p>
            <w:pPr>
              <w:pStyle w:val="18"/>
              <w:spacing w:line="240" w:lineRule="atLeast"/>
              <w:rPr>
                <w:rFonts w:hAnsi="宋体"/>
                <w:color w:val="auto"/>
                <w:szCs w:val="21"/>
                <w:highlight w:val="none"/>
              </w:rPr>
            </w:pPr>
            <w:r>
              <w:rPr>
                <w:rFonts w:hint="eastAsia" w:hAnsi="宋体" w:cs="Courier New"/>
                <w:color w:val="auto"/>
                <w:szCs w:val="21"/>
                <w:highlight w:val="none"/>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11.4</w:t>
            </w:r>
          </w:p>
        </w:tc>
        <w:tc>
          <w:tcPr>
            <w:tcW w:w="2389" w:type="dxa"/>
            <w:vAlign w:val="center"/>
          </w:tcPr>
          <w:p>
            <w:pPr>
              <w:autoSpaceDE w:val="0"/>
              <w:autoSpaceDN w:val="0"/>
              <w:spacing w:line="240" w:lineRule="atLeast"/>
              <w:jc w:val="center"/>
              <w:rPr>
                <w:rFonts w:ascii="宋体" w:hAnsi="宋体" w:cs="宋体"/>
                <w:color w:val="auto"/>
                <w:kern w:val="0"/>
                <w:szCs w:val="21"/>
                <w:highlight w:val="none"/>
              </w:rPr>
            </w:pPr>
            <w:r>
              <w:rPr>
                <w:rFonts w:hint="eastAsia" w:ascii="宋体" w:hAnsi="宋体"/>
                <w:color w:val="auto"/>
                <w:kern w:val="0"/>
                <w:szCs w:val="21"/>
                <w:highlight w:val="none"/>
              </w:rPr>
              <w:t>采购代理服务费</w:t>
            </w:r>
          </w:p>
        </w:tc>
        <w:tc>
          <w:tcPr>
            <w:tcW w:w="6484" w:type="dxa"/>
            <w:vAlign w:val="center"/>
          </w:tcPr>
          <w:p>
            <w:pPr>
              <w:pStyle w:val="18"/>
              <w:spacing w:line="240" w:lineRule="atLeast"/>
              <w:jc w:val="left"/>
              <w:rPr>
                <w:rFonts w:hAnsi="宋体" w:cs="宋体"/>
                <w:color w:val="auto"/>
                <w:kern w:val="0"/>
                <w:szCs w:val="21"/>
                <w:highlight w:val="none"/>
              </w:rPr>
            </w:pPr>
            <w:r>
              <w:rPr>
                <w:rFonts w:hint="eastAsia"/>
                <w:color w:val="auto"/>
                <w:szCs w:val="21"/>
                <w:highlight w:val="none"/>
              </w:rPr>
              <w:t>招标代理服务费参照按【2011】534号文规定标准（详见附件一）计取，在发出中标通知书前，中标人向采购代理机构一次性付清。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12.1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投标有效期</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自投标截止之日起90日历天内保持有效，投标有效期不满足要求的投标将被视为非实质性响应投标而予以拒绝。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13.1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投标保证金金额</w:t>
            </w:r>
          </w:p>
        </w:tc>
        <w:tc>
          <w:tcPr>
            <w:tcW w:w="6484" w:type="dxa"/>
            <w:vAlign w:val="center"/>
          </w:tcPr>
          <w:p>
            <w:pPr>
              <w:snapToGrid w:val="0"/>
              <w:spacing w:line="240" w:lineRule="atLeast"/>
              <w:rPr>
                <w:rFonts w:ascii="宋体" w:hAnsi="宋体" w:cs="Arial"/>
                <w:color w:val="auto"/>
                <w:szCs w:val="21"/>
                <w:highlight w:val="none"/>
              </w:rPr>
            </w:pPr>
            <w:r>
              <w:rPr>
                <w:rFonts w:hint="eastAsia" w:hAnsi="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投标截止时间（开标时间）</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15.2</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递交投标文件地点</w:t>
            </w:r>
          </w:p>
        </w:tc>
        <w:tc>
          <w:tcPr>
            <w:tcW w:w="6484" w:type="dxa"/>
            <w:vAlign w:val="center"/>
          </w:tcPr>
          <w:p>
            <w:pPr>
              <w:snapToGrid w:val="0"/>
              <w:spacing w:line="240" w:lineRule="atLeast"/>
              <w:jc w:val="left"/>
              <w:rPr>
                <w:rFonts w:ascii="宋体" w:hAnsi="宋体"/>
                <w:b/>
                <w:color w:val="auto"/>
                <w:szCs w:val="21"/>
                <w:highlight w:val="none"/>
              </w:rPr>
            </w:pPr>
            <w:r>
              <w:rPr>
                <w:rFonts w:hint="eastAsia" w:ascii="宋体" w:hAnsi="宋体" w:cs="Arial"/>
                <w:color w:val="auto"/>
                <w:szCs w:val="21"/>
                <w:highlight w:val="none"/>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15.3</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递交投标样品截止时间</w:t>
            </w:r>
          </w:p>
        </w:tc>
        <w:tc>
          <w:tcPr>
            <w:tcW w:w="6484" w:type="dxa"/>
            <w:vAlign w:val="center"/>
          </w:tcPr>
          <w:p>
            <w:pPr>
              <w:pStyle w:val="18"/>
              <w:spacing w:line="240" w:lineRule="atLeast"/>
              <w:rPr>
                <w:rFonts w:hAnsi="宋体"/>
                <w:color w:val="auto"/>
                <w:szCs w:val="21"/>
                <w:highlight w:val="none"/>
              </w:rPr>
            </w:pPr>
            <w:r>
              <w:rPr>
                <w:rFonts w:hint="eastAsia" w:hAnsi="宋体" w:cs="宋体"/>
                <w:color w:val="auto"/>
                <w:szCs w:val="21"/>
                <w:highlight w:val="none"/>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15.4</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递交投标样品地点</w:t>
            </w:r>
          </w:p>
        </w:tc>
        <w:tc>
          <w:tcPr>
            <w:tcW w:w="6484" w:type="dxa"/>
            <w:vAlign w:val="center"/>
          </w:tcPr>
          <w:p>
            <w:pPr>
              <w:pStyle w:val="18"/>
              <w:spacing w:line="240" w:lineRule="atLeast"/>
              <w:rPr>
                <w:rFonts w:hAnsi="宋体" w:cs="宋体"/>
                <w:color w:val="auto"/>
                <w:szCs w:val="21"/>
                <w:highlight w:val="none"/>
              </w:rPr>
            </w:pPr>
            <w:r>
              <w:rPr>
                <w:rFonts w:hint="eastAsia" w:hAnsi="宋体" w:cs="宋体"/>
                <w:color w:val="auto"/>
                <w:szCs w:val="21"/>
                <w:highlight w:val="none"/>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16.1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开标地点</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18.3</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评标方法</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81" w:type="dxa"/>
            <w:vAlign w:val="center"/>
          </w:tcPr>
          <w:p>
            <w:pPr>
              <w:pStyle w:val="18"/>
              <w:spacing w:line="240" w:lineRule="atLeast"/>
              <w:jc w:val="center"/>
              <w:rPr>
                <w:rFonts w:hAnsi="宋体"/>
                <w:color w:val="auto"/>
                <w:szCs w:val="21"/>
                <w:highlight w:val="none"/>
              </w:rPr>
            </w:pPr>
          </w:p>
        </w:tc>
        <w:tc>
          <w:tcPr>
            <w:tcW w:w="2389" w:type="dxa"/>
            <w:vAlign w:val="center"/>
          </w:tcPr>
          <w:p>
            <w:pPr>
              <w:pStyle w:val="18"/>
              <w:spacing w:line="240" w:lineRule="atLeast"/>
              <w:jc w:val="center"/>
              <w:rPr>
                <w:rFonts w:hAnsi="宋体"/>
                <w:color w:val="auto"/>
                <w:szCs w:val="21"/>
                <w:highlight w:val="none"/>
              </w:rPr>
            </w:pPr>
            <w:r>
              <w:rPr>
                <w:rFonts w:hint="eastAsia" w:hAnsi="宋体" w:cs="Courier New"/>
                <w:color w:val="auto"/>
                <w:szCs w:val="21"/>
                <w:highlight w:val="none"/>
              </w:rPr>
              <w:t>中标结果公告内容</w:t>
            </w:r>
          </w:p>
        </w:tc>
        <w:tc>
          <w:tcPr>
            <w:tcW w:w="6484" w:type="dxa"/>
            <w:vAlign w:val="center"/>
          </w:tcPr>
          <w:p>
            <w:pPr>
              <w:pStyle w:val="18"/>
              <w:spacing w:line="240" w:lineRule="atLeast"/>
              <w:rPr>
                <w:rFonts w:hAnsi="宋体"/>
                <w:color w:val="auto"/>
                <w:szCs w:val="21"/>
                <w:highlight w:val="none"/>
              </w:rPr>
            </w:pPr>
            <w:r>
              <w:rPr>
                <w:rFonts w:hint="eastAsia" w:hAnsi="宋体" w:cs="Courier New"/>
                <w:color w:val="auto"/>
                <w:szCs w:val="21"/>
                <w:highlight w:val="none"/>
              </w:rPr>
              <w:t>根据《中华人民共和国政府采购法实施条例》第四十三条规定，中标结果公告内容中包括中标供应商名称、地址和中标金额，主要中标标的的名称、规格型号、数量、单价、服务要求。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24.1</w:t>
            </w:r>
          </w:p>
        </w:tc>
        <w:tc>
          <w:tcPr>
            <w:tcW w:w="2389"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中标通知书的发放</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按相关规定在</w:t>
            </w:r>
            <w:r>
              <w:rPr>
                <w:rFonts w:hint="eastAsia" w:hAnsi="宋体" w:cs="宋体"/>
                <w:color w:val="auto"/>
                <w:kern w:val="0"/>
                <w:szCs w:val="21"/>
                <w:highlight w:val="none"/>
              </w:rPr>
              <w:t>本章第2.1项规定的政府采购信息发布媒体上公示中标结果，同时向中标供应商发出中标通知书。公示期为1个工作日，公告期满无异议的，由</w:t>
            </w:r>
            <w:r>
              <w:rPr>
                <w:rFonts w:hint="eastAsia" w:hAnsi="宋体"/>
                <w:color w:val="auto"/>
                <w:szCs w:val="21"/>
                <w:highlight w:val="none"/>
              </w:rPr>
              <w:t>招标代理机构</w:t>
            </w:r>
            <w:r>
              <w:rPr>
                <w:rFonts w:hint="eastAsia" w:hAnsi="宋体" w:cs="宋体"/>
                <w:color w:val="auto"/>
                <w:kern w:val="0"/>
                <w:szCs w:val="21"/>
                <w:highlight w:val="none"/>
              </w:rPr>
              <w:t>向中标供应商发出政府采购合同。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27.1</w:t>
            </w:r>
          </w:p>
        </w:tc>
        <w:tc>
          <w:tcPr>
            <w:tcW w:w="2389" w:type="dxa"/>
            <w:vAlign w:val="center"/>
          </w:tcPr>
          <w:p>
            <w:pPr>
              <w:autoSpaceDE w:val="0"/>
              <w:autoSpaceDN w:val="0"/>
              <w:spacing w:line="240" w:lineRule="atLeast"/>
              <w:jc w:val="center"/>
              <w:rPr>
                <w:rFonts w:ascii="宋体" w:hAnsi="宋体" w:cs="宋体"/>
                <w:color w:val="auto"/>
                <w:kern w:val="0"/>
                <w:szCs w:val="21"/>
                <w:highlight w:val="none"/>
              </w:rPr>
            </w:pPr>
            <w:r>
              <w:rPr>
                <w:rFonts w:hint="eastAsia" w:ascii="宋体" w:hAnsi="宋体"/>
                <w:color w:val="auto"/>
                <w:kern w:val="0"/>
                <w:szCs w:val="21"/>
                <w:highlight w:val="none"/>
              </w:rPr>
              <w:t>履约保证金</w:t>
            </w:r>
          </w:p>
        </w:tc>
        <w:tc>
          <w:tcPr>
            <w:tcW w:w="6484" w:type="dxa"/>
            <w:vAlign w:val="center"/>
          </w:tcPr>
          <w:p>
            <w:pPr>
              <w:pStyle w:val="18"/>
              <w:spacing w:line="240" w:lineRule="atLeast"/>
              <w:rPr>
                <w:rFonts w:hAnsi="宋体"/>
                <w:color w:val="auto"/>
                <w:szCs w:val="21"/>
                <w:highlight w:val="none"/>
              </w:rPr>
            </w:pPr>
            <w:r>
              <w:rPr>
                <w:rFonts w:hAnsi="宋体"/>
                <w:color w:val="auto"/>
                <w:szCs w:val="21"/>
                <w:highlight w:val="none"/>
                <w:u w:val="single"/>
              </w:rPr>
              <w:t>本项目无须缴纳履约保证金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26.8</w:t>
            </w:r>
          </w:p>
        </w:tc>
        <w:tc>
          <w:tcPr>
            <w:tcW w:w="2389" w:type="dxa"/>
            <w:vAlign w:val="center"/>
          </w:tcPr>
          <w:p>
            <w:pPr>
              <w:autoSpaceDE w:val="0"/>
              <w:autoSpaceDN w:val="0"/>
              <w:spacing w:line="240" w:lineRule="atLeast"/>
              <w:jc w:val="center"/>
              <w:rPr>
                <w:rFonts w:ascii="宋体" w:hAnsi="宋体"/>
                <w:color w:val="auto"/>
                <w:kern w:val="0"/>
                <w:szCs w:val="21"/>
                <w:highlight w:val="none"/>
              </w:rPr>
            </w:pPr>
            <w:r>
              <w:rPr>
                <w:rFonts w:hint="eastAsia" w:ascii="宋体" w:hAnsi="宋体"/>
                <w:color w:val="auto"/>
                <w:szCs w:val="21"/>
                <w:highlight w:val="none"/>
              </w:rPr>
              <w:t>政府采购合同公告</w:t>
            </w:r>
          </w:p>
        </w:tc>
        <w:tc>
          <w:tcPr>
            <w:tcW w:w="6484" w:type="dxa"/>
            <w:vAlign w:val="center"/>
          </w:tcPr>
          <w:p>
            <w:pPr>
              <w:pStyle w:val="18"/>
              <w:spacing w:line="240" w:lineRule="atLeast"/>
              <w:rPr>
                <w:rFonts w:hAnsi="宋体"/>
                <w:color w:val="auto"/>
                <w:szCs w:val="21"/>
                <w:highlight w:val="none"/>
              </w:rPr>
            </w:pPr>
            <w:r>
              <w:rPr>
                <w:rFonts w:hint="eastAsia" w:hAnsi="宋体"/>
                <w:color w:val="auto"/>
                <w:szCs w:val="21"/>
                <w:highlight w:val="none"/>
              </w:rPr>
              <w:t>根据</w:t>
            </w:r>
            <w:r>
              <w:rPr>
                <w:rFonts w:hAnsi="宋体"/>
                <w:color w:val="auto"/>
                <w:szCs w:val="21"/>
                <w:highlight w:val="none"/>
              </w:rPr>
              <w:t>《中华人民共和国政府采购法实施条例》第五十条</w:t>
            </w:r>
            <w:r>
              <w:rPr>
                <w:rFonts w:hint="eastAsia" w:hAnsi="宋体"/>
                <w:color w:val="auto"/>
                <w:szCs w:val="21"/>
                <w:highlight w:val="none"/>
              </w:rPr>
              <w:t>规定，采购人应当自政府采购合同签订之日起2个工作日内，将政府采购合同在省级以上人民政府财政部门指定的媒体上公告，</w:t>
            </w:r>
            <w:r>
              <w:rPr>
                <w:rFonts w:hAnsi="宋体"/>
                <w:color w:val="auto"/>
                <w:szCs w:val="21"/>
                <w:highlight w:val="none"/>
              </w:rPr>
              <w:t>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auto"/>
                <w:szCs w:val="21"/>
                <w:highlight w:val="none"/>
              </w:rPr>
            </w:pPr>
            <w:r>
              <w:rPr>
                <w:rFonts w:hint="eastAsia" w:hAnsi="宋体"/>
                <w:color w:val="auto"/>
                <w:szCs w:val="21"/>
                <w:highlight w:val="none"/>
              </w:rPr>
              <w:t>29.1</w:t>
            </w:r>
          </w:p>
        </w:tc>
        <w:tc>
          <w:tcPr>
            <w:tcW w:w="2389" w:type="dxa"/>
            <w:vAlign w:val="center"/>
          </w:tcPr>
          <w:p>
            <w:pPr>
              <w:autoSpaceDE w:val="0"/>
              <w:autoSpaceDN w:val="0"/>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需要补充的其他内容</w:t>
            </w:r>
          </w:p>
        </w:tc>
        <w:tc>
          <w:tcPr>
            <w:tcW w:w="6484" w:type="dxa"/>
            <w:vAlign w:val="center"/>
          </w:tcPr>
          <w:p>
            <w:pPr>
              <w:widowControl/>
              <w:spacing w:line="240" w:lineRule="atLeast"/>
              <w:jc w:val="left"/>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240" w:lineRule="atLeast"/>
              <w:jc w:val="left"/>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本招标文件中描述投标人的“签字”是指投标人的法定代表人或被授权人亲自在招标文件规定签署处亲笔写上个人的名字的行为，私章、签字章、印鉴、影印等其它形式均不能代替亲笔签字。</w:t>
            </w:r>
          </w:p>
          <w:p>
            <w:pPr>
              <w:pStyle w:val="12"/>
              <w:rPr>
                <w:color w:val="auto"/>
                <w:highlight w:val="none"/>
              </w:rPr>
            </w:pPr>
            <w:r>
              <w:rPr>
                <w:rFonts w:hint="eastAsia"/>
                <w:color w:val="auto"/>
                <w:highlight w:val="none"/>
              </w:rPr>
              <w:t>3</w:t>
            </w:r>
            <w:r>
              <w:rPr>
                <w:color w:val="auto"/>
                <w:highlight w:val="none"/>
              </w:rPr>
              <w:t>.</w:t>
            </w:r>
            <w:r>
              <w:rPr>
                <w:rFonts w:hint="eastAsia" w:ascii="Helvetica" w:hAnsi="Helvetica" w:cs="Helvetica"/>
                <w:color w:val="auto"/>
                <w:highlight w:val="none"/>
              </w:rPr>
              <w:t xml:space="preserve"> 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 政府采购信用融资’专栏。</w:t>
            </w:r>
          </w:p>
        </w:tc>
      </w:tr>
    </w:tbl>
    <w:p>
      <w:pPr>
        <w:pStyle w:val="18"/>
        <w:jc w:val="center"/>
        <w:outlineLvl w:val="1"/>
        <w:rPr>
          <w:rFonts w:hAnsi="宋体"/>
          <w:b/>
          <w:color w:val="auto"/>
          <w:sz w:val="28"/>
          <w:szCs w:val="28"/>
          <w:highlight w:val="none"/>
        </w:rPr>
      </w:pPr>
      <w:r>
        <w:rPr>
          <w:rFonts w:hAnsi="宋体"/>
          <w:color w:val="auto"/>
          <w:sz w:val="28"/>
          <w:szCs w:val="28"/>
          <w:highlight w:val="none"/>
        </w:rPr>
        <w:br w:type="page"/>
      </w:r>
      <w:bookmarkStart w:id="59" w:name="_Toc213326416"/>
      <w:bookmarkStart w:id="60" w:name="_Toc401396875"/>
      <w:bookmarkStart w:id="61" w:name="_Toc495996908"/>
      <w:r>
        <w:rPr>
          <w:rFonts w:hint="eastAsia" w:ascii="Times New Roman" w:hAnsi="Times New Roman"/>
          <w:b/>
          <w:color w:val="auto"/>
          <w:sz w:val="30"/>
          <w:szCs w:val="30"/>
          <w:highlight w:val="none"/>
        </w:rPr>
        <w:t>一    总  则</w:t>
      </w:r>
      <w:bookmarkEnd w:id="59"/>
      <w:bookmarkEnd w:id="60"/>
      <w:bookmarkEnd w:id="61"/>
    </w:p>
    <w:p>
      <w:pPr>
        <w:pStyle w:val="18"/>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1. 项目概况</w:t>
      </w:r>
    </w:p>
    <w:p>
      <w:pPr>
        <w:pStyle w:val="18"/>
        <w:spacing w:line="440" w:lineRule="exact"/>
        <w:ind w:left="2" w:firstLine="358"/>
        <w:jc w:val="left"/>
        <w:rPr>
          <w:rFonts w:hAnsi="宋体"/>
          <w:bCs/>
          <w:color w:val="auto"/>
          <w:highlight w:val="none"/>
        </w:rPr>
      </w:pPr>
      <w:r>
        <w:rPr>
          <w:rFonts w:hint="eastAsia" w:hAnsi="宋体"/>
          <w:bCs/>
          <w:color w:val="auto"/>
          <w:highlight w:val="none"/>
        </w:rPr>
        <w:t>1.1  采购人：见投标人须知前附表。</w:t>
      </w:r>
    </w:p>
    <w:p>
      <w:pPr>
        <w:pStyle w:val="18"/>
        <w:spacing w:line="440" w:lineRule="exact"/>
        <w:ind w:left="2" w:firstLine="358"/>
        <w:jc w:val="left"/>
        <w:rPr>
          <w:rFonts w:ascii="文鼎CS楷体" w:eastAsia="文鼎CS楷体"/>
          <w:color w:val="auto"/>
          <w:highlight w:val="none"/>
        </w:rPr>
      </w:pPr>
      <w:r>
        <w:rPr>
          <w:rFonts w:hint="eastAsia" w:hAnsi="宋体"/>
          <w:bCs/>
          <w:color w:val="auto"/>
          <w:highlight w:val="none"/>
        </w:rPr>
        <w:t>1.2  采购代理机构：见投标人须知前附表。</w:t>
      </w:r>
    </w:p>
    <w:p>
      <w:pPr>
        <w:pStyle w:val="18"/>
        <w:spacing w:line="440" w:lineRule="exact"/>
        <w:ind w:left="2" w:firstLine="358"/>
        <w:jc w:val="left"/>
        <w:rPr>
          <w:rFonts w:ascii="文鼎CS楷体" w:eastAsia="文鼎CS楷体"/>
          <w:color w:val="auto"/>
          <w:highlight w:val="none"/>
        </w:rPr>
      </w:pPr>
      <w:r>
        <w:rPr>
          <w:rFonts w:hint="eastAsia" w:ascii="文鼎CS楷体" w:eastAsia="文鼎CS楷体"/>
          <w:color w:val="auto"/>
          <w:highlight w:val="none"/>
        </w:rPr>
        <w:t>1.3  项目名称：</w:t>
      </w:r>
      <w:r>
        <w:rPr>
          <w:rFonts w:hint="eastAsia" w:hAnsi="宋体"/>
          <w:bCs/>
          <w:color w:val="auto"/>
          <w:highlight w:val="none"/>
        </w:rPr>
        <w:t>见投标人须知前附表。</w:t>
      </w:r>
    </w:p>
    <w:p>
      <w:pPr>
        <w:pStyle w:val="18"/>
        <w:spacing w:line="440" w:lineRule="exact"/>
        <w:ind w:left="2" w:firstLine="358"/>
        <w:jc w:val="left"/>
        <w:rPr>
          <w:rFonts w:hAnsi="宋体"/>
          <w:bCs/>
          <w:color w:val="auto"/>
          <w:highlight w:val="none"/>
        </w:rPr>
      </w:pPr>
      <w:r>
        <w:rPr>
          <w:rFonts w:hint="eastAsia" w:ascii="文鼎CS楷体" w:eastAsia="文鼎CS楷体"/>
          <w:color w:val="auto"/>
          <w:highlight w:val="none"/>
        </w:rPr>
        <w:t>1.4  项目编号：</w:t>
      </w:r>
      <w:r>
        <w:rPr>
          <w:rFonts w:hint="eastAsia" w:hAnsi="宋体"/>
          <w:bCs/>
          <w:color w:val="auto"/>
          <w:highlight w:val="none"/>
        </w:rPr>
        <w:t>见投标人须知前附表。</w:t>
      </w:r>
    </w:p>
    <w:p>
      <w:pPr>
        <w:pStyle w:val="18"/>
        <w:spacing w:line="440" w:lineRule="exact"/>
        <w:ind w:left="2" w:firstLine="358"/>
        <w:jc w:val="left"/>
        <w:rPr>
          <w:rFonts w:hAnsi="宋体"/>
          <w:bCs/>
          <w:color w:val="auto"/>
          <w:highlight w:val="none"/>
        </w:rPr>
      </w:pPr>
      <w:r>
        <w:rPr>
          <w:rFonts w:hint="eastAsia" w:hAnsi="宋体"/>
          <w:bCs/>
          <w:color w:val="auto"/>
          <w:highlight w:val="none"/>
        </w:rPr>
        <w:t>1.5  预算金额：见投标人须知前附表。</w:t>
      </w:r>
    </w:p>
    <w:p>
      <w:pPr>
        <w:pStyle w:val="18"/>
        <w:spacing w:line="440" w:lineRule="exact"/>
        <w:ind w:left="2" w:firstLine="358"/>
        <w:jc w:val="left"/>
        <w:rPr>
          <w:rFonts w:hAnsi="宋体"/>
          <w:bCs/>
          <w:color w:val="auto"/>
          <w:highlight w:val="none"/>
        </w:rPr>
      </w:pPr>
      <w:r>
        <w:rPr>
          <w:rFonts w:hint="eastAsia" w:hAnsi="宋体"/>
          <w:bCs/>
          <w:color w:val="auto"/>
          <w:highlight w:val="none"/>
        </w:rPr>
        <w:t>1.6  资金来源：政府财政性资金</w:t>
      </w:r>
    </w:p>
    <w:p>
      <w:pPr>
        <w:pStyle w:val="18"/>
        <w:spacing w:line="440" w:lineRule="exact"/>
        <w:ind w:left="2" w:firstLine="358"/>
        <w:jc w:val="left"/>
        <w:rPr>
          <w:rFonts w:hAnsi="宋体"/>
          <w:bCs/>
          <w:color w:val="auto"/>
          <w:highlight w:val="none"/>
        </w:rPr>
      </w:pPr>
      <w:r>
        <w:rPr>
          <w:rFonts w:hint="eastAsia" w:hAnsi="宋体"/>
          <w:bCs/>
          <w:color w:val="auto"/>
          <w:highlight w:val="none"/>
        </w:rPr>
        <w:t xml:space="preserve">1.7  </w:t>
      </w:r>
      <w:r>
        <w:rPr>
          <w:rFonts w:hint="eastAsia" w:hAnsi="宋体"/>
          <w:color w:val="auto"/>
          <w:szCs w:val="21"/>
          <w:highlight w:val="none"/>
        </w:rPr>
        <w:t>获取招标文件的时间、地点、方式及招标文件售价：</w:t>
      </w:r>
      <w:r>
        <w:rPr>
          <w:rFonts w:hint="eastAsia" w:hAnsi="宋体"/>
          <w:bCs/>
          <w:color w:val="auto"/>
          <w:highlight w:val="none"/>
        </w:rPr>
        <w:t>见投标人须知前附表。</w:t>
      </w:r>
    </w:p>
    <w:p>
      <w:pPr>
        <w:pStyle w:val="18"/>
        <w:spacing w:line="440" w:lineRule="exact"/>
        <w:jc w:val="left"/>
        <w:rPr>
          <w:rFonts w:hAnsi="宋体"/>
          <w:bCs/>
          <w:color w:val="auto"/>
          <w:sz w:val="24"/>
          <w:highlight w:val="none"/>
        </w:rPr>
      </w:pPr>
      <w:r>
        <w:rPr>
          <w:rFonts w:hint="eastAsia" w:hAnsi="宋体"/>
          <w:bCs/>
          <w:color w:val="auto"/>
          <w:sz w:val="24"/>
          <w:highlight w:val="none"/>
        </w:rPr>
        <w:t>2. 政府采购信息发布媒体：</w:t>
      </w:r>
    </w:p>
    <w:p>
      <w:pPr>
        <w:snapToGrid w:val="0"/>
        <w:spacing w:line="440" w:lineRule="exact"/>
        <w:ind w:firstLine="420" w:firstLineChars="200"/>
        <w:rPr>
          <w:rFonts w:ascii="宋体" w:hAnsi="宋体"/>
          <w:color w:val="auto"/>
          <w:highlight w:val="none"/>
        </w:rPr>
      </w:pPr>
      <w:r>
        <w:rPr>
          <w:rFonts w:hint="eastAsia" w:ascii="宋体" w:hAnsi="宋体"/>
          <w:color w:val="auto"/>
          <w:highlight w:val="none"/>
        </w:rPr>
        <w:t>2.1  与本项目相关的政府采购业务信息（包括公开招标公告、中标公告及其更正事项等）将在以下媒体上发布：www.ccgp.gov.cn（中国政府采购网），www.gxzfcg.gov.cn（广西壮族自治区政府采购网）， http://zfcg.nanning.gov.cn/index.do（南宁政府采购网），</w:t>
      </w:r>
      <w:r>
        <w:rPr>
          <w:rFonts w:ascii="宋体" w:hAnsi="宋体"/>
          <w:color w:val="auto"/>
          <w:highlight w:val="none"/>
        </w:rPr>
        <w:t>www.nnggzy.org.cn</w:t>
      </w:r>
      <w:r>
        <w:rPr>
          <w:rFonts w:hint="eastAsia" w:ascii="宋体" w:hAnsi="宋体"/>
          <w:color w:val="auto"/>
          <w:highlight w:val="none"/>
        </w:rPr>
        <w:t>（南宁市公共资源交易中心网）。</w:t>
      </w:r>
    </w:p>
    <w:p>
      <w:pPr>
        <w:pStyle w:val="18"/>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3. 投标人资格要求：</w:t>
      </w:r>
    </w:p>
    <w:p>
      <w:pPr>
        <w:pStyle w:val="18"/>
        <w:spacing w:line="440" w:lineRule="exact"/>
        <w:ind w:firstLine="360"/>
        <w:rPr>
          <w:rFonts w:hAnsi="宋体"/>
          <w:bCs/>
          <w:color w:val="auto"/>
          <w:highlight w:val="none"/>
        </w:rPr>
      </w:pPr>
      <w:r>
        <w:rPr>
          <w:rFonts w:hint="eastAsia" w:hAnsi="宋体"/>
          <w:bCs/>
          <w:color w:val="auto"/>
          <w:highlight w:val="none"/>
        </w:rPr>
        <w:t>3.1投标人未被列入失信被执行人、重大税收违法案件当事人名单、政府采购严重违法失信行为记录名单，且应符合《中华人民共和国政府采购法》第二十二条规定的下列投标人资格条件：</w:t>
      </w:r>
    </w:p>
    <w:p>
      <w:pPr>
        <w:pStyle w:val="18"/>
        <w:spacing w:line="440" w:lineRule="exact"/>
        <w:ind w:firstLine="720"/>
        <w:rPr>
          <w:rFonts w:hAnsi="宋体"/>
          <w:bCs/>
          <w:color w:val="auto"/>
          <w:highlight w:val="none"/>
        </w:rPr>
      </w:pPr>
      <w:r>
        <w:rPr>
          <w:rFonts w:hint="eastAsia" w:hAnsi="宋体"/>
          <w:bCs/>
          <w:color w:val="auto"/>
          <w:highlight w:val="none"/>
        </w:rPr>
        <w:t>（1）具有独立承担民事责任的能力；</w:t>
      </w:r>
    </w:p>
    <w:p>
      <w:pPr>
        <w:pStyle w:val="18"/>
        <w:spacing w:line="440" w:lineRule="exact"/>
        <w:ind w:firstLine="720"/>
        <w:rPr>
          <w:rFonts w:hAnsi="宋体"/>
          <w:bCs/>
          <w:color w:val="auto"/>
          <w:highlight w:val="none"/>
        </w:rPr>
      </w:pPr>
      <w:r>
        <w:rPr>
          <w:rFonts w:hint="eastAsia" w:hAnsi="宋体"/>
          <w:bCs/>
          <w:color w:val="auto"/>
          <w:highlight w:val="none"/>
        </w:rPr>
        <w:t>（2）具有良好的商业信誉和健全的财务会计制度；</w:t>
      </w:r>
    </w:p>
    <w:p>
      <w:pPr>
        <w:pStyle w:val="18"/>
        <w:spacing w:line="440" w:lineRule="exact"/>
        <w:ind w:firstLine="720"/>
        <w:rPr>
          <w:rFonts w:hAnsi="宋体"/>
          <w:bCs/>
          <w:color w:val="auto"/>
          <w:highlight w:val="none"/>
        </w:rPr>
      </w:pPr>
      <w:r>
        <w:rPr>
          <w:rFonts w:hint="eastAsia" w:hAnsi="宋体"/>
          <w:bCs/>
          <w:color w:val="auto"/>
          <w:highlight w:val="none"/>
        </w:rPr>
        <w:t>（3）具有履行合同所必需的设备和专业技术能力；</w:t>
      </w:r>
    </w:p>
    <w:p>
      <w:pPr>
        <w:pStyle w:val="18"/>
        <w:spacing w:line="440" w:lineRule="exact"/>
        <w:ind w:firstLine="720"/>
        <w:rPr>
          <w:rFonts w:hAnsi="宋体"/>
          <w:bCs/>
          <w:color w:val="auto"/>
          <w:highlight w:val="none"/>
        </w:rPr>
      </w:pPr>
      <w:r>
        <w:rPr>
          <w:rFonts w:hint="eastAsia" w:hAnsi="宋体"/>
          <w:bCs/>
          <w:color w:val="auto"/>
          <w:highlight w:val="none"/>
        </w:rPr>
        <w:t>（4）有依法缴纳税收和社会保障资金的良好记录；</w:t>
      </w:r>
    </w:p>
    <w:p>
      <w:pPr>
        <w:pStyle w:val="18"/>
        <w:spacing w:line="440" w:lineRule="exact"/>
        <w:ind w:firstLine="720"/>
        <w:rPr>
          <w:rFonts w:hAnsi="宋体"/>
          <w:bCs/>
          <w:color w:val="auto"/>
          <w:highlight w:val="none"/>
        </w:rPr>
      </w:pPr>
      <w:r>
        <w:rPr>
          <w:rFonts w:hint="eastAsia" w:hAnsi="宋体"/>
          <w:bCs/>
          <w:color w:val="auto"/>
          <w:highlight w:val="none"/>
        </w:rPr>
        <w:t>（5）参加政府采购活动前三年内，在经营活动中没有重大违法记录；</w:t>
      </w:r>
    </w:p>
    <w:p>
      <w:pPr>
        <w:pStyle w:val="18"/>
        <w:spacing w:line="440" w:lineRule="exact"/>
        <w:ind w:firstLine="720"/>
        <w:rPr>
          <w:rFonts w:hAnsi="宋体"/>
          <w:bCs/>
          <w:color w:val="auto"/>
          <w:highlight w:val="none"/>
        </w:rPr>
      </w:pPr>
      <w:r>
        <w:rPr>
          <w:rFonts w:hint="eastAsia" w:hAnsi="宋体"/>
          <w:bCs/>
          <w:color w:val="auto"/>
          <w:highlight w:val="none"/>
        </w:rPr>
        <w:t>（6）法律、行政法规规定的其他条件。</w:t>
      </w:r>
    </w:p>
    <w:p>
      <w:pPr>
        <w:pStyle w:val="18"/>
        <w:spacing w:line="440" w:lineRule="exact"/>
        <w:ind w:firstLine="360"/>
        <w:rPr>
          <w:rFonts w:hAnsi="宋体"/>
          <w:bCs/>
          <w:color w:val="auto"/>
          <w:highlight w:val="none"/>
        </w:rPr>
      </w:pPr>
      <w:r>
        <w:rPr>
          <w:rFonts w:hint="eastAsia" w:hAnsi="宋体"/>
          <w:bCs/>
          <w:color w:val="auto"/>
          <w:highlight w:val="none"/>
        </w:rPr>
        <w:t>3.2  针对本项目，投标人应具备的特定资格条件：</w:t>
      </w:r>
      <w:r>
        <w:rPr>
          <w:rFonts w:hint="eastAsia" w:hAnsi="宋体"/>
          <w:b/>
          <w:bCs/>
          <w:color w:val="auto"/>
          <w:highlight w:val="none"/>
        </w:rPr>
        <w:t>见投标人须知前附表</w:t>
      </w:r>
      <w:r>
        <w:rPr>
          <w:rFonts w:hint="eastAsia" w:hAnsi="宋体"/>
          <w:bCs/>
          <w:color w:val="auto"/>
          <w:highlight w:val="none"/>
        </w:rPr>
        <w:t>。</w:t>
      </w:r>
    </w:p>
    <w:p>
      <w:pPr>
        <w:pStyle w:val="18"/>
        <w:spacing w:line="440" w:lineRule="exact"/>
        <w:ind w:firstLine="420" w:firstLineChars="200"/>
        <w:rPr>
          <w:rFonts w:hAnsi="宋体"/>
          <w:bCs/>
          <w:color w:val="auto"/>
          <w:highlight w:val="none"/>
        </w:rPr>
      </w:pPr>
      <w:r>
        <w:rPr>
          <w:rFonts w:hint="eastAsia"/>
          <w:color w:val="auto"/>
          <w:highlight w:val="none"/>
        </w:rPr>
        <w:t xml:space="preserve">3.3  </w:t>
      </w:r>
      <w:r>
        <w:rPr>
          <w:rFonts w:hint="eastAsia" w:hAnsi="宋体"/>
          <w:bCs/>
          <w:color w:val="auto"/>
          <w:highlight w:val="none"/>
        </w:rPr>
        <w:t>投标人须知前附表规定接受联合体投标的，两个以上供应商可以组成一个投标联合体，</w:t>
      </w:r>
      <w:r>
        <w:rPr>
          <w:rFonts w:hint="eastAsia" w:hAnsi="宋体"/>
          <w:color w:val="auto"/>
          <w:szCs w:val="21"/>
          <w:highlight w:val="none"/>
        </w:rPr>
        <w:t>以一个投标人的身份共同参加投标</w:t>
      </w:r>
      <w:r>
        <w:rPr>
          <w:rFonts w:hint="eastAsia" w:hAnsi="宋体"/>
          <w:bCs/>
          <w:color w:val="auto"/>
          <w:highlight w:val="none"/>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8"/>
        <w:spacing w:line="440" w:lineRule="exact"/>
        <w:ind w:firstLine="420" w:firstLineChars="200"/>
        <w:rPr>
          <w:rFonts w:hAnsi="宋体"/>
          <w:bCs/>
          <w:color w:val="auto"/>
          <w:highlight w:val="none"/>
        </w:rPr>
      </w:pPr>
      <w:r>
        <w:rPr>
          <w:rFonts w:hint="eastAsia" w:hAnsi="宋体"/>
          <w:bCs/>
          <w:color w:val="auto"/>
          <w:highlight w:val="none"/>
        </w:rPr>
        <w:t xml:space="preserve">3.4  </w:t>
      </w:r>
      <w:r>
        <w:rPr>
          <w:rFonts w:hint="eastAsia" w:hAnsi="宋体"/>
          <w:color w:val="auto"/>
          <w:highlight w:val="none"/>
        </w:rPr>
        <w:t xml:space="preserve">投标人不得直接或间接地与为本次采购的项目内容进行设计、编制规范和其他文件的咨询公司、采购人、采购代理机构或其附属机构有任何关联。 </w:t>
      </w:r>
    </w:p>
    <w:p>
      <w:pPr>
        <w:pStyle w:val="18"/>
        <w:spacing w:line="440" w:lineRule="exact"/>
        <w:ind w:left="1"/>
        <w:jc w:val="left"/>
        <w:rPr>
          <w:rFonts w:hAnsi="宋体"/>
          <w:bCs/>
          <w:color w:val="auto"/>
          <w:sz w:val="24"/>
          <w:highlight w:val="none"/>
        </w:rPr>
      </w:pPr>
      <w:r>
        <w:rPr>
          <w:rFonts w:hint="eastAsia" w:hAnsi="宋体"/>
          <w:bCs/>
          <w:color w:val="auto"/>
          <w:sz w:val="24"/>
          <w:highlight w:val="none"/>
        </w:rPr>
        <w:t>4.  询问</w:t>
      </w:r>
    </w:p>
    <w:p>
      <w:pPr>
        <w:pStyle w:val="18"/>
        <w:spacing w:line="440" w:lineRule="exact"/>
        <w:ind w:left="2" w:firstLine="360"/>
        <w:jc w:val="left"/>
        <w:rPr>
          <w:rFonts w:hAnsi="宋体"/>
          <w:bCs/>
          <w:color w:val="auto"/>
          <w:highlight w:val="none"/>
        </w:rPr>
      </w:pPr>
      <w:r>
        <w:rPr>
          <w:rFonts w:hint="eastAsia" w:hAnsi="宋体"/>
          <w:bCs/>
          <w:color w:val="auto"/>
          <w:highlight w:val="none"/>
        </w:rPr>
        <w:t>4.1供应商对政府采购活动事项有疑问的，可以向采购人或采购代理机构项目负责人提出询问。</w:t>
      </w:r>
    </w:p>
    <w:p>
      <w:pPr>
        <w:pStyle w:val="18"/>
        <w:spacing w:line="440" w:lineRule="exact"/>
        <w:ind w:left="2" w:firstLine="360"/>
        <w:jc w:val="left"/>
        <w:rPr>
          <w:rFonts w:hAnsi="宋体"/>
          <w:bCs/>
          <w:color w:val="auto"/>
          <w:highlight w:val="none"/>
        </w:rPr>
      </w:pPr>
      <w:r>
        <w:rPr>
          <w:rFonts w:hint="eastAsia" w:hAnsi="宋体"/>
          <w:bCs/>
          <w:color w:val="auto"/>
          <w:highlight w:val="none"/>
        </w:rPr>
        <w:t>4.2采购人或采购人委托的采购代理机构自受理询问之日起3个工作日内对供应商依法提出的询问作出答复。</w:t>
      </w:r>
    </w:p>
    <w:p>
      <w:pPr>
        <w:pStyle w:val="18"/>
        <w:spacing w:line="440" w:lineRule="exact"/>
        <w:ind w:left="2" w:firstLine="360"/>
        <w:jc w:val="left"/>
        <w:rPr>
          <w:rFonts w:hAnsi="宋体"/>
          <w:bCs/>
          <w:color w:val="auto"/>
          <w:highlight w:val="none"/>
        </w:rPr>
      </w:pPr>
      <w:r>
        <w:rPr>
          <w:rFonts w:hAnsi="宋体"/>
          <w:bCs/>
          <w:color w:val="auto"/>
          <w:highlight w:val="none"/>
        </w:rPr>
        <w:t xml:space="preserve">4.3 </w:t>
      </w:r>
      <w:r>
        <w:rPr>
          <w:rFonts w:hint="eastAsia" w:hAnsi="宋体"/>
          <w:bCs/>
          <w:color w:val="auto"/>
          <w:highlight w:val="none"/>
        </w:rPr>
        <w:t>询问事项可能影响中标、成交结果的，采购人应当暂停签订合同，已经签订合同的，应当中止履行合同。</w:t>
      </w:r>
    </w:p>
    <w:p>
      <w:pPr>
        <w:pStyle w:val="18"/>
        <w:spacing w:line="440" w:lineRule="exact"/>
        <w:jc w:val="left"/>
        <w:rPr>
          <w:rFonts w:hAnsi="宋体"/>
          <w:bCs/>
          <w:color w:val="auto"/>
          <w:sz w:val="24"/>
          <w:highlight w:val="none"/>
        </w:rPr>
      </w:pPr>
      <w:r>
        <w:rPr>
          <w:rFonts w:hint="eastAsia" w:hAnsi="宋体"/>
          <w:bCs/>
          <w:color w:val="auto"/>
          <w:sz w:val="24"/>
          <w:highlight w:val="none"/>
        </w:rPr>
        <w:t>5. 质疑和投诉</w:t>
      </w:r>
    </w:p>
    <w:p>
      <w:pPr>
        <w:pStyle w:val="18"/>
        <w:spacing w:line="440" w:lineRule="exact"/>
        <w:jc w:val="left"/>
        <w:rPr>
          <w:rFonts w:hAnsi="宋体"/>
          <w:bCs/>
          <w:color w:val="auto"/>
          <w:sz w:val="24"/>
          <w:highlight w:val="none"/>
        </w:rPr>
      </w:pPr>
      <w:r>
        <w:rPr>
          <w:rFonts w:hint="eastAsia" w:hAnsi="宋体"/>
          <w:bCs/>
          <w:color w:val="auto"/>
          <w:sz w:val="24"/>
          <w:highlight w:val="none"/>
        </w:rPr>
        <w:t>5.1 质疑</w:t>
      </w:r>
    </w:p>
    <w:p>
      <w:pPr>
        <w:pStyle w:val="18"/>
        <w:spacing w:line="440" w:lineRule="exact"/>
        <w:jc w:val="left"/>
        <w:rPr>
          <w:rFonts w:hAnsi="宋体"/>
          <w:bCs/>
          <w:color w:val="auto"/>
          <w:highlight w:val="none"/>
        </w:rPr>
      </w:pPr>
      <w:r>
        <w:rPr>
          <w:rFonts w:hint="eastAsia" w:hAnsi="宋体"/>
          <w:bCs/>
          <w:color w:val="auto"/>
          <w:highlight w:val="none"/>
        </w:rPr>
        <w:t>5.1.1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w:t>
      </w:r>
      <w:r>
        <w:rPr>
          <w:rFonts w:hint="eastAsia" w:hAnsi="宋体"/>
          <w:bCs/>
          <w:color w:val="auto"/>
          <w:szCs w:val="21"/>
          <w:highlight w:val="none"/>
        </w:rPr>
        <w:t>和联系方式</w:t>
      </w:r>
      <w:r>
        <w:rPr>
          <w:rFonts w:hint="eastAsia" w:hAnsi="宋体"/>
          <w:bCs/>
          <w:color w:val="auto"/>
          <w:highlight w:val="none"/>
        </w:rPr>
        <w:t>详见投标人须知前附表。采购代理机构应根据采购文件的规定将属于采购人受理和答复的质疑材料及时移交给采购人，采购人应将质疑处理情况及时函告采购代理机构。</w:t>
      </w:r>
    </w:p>
    <w:p>
      <w:pPr>
        <w:pStyle w:val="18"/>
        <w:spacing w:line="440" w:lineRule="exact"/>
        <w:ind w:left="2" w:firstLine="360"/>
        <w:jc w:val="left"/>
        <w:rPr>
          <w:rFonts w:hAnsi="宋体"/>
          <w:bCs/>
          <w:color w:val="auto"/>
          <w:highlight w:val="none"/>
        </w:rPr>
      </w:pPr>
      <w:r>
        <w:rPr>
          <w:rFonts w:hint="eastAsia" w:hAnsi="宋体"/>
          <w:bCs/>
          <w:color w:val="auto"/>
          <w:highlight w:val="none"/>
        </w:rPr>
        <w:t>5.1.1.1潜在供应商依法获取公开招标文件后，认为采购文件使自己的权益受到损害的，应当在公开招标文件公告期限届满之日起7个工作日内提出质疑。对公开招标文件中采购需求（含资格要求、</w:t>
      </w:r>
      <w:r>
        <w:rPr>
          <w:rFonts w:hint="eastAsia" w:hAnsi="宋体" w:cs="宋体"/>
          <w:color w:val="auto"/>
          <w:kern w:val="0"/>
          <w:szCs w:val="21"/>
          <w:highlight w:val="none"/>
        </w:rPr>
        <w:t>预算金额</w:t>
      </w:r>
      <w:r>
        <w:rPr>
          <w:rFonts w:hint="eastAsia" w:hAnsi="宋体"/>
          <w:bCs/>
          <w:color w:val="auto"/>
          <w:highlight w:val="none"/>
        </w:rPr>
        <w:t>和评分办法）的质疑由采购人受理并负责答复；对公开招标文件中的采购执行程序的质疑由采购代理机构受理并负责答复。</w:t>
      </w:r>
    </w:p>
    <w:p>
      <w:pPr>
        <w:pStyle w:val="18"/>
        <w:spacing w:line="440" w:lineRule="exact"/>
        <w:ind w:left="2" w:firstLine="360"/>
        <w:jc w:val="left"/>
        <w:rPr>
          <w:rFonts w:hAnsi="宋体"/>
          <w:bCs/>
          <w:color w:val="auto"/>
          <w:highlight w:val="none"/>
        </w:rPr>
      </w:pPr>
      <w:r>
        <w:rPr>
          <w:rFonts w:hint="eastAsia" w:hAnsi="宋体"/>
          <w:bCs/>
          <w:color w:val="auto"/>
          <w:highlight w:val="none"/>
        </w:rPr>
        <w:t>5.1.1.2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pPr>
        <w:pStyle w:val="18"/>
        <w:spacing w:line="440" w:lineRule="exact"/>
        <w:ind w:left="2" w:firstLine="360"/>
        <w:jc w:val="left"/>
        <w:rPr>
          <w:rFonts w:hAnsi="宋体"/>
          <w:bCs/>
          <w:color w:val="auto"/>
          <w:szCs w:val="21"/>
          <w:highlight w:val="none"/>
        </w:rPr>
      </w:pPr>
      <w:r>
        <w:rPr>
          <w:rFonts w:hint="eastAsia" w:hAnsi="宋体"/>
          <w:bCs/>
          <w:color w:val="auto"/>
          <w:highlight w:val="none"/>
        </w:rPr>
        <w:t>5.1.1.3供应商认为中标或者成交结果使自己的权益受到损害的，应当在中标或者成交结果公告期限届满之日起7个工作日内提出质疑，由采购人受理并负责答复。</w:t>
      </w:r>
    </w:p>
    <w:p>
      <w:pPr>
        <w:pStyle w:val="18"/>
        <w:spacing w:line="440" w:lineRule="exact"/>
        <w:ind w:left="2" w:firstLine="360"/>
        <w:jc w:val="left"/>
        <w:rPr>
          <w:rFonts w:hAnsi="宋体"/>
          <w:bCs/>
          <w:color w:val="auto"/>
          <w:szCs w:val="21"/>
          <w:highlight w:val="none"/>
        </w:rPr>
      </w:pPr>
      <w:r>
        <w:rPr>
          <w:rFonts w:hint="eastAsia" w:hAnsi="宋体"/>
          <w:bCs/>
          <w:color w:val="auto"/>
          <w:szCs w:val="21"/>
          <w:highlight w:val="none"/>
        </w:rPr>
        <w:t>5.1.2  供应商质疑实行实名制，其质疑应当有具体的质疑事项及事实根据，质疑应当坚持依法依规、诚实信用原则，不得进行虚假、恶意质疑。</w:t>
      </w:r>
    </w:p>
    <w:p>
      <w:pPr>
        <w:pStyle w:val="18"/>
        <w:spacing w:line="440" w:lineRule="exact"/>
        <w:ind w:left="2" w:firstLine="360"/>
        <w:jc w:val="left"/>
        <w:rPr>
          <w:bCs/>
          <w:color w:val="auto"/>
          <w:szCs w:val="21"/>
          <w:highlight w:val="none"/>
        </w:rPr>
      </w:pPr>
      <w:r>
        <w:rPr>
          <w:rFonts w:hint="eastAsia"/>
          <w:bCs/>
          <w:color w:val="auto"/>
          <w:szCs w:val="21"/>
          <w:highlight w:val="none"/>
        </w:rPr>
        <w:t xml:space="preserve">5.1.3  </w:t>
      </w:r>
      <w:r>
        <w:rPr>
          <w:bCs/>
          <w:color w:val="auto"/>
          <w:szCs w:val="21"/>
          <w:highlight w:val="none"/>
        </w:rPr>
        <w:t>供应商提交质疑应当提交质疑函和必要的证明材料</w:t>
      </w:r>
      <w:r>
        <w:rPr>
          <w:rFonts w:hAnsi="宋体"/>
          <w:bCs/>
          <w:color w:val="auto"/>
          <w:szCs w:val="21"/>
          <w:highlight w:val="none"/>
        </w:rPr>
        <w:t>[</w:t>
      </w:r>
      <w:r>
        <w:rPr>
          <w:rFonts w:hint="eastAsia" w:hAnsi="宋体"/>
          <w:bCs/>
          <w:color w:val="auto"/>
          <w:szCs w:val="21"/>
          <w:highlight w:val="none"/>
        </w:rPr>
        <w:t>按第七章“质疑材料格式”提供的“质疑函（格式）”和“质疑证明材料（格式）”的要求填写</w:t>
      </w:r>
      <w:r>
        <w:rPr>
          <w:rFonts w:hAnsi="宋体"/>
          <w:bCs/>
          <w:color w:val="auto"/>
          <w:szCs w:val="21"/>
          <w:highlight w:val="none"/>
        </w:rPr>
        <w:t>]</w:t>
      </w:r>
      <w:r>
        <w:rPr>
          <w:bCs/>
          <w:color w:val="auto"/>
          <w:szCs w:val="21"/>
          <w:highlight w:val="none"/>
        </w:rPr>
        <w:t>，质疑函应当包括下列内容：</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1</w:t>
      </w:r>
      <w:r>
        <w:rPr>
          <w:bCs/>
          <w:color w:val="auto"/>
          <w:szCs w:val="21"/>
          <w:highlight w:val="none"/>
        </w:rPr>
        <w:t>）供应商的姓名或者名称、地址、邮编、联系人及联系电话；</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2</w:t>
      </w:r>
      <w:r>
        <w:rPr>
          <w:bCs/>
          <w:color w:val="auto"/>
          <w:szCs w:val="21"/>
          <w:highlight w:val="none"/>
        </w:rPr>
        <w:t>）质疑项目的名称、编号；</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3</w:t>
      </w:r>
      <w:r>
        <w:rPr>
          <w:bCs/>
          <w:color w:val="auto"/>
          <w:szCs w:val="21"/>
          <w:highlight w:val="none"/>
        </w:rPr>
        <w:t>）具体、明确的质疑事项和质疑事项相关的请求；</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4</w:t>
      </w:r>
      <w:r>
        <w:rPr>
          <w:bCs/>
          <w:color w:val="auto"/>
          <w:szCs w:val="21"/>
          <w:highlight w:val="none"/>
        </w:rPr>
        <w:t>）事实依据</w:t>
      </w:r>
      <w:r>
        <w:rPr>
          <w:rFonts w:hint="eastAsia" w:hAnsi="宋体"/>
          <w:bCs/>
          <w:color w:val="auto"/>
          <w:szCs w:val="21"/>
          <w:highlight w:val="none"/>
        </w:rPr>
        <w:t>（列明权益受到损害的事实和理由）</w:t>
      </w:r>
      <w:r>
        <w:rPr>
          <w:bCs/>
          <w:color w:val="auto"/>
          <w:szCs w:val="21"/>
          <w:highlight w:val="none"/>
        </w:rPr>
        <w:t>；</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5</w:t>
      </w:r>
      <w:r>
        <w:rPr>
          <w:bCs/>
          <w:color w:val="auto"/>
          <w:szCs w:val="21"/>
          <w:highlight w:val="none"/>
        </w:rPr>
        <w:t>）必要的法律依据；</w:t>
      </w:r>
    </w:p>
    <w:p>
      <w:pPr>
        <w:pStyle w:val="18"/>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6</w:t>
      </w:r>
      <w:r>
        <w:rPr>
          <w:bCs/>
          <w:color w:val="auto"/>
          <w:szCs w:val="21"/>
          <w:highlight w:val="none"/>
        </w:rPr>
        <w:t>）提起质疑的日期；</w:t>
      </w:r>
    </w:p>
    <w:p>
      <w:pPr>
        <w:pStyle w:val="18"/>
        <w:spacing w:line="440" w:lineRule="exact"/>
        <w:ind w:left="2" w:firstLine="360"/>
        <w:jc w:val="left"/>
        <w:rPr>
          <w:rFonts w:hAnsi="宋体"/>
          <w:color w:val="auto"/>
          <w:highlight w:val="none"/>
        </w:rPr>
      </w:pPr>
      <w:r>
        <w:rPr>
          <w:bCs/>
          <w:color w:val="auto"/>
          <w:szCs w:val="21"/>
          <w:highlight w:val="none"/>
        </w:rPr>
        <w:t>供应商为自然人的，应当由本人签字；质疑供应商为法人或者其他组织的，应当由法定代表人、主要负责人签字或其授权代表签字或盖章并加盖公章。</w:t>
      </w:r>
    </w:p>
    <w:p>
      <w:pPr>
        <w:pStyle w:val="18"/>
        <w:spacing w:line="440" w:lineRule="exact"/>
        <w:ind w:left="2" w:firstLine="360"/>
        <w:rPr>
          <w:rFonts w:hAnsi="宋体"/>
          <w:bCs/>
          <w:color w:val="auto"/>
          <w:highlight w:val="none"/>
        </w:rPr>
      </w:pPr>
      <w:r>
        <w:rPr>
          <w:rFonts w:hint="eastAsia" w:hAnsi="宋体"/>
          <w:bCs/>
          <w:color w:val="auto"/>
          <w:highlight w:val="none"/>
        </w:rPr>
        <w:t>5.1.4  质疑供应商可以委托代理人办理质疑事务。委托代理人应熟悉相关业务情况。代理人办理质疑事务时，除提交质疑书外，还应当提交质疑供应商的授权委托书，授权委托书应当载明委托代理的具体权限和事项</w:t>
      </w:r>
      <w:r>
        <w:rPr>
          <w:rFonts w:hint="eastAsia" w:hAnsi="宋体"/>
          <w:color w:val="auto"/>
          <w:highlight w:val="none"/>
        </w:rPr>
        <w:t>。</w:t>
      </w:r>
    </w:p>
    <w:p>
      <w:pPr>
        <w:pStyle w:val="18"/>
        <w:spacing w:line="440" w:lineRule="exact"/>
        <w:ind w:left="2" w:firstLine="360"/>
        <w:rPr>
          <w:rFonts w:hAnsi="宋体"/>
          <w:bCs/>
          <w:color w:val="auto"/>
          <w:highlight w:val="none"/>
        </w:rPr>
      </w:pPr>
      <w:r>
        <w:rPr>
          <w:rFonts w:hint="eastAsia" w:hAnsi="宋体"/>
          <w:bCs/>
          <w:color w:val="auto"/>
          <w:highlight w:val="none"/>
        </w:rPr>
        <w:t>5.1.5  质疑供应商提起质疑应当符合下列条件：</w:t>
      </w:r>
    </w:p>
    <w:p>
      <w:pPr>
        <w:pStyle w:val="18"/>
        <w:spacing w:line="440" w:lineRule="exact"/>
        <w:ind w:left="2" w:firstLine="36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采购活动的供应商，以联合体形式参加政府采购活动的，其质疑应当由组成联合体的所有供应商共同提出；</w:t>
      </w:r>
    </w:p>
    <w:p>
      <w:pPr>
        <w:pStyle w:val="18"/>
        <w:spacing w:line="440" w:lineRule="exact"/>
        <w:ind w:left="2" w:firstLine="360"/>
        <w:rPr>
          <w:rFonts w:hAnsi="宋体"/>
          <w:bCs/>
          <w:color w:val="auto"/>
          <w:highlight w:val="none"/>
        </w:rPr>
      </w:pPr>
      <w:r>
        <w:rPr>
          <w:rFonts w:hint="eastAsia" w:hAnsi="宋体"/>
          <w:bCs/>
          <w:color w:val="auto"/>
          <w:highlight w:val="none"/>
        </w:rPr>
        <w:t>（2）质疑函内容符合本章第5.1.3项的规定；</w:t>
      </w:r>
    </w:p>
    <w:p>
      <w:pPr>
        <w:pStyle w:val="18"/>
        <w:spacing w:line="440" w:lineRule="exact"/>
        <w:ind w:left="2" w:firstLine="360"/>
        <w:rPr>
          <w:rFonts w:hAnsi="宋体"/>
          <w:bCs/>
          <w:color w:val="auto"/>
          <w:highlight w:val="none"/>
        </w:rPr>
      </w:pPr>
      <w:r>
        <w:rPr>
          <w:rFonts w:hint="eastAsia" w:hAnsi="宋体"/>
          <w:bCs/>
          <w:color w:val="auto"/>
          <w:highlight w:val="none"/>
        </w:rPr>
        <w:t>（3）在质疑有效期限内提起质疑；</w:t>
      </w:r>
    </w:p>
    <w:p>
      <w:pPr>
        <w:pStyle w:val="18"/>
        <w:spacing w:line="440" w:lineRule="exact"/>
        <w:ind w:left="2" w:firstLine="360"/>
        <w:rPr>
          <w:rFonts w:hAnsi="宋体"/>
          <w:bCs/>
          <w:color w:val="auto"/>
          <w:highlight w:val="none"/>
        </w:rPr>
      </w:pPr>
      <w:r>
        <w:rPr>
          <w:rFonts w:hint="eastAsia" w:hAnsi="宋体"/>
          <w:bCs/>
          <w:color w:val="auto"/>
          <w:highlight w:val="none"/>
        </w:rPr>
        <w:t>（4）属于所质疑的采购人或采购人委托的采购代理机构组织的采购活动；</w:t>
      </w:r>
    </w:p>
    <w:p>
      <w:pPr>
        <w:pStyle w:val="18"/>
        <w:spacing w:line="440" w:lineRule="exact"/>
        <w:ind w:left="2" w:firstLine="36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pPr>
        <w:pStyle w:val="18"/>
        <w:spacing w:line="440" w:lineRule="exact"/>
        <w:ind w:left="2" w:firstLine="360"/>
        <w:rPr>
          <w:rFonts w:hAnsi="宋体"/>
          <w:bCs/>
          <w:color w:val="auto"/>
          <w:highlight w:val="none"/>
        </w:rPr>
      </w:pPr>
      <w:r>
        <w:rPr>
          <w:rFonts w:hint="eastAsia" w:hAnsi="宋体"/>
          <w:bCs/>
          <w:color w:val="auto"/>
          <w:highlight w:val="none"/>
        </w:rPr>
        <w:t>（6）供应商对同一采购程序环节的质疑应当在质疑有效期内一次性提出；</w:t>
      </w:r>
    </w:p>
    <w:p>
      <w:pPr>
        <w:pStyle w:val="18"/>
        <w:spacing w:line="440" w:lineRule="exact"/>
        <w:ind w:left="2" w:firstLine="360"/>
        <w:rPr>
          <w:rFonts w:hAnsi="宋体"/>
          <w:bCs/>
          <w:color w:val="auto"/>
          <w:highlight w:val="none"/>
        </w:rPr>
      </w:pPr>
      <w:r>
        <w:rPr>
          <w:rFonts w:hint="eastAsia" w:hAnsi="宋体"/>
          <w:bCs/>
          <w:color w:val="auto"/>
          <w:highlight w:val="none"/>
        </w:rPr>
        <w:t>（7）供应商提交质疑应当提交必要的证明材料，证明材料应以合法手段取得；</w:t>
      </w:r>
    </w:p>
    <w:p>
      <w:pPr>
        <w:pStyle w:val="18"/>
        <w:spacing w:line="440" w:lineRule="exact"/>
        <w:ind w:left="2" w:firstLine="360"/>
        <w:rPr>
          <w:color w:val="auto"/>
          <w:highlight w:val="none"/>
        </w:rPr>
      </w:pPr>
      <w:r>
        <w:rPr>
          <w:rFonts w:hint="eastAsia" w:hAnsi="宋体"/>
          <w:bCs/>
          <w:color w:val="auto"/>
          <w:highlight w:val="none"/>
        </w:rPr>
        <w:t>（8）财政部门规定的其他条件。</w:t>
      </w:r>
    </w:p>
    <w:p>
      <w:pPr>
        <w:pStyle w:val="18"/>
        <w:spacing w:line="460" w:lineRule="exact"/>
        <w:ind w:firstLine="420" w:firstLineChars="200"/>
        <w:rPr>
          <w:color w:val="auto"/>
          <w:szCs w:val="21"/>
          <w:highlight w:val="none"/>
        </w:rPr>
      </w:pPr>
      <w:r>
        <w:rPr>
          <w:rFonts w:hint="eastAsia"/>
          <w:color w:val="auto"/>
          <w:highlight w:val="none"/>
        </w:rPr>
        <w:t xml:space="preserve">5.1.6  </w:t>
      </w:r>
      <w:r>
        <w:rPr>
          <w:rFonts w:hint="eastAsia"/>
          <w:color w:val="auto"/>
          <w:szCs w:val="21"/>
          <w:highlight w:val="none"/>
        </w:rPr>
        <w:t>采购人或采购人委托的采购代理机构在收到质疑函后7个工作日内作出答复，并以书面形式通知质疑供应商及其他有关供应商。对不符合质疑条件的质疑，答复质疑不成立，并说明理由；对符合质疑条件的质疑，对质疑事项作出答复</w:t>
      </w:r>
      <w:r>
        <w:rPr>
          <w:rFonts w:hint="eastAsia" w:ascii="Helvetica" w:hAnsi="Helvetica" w:cs="Helvetica"/>
          <w:color w:val="auto"/>
          <w:highlight w:val="none"/>
        </w:rPr>
        <w:t>。</w:t>
      </w:r>
    </w:p>
    <w:p>
      <w:pPr>
        <w:spacing w:line="440" w:lineRule="exact"/>
        <w:ind w:firstLine="420" w:firstLineChars="200"/>
        <w:rPr>
          <w:rFonts w:ascii="宋体" w:hAnsi="宋体"/>
          <w:color w:val="auto"/>
          <w:highlight w:val="none"/>
        </w:rPr>
      </w:pPr>
      <w:r>
        <w:rPr>
          <w:rFonts w:hAnsi="宋体"/>
          <w:bCs/>
          <w:color w:val="auto"/>
          <w:szCs w:val="21"/>
          <w:highlight w:val="none"/>
        </w:rPr>
        <w:t>5.1.7</w:t>
      </w:r>
      <w:r>
        <w:rPr>
          <w:rFonts w:hint="eastAsia" w:hAnsi="宋体"/>
          <w:bCs/>
          <w:color w:val="auto"/>
          <w:szCs w:val="21"/>
          <w:highlight w:val="none"/>
        </w:rPr>
        <w:t>质疑事项可能影响中标、成交结果的，采购人应当暂停签订合同，已经签订合同的，应当中止履行合同。</w:t>
      </w:r>
    </w:p>
    <w:p>
      <w:pPr>
        <w:pStyle w:val="18"/>
        <w:spacing w:line="440" w:lineRule="exact"/>
        <w:jc w:val="left"/>
        <w:rPr>
          <w:rFonts w:hAnsi="宋体"/>
          <w:bCs/>
          <w:color w:val="auto"/>
          <w:sz w:val="24"/>
          <w:highlight w:val="none"/>
        </w:rPr>
      </w:pPr>
      <w:r>
        <w:rPr>
          <w:rFonts w:hint="eastAsia" w:hAnsi="宋体"/>
          <w:bCs/>
          <w:color w:val="auto"/>
          <w:sz w:val="24"/>
          <w:highlight w:val="none"/>
        </w:rPr>
        <w:t>5.2  投诉</w:t>
      </w:r>
    </w:p>
    <w:p>
      <w:pPr>
        <w:pStyle w:val="18"/>
        <w:spacing w:line="440" w:lineRule="exact"/>
        <w:ind w:left="2" w:leftChars="1" w:firstLine="420" w:firstLineChars="200"/>
        <w:jc w:val="left"/>
        <w:rPr>
          <w:rFonts w:hAnsi="宋体"/>
          <w:bCs/>
          <w:color w:val="auto"/>
          <w:highlight w:val="none"/>
        </w:rPr>
      </w:pPr>
      <w:r>
        <w:rPr>
          <w:rFonts w:hint="eastAsia" w:hAnsi="宋体"/>
          <w:bCs/>
          <w:color w:val="auto"/>
          <w:highlight w:val="none"/>
        </w:rPr>
        <w:t>5.2.1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未在规定期限内做出答复的，供应商可以在答复期满后15个工作日内向南宁市政府采购监督管理部门提起投诉。</w:t>
      </w:r>
    </w:p>
    <w:p>
      <w:pPr>
        <w:pStyle w:val="18"/>
        <w:spacing w:line="440" w:lineRule="exact"/>
        <w:ind w:left="2" w:leftChars="1" w:firstLine="420" w:firstLineChars="200"/>
        <w:jc w:val="left"/>
        <w:rPr>
          <w:rFonts w:hAnsi="宋体"/>
          <w:bCs/>
          <w:color w:val="auto"/>
          <w:highlight w:val="none"/>
        </w:rPr>
      </w:pPr>
      <w:r>
        <w:rPr>
          <w:rFonts w:hint="eastAsia"/>
          <w:color w:val="auto"/>
          <w:highlight w:val="none"/>
        </w:rPr>
        <w:t>5.2.2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color w:val="auto"/>
          <w:szCs w:val="21"/>
          <w:highlight w:val="none"/>
        </w:rPr>
        <w:t>：</w:t>
      </w:r>
    </w:p>
    <w:p>
      <w:pPr>
        <w:pStyle w:val="18"/>
        <w:spacing w:line="440" w:lineRule="exact"/>
        <w:ind w:left="2" w:firstLine="417" w:firstLineChars="199"/>
        <w:jc w:val="left"/>
        <w:rPr>
          <w:color w:val="auto"/>
          <w:highlight w:val="none"/>
        </w:rPr>
      </w:pPr>
      <w:r>
        <w:rPr>
          <w:rFonts w:hint="eastAsia" w:hAnsi="宋体"/>
          <w:color w:val="auto"/>
          <w:highlight w:val="none"/>
        </w:rPr>
        <w:t xml:space="preserve">（1）投诉人和被投诉人的名称、地址、电话等； </w:t>
      </w:r>
    </w:p>
    <w:p>
      <w:pPr>
        <w:pStyle w:val="18"/>
        <w:spacing w:line="440" w:lineRule="exact"/>
        <w:ind w:left="2" w:firstLine="417" w:firstLineChars="199"/>
        <w:jc w:val="left"/>
        <w:rPr>
          <w:color w:val="auto"/>
          <w:highlight w:val="none"/>
        </w:rPr>
      </w:pPr>
      <w:r>
        <w:rPr>
          <w:rFonts w:hint="eastAsia" w:hAnsi="宋体"/>
          <w:color w:val="auto"/>
          <w:highlight w:val="none"/>
        </w:rPr>
        <w:t>（2）具体的投诉事项及事实依据；</w:t>
      </w:r>
    </w:p>
    <w:p>
      <w:pPr>
        <w:pStyle w:val="18"/>
        <w:spacing w:line="440" w:lineRule="exact"/>
        <w:ind w:left="2" w:firstLine="417" w:firstLineChars="199"/>
        <w:jc w:val="left"/>
        <w:rPr>
          <w:color w:val="auto"/>
          <w:highlight w:val="none"/>
        </w:rPr>
      </w:pPr>
      <w:r>
        <w:rPr>
          <w:rFonts w:hint="eastAsia" w:hAnsi="宋体"/>
          <w:color w:val="auto"/>
          <w:highlight w:val="none"/>
        </w:rPr>
        <w:t xml:space="preserve">（3）质疑和质疑答复情况及相关证明材料； </w:t>
      </w:r>
    </w:p>
    <w:p>
      <w:pPr>
        <w:pStyle w:val="18"/>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（4）提起投诉的日期。</w:t>
      </w:r>
    </w:p>
    <w:p>
      <w:pPr>
        <w:pStyle w:val="18"/>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（5）附件材料：营业执照副本内页复印件（要求证件有效并清晰反映企业法人经营范围；近期连续三个月依法缴纳税收和在职职工社会保障资金证明材料（复印件）。</w:t>
      </w:r>
      <w:r>
        <w:rPr>
          <w:rFonts w:hint="eastAsia" w:hAnsi="宋体"/>
          <w:color w:val="auto"/>
          <w:highlight w:val="none"/>
        </w:rPr>
        <w:tab/>
      </w:r>
    </w:p>
    <w:p>
      <w:pPr>
        <w:pStyle w:val="18"/>
        <w:spacing w:line="440" w:lineRule="exact"/>
        <w:ind w:firstLine="420" w:firstLineChars="200"/>
        <w:rPr>
          <w:rFonts w:hAnsi="宋体"/>
          <w:color w:val="auto"/>
          <w:highlight w:val="none"/>
        </w:rPr>
      </w:pPr>
      <w:r>
        <w:rPr>
          <w:rFonts w:hint="eastAsia" w:hAnsi="宋体"/>
          <w:color w:val="auto"/>
          <w:highlight w:val="none"/>
        </w:rPr>
        <w:t>投诉书应当署名。投诉人为法人或者其他组织的，应当由法定代表人或者主要负责人签字盖章并加盖公章。</w:t>
      </w:r>
    </w:p>
    <w:p>
      <w:pPr>
        <w:pStyle w:val="18"/>
        <w:spacing w:line="440" w:lineRule="exact"/>
        <w:ind w:firstLine="420" w:firstLineChars="200"/>
        <w:rPr>
          <w:rFonts w:hAnsi="宋体"/>
          <w:color w:val="auto"/>
          <w:highlight w:val="none"/>
        </w:rPr>
      </w:pPr>
      <w:r>
        <w:rPr>
          <w:rFonts w:hint="eastAsia"/>
          <w:color w:val="auto"/>
          <w:highlight w:val="none"/>
        </w:rPr>
        <w:t>5.2.3  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代理人办理投诉事务时，除提交投诉书外，还应当提交投诉人的授权委托书，授权委托书应当载明委托代理的具体权限和事项；</w:t>
      </w:r>
      <w:r>
        <w:rPr>
          <w:rFonts w:hint="eastAsia" w:hAnsi="宋体"/>
          <w:bCs/>
          <w:color w:val="auto"/>
          <w:highlight w:val="none"/>
        </w:rPr>
        <w:t>提交</w:t>
      </w:r>
      <w:r>
        <w:rPr>
          <w:rFonts w:hint="eastAsia" w:hAnsi="宋体"/>
          <w:color w:val="auto"/>
          <w:highlight w:val="none"/>
        </w:rPr>
        <w:t>委托代理人身份证明复印件。</w:t>
      </w:r>
    </w:p>
    <w:p>
      <w:pPr>
        <w:pStyle w:val="18"/>
        <w:spacing w:line="440" w:lineRule="exact"/>
        <w:ind w:firstLine="420" w:firstLineChars="200"/>
        <w:rPr>
          <w:rFonts w:hAnsi="宋体"/>
          <w:color w:val="auto"/>
          <w:highlight w:val="none"/>
        </w:rPr>
      </w:pPr>
      <w:r>
        <w:rPr>
          <w:rFonts w:hint="eastAsia"/>
          <w:color w:val="auto"/>
          <w:highlight w:val="none"/>
        </w:rPr>
        <w:t>5.2.4  投诉人提起投诉应当符合下列条件：</w:t>
      </w:r>
    </w:p>
    <w:p>
      <w:pPr>
        <w:spacing w:line="440" w:lineRule="exact"/>
        <w:ind w:firstLine="420"/>
        <w:rPr>
          <w:rFonts w:ascii="宋体" w:hAnsi="宋体"/>
          <w:color w:val="auto"/>
          <w:highlight w:val="none"/>
        </w:rPr>
      </w:pPr>
      <w:r>
        <w:rPr>
          <w:rFonts w:hint="eastAsia" w:ascii="宋体" w:hAnsi="宋体"/>
          <w:color w:val="auto"/>
          <w:highlight w:val="none"/>
        </w:rPr>
        <w:t>（1）投诉人是参与所投诉政府采购活动的供应商；</w:t>
      </w:r>
    </w:p>
    <w:p>
      <w:pPr>
        <w:spacing w:line="440" w:lineRule="exact"/>
        <w:ind w:firstLine="420"/>
        <w:rPr>
          <w:rFonts w:ascii="宋体" w:hAnsi="宋体"/>
          <w:color w:val="auto"/>
          <w:highlight w:val="none"/>
        </w:rPr>
      </w:pPr>
      <w:r>
        <w:rPr>
          <w:rFonts w:hint="eastAsia" w:ascii="宋体" w:hAnsi="宋体"/>
          <w:color w:val="auto"/>
          <w:highlight w:val="none"/>
        </w:rPr>
        <w:t>（2）提起投诉前已依法进行质疑；</w:t>
      </w:r>
    </w:p>
    <w:p>
      <w:pPr>
        <w:spacing w:line="440" w:lineRule="exact"/>
        <w:ind w:firstLine="420"/>
        <w:rPr>
          <w:rFonts w:ascii="宋体" w:hAnsi="宋体"/>
          <w:color w:val="auto"/>
          <w:highlight w:val="none"/>
        </w:rPr>
      </w:pPr>
      <w:r>
        <w:rPr>
          <w:rFonts w:hint="eastAsia" w:ascii="宋体" w:hAnsi="宋体"/>
          <w:color w:val="auto"/>
          <w:highlight w:val="none"/>
        </w:rPr>
        <w:t>（3）投诉书内容符合本章第5.2.2项的规定；</w:t>
      </w:r>
    </w:p>
    <w:p>
      <w:pPr>
        <w:spacing w:line="440" w:lineRule="exact"/>
        <w:ind w:firstLine="420"/>
        <w:rPr>
          <w:rFonts w:ascii="宋体" w:hAnsi="宋体"/>
          <w:color w:val="auto"/>
          <w:highlight w:val="none"/>
        </w:rPr>
      </w:pPr>
      <w:r>
        <w:rPr>
          <w:rFonts w:hint="eastAsia" w:ascii="宋体" w:hAnsi="宋体"/>
          <w:color w:val="auto"/>
          <w:highlight w:val="none"/>
        </w:rPr>
        <w:t>（4）在投诉有效期限内提起投诉；</w:t>
      </w:r>
    </w:p>
    <w:p>
      <w:pPr>
        <w:spacing w:line="440" w:lineRule="exact"/>
        <w:ind w:firstLine="420"/>
        <w:rPr>
          <w:rFonts w:ascii="宋体" w:hAnsi="宋体"/>
          <w:color w:val="auto"/>
          <w:highlight w:val="none"/>
        </w:rPr>
      </w:pPr>
      <w:r>
        <w:rPr>
          <w:rFonts w:hint="eastAsia" w:ascii="宋体" w:hAnsi="宋体"/>
          <w:color w:val="auto"/>
          <w:highlight w:val="none"/>
        </w:rPr>
        <w:t>（5）属于南宁市政府采购监督管理部门管辖；</w:t>
      </w:r>
    </w:p>
    <w:p>
      <w:pPr>
        <w:spacing w:line="440" w:lineRule="exact"/>
        <w:ind w:firstLine="42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pPr>
        <w:spacing w:line="440" w:lineRule="exact"/>
        <w:ind w:firstLine="420"/>
        <w:rPr>
          <w:rFonts w:ascii="宋体"/>
          <w:color w:val="auto"/>
          <w:highlight w:val="none"/>
        </w:rPr>
      </w:pPr>
      <w:r>
        <w:rPr>
          <w:rFonts w:hint="eastAsia" w:ascii="宋体"/>
          <w:color w:val="auto"/>
          <w:highlight w:val="none"/>
        </w:rPr>
        <w:t>（7）国务院财政部门规定的其他条件。</w:t>
      </w:r>
    </w:p>
    <w:p>
      <w:pPr>
        <w:spacing w:line="440" w:lineRule="exact"/>
        <w:ind w:firstLine="420" w:firstLineChars="200"/>
        <w:rPr>
          <w:rFonts w:ascii="宋体"/>
          <w:color w:val="auto"/>
          <w:highlight w:val="none"/>
        </w:rPr>
      </w:pPr>
      <w:r>
        <w:rPr>
          <w:rFonts w:hint="eastAsia" w:ascii="宋体"/>
          <w:color w:val="auto"/>
          <w:highlight w:val="none"/>
        </w:rPr>
        <w:t>5.2.5  南宁市政府采购监督管理部门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p>
    <w:p>
      <w:pPr>
        <w:spacing w:line="440" w:lineRule="exact"/>
        <w:ind w:firstLine="420" w:firstLineChars="200"/>
        <w:rPr>
          <w:rFonts w:ascii="宋体"/>
          <w:color w:val="auto"/>
          <w:highlight w:val="none"/>
        </w:rPr>
      </w:pPr>
      <w:r>
        <w:rPr>
          <w:rFonts w:hint="eastAsia" w:ascii="宋体"/>
          <w:color w:val="auto"/>
          <w:highlight w:val="none"/>
        </w:rPr>
        <w:t>5.2.6  南宁市政府采购监督管理部门在处理投诉事项期间，可以视具体情况暂停采购活动。</w:t>
      </w:r>
    </w:p>
    <w:p>
      <w:pPr>
        <w:pStyle w:val="18"/>
        <w:spacing w:line="440" w:lineRule="exact"/>
        <w:jc w:val="center"/>
        <w:outlineLvl w:val="1"/>
        <w:rPr>
          <w:rFonts w:ascii="Times New Roman" w:hAnsi="Times New Roman"/>
          <w:b/>
          <w:color w:val="auto"/>
          <w:sz w:val="30"/>
          <w:szCs w:val="30"/>
          <w:highlight w:val="none"/>
        </w:rPr>
      </w:pPr>
      <w:bookmarkStart w:id="62" w:name="_Toc401396876"/>
      <w:bookmarkStart w:id="63" w:name="_Toc495996909"/>
      <w:bookmarkStart w:id="64" w:name="_Toc213326417"/>
      <w:r>
        <w:rPr>
          <w:rFonts w:hint="eastAsia" w:ascii="Times New Roman" w:hAnsi="Times New Roman"/>
          <w:b/>
          <w:color w:val="auto"/>
          <w:sz w:val="30"/>
          <w:szCs w:val="30"/>
          <w:highlight w:val="none"/>
        </w:rPr>
        <w:t>二    公开招标文件</w:t>
      </w:r>
      <w:bookmarkEnd w:id="62"/>
      <w:bookmarkEnd w:id="63"/>
      <w:bookmarkEnd w:id="64"/>
    </w:p>
    <w:p>
      <w:pPr>
        <w:pStyle w:val="18"/>
        <w:spacing w:line="440" w:lineRule="exact"/>
        <w:rPr>
          <w:rFonts w:hAnsi="宋体"/>
          <w:bCs/>
          <w:color w:val="auto"/>
          <w:highlight w:val="none"/>
        </w:rPr>
      </w:pPr>
      <w:r>
        <w:rPr>
          <w:rFonts w:hint="eastAsia" w:hAnsi="宋体"/>
          <w:bCs/>
          <w:color w:val="auto"/>
          <w:sz w:val="24"/>
          <w:highlight w:val="none"/>
        </w:rPr>
        <w:t>6.  公开招标文件的组成</w:t>
      </w:r>
    </w:p>
    <w:p>
      <w:pPr>
        <w:pStyle w:val="18"/>
        <w:spacing w:line="440" w:lineRule="exact"/>
        <w:ind w:firstLine="359" w:firstLineChars="171"/>
        <w:rPr>
          <w:rFonts w:hAnsi="宋体"/>
          <w:color w:val="auto"/>
          <w:highlight w:val="none"/>
        </w:rPr>
      </w:pPr>
      <w:r>
        <w:rPr>
          <w:rFonts w:hint="eastAsia" w:hAnsi="宋体"/>
          <w:color w:val="auto"/>
          <w:highlight w:val="none"/>
        </w:rPr>
        <w:t>6.1  本</w:t>
      </w:r>
      <w:r>
        <w:rPr>
          <w:rFonts w:hint="eastAsia" w:hAnsi="宋体"/>
          <w:bCs/>
          <w:color w:val="auto"/>
          <w:highlight w:val="none"/>
        </w:rPr>
        <w:t>公开招标</w:t>
      </w:r>
      <w:r>
        <w:rPr>
          <w:rFonts w:hint="eastAsia" w:hAnsi="宋体"/>
          <w:color w:val="auto"/>
          <w:highlight w:val="none"/>
        </w:rPr>
        <w:t>文件包括六个章节，各章的内容如下：</w:t>
      </w:r>
    </w:p>
    <w:p>
      <w:pPr>
        <w:pStyle w:val="18"/>
        <w:spacing w:line="440" w:lineRule="exact"/>
        <w:ind w:firstLine="718" w:firstLineChars="342"/>
        <w:rPr>
          <w:rFonts w:hAnsi="宋体"/>
          <w:color w:val="auto"/>
          <w:highlight w:val="none"/>
        </w:rPr>
      </w:pPr>
      <w:r>
        <w:rPr>
          <w:rFonts w:hint="eastAsia" w:hAnsi="宋体"/>
          <w:color w:val="auto"/>
          <w:highlight w:val="none"/>
        </w:rPr>
        <w:t>第一章  公告</w:t>
      </w:r>
    </w:p>
    <w:p>
      <w:pPr>
        <w:pStyle w:val="18"/>
        <w:spacing w:line="440" w:lineRule="exact"/>
        <w:ind w:firstLine="718" w:firstLineChars="342"/>
        <w:rPr>
          <w:rFonts w:hAnsi="宋体"/>
          <w:color w:val="auto"/>
          <w:highlight w:val="none"/>
        </w:rPr>
      </w:pPr>
      <w:r>
        <w:rPr>
          <w:rFonts w:hint="eastAsia" w:hAnsi="宋体"/>
          <w:color w:val="auto"/>
          <w:highlight w:val="none"/>
        </w:rPr>
        <w:t>第二章  项目需求一览表</w:t>
      </w:r>
    </w:p>
    <w:p>
      <w:pPr>
        <w:pStyle w:val="18"/>
        <w:spacing w:line="440" w:lineRule="exact"/>
        <w:ind w:firstLine="718" w:firstLineChars="342"/>
        <w:rPr>
          <w:rFonts w:hAnsi="宋体"/>
          <w:color w:val="auto"/>
          <w:highlight w:val="none"/>
        </w:rPr>
      </w:pPr>
      <w:r>
        <w:rPr>
          <w:rFonts w:hint="eastAsia" w:hAnsi="宋体"/>
          <w:color w:val="auto"/>
          <w:highlight w:val="none"/>
        </w:rPr>
        <w:t>第三章  评标方法</w:t>
      </w:r>
    </w:p>
    <w:p>
      <w:pPr>
        <w:pStyle w:val="18"/>
        <w:spacing w:line="440" w:lineRule="exact"/>
        <w:ind w:firstLine="718" w:firstLineChars="342"/>
        <w:rPr>
          <w:rFonts w:hAnsi="宋体"/>
          <w:color w:val="auto"/>
          <w:highlight w:val="none"/>
        </w:rPr>
      </w:pPr>
      <w:r>
        <w:rPr>
          <w:rFonts w:hint="eastAsia" w:hAnsi="宋体"/>
          <w:color w:val="auto"/>
          <w:highlight w:val="none"/>
        </w:rPr>
        <w:t>第四章  投标人须知</w:t>
      </w:r>
    </w:p>
    <w:p>
      <w:pPr>
        <w:pStyle w:val="18"/>
        <w:spacing w:line="440" w:lineRule="exact"/>
        <w:ind w:firstLine="718" w:firstLineChars="342"/>
        <w:rPr>
          <w:rFonts w:hAnsi="宋体"/>
          <w:color w:val="auto"/>
          <w:highlight w:val="none"/>
        </w:rPr>
      </w:pPr>
      <w:r>
        <w:rPr>
          <w:rFonts w:hint="eastAsia" w:hAnsi="宋体"/>
          <w:color w:val="auto"/>
          <w:highlight w:val="none"/>
        </w:rPr>
        <w:t>第五章  投标文件格式</w:t>
      </w:r>
    </w:p>
    <w:p>
      <w:pPr>
        <w:pStyle w:val="18"/>
        <w:spacing w:line="440" w:lineRule="exact"/>
        <w:ind w:firstLine="718" w:firstLineChars="342"/>
        <w:rPr>
          <w:rFonts w:hAnsi="宋体"/>
          <w:color w:val="auto"/>
          <w:highlight w:val="none"/>
        </w:rPr>
      </w:pPr>
      <w:r>
        <w:rPr>
          <w:rFonts w:hint="eastAsia" w:hAnsi="宋体"/>
          <w:color w:val="auto"/>
          <w:highlight w:val="none"/>
        </w:rPr>
        <w:t>第六章  合同条款及格式</w:t>
      </w:r>
    </w:p>
    <w:p>
      <w:pPr>
        <w:pStyle w:val="18"/>
        <w:spacing w:line="440" w:lineRule="exact"/>
        <w:ind w:firstLine="718" w:firstLineChars="342"/>
        <w:rPr>
          <w:rFonts w:hAnsi="宋体"/>
          <w:color w:val="auto"/>
          <w:highlight w:val="none"/>
        </w:rPr>
      </w:pPr>
      <w:r>
        <w:rPr>
          <w:rFonts w:hint="eastAsia" w:hAnsi="宋体"/>
          <w:bCs/>
          <w:color w:val="auto"/>
          <w:szCs w:val="21"/>
          <w:highlight w:val="none"/>
        </w:rPr>
        <w:t xml:space="preserve">第七章  质疑材料格式 </w:t>
      </w:r>
    </w:p>
    <w:p>
      <w:pPr>
        <w:pStyle w:val="18"/>
        <w:spacing w:line="440" w:lineRule="exact"/>
        <w:ind w:firstLine="359" w:firstLineChars="171"/>
        <w:rPr>
          <w:rFonts w:hAnsi="宋体"/>
          <w:color w:val="auto"/>
          <w:highlight w:val="none"/>
        </w:rPr>
      </w:pPr>
      <w:r>
        <w:rPr>
          <w:rFonts w:hint="eastAsia" w:hAnsi="宋体"/>
          <w:color w:val="auto"/>
          <w:highlight w:val="none"/>
        </w:rPr>
        <w:t>6.2根据本章第7.1项的规定对公开招标文件所做的澄清、修改，构成招标文件的组成部分。当公开招标文件与招标文件的澄清和修改就同一内容的表述不一致时，以最后发出的书面文件为准。</w:t>
      </w:r>
    </w:p>
    <w:p>
      <w:pPr>
        <w:pStyle w:val="18"/>
        <w:spacing w:line="440" w:lineRule="exact"/>
        <w:rPr>
          <w:rFonts w:hAnsi="宋体"/>
          <w:bCs/>
          <w:color w:val="auto"/>
          <w:sz w:val="24"/>
          <w:highlight w:val="none"/>
        </w:rPr>
      </w:pPr>
      <w:r>
        <w:rPr>
          <w:rFonts w:hint="eastAsia" w:hAnsi="宋体"/>
          <w:bCs/>
          <w:color w:val="auto"/>
          <w:sz w:val="24"/>
          <w:highlight w:val="none"/>
        </w:rPr>
        <w:t>7.  招标文件的澄清和修改</w:t>
      </w:r>
    </w:p>
    <w:p>
      <w:pPr>
        <w:pStyle w:val="18"/>
        <w:spacing w:after="165" w:line="440" w:lineRule="exact"/>
        <w:ind w:left="2" w:firstLine="480"/>
        <w:rPr>
          <w:rFonts w:hAnsi="宋体"/>
          <w:color w:val="auto"/>
          <w:highlight w:val="none"/>
        </w:rPr>
      </w:pPr>
      <w:r>
        <w:rPr>
          <w:rFonts w:hint="eastAsia" w:hAnsi="宋体"/>
          <w:color w:val="auto"/>
          <w:highlight w:val="none"/>
        </w:rPr>
        <w:t>7.1  投标人应认真审阅本公开招标文件，如有疑问，或发现其中有误或有要求不合理的，应在投标人须知前附表规定的</w:t>
      </w:r>
      <w:r>
        <w:rPr>
          <w:rFonts w:hint="eastAsia" w:cs="宋体"/>
          <w:color w:val="auto"/>
          <w:kern w:val="0"/>
          <w:szCs w:val="21"/>
          <w:highlight w:val="none"/>
        </w:rPr>
        <w:t>投标人要求澄清的截止时间</w:t>
      </w:r>
      <w:r>
        <w:rPr>
          <w:rFonts w:hint="eastAsia" w:hAnsi="宋体"/>
          <w:color w:val="auto"/>
          <w:highlight w:val="none"/>
        </w:rPr>
        <w:t>前以书面形式要求采购人或采购代理机构对招标文件予以澄清；否则，由此产生的后果由投标人自行负责。</w:t>
      </w:r>
    </w:p>
    <w:p>
      <w:pPr>
        <w:pStyle w:val="18"/>
        <w:spacing w:line="440" w:lineRule="exact"/>
        <w:ind w:left="2" w:firstLine="360"/>
        <w:rPr>
          <w:rFonts w:hAnsi="宋体"/>
          <w:color w:val="auto"/>
          <w:highlight w:val="none"/>
        </w:rPr>
      </w:pPr>
      <w:r>
        <w:rPr>
          <w:rFonts w:hint="eastAsia" w:hAnsi="宋体"/>
          <w:color w:val="auto"/>
          <w:highlight w:val="none"/>
        </w:rPr>
        <w:t>7.2  采购人或采购代理机构必须在投标截止时间十五日前，以书面形式答复投标人要求澄清的问题，并将不包含问题来源的澄清通知所有招标文件收受人，除书面澄清以外的其他澄清方式及澄清内容均无效；</w:t>
      </w:r>
      <w:r>
        <w:rPr>
          <w:rFonts w:hint="eastAsia" w:cs="宋体"/>
          <w:color w:val="auto"/>
          <w:kern w:val="0"/>
          <w:szCs w:val="21"/>
          <w:highlight w:val="none"/>
        </w:rPr>
        <w:t>同时，采购代理机构</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发布更正公告。如果澄清发出的时间距投标截止时间不足十五日，则相应延长投标截止时间。</w:t>
      </w:r>
    </w:p>
    <w:p>
      <w:pPr>
        <w:pStyle w:val="18"/>
        <w:spacing w:after="165" w:line="440" w:lineRule="exact"/>
        <w:ind w:left="2" w:firstLine="480"/>
        <w:rPr>
          <w:color w:val="auto"/>
          <w:highlight w:val="none"/>
        </w:rPr>
      </w:pPr>
      <w:r>
        <w:rPr>
          <w:rFonts w:hint="eastAsia" w:hAnsi="宋体"/>
          <w:color w:val="auto"/>
          <w:highlight w:val="none"/>
        </w:rPr>
        <w:t>7.3  采购人或采购代理机构</w:t>
      </w:r>
      <w:r>
        <w:rPr>
          <w:rFonts w:hint="eastAsia"/>
          <w:color w:val="auto"/>
          <w:highlight w:val="none"/>
        </w:rPr>
        <w:t>对已发出的招标文件进行必要修改的，应在投标截止时间十五日前，以书面形式通知所有招标文件收受人；同时，采购代理机构在</w:t>
      </w:r>
      <w:r>
        <w:rPr>
          <w:rFonts w:hint="eastAsia" w:cs="宋体"/>
          <w:color w:val="auto"/>
          <w:kern w:val="0"/>
          <w:szCs w:val="21"/>
          <w:highlight w:val="none"/>
        </w:rPr>
        <w:t>本章第2.1项规定的政府采购信息发布媒体上</w:t>
      </w:r>
      <w:r>
        <w:rPr>
          <w:rFonts w:hint="eastAsia"/>
          <w:color w:val="auto"/>
          <w:highlight w:val="none"/>
        </w:rPr>
        <w:t>发布更正公告。如果修改招标文件的时间距投标截止时间不足十五日，则相应延长投标截止时间。</w:t>
      </w:r>
    </w:p>
    <w:p>
      <w:pPr>
        <w:pStyle w:val="18"/>
        <w:spacing w:line="440" w:lineRule="exact"/>
        <w:ind w:left="2" w:firstLine="360"/>
        <w:rPr>
          <w:color w:val="auto"/>
          <w:highlight w:val="none"/>
        </w:rPr>
      </w:pPr>
      <w:r>
        <w:rPr>
          <w:rFonts w:hint="eastAsia" w:hAnsi="宋体"/>
          <w:color w:val="auto"/>
          <w:highlight w:val="none"/>
        </w:rPr>
        <w:t xml:space="preserve">7.4  </w:t>
      </w:r>
      <w:r>
        <w:rPr>
          <w:rFonts w:hint="eastAsia"/>
          <w:color w:val="auto"/>
          <w:highlight w:val="none"/>
        </w:rPr>
        <w:t>采购人和采购代理机构可以视采购具体情况，延长投标截止时间和开标时间，但至少应当在投标截止时间三日前，将变更时间书面通知所有招标文件收受人。</w:t>
      </w:r>
      <w:r>
        <w:rPr>
          <w:rFonts w:hint="eastAsia" w:cs="宋体"/>
          <w:color w:val="auto"/>
          <w:kern w:val="0"/>
          <w:szCs w:val="21"/>
          <w:highlight w:val="none"/>
        </w:rPr>
        <w:t>同时，采购代理机构</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发布变更公告。</w:t>
      </w:r>
    </w:p>
    <w:p>
      <w:pPr>
        <w:pStyle w:val="18"/>
        <w:spacing w:line="440" w:lineRule="exact"/>
        <w:ind w:left="2" w:firstLine="360"/>
        <w:rPr>
          <w:rFonts w:hAnsi="宋体"/>
          <w:b/>
          <w:bCs/>
          <w:color w:val="auto"/>
          <w:highlight w:val="none"/>
        </w:rPr>
      </w:pPr>
    </w:p>
    <w:p>
      <w:pPr>
        <w:pStyle w:val="18"/>
        <w:spacing w:line="440" w:lineRule="exact"/>
        <w:jc w:val="center"/>
        <w:outlineLvl w:val="1"/>
        <w:rPr>
          <w:rFonts w:ascii="Times New Roman" w:hAnsi="Times New Roman"/>
          <w:b/>
          <w:color w:val="auto"/>
          <w:sz w:val="30"/>
          <w:szCs w:val="30"/>
          <w:highlight w:val="none"/>
        </w:rPr>
      </w:pPr>
      <w:bookmarkStart w:id="65" w:name="_Toc401396877"/>
      <w:bookmarkStart w:id="66" w:name="_Toc495996910"/>
      <w:bookmarkStart w:id="67" w:name="_Toc213326418"/>
      <w:r>
        <w:rPr>
          <w:rFonts w:hint="eastAsia" w:ascii="Times New Roman" w:hAnsi="Times New Roman"/>
          <w:b/>
          <w:color w:val="auto"/>
          <w:sz w:val="30"/>
          <w:szCs w:val="30"/>
          <w:highlight w:val="none"/>
        </w:rPr>
        <w:t>三    投标文件</w:t>
      </w:r>
      <w:bookmarkEnd w:id="65"/>
      <w:bookmarkEnd w:id="66"/>
      <w:bookmarkEnd w:id="67"/>
    </w:p>
    <w:p>
      <w:pPr>
        <w:pStyle w:val="18"/>
        <w:spacing w:line="440" w:lineRule="exact"/>
        <w:rPr>
          <w:rFonts w:hAnsi="宋体"/>
          <w:bCs/>
          <w:color w:val="auto"/>
          <w:sz w:val="24"/>
          <w:highlight w:val="none"/>
        </w:rPr>
      </w:pPr>
      <w:r>
        <w:rPr>
          <w:rFonts w:hint="eastAsia" w:hAnsi="宋体"/>
          <w:bCs/>
          <w:color w:val="auto"/>
          <w:sz w:val="24"/>
          <w:highlight w:val="none"/>
        </w:rPr>
        <w:t>8.  投标文件的编制</w:t>
      </w:r>
    </w:p>
    <w:p>
      <w:pPr>
        <w:pStyle w:val="18"/>
        <w:spacing w:line="440" w:lineRule="exact"/>
        <w:ind w:left="2" w:firstLine="360"/>
        <w:rPr>
          <w:rFonts w:hAnsi="宋体"/>
          <w:color w:val="auto"/>
          <w:highlight w:val="none"/>
        </w:rPr>
      </w:pPr>
      <w:r>
        <w:rPr>
          <w:rFonts w:hint="eastAsia" w:hAnsi="宋体"/>
          <w:color w:val="auto"/>
          <w:highlight w:val="none"/>
        </w:rPr>
        <w:t>8.1  投标人应仔细阅读招标文件，在充分了解招标的内容、技术参数要求和商务条款以及实质性要求和条件后，编写投标文件。</w:t>
      </w:r>
    </w:p>
    <w:p>
      <w:pPr>
        <w:pStyle w:val="18"/>
        <w:spacing w:line="440" w:lineRule="exact"/>
        <w:ind w:left="2" w:firstLine="360"/>
        <w:rPr>
          <w:color w:val="auto"/>
          <w:highlight w:val="none"/>
        </w:rPr>
      </w:pPr>
      <w:r>
        <w:rPr>
          <w:rFonts w:hint="eastAsia" w:hAnsi="宋体"/>
          <w:color w:val="auto"/>
          <w:highlight w:val="none"/>
        </w:rPr>
        <w:t>8.2  对招标文件的实质性要求和条件作出响应是指投标人必须对招标文件中标注为实质性要求和条件的技术参数要求、商务条款及其它内容</w:t>
      </w:r>
      <w:r>
        <w:rPr>
          <w:rFonts w:hint="eastAsia"/>
          <w:b/>
          <w:color w:val="auto"/>
          <w:highlight w:val="none"/>
        </w:rPr>
        <w:t>作出满足或者优于原要求和条件的承诺</w:t>
      </w:r>
      <w:r>
        <w:rPr>
          <w:rFonts w:hint="eastAsia"/>
          <w:color w:val="auto"/>
          <w:highlight w:val="none"/>
        </w:rPr>
        <w:t>。</w:t>
      </w:r>
    </w:p>
    <w:p>
      <w:pPr>
        <w:pStyle w:val="18"/>
        <w:spacing w:line="440" w:lineRule="exact"/>
        <w:ind w:left="2" w:firstLine="360"/>
        <w:rPr>
          <w:color w:val="auto"/>
          <w:highlight w:val="none"/>
        </w:rPr>
      </w:pPr>
      <w:r>
        <w:rPr>
          <w:rFonts w:hint="eastAsia" w:hAnsi="宋体"/>
          <w:color w:val="auto"/>
          <w:highlight w:val="none"/>
        </w:rPr>
        <w:t xml:space="preserve">8.3  </w:t>
      </w:r>
      <w:r>
        <w:rPr>
          <w:rFonts w:hint="eastAsia"/>
          <w:color w:val="auto"/>
          <w:highlight w:val="none"/>
        </w:rPr>
        <w:t>招标文件中标注★号的内容为实质性要求和条件。未标注★号的内容</w:t>
      </w:r>
      <w:r>
        <w:rPr>
          <w:rFonts w:hint="eastAsia"/>
          <w:color w:val="auto"/>
          <w:szCs w:val="21"/>
          <w:highlight w:val="none"/>
        </w:rPr>
        <w:t>超过3项</w:t>
      </w:r>
      <w:r>
        <w:rPr>
          <w:rFonts w:hint="eastAsia"/>
          <w:color w:val="auto"/>
          <w:highlight w:val="none"/>
        </w:rPr>
        <w:t>不满足将视为投标无效。</w:t>
      </w:r>
    </w:p>
    <w:p>
      <w:pPr>
        <w:pStyle w:val="18"/>
        <w:spacing w:line="440" w:lineRule="exact"/>
        <w:ind w:left="2" w:firstLine="360"/>
        <w:rPr>
          <w:rFonts w:hAnsi="宋体"/>
          <w:color w:val="auto"/>
          <w:highlight w:val="none"/>
        </w:rPr>
      </w:pPr>
      <w:r>
        <w:rPr>
          <w:rFonts w:hint="eastAsia" w:hAnsi="宋体"/>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8"/>
        <w:spacing w:line="440" w:lineRule="exact"/>
        <w:ind w:left="2" w:firstLine="360"/>
        <w:rPr>
          <w:rFonts w:hAnsi="宋体"/>
          <w:color w:val="auto"/>
          <w:highlight w:val="none"/>
        </w:rPr>
      </w:pPr>
      <w:r>
        <w:rPr>
          <w:rFonts w:hint="eastAsia" w:hAnsi="宋体"/>
          <w:color w:val="auto"/>
          <w:highlight w:val="none"/>
        </w:rPr>
        <w:t>8.5  第五章“投标文件格式”中规定了投标文件格式的，应按相应格式要求编写。</w:t>
      </w:r>
    </w:p>
    <w:p>
      <w:pPr>
        <w:pStyle w:val="18"/>
        <w:spacing w:line="440" w:lineRule="exact"/>
        <w:ind w:left="2" w:firstLine="360"/>
        <w:rPr>
          <w:rFonts w:hAnsi="宋体"/>
          <w:color w:val="auto"/>
          <w:highlight w:val="none"/>
        </w:rPr>
      </w:pPr>
      <w:r>
        <w:rPr>
          <w:rFonts w:hint="eastAsia" w:hAnsi="宋体"/>
          <w:color w:val="auto"/>
          <w:highlight w:val="none"/>
        </w:rPr>
        <w:t>8.6  投标文件应尽量避免涂改、行间插字或删除。如果出现上述情况，改动之处应加盖单位公章或由投标人的法定代表人或其委托代理人签字或盖章确认。</w:t>
      </w:r>
    </w:p>
    <w:p>
      <w:pPr>
        <w:pStyle w:val="18"/>
        <w:spacing w:line="440" w:lineRule="exact"/>
        <w:ind w:left="2" w:firstLine="360"/>
        <w:rPr>
          <w:rFonts w:hAnsi="宋体"/>
          <w:color w:val="auto"/>
          <w:highlight w:val="none"/>
        </w:rPr>
      </w:pPr>
      <w:r>
        <w:rPr>
          <w:rFonts w:hint="eastAsia" w:hAnsi="宋体"/>
          <w:color w:val="auto"/>
          <w:highlight w:val="none"/>
        </w:rPr>
        <w:t>8.7  投标文件应编制目录，且页码清晰准确。</w:t>
      </w:r>
    </w:p>
    <w:p>
      <w:pPr>
        <w:pStyle w:val="18"/>
        <w:spacing w:line="440" w:lineRule="exact"/>
        <w:ind w:left="2" w:firstLine="360"/>
        <w:rPr>
          <w:color w:val="auto"/>
          <w:highlight w:val="none"/>
        </w:rPr>
      </w:pPr>
      <w:r>
        <w:rPr>
          <w:rFonts w:hint="eastAsia" w:hAnsi="宋体"/>
          <w:color w:val="auto"/>
          <w:highlight w:val="none"/>
        </w:rPr>
        <w:t>8.8  投标文件的</w:t>
      </w:r>
      <w:r>
        <w:rPr>
          <w:rFonts w:hint="eastAsia"/>
          <w:color w:val="auto"/>
          <w:highlight w:val="none"/>
        </w:rPr>
        <w:t>正本和副本应分别装订成册，封面上应清楚地标记“正本”或“副本”字样，并标明项目名称、项目编号、投标人名称及地址等内容。副本可以采用正本的复印件，当副本和正本不一致时，以正本为准。投标人应准备报价文件正本、资格文件正本、技术文件正本、商务文件正本各一份，副本份数见投标人须知前附表。</w:t>
      </w:r>
    </w:p>
    <w:p>
      <w:pPr>
        <w:pStyle w:val="18"/>
        <w:spacing w:line="440" w:lineRule="exact"/>
        <w:rPr>
          <w:rFonts w:hAnsi="宋体"/>
          <w:bCs/>
          <w:color w:val="auto"/>
          <w:sz w:val="24"/>
          <w:highlight w:val="none"/>
        </w:rPr>
      </w:pPr>
      <w:r>
        <w:rPr>
          <w:rFonts w:hint="eastAsia" w:hAnsi="宋体"/>
          <w:bCs/>
          <w:color w:val="auto"/>
          <w:sz w:val="24"/>
          <w:highlight w:val="none"/>
        </w:rPr>
        <w:t>9.  投标语言文字及计量单位</w:t>
      </w:r>
    </w:p>
    <w:p>
      <w:pPr>
        <w:pStyle w:val="18"/>
        <w:spacing w:line="440" w:lineRule="exact"/>
        <w:ind w:firstLine="420" w:firstLineChars="200"/>
        <w:rPr>
          <w:rFonts w:hAnsi="宋体"/>
          <w:bCs/>
          <w:color w:val="auto"/>
          <w:sz w:val="24"/>
          <w:highlight w:val="none"/>
        </w:rPr>
      </w:pPr>
      <w:r>
        <w:rPr>
          <w:rFonts w:hint="eastAsia" w:hAnsi="宋体"/>
          <w:color w:val="auto"/>
          <w:highlight w:val="none"/>
        </w:rPr>
        <w:t>9.1  投标人的投标文件以及投标人与采购人、采购代理机构就有关投标的所有往来函电统一使用中文（特别规定除外）。</w:t>
      </w:r>
    </w:p>
    <w:p>
      <w:pPr>
        <w:pStyle w:val="18"/>
        <w:spacing w:line="440" w:lineRule="exact"/>
        <w:ind w:firstLine="420" w:firstLineChars="200"/>
        <w:rPr>
          <w:rFonts w:hAnsi="宋体"/>
          <w:bCs/>
          <w:color w:val="auto"/>
          <w:sz w:val="24"/>
          <w:highlight w:val="none"/>
        </w:rPr>
      </w:pPr>
      <w:r>
        <w:rPr>
          <w:rFonts w:hint="eastAsia" w:hAnsi="宋体"/>
          <w:color w:val="auto"/>
          <w:highlight w:val="none"/>
        </w:rPr>
        <w:t>9.2  对不同文字文本投标文件的解释发生异议的，以中文文本为准。</w:t>
      </w:r>
    </w:p>
    <w:p>
      <w:pPr>
        <w:pStyle w:val="18"/>
        <w:spacing w:line="440" w:lineRule="exact"/>
        <w:ind w:firstLine="420" w:firstLineChars="200"/>
        <w:rPr>
          <w:rFonts w:hAnsi="宋体"/>
          <w:bCs/>
          <w:color w:val="auto"/>
          <w:sz w:val="24"/>
          <w:highlight w:val="none"/>
        </w:rPr>
      </w:pPr>
      <w:r>
        <w:rPr>
          <w:rFonts w:hint="eastAsia" w:hAnsi="宋体"/>
          <w:color w:val="auto"/>
          <w:highlight w:val="none"/>
        </w:rPr>
        <w:t>9.3  投标文件使用的计量单位除招标文件中有特殊规定外，一律使用中华人民共和国法定计量单位。</w:t>
      </w:r>
    </w:p>
    <w:p>
      <w:pPr>
        <w:pStyle w:val="18"/>
        <w:spacing w:line="440" w:lineRule="exact"/>
        <w:rPr>
          <w:rFonts w:hAnsi="宋体"/>
          <w:bCs/>
          <w:color w:val="auto"/>
          <w:sz w:val="24"/>
          <w:highlight w:val="none"/>
        </w:rPr>
      </w:pPr>
      <w:r>
        <w:rPr>
          <w:rFonts w:hint="eastAsia" w:hAnsi="宋体"/>
          <w:bCs/>
          <w:color w:val="auto"/>
          <w:sz w:val="24"/>
          <w:highlight w:val="none"/>
        </w:rPr>
        <w:t>10.  投标文件的组成</w:t>
      </w:r>
    </w:p>
    <w:p>
      <w:pPr>
        <w:pStyle w:val="18"/>
        <w:spacing w:line="440" w:lineRule="exact"/>
        <w:ind w:firstLine="360"/>
        <w:rPr>
          <w:rFonts w:hAnsi="宋体"/>
          <w:color w:val="auto"/>
          <w:highlight w:val="none"/>
        </w:rPr>
      </w:pPr>
      <w:r>
        <w:rPr>
          <w:rFonts w:hint="eastAsia" w:hAnsi="宋体"/>
          <w:color w:val="auto"/>
          <w:highlight w:val="none"/>
        </w:rPr>
        <w:t>10.1  投标人需编制的投标文件包括报价文件、</w:t>
      </w:r>
      <w:r>
        <w:rPr>
          <w:rFonts w:hint="eastAsia"/>
          <w:color w:val="auto"/>
          <w:highlight w:val="none"/>
        </w:rPr>
        <w:t>资格文件正本、</w:t>
      </w:r>
      <w:r>
        <w:rPr>
          <w:rFonts w:hint="eastAsia" w:hAnsi="宋体"/>
          <w:color w:val="auto"/>
          <w:highlight w:val="none"/>
        </w:rPr>
        <w:t>技术文件和商务文件四部分，投标人应按下列说明编写和提交。应递交的有关文件如未特别注明为原件的，可提交复印件，注明必须提交的应按规定递交，否则视为投标无效。</w:t>
      </w:r>
    </w:p>
    <w:p>
      <w:pPr>
        <w:pStyle w:val="18"/>
        <w:spacing w:line="440" w:lineRule="exact"/>
        <w:ind w:firstLine="360"/>
        <w:rPr>
          <w:rFonts w:hAnsi="宋体"/>
          <w:color w:val="auto"/>
          <w:highlight w:val="none"/>
        </w:rPr>
      </w:pPr>
      <w:r>
        <w:rPr>
          <w:rFonts w:hint="eastAsia" w:hAnsi="宋体"/>
          <w:color w:val="auto"/>
          <w:highlight w:val="none"/>
        </w:rPr>
        <w:t>10.1.1  报价文件组成要求，包括：</w:t>
      </w:r>
    </w:p>
    <w:p>
      <w:pPr>
        <w:pStyle w:val="18"/>
        <w:numPr>
          <w:ilvl w:val="0"/>
          <w:numId w:val="13"/>
        </w:numPr>
        <w:spacing w:line="440" w:lineRule="exact"/>
        <w:rPr>
          <w:rFonts w:hAnsi="宋体"/>
          <w:color w:val="auto"/>
          <w:highlight w:val="none"/>
        </w:rPr>
      </w:pPr>
      <w:r>
        <w:rPr>
          <w:rFonts w:hint="eastAsia" w:hAnsi="宋体"/>
          <w:color w:val="auto"/>
          <w:highlight w:val="none"/>
        </w:rPr>
        <w:t>投标函：按第五章“投标文件格式”提供的“投标函（格式）”的要求填写；</w:t>
      </w:r>
    </w:p>
    <w:p>
      <w:pPr>
        <w:pStyle w:val="18"/>
        <w:spacing w:line="440" w:lineRule="exact"/>
        <w:ind w:firstLine="360"/>
        <w:rPr>
          <w:rFonts w:hAnsi="宋体"/>
          <w:color w:val="auto"/>
          <w:highlight w:val="none"/>
        </w:rPr>
      </w:pPr>
      <w:r>
        <w:rPr>
          <w:rFonts w:hint="eastAsia" w:hAnsi="宋体"/>
          <w:color w:val="auto"/>
          <w:highlight w:val="none"/>
        </w:rPr>
        <w:t>（2）开标一览表：按第五章“投标文件格式”提供的“开标一览表（格式）”的要求填写。</w:t>
      </w:r>
    </w:p>
    <w:p>
      <w:pPr>
        <w:pStyle w:val="18"/>
        <w:spacing w:line="440" w:lineRule="exact"/>
        <w:ind w:firstLine="360"/>
        <w:rPr>
          <w:rFonts w:hAnsi="宋体"/>
          <w:color w:val="auto"/>
          <w:highlight w:val="none"/>
        </w:rPr>
      </w:pPr>
      <w:r>
        <w:rPr>
          <w:rFonts w:hint="eastAsia" w:hAnsi="宋体"/>
          <w:color w:val="auto"/>
          <w:highlight w:val="none"/>
        </w:rPr>
        <w:t>（3）中小企业声明函：按第五章“投标文件格式”提供的“中小企业声明函（格式）”的要求填写；</w:t>
      </w:r>
    </w:p>
    <w:p>
      <w:pPr>
        <w:pStyle w:val="18"/>
        <w:spacing w:line="440" w:lineRule="exact"/>
        <w:ind w:firstLine="315" w:firstLineChars="150"/>
        <w:rPr>
          <w:rFonts w:hAnsi="宋体"/>
          <w:color w:val="auto"/>
          <w:highlight w:val="none"/>
        </w:rPr>
      </w:pPr>
      <w:r>
        <w:rPr>
          <w:rFonts w:hint="eastAsia" w:hAnsi="宋体"/>
          <w:color w:val="auto"/>
          <w:highlight w:val="none"/>
        </w:rPr>
        <w:t>（4）监狱企业证明：提供由省级以上监狱管理局、戒毒管理局（含新疆生产建设兵团）出具的属于监狱企业的证明文件。</w:t>
      </w:r>
    </w:p>
    <w:p>
      <w:pPr>
        <w:pStyle w:val="18"/>
        <w:spacing w:line="440" w:lineRule="exact"/>
        <w:ind w:firstLine="412"/>
        <w:rPr>
          <w:rFonts w:hAnsi="宋体"/>
          <w:color w:val="auto"/>
          <w:highlight w:val="none"/>
        </w:rPr>
      </w:pPr>
      <w:r>
        <w:rPr>
          <w:rFonts w:hint="eastAsia" w:hAnsi="宋体"/>
          <w:color w:val="auto"/>
          <w:highlight w:val="none"/>
        </w:rPr>
        <w:t>（5）残疾人福利性单位声明函：按第五章“投标文件格式”提供的“残疾人福利性单位声明函（格式）”的要求填写。</w:t>
      </w:r>
    </w:p>
    <w:p>
      <w:pPr>
        <w:pStyle w:val="18"/>
        <w:spacing w:line="440" w:lineRule="exact"/>
        <w:ind w:firstLine="422" w:firstLineChars="200"/>
        <w:rPr>
          <w:rFonts w:hAnsi="宋体"/>
          <w:b/>
          <w:color w:val="auto"/>
          <w:highlight w:val="none"/>
        </w:rPr>
      </w:pPr>
      <w:r>
        <w:rPr>
          <w:rFonts w:hint="eastAsia" w:hAnsi="宋体"/>
          <w:b/>
          <w:color w:val="auto"/>
          <w:highlight w:val="none"/>
        </w:rPr>
        <w:t>报价文件中的第（1）（2）项必须加盖投标单位公章提交，否则投标无效；第（3）～（5）项如招标文件未作要求的如有请提交。</w:t>
      </w:r>
    </w:p>
    <w:p>
      <w:pPr>
        <w:pStyle w:val="18"/>
        <w:numPr>
          <w:ilvl w:val="2"/>
          <w:numId w:val="14"/>
        </w:numPr>
        <w:spacing w:line="440" w:lineRule="exact"/>
        <w:jc w:val="left"/>
        <w:rPr>
          <w:rFonts w:hAnsi="宋体"/>
          <w:color w:val="auto"/>
          <w:highlight w:val="none"/>
        </w:rPr>
      </w:pPr>
      <w:r>
        <w:rPr>
          <w:rFonts w:hint="eastAsia" w:hAnsi="宋体"/>
          <w:color w:val="auto"/>
          <w:highlight w:val="none"/>
        </w:rPr>
        <w:t xml:space="preserve"> 资格文件组成要求，包括：</w:t>
      </w:r>
    </w:p>
    <w:p>
      <w:pPr>
        <w:pStyle w:val="18"/>
        <w:spacing w:line="440" w:lineRule="exact"/>
        <w:ind w:firstLine="420" w:firstLineChars="200"/>
        <w:jc w:val="left"/>
        <w:rPr>
          <w:rFonts w:hAnsi="宋体"/>
          <w:color w:val="auto"/>
          <w:highlight w:val="none"/>
        </w:rPr>
      </w:pPr>
      <w:r>
        <w:rPr>
          <w:rFonts w:hint="eastAsia" w:hAnsi="宋体"/>
          <w:color w:val="auto"/>
          <w:highlight w:val="none"/>
        </w:rPr>
        <w:t>（1）资格声明函。按第五章“投标文件格式”提供的“资格声明函（格式）”的要求填写。对列入失信被执行人、重大税收违法案件当事人名单、政府采购严重违法失信行为记录名单的投标人，将被拒绝参与本项目政府采购活动。</w:t>
      </w:r>
    </w:p>
    <w:p>
      <w:pPr>
        <w:pStyle w:val="18"/>
        <w:spacing w:line="440" w:lineRule="exact"/>
        <w:ind w:firstLine="420" w:firstLineChars="200"/>
        <w:jc w:val="left"/>
        <w:rPr>
          <w:rFonts w:hAnsi="宋体"/>
          <w:color w:val="auto"/>
          <w:highlight w:val="none"/>
        </w:rPr>
      </w:pPr>
      <w:r>
        <w:rPr>
          <w:rFonts w:hint="eastAsia" w:hAnsi="宋体"/>
          <w:color w:val="auto"/>
          <w:highlight w:val="none"/>
        </w:rPr>
        <w:t>（2）</w:t>
      </w:r>
      <w:r>
        <w:rPr>
          <w:rFonts w:hint="eastAsia" w:hAnsi="宋体"/>
          <w:color w:val="auto"/>
          <w:szCs w:val="21"/>
          <w:highlight w:val="none"/>
        </w:rPr>
        <w:t>投标人有效的“营业执照”副本复印件</w:t>
      </w:r>
      <w:r>
        <w:rPr>
          <w:rFonts w:hint="eastAsia" w:hAnsi="宋体"/>
          <w:color w:val="auto"/>
          <w:highlight w:val="none"/>
        </w:rPr>
        <w:t>，原件备查；</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8"/>
        <w:spacing w:line="440" w:lineRule="exact"/>
        <w:ind w:firstLine="422" w:firstLineChars="200"/>
        <w:jc w:val="left"/>
        <w:rPr>
          <w:rFonts w:hAnsi="宋体"/>
          <w:color w:val="auto"/>
          <w:highlight w:val="none"/>
        </w:rPr>
      </w:pPr>
      <w:r>
        <w:rPr>
          <w:rFonts w:hint="eastAsia" w:hAnsi="宋体"/>
          <w:b/>
          <w:color w:val="auto"/>
          <w:highlight w:val="none"/>
        </w:rPr>
        <w:t>资格文件组成要求的第（1）～（3）项必须加盖投标单位公章提交，否则投标无效。</w:t>
      </w:r>
    </w:p>
    <w:p>
      <w:pPr>
        <w:pStyle w:val="18"/>
        <w:spacing w:line="440" w:lineRule="exact"/>
        <w:ind w:firstLine="360"/>
        <w:rPr>
          <w:rFonts w:hAnsi="宋体"/>
          <w:b/>
          <w:bCs/>
          <w:color w:val="auto"/>
          <w:highlight w:val="none"/>
        </w:rPr>
      </w:pPr>
      <w:r>
        <w:rPr>
          <w:rFonts w:hint="eastAsia" w:hAnsi="宋体"/>
          <w:color w:val="auto"/>
          <w:highlight w:val="none"/>
        </w:rPr>
        <w:t>10.1.3  技术文件组成要求，包括：</w:t>
      </w:r>
    </w:p>
    <w:p>
      <w:pPr>
        <w:pStyle w:val="18"/>
        <w:spacing w:line="440" w:lineRule="exact"/>
        <w:ind w:firstLine="720"/>
        <w:rPr>
          <w:rFonts w:hAnsi="宋体"/>
          <w:color w:val="auto"/>
          <w:highlight w:val="none"/>
        </w:rPr>
      </w:pPr>
      <w:r>
        <w:rPr>
          <w:rFonts w:hint="eastAsia" w:hAnsi="宋体"/>
          <w:color w:val="auto"/>
          <w:highlight w:val="none"/>
        </w:rPr>
        <w:t>（1）投标服务技术资料表：按第五章“投标文件格式”提供的“投标服务技术资料表（格式）”的要求填写；</w:t>
      </w:r>
    </w:p>
    <w:p>
      <w:pPr>
        <w:pStyle w:val="18"/>
        <w:spacing w:line="440" w:lineRule="exact"/>
        <w:ind w:firstLine="720"/>
        <w:rPr>
          <w:rFonts w:hAnsi="宋体"/>
          <w:color w:val="auto"/>
          <w:highlight w:val="none"/>
        </w:rPr>
      </w:pPr>
      <w:r>
        <w:rPr>
          <w:rFonts w:hint="eastAsia" w:hAnsi="宋体"/>
          <w:color w:val="auto"/>
          <w:highlight w:val="none"/>
        </w:rPr>
        <w:t>（2）“第三章 评标办法”中涉及需要提供的相关技术方案（可以是课程建设技术方案</w:t>
      </w:r>
      <w:r>
        <w:rPr>
          <w:rFonts w:hint="eastAsia" w:hAnsi="宋体"/>
          <w:color w:val="auto"/>
          <w:highlight w:val="none"/>
          <w:lang w:val="en-US" w:eastAsia="zh-CN"/>
        </w:rPr>
        <w:t>或</w:t>
      </w:r>
      <w:r>
        <w:rPr>
          <w:rFonts w:hint="eastAsia" w:hAnsi="宋体"/>
          <w:color w:val="auto"/>
          <w:highlight w:val="none"/>
        </w:rPr>
        <w:t>服务实施方案</w:t>
      </w:r>
      <w:r>
        <w:rPr>
          <w:rFonts w:hint="eastAsia" w:hAnsi="宋体"/>
          <w:color w:val="auto"/>
          <w:highlight w:val="none"/>
          <w:lang w:val="en-US" w:eastAsia="zh-CN"/>
        </w:rPr>
        <w:t>或</w:t>
      </w:r>
      <w:r>
        <w:rPr>
          <w:rFonts w:hint="eastAsia" w:hAnsi="宋体"/>
          <w:color w:val="auto"/>
          <w:highlight w:val="none"/>
        </w:rPr>
        <w:t>人才培养方案或项目建设计划书</w:t>
      </w:r>
      <w:r>
        <w:rPr>
          <w:rFonts w:hint="eastAsia" w:hAnsi="宋体"/>
          <w:color w:val="auto"/>
          <w:highlight w:val="none"/>
          <w:lang w:val="en-US" w:eastAsia="zh-CN"/>
        </w:rPr>
        <w:t>等</w:t>
      </w:r>
      <w:r>
        <w:rPr>
          <w:rFonts w:hint="eastAsia" w:hAnsi="宋体"/>
          <w:color w:val="auto"/>
          <w:highlight w:val="none"/>
        </w:rPr>
        <w:t>），格式自拟；</w:t>
      </w:r>
    </w:p>
    <w:p>
      <w:pPr>
        <w:pStyle w:val="18"/>
        <w:spacing w:line="440" w:lineRule="exact"/>
        <w:ind w:firstLine="720"/>
        <w:rPr>
          <w:rFonts w:hAnsi="宋体"/>
          <w:color w:val="auto"/>
          <w:highlight w:val="none"/>
        </w:rPr>
      </w:pPr>
      <w:r>
        <w:rPr>
          <w:rFonts w:hint="eastAsia" w:hAnsi="宋体"/>
          <w:color w:val="auto"/>
          <w:highlight w:val="none"/>
        </w:rPr>
        <w:t>（3）其它：针对本项目所投标服务的主要技术指标、参数及性能的详细说明，相关的图纸、图片，产品有效检测和鉴定证明复印件，等等。</w:t>
      </w:r>
    </w:p>
    <w:p>
      <w:pPr>
        <w:pStyle w:val="18"/>
        <w:spacing w:line="440" w:lineRule="exact"/>
        <w:ind w:firstLine="420"/>
        <w:rPr>
          <w:rFonts w:hAnsi="宋体"/>
          <w:b/>
          <w:color w:val="auto"/>
          <w:highlight w:val="none"/>
        </w:rPr>
      </w:pPr>
      <w:r>
        <w:rPr>
          <w:rFonts w:hint="eastAsia" w:hAnsi="宋体"/>
          <w:b/>
          <w:color w:val="auto"/>
          <w:highlight w:val="none"/>
        </w:rPr>
        <w:t>其中，技术文件组成要求的第（1）项必须加盖投标单位公章提交，否则投标无效；技术文件要求的第（2）、（3）项如招标文件未作要求的如有请提交。</w:t>
      </w:r>
    </w:p>
    <w:p>
      <w:pPr>
        <w:pStyle w:val="18"/>
        <w:spacing w:line="440" w:lineRule="exact"/>
        <w:ind w:firstLine="360"/>
        <w:rPr>
          <w:rFonts w:hAnsi="宋体"/>
          <w:color w:val="auto"/>
          <w:highlight w:val="none"/>
        </w:rPr>
      </w:pPr>
      <w:r>
        <w:rPr>
          <w:rFonts w:hint="eastAsia" w:hAnsi="宋体"/>
          <w:color w:val="auto"/>
          <w:highlight w:val="none"/>
        </w:rPr>
        <w:t>10.1.4  商务文件组成要求，包括：</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r>
        <w:rPr>
          <w:rFonts w:hint="eastAsia" w:ascii="宋体" w:hAnsi="宋体" w:cs="宋体"/>
          <w:color w:val="auto"/>
          <w:kern w:val="0"/>
          <w:szCs w:val="21"/>
          <w:highlight w:val="none"/>
        </w:rPr>
        <w:t xml:space="preserve"> </w:t>
      </w:r>
      <w:r>
        <w:rPr>
          <w:rFonts w:hint="eastAsia" w:ascii="宋体" w:hAnsi="宋体"/>
          <w:color w:val="auto"/>
          <w:szCs w:val="21"/>
          <w:highlight w:val="none"/>
        </w:rPr>
        <w:t>；</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2）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（3）商务条款偏离表：按第五章“投标文件格式”提供的“商务条款偏离表（格式）” 的要求填写；</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（4）售后服务方案（格式自拟）；</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（5）法定代表人授权委托书：按第五章“投标文件格式”提供的“法定代表人授权委托书（格式）”的要求填写；</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（6）委托代理人身份证明复印件：如使用第二代身份证应提交正、反面复印件，如委托代理人非中国国籍应提交护照复印件，要求证件有效并与法定代表人授权委托书中的委托代理人相符；</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（7）财务会计报表复印件：投标人近一年的财务会计报表，包括资产负债表、现金流量表、利润表、财务情况说明书或审计报告；</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（8）其它：</w:t>
      </w:r>
      <w:r>
        <w:rPr>
          <w:rFonts w:hint="eastAsia" w:hAnsi="宋体"/>
          <w:color w:val="auto"/>
          <w:highlight w:val="none"/>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8"/>
        <w:spacing w:line="440" w:lineRule="exact"/>
        <w:ind w:firstLine="413" w:firstLineChars="196"/>
        <w:rPr>
          <w:rFonts w:hAnsi="宋体"/>
          <w:color w:val="auto"/>
          <w:highlight w:val="none"/>
        </w:rPr>
      </w:pPr>
      <w:r>
        <w:rPr>
          <w:rFonts w:hint="eastAsia" w:hAnsi="宋体"/>
          <w:b/>
          <w:color w:val="auto"/>
          <w:highlight w:val="none"/>
        </w:rPr>
        <w:t>商务文件中的第（1）～（3）项必须加盖投标单位公章提交，否则投标无效；第（5）、（6）项在委托代理时必须提交；第（4）、（</w:t>
      </w:r>
      <w:r>
        <w:rPr>
          <w:rFonts w:hint="eastAsia" w:hAnsi="宋体"/>
          <w:b/>
          <w:color w:val="auto"/>
          <w:highlight w:val="none"/>
          <w:lang w:val="en-US" w:eastAsia="zh-CN"/>
        </w:rPr>
        <w:t>7</w:t>
      </w:r>
      <w:r>
        <w:rPr>
          <w:rFonts w:hint="eastAsia" w:hAnsi="宋体"/>
          <w:b/>
          <w:color w:val="auto"/>
          <w:highlight w:val="none"/>
        </w:rPr>
        <w:t>）</w:t>
      </w:r>
      <w:r>
        <w:rPr>
          <w:rFonts w:hint="eastAsia" w:hAnsi="宋体"/>
          <w:b/>
          <w:color w:val="auto"/>
          <w:highlight w:val="none"/>
          <w:lang w:eastAsia="zh-CN"/>
        </w:rPr>
        <w:t>、</w:t>
      </w:r>
      <w:r>
        <w:rPr>
          <w:rFonts w:hint="eastAsia" w:hAnsi="宋体"/>
          <w:b/>
          <w:color w:val="auto"/>
          <w:highlight w:val="none"/>
        </w:rPr>
        <w:t>（8）项如招标文件未作要求的如有请提交。</w:t>
      </w:r>
    </w:p>
    <w:p>
      <w:pPr>
        <w:pStyle w:val="18"/>
        <w:spacing w:line="440" w:lineRule="exact"/>
        <w:ind w:firstLine="360"/>
        <w:rPr>
          <w:rFonts w:hAnsi="宋体"/>
          <w:b/>
          <w:color w:val="auto"/>
          <w:highlight w:val="none"/>
        </w:rPr>
      </w:pPr>
      <w:r>
        <w:rPr>
          <w:rFonts w:hint="eastAsia" w:hAnsi="宋体"/>
          <w:color w:val="auto"/>
          <w:highlight w:val="none"/>
        </w:rPr>
        <w:t>10.2  投标人应编制目录，将报价文件、资格文件、技术文件和商务文件</w:t>
      </w:r>
      <w:r>
        <w:rPr>
          <w:rFonts w:hint="eastAsia" w:hAnsi="宋体"/>
          <w:b/>
          <w:color w:val="auto"/>
          <w:highlight w:val="none"/>
        </w:rPr>
        <w:t>分别装订成册</w:t>
      </w:r>
      <w:r>
        <w:rPr>
          <w:rFonts w:hint="eastAsia" w:hAnsi="宋体"/>
          <w:color w:val="auto"/>
          <w:highlight w:val="none"/>
        </w:rPr>
        <w:t>。</w:t>
      </w:r>
      <w:r>
        <w:rPr>
          <w:rFonts w:hint="eastAsia" w:hAnsi="宋体"/>
          <w:b/>
          <w:color w:val="auto"/>
          <w:highlight w:val="none"/>
        </w:rPr>
        <w:t>特别注意投标报价不得出现在资格文件、技术文件和商务文件中。</w:t>
      </w:r>
    </w:p>
    <w:p>
      <w:pPr>
        <w:pStyle w:val="18"/>
        <w:spacing w:line="440" w:lineRule="exact"/>
        <w:ind w:firstLine="360"/>
        <w:rPr>
          <w:rFonts w:hAnsi="宋体"/>
          <w:b/>
          <w:color w:val="auto"/>
          <w:highlight w:val="none"/>
        </w:rPr>
      </w:pPr>
      <w:r>
        <w:rPr>
          <w:rFonts w:hint="eastAsia" w:hAnsi="宋体"/>
          <w:b/>
          <w:color w:val="auto"/>
          <w:highlight w:val="none"/>
        </w:rPr>
        <w:t>10.2.1  上述文件应由投标人的法定代表人或其委托代理人在规定签章处签字并加盖单位公章。其中，法定代表人授权委托书必须有法定代表人签字及被授权人签字并加盖单位公章。未在规定签章处签字并加盖单位公章的，作投标无效处理。</w:t>
      </w:r>
    </w:p>
    <w:p>
      <w:pPr>
        <w:pStyle w:val="18"/>
        <w:spacing w:line="440" w:lineRule="exact"/>
        <w:rPr>
          <w:rFonts w:hAnsi="宋体"/>
          <w:bCs/>
          <w:color w:val="auto"/>
          <w:sz w:val="24"/>
          <w:highlight w:val="none"/>
        </w:rPr>
      </w:pPr>
      <w:r>
        <w:rPr>
          <w:rFonts w:hint="eastAsia" w:hAnsi="宋体"/>
          <w:bCs/>
          <w:color w:val="auto"/>
          <w:sz w:val="24"/>
          <w:highlight w:val="none"/>
        </w:rPr>
        <w:t>11.  投标报价</w:t>
      </w:r>
    </w:p>
    <w:p>
      <w:pPr>
        <w:pStyle w:val="18"/>
        <w:spacing w:line="440" w:lineRule="exact"/>
        <w:ind w:firstLine="360"/>
        <w:rPr>
          <w:rFonts w:hAnsi="宋体"/>
          <w:color w:val="auto"/>
          <w:highlight w:val="none"/>
        </w:rPr>
      </w:pPr>
      <w:r>
        <w:rPr>
          <w:rFonts w:hint="eastAsia" w:hAnsi="宋体"/>
          <w:color w:val="auto"/>
          <w:highlight w:val="none"/>
        </w:rPr>
        <w:t>11.1  投标人应以人民币报价。</w:t>
      </w:r>
    </w:p>
    <w:p>
      <w:pPr>
        <w:pStyle w:val="18"/>
        <w:spacing w:line="440" w:lineRule="exact"/>
        <w:ind w:firstLine="360"/>
        <w:rPr>
          <w:rFonts w:hAnsi="宋体"/>
          <w:color w:val="auto"/>
          <w:highlight w:val="none"/>
        </w:rPr>
      </w:pPr>
      <w:r>
        <w:rPr>
          <w:rFonts w:hint="eastAsia" w:hAnsi="宋体"/>
          <w:color w:val="auto"/>
          <w:highlight w:val="none"/>
        </w:rPr>
        <w:t>11.2  投标人可就第二章“</w:t>
      </w:r>
      <w:r>
        <w:rPr>
          <w:rFonts w:hint="eastAsia" w:hAnsi="宋体"/>
          <w:b/>
          <w:color w:val="auto"/>
          <w:highlight w:val="none"/>
        </w:rPr>
        <w:t>项目需求一览表</w:t>
      </w:r>
      <w:r>
        <w:rPr>
          <w:rFonts w:hint="eastAsia" w:hAnsi="宋体"/>
          <w:color w:val="auto"/>
          <w:highlight w:val="none"/>
        </w:rPr>
        <w:t>”中的</w:t>
      </w:r>
      <w:r>
        <w:rPr>
          <w:rFonts w:hint="eastAsia" w:hAnsi="宋体"/>
          <w:b/>
          <w:color w:val="auto"/>
          <w:highlight w:val="none"/>
        </w:rPr>
        <w:t>某一个分标内容报出完整且唯一报价，也可就某几个或所有分标内容分别报出完整且唯一报价，附带有条件的报价将不予接受。</w:t>
      </w:r>
    </w:p>
    <w:p>
      <w:pPr>
        <w:pStyle w:val="18"/>
        <w:spacing w:line="440" w:lineRule="exact"/>
        <w:ind w:firstLine="360"/>
        <w:rPr>
          <w:color w:val="auto"/>
          <w:highlight w:val="none"/>
        </w:rPr>
      </w:pPr>
      <w:r>
        <w:rPr>
          <w:rFonts w:hint="eastAsia" w:hAnsi="宋体"/>
          <w:color w:val="auto"/>
          <w:highlight w:val="none"/>
        </w:rPr>
        <w:t>11.3  投标报价为中标供应商履行合同的最终价格，合同实施过程中，</w:t>
      </w:r>
      <w:r>
        <w:rPr>
          <w:rFonts w:hint="eastAsia"/>
          <w:color w:val="auto"/>
          <w:highlight w:val="none"/>
        </w:rPr>
        <w:t>采购人</w:t>
      </w:r>
      <w:r>
        <w:rPr>
          <w:color w:val="auto"/>
          <w:highlight w:val="none"/>
        </w:rPr>
        <w:t>不再</w:t>
      </w:r>
      <w:r>
        <w:rPr>
          <w:rFonts w:hint="eastAsia"/>
          <w:color w:val="auto"/>
          <w:highlight w:val="none"/>
        </w:rPr>
        <w:t>向中标供应商</w:t>
      </w:r>
      <w:r>
        <w:rPr>
          <w:color w:val="auto"/>
          <w:highlight w:val="none"/>
        </w:rPr>
        <w:t>支付</w:t>
      </w:r>
      <w:r>
        <w:rPr>
          <w:rFonts w:hint="eastAsia"/>
          <w:color w:val="auto"/>
          <w:highlight w:val="none"/>
        </w:rPr>
        <w:t>其投标</w:t>
      </w:r>
      <w:r>
        <w:rPr>
          <w:color w:val="auto"/>
          <w:highlight w:val="none"/>
        </w:rPr>
        <w:t>报价之外的任何费用。</w:t>
      </w:r>
    </w:p>
    <w:p>
      <w:pPr>
        <w:pStyle w:val="18"/>
        <w:spacing w:line="440" w:lineRule="exact"/>
        <w:ind w:firstLine="360"/>
        <w:rPr>
          <w:color w:val="auto"/>
          <w:highlight w:val="none"/>
        </w:rPr>
      </w:pPr>
      <w:r>
        <w:rPr>
          <w:rFonts w:hint="eastAsia"/>
          <w:color w:val="auto"/>
          <w:highlight w:val="none"/>
        </w:rPr>
        <w:t>11.4  本项目中标服务费在</w:t>
      </w:r>
      <w:r>
        <w:rPr>
          <w:rFonts w:hint="eastAsia" w:hAnsi="宋体"/>
          <w:color w:val="auto"/>
          <w:highlight w:val="none"/>
        </w:rPr>
        <w:t>签订合同前，中标人应向采购代理机构一次付清代理服务费</w:t>
      </w:r>
      <w:r>
        <w:rPr>
          <w:rFonts w:hint="eastAsia"/>
          <w:color w:val="auto"/>
          <w:highlight w:val="none"/>
        </w:rPr>
        <w:t>。签订合同前，中标供应商须向采购代理机构一次付清代理服务费。</w:t>
      </w:r>
    </w:p>
    <w:p>
      <w:pPr>
        <w:pStyle w:val="18"/>
        <w:spacing w:line="440" w:lineRule="exact"/>
        <w:ind w:firstLine="360"/>
        <w:rPr>
          <w:color w:val="auto"/>
          <w:highlight w:val="none"/>
        </w:rPr>
      </w:pPr>
      <w:r>
        <w:rPr>
          <w:rFonts w:hint="eastAsia"/>
          <w:color w:val="auto"/>
          <w:highlight w:val="none"/>
        </w:rPr>
        <w:t>11.5  不论投标结果如何，投标人均应自行承担与编制和递交投标文件有关的全部费用。</w:t>
      </w:r>
    </w:p>
    <w:p>
      <w:pPr>
        <w:pStyle w:val="18"/>
        <w:spacing w:line="440" w:lineRule="exact"/>
        <w:rPr>
          <w:rFonts w:hAnsi="宋体"/>
          <w:bCs/>
          <w:color w:val="auto"/>
          <w:sz w:val="24"/>
          <w:highlight w:val="none"/>
        </w:rPr>
      </w:pPr>
      <w:r>
        <w:rPr>
          <w:rFonts w:hint="eastAsia" w:hAnsi="宋体"/>
          <w:bCs/>
          <w:color w:val="auto"/>
          <w:sz w:val="24"/>
          <w:highlight w:val="none"/>
        </w:rPr>
        <w:t>12.  投标有效期</w:t>
      </w:r>
    </w:p>
    <w:p>
      <w:pPr>
        <w:pStyle w:val="18"/>
        <w:spacing w:line="440" w:lineRule="exact"/>
        <w:ind w:firstLine="360"/>
        <w:rPr>
          <w:rFonts w:hAnsi="宋体"/>
          <w:color w:val="auto"/>
          <w:highlight w:val="none"/>
        </w:rPr>
      </w:pPr>
      <w:r>
        <w:rPr>
          <w:rFonts w:hint="eastAsia" w:hAnsi="宋体"/>
          <w:color w:val="auto"/>
          <w:highlight w:val="none"/>
        </w:rPr>
        <w:t>12.1  在投标人须知前附表规定的投标有效期内，投标人不得要求撤销或修改其投标文件。投标有效期不满足要求的投标将被视为非实质性响应投标而予以拒绝。</w:t>
      </w:r>
    </w:p>
    <w:p>
      <w:pPr>
        <w:pStyle w:val="18"/>
        <w:spacing w:line="440" w:lineRule="exact"/>
        <w:ind w:firstLine="360"/>
        <w:rPr>
          <w:rFonts w:hAnsi="宋体"/>
          <w:color w:val="auto"/>
          <w:highlight w:val="none"/>
        </w:rPr>
      </w:pPr>
      <w:r>
        <w:rPr>
          <w:rFonts w:hint="eastAsia" w:hAnsi="宋体"/>
          <w:color w:val="auto"/>
          <w:highlight w:val="none"/>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18"/>
        <w:spacing w:line="440" w:lineRule="exact"/>
        <w:rPr>
          <w:rFonts w:hAnsi="宋体"/>
          <w:bCs/>
          <w:color w:val="auto"/>
          <w:sz w:val="24"/>
          <w:highlight w:val="none"/>
        </w:rPr>
      </w:pPr>
      <w:r>
        <w:rPr>
          <w:rFonts w:hint="eastAsia" w:hAnsi="宋体"/>
          <w:bCs/>
          <w:color w:val="auto"/>
          <w:sz w:val="24"/>
          <w:highlight w:val="none"/>
        </w:rPr>
        <w:t>13.  投标保证金</w:t>
      </w:r>
    </w:p>
    <w:p>
      <w:pPr>
        <w:pStyle w:val="18"/>
        <w:spacing w:line="440" w:lineRule="exact"/>
        <w:ind w:left="2" w:firstLine="417" w:firstLineChars="199"/>
        <w:rPr>
          <w:rFonts w:hAnsi="宋体"/>
          <w:color w:val="auto"/>
          <w:highlight w:val="none"/>
        </w:rPr>
      </w:pPr>
      <w:r>
        <w:rPr>
          <w:rFonts w:hint="eastAsia" w:hAnsi="宋体"/>
          <w:color w:val="auto"/>
          <w:highlight w:val="none"/>
        </w:rPr>
        <w:t>13.1本项目不收取投标保证金</w:t>
      </w:r>
    </w:p>
    <w:p>
      <w:pPr>
        <w:pStyle w:val="18"/>
        <w:tabs>
          <w:tab w:val="left" w:pos="0"/>
        </w:tabs>
        <w:spacing w:line="440" w:lineRule="exact"/>
        <w:ind w:firstLine="361" w:firstLineChars="171"/>
        <w:rPr>
          <w:rFonts w:hAnsi="宋体"/>
          <w:b/>
          <w:bCs/>
          <w:color w:val="auto"/>
          <w:highlight w:val="none"/>
        </w:rPr>
      </w:pPr>
    </w:p>
    <w:p>
      <w:pPr>
        <w:pStyle w:val="18"/>
        <w:spacing w:line="440" w:lineRule="exact"/>
        <w:jc w:val="center"/>
        <w:outlineLvl w:val="1"/>
        <w:rPr>
          <w:rFonts w:ascii="Times New Roman" w:hAnsi="Times New Roman"/>
          <w:b/>
          <w:color w:val="auto"/>
          <w:sz w:val="30"/>
          <w:szCs w:val="30"/>
          <w:highlight w:val="none"/>
        </w:rPr>
      </w:pPr>
      <w:bookmarkStart w:id="68" w:name="_Toc495996911"/>
      <w:bookmarkStart w:id="69" w:name="_Toc213326419"/>
      <w:bookmarkStart w:id="70" w:name="_Toc401396878"/>
    </w:p>
    <w:p>
      <w:pPr>
        <w:pStyle w:val="18"/>
        <w:spacing w:line="440" w:lineRule="exact"/>
        <w:jc w:val="center"/>
        <w:outlineLvl w:val="1"/>
        <w:rPr>
          <w:rFonts w:ascii="Times New Roman" w:hAnsi="Times New Roman"/>
          <w:b/>
          <w:color w:val="auto"/>
          <w:sz w:val="30"/>
          <w:szCs w:val="30"/>
          <w:highlight w:val="none"/>
        </w:rPr>
      </w:pPr>
      <w:r>
        <w:rPr>
          <w:rFonts w:hint="eastAsia" w:ascii="Times New Roman" w:hAnsi="Times New Roman"/>
          <w:b/>
          <w:color w:val="auto"/>
          <w:sz w:val="30"/>
          <w:szCs w:val="30"/>
          <w:highlight w:val="none"/>
        </w:rPr>
        <w:t>四    投标</w:t>
      </w:r>
      <w:bookmarkEnd w:id="68"/>
      <w:bookmarkEnd w:id="69"/>
      <w:bookmarkEnd w:id="70"/>
    </w:p>
    <w:p>
      <w:pPr>
        <w:pStyle w:val="18"/>
        <w:spacing w:line="440" w:lineRule="exact"/>
        <w:rPr>
          <w:rFonts w:hAnsi="宋体"/>
          <w:bCs/>
          <w:color w:val="auto"/>
          <w:sz w:val="24"/>
          <w:highlight w:val="none"/>
        </w:rPr>
      </w:pPr>
      <w:r>
        <w:rPr>
          <w:rFonts w:hint="eastAsia" w:hAnsi="宋体"/>
          <w:bCs/>
          <w:color w:val="auto"/>
          <w:sz w:val="24"/>
          <w:highlight w:val="none"/>
        </w:rPr>
        <w:t>14.  投标文件的密封</w:t>
      </w:r>
    </w:p>
    <w:p>
      <w:pPr>
        <w:pStyle w:val="18"/>
        <w:spacing w:line="440" w:lineRule="exact"/>
        <w:ind w:firstLine="359" w:firstLineChars="171"/>
        <w:rPr>
          <w:rFonts w:hAnsi="宋体"/>
          <w:color w:val="auto"/>
          <w:highlight w:val="none"/>
        </w:rPr>
      </w:pPr>
      <w:r>
        <w:rPr>
          <w:rFonts w:hint="eastAsia" w:hAnsi="宋体"/>
          <w:color w:val="auto"/>
          <w:highlight w:val="none"/>
        </w:rPr>
        <w:t>14.1  投标人应将投标正、副本文件、电子版文件统一装入一个文件包装袋中加以密封。封口处必须加盖投标人单位公章或被授权人签字，以示密封。密封袋上应标明项目名称、项目编号、投标人名称和地址、及“在（开标日期、时间）之前不得启封”的字样。</w:t>
      </w:r>
    </w:p>
    <w:p>
      <w:pPr>
        <w:pStyle w:val="18"/>
        <w:spacing w:line="440" w:lineRule="exact"/>
        <w:ind w:firstLine="359" w:firstLineChars="171"/>
        <w:rPr>
          <w:rFonts w:hAnsi="宋体"/>
          <w:color w:val="auto"/>
          <w:highlight w:val="none"/>
        </w:rPr>
      </w:pPr>
      <w:r>
        <w:rPr>
          <w:rFonts w:hint="eastAsia" w:hAnsi="宋体"/>
          <w:color w:val="auto"/>
          <w:highlight w:val="none"/>
        </w:rPr>
        <w:t>如投标人未按上述要求密封及加写标记，其投标文件不予接收，并且采购人或采购代理机构对其投标文件的误投或过早启封概不负责。</w:t>
      </w:r>
    </w:p>
    <w:p>
      <w:pPr>
        <w:pStyle w:val="18"/>
        <w:spacing w:line="440" w:lineRule="exact"/>
        <w:rPr>
          <w:rFonts w:hAnsi="宋体"/>
          <w:bCs/>
          <w:color w:val="auto"/>
          <w:sz w:val="24"/>
          <w:highlight w:val="none"/>
        </w:rPr>
      </w:pPr>
      <w:r>
        <w:rPr>
          <w:rFonts w:hint="eastAsia" w:hAnsi="宋体"/>
          <w:bCs/>
          <w:color w:val="auto"/>
          <w:sz w:val="24"/>
          <w:highlight w:val="none"/>
        </w:rPr>
        <w:t>15.  投标文件及投标样品的递交</w:t>
      </w:r>
    </w:p>
    <w:p>
      <w:pPr>
        <w:pStyle w:val="18"/>
        <w:spacing w:line="440" w:lineRule="exact"/>
        <w:ind w:firstLine="360"/>
        <w:rPr>
          <w:rFonts w:hAnsi="宋体"/>
          <w:color w:val="auto"/>
          <w:highlight w:val="none"/>
        </w:rPr>
      </w:pPr>
      <w:r>
        <w:rPr>
          <w:rFonts w:hint="eastAsia" w:hAnsi="宋体"/>
          <w:color w:val="auto"/>
          <w:highlight w:val="none"/>
        </w:rPr>
        <w:t>15.1  投标人投标截止时间：见投标人须知前附表。</w:t>
      </w:r>
    </w:p>
    <w:p>
      <w:pPr>
        <w:pStyle w:val="18"/>
        <w:spacing w:line="440" w:lineRule="exact"/>
        <w:ind w:firstLine="360"/>
        <w:rPr>
          <w:rFonts w:hAnsi="宋体"/>
          <w:color w:val="auto"/>
          <w:highlight w:val="none"/>
        </w:rPr>
      </w:pPr>
      <w:r>
        <w:rPr>
          <w:rFonts w:hint="eastAsia" w:hAnsi="宋体"/>
          <w:color w:val="auto"/>
          <w:highlight w:val="none"/>
        </w:rPr>
        <w:t>15.2  投标人递交投标文件地点：见投标人须知前附表。</w:t>
      </w:r>
    </w:p>
    <w:p>
      <w:pPr>
        <w:pStyle w:val="18"/>
        <w:spacing w:line="440" w:lineRule="exact"/>
        <w:ind w:firstLine="360"/>
        <w:rPr>
          <w:rFonts w:hAnsi="宋体"/>
          <w:color w:val="auto"/>
          <w:highlight w:val="none"/>
        </w:rPr>
      </w:pPr>
      <w:r>
        <w:rPr>
          <w:rFonts w:hint="eastAsia" w:hAnsi="宋体"/>
          <w:color w:val="auto"/>
          <w:highlight w:val="none"/>
        </w:rPr>
        <w:t>15.3  投标人递交投标样品截止时间：见投标人须知前附表。</w:t>
      </w:r>
    </w:p>
    <w:p>
      <w:pPr>
        <w:pStyle w:val="18"/>
        <w:spacing w:line="440" w:lineRule="exact"/>
        <w:ind w:firstLine="360"/>
        <w:rPr>
          <w:rFonts w:hAnsi="宋体"/>
          <w:color w:val="auto"/>
          <w:highlight w:val="none"/>
        </w:rPr>
      </w:pPr>
      <w:r>
        <w:rPr>
          <w:rFonts w:hint="eastAsia" w:hAnsi="宋体"/>
          <w:color w:val="auto"/>
          <w:highlight w:val="none"/>
        </w:rPr>
        <w:t>15.4  投标人递交投标样品地点：见投标人须知前附表。</w:t>
      </w:r>
    </w:p>
    <w:p>
      <w:pPr>
        <w:pStyle w:val="18"/>
        <w:spacing w:line="440" w:lineRule="exact"/>
        <w:jc w:val="center"/>
        <w:rPr>
          <w:rFonts w:hAnsi="宋体"/>
          <w:color w:val="auto"/>
          <w:highlight w:val="none"/>
        </w:rPr>
      </w:pPr>
    </w:p>
    <w:p>
      <w:pPr>
        <w:pStyle w:val="18"/>
        <w:spacing w:line="440" w:lineRule="exact"/>
        <w:jc w:val="center"/>
        <w:outlineLvl w:val="1"/>
        <w:rPr>
          <w:rFonts w:ascii="Times New Roman" w:hAnsi="Times New Roman"/>
          <w:b/>
          <w:color w:val="auto"/>
          <w:sz w:val="30"/>
          <w:szCs w:val="30"/>
          <w:highlight w:val="none"/>
        </w:rPr>
      </w:pPr>
      <w:bookmarkStart w:id="71" w:name="_Toc401396879"/>
      <w:bookmarkStart w:id="72" w:name="_Toc495996912"/>
      <w:bookmarkStart w:id="73" w:name="_Toc213326420"/>
      <w:r>
        <w:rPr>
          <w:rFonts w:hint="eastAsia" w:ascii="Times New Roman" w:hAnsi="Times New Roman"/>
          <w:b/>
          <w:color w:val="auto"/>
          <w:sz w:val="30"/>
          <w:szCs w:val="30"/>
          <w:highlight w:val="none"/>
        </w:rPr>
        <w:t>五    开标与评标</w:t>
      </w:r>
      <w:bookmarkEnd w:id="71"/>
      <w:bookmarkEnd w:id="72"/>
      <w:bookmarkEnd w:id="73"/>
    </w:p>
    <w:p>
      <w:pPr>
        <w:pStyle w:val="18"/>
        <w:spacing w:line="440" w:lineRule="exact"/>
        <w:rPr>
          <w:rFonts w:hAnsi="宋体"/>
          <w:bCs/>
          <w:color w:val="auto"/>
          <w:sz w:val="24"/>
          <w:highlight w:val="none"/>
        </w:rPr>
      </w:pPr>
      <w:r>
        <w:rPr>
          <w:rFonts w:hint="eastAsia" w:hAnsi="宋体"/>
          <w:bCs/>
          <w:color w:val="auto"/>
          <w:sz w:val="24"/>
          <w:highlight w:val="none"/>
        </w:rPr>
        <w:t>16.  开标</w:t>
      </w:r>
    </w:p>
    <w:p>
      <w:pPr>
        <w:pStyle w:val="18"/>
        <w:spacing w:line="440" w:lineRule="exact"/>
        <w:ind w:firstLine="359" w:firstLineChars="171"/>
        <w:rPr>
          <w:rFonts w:hAnsi="宋体"/>
          <w:color w:val="auto"/>
          <w:highlight w:val="none"/>
        </w:rPr>
      </w:pPr>
      <w:r>
        <w:rPr>
          <w:rFonts w:hint="eastAsia" w:hAnsi="宋体"/>
          <w:color w:val="auto"/>
          <w:highlight w:val="none"/>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18"/>
        <w:spacing w:line="440" w:lineRule="exact"/>
        <w:ind w:firstLine="359" w:firstLineChars="171"/>
        <w:rPr>
          <w:rFonts w:hAnsi="宋体"/>
          <w:color w:val="auto"/>
          <w:highlight w:val="none"/>
        </w:rPr>
      </w:pPr>
      <w:r>
        <w:rPr>
          <w:rFonts w:hint="eastAsia" w:hAnsi="宋体"/>
          <w:color w:val="auto"/>
          <w:highlight w:val="none"/>
        </w:rPr>
        <w:t>16.2  开标程序：</w:t>
      </w:r>
    </w:p>
    <w:p>
      <w:pPr>
        <w:pStyle w:val="18"/>
        <w:spacing w:line="440" w:lineRule="exact"/>
        <w:ind w:firstLine="720"/>
        <w:rPr>
          <w:rFonts w:hAnsi="宋体"/>
          <w:color w:val="auto"/>
          <w:highlight w:val="none"/>
        </w:rPr>
      </w:pPr>
      <w:r>
        <w:rPr>
          <w:rFonts w:hint="eastAsia" w:hAnsi="宋体"/>
          <w:color w:val="auto"/>
          <w:highlight w:val="none"/>
        </w:rPr>
        <w:t>（1）开标会由采购代理机构主持，主持人宣布开标会议开始；</w:t>
      </w:r>
    </w:p>
    <w:p>
      <w:pPr>
        <w:pStyle w:val="18"/>
        <w:spacing w:line="440" w:lineRule="exact"/>
        <w:ind w:firstLine="720"/>
        <w:rPr>
          <w:rFonts w:hAnsi="宋体"/>
          <w:color w:val="auto"/>
          <w:highlight w:val="none"/>
        </w:rPr>
      </w:pPr>
      <w:r>
        <w:rPr>
          <w:rFonts w:hint="eastAsia" w:hAnsi="宋体"/>
          <w:color w:val="auto"/>
          <w:highlight w:val="none"/>
        </w:rPr>
        <w:t>（2）公布在投标截止时间前递交投标文件的投标人家数、投标单位名称，并点名确认投标人是否到场；</w:t>
      </w:r>
    </w:p>
    <w:p>
      <w:pPr>
        <w:pStyle w:val="18"/>
        <w:spacing w:line="440" w:lineRule="exact"/>
        <w:ind w:firstLine="720"/>
        <w:rPr>
          <w:rFonts w:hAnsi="宋体"/>
          <w:color w:val="auto"/>
          <w:highlight w:val="none"/>
        </w:rPr>
      </w:pPr>
      <w:r>
        <w:rPr>
          <w:rFonts w:hint="eastAsia" w:hAnsi="宋体"/>
          <w:color w:val="auto"/>
          <w:highlight w:val="none"/>
        </w:rPr>
        <w:t>（3）宣布开标人、唱标人、记录人、监标人等有关人员；</w:t>
      </w:r>
    </w:p>
    <w:p>
      <w:pPr>
        <w:pStyle w:val="18"/>
        <w:spacing w:line="440" w:lineRule="exact"/>
        <w:ind w:firstLine="720"/>
        <w:rPr>
          <w:rFonts w:hAnsi="宋体"/>
          <w:color w:val="auto"/>
          <w:highlight w:val="none"/>
        </w:rPr>
      </w:pPr>
      <w:r>
        <w:rPr>
          <w:rFonts w:hint="eastAsia" w:hAnsi="宋体"/>
          <w:color w:val="auto"/>
          <w:highlight w:val="none"/>
        </w:rPr>
        <w:t>（4）投标人代表按本章第14.1项的规定由各投标人检查各自的投标文件密封情况并签字确认；</w:t>
      </w:r>
    </w:p>
    <w:p>
      <w:pPr>
        <w:pStyle w:val="18"/>
        <w:spacing w:line="440" w:lineRule="exact"/>
        <w:ind w:firstLine="720"/>
        <w:rPr>
          <w:rFonts w:hAnsi="宋体"/>
          <w:color w:val="auto"/>
          <w:highlight w:val="none"/>
        </w:rPr>
      </w:pPr>
      <w:r>
        <w:rPr>
          <w:rFonts w:hint="eastAsia" w:hAnsi="宋体"/>
          <w:color w:val="auto"/>
          <w:highlight w:val="none"/>
        </w:rPr>
        <w:t>（5）按各投标人递交投标文件时间的先后顺序当众拆封投标文件，由唱标人宣读投标人名称、分标名称、投标报价、服务期等以及采购代理机构认为有必要宣读的其他内容；</w:t>
      </w:r>
    </w:p>
    <w:p>
      <w:pPr>
        <w:pStyle w:val="18"/>
        <w:spacing w:line="440" w:lineRule="exact"/>
        <w:ind w:firstLine="720"/>
        <w:rPr>
          <w:rFonts w:hAnsi="宋体"/>
          <w:color w:val="auto"/>
          <w:highlight w:val="none"/>
        </w:rPr>
      </w:pPr>
      <w:r>
        <w:rPr>
          <w:rFonts w:hint="eastAsia" w:hAnsi="宋体"/>
          <w:color w:val="auto"/>
          <w:highlight w:val="none"/>
        </w:rPr>
        <w:t>（6）相关人员在开标记录上签字确认；</w:t>
      </w:r>
    </w:p>
    <w:p>
      <w:pPr>
        <w:pStyle w:val="18"/>
        <w:spacing w:line="440" w:lineRule="exact"/>
        <w:ind w:firstLine="720"/>
        <w:rPr>
          <w:rFonts w:hAnsi="宋体"/>
          <w:color w:val="auto"/>
          <w:highlight w:val="none"/>
        </w:rPr>
      </w:pPr>
      <w:r>
        <w:rPr>
          <w:rFonts w:hint="eastAsia" w:hAnsi="宋体"/>
          <w:color w:val="auto"/>
          <w:highlight w:val="none"/>
        </w:rPr>
        <w:t>（7）宣布评标期间的有关事项；</w:t>
      </w:r>
    </w:p>
    <w:p>
      <w:pPr>
        <w:pStyle w:val="18"/>
        <w:spacing w:line="440" w:lineRule="exact"/>
        <w:ind w:firstLine="720"/>
        <w:rPr>
          <w:rFonts w:hAnsi="宋体"/>
          <w:color w:val="auto"/>
          <w:highlight w:val="none"/>
        </w:rPr>
      </w:pPr>
      <w:r>
        <w:rPr>
          <w:rFonts w:hint="eastAsia" w:hAnsi="宋体"/>
          <w:color w:val="auto"/>
          <w:highlight w:val="none"/>
        </w:rPr>
        <w:t>（8）开标结束。</w:t>
      </w:r>
    </w:p>
    <w:p>
      <w:pPr>
        <w:pStyle w:val="18"/>
        <w:spacing w:line="440" w:lineRule="exact"/>
        <w:rPr>
          <w:rFonts w:hAnsi="宋体"/>
          <w:color w:val="auto"/>
          <w:szCs w:val="21"/>
          <w:highlight w:val="none"/>
        </w:rPr>
      </w:pPr>
      <w:r>
        <w:rPr>
          <w:rFonts w:hint="eastAsia" w:hAnsi="宋体"/>
          <w:color w:val="auto"/>
          <w:szCs w:val="21"/>
          <w:highlight w:val="none"/>
        </w:rPr>
        <w:t>17.资格审查</w:t>
      </w:r>
    </w:p>
    <w:p>
      <w:pPr>
        <w:pStyle w:val="18"/>
        <w:spacing w:line="440" w:lineRule="exact"/>
        <w:ind w:firstLine="420" w:firstLineChars="200"/>
        <w:rPr>
          <w:rFonts w:hAnsi="宋体"/>
          <w:color w:val="auto"/>
          <w:szCs w:val="21"/>
          <w:highlight w:val="none"/>
        </w:rPr>
      </w:pPr>
      <w:r>
        <w:rPr>
          <w:rFonts w:hint="eastAsia" w:hAnsi="宋体"/>
          <w:color w:val="auto"/>
          <w:szCs w:val="21"/>
          <w:highlight w:val="none"/>
        </w:rPr>
        <w:t>采购人依据法律法规和招标文件的规定，对投标文件中的资格文件进行审查，以确定投标供应商是否具备投标资格。合格投标人不足3家的，不得评标。</w:t>
      </w:r>
    </w:p>
    <w:p>
      <w:pPr>
        <w:pStyle w:val="18"/>
        <w:spacing w:line="440" w:lineRule="exact"/>
        <w:rPr>
          <w:rFonts w:hAnsi="宋体"/>
          <w:bCs/>
          <w:color w:val="auto"/>
          <w:sz w:val="24"/>
          <w:highlight w:val="none"/>
        </w:rPr>
      </w:pPr>
      <w:r>
        <w:rPr>
          <w:rFonts w:hint="eastAsia" w:hAnsi="宋体"/>
          <w:bCs/>
          <w:color w:val="auto"/>
          <w:sz w:val="24"/>
          <w:highlight w:val="none"/>
        </w:rPr>
        <w:t>18.  评标</w:t>
      </w:r>
    </w:p>
    <w:p>
      <w:pPr>
        <w:pStyle w:val="18"/>
        <w:spacing w:line="440" w:lineRule="exact"/>
        <w:ind w:firstLine="420" w:firstLineChars="200"/>
        <w:rPr>
          <w:rFonts w:hAnsi="宋体"/>
          <w:color w:val="auto"/>
          <w:highlight w:val="none"/>
        </w:rPr>
      </w:pPr>
      <w:r>
        <w:rPr>
          <w:rFonts w:hint="eastAsia" w:hAnsi="宋体"/>
          <w:color w:val="auto"/>
          <w:highlight w:val="none"/>
        </w:rPr>
        <w:t>18.1  评标委员会：评标由依法组建的评标委员会负责。</w:t>
      </w:r>
      <w:r>
        <w:rPr>
          <w:rFonts w:hint="eastAsia" w:hAnsi="宋体"/>
          <w:color w:val="auto"/>
          <w:szCs w:val="21"/>
          <w:highlight w:val="none"/>
        </w:rPr>
        <w:t>评标委员会由采购人代表和评审专家组成</w:t>
      </w:r>
      <w:r>
        <w:rPr>
          <w:rFonts w:hint="eastAsia" w:hAnsi="宋体"/>
          <w:color w:val="auto"/>
          <w:highlight w:val="none"/>
        </w:rPr>
        <w:t>。采购人或采购代理机构根据本项目的特点，从财政部门设立的政府采购评审专家库中，通过随机方式抽取专家。</w:t>
      </w:r>
    </w:p>
    <w:p>
      <w:pPr>
        <w:pStyle w:val="18"/>
        <w:spacing w:line="440" w:lineRule="exact"/>
        <w:ind w:firstLine="420" w:firstLineChars="200"/>
        <w:rPr>
          <w:rFonts w:hAnsi="宋体"/>
          <w:color w:val="auto"/>
          <w:highlight w:val="none"/>
        </w:rPr>
      </w:pPr>
      <w:r>
        <w:rPr>
          <w:rFonts w:hint="eastAsia"/>
          <w:color w:val="auto"/>
          <w:highlight w:val="none"/>
        </w:rPr>
        <w:t>18.2  评标原则：评标活动遵循公平、公正、科学和择优的原则。</w:t>
      </w:r>
    </w:p>
    <w:p>
      <w:pPr>
        <w:pStyle w:val="18"/>
        <w:spacing w:line="440" w:lineRule="exact"/>
        <w:ind w:firstLine="420" w:firstLineChars="200"/>
        <w:rPr>
          <w:rFonts w:hAnsi="宋体"/>
          <w:color w:val="auto"/>
          <w:highlight w:val="none"/>
        </w:rPr>
      </w:pPr>
      <w:r>
        <w:rPr>
          <w:rFonts w:hint="eastAsia" w:hAnsi="宋体"/>
          <w:color w:val="auto"/>
          <w:highlight w:val="none"/>
        </w:rPr>
        <w:t>18.3  评标方法：</w:t>
      </w:r>
      <w:r>
        <w:rPr>
          <w:rFonts w:hint="eastAsia"/>
          <w:color w:val="auto"/>
          <w:highlight w:val="none"/>
        </w:rPr>
        <w:t>评标委员会按照</w:t>
      </w:r>
      <w:r>
        <w:rPr>
          <w:rFonts w:hint="eastAsia" w:hAnsi="宋体"/>
          <w:color w:val="auto"/>
          <w:highlight w:val="none"/>
        </w:rPr>
        <w:t>投标人须知前附表和</w:t>
      </w:r>
      <w:r>
        <w:rPr>
          <w:rFonts w:hint="eastAsia"/>
          <w:color w:val="auto"/>
          <w:highlight w:val="none"/>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8"/>
        <w:spacing w:line="440" w:lineRule="exact"/>
        <w:ind w:firstLine="420" w:firstLineChars="200"/>
        <w:rPr>
          <w:rFonts w:hAnsi="宋体"/>
          <w:color w:val="auto"/>
          <w:highlight w:val="none"/>
        </w:rPr>
      </w:pPr>
      <w:r>
        <w:rPr>
          <w:rFonts w:hint="eastAsia" w:hAnsi="宋体"/>
          <w:color w:val="auto"/>
          <w:highlight w:val="none"/>
        </w:rPr>
        <w:t xml:space="preserve">18.4  </w:t>
      </w:r>
      <w:r>
        <w:rPr>
          <w:rFonts w:hint="eastAsia" w:hAnsi="宋体"/>
          <w:bCs/>
          <w:color w:val="auto"/>
          <w:highlight w:val="none"/>
        </w:rPr>
        <w:t>评标程序：</w:t>
      </w:r>
    </w:p>
    <w:p>
      <w:pPr>
        <w:pStyle w:val="18"/>
        <w:spacing w:line="440" w:lineRule="exact"/>
        <w:ind w:firstLine="420" w:firstLineChars="200"/>
        <w:rPr>
          <w:rFonts w:hAnsi="宋体"/>
          <w:color w:val="auto"/>
          <w:highlight w:val="none"/>
        </w:rPr>
      </w:pPr>
      <w:r>
        <w:rPr>
          <w:rFonts w:hint="eastAsia" w:hAnsi="宋体"/>
          <w:bCs/>
          <w:color w:val="auto"/>
          <w:highlight w:val="none"/>
        </w:rPr>
        <w:t>18.4.1  采购代理机构项目负责人宣读评标现场纪律要求，集中管理通讯工具，询问在场人员是否申请回避；</w:t>
      </w:r>
    </w:p>
    <w:p>
      <w:pPr>
        <w:pStyle w:val="18"/>
        <w:spacing w:line="440" w:lineRule="exact"/>
        <w:ind w:firstLine="420" w:firstLineChars="200"/>
        <w:rPr>
          <w:rFonts w:hAnsi="宋体"/>
          <w:color w:val="auto"/>
          <w:highlight w:val="none"/>
        </w:rPr>
      </w:pPr>
      <w:r>
        <w:rPr>
          <w:rFonts w:hint="eastAsia" w:hAnsi="宋体"/>
          <w:bCs/>
          <w:color w:val="auto"/>
          <w:highlight w:val="none"/>
        </w:rPr>
        <w:t>18.4.2  采购代理机构项目负责人介绍项目概况及评标委员会组成情况（但不得发表影响评审的倾向性、歧视性言论），推选评标组长（原则上采购人不得担任评标组长）；</w:t>
      </w:r>
    </w:p>
    <w:p>
      <w:pPr>
        <w:pStyle w:val="18"/>
        <w:spacing w:line="440" w:lineRule="exact"/>
        <w:ind w:firstLine="420" w:firstLineChars="200"/>
        <w:rPr>
          <w:rFonts w:hAnsi="宋体"/>
          <w:color w:val="auto"/>
          <w:highlight w:val="none"/>
        </w:rPr>
      </w:pPr>
      <w:r>
        <w:rPr>
          <w:rFonts w:hint="eastAsia" w:hAnsi="宋体"/>
          <w:bCs/>
          <w:color w:val="auto"/>
          <w:highlight w:val="none"/>
        </w:rPr>
        <w:t>18.4.3  评标委员会按分工开展评标工作：</w:t>
      </w:r>
    </w:p>
    <w:p>
      <w:pPr>
        <w:pStyle w:val="18"/>
        <w:spacing w:line="440" w:lineRule="exact"/>
        <w:ind w:firstLine="718" w:firstLineChars="342"/>
        <w:rPr>
          <w:rFonts w:hAnsi="宋体"/>
          <w:color w:val="auto"/>
          <w:highlight w:val="none"/>
        </w:rPr>
      </w:pPr>
      <w:r>
        <w:rPr>
          <w:rFonts w:hint="eastAsia" w:hAnsi="宋体"/>
          <w:color w:val="auto"/>
          <w:highlight w:val="none"/>
        </w:rPr>
        <w:t>18.4.3.1投标文件初审。</w:t>
      </w:r>
      <w:r>
        <w:rPr>
          <w:rFonts w:hint="eastAsia" w:hAnsi="宋体"/>
          <w:bCs/>
          <w:color w:val="auto"/>
          <w:szCs w:val="21"/>
          <w:highlight w:val="none"/>
        </w:rPr>
        <w:t>商务技术</w:t>
      </w:r>
      <w:r>
        <w:rPr>
          <w:rFonts w:hint="eastAsia" w:hAnsi="宋体"/>
          <w:color w:val="auto"/>
          <w:highlight w:val="none"/>
        </w:rPr>
        <w:t>符合性检查：依据招标文件的规定，从</w:t>
      </w:r>
      <w:r>
        <w:rPr>
          <w:rFonts w:hint="eastAsia" w:hAnsi="宋体"/>
          <w:bCs/>
          <w:color w:val="auto"/>
          <w:szCs w:val="21"/>
          <w:highlight w:val="none"/>
        </w:rPr>
        <w:t>商务文件和技术</w:t>
      </w:r>
      <w:r>
        <w:rPr>
          <w:rFonts w:hint="eastAsia" w:hAnsi="宋体"/>
          <w:color w:val="auto"/>
          <w:highlight w:val="none"/>
        </w:rPr>
        <w:t>文件的有效性、完整性和对招标文件的响应程度进行审查，以确定是否对招标文件的实质性要求和条件作出响应。</w:t>
      </w:r>
    </w:p>
    <w:p>
      <w:pPr>
        <w:pStyle w:val="18"/>
        <w:spacing w:line="440" w:lineRule="exact"/>
        <w:ind w:firstLine="718" w:firstLineChars="342"/>
        <w:rPr>
          <w:rFonts w:hAnsi="宋体"/>
          <w:color w:val="auto"/>
          <w:szCs w:val="22"/>
          <w:highlight w:val="none"/>
        </w:rPr>
      </w:pPr>
      <w:r>
        <w:rPr>
          <w:rFonts w:hint="eastAsia" w:hAnsi="宋体"/>
          <w:color w:val="auto"/>
          <w:highlight w:val="none"/>
        </w:rPr>
        <w:t>(1)有</w:t>
      </w:r>
      <w:r>
        <w:rPr>
          <w:rFonts w:hint="eastAsia" w:hAnsi="宋体"/>
          <w:color w:val="auto"/>
          <w:szCs w:val="22"/>
          <w:highlight w:val="none"/>
        </w:rPr>
        <w:t>下列情形之一的视为投标人相互串通投标，投标文件将被视为无效。</w:t>
      </w:r>
    </w:p>
    <w:p>
      <w:pPr>
        <w:widowControl/>
        <w:spacing w:line="440" w:lineRule="exact"/>
        <w:ind w:firstLine="640"/>
        <w:jc w:val="left"/>
        <w:rPr>
          <w:rFonts w:ascii="宋体" w:hAnsi="宋体"/>
          <w:color w:val="auto"/>
          <w:szCs w:val="22"/>
          <w:highlight w:val="none"/>
        </w:rPr>
      </w:pPr>
      <w:r>
        <w:rPr>
          <w:rFonts w:hint="eastAsia" w:ascii="宋体" w:hAnsi="宋体"/>
          <w:color w:val="auto"/>
          <w:highlight w:val="none"/>
        </w:rPr>
        <w:t>①不同投标人的投标文件由同一单位或者个人编制；</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②不同投标人委托同一单位或者个人办理投标事宜;</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③不同的投标人的投标文件载明的项目管理员为同一个人;</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④不同投标人的投标文件异常一致或投标报价呈规律性差异;</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⑤不同投标人的投标文件相互混装;</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（2）关联供应商不得参加同一合同项下政府采购活动，否则投标文件将被视为无效</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单位负责人为同一人或者存在直接控股、管理关系的不同的供应商，不得参加同一合同项下的政府采购活动;</w:t>
      </w:r>
    </w:p>
    <w:p>
      <w:pPr>
        <w:pStyle w:val="18"/>
        <w:spacing w:line="440" w:lineRule="exact"/>
        <w:ind w:firstLine="420"/>
        <w:rPr>
          <w:rFonts w:hAnsi="宋体"/>
          <w:color w:val="auto"/>
          <w:highlight w:val="none"/>
        </w:rPr>
      </w:pPr>
      <w:r>
        <w:rPr>
          <w:rFonts w:hint="eastAsia" w:hAnsi="宋体"/>
          <w:color w:val="auto"/>
          <w:highlight w:val="none"/>
        </w:rPr>
        <w:t>18.4.3.2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8"/>
        <w:spacing w:line="440" w:lineRule="exact"/>
        <w:ind w:firstLine="420" w:firstLineChars="200"/>
        <w:rPr>
          <w:rFonts w:hAnsi="宋体"/>
          <w:color w:val="auto"/>
          <w:highlight w:val="none"/>
        </w:rPr>
      </w:pPr>
      <w:r>
        <w:rPr>
          <w:rFonts w:hint="eastAsia" w:hAnsi="宋体"/>
          <w:color w:val="auto"/>
          <w:highlight w:val="none"/>
        </w:rPr>
        <w:t>18.4.3.3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8"/>
        <w:spacing w:line="440" w:lineRule="exact"/>
        <w:ind w:firstLine="420" w:firstLineChars="200"/>
        <w:rPr>
          <w:rFonts w:hAnsi="宋体"/>
          <w:color w:val="auto"/>
          <w:highlight w:val="none"/>
        </w:rPr>
      </w:pPr>
      <w:r>
        <w:rPr>
          <w:rFonts w:hint="eastAsia" w:hAnsi="宋体"/>
          <w:color w:val="auto"/>
          <w:highlight w:val="none"/>
        </w:rPr>
        <w:t>18.4.3.4报价</w:t>
      </w:r>
      <w:r>
        <w:rPr>
          <w:rFonts w:hint="eastAsia" w:hAnsi="宋体"/>
          <w:bCs/>
          <w:color w:val="auto"/>
          <w:szCs w:val="21"/>
          <w:highlight w:val="none"/>
        </w:rPr>
        <w:t>符合性审查</w:t>
      </w:r>
      <w:r>
        <w:rPr>
          <w:rFonts w:hint="eastAsia" w:hAnsi="宋体"/>
          <w:color w:val="auto"/>
          <w:szCs w:val="21"/>
          <w:highlight w:val="none"/>
        </w:rPr>
        <w:t>。评标委员会对投标人的报价文件进行</w:t>
      </w:r>
      <w:r>
        <w:rPr>
          <w:rFonts w:hint="eastAsia" w:hAnsi="宋体"/>
          <w:bCs/>
          <w:color w:val="auto"/>
          <w:szCs w:val="21"/>
          <w:highlight w:val="none"/>
        </w:rPr>
        <w:t>符合性审查</w:t>
      </w:r>
      <w:r>
        <w:rPr>
          <w:rFonts w:hint="eastAsia" w:hAnsi="宋体"/>
          <w:color w:val="auto"/>
          <w:szCs w:val="21"/>
          <w:highlight w:val="none"/>
        </w:rPr>
        <w:t>。评标委员会认为投标人的报价明显低于其他通过</w:t>
      </w:r>
      <w:r>
        <w:rPr>
          <w:rFonts w:hint="eastAsia" w:hAnsi="宋体"/>
          <w:bCs/>
          <w:color w:val="auto"/>
          <w:szCs w:val="21"/>
          <w:highlight w:val="none"/>
        </w:rPr>
        <w:t>商务技术</w:t>
      </w:r>
      <w:r>
        <w:rPr>
          <w:rFonts w:hint="eastAsia" w:hAnsi="宋体"/>
          <w:color w:val="auto"/>
          <w:szCs w:val="21"/>
          <w:highlight w:val="none"/>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440" w:lineRule="exact"/>
        <w:ind w:firstLine="420"/>
        <w:rPr>
          <w:rFonts w:hAnsi="宋体"/>
          <w:color w:val="auto"/>
          <w:highlight w:val="none"/>
        </w:rPr>
      </w:pPr>
      <w:r>
        <w:rPr>
          <w:rFonts w:hint="eastAsia" w:hAnsi="宋体"/>
          <w:color w:val="auto"/>
          <w:highlight w:val="none"/>
        </w:rPr>
        <w:t>18.4.3.5编写评标报告，并确定中标供应商名单。</w:t>
      </w:r>
    </w:p>
    <w:p>
      <w:pPr>
        <w:pStyle w:val="18"/>
        <w:spacing w:line="440" w:lineRule="exact"/>
        <w:ind w:firstLine="420" w:firstLineChars="200"/>
        <w:rPr>
          <w:rFonts w:hAnsi="宋体"/>
          <w:bCs/>
          <w:color w:val="auto"/>
          <w:highlight w:val="none"/>
        </w:rPr>
      </w:pPr>
      <w:r>
        <w:rPr>
          <w:rFonts w:hint="eastAsia" w:hAnsi="宋体"/>
          <w:color w:val="auto"/>
          <w:highlight w:val="none"/>
        </w:rPr>
        <w:t>18.4.4  采购代理机构对评标过程和评分、评标结论进行核对和复核，如有错漏，请当事评委进行校正，按校正后的结果确定中标供应商。</w:t>
      </w:r>
    </w:p>
    <w:p>
      <w:pPr>
        <w:pStyle w:val="18"/>
        <w:spacing w:line="440" w:lineRule="exact"/>
        <w:ind w:firstLine="420" w:firstLineChars="200"/>
        <w:rPr>
          <w:rFonts w:hAnsi="宋体"/>
          <w:bCs/>
          <w:color w:val="auto"/>
          <w:highlight w:val="none"/>
        </w:rPr>
      </w:pPr>
      <w:r>
        <w:rPr>
          <w:rFonts w:hint="eastAsia" w:hAnsi="宋体"/>
          <w:color w:val="auto"/>
          <w:highlight w:val="none"/>
        </w:rPr>
        <w:t>18.5  在确定中标供应商前，采购人或采购代理机构不得与投标供应商就投标价格、投标方案等实质性内容进行谈判。</w:t>
      </w:r>
    </w:p>
    <w:p>
      <w:pPr>
        <w:pStyle w:val="18"/>
        <w:spacing w:line="440" w:lineRule="exact"/>
        <w:ind w:firstLine="420" w:firstLineChars="200"/>
        <w:rPr>
          <w:rFonts w:hAnsi="宋体"/>
          <w:bCs/>
          <w:color w:val="auto"/>
          <w:highlight w:val="none"/>
        </w:rPr>
      </w:pPr>
      <w:r>
        <w:rPr>
          <w:rFonts w:hint="eastAsia" w:hAnsi="宋体"/>
          <w:color w:val="auto"/>
          <w:highlight w:val="none"/>
        </w:rPr>
        <w:t>18.6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8"/>
        <w:spacing w:line="440" w:lineRule="exact"/>
        <w:rPr>
          <w:bCs/>
          <w:color w:val="auto"/>
          <w:sz w:val="24"/>
          <w:highlight w:val="none"/>
        </w:rPr>
      </w:pPr>
      <w:r>
        <w:rPr>
          <w:rFonts w:hint="eastAsia"/>
          <w:bCs/>
          <w:color w:val="auto"/>
          <w:sz w:val="24"/>
          <w:highlight w:val="none"/>
        </w:rPr>
        <w:t>19.  投标文件的修正</w:t>
      </w:r>
    </w:p>
    <w:p>
      <w:pPr>
        <w:pStyle w:val="18"/>
        <w:spacing w:line="360" w:lineRule="auto"/>
        <w:ind w:firstLine="420" w:firstLineChars="200"/>
        <w:rPr>
          <w:rFonts w:hAnsi="宋体"/>
          <w:color w:val="auto"/>
          <w:highlight w:val="none"/>
        </w:rPr>
      </w:pPr>
      <w:r>
        <w:rPr>
          <w:rFonts w:hint="eastAsia" w:hAnsi="宋体"/>
          <w:color w:val="auto"/>
          <w:highlight w:val="none"/>
        </w:rPr>
        <w:t>19.1  投标文件报价出现前后不一致的，修正的原则如下：</w:t>
      </w:r>
    </w:p>
    <w:p>
      <w:pPr>
        <w:pStyle w:val="18"/>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18"/>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pStyle w:val="18"/>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18"/>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pStyle w:val="18"/>
        <w:spacing w:line="440" w:lineRule="exact"/>
        <w:ind w:firstLine="360"/>
        <w:rPr>
          <w:rFonts w:hAnsi="宋体"/>
          <w:color w:val="auto"/>
          <w:highlight w:val="none"/>
        </w:rPr>
      </w:pPr>
      <w:r>
        <w:rPr>
          <w:rFonts w:hint="eastAsia" w:hAnsi="宋体"/>
          <w:color w:val="auto"/>
          <w:highlight w:val="none"/>
        </w:rPr>
        <w:t>19.2同时出现两种以上不一致的，按照本条款规定的顺序修正。修正后的报价按照本章</w:t>
      </w:r>
      <w:r>
        <w:rPr>
          <w:rFonts w:hAnsi="宋体"/>
          <w:color w:val="auto"/>
          <w:highlight w:val="none"/>
        </w:rPr>
        <w:t>17.4.3.2</w:t>
      </w:r>
      <w:r>
        <w:rPr>
          <w:rFonts w:hint="eastAsia" w:hAnsi="宋体"/>
          <w:color w:val="auto"/>
          <w:highlight w:val="none"/>
        </w:rPr>
        <w:t>的规定经投标人确认后产生约束力，投标人不确认的，其投标无效。</w:t>
      </w:r>
    </w:p>
    <w:p>
      <w:pPr>
        <w:pStyle w:val="18"/>
        <w:spacing w:line="440" w:lineRule="exact"/>
        <w:rPr>
          <w:rFonts w:hAnsi="宋体"/>
          <w:b/>
          <w:bCs/>
          <w:color w:val="auto"/>
          <w:sz w:val="24"/>
          <w:highlight w:val="none"/>
        </w:rPr>
      </w:pPr>
      <w:r>
        <w:rPr>
          <w:rFonts w:hint="eastAsia" w:hAnsi="宋体"/>
          <w:color w:val="auto"/>
          <w:highlight w:val="none"/>
        </w:rPr>
        <w:t>20</w:t>
      </w:r>
      <w:r>
        <w:rPr>
          <w:rFonts w:hint="eastAsia" w:hAnsi="宋体"/>
          <w:b/>
          <w:bCs/>
          <w:color w:val="auto"/>
          <w:sz w:val="24"/>
          <w:highlight w:val="none"/>
        </w:rPr>
        <w:t>.  拒绝接收</w:t>
      </w:r>
    </w:p>
    <w:p>
      <w:pPr>
        <w:pStyle w:val="18"/>
        <w:spacing w:line="440" w:lineRule="exact"/>
        <w:ind w:firstLine="720"/>
        <w:rPr>
          <w:rFonts w:hAnsi="宋体"/>
          <w:color w:val="auto"/>
          <w:highlight w:val="none"/>
        </w:rPr>
      </w:pPr>
      <w:r>
        <w:rPr>
          <w:rFonts w:hint="eastAsia"/>
          <w:color w:val="auto"/>
          <w:highlight w:val="none"/>
        </w:rPr>
        <w:t xml:space="preserve">19.1  </w:t>
      </w:r>
      <w:r>
        <w:rPr>
          <w:rFonts w:hint="eastAsia" w:hAnsi="宋体"/>
          <w:color w:val="auto"/>
          <w:highlight w:val="none"/>
        </w:rPr>
        <w:t>投标人</w:t>
      </w:r>
      <w:r>
        <w:rPr>
          <w:rFonts w:hint="eastAsia"/>
          <w:color w:val="auto"/>
          <w:highlight w:val="none"/>
        </w:rPr>
        <w:t>未在本章第15.1项规定的时间之前将投标文件送达至本章第15.2项指定地点的</w:t>
      </w:r>
      <w:r>
        <w:rPr>
          <w:rFonts w:hint="eastAsia" w:hAnsi="宋体"/>
          <w:color w:val="auto"/>
          <w:highlight w:val="none"/>
        </w:rPr>
        <w:t>，采购代理机构应当拒绝接收该投标人的投标文件。</w:t>
      </w:r>
    </w:p>
    <w:p>
      <w:pPr>
        <w:pStyle w:val="18"/>
        <w:spacing w:line="440" w:lineRule="exact"/>
        <w:ind w:firstLine="720"/>
        <w:rPr>
          <w:rFonts w:hAnsi="宋体"/>
          <w:color w:val="auto"/>
          <w:highlight w:val="none"/>
        </w:rPr>
      </w:pPr>
      <w:r>
        <w:rPr>
          <w:rFonts w:hint="eastAsia"/>
          <w:color w:val="auto"/>
          <w:highlight w:val="none"/>
        </w:rPr>
        <w:t xml:space="preserve">19.2  </w:t>
      </w:r>
      <w:r>
        <w:rPr>
          <w:rFonts w:hint="eastAsia" w:hAnsi="宋体"/>
          <w:color w:val="auto"/>
          <w:highlight w:val="none"/>
        </w:rPr>
        <w:t>投标人</w:t>
      </w:r>
      <w:r>
        <w:rPr>
          <w:rFonts w:hint="eastAsia"/>
          <w:color w:val="auto"/>
          <w:highlight w:val="none"/>
        </w:rPr>
        <w:t>未在本章第15.3项规定的</w:t>
      </w:r>
      <w:r>
        <w:rPr>
          <w:rFonts w:hint="eastAsia" w:hAnsi="宋体"/>
          <w:color w:val="auto"/>
          <w:highlight w:val="none"/>
        </w:rPr>
        <w:t>时间</w:t>
      </w:r>
      <w:r>
        <w:rPr>
          <w:rFonts w:hint="eastAsia"/>
          <w:color w:val="auto"/>
          <w:highlight w:val="none"/>
        </w:rPr>
        <w:t>之前将投标样品送达至本章第15.4项指定地点的</w:t>
      </w:r>
      <w:r>
        <w:rPr>
          <w:rFonts w:hint="eastAsia" w:hAnsi="宋体"/>
          <w:color w:val="auto"/>
          <w:highlight w:val="none"/>
        </w:rPr>
        <w:t>，将拒绝接收该投标人的投标样品。</w:t>
      </w:r>
    </w:p>
    <w:p>
      <w:pPr>
        <w:pStyle w:val="18"/>
        <w:spacing w:line="440" w:lineRule="exact"/>
        <w:rPr>
          <w:rFonts w:hAnsi="宋体"/>
          <w:b/>
          <w:bCs/>
          <w:color w:val="auto"/>
          <w:sz w:val="24"/>
          <w:highlight w:val="none"/>
        </w:rPr>
      </w:pPr>
      <w:r>
        <w:rPr>
          <w:rFonts w:hint="eastAsia" w:hAnsi="宋体"/>
          <w:b/>
          <w:bCs/>
          <w:color w:val="auto"/>
          <w:sz w:val="24"/>
          <w:highlight w:val="none"/>
        </w:rPr>
        <w:t>21.  无效投标</w:t>
      </w:r>
    </w:p>
    <w:p>
      <w:pPr>
        <w:pStyle w:val="18"/>
        <w:spacing w:line="440" w:lineRule="exact"/>
        <w:ind w:firstLine="359" w:firstLineChars="171"/>
        <w:rPr>
          <w:rFonts w:hAnsi="宋体"/>
          <w:color w:val="auto"/>
          <w:highlight w:val="none"/>
        </w:rPr>
      </w:pPr>
      <w:r>
        <w:rPr>
          <w:rFonts w:hint="eastAsia" w:hAnsi="宋体"/>
          <w:color w:val="auto"/>
          <w:highlight w:val="none"/>
        </w:rPr>
        <w:t>21.1  属下列情形之一的，投标人的投标无效：</w:t>
      </w:r>
    </w:p>
    <w:p>
      <w:pPr>
        <w:pStyle w:val="18"/>
        <w:spacing w:line="440" w:lineRule="exact"/>
        <w:ind w:firstLine="718" w:firstLineChars="342"/>
        <w:rPr>
          <w:rFonts w:hAnsi="宋体"/>
          <w:color w:val="auto"/>
          <w:highlight w:val="none"/>
        </w:rPr>
      </w:pPr>
      <w:r>
        <w:rPr>
          <w:rFonts w:hint="eastAsia" w:hAnsi="宋体"/>
          <w:color w:val="auto"/>
          <w:highlight w:val="none"/>
        </w:rPr>
        <w:t>实质上没有响应招标文件要求的投标将被视为无效投标。</w:t>
      </w:r>
    </w:p>
    <w:p>
      <w:pPr>
        <w:pStyle w:val="18"/>
        <w:spacing w:line="440" w:lineRule="exact"/>
        <w:ind w:firstLine="424" w:firstLineChars="202"/>
        <w:rPr>
          <w:rFonts w:hAnsi="宋体"/>
          <w:color w:val="auto"/>
          <w:highlight w:val="none"/>
        </w:rPr>
      </w:pPr>
      <w:r>
        <w:rPr>
          <w:rFonts w:hint="eastAsia" w:hAnsi="宋体"/>
          <w:color w:val="auto"/>
          <w:highlight w:val="none"/>
        </w:rPr>
        <w:t>21.1.1在资格、符合性审查和商务评审时，如发现下列情形之一的，投标文件将被视为无效：</w:t>
      </w:r>
    </w:p>
    <w:p>
      <w:pPr>
        <w:pStyle w:val="18"/>
        <w:spacing w:line="440" w:lineRule="exact"/>
        <w:ind w:firstLine="718" w:firstLineChars="342"/>
        <w:rPr>
          <w:rFonts w:hAnsi="宋体"/>
          <w:color w:val="auto"/>
          <w:highlight w:val="none"/>
        </w:rPr>
      </w:pPr>
      <w:r>
        <w:rPr>
          <w:rFonts w:hint="eastAsia" w:hAnsi="宋体"/>
          <w:color w:val="auto"/>
          <w:highlight w:val="none"/>
        </w:rPr>
        <w:t>（1）超越了按照法律法规规定必须获得行政许可证或者行政审批的经营范围的；</w:t>
      </w:r>
    </w:p>
    <w:p>
      <w:pPr>
        <w:pStyle w:val="18"/>
        <w:spacing w:line="440" w:lineRule="exact"/>
        <w:ind w:firstLine="718" w:firstLineChars="342"/>
        <w:rPr>
          <w:rFonts w:hAnsi="宋体"/>
          <w:color w:val="auto"/>
          <w:highlight w:val="none"/>
        </w:rPr>
      </w:pPr>
      <w:r>
        <w:rPr>
          <w:rFonts w:hint="eastAsia" w:hAnsi="宋体"/>
          <w:color w:val="auto"/>
          <w:highlight w:val="none"/>
        </w:rPr>
        <w:t>（2）资格证明文件不全的，或者不具备招标文件中规定的资格要求的；</w:t>
      </w:r>
    </w:p>
    <w:p>
      <w:pPr>
        <w:pStyle w:val="18"/>
        <w:spacing w:line="440" w:lineRule="exact"/>
        <w:ind w:firstLine="718" w:firstLineChars="342"/>
        <w:rPr>
          <w:rFonts w:hAnsi="宋体"/>
          <w:color w:val="auto"/>
          <w:highlight w:val="none"/>
        </w:rPr>
      </w:pPr>
      <w:r>
        <w:rPr>
          <w:rFonts w:hint="eastAsia" w:hAnsi="宋体"/>
          <w:color w:val="auto"/>
          <w:highlight w:val="none"/>
        </w:rPr>
        <w:t>（3）投标文件无法定代表人或其授权委托代理人签字,或未提供法定代表人身份证明、法定代表人授权委托书；</w:t>
      </w:r>
    </w:p>
    <w:p>
      <w:pPr>
        <w:pStyle w:val="18"/>
        <w:spacing w:line="440" w:lineRule="exact"/>
        <w:ind w:firstLine="718" w:firstLineChars="342"/>
        <w:rPr>
          <w:rFonts w:hAnsi="宋体"/>
          <w:color w:val="auto"/>
          <w:highlight w:val="none"/>
        </w:rPr>
      </w:pPr>
      <w:r>
        <w:rPr>
          <w:rFonts w:hint="eastAsia" w:hAnsi="宋体"/>
          <w:color w:val="auto"/>
          <w:highlight w:val="none"/>
        </w:rPr>
        <w:t xml:space="preserve">（4）投标代表人未能出具有效身份证明或与法定代表人授权委托人身份不符的； </w:t>
      </w:r>
    </w:p>
    <w:p>
      <w:pPr>
        <w:pStyle w:val="18"/>
        <w:spacing w:line="440" w:lineRule="exact"/>
        <w:ind w:firstLine="718" w:firstLineChars="342"/>
        <w:rPr>
          <w:rFonts w:hAnsi="宋体"/>
          <w:color w:val="auto"/>
          <w:highlight w:val="none"/>
        </w:rPr>
      </w:pPr>
      <w:r>
        <w:rPr>
          <w:rFonts w:hint="eastAsia" w:hAnsi="宋体"/>
          <w:color w:val="auto"/>
          <w:highlight w:val="none"/>
        </w:rPr>
        <w:t>（5）项目填写不齐全或者内容虚假的；</w:t>
      </w:r>
    </w:p>
    <w:p>
      <w:pPr>
        <w:pStyle w:val="18"/>
        <w:spacing w:line="440" w:lineRule="exact"/>
        <w:ind w:firstLine="718" w:firstLineChars="342"/>
        <w:rPr>
          <w:rFonts w:hAnsi="宋体"/>
          <w:color w:val="auto"/>
          <w:highlight w:val="none"/>
        </w:rPr>
      </w:pPr>
      <w:r>
        <w:rPr>
          <w:rFonts w:hint="eastAsia" w:hAnsi="宋体"/>
          <w:color w:val="auto"/>
          <w:highlight w:val="none"/>
        </w:rPr>
        <w:t>（6）投标文件的实质性内容未使用中文表述、意思表述不明确、前后矛盾或者使用计量单位不符合招标文件要求的（经评标委员会认定并允许其当场更正的笔误除外）</w:t>
      </w:r>
    </w:p>
    <w:p>
      <w:pPr>
        <w:pStyle w:val="18"/>
        <w:spacing w:line="440" w:lineRule="exact"/>
        <w:ind w:firstLine="718" w:firstLineChars="342"/>
        <w:rPr>
          <w:rFonts w:hAnsi="宋体"/>
          <w:color w:val="auto"/>
          <w:highlight w:val="none"/>
        </w:rPr>
      </w:pPr>
      <w:r>
        <w:rPr>
          <w:rFonts w:hint="eastAsia" w:hAnsi="宋体"/>
          <w:color w:val="auto"/>
          <w:highlight w:val="none"/>
        </w:rPr>
        <w:t>（7）投标有效期、服务期限时间、质保期、服务等商务条款不能满足招标文件要求的；</w:t>
      </w:r>
    </w:p>
    <w:p>
      <w:pPr>
        <w:pStyle w:val="18"/>
        <w:spacing w:line="440" w:lineRule="exact"/>
        <w:ind w:firstLine="718" w:firstLineChars="342"/>
        <w:rPr>
          <w:rFonts w:hAnsi="宋体"/>
          <w:color w:val="auto"/>
          <w:highlight w:val="none"/>
        </w:rPr>
      </w:pPr>
      <w:r>
        <w:rPr>
          <w:rFonts w:hint="eastAsia" w:hAnsi="宋体"/>
          <w:color w:val="auto"/>
          <w:highlight w:val="none"/>
        </w:rPr>
        <w:t>（8）未实质性响应招标文件要求或者投标文件含有采购人不能接受的附加条件的；</w:t>
      </w:r>
    </w:p>
    <w:p>
      <w:pPr>
        <w:pStyle w:val="18"/>
        <w:spacing w:line="440" w:lineRule="exact"/>
        <w:ind w:firstLine="718" w:firstLineChars="342"/>
        <w:rPr>
          <w:rFonts w:hAnsi="宋体"/>
          <w:color w:val="auto"/>
          <w:highlight w:val="none"/>
        </w:rPr>
      </w:pPr>
      <w:r>
        <w:rPr>
          <w:rFonts w:hint="eastAsia" w:hAnsi="宋体"/>
          <w:color w:val="auto"/>
          <w:highlight w:val="none"/>
        </w:rPr>
        <w:t>（9）未按照招标文件的规定提交投标保证金的；</w:t>
      </w:r>
    </w:p>
    <w:p>
      <w:pPr>
        <w:pStyle w:val="18"/>
        <w:spacing w:line="440" w:lineRule="exact"/>
        <w:ind w:firstLine="718" w:firstLineChars="342"/>
        <w:rPr>
          <w:rFonts w:hAnsi="宋体"/>
          <w:color w:val="auto"/>
          <w:highlight w:val="none"/>
        </w:rPr>
      </w:pPr>
      <w:r>
        <w:rPr>
          <w:rFonts w:hint="eastAsia" w:hAnsi="宋体"/>
          <w:color w:val="auto"/>
          <w:highlight w:val="none"/>
        </w:rPr>
        <w:t>（10）投标文件未按招标文件要求签署、盖章的；</w:t>
      </w:r>
    </w:p>
    <w:p>
      <w:pPr>
        <w:pStyle w:val="18"/>
        <w:spacing w:line="440" w:lineRule="exact"/>
        <w:ind w:firstLine="718" w:firstLineChars="342"/>
        <w:rPr>
          <w:rFonts w:hAnsi="宋体"/>
          <w:color w:val="auto"/>
          <w:highlight w:val="none"/>
        </w:rPr>
      </w:pPr>
      <w:r>
        <w:rPr>
          <w:rFonts w:hint="eastAsia" w:hAnsi="宋体"/>
          <w:color w:val="auto"/>
          <w:highlight w:val="none"/>
        </w:rPr>
        <w:t>（11）法律、法规和招标文件规定的其他无效情形。</w:t>
      </w:r>
    </w:p>
    <w:p>
      <w:pPr>
        <w:pStyle w:val="18"/>
        <w:spacing w:line="440" w:lineRule="exact"/>
        <w:ind w:firstLine="424" w:firstLineChars="202"/>
        <w:rPr>
          <w:rFonts w:hAnsi="宋体"/>
          <w:color w:val="auto"/>
          <w:highlight w:val="none"/>
        </w:rPr>
      </w:pPr>
      <w:r>
        <w:rPr>
          <w:rFonts w:hint="eastAsia" w:hAnsi="宋体"/>
          <w:color w:val="auto"/>
          <w:highlight w:val="none"/>
        </w:rPr>
        <w:t>21.1.2在技术评审时，如发现下列情形之一的，投标文件将被视为无效：</w:t>
      </w:r>
    </w:p>
    <w:p>
      <w:pPr>
        <w:pStyle w:val="18"/>
        <w:spacing w:line="440" w:lineRule="exact"/>
        <w:ind w:firstLine="718" w:firstLineChars="342"/>
        <w:rPr>
          <w:rFonts w:hAnsi="宋体"/>
          <w:color w:val="auto"/>
          <w:highlight w:val="none"/>
        </w:rPr>
      </w:pPr>
      <w:r>
        <w:rPr>
          <w:rFonts w:hint="eastAsia" w:hAnsi="宋体"/>
          <w:color w:val="auto"/>
          <w:highlight w:val="none"/>
        </w:rPr>
        <w:t>（1）未提供或未如实提供投标货物的技术参数，或者投标文件标明的响应或偏离与事实不符或虚假投标的；</w:t>
      </w:r>
    </w:p>
    <w:p>
      <w:pPr>
        <w:pStyle w:val="18"/>
        <w:spacing w:line="440" w:lineRule="exact"/>
        <w:ind w:firstLine="718" w:firstLineChars="342"/>
        <w:rPr>
          <w:rFonts w:hAnsi="宋体"/>
          <w:color w:val="auto"/>
          <w:highlight w:val="none"/>
        </w:rPr>
      </w:pPr>
      <w:r>
        <w:rPr>
          <w:rFonts w:hint="eastAsia" w:hAnsi="宋体"/>
          <w:color w:val="auto"/>
          <w:highlight w:val="none"/>
        </w:rPr>
        <w:t>（2）明显不符合招标文件要求的技术规格、安全、质量标准，或者与招标文件中标“★”的技术指标、主要功能项目发生实质性负偏离的；</w:t>
      </w:r>
    </w:p>
    <w:p>
      <w:pPr>
        <w:pStyle w:val="18"/>
        <w:spacing w:line="440" w:lineRule="exact"/>
        <w:ind w:firstLine="718" w:firstLineChars="342"/>
        <w:rPr>
          <w:rFonts w:hAnsi="宋体"/>
          <w:color w:val="auto"/>
          <w:highlight w:val="none"/>
        </w:rPr>
      </w:pPr>
      <w:r>
        <w:rPr>
          <w:rFonts w:hint="eastAsia" w:hAnsi="宋体"/>
          <w:color w:val="auto"/>
          <w:highlight w:val="none"/>
        </w:rPr>
        <w:t>（3）允许偏离的技术、性能指标或者辅助功能项目发生负偏离超出允许负偏离的数量的。</w:t>
      </w:r>
    </w:p>
    <w:p>
      <w:pPr>
        <w:pStyle w:val="18"/>
        <w:spacing w:line="440" w:lineRule="exact"/>
        <w:ind w:firstLine="718" w:firstLineChars="342"/>
        <w:rPr>
          <w:rFonts w:hAnsi="宋体"/>
          <w:color w:val="auto"/>
          <w:highlight w:val="none"/>
        </w:rPr>
      </w:pPr>
      <w:r>
        <w:rPr>
          <w:rFonts w:hint="eastAsia" w:hAnsi="宋体"/>
          <w:color w:val="auto"/>
          <w:highlight w:val="none"/>
        </w:rPr>
        <w:t>（4）投标技术方案不明确，存在一个或一个以上备选（替代）投标方案的；</w:t>
      </w:r>
    </w:p>
    <w:p>
      <w:pPr>
        <w:pStyle w:val="18"/>
        <w:spacing w:line="440" w:lineRule="exact"/>
        <w:ind w:firstLine="718" w:firstLineChars="342"/>
        <w:rPr>
          <w:rFonts w:hAnsi="宋体"/>
          <w:color w:val="auto"/>
          <w:highlight w:val="none"/>
        </w:rPr>
      </w:pPr>
      <w:r>
        <w:rPr>
          <w:rFonts w:hint="eastAsia" w:hAnsi="宋体"/>
          <w:color w:val="auto"/>
          <w:highlight w:val="none"/>
        </w:rPr>
        <w:t>（5）与其他参加本次投标供应商的投标文件（技术文件）的文字表述内容差错相同二处以上的；</w:t>
      </w:r>
    </w:p>
    <w:p>
      <w:pPr>
        <w:pStyle w:val="18"/>
        <w:spacing w:line="440" w:lineRule="exact"/>
        <w:ind w:firstLine="424" w:firstLineChars="202"/>
        <w:rPr>
          <w:rFonts w:hAnsi="宋体"/>
          <w:color w:val="auto"/>
          <w:highlight w:val="none"/>
        </w:rPr>
      </w:pPr>
      <w:r>
        <w:rPr>
          <w:rFonts w:hint="eastAsia" w:hAnsi="宋体"/>
          <w:color w:val="auto"/>
          <w:highlight w:val="none"/>
        </w:rPr>
        <w:t>21.1.3在报价评审时，如发现下列情形之一的，投标文件将被视为无效：</w:t>
      </w:r>
    </w:p>
    <w:p>
      <w:pPr>
        <w:pStyle w:val="18"/>
        <w:spacing w:line="440" w:lineRule="exact"/>
        <w:ind w:firstLine="718" w:firstLineChars="342"/>
        <w:rPr>
          <w:rFonts w:hAnsi="宋体"/>
          <w:color w:val="auto"/>
          <w:highlight w:val="none"/>
        </w:rPr>
      </w:pPr>
      <w:r>
        <w:rPr>
          <w:rFonts w:hint="eastAsia" w:hAnsi="宋体"/>
          <w:color w:val="auto"/>
          <w:highlight w:val="none"/>
        </w:rPr>
        <w:t>（1）未采用人民币报价或者未按照招标文件标明的币种报价的；</w:t>
      </w:r>
    </w:p>
    <w:p>
      <w:pPr>
        <w:pStyle w:val="18"/>
        <w:spacing w:line="440" w:lineRule="exact"/>
        <w:ind w:firstLine="718" w:firstLineChars="342"/>
        <w:rPr>
          <w:rFonts w:hAnsi="宋体"/>
          <w:color w:val="auto"/>
          <w:highlight w:val="none"/>
        </w:rPr>
      </w:pPr>
      <w:r>
        <w:rPr>
          <w:rFonts w:hint="eastAsia" w:hAnsi="宋体"/>
          <w:color w:val="auto"/>
          <w:highlight w:val="none"/>
        </w:rPr>
        <w:t>（2）报价超出招标文件规定最高限价，或者超出预算金额的；</w:t>
      </w:r>
    </w:p>
    <w:p>
      <w:pPr>
        <w:pStyle w:val="18"/>
        <w:spacing w:line="440" w:lineRule="exact"/>
        <w:ind w:firstLine="718" w:firstLineChars="342"/>
        <w:rPr>
          <w:rFonts w:hAnsi="宋体"/>
          <w:color w:val="auto"/>
          <w:highlight w:val="none"/>
        </w:rPr>
      </w:pPr>
      <w:r>
        <w:rPr>
          <w:rFonts w:hint="eastAsia" w:hAnsi="宋体"/>
          <w:color w:val="auto"/>
          <w:highlight w:val="none"/>
        </w:rPr>
        <w:t>（3）具有选择性投标报价的；</w:t>
      </w:r>
    </w:p>
    <w:p>
      <w:pPr>
        <w:pStyle w:val="18"/>
        <w:spacing w:line="440" w:lineRule="exact"/>
        <w:ind w:firstLine="718" w:firstLineChars="342"/>
        <w:rPr>
          <w:rFonts w:hAnsi="宋体"/>
          <w:color w:val="auto"/>
          <w:highlight w:val="none"/>
        </w:rPr>
      </w:pPr>
      <w:r>
        <w:rPr>
          <w:rFonts w:hint="eastAsia" w:hAnsi="宋体"/>
          <w:color w:val="auto"/>
          <w:highlight w:val="none"/>
        </w:rPr>
        <w:t>（4）投标人未就所投分标的全部内容作完整唯一报价的，或有漏项报价的或有选择的或有条件的报价的。</w:t>
      </w:r>
    </w:p>
    <w:p>
      <w:pPr>
        <w:pStyle w:val="18"/>
        <w:spacing w:line="440" w:lineRule="exact"/>
        <w:rPr>
          <w:rFonts w:hAnsi="宋体"/>
          <w:color w:val="auto"/>
          <w:highlight w:val="none"/>
        </w:rPr>
      </w:pPr>
      <w:r>
        <w:rPr>
          <w:rFonts w:hint="eastAsia" w:hAnsi="宋体"/>
          <w:color w:val="auto"/>
          <w:highlight w:val="none"/>
        </w:rPr>
        <w:t xml:space="preserve">   21.2  有下列情形之一的视为投标人相互串通投标，投标文件将被视为无效：</w:t>
      </w:r>
    </w:p>
    <w:p>
      <w:pPr>
        <w:pStyle w:val="18"/>
        <w:spacing w:line="440" w:lineRule="exact"/>
        <w:ind w:firstLine="735" w:firstLineChars="350"/>
        <w:rPr>
          <w:rFonts w:hAnsi="宋体"/>
          <w:color w:val="auto"/>
          <w:highlight w:val="none"/>
        </w:rPr>
      </w:pPr>
      <w:r>
        <w:rPr>
          <w:rFonts w:hint="eastAsia" w:hAnsi="宋体"/>
          <w:color w:val="auto"/>
          <w:highlight w:val="none"/>
        </w:rPr>
        <w:t>（1）不同投标人的投标文件由同一单位或者个人编制；或不同投标人报名的IP地址一致的；</w:t>
      </w:r>
    </w:p>
    <w:p>
      <w:pPr>
        <w:pStyle w:val="18"/>
        <w:spacing w:line="440" w:lineRule="exact"/>
        <w:ind w:firstLine="735" w:firstLineChars="350"/>
        <w:rPr>
          <w:rFonts w:hAnsi="宋体"/>
          <w:color w:val="auto"/>
          <w:highlight w:val="none"/>
        </w:rPr>
      </w:pPr>
      <w:r>
        <w:rPr>
          <w:rFonts w:hint="eastAsia" w:hAnsi="宋体"/>
          <w:color w:val="auto"/>
          <w:highlight w:val="none"/>
        </w:rPr>
        <w:t>（2）不同投标人委托同一单位或者个人办理投标事宜；</w:t>
      </w:r>
    </w:p>
    <w:p>
      <w:pPr>
        <w:pStyle w:val="18"/>
        <w:spacing w:line="440" w:lineRule="exact"/>
        <w:ind w:firstLine="735" w:firstLineChars="350"/>
        <w:rPr>
          <w:rFonts w:hAnsi="宋体"/>
          <w:color w:val="auto"/>
          <w:highlight w:val="none"/>
        </w:rPr>
      </w:pPr>
      <w:r>
        <w:rPr>
          <w:rFonts w:hint="eastAsia" w:hAnsi="宋体"/>
          <w:color w:val="auto"/>
          <w:highlight w:val="none"/>
        </w:rPr>
        <w:t>（3）不同的投标人的投标文件载明的项目管理员为同一个人；</w:t>
      </w:r>
    </w:p>
    <w:p>
      <w:pPr>
        <w:pStyle w:val="18"/>
        <w:spacing w:line="440" w:lineRule="exact"/>
        <w:ind w:firstLine="735" w:firstLineChars="350"/>
        <w:rPr>
          <w:rFonts w:hAnsi="宋体"/>
          <w:color w:val="auto"/>
          <w:highlight w:val="none"/>
        </w:rPr>
      </w:pPr>
      <w:r>
        <w:rPr>
          <w:rFonts w:hint="eastAsia" w:hAnsi="宋体"/>
          <w:color w:val="auto"/>
          <w:highlight w:val="none"/>
        </w:rPr>
        <w:t>（4）不同投标人的投标文件异常一致或投标报价呈规律性差异；</w:t>
      </w:r>
    </w:p>
    <w:p>
      <w:pPr>
        <w:pStyle w:val="18"/>
        <w:spacing w:line="440" w:lineRule="exact"/>
        <w:ind w:firstLine="735" w:firstLineChars="350"/>
        <w:rPr>
          <w:rFonts w:hAnsi="宋体"/>
          <w:color w:val="auto"/>
          <w:highlight w:val="none"/>
        </w:rPr>
      </w:pPr>
      <w:r>
        <w:rPr>
          <w:rFonts w:hint="eastAsia" w:hAnsi="宋体"/>
          <w:color w:val="auto"/>
          <w:highlight w:val="none"/>
        </w:rPr>
        <w:t>（5）不同投标人的投标文件相互混装；</w:t>
      </w:r>
    </w:p>
    <w:p>
      <w:pPr>
        <w:pStyle w:val="18"/>
        <w:spacing w:line="440" w:lineRule="exact"/>
        <w:ind w:firstLine="735" w:firstLineChars="350"/>
        <w:rPr>
          <w:rFonts w:hAnsi="宋体"/>
          <w:color w:val="auto"/>
          <w:highlight w:val="none"/>
        </w:rPr>
      </w:pPr>
      <w:r>
        <w:rPr>
          <w:rFonts w:hint="eastAsia" w:hAnsi="宋体"/>
          <w:color w:val="auto"/>
          <w:highlight w:val="none"/>
        </w:rPr>
        <w:t>（6）不同投标人的投标保证金从同一单位或者个人账户转出。</w:t>
      </w:r>
    </w:p>
    <w:p>
      <w:pPr>
        <w:pStyle w:val="18"/>
        <w:spacing w:line="440" w:lineRule="exact"/>
        <w:rPr>
          <w:rFonts w:hAnsi="宋体"/>
          <w:b/>
          <w:bCs/>
          <w:color w:val="auto"/>
          <w:sz w:val="24"/>
          <w:highlight w:val="none"/>
        </w:rPr>
      </w:pPr>
      <w:r>
        <w:rPr>
          <w:rFonts w:hint="eastAsia" w:hAnsi="宋体"/>
          <w:b/>
          <w:bCs/>
          <w:color w:val="auto"/>
          <w:sz w:val="24"/>
          <w:highlight w:val="none"/>
        </w:rPr>
        <w:t>22.  废标</w:t>
      </w:r>
    </w:p>
    <w:p>
      <w:pPr>
        <w:pStyle w:val="18"/>
        <w:spacing w:line="440" w:lineRule="exact"/>
        <w:ind w:firstLine="359" w:firstLineChars="171"/>
        <w:rPr>
          <w:rFonts w:hAnsi="宋体"/>
          <w:color w:val="auto"/>
          <w:highlight w:val="none"/>
        </w:rPr>
      </w:pPr>
      <w:r>
        <w:rPr>
          <w:rFonts w:hint="eastAsia" w:hAnsi="宋体"/>
          <w:color w:val="auto"/>
          <w:highlight w:val="none"/>
        </w:rPr>
        <w:t>22.1  在招标过程中，出现下列情形之一的，予以废标：</w:t>
      </w:r>
    </w:p>
    <w:p>
      <w:pPr>
        <w:pStyle w:val="18"/>
        <w:spacing w:line="440" w:lineRule="exact"/>
        <w:ind w:firstLine="359" w:firstLineChars="171"/>
        <w:rPr>
          <w:rFonts w:hAnsi="宋体"/>
          <w:color w:val="auto"/>
          <w:highlight w:val="none"/>
        </w:rPr>
      </w:pPr>
      <w:r>
        <w:rPr>
          <w:rFonts w:hint="eastAsia" w:hAnsi="宋体"/>
          <w:color w:val="auto"/>
          <w:highlight w:val="none"/>
        </w:rPr>
        <w:t>（1）符合专业条件的供应商或者对招标文件作实质响应的供应商不足三家的；</w:t>
      </w:r>
    </w:p>
    <w:p>
      <w:pPr>
        <w:pStyle w:val="18"/>
        <w:spacing w:line="440" w:lineRule="exact"/>
        <w:ind w:firstLine="420"/>
        <w:rPr>
          <w:rFonts w:hAnsi="宋体"/>
          <w:b/>
          <w:color w:val="auto"/>
          <w:highlight w:val="none"/>
        </w:rPr>
      </w:pPr>
      <w:r>
        <w:rPr>
          <w:rFonts w:hint="eastAsia" w:hAnsi="宋体"/>
          <w:b/>
          <w:color w:val="auto"/>
          <w:highlight w:val="none"/>
        </w:rPr>
        <w:t>有效投标供应商数量计算：</w:t>
      </w:r>
    </w:p>
    <w:p>
      <w:pPr>
        <w:pStyle w:val="18"/>
        <w:spacing w:line="440" w:lineRule="exact"/>
        <w:ind w:firstLine="420" w:firstLineChars="200"/>
        <w:jc w:val="left"/>
        <w:rPr>
          <w:rFonts w:hAnsi="宋体" w:cs="宋体"/>
          <w:color w:val="auto"/>
          <w:highlight w:val="none"/>
        </w:rPr>
      </w:pPr>
      <w:r>
        <w:rPr>
          <w:rFonts w:hint="eastAsia" w:hAnsi="宋体" w:cs="宋体"/>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8"/>
        <w:spacing w:line="440" w:lineRule="exact"/>
        <w:ind w:firstLine="420" w:firstLineChars="200"/>
        <w:jc w:val="left"/>
        <w:rPr>
          <w:rFonts w:hAnsi="宋体" w:cs="宋体"/>
          <w:color w:val="auto"/>
          <w:highlight w:val="none"/>
        </w:rPr>
      </w:pPr>
      <w:r>
        <w:rPr>
          <w:rFonts w:hint="eastAsia" w:hAnsi="宋体" w:cs="宋体"/>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ind w:firstLine="420" w:firstLineChars="200"/>
        <w:jc w:val="left"/>
        <w:rPr>
          <w:rFonts w:ascii="宋体" w:hAnsi="宋体" w:cs="宋体"/>
          <w:color w:val="auto"/>
          <w:szCs w:val="20"/>
          <w:highlight w:val="none"/>
        </w:rPr>
      </w:pPr>
      <w:r>
        <w:rPr>
          <w:rFonts w:hint="eastAsia" w:ascii="宋体" w:hAnsi="宋体" w:cs="宋体"/>
          <w:color w:val="auto"/>
          <w:szCs w:val="20"/>
          <w:highlight w:val="none"/>
        </w:rPr>
        <w:t>③非单一产品采购项目，采购人应当根据采购项目技术构成、产品价格比重等合理确定核心产品，并在招标文件中载明。多家投标人提供的核心产品品牌相同的，按上述规定处理。</w:t>
      </w:r>
    </w:p>
    <w:p>
      <w:pPr>
        <w:pStyle w:val="18"/>
        <w:spacing w:line="440" w:lineRule="exact"/>
        <w:ind w:firstLine="420"/>
        <w:rPr>
          <w:rFonts w:hAnsi="宋体" w:cs="宋体"/>
          <w:color w:val="auto"/>
          <w:highlight w:val="none"/>
        </w:rPr>
      </w:pPr>
      <w:r>
        <w:rPr>
          <w:rFonts w:hint="eastAsia" w:hAnsi="宋体" w:cs="宋体"/>
          <w:color w:val="auto"/>
          <w:highlight w:val="none"/>
        </w:rPr>
        <w:t>（2）出现影响采购公正的违法、违规行为的；</w:t>
      </w:r>
    </w:p>
    <w:p>
      <w:pPr>
        <w:pStyle w:val="18"/>
        <w:spacing w:line="440" w:lineRule="exact"/>
        <w:ind w:firstLine="420"/>
        <w:rPr>
          <w:rFonts w:hAnsi="宋体" w:cs="宋体"/>
          <w:color w:val="auto"/>
          <w:highlight w:val="none"/>
        </w:rPr>
      </w:pPr>
      <w:r>
        <w:rPr>
          <w:rFonts w:hint="eastAsia" w:hAnsi="宋体" w:cs="宋体"/>
          <w:color w:val="auto"/>
          <w:highlight w:val="none"/>
        </w:rPr>
        <w:t>（3）投标人的报价均超过了预算金额，采购人不能支付的；</w:t>
      </w:r>
    </w:p>
    <w:p>
      <w:pPr>
        <w:pStyle w:val="18"/>
        <w:spacing w:line="440" w:lineRule="exact"/>
        <w:ind w:firstLine="420"/>
        <w:rPr>
          <w:rFonts w:hAnsi="宋体" w:cs="宋体"/>
          <w:color w:val="auto"/>
          <w:highlight w:val="none"/>
        </w:rPr>
      </w:pPr>
      <w:r>
        <w:rPr>
          <w:rFonts w:hint="eastAsia" w:hAnsi="宋体" w:cs="宋体"/>
          <w:color w:val="auto"/>
          <w:highlight w:val="none"/>
        </w:rPr>
        <w:t>（4）因重大变故，采购任务取消的。</w:t>
      </w:r>
    </w:p>
    <w:p>
      <w:pPr>
        <w:pStyle w:val="18"/>
        <w:spacing w:line="440" w:lineRule="exact"/>
        <w:ind w:firstLine="411" w:firstLineChars="196"/>
        <w:rPr>
          <w:rFonts w:hAnsi="宋体"/>
          <w:color w:val="auto"/>
          <w:highlight w:val="none"/>
        </w:rPr>
      </w:pPr>
      <w:r>
        <w:rPr>
          <w:rFonts w:hint="eastAsia" w:hAnsi="宋体"/>
          <w:color w:val="auto"/>
          <w:highlight w:val="none"/>
        </w:rPr>
        <w:t>22.2  废标后，采购代理机构将在本章第2.1项规定的政府采购信息发布媒体上公告废标理由，不再另行通知。</w:t>
      </w:r>
    </w:p>
    <w:p>
      <w:pPr>
        <w:pStyle w:val="18"/>
        <w:spacing w:line="440" w:lineRule="exact"/>
        <w:jc w:val="center"/>
        <w:rPr>
          <w:rFonts w:hAnsi="宋体"/>
          <w:b/>
          <w:bCs/>
          <w:color w:val="auto"/>
          <w:highlight w:val="none"/>
        </w:rPr>
      </w:pPr>
    </w:p>
    <w:p>
      <w:pPr>
        <w:pStyle w:val="18"/>
        <w:spacing w:line="440" w:lineRule="exact"/>
        <w:jc w:val="center"/>
        <w:outlineLvl w:val="1"/>
        <w:rPr>
          <w:rFonts w:ascii="Times New Roman" w:hAnsi="Times New Roman"/>
          <w:b/>
          <w:color w:val="auto"/>
          <w:sz w:val="30"/>
          <w:szCs w:val="30"/>
          <w:highlight w:val="none"/>
        </w:rPr>
      </w:pPr>
      <w:bookmarkStart w:id="74" w:name="_Toc401396880"/>
      <w:bookmarkStart w:id="75" w:name="_Toc495996913"/>
      <w:bookmarkStart w:id="76" w:name="_Toc213326421"/>
      <w:r>
        <w:rPr>
          <w:rFonts w:hint="eastAsia" w:ascii="Times New Roman" w:hAnsi="Times New Roman"/>
          <w:b/>
          <w:color w:val="auto"/>
          <w:sz w:val="30"/>
          <w:szCs w:val="30"/>
          <w:highlight w:val="none"/>
        </w:rPr>
        <w:t>六    合同授予</w:t>
      </w:r>
      <w:bookmarkEnd w:id="74"/>
      <w:bookmarkEnd w:id="75"/>
      <w:bookmarkEnd w:id="76"/>
    </w:p>
    <w:p>
      <w:pPr>
        <w:pStyle w:val="18"/>
        <w:spacing w:line="440" w:lineRule="exact"/>
        <w:rPr>
          <w:rFonts w:hAnsi="宋体"/>
          <w:bCs/>
          <w:color w:val="auto"/>
          <w:sz w:val="24"/>
          <w:highlight w:val="none"/>
        </w:rPr>
      </w:pPr>
      <w:r>
        <w:rPr>
          <w:rFonts w:hint="eastAsia" w:hAnsi="宋体"/>
          <w:bCs/>
          <w:color w:val="auto"/>
          <w:sz w:val="24"/>
          <w:highlight w:val="none"/>
        </w:rPr>
        <w:t>23.  中标供应商的确定</w:t>
      </w:r>
    </w:p>
    <w:p>
      <w:pPr>
        <w:spacing w:line="440" w:lineRule="exact"/>
        <w:ind w:firstLine="420"/>
        <w:rPr>
          <w:rFonts w:ascii="宋体" w:hAnsi="宋体"/>
          <w:color w:val="auto"/>
          <w:szCs w:val="20"/>
          <w:highlight w:val="none"/>
        </w:rPr>
      </w:pPr>
      <w:r>
        <w:rPr>
          <w:rFonts w:hint="eastAsia" w:ascii="宋体" w:hAnsi="宋体"/>
          <w:color w:val="auto"/>
          <w:szCs w:val="20"/>
          <w:highlight w:val="none"/>
        </w:rPr>
        <w:t>23.1  评标委员会按第三章“评标方法”的规定</w:t>
      </w:r>
      <w:r>
        <w:rPr>
          <w:rFonts w:hint="eastAsia"/>
          <w:color w:val="auto"/>
          <w:highlight w:val="none"/>
        </w:rPr>
        <w:t>排列中标候选供应商顺序，并依照</w:t>
      </w:r>
      <w:r>
        <w:rPr>
          <w:rFonts w:hint="eastAsia" w:hAnsi="宋体"/>
          <w:color w:val="auto"/>
          <w:highlight w:val="none"/>
        </w:rPr>
        <w:t>次序确定中</w:t>
      </w:r>
      <w:r>
        <w:rPr>
          <w:rFonts w:hint="eastAsia"/>
          <w:color w:val="auto"/>
          <w:highlight w:val="none"/>
        </w:rPr>
        <w:t>标供应商。</w:t>
      </w:r>
    </w:p>
    <w:p>
      <w:pPr>
        <w:pStyle w:val="18"/>
        <w:spacing w:line="440" w:lineRule="exact"/>
        <w:rPr>
          <w:rFonts w:hAnsi="宋体"/>
          <w:bCs/>
          <w:color w:val="auto"/>
          <w:sz w:val="24"/>
          <w:highlight w:val="none"/>
        </w:rPr>
      </w:pPr>
      <w:r>
        <w:rPr>
          <w:rFonts w:hint="eastAsia" w:hAnsi="宋体"/>
          <w:bCs/>
          <w:color w:val="auto"/>
          <w:sz w:val="24"/>
          <w:highlight w:val="none"/>
        </w:rPr>
        <w:t>24.  中标通知书</w:t>
      </w:r>
    </w:p>
    <w:p>
      <w:pPr>
        <w:pStyle w:val="18"/>
        <w:spacing w:line="440" w:lineRule="exact"/>
        <w:ind w:firstLine="360"/>
        <w:rPr>
          <w:rFonts w:cs="宋体"/>
          <w:color w:val="auto"/>
          <w:kern w:val="0"/>
          <w:szCs w:val="21"/>
          <w:highlight w:val="none"/>
        </w:rPr>
      </w:pPr>
      <w:r>
        <w:rPr>
          <w:rFonts w:hint="eastAsia" w:hAnsi="宋体"/>
          <w:color w:val="auto"/>
          <w:highlight w:val="none"/>
        </w:rPr>
        <w:t xml:space="preserve">24.1  </w:t>
      </w:r>
      <w:r>
        <w:rPr>
          <w:rFonts w:hint="eastAsia" w:cs="宋体"/>
          <w:color w:val="auto"/>
          <w:kern w:val="0"/>
          <w:szCs w:val="21"/>
          <w:highlight w:val="none"/>
        </w:rPr>
        <w:t>评标结束后，评标结果由采购代理机构在本章第2.1项规定的政府采购信息发布媒体上公示，公示期为一个工作日，公告期满无异议的，由采购代理机构向中标供应商发出政府采购合同。</w:t>
      </w:r>
    </w:p>
    <w:p>
      <w:pPr>
        <w:pStyle w:val="18"/>
        <w:spacing w:line="440" w:lineRule="exact"/>
        <w:ind w:firstLine="360"/>
        <w:rPr>
          <w:rFonts w:cs="宋体"/>
          <w:color w:val="auto"/>
          <w:kern w:val="0"/>
          <w:szCs w:val="21"/>
          <w:highlight w:val="none"/>
        </w:rPr>
      </w:pPr>
      <w:r>
        <w:rPr>
          <w:rFonts w:hint="eastAsia" w:cs="宋体"/>
          <w:color w:val="auto"/>
          <w:kern w:val="0"/>
          <w:szCs w:val="21"/>
          <w:highlight w:val="none"/>
        </w:rPr>
        <w:t>24.1.1  在发布中标公告的同时，采购代理机构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pStyle w:val="18"/>
        <w:spacing w:line="440" w:lineRule="exact"/>
        <w:ind w:firstLine="360"/>
        <w:rPr>
          <w:rFonts w:cs="宋体"/>
          <w:color w:val="auto"/>
          <w:kern w:val="0"/>
          <w:szCs w:val="21"/>
          <w:highlight w:val="none"/>
        </w:rPr>
      </w:pPr>
      <w:r>
        <w:rPr>
          <w:rFonts w:hint="eastAsia" w:cs="宋体"/>
          <w:color w:val="auto"/>
          <w:kern w:val="0"/>
          <w:szCs w:val="21"/>
          <w:highlight w:val="none"/>
        </w:rPr>
        <w:t>排名第二的中标候选人因前款规定的同样原因被取消中标资格的，采购人可以确定排名第三的中标候选人为中标人。</w:t>
      </w:r>
    </w:p>
    <w:p>
      <w:pPr>
        <w:pStyle w:val="18"/>
        <w:spacing w:line="440" w:lineRule="exact"/>
        <w:ind w:firstLine="360"/>
        <w:rPr>
          <w:rFonts w:cs="宋体"/>
          <w:color w:val="auto"/>
          <w:kern w:val="0"/>
          <w:szCs w:val="21"/>
          <w:highlight w:val="none"/>
        </w:rPr>
      </w:pPr>
      <w:r>
        <w:rPr>
          <w:rFonts w:hint="eastAsia" w:cs="宋体"/>
          <w:color w:val="auto"/>
          <w:kern w:val="0"/>
          <w:szCs w:val="21"/>
          <w:highlight w:val="none"/>
        </w:rPr>
        <w:t>以上信息查询记录及相关证据与采购文件一并保存。</w:t>
      </w:r>
    </w:p>
    <w:p>
      <w:pPr>
        <w:pStyle w:val="18"/>
        <w:spacing w:line="440" w:lineRule="exact"/>
        <w:ind w:firstLine="360"/>
        <w:rPr>
          <w:rFonts w:cs="宋体"/>
          <w:color w:val="auto"/>
          <w:kern w:val="0"/>
          <w:szCs w:val="21"/>
          <w:highlight w:val="none"/>
        </w:rPr>
      </w:pPr>
      <w:r>
        <w:rPr>
          <w:rFonts w:hint="eastAsia" w:cs="宋体"/>
          <w:color w:val="auto"/>
          <w:kern w:val="0"/>
          <w:szCs w:val="21"/>
          <w:highlight w:val="none"/>
        </w:rPr>
        <w:t>24.2  中标通知书对采购人和中标供应商具有同等法律效力。中标通知书发出后，采购人改变中标结果，或者中标供应商放弃中标，应当承担相应的法律责任。</w:t>
      </w:r>
    </w:p>
    <w:p>
      <w:pPr>
        <w:pStyle w:val="18"/>
        <w:spacing w:line="440" w:lineRule="exact"/>
        <w:rPr>
          <w:rFonts w:hAnsi="宋体"/>
          <w:bCs/>
          <w:color w:val="auto"/>
          <w:sz w:val="24"/>
          <w:highlight w:val="none"/>
        </w:rPr>
      </w:pPr>
      <w:r>
        <w:rPr>
          <w:rFonts w:hint="eastAsia" w:hAnsi="宋体"/>
          <w:bCs/>
          <w:color w:val="auto"/>
          <w:sz w:val="24"/>
          <w:highlight w:val="none"/>
        </w:rPr>
        <w:t>25.  投标文件及投标样品的退回</w:t>
      </w:r>
    </w:p>
    <w:p>
      <w:pPr>
        <w:pStyle w:val="18"/>
        <w:spacing w:line="440" w:lineRule="exact"/>
        <w:ind w:firstLine="420" w:firstLineChars="200"/>
        <w:rPr>
          <w:rFonts w:hAnsi="宋体"/>
          <w:color w:val="auto"/>
          <w:highlight w:val="none"/>
        </w:rPr>
      </w:pPr>
      <w:r>
        <w:rPr>
          <w:rFonts w:hint="eastAsia" w:hAnsi="宋体"/>
          <w:color w:val="auto"/>
          <w:highlight w:val="none"/>
        </w:rPr>
        <w:t>26.1  采购人和中标供应商应当在第二章“项目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hAnsi="宋体"/>
          <w:bCs/>
          <w:color w:val="auto"/>
          <w:highlight w:val="none"/>
        </w:rPr>
        <w:t>均应在合同的签章处签章，</w:t>
      </w:r>
      <w:r>
        <w:rPr>
          <w:rFonts w:hint="eastAsia" w:hAnsi="宋体"/>
          <w:color w:val="auto"/>
          <w:highlight w:val="none"/>
        </w:rPr>
        <w:t>就采购合同约定的事项对采购人承担连带责任。</w:t>
      </w:r>
    </w:p>
    <w:p>
      <w:pPr>
        <w:pStyle w:val="18"/>
        <w:spacing w:line="440" w:lineRule="exact"/>
        <w:ind w:firstLine="420" w:firstLineChars="200"/>
        <w:rPr>
          <w:rFonts w:hAnsi="宋体"/>
          <w:color w:val="auto"/>
          <w:highlight w:val="none"/>
        </w:rPr>
      </w:pPr>
      <w:r>
        <w:rPr>
          <w:rFonts w:hint="eastAsia" w:hAnsi="宋体"/>
          <w:color w:val="auto"/>
          <w:highlight w:val="none"/>
        </w:rPr>
        <w:t xml:space="preserve">26.2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pPr>
        <w:pStyle w:val="18"/>
        <w:spacing w:line="440" w:lineRule="exact"/>
        <w:ind w:firstLine="420"/>
        <w:rPr>
          <w:rFonts w:cs="宋体"/>
          <w:color w:val="auto"/>
          <w:kern w:val="0"/>
          <w:szCs w:val="28"/>
          <w:highlight w:val="none"/>
        </w:rPr>
      </w:pPr>
      <w:r>
        <w:rPr>
          <w:rFonts w:hint="eastAsia" w:cs="宋体"/>
          <w:color w:val="auto"/>
          <w:kern w:val="0"/>
          <w:szCs w:val="28"/>
          <w:highlight w:val="none"/>
        </w:rPr>
        <w:t>26.3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8"/>
        <w:spacing w:line="440" w:lineRule="exact"/>
        <w:ind w:firstLine="360"/>
        <w:rPr>
          <w:rFonts w:hAnsi="宋体"/>
          <w:color w:val="auto"/>
          <w:highlight w:val="none"/>
        </w:rPr>
      </w:pPr>
      <w:r>
        <w:rPr>
          <w:rFonts w:hint="eastAsia" w:cs="宋体"/>
          <w:color w:val="auto"/>
          <w:kern w:val="0"/>
          <w:szCs w:val="28"/>
          <w:highlight w:val="none"/>
        </w:rPr>
        <w:t>26.4</w:t>
      </w:r>
      <w:r>
        <w:rPr>
          <w:rFonts w:hint="eastAsia" w:cs="宋体"/>
          <w:color w:val="auto"/>
          <w:szCs w:val="28"/>
          <w:highlight w:val="none"/>
        </w:rPr>
        <w:t>政府采购合同签订后一个工作日内，由采购人将合同扫描件上传至南宁市电子化政府采购系统，由采购代理机构将合同扫描件上传到南宁市财政局备案系统。</w:t>
      </w:r>
    </w:p>
    <w:p>
      <w:pPr>
        <w:pStyle w:val="18"/>
        <w:spacing w:line="440" w:lineRule="exact"/>
        <w:ind w:firstLine="360"/>
        <w:rPr>
          <w:rFonts w:hAnsi="宋体"/>
          <w:color w:val="auto"/>
          <w:highlight w:val="none"/>
        </w:rPr>
      </w:pPr>
      <w:r>
        <w:rPr>
          <w:rFonts w:hint="eastAsia" w:hAnsi="宋体"/>
          <w:color w:val="auto"/>
          <w:highlight w:val="none"/>
        </w:rPr>
        <w:t>26.5 中标通知书发出后，中标供应商无正当理由拒签合同的，采购人可追究中标供应商</w:t>
      </w:r>
      <w:r>
        <w:rPr>
          <w:rFonts w:hint="eastAsia" w:cs="宋体"/>
          <w:color w:val="auto"/>
          <w:kern w:val="0"/>
          <w:szCs w:val="21"/>
          <w:highlight w:val="none"/>
        </w:rPr>
        <w:t>承担相应的法律责任</w:t>
      </w:r>
      <w:r>
        <w:rPr>
          <w:rFonts w:hint="eastAsia" w:hAnsi="宋体"/>
          <w:color w:val="auto"/>
          <w:highlight w:val="none"/>
        </w:rPr>
        <w:t>。</w:t>
      </w:r>
    </w:p>
    <w:p>
      <w:pPr>
        <w:pStyle w:val="18"/>
        <w:spacing w:line="440" w:lineRule="exact"/>
        <w:ind w:firstLine="360"/>
        <w:rPr>
          <w:rFonts w:hAnsi="宋体"/>
          <w:color w:val="auto"/>
          <w:highlight w:val="none"/>
        </w:rPr>
      </w:pPr>
      <w:r>
        <w:rPr>
          <w:rFonts w:hint="eastAsia" w:hAnsi="宋体"/>
          <w:color w:val="auto"/>
          <w:highlight w:val="none"/>
        </w:rPr>
        <w:t>如采购人无正当理由拒签合同的，给中标供应商造成损失的，中标供应商可追究采购人承担相应的法律责任。</w:t>
      </w:r>
    </w:p>
    <w:p>
      <w:pPr>
        <w:pStyle w:val="18"/>
        <w:spacing w:line="440" w:lineRule="exact"/>
        <w:ind w:firstLine="360"/>
        <w:rPr>
          <w:rFonts w:hAnsi="宋体"/>
          <w:color w:val="auto"/>
          <w:highlight w:val="none"/>
        </w:rPr>
      </w:pPr>
      <w:r>
        <w:rPr>
          <w:rFonts w:hint="eastAsia" w:hAnsi="宋体"/>
          <w:color w:val="auto"/>
          <w:highlight w:val="none"/>
        </w:rPr>
        <w:t xml:space="preserve">26.6  </w:t>
      </w:r>
      <w:r>
        <w:rPr>
          <w:rFonts w:hint="eastAsia" w:hAnsi="宋体"/>
          <w:color w:val="auto"/>
          <w:szCs w:val="28"/>
          <w:highlight w:val="none"/>
        </w:rPr>
        <w:t>采购人在签订合同之前有权要求中标供应商提供本项目必需的相关资料原件进行核查，中标供应商不得拒绝。如中标供应商拒绝提供，则自行承担由此产生的后果。</w:t>
      </w:r>
    </w:p>
    <w:p>
      <w:pPr>
        <w:pStyle w:val="18"/>
        <w:spacing w:line="440" w:lineRule="exact"/>
        <w:ind w:firstLine="360"/>
        <w:rPr>
          <w:rFonts w:hAnsi="宋体"/>
          <w:color w:val="auto"/>
          <w:highlight w:val="none"/>
        </w:rPr>
      </w:pPr>
      <w:r>
        <w:rPr>
          <w:rFonts w:hint="eastAsia" w:hAnsi="宋体"/>
          <w:color w:val="auto"/>
          <w:highlight w:val="none"/>
        </w:rPr>
        <w:t>26.7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8"/>
        <w:spacing w:line="440" w:lineRule="exact"/>
        <w:ind w:firstLine="420"/>
        <w:rPr>
          <w:rFonts w:cs="宋体"/>
          <w:color w:val="auto"/>
          <w:kern w:val="0"/>
          <w:szCs w:val="28"/>
          <w:highlight w:val="none"/>
        </w:rPr>
      </w:pPr>
      <w:r>
        <w:rPr>
          <w:rFonts w:hint="eastAsia" w:cs="宋体"/>
          <w:color w:val="auto"/>
          <w:kern w:val="0"/>
          <w:szCs w:val="28"/>
          <w:highlight w:val="none"/>
        </w:rPr>
        <w:t>26.8　采购人或中标供应商不得单方面向合同另一方提出任何招标文件没有约定的条件或不合理的要求，作为签订合同的条件，也不得协商另行订立背离招标文件和合同实质性内容的协议。</w:t>
      </w:r>
    </w:p>
    <w:p>
      <w:pPr>
        <w:pStyle w:val="18"/>
        <w:spacing w:line="440" w:lineRule="exact"/>
        <w:ind w:firstLine="420"/>
        <w:rPr>
          <w:rFonts w:cs="宋体"/>
          <w:color w:val="auto"/>
          <w:kern w:val="0"/>
          <w:szCs w:val="28"/>
          <w:highlight w:val="none"/>
        </w:rPr>
      </w:pPr>
      <w:r>
        <w:rPr>
          <w:rFonts w:hint="eastAsia" w:cs="宋体"/>
          <w:color w:val="auto"/>
          <w:kern w:val="0"/>
          <w:szCs w:val="28"/>
          <w:highlight w:val="none"/>
        </w:rPr>
        <w:t>26.9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8"/>
        <w:spacing w:line="440" w:lineRule="exact"/>
        <w:ind w:firstLine="420"/>
        <w:rPr>
          <w:rFonts w:cs="宋体"/>
          <w:color w:val="auto"/>
          <w:kern w:val="0"/>
          <w:szCs w:val="28"/>
          <w:highlight w:val="none"/>
        </w:rPr>
      </w:pPr>
      <w:r>
        <w:rPr>
          <w:rFonts w:hint="eastAsia" w:cs="宋体"/>
          <w:color w:val="auto"/>
          <w:kern w:val="0"/>
          <w:szCs w:val="28"/>
          <w:highlight w:val="none"/>
        </w:rPr>
        <w:t>26.10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8"/>
        <w:spacing w:line="440" w:lineRule="exact"/>
        <w:ind w:firstLine="420"/>
        <w:rPr>
          <w:rFonts w:cs="宋体"/>
          <w:color w:val="auto"/>
          <w:kern w:val="0"/>
          <w:sz w:val="28"/>
          <w:szCs w:val="28"/>
          <w:highlight w:val="none"/>
        </w:rPr>
      </w:pPr>
      <w:r>
        <w:rPr>
          <w:rFonts w:hint="eastAsia" w:cs="宋体"/>
          <w:color w:val="auto"/>
          <w:kern w:val="0"/>
          <w:szCs w:val="28"/>
          <w:highlight w:val="none"/>
        </w:rPr>
        <w:t>26.11　采购人或中标供应商在合同履行过程中存在违反政府采购合同行为的，权益受损当事人应当将有关违约的情况以及拟采取的措施，及时书面报告采购代理机构。</w:t>
      </w:r>
    </w:p>
    <w:p>
      <w:pPr>
        <w:pStyle w:val="18"/>
        <w:spacing w:line="440" w:lineRule="exact"/>
        <w:rPr>
          <w:rFonts w:hAnsi="宋体"/>
          <w:bCs/>
          <w:color w:val="auto"/>
          <w:sz w:val="24"/>
          <w:highlight w:val="none"/>
        </w:rPr>
      </w:pPr>
      <w:r>
        <w:rPr>
          <w:rFonts w:hint="eastAsia" w:hAnsi="宋体"/>
          <w:bCs/>
          <w:color w:val="auto"/>
          <w:sz w:val="24"/>
          <w:highlight w:val="none"/>
        </w:rPr>
        <w:t>27.  履约保证金</w:t>
      </w:r>
    </w:p>
    <w:p>
      <w:pPr>
        <w:pStyle w:val="18"/>
        <w:spacing w:after="165" w:line="440" w:lineRule="exact"/>
        <w:ind w:left="2" w:firstLine="422" w:firstLineChars="201"/>
        <w:rPr>
          <w:rFonts w:hAnsi="宋体"/>
          <w:color w:val="auto"/>
          <w:highlight w:val="none"/>
        </w:rPr>
      </w:pPr>
      <w:r>
        <w:rPr>
          <w:rFonts w:hint="eastAsia" w:hAnsi="宋体"/>
          <w:color w:val="auto"/>
          <w:szCs w:val="28"/>
          <w:highlight w:val="none"/>
        </w:rPr>
        <w:t>本项目不收取履约保证金及质量保证金</w:t>
      </w:r>
    </w:p>
    <w:p>
      <w:pPr>
        <w:pStyle w:val="18"/>
        <w:spacing w:line="440" w:lineRule="exact"/>
        <w:jc w:val="center"/>
        <w:outlineLvl w:val="1"/>
        <w:rPr>
          <w:rFonts w:ascii="Times New Roman" w:hAnsi="Times New Roman"/>
          <w:b/>
          <w:color w:val="auto"/>
          <w:sz w:val="30"/>
          <w:szCs w:val="30"/>
          <w:highlight w:val="none"/>
        </w:rPr>
      </w:pPr>
      <w:bookmarkStart w:id="77" w:name="_Toc213326422"/>
      <w:bookmarkStart w:id="78" w:name="_Toc401396881"/>
      <w:bookmarkStart w:id="79" w:name="_Toc495996914"/>
      <w:r>
        <w:rPr>
          <w:rFonts w:hint="eastAsia" w:ascii="Times New Roman" w:hAnsi="Times New Roman"/>
          <w:b/>
          <w:color w:val="auto"/>
          <w:sz w:val="30"/>
          <w:szCs w:val="30"/>
          <w:highlight w:val="none"/>
        </w:rPr>
        <w:t>七    其他事项</w:t>
      </w:r>
      <w:bookmarkEnd w:id="77"/>
      <w:bookmarkEnd w:id="78"/>
      <w:bookmarkEnd w:id="79"/>
    </w:p>
    <w:p>
      <w:pPr>
        <w:pStyle w:val="18"/>
        <w:spacing w:line="440" w:lineRule="exact"/>
        <w:rPr>
          <w:rFonts w:hAnsi="宋体"/>
          <w:bCs/>
          <w:color w:val="auto"/>
          <w:sz w:val="24"/>
          <w:highlight w:val="none"/>
        </w:rPr>
      </w:pPr>
      <w:r>
        <w:rPr>
          <w:rFonts w:hint="eastAsia" w:hAnsi="宋体"/>
          <w:bCs/>
          <w:color w:val="auto"/>
          <w:sz w:val="24"/>
          <w:highlight w:val="none"/>
        </w:rPr>
        <w:t>28.  解释权</w:t>
      </w:r>
    </w:p>
    <w:p>
      <w:pPr>
        <w:pStyle w:val="18"/>
        <w:spacing w:line="440" w:lineRule="exact"/>
        <w:ind w:firstLine="360"/>
        <w:jc w:val="left"/>
        <w:rPr>
          <w:rFonts w:hAnsi="宋体"/>
          <w:color w:val="auto"/>
          <w:highlight w:val="none"/>
        </w:rPr>
      </w:pPr>
      <w:r>
        <w:rPr>
          <w:rFonts w:hint="eastAsia" w:hAnsi="宋体"/>
          <w:color w:val="auto"/>
          <w:highlight w:val="none"/>
        </w:rPr>
        <w:t xml:space="preserve">28.1  </w:t>
      </w:r>
      <w:r>
        <w:rPr>
          <w:rFonts w:hint="eastAsia" w:hAnsi="宋体"/>
          <w:color w:val="auto"/>
          <w:szCs w:val="21"/>
          <w:highlight w:val="none"/>
        </w:rPr>
        <w:t>本招标文件根据《中华人民共和国政府采购法》、《政府采购货物和服务招标投标管理办法》（财政部第18号令）及相关法律法规编制，解释权属采购代理机构。</w:t>
      </w:r>
    </w:p>
    <w:p>
      <w:pPr>
        <w:pStyle w:val="18"/>
        <w:spacing w:line="440" w:lineRule="exact"/>
        <w:jc w:val="left"/>
        <w:rPr>
          <w:rFonts w:hAnsi="宋体"/>
          <w:color w:val="auto"/>
          <w:sz w:val="24"/>
          <w:highlight w:val="none"/>
        </w:rPr>
      </w:pPr>
      <w:r>
        <w:rPr>
          <w:rFonts w:hint="eastAsia" w:hAnsi="宋体"/>
          <w:color w:val="auto"/>
          <w:sz w:val="24"/>
          <w:highlight w:val="none"/>
        </w:rPr>
        <w:t>29.  需要补充的其他内容</w:t>
      </w:r>
    </w:p>
    <w:p>
      <w:pPr>
        <w:pStyle w:val="18"/>
        <w:spacing w:line="440" w:lineRule="exact"/>
        <w:ind w:firstLine="360"/>
        <w:jc w:val="left"/>
        <w:rPr>
          <w:rFonts w:hAnsi="宋体"/>
          <w:color w:val="auto"/>
          <w:highlight w:val="none"/>
        </w:rPr>
      </w:pPr>
      <w:r>
        <w:rPr>
          <w:rFonts w:hint="eastAsia" w:hAnsi="宋体"/>
          <w:color w:val="auto"/>
          <w:highlight w:val="none"/>
        </w:rPr>
        <w:t>29.1  需要补充的其他内容：见投标人须知前附表。</w:t>
      </w:r>
    </w:p>
    <w:p>
      <w:pPr>
        <w:pStyle w:val="18"/>
        <w:snapToGrid w:val="0"/>
        <w:spacing w:line="360" w:lineRule="exact"/>
        <w:ind w:firstLine="420" w:firstLineChars="200"/>
        <w:rPr>
          <w:rFonts w:hAnsi="宋体"/>
          <w:color w:val="auto"/>
          <w:szCs w:val="21"/>
          <w:highlight w:val="none"/>
        </w:rPr>
      </w:pPr>
    </w:p>
    <w:p>
      <w:pPr>
        <w:pStyle w:val="18"/>
        <w:snapToGrid w:val="0"/>
        <w:spacing w:line="360" w:lineRule="exact"/>
        <w:ind w:firstLine="420" w:firstLineChars="200"/>
        <w:rPr>
          <w:rFonts w:hAnsi="宋体"/>
          <w:color w:val="auto"/>
          <w:szCs w:val="21"/>
          <w:highlight w:val="none"/>
        </w:rPr>
      </w:pPr>
    </w:p>
    <w:p>
      <w:pPr>
        <w:pStyle w:val="18"/>
        <w:snapToGrid w:val="0"/>
        <w:spacing w:line="360" w:lineRule="exact"/>
        <w:ind w:firstLine="420" w:firstLineChars="200"/>
        <w:rPr>
          <w:rFonts w:hAnsi="宋体"/>
          <w:color w:val="auto"/>
          <w:szCs w:val="21"/>
          <w:highlight w:val="none"/>
        </w:rPr>
      </w:pPr>
      <w:r>
        <w:rPr>
          <w:rFonts w:hint="eastAsia" w:hAnsi="宋体"/>
          <w:color w:val="auto"/>
          <w:szCs w:val="21"/>
          <w:highlight w:val="none"/>
        </w:rPr>
        <w:t>附件一：</w:t>
      </w:r>
    </w:p>
    <w:p>
      <w:pPr>
        <w:pStyle w:val="18"/>
        <w:snapToGrid w:val="0"/>
        <w:spacing w:line="360" w:lineRule="exact"/>
        <w:ind w:firstLine="420" w:firstLineChars="200"/>
        <w:rPr>
          <w:rFonts w:hAnsi="宋体"/>
          <w:color w:val="auto"/>
          <w:szCs w:val="21"/>
          <w:highlight w:val="none"/>
        </w:rPr>
      </w:pPr>
      <w:r>
        <w:rPr>
          <w:rFonts w:hint="eastAsia" w:hAnsi="宋体"/>
          <w:color w:val="auto"/>
          <w:szCs w:val="21"/>
          <w:highlight w:val="none"/>
        </w:rPr>
        <w:t>代理服务收费标准：</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2087"/>
        <w:gridCol w:w="1898"/>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Borders>
              <w:tl2br w:val="single" w:color="auto" w:sz="4" w:space="0"/>
            </w:tcBorders>
          </w:tcPr>
          <w:p>
            <w:pPr>
              <w:spacing w:line="360" w:lineRule="exact"/>
              <w:rPr>
                <w:rFonts w:ascii="宋体" w:hAnsi="宋体"/>
                <w:color w:val="auto"/>
                <w:szCs w:val="21"/>
                <w:highlight w:val="none"/>
              </w:rPr>
            </w:pPr>
            <w:r>
              <w:rPr>
                <w:rFonts w:hint="eastAsia" w:ascii="宋体" w:hAnsi="宋体"/>
                <w:color w:val="auto"/>
                <w:szCs w:val="21"/>
                <w:highlight w:val="none"/>
              </w:rPr>
              <w:t xml:space="preserve">                     费率</w:t>
            </w:r>
          </w:p>
          <w:p>
            <w:pPr>
              <w:spacing w:line="360" w:lineRule="exact"/>
              <w:rPr>
                <w:rFonts w:ascii="宋体" w:hAnsi="宋体"/>
                <w:color w:val="auto"/>
                <w:szCs w:val="21"/>
                <w:highlight w:val="none"/>
              </w:rPr>
            </w:pPr>
            <w:r>
              <w:rPr>
                <w:rFonts w:hint="eastAsia" w:ascii="宋体" w:hAnsi="宋体"/>
                <w:color w:val="auto"/>
                <w:szCs w:val="21"/>
                <w:highlight w:val="none"/>
              </w:rPr>
              <w:t>中标金额</w:t>
            </w:r>
          </w:p>
        </w:tc>
        <w:tc>
          <w:tcPr>
            <w:tcW w:w="2087"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货物招标</w:t>
            </w:r>
          </w:p>
        </w:tc>
        <w:tc>
          <w:tcPr>
            <w:tcW w:w="1898"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服务招标</w:t>
            </w:r>
          </w:p>
        </w:tc>
        <w:tc>
          <w:tcPr>
            <w:tcW w:w="1896"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100万元以下</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1.5%</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1.5%</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100～500万元</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1.1%</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0.8%</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500～1000万元</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0.8%</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0.45%</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1000～5000万元</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0.5%</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0.25%</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5000万元～1亿元</w:t>
            </w:r>
          </w:p>
        </w:tc>
        <w:tc>
          <w:tcPr>
            <w:tcW w:w="2087" w:type="dxa"/>
          </w:tcPr>
          <w:p>
            <w:pPr>
              <w:spacing w:line="360" w:lineRule="exact"/>
              <w:rPr>
                <w:rFonts w:ascii="宋体" w:hAnsi="宋体"/>
                <w:color w:val="auto"/>
                <w:szCs w:val="21"/>
                <w:highlight w:val="none"/>
              </w:rPr>
            </w:pPr>
            <w:r>
              <w:rPr>
                <w:rFonts w:ascii="宋体" w:hAnsi="宋体" w:cs="宋体"/>
                <w:color w:val="auto"/>
                <w:kern w:val="0"/>
                <w:szCs w:val="21"/>
                <w:highlight w:val="none"/>
              </w:rPr>
              <w:t>0.25%</w:t>
            </w:r>
          </w:p>
        </w:tc>
        <w:tc>
          <w:tcPr>
            <w:tcW w:w="1898" w:type="dxa"/>
          </w:tcPr>
          <w:p>
            <w:pPr>
              <w:spacing w:line="360" w:lineRule="exact"/>
              <w:rPr>
                <w:rFonts w:ascii="宋体" w:hAnsi="宋体"/>
                <w:color w:val="auto"/>
                <w:szCs w:val="21"/>
                <w:highlight w:val="none"/>
              </w:rPr>
            </w:pPr>
            <w:r>
              <w:rPr>
                <w:rFonts w:ascii="宋体" w:hAnsi="宋体" w:cs="宋体"/>
                <w:color w:val="auto"/>
                <w:kern w:val="0"/>
                <w:szCs w:val="21"/>
                <w:highlight w:val="none"/>
              </w:rPr>
              <w:t>0.1%</w:t>
            </w:r>
          </w:p>
        </w:tc>
        <w:tc>
          <w:tcPr>
            <w:tcW w:w="1896" w:type="dxa"/>
          </w:tcPr>
          <w:p>
            <w:pPr>
              <w:spacing w:line="360" w:lineRule="exact"/>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1～5亿元</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0.05%</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0.05%</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5～10亿元</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0.035%</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0.035%</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10～50亿元</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0.008%</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0.008%</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50～100亿元</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0.006%</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0.006%</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auto"/>
                <w:szCs w:val="21"/>
                <w:highlight w:val="none"/>
              </w:rPr>
            </w:pPr>
            <w:r>
              <w:rPr>
                <w:rFonts w:hint="eastAsia" w:ascii="宋体" w:hAnsi="宋体"/>
                <w:color w:val="auto"/>
                <w:szCs w:val="21"/>
                <w:highlight w:val="none"/>
              </w:rPr>
              <w:t>100亿以上</w:t>
            </w:r>
          </w:p>
        </w:tc>
        <w:tc>
          <w:tcPr>
            <w:tcW w:w="2087" w:type="dxa"/>
          </w:tcPr>
          <w:p>
            <w:pPr>
              <w:spacing w:line="360" w:lineRule="exact"/>
              <w:rPr>
                <w:rFonts w:ascii="宋体" w:hAnsi="宋体"/>
                <w:color w:val="auto"/>
                <w:szCs w:val="21"/>
                <w:highlight w:val="none"/>
              </w:rPr>
            </w:pPr>
            <w:r>
              <w:rPr>
                <w:rFonts w:hint="eastAsia" w:ascii="宋体" w:hAnsi="宋体"/>
                <w:color w:val="auto"/>
                <w:szCs w:val="21"/>
                <w:highlight w:val="none"/>
              </w:rPr>
              <w:t>0.004%</w:t>
            </w:r>
          </w:p>
        </w:tc>
        <w:tc>
          <w:tcPr>
            <w:tcW w:w="1898" w:type="dxa"/>
          </w:tcPr>
          <w:p>
            <w:pPr>
              <w:spacing w:line="360" w:lineRule="exact"/>
              <w:rPr>
                <w:rFonts w:ascii="宋体" w:hAnsi="宋体"/>
                <w:color w:val="auto"/>
                <w:szCs w:val="21"/>
                <w:highlight w:val="none"/>
              </w:rPr>
            </w:pPr>
            <w:r>
              <w:rPr>
                <w:rFonts w:hint="eastAsia" w:ascii="宋体" w:hAnsi="宋体"/>
                <w:color w:val="auto"/>
                <w:szCs w:val="21"/>
                <w:highlight w:val="none"/>
              </w:rPr>
              <w:t>0.004%</w:t>
            </w:r>
          </w:p>
        </w:tc>
        <w:tc>
          <w:tcPr>
            <w:tcW w:w="1896" w:type="dxa"/>
          </w:tcPr>
          <w:p>
            <w:pPr>
              <w:spacing w:line="360" w:lineRule="exact"/>
              <w:rPr>
                <w:rFonts w:ascii="宋体" w:hAnsi="宋体"/>
                <w:color w:val="auto"/>
                <w:szCs w:val="21"/>
                <w:highlight w:val="none"/>
              </w:rPr>
            </w:pPr>
            <w:r>
              <w:rPr>
                <w:rFonts w:hint="eastAsia" w:ascii="宋体" w:hAnsi="宋体"/>
                <w:color w:val="auto"/>
                <w:szCs w:val="21"/>
                <w:highlight w:val="none"/>
              </w:rPr>
              <w:t>0.004%</w:t>
            </w:r>
          </w:p>
        </w:tc>
      </w:tr>
    </w:tbl>
    <w:p>
      <w:pPr>
        <w:pStyle w:val="18"/>
        <w:spacing w:line="360" w:lineRule="auto"/>
        <w:rPr>
          <w:rFonts w:hAnsi="宋体"/>
          <w:color w:val="auto"/>
          <w:highlight w:val="none"/>
        </w:rPr>
      </w:pPr>
    </w:p>
    <w:p>
      <w:pPr>
        <w:pStyle w:val="18"/>
        <w:spacing w:line="360" w:lineRule="auto"/>
        <w:rPr>
          <w:rFonts w:hAnsi="宋体"/>
          <w:color w:val="auto"/>
          <w:highlight w:val="none"/>
        </w:rPr>
      </w:pPr>
    </w:p>
    <w:p>
      <w:pPr>
        <w:pStyle w:val="18"/>
        <w:spacing w:line="360" w:lineRule="auto"/>
        <w:rPr>
          <w:rFonts w:hAnsi="宋体"/>
          <w:color w:val="auto"/>
          <w:highlight w:val="none"/>
        </w:rPr>
      </w:pPr>
    </w:p>
    <w:p>
      <w:pPr>
        <w:pStyle w:val="18"/>
        <w:spacing w:line="360" w:lineRule="auto"/>
        <w:rPr>
          <w:rFonts w:hAnsi="宋体"/>
          <w:color w:val="auto"/>
          <w:highlight w:val="none"/>
        </w:rPr>
      </w:pPr>
      <w:r>
        <w:rPr>
          <w:rFonts w:hAnsi="宋体"/>
          <w:color w:val="auto"/>
          <w:highlight w:val="none"/>
        </w:rPr>
        <w:br w:type="page"/>
      </w:r>
      <w:bookmarkStart w:id="80" w:name="_Toc213206175"/>
      <w:bookmarkStart w:id="81" w:name="_Toc213325924"/>
    </w:p>
    <w:p>
      <w:pPr>
        <w:pStyle w:val="18"/>
        <w:jc w:val="center"/>
        <w:outlineLvl w:val="0"/>
        <w:rPr>
          <w:rFonts w:hAnsi="宋体"/>
          <w:color w:val="auto"/>
          <w:highlight w:val="none"/>
        </w:rPr>
      </w:pPr>
    </w:p>
    <w:p>
      <w:pPr>
        <w:pStyle w:val="18"/>
        <w:jc w:val="center"/>
        <w:outlineLvl w:val="0"/>
        <w:rPr>
          <w:rFonts w:hAnsi="宋体"/>
          <w:color w:val="auto"/>
          <w:highlight w:val="none"/>
        </w:rPr>
      </w:pPr>
      <w:bookmarkStart w:id="82" w:name="_Toc495996915"/>
      <w:r>
        <w:rPr>
          <w:rFonts w:hint="eastAsia" w:ascii="Times New Roman" w:hAnsi="Times New Roman"/>
          <w:b/>
          <w:color w:val="auto"/>
          <w:sz w:val="36"/>
          <w:highlight w:val="none"/>
        </w:rPr>
        <w:t>第五章  投标文件格式</w:t>
      </w:r>
      <w:bookmarkEnd w:id="80"/>
      <w:bookmarkEnd w:id="81"/>
      <w:bookmarkEnd w:id="82"/>
      <w:bookmarkStart w:id="83" w:name="_Toc139967211"/>
      <w:bookmarkStart w:id="84" w:name="_Toc139966427"/>
    </w:p>
    <w:bookmarkEnd w:id="83"/>
    <w:bookmarkEnd w:id="84"/>
    <w:p>
      <w:pPr>
        <w:snapToGrid w:val="0"/>
        <w:spacing w:before="165" w:beforeLines="50" w:after="50"/>
        <w:outlineLvl w:val="1"/>
        <w:rPr>
          <w:rFonts w:ascii="宋体" w:hAnsi="宋体"/>
          <w:b/>
          <w:bCs/>
          <w:color w:val="auto"/>
          <w:sz w:val="24"/>
          <w:highlight w:val="none"/>
        </w:rPr>
      </w:pPr>
      <w:bookmarkStart w:id="85" w:name="_Toc495996916"/>
      <w:r>
        <w:rPr>
          <w:rFonts w:hint="eastAsia" w:ascii="宋体" w:hAnsi="宋体"/>
          <w:b/>
          <w:bCs/>
          <w:color w:val="auto"/>
          <w:sz w:val="24"/>
          <w:highlight w:val="none"/>
        </w:rPr>
        <w:t>投标文件外层包装封面格式</w:t>
      </w:r>
      <w:bookmarkEnd w:id="85"/>
      <w:r>
        <w:rPr>
          <w:rFonts w:hint="eastAsia" w:ascii="宋体" w:hAnsi="宋体"/>
          <w:b/>
          <w:bCs/>
          <w:color w:val="auto"/>
          <w:sz w:val="24"/>
          <w:highlight w:val="none"/>
        </w:rPr>
        <w:t>：</w:t>
      </w:r>
    </w:p>
    <w:p>
      <w:pPr>
        <w:snapToGrid w:val="0"/>
        <w:spacing w:before="165" w:beforeLines="50" w:after="50"/>
        <w:jc w:val="center"/>
        <w:rPr>
          <w:rFonts w:ascii="宋体" w:hAnsi="宋体"/>
          <w:bCs/>
          <w:color w:val="auto"/>
          <w:sz w:val="32"/>
          <w:szCs w:val="32"/>
          <w:highlight w:val="none"/>
        </w:rPr>
      </w:pPr>
      <w:r>
        <w:rPr>
          <w:rFonts w:hint="eastAsia" w:ascii="宋体" w:hAnsi="宋体"/>
          <w:bCs/>
          <w:color w:val="auto"/>
          <w:sz w:val="32"/>
          <w:szCs w:val="32"/>
          <w:highlight w:val="none"/>
        </w:rPr>
        <w:t>投 标 文 件</w:t>
      </w: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65" w:beforeLines="50" w:after="50"/>
        <w:ind w:firstLine="360" w:firstLineChars="150"/>
        <w:rPr>
          <w:rFonts w:ascii="宋体" w:hAnsi="宋体"/>
          <w:bCs/>
          <w:color w:val="auto"/>
          <w:sz w:val="24"/>
          <w:szCs w:val="20"/>
          <w:highlight w:val="none"/>
        </w:rPr>
      </w:pPr>
    </w:p>
    <w:p>
      <w:pPr>
        <w:snapToGrid w:val="0"/>
        <w:spacing w:before="165"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在  年  月  日  时  分之前不得启封</w:t>
      </w:r>
    </w:p>
    <w:p>
      <w:pPr>
        <w:snapToGrid w:val="0"/>
        <w:spacing w:before="165" w:beforeLines="50" w:after="50"/>
        <w:ind w:firstLine="4080" w:firstLineChars="1700"/>
        <w:rPr>
          <w:rFonts w:ascii="宋体" w:hAnsi="宋体"/>
          <w:bCs/>
          <w:color w:val="auto"/>
          <w:sz w:val="24"/>
          <w:szCs w:val="20"/>
          <w:highlight w:val="none"/>
        </w:rPr>
      </w:pPr>
    </w:p>
    <w:p>
      <w:pPr>
        <w:snapToGrid w:val="0"/>
        <w:spacing w:before="165" w:beforeLines="50" w:after="50"/>
        <w:ind w:firstLine="645"/>
        <w:jc w:val="center"/>
        <w:rPr>
          <w:rFonts w:ascii="宋体" w:hAnsi="宋体"/>
          <w:color w:val="auto"/>
          <w:highlight w:val="none"/>
        </w:rPr>
      </w:pPr>
      <w:r>
        <w:rPr>
          <w:rFonts w:hint="eastAsia" w:ascii="宋体" w:hAnsi="宋体"/>
          <w:bCs/>
          <w:color w:val="auto"/>
          <w:sz w:val="24"/>
          <w:highlight w:val="none"/>
        </w:rPr>
        <w:t xml:space="preserve">                        年    月    日</w:t>
      </w: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adjustRightInd/>
        <w:snapToGrid w:val="0"/>
        <w:spacing w:before="165" w:beforeLines="50" w:after="50" w:line="240" w:lineRule="auto"/>
        <w:jc w:val="left"/>
        <w:textAlignment w:val="auto"/>
        <w:rPr>
          <w:rFonts w:ascii="宋体" w:hAnsi="宋体"/>
          <w:b/>
          <w:color w:val="auto"/>
          <w:sz w:val="24"/>
          <w:szCs w:val="20"/>
          <w:highlight w:val="none"/>
        </w:rPr>
      </w:pPr>
      <w:r>
        <w:rPr>
          <w:rFonts w:hint="eastAsia" w:ascii="宋体" w:hAnsi="宋体"/>
          <w:b/>
          <w:color w:val="auto"/>
          <w:sz w:val="24"/>
          <w:highlight w:val="none"/>
        </w:rPr>
        <w:t>所有投标文件的外包装封面格式：</w:t>
      </w:r>
    </w:p>
    <w:p>
      <w:pPr>
        <w:snapToGrid w:val="0"/>
        <w:spacing w:before="165" w:beforeLines="50" w:after="50"/>
        <w:rPr>
          <w:rFonts w:ascii="宋体" w:hAnsi="宋体"/>
          <w:color w:val="auto"/>
          <w:sz w:val="24"/>
          <w:szCs w:val="20"/>
          <w:highlight w:val="none"/>
        </w:rPr>
      </w:pPr>
    </w:p>
    <w:p>
      <w:pPr>
        <w:snapToGrid w:val="0"/>
        <w:spacing w:before="165" w:beforeLines="50" w:after="50"/>
        <w:jc w:val="center"/>
        <w:rPr>
          <w:rFonts w:ascii="宋体" w:hAnsi="宋体"/>
          <w:bCs/>
          <w:color w:val="auto"/>
          <w:sz w:val="24"/>
          <w:szCs w:val="20"/>
          <w:highlight w:val="none"/>
        </w:rPr>
      </w:pPr>
    </w:p>
    <w:p>
      <w:pPr>
        <w:snapToGrid w:val="0"/>
        <w:spacing w:before="165" w:beforeLines="50" w:after="50"/>
        <w:jc w:val="center"/>
        <w:rPr>
          <w:rFonts w:ascii="宋体" w:hAnsi="宋体"/>
          <w:bCs/>
          <w:color w:val="auto"/>
          <w:sz w:val="32"/>
          <w:szCs w:val="32"/>
          <w:highlight w:val="none"/>
        </w:rPr>
      </w:pPr>
      <w:r>
        <w:rPr>
          <w:rFonts w:hint="eastAsia" w:ascii="宋体" w:hAnsi="宋体"/>
          <w:bCs/>
          <w:color w:val="auto"/>
          <w:sz w:val="32"/>
          <w:szCs w:val="32"/>
          <w:highlight w:val="none"/>
        </w:rPr>
        <w:t>投 标 文 件</w:t>
      </w: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rPr>
          <w:rFonts w:ascii="宋体" w:hAnsi="宋体"/>
          <w:bCs/>
          <w:color w:val="auto"/>
          <w:sz w:val="24"/>
          <w:szCs w:val="20"/>
          <w:highlight w:val="none"/>
        </w:rPr>
      </w:pPr>
    </w:p>
    <w:p>
      <w:pPr>
        <w:snapToGrid w:val="0"/>
        <w:spacing w:before="165"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65" w:beforeLines="50" w:after="50"/>
        <w:ind w:firstLine="360" w:firstLineChars="150"/>
        <w:rPr>
          <w:rFonts w:ascii="宋体" w:hAnsi="宋体"/>
          <w:bCs/>
          <w:color w:val="auto"/>
          <w:sz w:val="24"/>
          <w:szCs w:val="20"/>
          <w:highlight w:val="none"/>
        </w:rPr>
      </w:pPr>
    </w:p>
    <w:p>
      <w:pPr>
        <w:snapToGrid w:val="0"/>
        <w:spacing w:before="165"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65" w:beforeLines="50" w:after="50"/>
        <w:ind w:firstLine="360" w:firstLineChars="150"/>
        <w:rPr>
          <w:rFonts w:ascii="宋体" w:hAnsi="宋体"/>
          <w:bCs/>
          <w:color w:val="auto"/>
          <w:sz w:val="24"/>
          <w:szCs w:val="20"/>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投标文件名称：报价文件、资格文件、商务文件、技术文件</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50" w:after="50"/>
        <w:ind w:firstLine="360" w:firstLineChars="150"/>
        <w:rPr>
          <w:rFonts w:ascii="宋体" w:hAnsi="宋体"/>
          <w:bCs/>
          <w:color w:val="auto"/>
          <w:sz w:val="24"/>
          <w:highlight w:val="none"/>
        </w:rPr>
      </w:pPr>
    </w:p>
    <w:p>
      <w:pPr>
        <w:snapToGrid w:val="0"/>
        <w:spacing w:before="50" w:after="50"/>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50" w:after="50"/>
        <w:ind w:firstLine="360" w:firstLineChars="150"/>
        <w:rPr>
          <w:rFonts w:ascii="宋体" w:hAnsi="宋体"/>
          <w:bCs/>
          <w:color w:val="auto"/>
          <w:sz w:val="24"/>
          <w:highlight w:val="none"/>
        </w:rPr>
      </w:pPr>
    </w:p>
    <w:p>
      <w:pPr>
        <w:snapToGrid w:val="0"/>
        <w:spacing w:before="165" w:beforeLines="50" w:after="50"/>
        <w:ind w:firstLine="4080" w:firstLineChars="1700"/>
        <w:rPr>
          <w:rFonts w:ascii="宋体" w:hAnsi="宋体"/>
          <w:bCs/>
          <w:color w:val="auto"/>
          <w:sz w:val="24"/>
          <w:szCs w:val="20"/>
          <w:highlight w:val="none"/>
        </w:rPr>
      </w:pPr>
    </w:p>
    <w:p>
      <w:pPr>
        <w:snapToGrid w:val="0"/>
        <w:spacing w:before="165" w:beforeLines="50" w:after="50"/>
        <w:ind w:firstLine="645"/>
        <w:jc w:val="center"/>
        <w:rPr>
          <w:rFonts w:ascii="宋体" w:hAnsi="宋体"/>
          <w:color w:val="auto"/>
          <w:highlight w:val="none"/>
        </w:rPr>
      </w:pPr>
      <w:r>
        <w:rPr>
          <w:rFonts w:hint="eastAsia" w:ascii="宋体" w:hAnsi="宋体"/>
          <w:bCs/>
          <w:color w:val="auto"/>
          <w:sz w:val="24"/>
          <w:highlight w:val="none"/>
        </w:rPr>
        <w:t xml:space="preserve">                        年    月    日</w:t>
      </w:r>
    </w:p>
    <w:p>
      <w:pPr>
        <w:snapToGrid w:val="0"/>
        <w:spacing w:before="165" w:beforeLines="50" w:after="50"/>
        <w:jc w:val="center"/>
        <w:outlineLvl w:val="1"/>
        <w:rPr>
          <w:rFonts w:ascii="宋体" w:hAnsi="宋体"/>
          <w:color w:val="auto"/>
          <w:highlight w:val="none"/>
        </w:rPr>
      </w:pPr>
    </w:p>
    <w:p>
      <w:pPr>
        <w:snapToGrid w:val="0"/>
        <w:spacing w:before="165" w:beforeLines="50" w:after="50"/>
        <w:jc w:val="center"/>
        <w:outlineLvl w:val="1"/>
        <w:rPr>
          <w:rFonts w:ascii="宋体" w:hAnsi="宋体"/>
          <w:color w:val="auto"/>
          <w:highlight w:val="none"/>
        </w:rPr>
      </w:pPr>
    </w:p>
    <w:p>
      <w:pPr>
        <w:pStyle w:val="7"/>
        <w:rPr>
          <w:rFonts w:ascii="宋体" w:hAnsi="宋体" w:eastAsia="宋体"/>
          <w:b w:val="0"/>
          <w:bCs w:val="0"/>
          <w:color w:val="auto"/>
          <w:sz w:val="21"/>
          <w:highlight w:val="none"/>
        </w:rPr>
      </w:pPr>
    </w:p>
    <w:p>
      <w:pPr>
        <w:rPr>
          <w:color w:val="auto"/>
          <w:highlight w:val="none"/>
        </w:rPr>
      </w:pPr>
    </w:p>
    <w:p>
      <w:pPr>
        <w:pStyle w:val="7"/>
        <w:rPr>
          <w:color w:val="auto"/>
          <w:highlight w:val="none"/>
        </w:rPr>
      </w:pPr>
    </w:p>
    <w:p>
      <w:pPr>
        <w:pStyle w:val="18"/>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投标函（格式）</w:t>
      </w:r>
    </w:p>
    <w:p>
      <w:pPr>
        <w:pStyle w:val="18"/>
        <w:spacing w:line="500" w:lineRule="exact"/>
        <w:rPr>
          <w:rFonts w:ascii="Times New Roman" w:hAnsi="Times New Roman"/>
          <w:color w:val="auto"/>
          <w:sz w:val="32"/>
          <w:highlight w:val="none"/>
        </w:rPr>
      </w:pPr>
    </w:p>
    <w:p>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pPr>
        <w:pStyle w:val="18"/>
        <w:spacing w:line="440" w:lineRule="exact"/>
        <w:ind w:firstLine="420" w:firstLineChars="200"/>
        <w:rPr>
          <w:rFonts w:ascii="Times New Roman" w:hAnsi="Times New Roman"/>
          <w:color w:val="auto"/>
          <w:highlight w:val="none"/>
        </w:rPr>
      </w:pPr>
      <w:r>
        <w:rPr>
          <w:rFonts w:hint="eastAsia"/>
          <w:color w:val="auto"/>
          <w:highlight w:val="none"/>
        </w:rPr>
        <w:t>我方已仔细阅读了贵方组织的</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rPr>
        <w:t xml:space="preserve">             </w:t>
      </w:r>
      <w:r>
        <w:rPr>
          <w:rFonts w:hint="eastAsia"/>
          <w:color w:val="auto"/>
          <w:highlight w:val="none"/>
        </w:rPr>
        <w:t xml:space="preserve">）的招标文件的全部内容，现正式递交下述文件参加贵方组织的本次政府采购活动： </w:t>
      </w:r>
    </w:p>
    <w:p>
      <w:pPr>
        <w:pStyle w:val="18"/>
        <w:spacing w:line="440" w:lineRule="exact"/>
        <w:ind w:firstLine="420" w:firstLineChars="200"/>
        <w:rPr>
          <w:color w:val="auto"/>
          <w:highlight w:val="none"/>
        </w:rPr>
      </w:pPr>
      <w:r>
        <w:rPr>
          <w:rFonts w:hint="eastAsia"/>
          <w:color w:val="auto"/>
          <w:highlight w:val="none"/>
        </w:rPr>
        <w:t>一、报价文件正本一份，副本</w:t>
      </w:r>
      <w:r>
        <w:rPr>
          <w:rFonts w:hint="eastAsia"/>
          <w:color w:val="auto"/>
          <w:highlight w:val="none"/>
          <w:u w:val="single"/>
        </w:rPr>
        <w:t xml:space="preserve">   </w:t>
      </w:r>
      <w:r>
        <w:rPr>
          <w:rFonts w:hint="eastAsia"/>
          <w:color w:val="auto"/>
          <w:highlight w:val="none"/>
        </w:rPr>
        <w:t>份（包含按投标人须知第10.1.1项要求提交的全部文件）；</w:t>
      </w:r>
    </w:p>
    <w:p>
      <w:pPr>
        <w:pStyle w:val="18"/>
        <w:spacing w:line="440" w:lineRule="exact"/>
        <w:ind w:firstLine="482"/>
        <w:rPr>
          <w:color w:val="auto"/>
          <w:highlight w:val="none"/>
        </w:rPr>
      </w:pPr>
      <w:r>
        <w:rPr>
          <w:rFonts w:hint="eastAsia"/>
          <w:color w:val="auto"/>
          <w:highlight w:val="none"/>
        </w:rPr>
        <w:t>二、资格文件正本一份，副本</w:t>
      </w:r>
      <w:r>
        <w:rPr>
          <w:rFonts w:hint="eastAsia"/>
          <w:color w:val="auto"/>
          <w:highlight w:val="none"/>
          <w:u w:val="single"/>
        </w:rPr>
        <w:t xml:space="preserve">   </w:t>
      </w:r>
      <w:r>
        <w:rPr>
          <w:rFonts w:hint="eastAsia"/>
          <w:color w:val="auto"/>
          <w:highlight w:val="none"/>
        </w:rPr>
        <w:t>份（包含按投标人须知第10.1.2项要求提交的全部文件）；</w:t>
      </w:r>
    </w:p>
    <w:p>
      <w:pPr>
        <w:pStyle w:val="18"/>
        <w:spacing w:line="440" w:lineRule="exact"/>
        <w:ind w:firstLine="420" w:firstLineChars="200"/>
        <w:rPr>
          <w:rFonts w:ascii="Times New Roman" w:hAnsi="Times New Roman"/>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文件正本一份，副本</w:t>
      </w:r>
      <w:r>
        <w:rPr>
          <w:rFonts w:hint="eastAsia"/>
          <w:color w:val="auto"/>
          <w:highlight w:val="none"/>
          <w:u w:val="single"/>
        </w:rPr>
        <w:t xml:space="preserve">   </w:t>
      </w:r>
      <w:r>
        <w:rPr>
          <w:rFonts w:hint="eastAsia"/>
          <w:color w:val="auto"/>
          <w:highlight w:val="none"/>
        </w:rPr>
        <w:t>份（包含按投标人须知第10.1.3项要求提交的全部文件）；</w:t>
      </w:r>
    </w:p>
    <w:p>
      <w:pPr>
        <w:pStyle w:val="18"/>
        <w:spacing w:line="440" w:lineRule="exact"/>
        <w:ind w:firstLine="420" w:firstLineChars="200"/>
        <w:rPr>
          <w:rFonts w:ascii="Times New Roman" w:hAnsi="Times New Roman"/>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文件正本一份，副本</w:t>
      </w:r>
      <w:r>
        <w:rPr>
          <w:rFonts w:hint="eastAsia" w:hAnsi="宋体"/>
          <w:color w:val="auto"/>
          <w:highlight w:val="none"/>
          <w:u w:val="single"/>
        </w:rPr>
        <w:t xml:space="preserve">   </w:t>
      </w:r>
      <w:r>
        <w:rPr>
          <w:rFonts w:hint="eastAsia" w:hAnsi="宋体"/>
          <w:color w:val="auto"/>
          <w:highlight w:val="none"/>
        </w:rPr>
        <w:t>份（包含按投标人须知第10.1.4项要求</w:t>
      </w:r>
      <w:r>
        <w:rPr>
          <w:rFonts w:hint="eastAsia"/>
          <w:color w:val="auto"/>
          <w:highlight w:val="none"/>
        </w:rPr>
        <w:t>提交的全部文件）。</w:t>
      </w:r>
    </w:p>
    <w:p>
      <w:pPr>
        <w:pStyle w:val="18"/>
        <w:spacing w:line="440" w:lineRule="exact"/>
        <w:ind w:firstLine="482"/>
        <w:rPr>
          <w:rFonts w:ascii="Times New Roman" w:hAnsi="Times New Roman"/>
          <w:color w:val="auto"/>
          <w:highlight w:val="none"/>
        </w:rPr>
      </w:pPr>
      <w:r>
        <w:rPr>
          <w:rFonts w:hint="eastAsia"/>
          <w:color w:val="auto"/>
          <w:highlight w:val="none"/>
        </w:rPr>
        <w:t>据此函，签字人兹宣布：</w:t>
      </w:r>
    </w:p>
    <w:p>
      <w:pPr>
        <w:pStyle w:val="18"/>
        <w:spacing w:line="440" w:lineRule="exact"/>
        <w:ind w:firstLine="420" w:firstLineChars="200"/>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元)的投标总报价，提交服务成果时间（无分标时填写）</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w:t>
      </w:r>
      <w:r>
        <w:rPr>
          <w:rFonts w:hint="eastAsia"/>
          <w:b/>
          <w:color w:val="auto"/>
          <w:highlight w:val="none"/>
        </w:rPr>
        <w:t>项目需求一览表</w:t>
      </w:r>
      <w:r>
        <w:rPr>
          <w:rFonts w:hint="eastAsia"/>
          <w:color w:val="auto"/>
          <w:highlight w:val="none"/>
        </w:rPr>
        <w:t>”中的相应的采购内容。</w:t>
      </w:r>
    </w:p>
    <w:p>
      <w:pPr>
        <w:pStyle w:val="18"/>
        <w:spacing w:line="440" w:lineRule="exact"/>
        <w:ind w:firstLine="420" w:firstLineChars="200"/>
        <w:rPr>
          <w:rFonts w:ascii="Times New Roman" w:hAnsi="Times New Roman"/>
          <w:color w:val="auto"/>
          <w:highlight w:val="none"/>
        </w:rPr>
      </w:pPr>
      <w:r>
        <w:rPr>
          <w:rFonts w:hint="eastAsia"/>
          <w:color w:val="auto"/>
          <w:highlight w:val="none"/>
        </w:rPr>
        <w:t>其中（有分标时填写）：</w:t>
      </w:r>
    </w:p>
    <w:p>
      <w:pPr>
        <w:pStyle w:val="18"/>
        <w:spacing w:line="360" w:lineRule="exact"/>
        <w:ind w:firstLine="420" w:firstLineChars="200"/>
        <w:rPr>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元)，提交服务成果时间：</w:t>
      </w:r>
      <w:r>
        <w:rPr>
          <w:rFonts w:hint="eastAsia"/>
          <w:color w:val="auto"/>
          <w:highlight w:val="none"/>
          <w:u w:val="single"/>
        </w:rPr>
        <w:t xml:space="preserve">          </w:t>
      </w:r>
      <w:r>
        <w:rPr>
          <w:rFonts w:hint="eastAsia"/>
          <w:color w:val="auto"/>
          <w:highlight w:val="none"/>
        </w:rPr>
        <w:t>；</w:t>
      </w:r>
    </w:p>
    <w:p>
      <w:pPr>
        <w:pStyle w:val="18"/>
        <w:spacing w:line="360" w:lineRule="exact"/>
        <w:ind w:firstLine="420" w:firstLineChars="200"/>
        <w:rPr>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元)，提交服务成果时间：</w:t>
      </w:r>
      <w:r>
        <w:rPr>
          <w:rFonts w:hint="eastAsia"/>
          <w:color w:val="auto"/>
          <w:highlight w:val="none"/>
          <w:u w:val="single"/>
        </w:rPr>
        <w:t xml:space="preserve">          </w:t>
      </w:r>
      <w:r>
        <w:rPr>
          <w:rFonts w:hint="eastAsia"/>
          <w:color w:val="auto"/>
          <w:highlight w:val="none"/>
        </w:rPr>
        <w:t>；</w:t>
      </w:r>
    </w:p>
    <w:p>
      <w:pPr>
        <w:pStyle w:val="18"/>
        <w:spacing w:line="360" w:lineRule="exact"/>
        <w:ind w:firstLine="420" w:firstLineChars="200"/>
        <w:rPr>
          <w:color w:val="auto"/>
          <w:highlight w:val="none"/>
          <w:u w:val="single"/>
        </w:rPr>
      </w:pPr>
      <w:r>
        <w:rPr>
          <w:rFonts w:hint="eastAsia"/>
          <w:color w:val="auto"/>
          <w:highlight w:val="none"/>
        </w:rPr>
        <w:t>......</w:t>
      </w:r>
    </w:p>
    <w:p>
      <w:pPr>
        <w:pStyle w:val="18"/>
        <w:spacing w:line="360" w:lineRule="exact"/>
        <w:ind w:firstLine="420" w:firstLineChars="200"/>
        <w:rPr>
          <w:color w:val="auto"/>
          <w:highlight w:val="none"/>
          <w:u w:val="single"/>
        </w:rPr>
      </w:pPr>
      <w:r>
        <w:rPr>
          <w:rFonts w:hint="eastAsia"/>
          <w:color w:val="auto"/>
          <w:highlight w:val="none"/>
        </w:rPr>
        <w:t>2、我方同意自本项目招标文件“投标人须知”第14.2项规定的投标截止时间（开标时间）起遵循</w:t>
      </w:r>
      <w:r>
        <w:rPr>
          <w:rFonts w:hint="eastAsia" w:hAnsi="宋体"/>
          <w:color w:val="auto"/>
          <w:highlight w:val="none"/>
        </w:rPr>
        <w:t>本投标函</w:t>
      </w:r>
      <w:r>
        <w:rPr>
          <w:rFonts w:hint="eastAsia"/>
          <w:color w:val="auto"/>
          <w:highlight w:val="none"/>
        </w:rPr>
        <w:t>，并承诺在“投标人须知”第12.1项规定的投标有效期内不修改、撤销投标文件。</w:t>
      </w:r>
    </w:p>
    <w:p>
      <w:pPr>
        <w:pStyle w:val="18"/>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pPr>
        <w:pStyle w:val="18"/>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15"/>
        </w:numPr>
        <w:adjustRightInd/>
        <w:spacing w:line="440" w:lineRule="exact"/>
        <w:textAlignment w:val="auto"/>
        <w:rPr>
          <w:color w:val="auto"/>
          <w:highlight w:val="none"/>
        </w:rPr>
      </w:pPr>
      <w:r>
        <w:rPr>
          <w:rFonts w:hint="eastAsia"/>
          <w:color w:val="auto"/>
          <w:highlight w:val="none"/>
        </w:rPr>
        <w:t>具有独立承担民事责任的能力；</w:t>
      </w:r>
    </w:p>
    <w:p>
      <w:pPr>
        <w:pStyle w:val="18"/>
        <w:numPr>
          <w:ilvl w:val="0"/>
          <w:numId w:val="15"/>
        </w:numPr>
        <w:adjustRightInd/>
        <w:spacing w:line="440" w:lineRule="exact"/>
        <w:textAlignment w:val="auto"/>
        <w:rPr>
          <w:color w:val="auto"/>
          <w:highlight w:val="none"/>
        </w:rPr>
      </w:pPr>
      <w:r>
        <w:rPr>
          <w:rFonts w:hint="eastAsia"/>
          <w:color w:val="auto"/>
          <w:highlight w:val="none"/>
        </w:rPr>
        <w:t>具有良好的商业信誉和健全的财务会计制度；</w:t>
      </w:r>
    </w:p>
    <w:p>
      <w:pPr>
        <w:pStyle w:val="18"/>
        <w:numPr>
          <w:ilvl w:val="0"/>
          <w:numId w:val="15"/>
        </w:numPr>
        <w:adjustRightInd/>
        <w:spacing w:line="440" w:lineRule="exact"/>
        <w:textAlignment w:val="auto"/>
        <w:rPr>
          <w:color w:val="auto"/>
          <w:highlight w:val="none"/>
        </w:rPr>
      </w:pPr>
      <w:r>
        <w:rPr>
          <w:rFonts w:hint="eastAsia"/>
          <w:color w:val="auto"/>
          <w:highlight w:val="none"/>
        </w:rPr>
        <w:t>具有履行合同所必需的设备和专业技术能力；</w:t>
      </w:r>
    </w:p>
    <w:p>
      <w:pPr>
        <w:pStyle w:val="18"/>
        <w:numPr>
          <w:ilvl w:val="0"/>
          <w:numId w:val="15"/>
        </w:numPr>
        <w:adjustRightInd/>
        <w:spacing w:line="44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有依法缴纳税收和社会保障资金的良好记录；</w:t>
      </w:r>
    </w:p>
    <w:p>
      <w:pPr>
        <w:pStyle w:val="18"/>
        <w:numPr>
          <w:ilvl w:val="0"/>
          <w:numId w:val="15"/>
        </w:numPr>
        <w:adjustRightInd/>
        <w:spacing w:line="44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参加政府采购活动前三年内，在经营活动中没有重大违法记录；</w:t>
      </w:r>
    </w:p>
    <w:p>
      <w:pPr>
        <w:pStyle w:val="18"/>
        <w:numPr>
          <w:ilvl w:val="0"/>
          <w:numId w:val="15"/>
        </w:numPr>
        <w:adjustRightInd/>
        <w:spacing w:line="44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法律、行政法规规定的其他条件。</w:t>
      </w:r>
    </w:p>
    <w:p>
      <w:pPr>
        <w:pStyle w:val="18"/>
        <w:spacing w:line="440" w:lineRule="exact"/>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如本项目采购内容涉及须符合国家强制规定的，我方承诺我方本次投标（包括资格条件和所投产品）均符合国家有关强制规定。</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6、如我方中标，我方承诺在收到中标通知书后，在中标通知书规定的期限内，</w:t>
      </w:r>
      <w:r>
        <w:rPr>
          <w:rFonts w:hint="eastAsia" w:hAnsi="宋体"/>
          <w:color w:val="000000" w:themeColor="text1"/>
          <w:highlight w:val="none"/>
          <w14:textFill>
            <w14:solidFill>
              <w14:schemeClr w14:val="tx1"/>
            </w14:solidFill>
          </w14:textFill>
        </w:rPr>
        <w:t>根据招标文件、我方的投标文件及有关澄清承诺书的要求按第六章“合同条款及格式”与采购人订立书面合同，并按照合同约定</w:t>
      </w:r>
      <w:r>
        <w:rPr>
          <w:rFonts w:hint="eastAsia"/>
          <w:color w:val="000000" w:themeColor="text1"/>
          <w:highlight w:val="none"/>
          <w14:textFill>
            <w14:solidFill>
              <w14:schemeClr w14:val="tx1"/>
            </w14:solidFill>
          </w14:textFill>
        </w:rPr>
        <w:t>承担完成合同的责任和义务。</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7、我方已详细审核招标文件，我方知道必须放弃提出含糊不清或误解问题的权利。</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8、我方同意应贵方要求提供与本投标有关的任何数据或资料。若贵方需要，我方愿意提供我方作出的一切承诺的证明材料。</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9、我方完全理解贵方不一定接受投标报价最低的投标人为中标供应商的行为。</w:t>
      </w:r>
    </w:p>
    <w:p>
      <w:pPr>
        <w:pStyle w:val="18"/>
        <w:spacing w:line="4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10、我方将严格遵守《中华人民共和国政府采购法》第七十七条的规定，即供应商有下列情形之一的，处以采购金额千分之五以上千分之十</w:t>
      </w:r>
      <w:r>
        <w:rPr>
          <w:rFonts w:hint="eastAsia" w:hAnsi="宋体"/>
          <w:color w:val="000000" w:themeColor="text1"/>
          <w:highlight w:val="none"/>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16"/>
        </w:numPr>
        <w:adjustRightInd/>
        <w:spacing w:line="440" w:lineRule="exact"/>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提供虚假材料谋取中标、成交的；</w:t>
      </w:r>
    </w:p>
    <w:p>
      <w:pPr>
        <w:pStyle w:val="18"/>
        <w:numPr>
          <w:ilvl w:val="0"/>
          <w:numId w:val="16"/>
        </w:numPr>
        <w:adjustRightInd/>
        <w:spacing w:line="440" w:lineRule="exact"/>
        <w:textAlignment w:val="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采取不正当手段诋毁、排挤其他供应商的；</w:t>
      </w:r>
    </w:p>
    <w:p>
      <w:pPr>
        <w:pStyle w:val="18"/>
        <w:numPr>
          <w:ilvl w:val="0"/>
          <w:numId w:val="16"/>
        </w:numPr>
        <w:adjustRightInd/>
        <w:spacing w:line="440" w:lineRule="exact"/>
        <w:textAlignment w:val="auto"/>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与采购人、其他供应商或者采购代理机构恶意串通的；</w:t>
      </w:r>
    </w:p>
    <w:p>
      <w:pPr>
        <w:pStyle w:val="18"/>
        <w:numPr>
          <w:ilvl w:val="0"/>
          <w:numId w:val="16"/>
        </w:numPr>
        <w:adjustRightInd/>
        <w:spacing w:line="440" w:lineRule="exact"/>
        <w:textAlignment w:val="auto"/>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向采购人、采购代理机构行贿或者提供其他不正当利益的；</w:t>
      </w:r>
    </w:p>
    <w:p>
      <w:pPr>
        <w:pStyle w:val="18"/>
        <w:numPr>
          <w:ilvl w:val="0"/>
          <w:numId w:val="16"/>
        </w:numPr>
        <w:adjustRightInd/>
        <w:spacing w:line="440" w:lineRule="exact"/>
        <w:textAlignment w:val="auto"/>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在招标采购过程中与采购人进行协商谈判的；</w:t>
      </w:r>
    </w:p>
    <w:p>
      <w:pPr>
        <w:pStyle w:val="18"/>
        <w:numPr>
          <w:ilvl w:val="0"/>
          <w:numId w:val="16"/>
        </w:numPr>
        <w:adjustRightInd/>
        <w:spacing w:line="440" w:lineRule="exact"/>
        <w:textAlignment w:val="auto"/>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拒绝有关部门监督检查或提供虚假情况的。</w:t>
      </w:r>
    </w:p>
    <w:p>
      <w:pPr>
        <w:pStyle w:val="18"/>
        <w:spacing w:line="440" w:lineRule="exact"/>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11、我方及由本人担任法定代表人的其他机构最近三年内被处罚的违法行为有：</w:t>
      </w:r>
      <w:r>
        <w:rPr>
          <w:rFonts w:hint="eastAsia"/>
          <w:color w:val="000000" w:themeColor="text1"/>
          <w:highlight w:val="none"/>
          <w:u w:val="single"/>
          <w14:textFill>
            <w14:solidFill>
              <w14:schemeClr w14:val="tx1"/>
            </w14:solidFill>
          </w14:textFill>
        </w:rPr>
        <w:t xml:space="preserve">                                        </w:t>
      </w:r>
    </w:p>
    <w:p>
      <w:pPr>
        <w:pStyle w:val="18"/>
        <w:spacing w:line="440" w:lineRule="exact"/>
        <w:ind w:left="420"/>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12、以上事项如有虚假或隐瞒，我方愿意承担一切后果，并不再寻求任何旨在减轻或免除法律责任的辩解。</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（盖单位公章）</w:t>
      </w:r>
    </w:p>
    <w:p>
      <w:pPr>
        <w:pStyle w:val="18"/>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法定代表人或其委托代理人：</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（签字或盖章）</w:t>
      </w:r>
    </w:p>
    <w:p>
      <w:pPr>
        <w:pStyle w:val="18"/>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电话：</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r>
        <w:rPr>
          <w:rFonts w:hint="eastAsia"/>
          <w:color w:val="000000" w:themeColor="text1"/>
          <w:highlight w:val="none"/>
          <w:u w:val="single"/>
          <w14:textFill>
            <w14:solidFill>
              <w14:schemeClr w14:val="tx1"/>
            </w14:solidFill>
          </w14:textFill>
        </w:rPr>
        <w:t>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邮政编码：</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开户名称：</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开户银行：</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银行账号：</w:t>
      </w:r>
      <w:r>
        <w:rPr>
          <w:rFonts w:hint="eastAsia"/>
          <w:color w:val="000000" w:themeColor="text1"/>
          <w:highlight w:val="none"/>
          <w:u w:val="single"/>
          <w14:textFill>
            <w14:solidFill>
              <w14:schemeClr w14:val="tx1"/>
            </w14:solidFill>
          </w14:textFill>
        </w:rPr>
        <w:t xml:space="preserve">                                                    </w:t>
      </w:r>
    </w:p>
    <w:p>
      <w:pPr>
        <w:pStyle w:val="18"/>
        <w:spacing w:line="360" w:lineRule="auto"/>
        <w:ind w:firstLine="420"/>
        <w:jc w:val="right"/>
        <w:rPr>
          <w:color w:val="000000" w:themeColor="text1"/>
          <w:highlight w:val="none"/>
          <w:u w:val="single"/>
          <w14:textFill>
            <w14:solidFill>
              <w14:schemeClr w14:val="tx1"/>
            </w14:solidFill>
          </w14:textFill>
        </w:rPr>
      </w:pPr>
      <w:r>
        <w:rPr>
          <w:rFonts w:hint="eastAsia"/>
          <w:bCs/>
          <w:color w:val="000000" w:themeColor="text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年</w:t>
      </w:r>
      <w:r>
        <w:rPr>
          <w:rFonts w:hint="eastAsia"/>
          <w:bCs/>
          <w:color w:val="000000" w:themeColor="text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月</w:t>
      </w:r>
      <w:r>
        <w:rPr>
          <w:rFonts w:hint="eastAsia"/>
          <w:bCs/>
          <w:color w:val="000000" w:themeColor="text1"/>
          <w:highlight w:val="none"/>
          <w:u w:val="single"/>
          <w14:textFill>
            <w14:solidFill>
              <w14:schemeClr w14:val="tx1"/>
            </w14:solidFill>
          </w14:textFill>
        </w:rPr>
        <w:t xml:space="preserve">    </w:t>
      </w:r>
      <w:r>
        <w:rPr>
          <w:rFonts w:hint="eastAsia"/>
          <w:bCs/>
          <w:color w:val="000000" w:themeColor="text1"/>
          <w:szCs w:val="21"/>
          <w:highlight w:val="none"/>
          <w14:textFill>
            <w14:solidFill>
              <w14:schemeClr w14:val="tx1"/>
            </w14:solidFill>
          </w14:textFill>
        </w:rPr>
        <w:t>日</w:t>
      </w:r>
    </w:p>
    <w:p>
      <w:pPr>
        <w:pStyle w:val="18"/>
        <w:spacing w:line="360" w:lineRule="exact"/>
        <w:ind w:firstLine="420"/>
        <w:rPr>
          <w:color w:val="000000" w:themeColor="text1"/>
          <w:highlight w:val="none"/>
          <w:u w:val="single"/>
          <w14:textFill>
            <w14:solidFill>
              <w14:schemeClr w14:val="tx1"/>
            </w14:solidFill>
          </w14:textFill>
        </w:rPr>
      </w:pPr>
      <w:r>
        <w:rPr>
          <w:rFonts w:ascii="黑体" w:eastAsia="黑体"/>
          <w:b/>
          <w:bCs/>
          <w:color w:val="000000" w:themeColor="text1"/>
          <w:highlight w:val="none"/>
          <w14:textFill>
            <w14:solidFill>
              <w14:schemeClr w14:val="tx1"/>
            </w14:solidFill>
          </w14:textFill>
        </w:rPr>
        <w:br w:type="page"/>
      </w:r>
    </w:p>
    <w:p>
      <w:pPr>
        <w:snapToGrid w:val="0"/>
        <w:spacing w:before="50" w:after="50"/>
        <w:jc w:val="center"/>
        <w:rPr>
          <w:color w:val="000000" w:themeColor="text1"/>
          <w:sz w:val="28"/>
          <w:szCs w:val="28"/>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开标一览表</w:t>
      </w:r>
      <w:r>
        <w:rPr>
          <w:rFonts w:hint="eastAsia"/>
          <w:color w:val="000000" w:themeColor="text1"/>
          <w:sz w:val="28"/>
          <w:szCs w:val="28"/>
          <w:highlight w:val="none"/>
          <w14:textFill>
            <w14:solidFill>
              <w14:schemeClr w14:val="tx1"/>
            </w14:solidFill>
          </w14:textFill>
        </w:rPr>
        <w:t>（格式）</w:t>
      </w:r>
    </w:p>
    <w:p>
      <w:pPr>
        <w:pStyle w:val="18"/>
        <w:spacing w:line="4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p>
      <w:pPr>
        <w:pStyle w:val="18"/>
        <w:spacing w:line="4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招标编号：</w:t>
      </w:r>
    </w:p>
    <w:tbl>
      <w:tblPr>
        <w:tblStyle w:val="33"/>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97"/>
        <w:gridCol w:w="2289"/>
        <w:gridCol w:w="1198"/>
        <w:gridCol w:w="1397"/>
        <w:gridCol w:w="168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序号</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lang w:val="en-US" w:eastAsia="zh-CN"/>
                <w14:textFill>
                  <w14:solidFill>
                    <w14:schemeClr w14:val="tx1"/>
                  </w14:solidFill>
                </w14:textFill>
              </w:rPr>
              <w:t>服务</w:t>
            </w:r>
            <w:r>
              <w:rPr>
                <w:rFonts w:hint="eastAsia" w:hAnsi="宋体"/>
                <w:color w:val="000000" w:themeColor="text1"/>
                <w:szCs w:val="21"/>
                <w:highlight w:val="none"/>
                <w14:textFill>
                  <w14:solidFill>
                    <w14:schemeClr w14:val="tx1"/>
                  </w14:solidFill>
                </w14:textFill>
              </w:rPr>
              <w:t>名称</w:t>
            </w: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olor w:val="000000" w:themeColor="text1"/>
                <w:szCs w:val="21"/>
                <w:highlight w:val="none"/>
                <w:lang w:val="en-US" w:eastAsia="zh-CN"/>
                <w14:textFill>
                  <w14:solidFill>
                    <w14:schemeClr w14:val="tx1"/>
                  </w14:solidFill>
                </w14:textFill>
              </w:rPr>
            </w:pPr>
            <w:r>
              <w:rPr>
                <w:rFonts w:hint="eastAsia" w:hAnsi="宋体"/>
                <w:color w:val="000000" w:themeColor="text1"/>
                <w:szCs w:val="21"/>
                <w:highlight w:val="none"/>
                <w:lang w:val="en-US" w:eastAsia="zh-CN"/>
                <w14:textFill>
                  <w14:solidFill>
                    <w14:schemeClr w14:val="tx1"/>
                  </w14:solidFill>
                </w14:textFill>
              </w:rPr>
              <w:t>规格型号、品牌或生产厂家、原产地</w:t>
            </w: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数量及单位①</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单价(元)②</w:t>
            </w: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单项合价（元）</w:t>
            </w:r>
          </w:p>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③＝①×②</w:t>
            </w: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报价合计（包含税费等所有费用）：（大写）人民币</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u w:val="single"/>
                <w14:textFill>
                  <w14:solidFill>
                    <w14:schemeClr w14:val="tx1"/>
                  </w14:solidFill>
                </w14:textFill>
              </w:rPr>
              <w:t>　　</w:t>
            </w:r>
            <w:r>
              <w:rPr>
                <w:rFonts w:hint="eastAsia" w:hAnsi="宋体"/>
                <w:color w:val="000000" w:themeColor="text1"/>
                <w:szCs w:val="21"/>
                <w:highlight w:val="none"/>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法定代表人或其委托代理人（签字或盖章）：</w:t>
            </w:r>
          </w:p>
        </w:tc>
      </w:tr>
    </w:tbl>
    <w:p>
      <w:pPr>
        <w:pStyle w:val="18"/>
        <w:spacing w:line="500" w:lineRule="exact"/>
        <w:rPr>
          <w:rFonts w:ascii="Times New Roman" w:hAnsi="Times New Roman"/>
          <w:b/>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注：表格内容均需按要求填写并盖章，不得留空, 否则按投标无效处理。</w:t>
      </w:r>
    </w:p>
    <w:p>
      <w:pPr>
        <w:pStyle w:val="18"/>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br w:type="page"/>
      </w:r>
      <w:r>
        <w:rPr>
          <w:rFonts w:hint="eastAsia" w:ascii="Times New Roman" w:hAnsi="Times New Roman"/>
          <w:b/>
          <w:color w:val="000000" w:themeColor="text1"/>
          <w:sz w:val="30"/>
          <w:szCs w:val="30"/>
          <w:highlight w:val="none"/>
          <w14:textFill>
            <w14:solidFill>
              <w14:schemeClr w14:val="tx1"/>
            </w14:solidFill>
          </w14:textFill>
        </w:rPr>
        <w:t>中小企业声明函（格式）</w:t>
      </w:r>
    </w:p>
    <w:p>
      <w:pPr>
        <w:pStyle w:val="15"/>
        <w:spacing w:line="240" w:lineRule="auto"/>
        <w:ind w:firstLine="0"/>
        <w:rPr>
          <w:rFonts w:ascii="Times New Roman" w:hAnsi="Times New Roman"/>
          <w:color w:val="000000" w:themeColor="text1"/>
          <w:sz w:val="21"/>
          <w:szCs w:val="21"/>
          <w:highlight w:val="none"/>
          <w14:textFill>
            <w14:solidFill>
              <w14:schemeClr w14:val="tx1"/>
            </w14:solidFill>
          </w14:textFill>
        </w:rPr>
      </w:pPr>
      <w:r>
        <w:rPr>
          <w:rFonts w:hint="eastAsia" w:ascii="Times New Roman" w:hAnsi="宋体"/>
          <w:color w:val="000000" w:themeColor="text1"/>
          <w:sz w:val="21"/>
          <w:szCs w:val="21"/>
          <w:highlight w:val="none"/>
          <w14:textFill>
            <w14:solidFill>
              <w14:schemeClr w14:val="tx1"/>
            </w14:solidFill>
          </w14:textFill>
        </w:rPr>
        <w:t>说明：</w:t>
      </w:r>
    </w:p>
    <w:p>
      <w:pPr>
        <w:pStyle w:val="15"/>
        <w:spacing w:line="240" w:lineRule="auto"/>
        <w:ind w:firstLine="404"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hint="eastAsia" w:ascii="Times New Roman" w:hAnsi="宋体"/>
          <w:color w:val="000000" w:themeColor="text1"/>
          <w:sz w:val="21"/>
          <w:szCs w:val="21"/>
          <w:highlight w:val="none"/>
          <w14:textFill>
            <w14:solidFill>
              <w14:schemeClr w14:val="tx1"/>
            </w14:solidFill>
          </w14:textFill>
        </w:rPr>
        <w:t>、本声明函主要供参加政府采购活动的中小企业填写，非中小企业无需填写。</w:t>
      </w:r>
    </w:p>
    <w:p>
      <w:pPr>
        <w:pStyle w:val="15"/>
        <w:spacing w:line="240" w:lineRule="auto"/>
        <w:ind w:firstLine="404" w:firstLineChars="200"/>
        <w:rPr>
          <w:rFonts w:ascii="Times New Roman" w:hAnsi="宋体"/>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宋体"/>
          <w:color w:val="000000" w:themeColor="text1"/>
          <w:sz w:val="21"/>
          <w:szCs w:val="21"/>
          <w:highlight w:val="none"/>
          <w14:textFill>
            <w14:solidFill>
              <w14:schemeClr w14:val="tx1"/>
            </w14:solidFill>
          </w14:textFill>
        </w:rPr>
        <w:t>、小型、微型企业提供中型企业制造的货物的，视同为中型企业。</w:t>
      </w:r>
    </w:p>
    <w:p>
      <w:pPr>
        <w:pStyle w:val="15"/>
        <w:spacing w:line="360" w:lineRule="auto"/>
        <w:ind w:firstLine="404" w:firstLineChars="200"/>
        <w:rPr>
          <w:rFonts w:ascii="Times New Roman" w:hAnsi="Times New Roman"/>
          <w:color w:val="000000" w:themeColor="text1"/>
          <w:sz w:val="21"/>
          <w:szCs w:val="21"/>
          <w:highlight w:val="none"/>
          <w14:textFill>
            <w14:solidFill>
              <w14:schemeClr w14:val="tx1"/>
            </w14:solidFill>
          </w14:textFill>
        </w:rPr>
      </w:pP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本公司郑重声明，根据《政府采购促进中小企业发展暂行办法》（财库〔</w:t>
      </w:r>
      <w:r>
        <w:rPr>
          <w:rFonts w:ascii="Times New Roman" w:hAnsi="Times New Roman"/>
          <w:color w:val="000000" w:themeColor="text1"/>
          <w:szCs w:val="21"/>
          <w:highlight w:val="none"/>
          <w14:textFill>
            <w14:solidFill>
              <w14:schemeClr w14:val="tx1"/>
            </w14:solidFill>
          </w14:textFill>
        </w:rPr>
        <w:t>2011</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181</w:t>
      </w:r>
      <w:r>
        <w:rPr>
          <w:rFonts w:hint="eastAsia" w:ascii="Times New Roman" w:hAnsi="Times New Roman"/>
          <w:color w:val="000000" w:themeColor="text1"/>
          <w:szCs w:val="21"/>
          <w:highlight w:val="none"/>
          <w14:textFill>
            <w14:solidFill>
              <w14:schemeClr w14:val="tx1"/>
            </w14:solidFill>
          </w14:textFill>
        </w:rPr>
        <w:t>号）的规定，本公司为</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（请填写：中型、小型、微型）企业。即，本公司同时满足以下条件：</w:t>
      </w: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r>
        <w:rPr>
          <w:rFonts w:hint="eastAsia" w:ascii="Times New Roman" w:hAnsi="宋体"/>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Times New Roman" w:hAnsi="Times New Roman"/>
          <w:color w:val="000000" w:themeColor="text1"/>
          <w:szCs w:val="21"/>
          <w:highlight w:val="none"/>
          <w14:textFill>
            <w14:solidFill>
              <w14:schemeClr w14:val="tx1"/>
            </w14:solidFill>
          </w14:textFill>
        </w:rPr>
        <w:t>2011</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300</w:t>
      </w:r>
      <w:r>
        <w:rPr>
          <w:rFonts w:hint="eastAsia" w:ascii="Times New Roman" w:hAnsi="Times New Roman"/>
          <w:color w:val="000000" w:themeColor="text1"/>
          <w:szCs w:val="21"/>
          <w:highlight w:val="none"/>
          <w14:textFill>
            <w14:solidFill>
              <w14:schemeClr w14:val="tx1"/>
            </w14:solidFill>
          </w14:textFill>
        </w:rPr>
        <w:t>号）规定的划分标准，本公司为</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（请填写：中型、小型、微型）企业。</w:t>
      </w: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w:t>
      </w:r>
      <w:r>
        <w:rPr>
          <w:rFonts w:hint="eastAsia" w:ascii="Times New Roman" w:hAnsi="宋体"/>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本公司参加</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单位的</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项目采购活动提供本企业制造的货物，由本企业承担工程、提供服务，或者提供其他</w:t>
      </w:r>
      <w:r>
        <w:rPr>
          <w:rFonts w:ascii="Times New Roman" w:hAnsi="Times New Roman"/>
          <w:color w:val="000000" w:themeColor="text1"/>
          <w:szCs w:val="21"/>
          <w:highlight w:val="none"/>
          <w14:textFill>
            <w14:solidFill>
              <w14:schemeClr w14:val="tx1"/>
            </w14:solidFill>
          </w14:textFill>
        </w:rPr>
        <w:t>______</w:t>
      </w:r>
      <w:r>
        <w:rPr>
          <w:rFonts w:hint="eastAsia" w:ascii="Times New Roman" w:hAnsi="Times New Roman"/>
          <w:color w:val="000000" w:themeColor="text1"/>
          <w:szCs w:val="21"/>
          <w:highlight w:val="none"/>
          <w14:textFill>
            <w14:solidFill>
              <w14:schemeClr w14:val="tx1"/>
            </w14:solidFill>
          </w14:textFill>
        </w:rPr>
        <w:t>（请填写：中型、小型、微型）企业制造的货物。本条所称货物不包括使用大型企业注册商标的货物。</w:t>
      </w: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本公司对上述声明的真实性负责。如有虚假，将依法承担相应责任。</w:t>
      </w: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p>
    <w:p>
      <w:pPr>
        <w:pStyle w:val="18"/>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p>
    <w:p>
      <w:pPr>
        <w:pStyle w:val="18"/>
        <w:spacing w:line="360" w:lineRule="auto"/>
        <w:ind w:firstLine="420" w:firstLineChars="200"/>
        <w:rPr>
          <w:color w:val="000000" w:themeColor="text1"/>
          <w:highlight w:val="none"/>
          <w14:textFill>
            <w14:solidFill>
              <w14:schemeClr w14:val="tx1"/>
            </w14:solidFill>
          </w14:textFill>
        </w:rPr>
      </w:pPr>
    </w:p>
    <w:p>
      <w:pPr>
        <w:pStyle w:val="18"/>
        <w:spacing w:line="6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投标人（盖单位公章）：</w:t>
      </w:r>
      <w:r>
        <w:rPr>
          <w:rFonts w:ascii="Times New Roman" w:hAnsi="Times New Roman"/>
          <w:color w:val="000000" w:themeColor="text1"/>
          <w:highlight w:val="none"/>
          <w:u w:val="single"/>
          <w14:textFill>
            <w14:solidFill>
              <w14:schemeClr w14:val="tx1"/>
            </w14:solidFill>
          </w14:textFill>
        </w:rPr>
        <w:t xml:space="preserve">                                    </w:t>
      </w:r>
    </w:p>
    <w:p>
      <w:pPr>
        <w:pStyle w:val="18"/>
        <w:spacing w:line="600" w:lineRule="exact"/>
        <w:rPr>
          <w:rFonts w:ascii="Times New Roman" w:hAnsi="Times New Roman"/>
          <w:color w:val="000000" w:themeColor="text1"/>
          <w:highlight w:val="none"/>
          <w:u w:val="single"/>
          <w14:textFill>
            <w14:solidFill>
              <w14:schemeClr w14:val="tx1"/>
            </w14:solidFill>
          </w14:textFill>
        </w:rPr>
      </w:pPr>
    </w:p>
    <w:p>
      <w:pPr>
        <w:pStyle w:val="18"/>
        <w:spacing w:line="5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法定代表人或其委托代理人（签字或盖章）：</w:t>
      </w:r>
      <w:r>
        <w:rPr>
          <w:rFonts w:ascii="Times New Roman" w:hAnsi="Times New Roman"/>
          <w:color w:val="000000" w:themeColor="text1"/>
          <w:highlight w:val="none"/>
          <w:u w:val="single"/>
          <w14:textFill>
            <w14:solidFill>
              <w14:schemeClr w14:val="tx1"/>
            </w14:solidFill>
          </w14:textFill>
        </w:rPr>
        <w:t xml:space="preserve">                  </w:t>
      </w:r>
    </w:p>
    <w:p>
      <w:pPr>
        <w:pStyle w:val="18"/>
        <w:spacing w:line="360" w:lineRule="auto"/>
        <w:jc w:val="center"/>
        <w:rPr>
          <w:b/>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30"/>
          <w:szCs w:val="30"/>
          <w:highlight w:val="none"/>
          <w14:textFill>
            <w14:solidFill>
              <w14:schemeClr w14:val="tx1"/>
            </w14:solidFill>
          </w14:textFill>
        </w:rPr>
        <w:t>残疾人福利性单位声明函（格式）</w:t>
      </w:r>
    </w:p>
    <w:p>
      <w:pPr>
        <w:pStyle w:val="18"/>
        <w:spacing w:line="360" w:lineRule="auto"/>
        <w:jc w:val="center"/>
        <w:rPr>
          <w:b/>
          <w:color w:val="000000" w:themeColor="text1"/>
          <w:sz w:val="30"/>
          <w:szCs w:val="30"/>
          <w:highlight w:val="none"/>
          <w14:textFill>
            <w14:solidFill>
              <w14:schemeClr w14:val="tx1"/>
            </w14:solidFill>
          </w14:textFill>
        </w:rPr>
      </w:pPr>
    </w:p>
    <w:p>
      <w:pPr>
        <w:pStyle w:val="18"/>
        <w:spacing w:line="360" w:lineRule="auto"/>
        <w:jc w:val="left"/>
        <w:rPr>
          <w:b/>
          <w:color w:val="000000" w:themeColor="text1"/>
          <w:szCs w:val="21"/>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 xml:space="preserve">  </w:t>
      </w:r>
      <w:r>
        <w:rPr>
          <w:rFonts w:hint="eastAsia"/>
          <w:b/>
          <w:color w:val="000000" w:themeColor="text1"/>
          <w:szCs w:val="21"/>
          <w:highlight w:val="none"/>
          <w14:textFill>
            <w14:solidFill>
              <w14:schemeClr w14:val="tx1"/>
            </w14:solidFill>
          </w14:textFill>
        </w:rPr>
        <w:t xml:space="preserve"> 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8"/>
        <w:spacing w:line="360" w:lineRule="auto"/>
        <w:jc w:val="lef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本公司对上述声明的真实性负责。如有虚假，将依法承担相应责任。</w:t>
      </w:r>
    </w:p>
    <w:p>
      <w:pPr>
        <w:pStyle w:val="18"/>
        <w:spacing w:line="360" w:lineRule="auto"/>
        <w:jc w:val="left"/>
        <w:rPr>
          <w:b/>
          <w:color w:val="000000" w:themeColor="text1"/>
          <w:szCs w:val="21"/>
          <w:highlight w:val="none"/>
          <w14:textFill>
            <w14:solidFill>
              <w14:schemeClr w14:val="tx1"/>
            </w14:solidFill>
          </w14:textFill>
        </w:rPr>
      </w:pPr>
    </w:p>
    <w:p>
      <w:pPr>
        <w:pStyle w:val="18"/>
        <w:spacing w:line="360" w:lineRule="auto"/>
        <w:jc w:val="left"/>
        <w:rPr>
          <w:b/>
          <w:color w:val="000000" w:themeColor="text1"/>
          <w:szCs w:val="21"/>
          <w:highlight w:val="none"/>
          <w14:textFill>
            <w14:solidFill>
              <w14:schemeClr w14:val="tx1"/>
            </w14:solidFill>
          </w14:textFill>
        </w:rPr>
      </w:pPr>
    </w:p>
    <w:p>
      <w:pPr>
        <w:pStyle w:val="18"/>
        <w:spacing w:line="360" w:lineRule="auto"/>
        <w:jc w:val="lef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投标人（盖单位公章）：                             </w:t>
      </w:r>
    </w:p>
    <w:p>
      <w:pPr>
        <w:pStyle w:val="18"/>
        <w:spacing w:line="360" w:lineRule="auto"/>
        <w:jc w:val="left"/>
        <w:rPr>
          <w:b/>
          <w:color w:val="000000" w:themeColor="text1"/>
          <w:szCs w:val="21"/>
          <w:highlight w:val="none"/>
          <w14:textFill>
            <w14:solidFill>
              <w14:schemeClr w14:val="tx1"/>
            </w14:solidFill>
          </w14:textFill>
        </w:rPr>
      </w:pPr>
    </w:p>
    <w:p>
      <w:pPr>
        <w:pStyle w:val="18"/>
        <w:spacing w:line="360" w:lineRule="auto"/>
        <w:jc w:val="left"/>
        <w:rPr>
          <w:rFonts w:ascii="Times New Roman" w:hAnsi="Times New Roman"/>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法定代表人或其委托代理人（签字或盖章）：         </w:t>
      </w:r>
      <w:r>
        <w:rPr>
          <w:rFonts w:hint="eastAsia"/>
          <w:b/>
          <w:color w:val="000000" w:themeColor="text1"/>
          <w:sz w:val="18"/>
          <w:szCs w:val="18"/>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br w:type="page"/>
      </w:r>
    </w:p>
    <w:p>
      <w:pPr>
        <w:pStyle w:val="18"/>
        <w:spacing w:line="5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hAnsi="宋体"/>
          <w:b/>
          <w:color w:val="000000" w:themeColor="text1"/>
          <w:sz w:val="30"/>
          <w:szCs w:val="30"/>
          <w:highlight w:val="none"/>
          <w14:textFill>
            <w14:solidFill>
              <w14:schemeClr w14:val="tx1"/>
            </w14:solidFill>
          </w14:textFill>
        </w:rPr>
        <w:t>广西工业产品声明函</w:t>
      </w:r>
      <w:r>
        <w:rPr>
          <w:rFonts w:hint="eastAsia" w:ascii="Times New Roman" w:hAnsi="Times New Roman"/>
          <w:b/>
          <w:bCs/>
          <w:color w:val="000000" w:themeColor="text1"/>
          <w:sz w:val="30"/>
          <w:szCs w:val="30"/>
          <w:highlight w:val="none"/>
          <w14:textFill>
            <w14:solidFill>
              <w14:schemeClr w14:val="tx1"/>
            </w14:solidFill>
          </w14:textFill>
        </w:rPr>
        <w:t>（格式）</w:t>
      </w:r>
    </w:p>
    <w:p>
      <w:pPr>
        <w:pStyle w:val="18"/>
        <w:rPr>
          <w:rFonts w:ascii="Times New Roman" w:hAnsi="Times New Roman"/>
          <w:b/>
          <w:color w:val="000000" w:themeColor="text1"/>
          <w:sz w:val="24"/>
          <w:highlight w:val="none"/>
          <w14:textFill>
            <w14:solidFill>
              <w14:schemeClr w14:val="tx1"/>
            </w14:solidFill>
          </w14:textFill>
        </w:rPr>
      </w:pPr>
    </w:p>
    <w:p>
      <w:pPr>
        <w:pStyle w:val="15"/>
        <w:spacing w:line="240" w:lineRule="auto"/>
        <w:ind w:firstLine="0"/>
        <w:rPr>
          <w:rFonts w:ascii="Times New Roman" w:hAnsi="Times New Roman"/>
          <w:color w:val="000000" w:themeColor="text1"/>
          <w:sz w:val="21"/>
          <w:szCs w:val="21"/>
          <w:highlight w:val="none"/>
          <w14:textFill>
            <w14:solidFill>
              <w14:schemeClr w14:val="tx1"/>
            </w14:solidFill>
          </w14:textFill>
        </w:rPr>
      </w:pPr>
      <w:r>
        <w:rPr>
          <w:rFonts w:hint="eastAsia" w:ascii="Times New Roman" w:hAnsi="宋体"/>
          <w:color w:val="000000" w:themeColor="text1"/>
          <w:sz w:val="21"/>
          <w:szCs w:val="21"/>
          <w:highlight w:val="none"/>
          <w14:textFill>
            <w14:solidFill>
              <w14:schemeClr w14:val="tx1"/>
            </w14:solidFill>
          </w14:textFill>
        </w:rPr>
        <w:t>说</w:t>
      </w:r>
      <w:r>
        <w:rPr>
          <w:rFonts w:hint="eastAsia" w:ascii="Times New Roman" w:hAnsi="Times New Roman"/>
          <w:color w:val="000000" w:themeColor="text1"/>
          <w:sz w:val="21"/>
          <w:szCs w:val="21"/>
          <w:highlight w:val="none"/>
          <w14:textFill>
            <w14:solidFill>
              <w14:schemeClr w14:val="tx1"/>
            </w14:solidFill>
          </w14:textFill>
        </w:rPr>
        <w:t>明：</w:t>
      </w:r>
    </w:p>
    <w:p>
      <w:pPr>
        <w:pStyle w:val="15"/>
        <w:spacing w:line="24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hint="eastAsia" w:ascii="Times New Roman" w:hAnsi="Times New Roman"/>
          <w:color w:val="000000" w:themeColor="text1"/>
          <w:sz w:val="21"/>
          <w:szCs w:val="21"/>
          <w:highlight w:val="none"/>
          <w14:textFill>
            <w14:solidFill>
              <w14:schemeClr w14:val="tx1"/>
            </w14:solidFill>
          </w14:textFill>
        </w:rPr>
        <w:t>、本文件所指广西工业产品，是指广西境内生产的工业产品，具体以生产企业的工商营业执照注册所在地为准。</w:t>
      </w:r>
    </w:p>
    <w:p>
      <w:pPr>
        <w:pStyle w:val="15"/>
        <w:spacing w:line="24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、本细则所指使用广西工业产品</w:t>
      </w:r>
      <w:r>
        <w:rPr>
          <w:rFonts w:ascii="Times New Roman" w:hAnsi="Times New Roman"/>
          <w:color w:val="000000" w:themeColor="text1"/>
          <w:sz w:val="21"/>
          <w:szCs w:val="21"/>
          <w:highlight w:val="none"/>
          <w14:textFill>
            <w14:solidFill>
              <w14:schemeClr w14:val="tx1"/>
            </w14:solidFill>
          </w14:textFill>
        </w:rPr>
        <w:t xml:space="preserve"> 80%</w:t>
      </w:r>
      <w:r>
        <w:rPr>
          <w:rFonts w:hint="eastAsia" w:ascii="Times New Roman" w:hAnsi="Times New Roman"/>
          <w:color w:val="000000" w:themeColor="text1"/>
          <w:sz w:val="21"/>
          <w:szCs w:val="21"/>
          <w:highlight w:val="none"/>
          <w14:textFill>
            <w14:solidFill>
              <w14:schemeClr w14:val="tx1"/>
            </w14:solidFill>
          </w14:textFill>
        </w:rPr>
        <w:t>以上，是指参加政府采购项目或招标项目时供货范围中采用广西工业产品的金额占本次投标或竞标总金额的</w:t>
      </w:r>
      <w:r>
        <w:rPr>
          <w:rFonts w:ascii="Times New Roman" w:hAnsi="Times New Roman"/>
          <w:color w:val="000000" w:themeColor="text1"/>
          <w:sz w:val="21"/>
          <w:szCs w:val="21"/>
          <w:highlight w:val="none"/>
          <w14:textFill>
            <w14:solidFill>
              <w14:schemeClr w14:val="tx1"/>
            </w14:solidFill>
          </w14:textFill>
        </w:rPr>
        <w:t>80%</w:t>
      </w:r>
      <w:r>
        <w:rPr>
          <w:rFonts w:hint="eastAsia" w:ascii="Times New Roman" w:hAnsi="Times New Roman"/>
          <w:color w:val="000000" w:themeColor="text1"/>
          <w:sz w:val="21"/>
          <w:szCs w:val="21"/>
          <w:highlight w:val="none"/>
          <w14:textFill>
            <w14:solidFill>
              <w14:schemeClr w14:val="tx1"/>
            </w14:solidFill>
          </w14:textFill>
        </w:rPr>
        <w:t>以上（含）；或者工程建设使用广西工业产品占工程建设所需产品总金额的</w:t>
      </w:r>
      <w:r>
        <w:rPr>
          <w:rFonts w:ascii="Times New Roman" w:hAnsi="Times New Roman"/>
          <w:color w:val="000000" w:themeColor="text1"/>
          <w:sz w:val="21"/>
          <w:szCs w:val="21"/>
          <w:highlight w:val="none"/>
          <w14:textFill>
            <w14:solidFill>
              <w14:schemeClr w14:val="tx1"/>
            </w14:solidFill>
          </w14:textFill>
        </w:rPr>
        <w:t>80%</w:t>
      </w:r>
      <w:r>
        <w:rPr>
          <w:rFonts w:hint="eastAsia" w:ascii="Times New Roman" w:hAnsi="Times New Roman"/>
          <w:color w:val="000000" w:themeColor="text1"/>
          <w:sz w:val="21"/>
          <w:szCs w:val="21"/>
          <w:highlight w:val="none"/>
          <w14:textFill>
            <w14:solidFill>
              <w14:schemeClr w14:val="tx1"/>
            </w14:solidFill>
          </w14:textFill>
        </w:rPr>
        <w:t>以上（含）。</w:t>
      </w:r>
    </w:p>
    <w:p>
      <w:pPr>
        <w:pStyle w:val="15"/>
        <w:spacing w:line="24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3</w:t>
      </w:r>
      <w:r>
        <w:rPr>
          <w:rFonts w:hint="eastAsia" w:ascii="Times New Roman" w:hAnsi="Times New Roman"/>
          <w:color w:val="000000" w:themeColor="text1"/>
          <w:sz w:val="21"/>
          <w:szCs w:val="21"/>
          <w:highlight w:val="none"/>
          <w14:textFill>
            <w14:solidFill>
              <w14:schemeClr w14:val="tx1"/>
            </w14:solidFill>
          </w14:textFill>
        </w:rPr>
        <w:t>、发现投标人提供虚假材料、采购单位履约过程中中标供应商未按投标文件《广西工业产品声明函》中使用广西工业产品或者使用广西工业产品未达</w:t>
      </w:r>
      <w:r>
        <w:rPr>
          <w:rFonts w:ascii="Times New Roman" w:hAnsi="Times New Roman"/>
          <w:color w:val="000000" w:themeColor="text1"/>
          <w:sz w:val="21"/>
          <w:szCs w:val="21"/>
          <w:highlight w:val="none"/>
          <w14:textFill>
            <w14:solidFill>
              <w14:schemeClr w14:val="tx1"/>
            </w14:solidFill>
          </w14:textFill>
        </w:rPr>
        <w:t>80%</w:t>
      </w:r>
      <w:r>
        <w:rPr>
          <w:rFonts w:hint="eastAsia" w:ascii="Times New Roman" w:hAnsi="Times New Roman"/>
          <w:color w:val="000000" w:themeColor="text1"/>
          <w:sz w:val="21"/>
          <w:szCs w:val="21"/>
          <w:highlight w:val="none"/>
          <w14:textFill>
            <w14:solidFill>
              <w14:schemeClr w14:val="tx1"/>
            </w14:solidFill>
          </w14:textFill>
        </w:rPr>
        <w:t>以上的，按照有关法律法规追究其相关责任。</w:t>
      </w:r>
    </w:p>
    <w:p>
      <w:pPr>
        <w:pStyle w:val="15"/>
        <w:spacing w:line="240" w:lineRule="auto"/>
        <w:rPr>
          <w:rFonts w:ascii="Times New Roman" w:hAnsi="Times New Roman"/>
          <w:color w:val="000000" w:themeColor="text1"/>
          <w:sz w:val="21"/>
          <w:szCs w:val="21"/>
          <w:highlight w:val="none"/>
          <w14:textFill>
            <w14:solidFill>
              <w14:schemeClr w14:val="tx1"/>
            </w14:solidFill>
          </w14:textFill>
        </w:rPr>
      </w:pPr>
    </w:p>
    <w:p>
      <w:pPr>
        <w:pStyle w:val="15"/>
        <w:spacing w:line="240" w:lineRule="auto"/>
        <w:ind w:firstLine="404" w:firstLineChars="20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我方郑重声明，根据《招标采购促进广西工业产品产销对接实施细则》的规定，我方在本次投标∕竞标中或者工程项目中提供的下述产品为广西工业产品，详情如下：</w:t>
      </w:r>
    </w:p>
    <w:p>
      <w:pPr>
        <w:pStyle w:val="18"/>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　　分标（此处有分标时填写具体分标号，无分标时填写“无”）</w:t>
      </w:r>
    </w:p>
    <w:tbl>
      <w:tblPr>
        <w:tblStyle w:val="3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广西工业产品</w:t>
            </w:r>
          </w:p>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highlight w:val="none"/>
                <w:u w:val="single"/>
                <w14:textFill>
                  <w14:solidFill>
                    <w14:schemeClr w14:val="tx1"/>
                  </w14:solidFill>
                </w14:textFill>
              </w:rPr>
            </w:pPr>
          </w:p>
        </w:tc>
      </w:tr>
    </w:tbl>
    <w:p>
      <w:pPr>
        <w:pStyle w:val="18"/>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　　分标（此处有分标时填写具体分标号，无分标时填写“无”）</w:t>
      </w:r>
    </w:p>
    <w:p>
      <w:pPr>
        <w:pStyle w:val="18"/>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w:t>
      </w:r>
    </w:p>
    <w:p>
      <w:pPr>
        <w:pStyle w:val="18"/>
        <w:ind w:firstLine="420"/>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我方对上述声明的真实性负责。如有虚假，将依法承担相应责任。</w:t>
      </w:r>
    </w:p>
    <w:p>
      <w:pPr>
        <w:pStyle w:val="18"/>
        <w:rPr>
          <w:rFonts w:hAnsi="宋体" w:cs="Courier New"/>
          <w:color w:val="000000" w:themeColor="text1"/>
          <w:highlight w:val="none"/>
          <w14:textFill>
            <w14:solidFill>
              <w14:schemeClr w14:val="tx1"/>
            </w14:solidFill>
          </w14:textFill>
        </w:rPr>
      </w:pPr>
    </w:p>
    <w:p>
      <w:pPr>
        <w:pStyle w:val="18"/>
        <w:rPr>
          <w:color w:val="000000" w:themeColor="text1"/>
          <w:szCs w:val="24"/>
          <w:highlight w:val="none"/>
          <w14:textFill>
            <w14:solidFill>
              <w14:schemeClr w14:val="tx1"/>
            </w14:solidFill>
          </w14:textFill>
        </w:rPr>
      </w:pPr>
    </w:p>
    <w:p>
      <w:pPr>
        <w:pStyle w:val="18"/>
        <w:rPr>
          <w:color w:val="000000" w:themeColor="text1"/>
          <w:szCs w:val="24"/>
          <w:highlight w:val="none"/>
          <w14:textFill>
            <w14:solidFill>
              <w14:schemeClr w14:val="tx1"/>
            </w14:solidFill>
          </w14:textFill>
        </w:rPr>
      </w:pPr>
    </w:p>
    <w:p>
      <w:pPr>
        <w:pStyle w:val="18"/>
        <w:spacing w:line="6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投标人（盖单位公章）：</w:t>
      </w:r>
      <w:r>
        <w:rPr>
          <w:rFonts w:ascii="Times New Roman" w:hAnsi="Times New Roman"/>
          <w:color w:val="000000" w:themeColor="text1"/>
          <w:highlight w:val="none"/>
          <w:u w:val="single"/>
          <w14:textFill>
            <w14:solidFill>
              <w14:schemeClr w14:val="tx1"/>
            </w14:solidFill>
          </w14:textFill>
        </w:rPr>
        <w:t xml:space="preserve">                                    </w:t>
      </w:r>
    </w:p>
    <w:p>
      <w:pPr>
        <w:pStyle w:val="18"/>
        <w:spacing w:line="600" w:lineRule="exact"/>
        <w:rPr>
          <w:rFonts w:ascii="Times New Roman" w:hAnsi="Times New Roman"/>
          <w:color w:val="000000" w:themeColor="text1"/>
          <w:highlight w:val="none"/>
          <w:u w:val="single"/>
          <w14:textFill>
            <w14:solidFill>
              <w14:schemeClr w14:val="tx1"/>
            </w14:solidFill>
          </w14:textFill>
        </w:rPr>
      </w:pPr>
    </w:p>
    <w:p>
      <w:pPr>
        <w:pStyle w:val="18"/>
        <w:spacing w:line="5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法定代表人或其委托代理人（签字或盖章）：</w:t>
      </w:r>
      <w:r>
        <w:rPr>
          <w:rFonts w:ascii="Times New Roman" w:hAnsi="Times New Roman"/>
          <w:color w:val="000000" w:themeColor="text1"/>
          <w:highlight w:val="none"/>
          <w:u w:val="single"/>
          <w14:textFill>
            <w14:solidFill>
              <w14:schemeClr w14:val="tx1"/>
            </w14:solidFill>
          </w14:textFill>
        </w:rPr>
        <w:t xml:space="preserve">                  </w:t>
      </w:r>
    </w:p>
    <w:p>
      <w:pPr>
        <w:pStyle w:val="18"/>
        <w:spacing w:line="600" w:lineRule="exact"/>
        <w:jc w:val="left"/>
        <w:rPr>
          <w:rFonts w:ascii="Times New Roman" w:hAnsi="Times New Roman"/>
          <w:color w:val="000000" w:themeColor="text1"/>
          <w:highlight w:val="none"/>
          <w:u w:val="single"/>
          <w14:textFill>
            <w14:solidFill>
              <w14:schemeClr w14:val="tx1"/>
            </w14:solidFill>
          </w14:textFill>
        </w:rPr>
      </w:pPr>
    </w:p>
    <w:p>
      <w:pPr>
        <w:pStyle w:val="18"/>
        <w:spacing w:line="500" w:lineRule="exact"/>
        <w:rPr>
          <w:rFonts w:ascii="Times New Roman" w:hAnsi="Times New Roman"/>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18"/>
        <w:spacing w:line="5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投标服务技术资料表（格式）</w:t>
      </w:r>
    </w:p>
    <w:p>
      <w:pPr>
        <w:pStyle w:val="18"/>
        <w:spacing w:line="440" w:lineRule="exact"/>
        <w:ind w:firstLine="420" w:firstLineChars="200"/>
        <w:rPr>
          <w:color w:val="000000" w:themeColor="text1"/>
          <w:highlight w:val="none"/>
          <w14:textFill>
            <w14:solidFill>
              <w14:schemeClr w14:val="tx1"/>
            </w14:solidFill>
          </w14:textFill>
        </w:rPr>
      </w:pPr>
    </w:p>
    <w:p>
      <w:pPr>
        <w:pStyle w:val="18"/>
        <w:spacing w:line="6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请根据所投服务的实际技术参数，</w:t>
      </w:r>
      <w:r>
        <w:rPr>
          <w:rFonts w:hint="eastAsia" w:hAnsi="宋体"/>
          <w:b/>
          <w:color w:val="000000" w:themeColor="text1"/>
          <w:sz w:val="28"/>
          <w:szCs w:val="28"/>
          <w:highlight w:val="none"/>
          <w14:textFill>
            <w14:solidFill>
              <w14:schemeClr w14:val="tx1"/>
            </w14:solidFill>
          </w14:textFill>
        </w:rPr>
        <w:t>逐条对应</w:t>
      </w:r>
      <w:r>
        <w:rPr>
          <w:rFonts w:hint="eastAsia" w:hAnsi="宋体"/>
          <w:color w:val="000000" w:themeColor="text1"/>
          <w:sz w:val="24"/>
          <w:szCs w:val="24"/>
          <w:highlight w:val="none"/>
          <w14:textFill>
            <w14:solidFill>
              <w14:schemeClr w14:val="tx1"/>
            </w14:solidFill>
          </w14:textFill>
        </w:rPr>
        <w:t>本项目招标文件第二章</w:t>
      </w:r>
      <w:r>
        <w:rPr>
          <w:rFonts w:hAnsi="宋体"/>
          <w:color w:val="000000" w:themeColor="text1"/>
          <w:sz w:val="24"/>
          <w:szCs w:val="24"/>
          <w:highlight w:val="none"/>
          <w14:textFill>
            <w14:solidFill>
              <w14:schemeClr w14:val="tx1"/>
            </w14:solidFill>
          </w14:textFill>
        </w:rPr>
        <w:t>“</w:t>
      </w:r>
      <w:r>
        <w:rPr>
          <w:rFonts w:hint="eastAsia" w:hAnsi="宋体"/>
          <w:b/>
          <w:color w:val="000000" w:themeColor="text1"/>
          <w:sz w:val="24"/>
          <w:szCs w:val="24"/>
          <w:highlight w:val="none"/>
          <w14:textFill>
            <w14:solidFill>
              <w14:schemeClr w14:val="tx1"/>
            </w14:solidFill>
          </w14:textFill>
        </w:rPr>
        <w:t>项目需求一览表</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中的服务内容及要求</w:t>
      </w:r>
      <w:r>
        <w:rPr>
          <w:rFonts w:hint="eastAsia" w:hAnsi="宋体"/>
          <w:b/>
          <w:color w:val="000000" w:themeColor="text1"/>
          <w:sz w:val="28"/>
          <w:szCs w:val="28"/>
          <w:highlight w:val="none"/>
          <w14:textFill>
            <w14:solidFill>
              <w14:schemeClr w14:val="tx1"/>
            </w14:solidFill>
          </w14:textFill>
        </w:rPr>
        <w:t>详细填写相应的具体内容</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偏离说明</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一栏应当选择</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正偏离</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负偏离</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或</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无偏离</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进行填写。</w:t>
      </w:r>
    </w:p>
    <w:tbl>
      <w:tblPr>
        <w:tblStyle w:val="3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技术参数要求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所提供</w:t>
            </w:r>
            <w:r>
              <w:rPr>
                <w:rFonts w:hint="eastAsia" w:ascii="宋体" w:hAnsi="宋体" w:cs="宋体"/>
                <w:color w:val="000000" w:themeColor="text1"/>
                <w:szCs w:val="21"/>
                <w:highlight w:val="none"/>
                <w14:textFill>
                  <w14:solidFill>
                    <w14:schemeClr w14:val="tx1"/>
                  </w14:solidFill>
                </w14:textFill>
              </w:rPr>
              <w:t>技术参数</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分标（此处有分标时填写具体分标号，无分标时填写</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法定代表人或其委托代理人（签字或盖章）：</w:t>
            </w:r>
          </w:p>
        </w:tc>
      </w:tr>
    </w:tbl>
    <w:p>
      <w:pPr>
        <w:pStyle w:val="18"/>
        <w:spacing w:line="40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注：</w:t>
      </w:r>
      <w:r>
        <w:rPr>
          <w:rFonts w:hint="eastAsia" w:hAnsi="宋体" w:cs="宋体"/>
          <w:color w:val="000000" w:themeColor="text1"/>
          <w:szCs w:val="21"/>
          <w:highlight w:val="none"/>
          <w14:textFill>
            <w14:solidFill>
              <w14:schemeClr w14:val="tx1"/>
            </w14:solidFill>
          </w14:textFill>
        </w:rPr>
        <w:t>⑴</w:t>
      </w:r>
      <w:r>
        <w:rPr>
          <w:rFonts w:hint="eastAsia" w:hAnsi="宋体"/>
          <w:color w:val="000000" w:themeColor="text1"/>
          <w:szCs w:val="21"/>
          <w:highlight w:val="none"/>
          <w14:textFill>
            <w14:solidFill>
              <w14:schemeClr w14:val="tx1"/>
            </w14:solidFill>
          </w14:textFill>
        </w:rPr>
        <w:t>表格内容均需按要求填写并盖章，不得留空，</w:t>
      </w:r>
      <w:r>
        <w:rPr>
          <w:rFonts w:hint="eastAsia" w:hAnsi="宋体"/>
          <w:bCs/>
          <w:color w:val="000000" w:themeColor="text1"/>
          <w:szCs w:val="21"/>
          <w:highlight w:val="none"/>
          <w14:textFill>
            <w14:solidFill>
              <w14:schemeClr w14:val="tx1"/>
            </w14:solidFill>
          </w14:textFill>
        </w:rPr>
        <w:t>否则按投标无效处理</w:t>
      </w:r>
      <w:r>
        <w:rPr>
          <w:rFonts w:hint="eastAsia" w:hAnsi="宋体"/>
          <w:color w:val="000000" w:themeColor="text1"/>
          <w:szCs w:val="21"/>
          <w:highlight w:val="none"/>
          <w14:textFill>
            <w14:solidFill>
              <w14:schemeClr w14:val="tx1"/>
            </w14:solidFill>
          </w14:textFill>
        </w:rPr>
        <w:t>。</w:t>
      </w:r>
    </w:p>
    <w:p>
      <w:pPr>
        <w:pStyle w:val="18"/>
        <w:spacing w:line="400" w:lineRule="exact"/>
        <w:ind w:left="689" w:leftChars="228" w:hanging="210" w:hangingChars="100"/>
        <w:rPr>
          <w:rFonts w:hAnsi="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⑵</w:t>
      </w:r>
      <w:r>
        <w:rPr>
          <w:rFonts w:hint="eastAsia" w:hAnsi="宋体"/>
          <w:bCs/>
          <w:color w:val="000000" w:themeColor="text1"/>
          <w:szCs w:val="21"/>
          <w:highlight w:val="none"/>
          <w14:textFill>
            <w14:solidFill>
              <w14:schemeClr w14:val="tx1"/>
            </w14:solidFill>
          </w14:textFill>
        </w:rPr>
        <w:t>当投标文件的服务内容低于招标文件要求时，投标人应当如实写明</w:t>
      </w:r>
      <w:r>
        <w:rPr>
          <w:rFonts w:hAnsi="宋体"/>
          <w:bCs/>
          <w:color w:val="000000" w:themeColor="text1"/>
          <w:szCs w:val="21"/>
          <w:highlight w:val="none"/>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负偏离</w:t>
      </w:r>
      <w:r>
        <w:rPr>
          <w:rFonts w:hAnsi="宋体"/>
          <w:bCs/>
          <w:color w:val="000000" w:themeColor="text1"/>
          <w:szCs w:val="21"/>
          <w:highlight w:val="none"/>
          <w14:textFill>
            <w14:solidFill>
              <w14:schemeClr w14:val="tx1"/>
            </w14:solidFill>
          </w14:textFill>
        </w:rPr>
        <w:t>”</w:t>
      </w:r>
      <w:r>
        <w:rPr>
          <w:rFonts w:hint="eastAsia" w:hAnsi="宋体"/>
          <w:bCs/>
          <w:color w:val="000000" w:themeColor="text1"/>
          <w:szCs w:val="21"/>
          <w:highlight w:val="none"/>
          <w14:textFill>
            <w14:solidFill>
              <w14:schemeClr w14:val="tx1"/>
            </w14:solidFill>
          </w14:textFill>
        </w:rPr>
        <w:t>，否则视为虚假应标。</w:t>
      </w: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8"/>
        <w:spacing w:line="600" w:lineRule="exact"/>
        <w:jc w:val="center"/>
        <w:rPr>
          <w:rFonts w:hAnsi="宋体"/>
          <w:color w:val="000000" w:themeColor="text1"/>
          <w:highlight w:val="none"/>
          <w14:textFill>
            <w14:solidFill>
              <w14:schemeClr w14:val="tx1"/>
            </w14:solidFill>
          </w14:textFill>
        </w:rPr>
      </w:pPr>
    </w:p>
    <w:p>
      <w:pPr>
        <w:pStyle w:val="18"/>
        <w:spacing w:line="600" w:lineRule="exact"/>
        <w:jc w:val="center"/>
        <w:rPr>
          <w:rFonts w:hAnsi="宋体"/>
          <w:color w:val="000000" w:themeColor="text1"/>
          <w:highlight w:val="none"/>
          <w14:textFill>
            <w14:solidFill>
              <w14:schemeClr w14:val="tx1"/>
            </w14:solidFill>
          </w14:textFill>
        </w:rPr>
      </w:pPr>
    </w:p>
    <w:p>
      <w:pPr>
        <w:pStyle w:val="18"/>
        <w:spacing w:line="600" w:lineRule="exact"/>
        <w:jc w:val="center"/>
        <w:rPr>
          <w:rFonts w:hAnsi="宋体"/>
          <w:color w:val="000000" w:themeColor="text1"/>
          <w:highlight w:val="none"/>
          <w14:textFill>
            <w14:solidFill>
              <w14:schemeClr w14:val="tx1"/>
            </w14:solidFill>
          </w14:textFill>
        </w:rPr>
      </w:pPr>
    </w:p>
    <w:p>
      <w:pPr>
        <w:pStyle w:val="18"/>
        <w:spacing w:line="600" w:lineRule="exact"/>
        <w:jc w:val="center"/>
        <w:rPr>
          <w:rFonts w:hAnsi="宋体"/>
          <w:color w:val="000000" w:themeColor="text1"/>
          <w:highlight w:val="none"/>
          <w14:textFill>
            <w14:solidFill>
              <w14:schemeClr w14:val="tx1"/>
            </w14:solidFill>
          </w14:textFill>
        </w:rPr>
      </w:pPr>
    </w:p>
    <w:p>
      <w:pPr>
        <w:pStyle w:val="18"/>
        <w:spacing w:line="600" w:lineRule="exact"/>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br w:type="page"/>
      </w:r>
      <w:r>
        <w:rPr>
          <w:rFonts w:ascii="Times New Roman" w:hAnsi="Times New Roman"/>
          <w:b/>
          <w:color w:val="000000" w:themeColor="text1"/>
          <w:highlight w:val="none"/>
          <w14:textFill>
            <w14:solidFill>
              <w14:schemeClr w14:val="tx1"/>
            </w14:solidFill>
          </w14:textFill>
        </w:rPr>
        <w:t xml:space="preserve"> </w:t>
      </w:r>
    </w:p>
    <w:p>
      <w:pPr>
        <w:pStyle w:val="18"/>
        <w:spacing w:line="6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商务条款偏离表（格式）</w:t>
      </w:r>
    </w:p>
    <w:p>
      <w:pPr>
        <w:pStyle w:val="18"/>
        <w:spacing w:line="440" w:lineRule="exact"/>
        <w:ind w:firstLine="420" w:firstLineChars="200"/>
        <w:rPr>
          <w:rFonts w:hAnsi="宋体"/>
          <w:color w:val="000000" w:themeColor="text1"/>
          <w:highlight w:val="none"/>
          <w14:textFill>
            <w14:solidFill>
              <w14:schemeClr w14:val="tx1"/>
            </w14:solidFill>
          </w14:textFill>
        </w:rPr>
      </w:pPr>
    </w:p>
    <w:p>
      <w:pPr>
        <w:pStyle w:val="18"/>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请</w:t>
      </w:r>
      <w:r>
        <w:rPr>
          <w:rFonts w:hint="eastAsia"/>
          <w:b/>
          <w:color w:val="000000" w:themeColor="text1"/>
          <w:sz w:val="24"/>
          <w:szCs w:val="24"/>
          <w:highlight w:val="none"/>
          <w14:textFill>
            <w14:solidFill>
              <w14:schemeClr w14:val="tx1"/>
            </w14:solidFill>
          </w14:textFill>
        </w:rPr>
        <w:t>逐条对应</w:t>
      </w:r>
      <w:r>
        <w:rPr>
          <w:rFonts w:hint="eastAsia"/>
          <w:color w:val="000000" w:themeColor="text1"/>
          <w:highlight w:val="none"/>
          <w14:textFill>
            <w14:solidFill>
              <w14:schemeClr w14:val="tx1"/>
            </w14:solidFill>
          </w14:textFill>
        </w:rPr>
        <w:t>本项目招标文件第二章“</w:t>
      </w:r>
      <w:r>
        <w:rPr>
          <w:rFonts w:hint="eastAsia"/>
          <w:b/>
          <w:color w:val="000000" w:themeColor="text1"/>
          <w:highlight w:val="none"/>
          <w14:textFill>
            <w14:solidFill>
              <w14:schemeClr w14:val="tx1"/>
            </w14:solidFill>
          </w14:textFill>
        </w:rPr>
        <w:t>项目需求一览表</w:t>
      </w:r>
      <w:r>
        <w:rPr>
          <w:rFonts w:hint="eastAsia"/>
          <w:color w:val="000000" w:themeColor="text1"/>
          <w:highlight w:val="none"/>
          <w14:textFill>
            <w14:solidFill>
              <w14:schemeClr w14:val="tx1"/>
            </w14:solidFill>
          </w14:textFill>
        </w:rPr>
        <w:t>”中“商务条款”的要求，</w:t>
      </w:r>
      <w:r>
        <w:rPr>
          <w:rFonts w:hint="eastAsia"/>
          <w:b/>
          <w:color w:val="000000" w:themeColor="text1"/>
          <w:sz w:val="24"/>
          <w:szCs w:val="24"/>
          <w:highlight w:val="none"/>
          <w14:textFill>
            <w14:solidFill>
              <w14:schemeClr w14:val="tx1"/>
            </w14:solidFill>
          </w14:textFill>
        </w:rPr>
        <w:t>详细填写相应的具体内容</w:t>
      </w:r>
      <w:r>
        <w:rPr>
          <w:rFonts w:hint="eastAsia"/>
          <w:color w:val="000000" w:themeColor="text1"/>
          <w:highlight w:val="none"/>
          <w14:textFill>
            <w14:solidFill>
              <w14:schemeClr w14:val="tx1"/>
            </w14:solidFill>
          </w14:textFill>
        </w:rPr>
        <w:t>。“偏离说明”一栏应当选择“正偏离”、“负偏离”或“无偏离”进行填写。</w:t>
      </w:r>
    </w:p>
    <w:tbl>
      <w:tblPr>
        <w:tblStyle w:val="3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w:t>
            </w:r>
          </w:p>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法定代表人或其委托代理人（签字或盖章）：</w:t>
            </w:r>
          </w:p>
        </w:tc>
      </w:tr>
    </w:tbl>
    <w:p>
      <w:pPr>
        <w:widowControl/>
        <w:jc w:val="left"/>
        <w:rPr>
          <w:color w:val="000000" w:themeColor="text1"/>
          <w:szCs w:val="20"/>
          <w:highlight w:val="none"/>
          <w:u w:val="single"/>
          <w14:textFill>
            <w14:solidFill>
              <w14:schemeClr w14:val="tx1"/>
            </w14:solidFill>
          </w14:textFill>
        </w:rPr>
      </w:pPr>
      <w:r>
        <w:rPr>
          <w:rFonts w:hint="eastAsia"/>
          <w:color w:val="000000" w:themeColor="text1"/>
          <w:szCs w:val="20"/>
          <w:highlight w:val="none"/>
          <w:u w:val="single"/>
          <w14:textFill>
            <w14:solidFill>
              <w14:schemeClr w14:val="tx1"/>
            </w14:solidFill>
          </w14:textFill>
        </w:rPr>
        <w:t>注：⑴表格内容均需按要求填写并盖章，不得留空，否则按投标无效处理。</w:t>
      </w:r>
    </w:p>
    <w:p>
      <w:pPr>
        <w:widowControl/>
        <w:jc w:val="left"/>
        <w:rPr>
          <w:color w:val="000000" w:themeColor="text1"/>
          <w:szCs w:val="20"/>
          <w:highlight w:val="none"/>
          <w:u w:val="single"/>
          <w14:textFill>
            <w14:solidFill>
              <w14:schemeClr w14:val="tx1"/>
            </w14:solidFill>
          </w14:textFill>
        </w:rPr>
      </w:pPr>
      <w:r>
        <w:rPr>
          <w:rFonts w:hint="eastAsia"/>
          <w:color w:val="000000" w:themeColor="text1"/>
          <w:szCs w:val="20"/>
          <w:highlight w:val="none"/>
          <w:u w:val="single"/>
          <w14:textFill>
            <w14:solidFill>
              <w14:schemeClr w14:val="tx1"/>
            </w14:solidFill>
          </w14:textFill>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8"/>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⑶当投标文件的商务内容低于招标文件要求时，投标人应当如实写明“负偏离”，否则视为虚假应标。</w:t>
      </w:r>
    </w:p>
    <w:p>
      <w:pPr>
        <w:pStyle w:val="18"/>
        <w:spacing w:line="600" w:lineRule="exact"/>
        <w:rPr>
          <w:rFonts w:ascii="Times New Roman" w:hAnsi="Times New Roman"/>
          <w:color w:val="000000" w:themeColor="text1"/>
          <w:highlight w:val="none"/>
          <w14:textFill>
            <w14:solidFill>
              <w14:schemeClr w14:val="tx1"/>
            </w14:solidFill>
          </w14:textFill>
        </w:rPr>
      </w:pPr>
    </w:p>
    <w:p>
      <w:pPr>
        <w:pStyle w:val="18"/>
        <w:spacing w:line="600" w:lineRule="exact"/>
        <w:jc w:val="center"/>
        <w:rPr>
          <w:rFonts w:ascii="Times New Roman" w:hAnsi="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br w:type="page"/>
      </w:r>
      <w:r>
        <w:rPr>
          <w:rFonts w:hint="eastAsia" w:ascii="Times New Roman" w:hAnsi="Times New Roman"/>
          <w:b/>
          <w:bCs/>
          <w:color w:val="000000" w:themeColor="text1"/>
          <w:sz w:val="30"/>
          <w:szCs w:val="30"/>
          <w:highlight w:val="none"/>
          <w14:textFill>
            <w14:solidFill>
              <w14:schemeClr w14:val="tx1"/>
            </w14:solidFill>
          </w14:textFill>
        </w:rPr>
        <w:t>法定代表人授权委托书（格式）</w:t>
      </w:r>
    </w:p>
    <w:p>
      <w:pPr>
        <w:pStyle w:val="18"/>
        <w:spacing w:line="500" w:lineRule="exact"/>
        <w:ind w:firstLine="420" w:firstLineChars="200"/>
        <w:rPr>
          <w:rFonts w:ascii="Times New Roman" w:hAnsi="Times New Roman"/>
          <w:color w:val="000000" w:themeColor="text1"/>
          <w:highlight w:val="none"/>
          <w:u w:val="single"/>
          <w14:textFill>
            <w14:solidFill>
              <w14:schemeClr w14:val="tx1"/>
            </w14:solidFill>
          </w14:textFill>
        </w:rPr>
      </w:pPr>
    </w:p>
    <w:p>
      <w:pPr>
        <w:pStyle w:val="18"/>
        <w:spacing w:line="360" w:lineRule="auto"/>
        <w:ind w:firstLine="43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致：</w:t>
      </w:r>
      <w:r>
        <w:rPr>
          <w:rFonts w:hint="eastAsia"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（采购代理机构名称）</w:t>
      </w:r>
    </w:p>
    <w:p>
      <w:pPr>
        <w:pStyle w:val="18"/>
        <w:spacing w:line="360" w:lineRule="auto"/>
        <w:ind w:firstLine="435"/>
        <w:rPr>
          <w:rFonts w:ascii="Times New Roman" w:hAnsi="Times New Roman"/>
          <w:color w:val="000000" w:themeColor="text1"/>
          <w:highlight w:val="none"/>
          <w14:textFill>
            <w14:solidFill>
              <w14:schemeClr w14:val="tx1"/>
            </w14:solidFill>
          </w14:textFill>
        </w:rPr>
      </w:pPr>
    </w:p>
    <w:p>
      <w:pPr>
        <w:pStyle w:val="18"/>
        <w:spacing w:line="360" w:lineRule="auto"/>
        <w:ind w:firstLine="43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本人</w:t>
      </w:r>
      <w:r>
        <w:rPr>
          <w:rFonts w:hint="eastAsia" w:ascii="Times New Roman" w:hAnsi="Times New Roman"/>
          <w:color w:val="000000" w:themeColor="text1"/>
          <w:highlight w:val="none"/>
          <w:u w:val="single"/>
          <w14:textFill>
            <w14:solidFill>
              <w14:schemeClr w14:val="tx1"/>
            </w14:solidFill>
          </w14:textFill>
        </w:rPr>
        <w:t xml:space="preserve">    （姓名）    </w:t>
      </w:r>
      <w:r>
        <w:rPr>
          <w:rFonts w:hint="eastAsia" w:ascii="Times New Roman" w:hAnsi="Times New Roman"/>
          <w:color w:val="000000" w:themeColor="text1"/>
          <w:highlight w:val="none"/>
          <w14:textFill>
            <w14:solidFill>
              <w14:schemeClr w14:val="tx1"/>
            </w14:solidFill>
          </w14:textFill>
        </w:rPr>
        <w:t>系</w:t>
      </w:r>
      <w:r>
        <w:rPr>
          <w:rFonts w:hint="eastAsia" w:ascii="Times New Roman" w:hAnsi="Times New Roman"/>
          <w:color w:val="000000" w:themeColor="text1"/>
          <w:highlight w:val="none"/>
          <w:u w:val="single"/>
          <w14:textFill>
            <w14:solidFill>
              <w14:schemeClr w14:val="tx1"/>
            </w14:solidFill>
          </w14:textFill>
        </w:rPr>
        <w:t xml:space="preserve">     （投标人名称）     </w:t>
      </w:r>
      <w:r>
        <w:rPr>
          <w:rFonts w:hint="eastAsia" w:ascii="Times New Roman" w:hAnsi="Times New Roman"/>
          <w:color w:val="000000" w:themeColor="text1"/>
          <w:highlight w:val="none"/>
          <w14:textFill>
            <w14:solidFill>
              <w14:schemeClr w14:val="tx1"/>
            </w14:solidFill>
          </w14:textFill>
        </w:rPr>
        <w:t>的法定代表人，现授权我单位在职正式员工</w:t>
      </w:r>
      <w:r>
        <w:rPr>
          <w:rFonts w:hint="eastAsia" w:ascii="Times New Roman" w:hAnsi="Times New Roman"/>
          <w:color w:val="000000" w:themeColor="text1"/>
          <w:highlight w:val="none"/>
          <w:u w:val="single"/>
          <w14:textFill>
            <w14:solidFill>
              <w14:schemeClr w14:val="tx1"/>
            </w14:solidFill>
          </w14:textFill>
        </w:rPr>
        <w:t xml:space="preserve">    （姓名和职务）    </w:t>
      </w:r>
      <w:r>
        <w:rPr>
          <w:rFonts w:hint="eastAsia" w:ascii="Times New Roman" w:hAnsi="Times New Roman"/>
          <w:color w:val="000000" w:themeColor="text1"/>
          <w:highlight w:val="none"/>
          <w14:textFill>
            <w14:solidFill>
              <w14:schemeClr w14:val="tx1"/>
            </w14:solidFill>
          </w14:textFill>
        </w:rPr>
        <w:t>为我方代理人。代理人根据授权，以我方名义签署、澄清、说明、补正、递交、撤回、修改贵方组织的</w:t>
      </w:r>
      <w:r>
        <w:rPr>
          <w:rFonts w:hint="eastAsia" w:ascii="Times New Roman" w:hAnsi="Times New Roman"/>
          <w:color w:val="000000" w:themeColor="text1"/>
          <w:highlight w:val="none"/>
          <w:u w:val="single"/>
          <w14:textFill>
            <w14:solidFill>
              <w14:schemeClr w14:val="tx1"/>
            </w14:solidFill>
          </w14:textFill>
        </w:rPr>
        <w:t xml:space="preserve">   （项目名称）     </w:t>
      </w:r>
      <w:r>
        <w:rPr>
          <w:rFonts w:hint="eastAsia" w:ascii="Times New Roman" w:hAnsi="Times New Roman"/>
          <w:color w:val="000000" w:themeColor="text1"/>
          <w:highlight w:val="none"/>
          <w14:textFill>
            <w14:solidFill>
              <w14:schemeClr w14:val="tx1"/>
            </w14:solidFill>
          </w14:textFill>
        </w:rPr>
        <w:t>（项目编号：</w:t>
      </w:r>
      <w:r>
        <w:rPr>
          <w:rFonts w:hint="eastAsia"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）项目的投标文件、签订合同和处理一切有关事宜，其法律后果由我方承担。</w:t>
      </w:r>
    </w:p>
    <w:p>
      <w:pPr>
        <w:pStyle w:val="18"/>
        <w:spacing w:line="360" w:lineRule="auto"/>
        <w:ind w:firstLine="43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本授权书于</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年</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月</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日签字生效，委托期限：</w:t>
      </w:r>
      <w:r>
        <w:rPr>
          <w:rFonts w:hint="eastAsia"/>
          <w:color w:val="000000" w:themeColor="text1"/>
          <w:spacing w:val="10"/>
          <w:sz w:val="24"/>
          <w:highlight w:val="none"/>
          <w:u w:val="singl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w:t>
      </w:r>
    </w:p>
    <w:p>
      <w:pPr>
        <w:pStyle w:val="18"/>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代理人无转委托权。</w:t>
      </w:r>
    </w:p>
    <w:p>
      <w:pPr>
        <w:pStyle w:val="18"/>
        <w:spacing w:line="360" w:lineRule="auto"/>
        <w:ind w:firstLine="420"/>
        <w:rPr>
          <w:rFonts w:ascii="Times New Roman" w:hAnsi="Times New Roman"/>
          <w:color w:val="000000" w:themeColor="text1"/>
          <w:highlight w:val="none"/>
          <w14:textFill>
            <w14:solidFill>
              <w14:schemeClr w14:val="tx1"/>
            </w14:solidFill>
          </w14:textFill>
        </w:rPr>
      </w:pPr>
    </w:p>
    <w:p>
      <w:pPr>
        <w:pStyle w:val="18"/>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投标人（盖单位公章）：</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法定代表人（签字）：</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法定代表人身份证号码：</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委托代理人（签字）：</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委托代理人身份证号码：</w:t>
      </w:r>
      <w:r>
        <w:rPr>
          <w:rFonts w:hint="eastAsia" w:ascii="Times New Roman" w:hAnsi="Times New Roman"/>
          <w:color w:val="000000" w:themeColor="text1"/>
          <w:highlight w:val="none"/>
          <w:u w:val="single"/>
          <w14:textFill>
            <w14:solidFill>
              <w14:schemeClr w14:val="tx1"/>
            </w14:solidFill>
          </w14:textFill>
        </w:rPr>
        <w:t xml:space="preserve">                                   </w:t>
      </w:r>
    </w:p>
    <w:p>
      <w:pPr>
        <w:pStyle w:val="18"/>
        <w:jc w:val="center"/>
        <w:rPr>
          <w:rFonts w:ascii="Times New Roman" w:hAnsi="Times New Roman"/>
          <w:b/>
          <w:color w:val="000000" w:themeColor="text1"/>
          <w:sz w:val="30"/>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Times New Roman" w:hAnsi="Times New Roman"/>
          <w:b/>
          <w:color w:val="000000" w:themeColor="text1"/>
          <w:sz w:val="30"/>
          <w:szCs w:val="30"/>
          <w:highlight w:val="none"/>
          <w14:textFill>
            <w14:solidFill>
              <w14:schemeClr w14:val="tx1"/>
            </w14:solidFill>
          </w14:textFill>
        </w:rPr>
        <w:t>资格声明函（格式）</w:t>
      </w:r>
    </w:p>
    <w:p>
      <w:pPr>
        <w:pStyle w:val="18"/>
        <w:jc w:val="center"/>
        <w:rPr>
          <w:rFonts w:ascii="Times New Roman" w:hAnsi="Times New Roman"/>
          <w:b/>
          <w:color w:val="000000" w:themeColor="text1"/>
          <w:sz w:val="30"/>
          <w:szCs w:val="30"/>
          <w:highlight w:val="none"/>
          <w14:textFill>
            <w14:solidFill>
              <w14:schemeClr w14:val="tx1"/>
            </w14:solidFill>
          </w14:textFill>
        </w:rPr>
      </w:pPr>
    </w:p>
    <w:p>
      <w:pPr>
        <w:tabs>
          <w:tab w:val="left" w:pos="7200"/>
        </w:tabs>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致：</w:t>
      </w:r>
      <w:r>
        <w:rPr>
          <w:rFonts w:hAnsi="宋体"/>
          <w:color w:val="000000" w:themeColor="text1"/>
          <w:highlight w:val="none"/>
          <w14:textFill>
            <w14:solidFill>
              <w14:schemeClr w14:val="tx1"/>
            </w14:solidFill>
          </w14:textFill>
        </w:rPr>
        <w:t>_</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（采购代理机构名称）</w:t>
      </w:r>
    </w:p>
    <w:p>
      <w:pPr>
        <w:tabs>
          <w:tab w:val="left" w:pos="720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我方愿意参加贵方组织的</w:t>
      </w:r>
      <w:r>
        <w:rPr>
          <w:rFonts w:hAnsi="宋体"/>
          <w:color w:val="000000" w:themeColor="text1"/>
          <w:highlight w:val="none"/>
          <w14:textFill>
            <w14:solidFill>
              <w14:schemeClr w14:val="tx1"/>
            </w14:solidFill>
          </w14:textFill>
        </w:rPr>
        <w:t>_</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项目名称</w:t>
      </w:r>
      <w:r>
        <w:rPr>
          <w:rFonts w:hAnsi="宋体"/>
          <w:color w:val="000000" w:themeColor="text1"/>
          <w:highlight w:val="none"/>
          <w:u w:val="single"/>
          <w14:textFill>
            <w14:solidFill>
              <w14:schemeClr w14:val="tx1"/>
            </w14:solidFill>
          </w14:textFill>
        </w:rPr>
        <w:t xml:space="preserve">)         _    </w:t>
      </w:r>
      <w:r>
        <w:rPr>
          <w:rFonts w:hAnsi="宋体"/>
          <w:color w:val="000000" w:themeColor="text1"/>
          <w:highlight w:val="none"/>
          <w14:textFill>
            <w14:solidFill>
              <w14:schemeClr w14:val="tx1"/>
            </w14:solidFill>
          </w14:textFill>
        </w:rPr>
        <w:t>_</w:t>
      </w:r>
      <w:r>
        <w:rPr>
          <w:rFonts w:hint="eastAsia" w:hAnsi="宋体"/>
          <w:color w:val="000000" w:themeColor="text1"/>
          <w:highlight w:val="none"/>
          <w14:textFill>
            <w14:solidFill>
              <w14:schemeClr w14:val="tx1"/>
            </w14:solidFill>
          </w14:textFill>
        </w:rPr>
        <w:t>（项目编号：</w:t>
      </w: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）项目的投标，为便于贵方公正、择优地确定中标人，我方就本次投标有关事项郑重声明如下：</w:t>
      </w:r>
    </w:p>
    <w:p>
      <w:pPr>
        <w:pStyle w:val="18"/>
        <w:spacing w:line="440" w:lineRule="exact"/>
        <w:ind w:firstLine="48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1.我方承诺已经具备《中华人民共和国政府采购法》中规定的参加政府采购活动的供应商应当具备的条件：</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（1）具有独立承担民事责任的能力；</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（2）具有良好的商业信誉和健全的财务会计制度；</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（3）具有履行合同所必需的设备和专业技术能力；</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（4）有依法缴纳税收和社会保障资金的良好记录；</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（5）参加政府采购活动前三年内，在经营活动中没有重大违法记录；</w:t>
      </w:r>
    </w:p>
    <w:p>
      <w:pPr>
        <w:pStyle w:val="18"/>
        <w:spacing w:line="440" w:lineRule="exact"/>
        <w:ind w:left="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（6）法律、行政法规规定的其他条件。</w:t>
      </w:r>
    </w:p>
    <w:p>
      <w:pPr>
        <w:tabs>
          <w:tab w:val="left" w:pos="7200"/>
        </w:tabs>
        <w:spacing w:line="360" w:lineRule="auto"/>
        <w:ind w:firstLine="420" w:firstLineChars="200"/>
        <w:rPr>
          <w:rFonts w:hAnsi="宋体"/>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 xml:space="preserve">2. </w:t>
      </w:r>
      <w:r>
        <w:rPr>
          <w:rFonts w:hint="eastAsia" w:hAnsi="宋体"/>
          <w:color w:val="000000" w:themeColor="text1"/>
          <w:highlight w:val="none"/>
          <w14:textFill>
            <w14:solidFill>
              <w14:schemeClr w14:val="tx1"/>
            </w14:solidFill>
          </w14:textFill>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000000" w:themeColor="text1"/>
          <w:highlight w:val="none"/>
          <w14:textFill>
            <w14:solidFill>
              <w14:schemeClr w14:val="tx1"/>
            </w14:solidFill>
          </w14:textFill>
        </w:rPr>
      </w:pPr>
    </w:p>
    <w:p>
      <w:pPr>
        <w:tabs>
          <w:tab w:val="left" w:pos="7200"/>
        </w:tabs>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w:t>
      </w:r>
    </w:p>
    <w:p>
      <w:pPr>
        <w:spacing w:line="36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36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宋体"/>
          <w:color w:val="000000" w:themeColor="text1"/>
          <w:highlight w:val="none"/>
          <w14:textFill>
            <w14:solidFill>
              <w14:schemeClr w14:val="tx1"/>
            </w14:solidFill>
          </w14:textFill>
        </w:rPr>
      </w:pPr>
    </w:p>
    <w:p>
      <w:pPr>
        <w:tabs>
          <w:tab w:val="left" w:pos="7200"/>
        </w:tabs>
        <w:spacing w:line="360" w:lineRule="auto"/>
        <w:ind w:firstLine="839" w:firstLineChars="398"/>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 xml:space="preserve">投标人（盖单位公章）：                     </w:t>
      </w:r>
    </w:p>
    <w:p>
      <w:pPr>
        <w:tabs>
          <w:tab w:val="left" w:pos="7200"/>
        </w:tabs>
        <w:spacing w:line="360" w:lineRule="auto"/>
        <w:ind w:firstLine="2947" w:firstLineChars="13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法定代表人或其委托代理人（签字或盖章）：                  </w:t>
      </w:r>
      <w:r>
        <w:rPr>
          <w:rFonts w:hAnsi="宋体"/>
          <w:b/>
          <w:color w:val="000000" w:themeColor="text1"/>
          <w:highlight w:val="none"/>
          <w14:textFill>
            <w14:solidFill>
              <w14:schemeClr w14:val="tx1"/>
            </w14:solidFill>
          </w14:textFill>
        </w:rPr>
        <w:t xml:space="preserve">               </w:t>
      </w:r>
    </w:p>
    <w:p>
      <w:pPr>
        <w:tabs>
          <w:tab w:val="left" w:pos="7200"/>
        </w:tabs>
        <w:spacing w:line="360" w:lineRule="auto"/>
        <w:ind w:firstLine="839" w:firstLineChars="398"/>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年</w:t>
      </w:r>
      <w:r>
        <w:rPr>
          <w:rFonts w:hAnsi="宋体"/>
          <w:b/>
          <w:color w:val="000000" w:themeColor="text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月</w:t>
      </w:r>
      <w:r>
        <w:rPr>
          <w:rFonts w:hAnsi="宋体"/>
          <w:b/>
          <w:color w:val="000000" w:themeColor="text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日</w:t>
      </w:r>
    </w:p>
    <w:p>
      <w:pPr>
        <w:spacing w:before="165" w:after="50"/>
        <w:jc w:val="center"/>
        <w:rPr>
          <w:color w:val="000000" w:themeColor="text1"/>
          <w:spacing w:val="20"/>
          <w:highlight w:val="none"/>
          <w14:textFill>
            <w14:solidFill>
              <w14:schemeClr w14:val="tx1"/>
            </w14:solidFill>
          </w14:textFill>
        </w:rPr>
      </w:pPr>
      <w:r>
        <w:rPr>
          <w:rFonts w:hint="eastAsia"/>
          <w:color w:val="000000" w:themeColor="text1"/>
          <w:spacing w:val="20"/>
          <w:highlight w:val="none"/>
          <w14:textFill>
            <w14:solidFill>
              <w14:schemeClr w14:val="tx1"/>
            </w14:solidFill>
          </w14:textFill>
        </w:rPr>
        <w:br w:type="page"/>
      </w:r>
    </w:p>
    <w:p>
      <w:pPr>
        <w:pStyle w:val="3"/>
        <w:jc w:val="center"/>
        <w:rPr>
          <w:color w:val="000000" w:themeColor="text1"/>
          <w:sz w:val="36"/>
          <w:szCs w:val="36"/>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第六章  合同条款及格式</w:t>
      </w:r>
    </w:p>
    <w:p>
      <w:pPr>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pStyle w:val="18"/>
        <w:spacing w:line="360" w:lineRule="auto"/>
        <w:rPr>
          <w:color w:val="000000" w:themeColor="text1"/>
          <w:highlight w:val="none"/>
          <w14:textFill>
            <w14:solidFill>
              <w14:schemeClr w14:val="tx1"/>
            </w14:solidFill>
          </w14:textFill>
        </w:rPr>
      </w:pPr>
    </w:p>
    <w:p>
      <w:pPr>
        <w:tabs>
          <w:tab w:val="left" w:pos="7380"/>
        </w:tabs>
        <w:spacing w:line="360" w:lineRule="auto"/>
        <w:jc w:val="center"/>
        <w:rPr>
          <w:rFonts w:ascii="宋体"/>
          <w:b/>
          <w:bCs/>
          <w:color w:val="000000" w:themeColor="text1"/>
          <w:sz w:val="44"/>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目</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录</w:t>
      </w:r>
    </w:p>
    <w:p>
      <w:pPr>
        <w:tabs>
          <w:tab w:val="left" w:pos="1170"/>
        </w:tabs>
        <w:spacing w:line="360" w:lineRule="auto"/>
        <w:ind w:left="359" w:leftChars="171" w:firstLine="198" w:firstLineChars="71"/>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ab/>
      </w:r>
    </w:p>
    <w:p>
      <w:pP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一、南宁市政府采购合同书</w:t>
      </w:r>
    </w:p>
    <w:p>
      <w:pP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二、合同附件</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1、中标通知书</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2、招标文件服务需求一览表</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3、招标文件的</w:t>
      </w:r>
      <w:r>
        <w:rPr>
          <w:rFonts w:hint="eastAsia" w:hAnsi="宋体"/>
          <w:color w:val="000000" w:themeColor="text1"/>
          <w:sz w:val="28"/>
          <w:highlight w:val="none"/>
          <w14:textFill>
            <w14:solidFill>
              <w14:schemeClr w14:val="tx1"/>
            </w14:solidFill>
          </w14:textFill>
        </w:rPr>
        <w:t>更改通知（如有）</w:t>
      </w:r>
    </w:p>
    <w:p>
      <w:pPr>
        <w:ind w:firstLine="560" w:firstLineChars="200"/>
        <w:rPr>
          <w:rFonts w:ascii="宋体" w:hAnsi="宋体"/>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4</w:t>
      </w:r>
      <w:r>
        <w:rPr>
          <w:rFonts w:hint="eastAsia"/>
          <w:color w:val="000000" w:themeColor="text1"/>
          <w:sz w:val="28"/>
          <w:szCs w:val="28"/>
          <w:highlight w:val="none"/>
          <w14:textFill>
            <w14:solidFill>
              <w14:schemeClr w14:val="tx1"/>
            </w14:solidFill>
          </w14:textFill>
        </w:rPr>
        <w:t>、投标函</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5、报价表</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6、投标服务技术资料表</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7、商务条款偏离表</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8、中标供应商澄清函</w:t>
      </w:r>
      <w:r>
        <w:rPr>
          <w:rFonts w:hint="eastAsia"/>
          <w:color w:val="000000" w:themeColor="text1"/>
          <w:sz w:val="28"/>
          <w:szCs w:val="28"/>
          <w:highlight w:val="none"/>
          <w14:textFill>
            <w14:solidFill>
              <w14:schemeClr w14:val="tx1"/>
            </w14:solidFill>
          </w14:textFill>
        </w:rPr>
        <w:t>（如有请提</w:t>
      </w:r>
      <w:r>
        <w:rPr>
          <w:rFonts w:hint="eastAsia"/>
          <w:color w:val="000000" w:themeColor="text1"/>
          <w:sz w:val="30"/>
          <w:szCs w:val="30"/>
          <w:highlight w:val="none"/>
          <w14:textFill>
            <w14:solidFill>
              <w14:schemeClr w14:val="tx1"/>
            </w14:solidFill>
          </w14:textFill>
        </w:rPr>
        <w:t>供</w:t>
      </w:r>
      <w:r>
        <w:rPr>
          <w:rFonts w:hint="eastAsia"/>
          <w:color w:val="000000" w:themeColor="text1"/>
          <w:sz w:val="28"/>
          <w:szCs w:val="28"/>
          <w:highlight w:val="none"/>
          <w14:textFill>
            <w14:solidFill>
              <w14:schemeClr w14:val="tx1"/>
            </w14:solidFill>
          </w14:textFill>
        </w:rPr>
        <w:t>）</w:t>
      </w:r>
    </w:p>
    <w:p>
      <w:pPr>
        <w:pStyle w:val="18"/>
        <w:spacing w:line="360" w:lineRule="auto"/>
        <w:ind w:firstLine="560" w:firstLineChars="200"/>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10、其他与本合同相关的资料</w:t>
      </w:r>
      <w:r>
        <w:rPr>
          <w:rFonts w:hint="eastAsia"/>
          <w:color w:val="000000" w:themeColor="text1"/>
          <w:sz w:val="28"/>
          <w:szCs w:val="28"/>
          <w:highlight w:val="none"/>
          <w14:textFill>
            <w14:solidFill>
              <w14:schemeClr w14:val="tx1"/>
            </w14:solidFill>
          </w14:textFill>
        </w:rPr>
        <w:t>（如有请提</w:t>
      </w:r>
      <w:r>
        <w:rPr>
          <w:rFonts w:hint="eastAsia"/>
          <w:color w:val="000000" w:themeColor="text1"/>
          <w:sz w:val="30"/>
          <w:szCs w:val="30"/>
          <w:highlight w:val="none"/>
          <w14:textFill>
            <w14:solidFill>
              <w14:schemeClr w14:val="tx1"/>
            </w14:solidFill>
          </w14:textFill>
        </w:rPr>
        <w:t>供</w:t>
      </w:r>
      <w:r>
        <w:rPr>
          <w:rFonts w:hint="eastAsia"/>
          <w:color w:val="000000" w:themeColor="text1"/>
          <w:sz w:val="28"/>
          <w:szCs w:val="28"/>
          <w:highlight w:val="none"/>
          <w14:textFill>
            <w14:solidFill>
              <w14:schemeClr w14:val="tx1"/>
            </w14:solidFill>
          </w14:textFill>
        </w:rPr>
        <w:t>）</w:t>
      </w:r>
    </w:p>
    <w:p>
      <w:pPr>
        <w:rPr>
          <w:b/>
          <w:color w:val="000000" w:themeColor="text1"/>
          <w:sz w:val="30"/>
          <w:szCs w:val="30"/>
          <w:highlight w:val="none"/>
          <w14:textFill>
            <w14:solidFill>
              <w14:schemeClr w14:val="tx1"/>
            </w14:solidFill>
          </w14:textFill>
        </w:rPr>
      </w:pPr>
    </w:p>
    <w:p>
      <w:pPr>
        <w:spacing w:line="360" w:lineRule="auto"/>
        <w:jc w:val="center"/>
        <w:rPr>
          <w:rFonts w:ascii="宋体" w:hAnsi="宋体"/>
          <w:b/>
          <w:bCs/>
          <w:color w:val="000000" w:themeColor="text1"/>
          <w:sz w:val="28"/>
          <w:highlight w:val="none"/>
          <w14:textFill>
            <w14:solidFill>
              <w14:schemeClr w14:val="tx1"/>
            </w14:solidFill>
          </w14:textFill>
        </w:rPr>
      </w:pPr>
    </w:p>
    <w:p>
      <w:pPr>
        <w:spacing w:line="360" w:lineRule="auto"/>
        <w:jc w:val="center"/>
        <w:rPr>
          <w:rFonts w:ascii="宋体" w:hAnsi="宋体"/>
          <w:b/>
          <w:bCs/>
          <w:color w:val="000000" w:themeColor="text1"/>
          <w:sz w:val="30"/>
          <w:szCs w:val="30"/>
          <w:highlight w:val="none"/>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br w:type="page"/>
      </w:r>
      <w:r>
        <w:rPr>
          <w:rFonts w:hint="eastAsia"/>
          <w:b/>
          <w:color w:val="000000" w:themeColor="text1"/>
          <w:sz w:val="30"/>
          <w:szCs w:val="30"/>
          <w:highlight w:val="none"/>
          <w14:textFill>
            <w14:solidFill>
              <w14:schemeClr w14:val="tx1"/>
            </w14:solidFill>
          </w14:textFill>
        </w:rPr>
        <w:t>南宁市政府采购合同书</w:t>
      </w:r>
    </w:p>
    <w:p>
      <w:pPr>
        <w:pStyle w:val="18"/>
        <w:spacing w:line="360" w:lineRule="auto"/>
        <w:rPr>
          <w:rFonts w:hAnsi="宋体"/>
          <w:color w:val="000000" w:themeColor="text1"/>
          <w:highlight w:val="none"/>
          <w14:textFill>
            <w14:solidFill>
              <w14:schemeClr w14:val="tx1"/>
            </w14:solidFill>
          </w14:textFill>
        </w:rPr>
      </w:pP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项目名称：</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项目编号：</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分标号（有分标时填写）：</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甲方（买方）：</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乙方（卖方）：</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    </w:t>
      </w:r>
    </w:p>
    <w:p>
      <w:pPr>
        <w:pStyle w:val="18"/>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根据</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日南宁市政府采购项目的采购结果，甲方接受乙方对本项目的投标，甲、乙双方同意签署本合同（以下简称合同）。</w:t>
      </w:r>
    </w:p>
    <w:p>
      <w:pPr>
        <w:pStyle w:val="18"/>
        <w:spacing w:line="360" w:lineRule="auto"/>
        <w:rPr>
          <w:rFonts w:hAnsi="宋体"/>
          <w:b/>
          <w:color w:val="000000" w:themeColor="text1"/>
          <w:highlight w:val="none"/>
          <w14:textFill>
            <w14:solidFill>
              <w14:schemeClr w14:val="tx1"/>
            </w14:solidFill>
          </w14:textFill>
        </w:rPr>
      </w:pP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  采购内容</w:t>
      </w:r>
    </w:p>
    <w:p>
      <w:pPr>
        <w:pStyle w:val="18"/>
        <w:tabs>
          <w:tab w:val="left" w:pos="5220"/>
        </w:tabs>
        <w:spacing w:line="360" w:lineRule="auto"/>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1.1 服务名称：</w:t>
      </w:r>
      <w:r>
        <w:rPr>
          <w:rFonts w:hint="eastAsia" w:hAnsi="宋体"/>
          <w:color w:val="000000" w:themeColor="text1"/>
          <w:highlight w:val="none"/>
          <w:u w:val="single"/>
          <w14:textFill>
            <w14:solidFill>
              <w14:schemeClr w14:val="tx1"/>
            </w14:solidFill>
          </w14:textFill>
        </w:rPr>
        <w:t>详见合同附件中报价表</w:t>
      </w:r>
    </w:p>
    <w:p>
      <w:pPr>
        <w:pStyle w:val="18"/>
        <w:tabs>
          <w:tab w:val="left" w:pos="522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 数量：</w:t>
      </w:r>
      <w:r>
        <w:rPr>
          <w:rFonts w:hint="eastAsia" w:hAnsi="宋体"/>
          <w:color w:val="000000" w:themeColor="text1"/>
          <w:highlight w:val="none"/>
          <w:u w:val="single"/>
          <w14:textFill>
            <w14:solidFill>
              <w14:schemeClr w14:val="tx1"/>
            </w14:solidFill>
          </w14:textFill>
        </w:rPr>
        <w:t>详见合同附件中报价表</w:t>
      </w:r>
    </w:p>
    <w:p>
      <w:pPr>
        <w:pStyle w:val="18"/>
        <w:tabs>
          <w:tab w:val="left" w:pos="522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1.2 </w:t>
      </w:r>
      <w:r>
        <w:rPr>
          <w:rFonts w:hint="eastAsia"/>
          <w:color w:val="000000" w:themeColor="text1"/>
          <w:szCs w:val="21"/>
          <w:highlight w:val="none"/>
          <w14:textFill>
            <w14:solidFill>
              <w14:schemeClr w14:val="tx1"/>
            </w14:solidFill>
          </w14:textFill>
        </w:rPr>
        <w:t>服务内容及要求</w:t>
      </w:r>
      <w:r>
        <w:rPr>
          <w:rFonts w:hint="eastAsia" w:ascii="Times New Roman" w:hAnsi="Times New Roman"/>
          <w:color w:val="000000" w:themeColor="text1"/>
          <w:highlight w:val="none"/>
          <w14:textFill>
            <w14:solidFill>
              <w14:schemeClr w14:val="tx1"/>
            </w14:solidFill>
          </w14:textFill>
        </w:rPr>
        <w:t>：</w:t>
      </w:r>
      <w:r>
        <w:rPr>
          <w:rFonts w:hint="eastAsia" w:hAnsi="宋体"/>
          <w:color w:val="000000" w:themeColor="text1"/>
          <w:highlight w:val="none"/>
          <w:u w:val="single"/>
          <w14:textFill>
            <w14:solidFill>
              <w14:schemeClr w14:val="tx1"/>
            </w14:solidFill>
          </w14:textFill>
        </w:rPr>
        <w:t>详见合同附件中投标服务技术资料表</w:t>
      </w:r>
    </w:p>
    <w:p>
      <w:pPr>
        <w:pStyle w:val="18"/>
        <w:tabs>
          <w:tab w:val="left" w:pos="5145"/>
        </w:tabs>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2.  合同金额</w:t>
      </w:r>
    </w:p>
    <w:p>
      <w:pPr>
        <w:pStyle w:val="18"/>
        <w:spacing w:line="360" w:lineRule="auto"/>
        <w:ind w:firstLine="411" w:firstLineChars="196"/>
        <w:rPr>
          <w:rFonts w:hAnsi="宋体"/>
          <w:b/>
          <w:bCs/>
          <w:color w:val="000000" w:themeColor="text1"/>
          <w:sz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 本合同金额为（大写）人民币</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元）。（详见报价表）</w:t>
      </w:r>
    </w:p>
    <w:p>
      <w:pPr>
        <w:pStyle w:val="18"/>
        <w:tabs>
          <w:tab w:val="left" w:pos="5940"/>
        </w:tabs>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3.  提交服务成果时间和地点</w:t>
      </w:r>
    </w:p>
    <w:p>
      <w:pPr>
        <w:pStyle w:val="18"/>
        <w:tabs>
          <w:tab w:val="left" w:pos="5250"/>
          <w:tab w:val="left" w:pos="5940"/>
        </w:tabs>
        <w:spacing w:line="360" w:lineRule="auto"/>
        <w:ind w:firstLine="411" w:firstLineChars="196"/>
        <w:rPr>
          <w:rFonts w:hAnsi="宋体"/>
          <w:b/>
          <w:bCs/>
          <w:color w:val="000000" w:themeColor="text1"/>
          <w:sz w:val="24"/>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3.1 </w:t>
      </w:r>
      <w:r>
        <w:rPr>
          <w:rFonts w:hint="eastAsia"/>
          <w:bCs/>
          <w:color w:val="000000" w:themeColor="text1"/>
          <w:highlight w:val="none"/>
          <w14:textFill>
            <w14:solidFill>
              <w14:schemeClr w14:val="tx1"/>
            </w14:solidFill>
          </w14:textFill>
        </w:rPr>
        <w:t>提交服务成果时间</w:t>
      </w:r>
      <w:r>
        <w:rPr>
          <w:rFonts w:hint="eastAsia" w:hAnsi="宋体"/>
          <w:bCs/>
          <w:color w:val="000000" w:themeColor="text1"/>
          <w:highlight w:val="none"/>
          <w14:textFill>
            <w14:solidFill>
              <w14:schemeClr w14:val="tx1"/>
            </w14:solidFill>
          </w14:textFill>
        </w:rPr>
        <w:t>：</w:t>
      </w:r>
      <w:r>
        <w:rPr>
          <w:rFonts w:hint="eastAsia" w:hAnsi="宋体"/>
          <w:color w:val="000000" w:themeColor="text1"/>
          <w:highlight w:val="none"/>
          <w:u w:val="single"/>
          <w14:textFill>
            <w14:solidFill>
              <w14:schemeClr w14:val="tx1"/>
            </w14:solidFill>
          </w14:textFill>
        </w:rPr>
        <w:t xml:space="preserve">                        </w:t>
      </w:r>
    </w:p>
    <w:p>
      <w:pPr>
        <w:pStyle w:val="18"/>
        <w:tabs>
          <w:tab w:val="left" w:pos="5940"/>
        </w:tabs>
        <w:spacing w:line="360" w:lineRule="auto"/>
        <w:ind w:firstLine="411" w:firstLineChars="196"/>
        <w:rPr>
          <w:rFonts w:hAnsi="宋体"/>
          <w:b/>
          <w:bCs/>
          <w:color w:val="000000" w:themeColor="text1"/>
          <w:sz w:val="24"/>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3.2 </w:t>
      </w:r>
      <w:r>
        <w:rPr>
          <w:rFonts w:hint="eastAsia"/>
          <w:bCs/>
          <w:color w:val="000000" w:themeColor="text1"/>
          <w:highlight w:val="none"/>
          <w14:textFill>
            <w14:solidFill>
              <w14:schemeClr w14:val="tx1"/>
            </w14:solidFill>
          </w14:textFill>
        </w:rPr>
        <w:t>提交服务成果</w:t>
      </w:r>
      <w:r>
        <w:rPr>
          <w:rFonts w:hint="eastAsia" w:hAnsi="宋体"/>
          <w:bCs/>
          <w:color w:val="000000" w:themeColor="text1"/>
          <w:highlight w:val="none"/>
          <w14:textFill>
            <w14:solidFill>
              <w14:schemeClr w14:val="tx1"/>
            </w14:solidFill>
          </w14:textFill>
        </w:rPr>
        <w:t>地点：</w:t>
      </w:r>
      <w:r>
        <w:rPr>
          <w:rFonts w:hint="eastAsia" w:hAnsi="宋体"/>
          <w:color w:val="000000" w:themeColor="text1"/>
          <w:highlight w:val="none"/>
          <w:u w:val="single"/>
          <w14:textFill>
            <w14:solidFill>
              <w14:schemeClr w14:val="tx1"/>
            </w14:solidFill>
          </w14:textFill>
        </w:rPr>
        <w:t xml:space="preserve">                        </w:t>
      </w:r>
    </w:p>
    <w:p>
      <w:pPr>
        <w:pStyle w:val="18"/>
        <w:tabs>
          <w:tab w:val="left" w:pos="5940"/>
        </w:tabs>
        <w:spacing w:line="360" w:lineRule="auto"/>
        <w:ind w:firstLine="411" w:firstLineChars="196"/>
        <w:rPr>
          <w:rFonts w:hAnsi="宋体"/>
          <w:b/>
          <w:bCs/>
          <w:color w:val="000000" w:themeColor="text1"/>
          <w:sz w:val="24"/>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3.3 </w:t>
      </w:r>
      <w:r>
        <w:rPr>
          <w:rFonts w:hint="eastAsia" w:hAnsi="宋体"/>
          <w:color w:val="000000" w:themeColor="text1"/>
          <w:highlight w:val="none"/>
          <w14:textFill>
            <w14:solidFill>
              <w14:schemeClr w14:val="tx1"/>
            </w14:solidFill>
          </w14:textFill>
        </w:rPr>
        <w:t>乙方必须按投标文件承诺的服务响应条款向甲方提供服务。</w:t>
      </w:r>
    </w:p>
    <w:p>
      <w:pPr>
        <w:pStyle w:val="18"/>
        <w:spacing w:line="360" w:lineRule="auto"/>
        <w:ind w:left="410" w:hanging="410" w:hangingChars="170"/>
        <w:rPr>
          <w:rFonts w:hAnsi="宋体"/>
          <w:b/>
          <w:color w:val="000000" w:themeColor="text1"/>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4.  履约保证金</w:t>
      </w:r>
    </w:p>
    <w:p>
      <w:pPr>
        <w:pStyle w:val="18"/>
        <w:spacing w:line="360" w:lineRule="auto"/>
        <w:ind w:left="359" w:hanging="359" w:hangingChars="17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本项目无须交纳履约保证金。</w:t>
      </w:r>
    </w:p>
    <w:p>
      <w:pPr>
        <w:pStyle w:val="18"/>
        <w:spacing w:line="360" w:lineRule="auto"/>
        <w:ind w:left="412" w:hanging="412" w:hangingChars="171"/>
        <w:rPr>
          <w:rFonts w:hAnsi="宋体"/>
          <w:b/>
          <w:color w:val="000000" w:themeColor="text1"/>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5.  产权</w:t>
      </w:r>
    </w:p>
    <w:p>
      <w:pPr>
        <w:pStyle w:val="18"/>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5.1 </w:t>
      </w:r>
      <w:r>
        <w:rPr>
          <w:rFonts w:hint="eastAsia" w:ascii="Times New Roman" w:hAnsi="Times New Roman"/>
          <w:color w:val="000000" w:themeColor="text1"/>
          <w:highlight w:val="none"/>
          <w14:textFill>
            <w14:solidFill>
              <w14:schemeClr w14:val="tx1"/>
            </w14:solidFill>
          </w14:textFill>
        </w:rPr>
        <w:t>乙方应保证所提供的服务或其任何一部分均不会侵犯任何第三方的专利权、商标权或著作权</w:t>
      </w:r>
      <w:r>
        <w:rPr>
          <w:rFonts w:hint="eastAsia" w:hAnsi="宋体"/>
          <w:bCs/>
          <w:color w:val="000000" w:themeColor="text1"/>
          <w:highlight w:val="none"/>
          <w14:textFill>
            <w14:solidFill>
              <w14:schemeClr w14:val="tx1"/>
            </w14:solidFill>
          </w14:textFill>
        </w:rPr>
        <w:t>。</w:t>
      </w:r>
    </w:p>
    <w:p>
      <w:pPr>
        <w:pStyle w:val="18"/>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8"/>
        <w:spacing w:line="360" w:lineRule="auto"/>
        <w:rPr>
          <w:rFonts w:hAnsi="宋体"/>
          <w:b/>
          <w:color w:val="000000" w:themeColor="text1"/>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6.  技术资料</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6.1 甲方应向乙方提供提交服务成果所必需的有关数据、资料等。</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7.  验收</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7.1 乙方应对提交的服务成果作出全面检查和整理，并列出清单，作为甲方验收和使用的技术条件依据，清单应随提交的服务成果交给甲方。</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7.2 乙方在指定地点提交服务成果后，甲方应在5个工作日内依据招标文件、乙方的投标文件等组织验收，验收完毕后作出书面验收报告。验收时乙方必须在现场。</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7.3 对复杂的服务，甲方可请国家认可的专业机构参与验收，并由其出具验收报告，相关费用由甲方承担。</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cs="宋体"/>
          <w:color w:val="000000" w:themeColor="text1"/>
          <w:szCs w:val="28"/>
          <w:highlight w:val="none"/>
          <w14:textFill>
            <w14:solidFill>
              <w14:schemeClr w14:val="tx1"/>
            </w14:solidFill>
          </w14:textFill>
        </w:rPr>
        <w:t>7.4</w:t>
      </w:r>
      <w:r>
        <w:rPr>
          <w:rFonts w:hint="eastAsia" w:hAnsi="宋体"/>
          <w:color w:val="000000" w:themeColor="text1"/>
          <w:highlight w:val="none"/>
          <w14:textFill>
            <w14:solidFill>
              <w14:schemeClr w14:val="tx1"/>
            </w14:solidFill>
          </w14:textFill>
        </w:rPr>
        <w:t>政府采购合同签订后，采购人和中标（成交）供应商应严格按照相关法律规定和合同要求履约验收。验收完成后应及时出具验收书或验收证明，不得无故拖延或附加额外条件。</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8.  合同款支付</w:t>
      </w:r>
    </w:p>
    <w:p>
      <w:pPr>
        <w:pStyle w:val="18"/>
        <w:tabs>
          <w:tab w:val="left" w:pos="5145"/>
          <w:tab w:val="left" w:pos="5355"/>
          <w:tab w:val="left" w:pos="6195"/>
        </w:tabs>
        <w:spacing w:line="360" w:lineRule="auto"/>
        <w:ind w:firstLine="420" w:firstLineChars="200"/>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8.1 付款方式：</w:t>
      </w:r>
      <w:r>
        <w:rPr>
          <w:rFonts w:hint="eastAsia" w:hAnsi="宋体"/>
          <w:bCs/>
          <w:color w:val="000000" w:themeColor="text1"/>
          <w:highlight w:val="none"/>
          <w:u w:val="single"/>
          <w14:textFill>
            <w14:solidFill>
              <w14:schemeClr w14:val="tx1"/>
            </w14:solidFill>
          </w14:textFill>
        </w:rPr>
        <w:t xml:space="preserve">                               </w:t>
      </w:r>
    </w:p>
    <w:p>
      <w:pPr>
        <w:pStyle w:val="18"/>
        <w:tabs>
          <w:tab w:val="left" w:pos="5145"/>
          <w:tab w:val="left" w:pos="5355"/>
          <w:tab w:val="left" w:pos="6195"/>
        </w:tabs>
        <w:spacing w:line="360" w:lineRule="auto"/>
        <w:ind w:firstLine="420" w:firstLineChars="200"/>
        <w:rPr>
          <w:rFonts w:hAnsi="宋体"/>
          <w:bCs/>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8"/>
        <w:tabs>
          <w:tab w:val="left" w:pos="5145"/>
          <w:tab w:val="left" w:pos="5355"/>
          <w:tab w:val="left" w:pos="6195"/>
        </w:tabs>
        <w:spacing w:line="360" w:lineRule="auto"/>
        <w:ind w:firstLine="420" w:firstLineChars="200"/>
        <w:rPr>
          <w:rFonts w:hAnsi="宋体"/>
          <w:bCs/>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8.3 </w:t>
      </w:r>
      <w:r>
        <w:rPr>
          <w:rFonts w:hint="eastAsia" w:hAnsi="宋体"/>
          <w:color w:val="000000" w:themeColor="text1"/>
          <w:szCs w:val="21"/>
          <w:highlight w:val="none"/>
          <w14:textFill>
            <w14:solidFill>
              <w14:schemeClr w14:val="tx1"/>
            </w14:solidFill>
          </w14:textFill>
        </w:rPr>
        <w:t>政府采购监督管理部门在处理投诉事项期间，可以视具体情况书面通知采购人暂停采购活动</w:t>
      </w:r>
      <w:r>
        <w:rPr>
          <w:rFonts w:hint="eastAsia" w:hAnsi="宋体"/>
          <w:bCs/>
          <w:color w:val="000000" w:themeColor="text1"/>
          <w:highlight w:val="none"/>
          <w14:textFill>
            <w14:solidFill>
              <w14:schemeClr w14:val="tx1"/>
            </w14:solidFill>
          </w14:textFill>
        </w:rPr>
        <w:t>，并延期支付合同款。</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9.  售后服务要求</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9.1 乙方提供服务的质量保证期为：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（自提交服务验收合格之日起计）</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9.2 在本合同第9.1项约定的质量保证期内，乙方应对服务出现的问题负责处理解决并承担一切费用。</w:t>
      </w:r>
    </w:p>
    <w:p>
      <w:pPr>
        <w:pStyle w:val="18"/>
        <w:tabs>
          <w:tab w:val="left" w:pos="5250"/>
        </w:tabs>
        <w:spacing w:line="360" w:lineRule="auto"/>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9.3其他售后服务要求：</w:t>
      </w:r>
      <w:r>
        <w:rPr>
          <w:rFonts w:hint="eastAsia" w:hAnsi="宋体"/>
          <w:color w:val="000000" w:themeColor="text1"/>
          <w:highlight w:val="none"/>
          <w:u w:val="single"/>
          <w14:textFill>
            <w14:solidFill>
              <w14:schemeClr w14:val="tx1"/>
            </w14:solidFill>
          </w14:textFill>
        </w:rPr>
        <w:t>按投标文件商务条款偏离表内容执行。</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10.  违约责任</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10.1 甲方无正当理由拒收服务的，甲方向乙方偿付拒收服务费总值的百分之五违约金。</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10.2 甲方无故逾期验收或办理合同款支付手续的，甲方应按逾期付款总额每日万分之五向乙方支付违约金。</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4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11.  不可抗力事件处理</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 在合同有效期内，任何一方因不可抗力事件导致不能履行合同，则合同履行期可延长，其延长期与不可抗力影响期相同。</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11.2 不可抗力事件发生后，应立即通知对方，并寄送有关权威机构出具的证明。</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11.3 不可抗力事件延续120天以上，双方应通过友好协商，确定是否继续履行合同。</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12.  诉讼</w:t>
      </w:r>
    </w:p>
    <w:p>
      <w:pPr>
        <w:pStyle w:val="18"/>
        <w:tabs>
          <w:tab w:val="left" w:pos="0"/>
        </w:tabs>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12.1 双方在执行合同中所发生的一切争议，应通过协商解决。如协商不成，可向合同签订地法院起诉，合同签订地在此约定为广西南宁市。</w:t>
      </w:r>
    </w:p>
    <w:p>
      <w:pPr>
        <w:pStyle w:val="18"/>
        <w:spacing w:line="360" w:lineRule="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13.  合同生效及其它</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13.1 合同经双方法定代表人或授权委托代理人签字并加盖单位公章后生效。</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13.2 </w:t>
      </w:r>
      <w:r>
        <w:rPr>
          <w:rFonts w:hint="eastAsia" w:hAnsi="宋体"/>
          <w:color w:val="000000" w:themeColor="text1"/>
          <w:szCs w:val="21"/>
          <w:highlight w:val="none"/>
          <w14:textFill>
            <w14:solidFill>
              <w14:schemeClr w14:val="tx1"/>
            </w14:solidFill>
          </w14:textFill>
        </w:rPr>
        <w:t>合同执行中涉及采购资金和采购内容修改或补充的，须经市财政部门审批，并签书面补充协议报南宁市政府采购监督管理部门备案，方可作为主合同不可分割的一部分。</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13.3 下述合同附件为本合同不可分割的部分并与本合同具有同等效力：</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（1）中标通知书；</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（2）招标文件服务需求一览表；</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（3）招标文件的澄清和修改；</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（4）投标函、报价表；</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（5）投标服务技术资料表、商务条款偏离表、售后服务承诺书；</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（6）中标供应商澄清函。</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13.4 本合同未尽事宜，遵照《中华人民共和国合同法》有关条文执行。</w:t>
      </w:r>
    </w:p>
    <w:p>
      <w:pPr>
        <w:pStyle w:val="18"/>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13.5 本合同正本一式两份，具有同等法律效力，甲乙双方各执一份；副本一份。</w:t>
      </w:r>
    </w:p>
    <w:p>
      <w:pPr>
        <w:pStyle w:val="18"/>
        <w:spacing w:line="360" w:lineRule="auto"/>
        <w:ind w:firstLine="360"/>
        <w:rPr>
          <w:rFonts w:hAnsi="宋体"/>
          <w:color w:val="000000" w:themeColor="text1"/>
          <w:highlight w:val="none"/>
          <w14:textFill>
            <w14:solidFill>
              <w14:schemeClr w14:val="tx1"/>
            </w14:solidFill>
          </w14:textFill>
        </w:rPr>
      </w:pPr>
    </w:p>
    <w:p>
      <w:pPr>
        <w:pStyle w:val="18"/>
        <w:spacing w:line="360" w:lineRule="auto"/>
        <w:ind w:firstLine="360"/>
        <w:rPr>
          <w:rFonts w:hAnsi="宋体"/>
          <w:color w:val="000000" w:themeColor="text1"/>
          <w:highlight w:val="none"/>
          <w14:textFill>
            <w14:solidFill>
              <w14:schemeClr w14:val="tx1"/>
            </w14:solidFill>
          </w14:textFill>
        </w:rPr>
      </w:pPr>
    </w:p>
    <w:p>
      <w:pPr>
        <w:pStyle w:val="18"/>
        <w:spacing w:line="360" w:lineRule="auto"/>
        <w:ind w:firstLine="360"/>
        <w:rPr>
          <w:rFonts w:hAnsi="宋体"/>
          <w:color w:val="000000" w:themeColor="text1"/>
          <w:highlight w:val="none"/>
          <w14:textFill>
            <w14:solidFill>
              <w14:schemeClr w14:val="tx1"/>
            </w14:solidFill>
          </w14:textFill>
        </w:rPr>
      </w:pP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甲方：</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乙方：</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地址：</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地址：</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法定代表人：</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委托代理人：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委托代理人：</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电话：</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电话：</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传真：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传真：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邮政编码：</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邮政编码：</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统一社会代码：</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开户银行：</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开户名称：</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银行账号：</w:t>
      </w:r>
      <w:r>
        <w:rPr>
          <w:rFonts w:hint="eastAsia" w:hAnsi="宋体"/>
          <w:color w:val="000000" w:themeColor="text1"/>
          <w:highlight w:val="none"/>
          <w:u w:val="single"/>
          <w14:textFill>
            <w14:solidFill>
              <w14:schemeClr w14:val="tx1"/>
            </w14:solidFill>
          </w14:textFill>
        </w:rPr>
        <w:t xml:space="preserve">                                </w:t>
      </w:r>
    </w:p>
    <w:p>
      <w:pPr>
        <w:pStyle w:val="18"/>
        <w:spacing w:line="360" w:lineRule="auto"/>
        <w:ind w:left="178" w:leftChars="85"/>
        <w:rPr>
          <w:rFonts w:hAnsi="宋体"/>
          <w:color w:val="000000" w:themeColor="text1"/>
          <w:highlight w:val="none"/>
          <w14:textFill>
            <w14:solidFill>
              <w14:schemeClr w14:val="tx1"/>
            </w14:solidFill>
          </w14:textFill>
        </w:rPr>
      </w:pPr>
    </w:p>
    <w:p>
      <w:pPr>
        <w:pStyle w:val="18"/>
        <w:spacing w:line="360" w:lineRule="auto"/>
        <w:ind w:left="178" w:leftChars="85"/>
        <w:rPr>
          <w:rFonts w:hAnsi="宋体"/>
          <w:color w:val="000000" w:themeColor="text1"/>
          <w:highlight w:val="none"/>
          <w14:textFill>
            <w14:solidFill>
              <w14:schemeClr w14:val="tx1"/>
            </w14:solidFill>
          </w14:textFill>
        </w:rPr>
      </w:pP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合同签订地点：广西南宁市 </w:t>
      </w:r>
    </w:p>
    <w:p>
      <w:pPr>
        <w:pStyle w:val="18"/>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合同签订日期：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spacing w:line="600" w:lineRule="exact"/>
        <w:jc w:val="center"/>
        <w:outlineLvl w:val="0"/>
        <w:rPr>
          <w:rFonts w:hAnsi="宋体"/>
          <w:color w:val="000000" w:themeColor="text1"/>
          <w:sz w:val="24"/>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18"/>
        <w:spacing w:line="360" w:lineRule="auto"/>
        <w:rPr>
          <w:rFonts w:cs="宋体"/>
          <w:color w:val="000000" w:themeColor="text1"/>
          <w:highlight w:val="none"/>
          <w14:textFill>
            <w14:solidFill>
              <w14:schemeClr w14:val="tx1"/>
            </w14:solidFill>
          </w14:textFill>
        </w:rPr>
      </w:pPr>
    </w:p>
    <w:p>
      <w:pPr>
        <w:pStyle w:val="3"/>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第七章  质疑材料格式</w:t>
      </w:r>
    </w:p>
    <w:p>
      <w:pPr>
        <w:pStyle w:val="2"/>
        <w:jc w:val="center"/>
        <w:rPr>
          <w:rFonts w:ascii="宋体" w:hAnsi="宋体" w:eastAsia="宋体"/>
          <w:color w:val="000000" w:themeColor="text1"/>
          <w:sz w:val="30"/>
          <w:szCs w:val="30"/>
          <w:highlight w:val="none"/>
          <w14:textFill>
            <w14:solidFill>
              <w14:schemeClr w14:val="tx1"/>
            </w14:solidFill>
          </w14:textFill>
        </w:rPr>
      </w:pPr>
      <w:bookmarkStart w:id="86" w:name="_Toc532545055"/>
      <w:r>
        <w:rPr>
          <w:rFonts w:hint="eastAsia" w:ascii="宋体" w:hAnsi="宋体" w:eastAsia="宋体"/>
          <w:color w:val="000000" w:themeColor="text1"/>
          <w:sz w:val="30"/>
          <w:szCs w:val="30"/>
          <w:highlight w:val="none"/>
          <w14:textFill>
            <w14:solidFill>
              <w14:schemeClr w14:val="tx1"/>
            </w14:solidFill>
          </w14:textFill>
        </w:rPr>
        <w:t xml:space="preserve">一  </w:t>
      </w:r>
      <w:r>
        <w:rPr>
          <w:rFonts w:ascii="宋体" w:hAnsi="宋体" w:eastAsia="宋体"/>
          <w:color w:val="000000" w:themeColor="text1"/>
          <w:sz w:val="30"/>
          <w:szCs w:val="30"/>
          <w:highlight w:val="none"/>
          <w14:textFill>
            <w14:solidFill>
              <w14:schemeClr w14:val="tx1"/>
            </w14:solidFill>
          </w14:textFill>
        </w:rPr>
        <w:t>质疑函（格式）</w:t>
      </w:r>
      <w:bookmarkEnd w:id="86"/>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 xml:space="preserve">一、被质疑人：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 xml:space="preserve">二、质疑环节：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三、</w:t>
      </w:r>
      <w:r>
        <w:rPr>
          <w:rFonts w:hint="eastAsia" w:ascii="ˎ̥" w:hAnsi="ˎ̥"/>
          <w:color w:val="000000" w:themeColor="text1"/>
          <w:szCs w:val="21"/>
          <w:highlight w:val="none"/>
          <w14:textFill>
            <w14:solidFill>
              <w14:schemeClr w14:val="tx1"/>
            </w14:solidFill>
          </w14:textFill>
        </w:rPr>
        <w:t>质疑供应商基本信息</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bCs/>
          <w:color w:val="000000" w:themeColor="text1"/>
          <w:kern w:val="0"/>
          <w:szCs w:val="21"/>
          <w:highlight w:val="none"/>
          <w14:textFill>
            <w14:solidFill>
              <w14:schemeClr w14:val="tx1"/>
            </w14:solidFill>
          </w14:textFill>
        </w:rPr>
        <w:t>质疑供应商名称：</w:t>
      </w:r>
      <w:r>
        <w:rPr>
          <w:rFonts w:ascii="ˎ̥" w:hAnsi="ˎ̥" w:cs="宋体"/>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u w:val="singl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地址：</w:t>
      </w:r>
      <w:r>
        <w:rPr>
          <w:rFonts w:ascii="ˎ̥" w:hAnsi="ˎ̥" w:cs="宋体"/>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邮政编码：</w:t>
      </w:r>
      <w:r>
        <w:rPr>
          <w:rFonts w:ascii="ˎ̥" w:hAnsi="ˎ̥" w:cs="宋体"/>
          <w:color w:val="000000" w:themeColor="text1"/>
          <w:kern w:val="0"/>
          <w:szCs w:val="21"/>
          <w:highlight w:val="none"/>
          <w:u w:val="single"/>
          <w14:textFill>
            <w14:solidFill>
              <w14:schemeClr w14:val="tx1"/>
            </w14:solidFill>
          </w14:textFill>
        </w:rPr>
        <w:t>                 </w:t>
      </w:r>
      <w:r>
        <w:rPr>
          <w:rFonts w:ascii="ˎ̥" w:hAnsi="ˎ̥" w:cs="宋体"/>
          <w:color w:val="000000" w:themeColor="text1"/>
          <w:kern w:val="0"/>
          <w:szCs w:val="21"/>
          <w:highlight w:val="none"/>
          <w14:textFill>
            <w14:solidFill>
              <w14:schemeClr w14:val="tx1"/>
            </w14:solidFill>
          </w14:textFill>
        </w:rPr>
        <w:t> </w:t>
      </w:r>
    </w:p>
    <w:p>
      <w:pPr>
        <w:widowControl/>
        <w:shd w:val="clear" w:color="auto" w:fill="FFFFFF"/>
        <w:spacing w:line="260" w:lineRule="exact"/>
        <w:jc w:val="left"/>
        <w:rPr>
          <w:rFonts w:hint="eastAsia" w:ascii="ˎ̥" w:hAnsi="ˎ̥" w:cs="宋体"/>
          <w:bCs/>
          <w:color w:val="000000" w:themeColor="text1"/>
          <w:kern w:val="0"/>
          <w:szCs w:val="21"/>
          <w:highlight w:val="none"/>
          <w14:textFill>
            <w14:solidFill>
              <w14:schemeClr w14:val="tx1"/>
            </w14:solidFill>
          </w14:textFill>
        </w:rPr>
      </w:pPr>
      <w:r>
        <w:rPr>
          <w:rFonts w:hint="eastAsia" w:ascii="ˎ̥" w:hAnsi="ˎ̥" w:cs="宋体"/>
          <w:bCs/>
          <w:color w:val="000000" w:themeColor="text1"/>
          <w:kern w:val="0"/>
          <w:szCs w:val="21"/>
          <w:highlight w:val="none"/>
          <w14:textFill>
            <w14:solidFill>
              <w14:schemeClr w14:val="tx1"/>
            </w14:solidFill>
          </w14:textFill>
        </w:rPr>
        <w:t>联系人：</w:t>
      </w:r>
      <w:r>
        <w:rPr>
          <w:rFonts w:ascii="ˎ̥" w:hAnsi="ˎ̥" w:cs="宋体"/>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u w:val="singl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联系电话：</w:t>
      </w:r>
      <w:r>
        <w:rPr>
          <w:rFonts w:ascii="ˎ̥" w:hAnsi="ˎ̥" w:cs="宋体"/>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ascii="黑体" w:hAnsi="黑体" w:eastAsia="黑体" w:cs="黑体"/>
          <w:color w:val="000000" w:themeColor="text1"/>
          <w:sz w:val="32"/>
          <w:szCs w:val="32"/>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四、质疑项目基本情况</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质疑项目的名称</w:t>
      </w:r>
      <w:r>
        <w:rPr>
          <w:rFonts w:ascii="ˎ̥" w:hAnsi="ˎ̥" w:cs="宋体"/>
          <w:b/>
          <w:bCs/>
          <w:color w:val="000000" w:themeColor="text1"/>
          <w:kern w:val="0"/>
          <w:szCs w:val="21"/>
          <w:highlight w:val="none"/>
          <w:u w:val="single"/>
          <w14:textFill>
            <w14:solidFill>
              <w14:schemeClr w14:val="tx1"/>
            </w14:solidFill>
          </w14:textFill>
        </w:rPr>
        <w:t> </w:t>
      </w:r>
      <w:r>
        <w:rPr>
          <w:rFonts w:hint="eastAsia" w:ascii="ˎ̥" w:hAnsi="ˎ̥" w:cs="宋体"/>
          <w:b/>
          <w:bCs/>
          <w:color w:val="000000" w:themeColor="text1"/>
          <w:kern w:val="0"/>
          <w:szCs w:val="21"/>
          <w:highlight w:val="none"/>
          <w:u w:val="single"/>
          <w14:textFill>
            <w14:solidFill>
              <w14:schemeClr w14:val="tx1"/>
            </w14:solidFill>
          </w14:textFill>
        </w:rPr>
        <w:t>：</w:t>
      </w:r>
      <w:r>
        <w:rPr>
          <w:rFonts w:ascii="ˎ̥" w:hAnsi="ˎ̥" w:cs="宋体"/>
          <w:b/>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b/>
          <w:bCs/>
          <w:color w:val="000000" w:themeColor="text1"/>
          <w:kern w:val="0"/>
          <w:szCs w:val="21"/>
          <w:highlight w:val="none"/>
          <w:u w:val="singl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质疑项目的编号：</w:t>
      </w:r>
      <w:r>
        <w:rPr>
          <w:rFonts w:ascii="ˎ̥" w:hAnsi="ˎ̥" w:cs="宋体"/>
          <w:b/>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bCs/>
          <w:color w:val="000000" w:themeColor="text1"/>
          <w:kern w:val="0"/>
          <w:szCs w:val="21"/>
          <w:highlight w:val="none"/>
          <w14:textFill>
            <w14:solidFill>
              <w14:schemeClr w14:val="tx1"/>
            </w14:solidFill>
          </w14:textFill>
        </w:rPr>
        <w:t>3.</w:t>
      </w:r>
      <w:r>
        <w:rPr>
          <w:rFonts w:hint="eastAsia" w:ascii="ˎ̥" w:hAnsi="ˎ̥" w:cs="宋体"/>
          <w:color w:val="000000" w:themeColor="text1"/>
          <w:kern w:val="0"/>
          <w:szCs w:val="21"/>
          <w:highlight w:val="none"/>
          <w14:textFill>
            <w14:solidFill>
              <w14:schemeClr w14:val="tx1"/>
            </w14:solidFill>
          </w14:textFill>
        </w:rPr>
        <w:t>质疑项目的分标号：</w:t>
      </w:r>
      <w:r>
        <w:rPr>
          <w:rFonts w:ascii="ˎ̥" w:hAnsi="ˎ̥" w:cs="宋体"/>
          <w:b/>
          <w:bCs/>
          <w:color w:val="000000" w:themeColor="text1"/>
          <w:kern w:val="0"/>
          <w:szCs w:val="21"/>
          <w:highlight w:val="none"/>
          <w:u w:val="single"/>
          <w14:textFill>
            <w14:solidFill>
              <w14:schemeClr w14:val="tx1"/>
            </w14:solidFill>
          </w14:textFill>
        </w:rPr>
        <w:t>                               </w:t>
      </w:r>
    </w:p>
    <w:p>
      <w:pPr>
        <w:snapToGrid w:val="0"/>
        <w:spacing w:line="260" w:lineRule="exact"/>
        <w:outlineLvl w:val="0"/>
        <w:rPr>
          <w:rFonts w:hint="eastAsia" w:ascii="ˎ̥" w:hAnsi="ˎ̥" w:cs="宋体"/>
          <w:color w:val="000000" w:themeColor="text1"/>
          <w:kern w:val="0"/>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五、质疑事项具体内容</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w:t>
      </w:r>
      <w:r>
        <w:rPr>
          <w:rFonts w:ascii="ˎ̥" w:hAnsi="ˎ̥" w:cs="宋体"/>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的事实依据：</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的法律依据：</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的相关请求：</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w:t>
      </w:r>
      <w:r>
        <w:rPr>
          <w:rFonts w:ascii="ˎ̥" w:hAnsi="ˎ̥" w:cs="宋体"/>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的事实依据：</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的法律依据：</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的相关请求：</w:t>
      </w:r>
      <w:r>
        <w:rPr>
          <w:rFonts w:ascii="ˎ̥" w:hAnsi="ˎ̥" w:cs="宋体"/>
          <w:bCs/>
          <w:color w:val="000000" w:themeColor="text1"/>
          <w:kern w:val="0"/>
          <w:szCs w:val="21"/>
          <w:highlight w:val="none"/>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六、授权委托书（原件1份，委托代理时提交，材料附后。）</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 xml:space="preserve">    </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 xml:space="preserve">           </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质疑供应商（公章）：</w:t>
      </w:r>
      <w:r>
        <w:rPr>
          <w:rFonts w:ascii="ˎ̥" w:hAnsi="ˎ̥" w:cs="宋体"/>
          <w:color w:val="000000" w:themeColor="text1"/>
          <w:kern w:val="0"/>
          <w:szCs w:val="21"/>
          <w:highlight w:val="none"/>
          <w14:textFill>
            <w14:solidFill>
              <w14:schemeClr w14:val="tx1"/>
            </w14:solidFill>
          </w14:textFill>
        </w:rPr>
        <w:t>          </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 </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法定代表人或其委托代理人签字：</w:t>
      </w:r>
    </w:p>
    <w:p>
      <w:pPr>
        <w:widowControl/>
        <w:shd w:val="clear" w:color="auto" w:fill="FFFFFF"/>
        <w:spacing w:line="260" w:lineRule="exact"/>
        <w:jc w:val="center"/>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ind w:firstLine="3885" w:firstLineChars="1850"/>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提起质疑的日期：</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年</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月</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日</w:t>
      </w:r>
    </w:p>
    <w:p>
      <w:pPr>
        <w:widowControl/>
        <w:shd w:val="clear" w:color="auto" w:fill="FFFFFF"/>
        <w:spacing w:line="260" w:lineRule="exac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ind w:left="630" w:hanging="630" w:hangingChars="300"/>
        <w:rPr>
          <w:rFonts w:ascii="宋体" w:hAnsi="宋体"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说明：</w:t>
      </w:r>
      <w:r>
        <w:rPr>
          <w:rFonts w:hint="eastAsia" w:ascii="宋体" w:hAnsi="宋体" w:cs="宋体"/>
          <w:color w:val="000000" w:themeColor="text1"/>
          <w:kern w:val="0"/>
          <w:szCs w:val="21"/>
          <w:highlight w:val="none"/>
          <w14:textFill>
            <w14:solidFill>
              <w14:schemeClr w14:val="tx1"/>
            </w14:solidFill>
          </w14:textFill>
        </w:rPr>
        <w:t>1.根据质疑环节及内容填写“被质疑人：”。对采购文件中的采购需求（含资格要求、预算金额和评分办法等）、采购过程中的资格审查、以及中标或者成交结果的质疑，“被质疑人：”处填写采购人名称；对采购文件中的采购执行程序、采购过程中的采购执行程序的质疑，“被质疑人：”处填写采购代理机构名称。</w:t>
      </w:r>
    </w:p>
    <w:p>
      <w:pPr>
        <w:widowControl/>
        <w:shd w:val="clear" w:color="auto" w:fill="FFFFFF"/>
        <w:spacing w:line="260" w:lineRule="exact"/>
        <w:ind w:left="630" w:leftChars="3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2.“质疑环节:”在下列内容中选一项填写：采购文件（采购需求）、采购文件（采购执行程序）、采购过程（资格审查）、采购过程（采购执行程序）、中标或者成交结果。</w:t>
      </w:r>
    </w:p>
    <w:p>
      <w:pPr>
        <w:widowControl/>
        <w:shd w:val="clear" w:color="auto" w:fill="FFFFFF"/>
        <w:spacing w:line="260" w:lineRule="exact"/>
        <w:ind w:left="735" w:hanging="735" w:hangingChars="350"/>
        <w:rPr>
          <w:rFonts w:hint="eastAsia" w:ascii="ˎ̥" w:hAnsi="ˎ̥"/>
          <w:color w:val="000000" w:themeColor="text1"/>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 xml:space="preserve">      3.质疑事项的事实依据应</w:t>
      </w:r>
      <w:r>
        <w:rPr>
          <w:rFonts w:hint="eastAsia" w:ascii="ˎ̥" w:hAnsi="ˎ̥"/>
          <w:color w:val="000000" w:themeColor="text1"/>
          <w:szCs w:val="21"/>
          <w:highlight w:val="none"/>
          <w14:textFill>
            <w14:solidFill>
              <w14:schemeClr w14:val="tx1"/>
            </w14:solidFill>
          </w14:textFill>
        </w:rPr>
        <w:t>列明权益受到损害的事实和理由；</w:t>
      </w:r>
    </w:p>
    <w:p>
      <w:pPr>
        <w:widowControl/>
        <w:shd w:val="clear" w:color="auto" w:fill="FFFFFF"/>
        <w:spacing w:line="260" w:lineRule="exact"/>
        <w:ind w:firstLine="630" w:firstLineChars="300"/>
        <w:rPr>
          <w:rFonts w:hint="eastAsia" w:ascii="ˎ̥" w:hAnsi="ˎ̥" w:cs="宋体"/>
          <w:b/>
          <w:bCs/>
          <w:color w:val="000000" w:themeColor="text1"/>
          <w:kern w:val="0"/>
          <w:szCs w:val="21"/>
          <w:highlight w:val="none"/>
          <w14:textFill>
            <w14:solidFill>
              <w14:schemeClr w14:val="tx1"/>
            </w14:solidFill>
          </w14:textFill>
        </w:rPr>
      </w:pPr>
      <w:r>
        <w:rPr>
          <w:rFonts w:hint="eastAsia" w:ascii="ˎ̥" w:hAnsi="ˎ̥"/>
          <w:color w:val="000000" w:themeColor="text1"/>
          <w:szCs w:val="21"/>
          <w:highlight w:val="none"/>
          <w14:textFill>
            <w14:solidFill>
              <w14:schemeClr w14:val="tx1"/>
            </w14:solidFill>
          </w14:textFill>
        </w:rPr>
        <w:t>4</w:t>
      </w:r>
      <w:r>
        <w:rPr>
          <w:rFonts w:ascii="ˎ̥" w:hAnsi="ˎ̥"/>
          <w:color w:val="000000" w:themeColor="text1"/>
          <w:szCs w:val="21"/>
          <w:highlight w:val="none"/>
          <w14:textFill>
            <w14:solidFill>
              <w14:schemeClr w14:val="tx1"/>
            </w14:solidFill>
          </w14:textFill>
        </w:rPr>
        <w:t>.</w:t>
      </w:r>
      <w:r>
        <w:rPr>
          <w:rFonts w:hint="eastAsia" w:ascii="ˎ̥" w:hAnsi="ˎ̥" w:cs="宋体"/>
          <w:color w:val="000000" w:themeColor="text1"/>
          <w:kern w:val="0"/>
          <w:szCs w:val="21"/>
          <w:highlight w:val="none"/>
          <w14:textFill>
            <w14:solidFill>
              <w14:schemeClr w14:val="tx1"/>
            </w14:solidFill>
          </w14:textFill>
        </w:rPr>
        <w:t>质疑事项的法律依据应列明质疑事项违反法律法规的具体条款及内容。</w:t>
      </w:r>
    </w:p>
    <w:p>
      <w:pPr>
        <w:pStyle w:val="18"/>
        <w:outlineLvl w:val="1"/>
        <w:rPr>
          <w:rFonts w:hAnsi="宋体"/>
          <w:color w:val="000000" w:themeColor="text1"/>
          <w:highlight w:val="none"/>
          <w14:textFill>
            <w14:solidFill>
              <w14:schemeClr w14:val="tx1"/>
            </w14:solidFill>
          </w14:textFill>
        </w:rPr>
      </w:pPr>
    </w:p>
    <w:p>
      <w:pPr>
        <w:pStyle w:val="2"/>
        <w:jc w:val="center"/>
        <w:rPr>
          <w:rFonts w:ascii="宋体" w:hAnsi="宋体" w:eastAsia="宋体"/>
          <w:color w:val="000000" w:themeColor="text1"/>
          <w:sz w:val="30"/>
          <w:szCs w:val="30"/>
          <w:highlight w:val="none"/>
          <w14:textFill>
            <w14:solidFill>
              <w14:schemeClr w14:val="tx1"/>
            </w14:solidFill>
          </w14:textFill>
        </w:rPr>
      </w:pPr>
      <w:bookmarkStart w:id="87" w:name="_Toc532545056"/>
      <w:r>
        <w:rPr>
          <w:rFonts w:hint="eastAsia" w:ascii="宋体" w:hAnsi="宋体" w:eastAsia="宋体"/>
          <w:color w:val="000000" w:themeColor="text1"/>
          <w:sz w:val="30"/>
          <w:szCs w:val="30"/>
          <w:highlight w:val="none"/>
          <w14:textFill>
            <w14:solidFill>
              <w14:schemeClr w14:val="tx1"/>
            </w14:solidFill>
          </w14:textFill>
        </w:rPr>
        <w:t xml:space="preserve">二  </w:t>
      </w:r>
      <w:r>
        <w:rPr>
          <w:rFonts w:ascii="宋体" w:hAnsi="宋体" w:eastAsia="宋体"/>
          <w:color w:val="000000" w:themeColor="text1"/>
          <w:sz w:val="30"/>
          <w:szCs w:val="30"/>
          <w:highlight w:val="none"/>
          <w14:textFill>
            <w14:solidFill>
              <w14:schemeClr w14:val="tx1"/>
            </w14:solidFill>
          </w14:textFill>
        </w:rPr>
        <w:t>质疑证明材料（格式）</w:t>
      </w:r>
      <w:bookmarkEnd w:id="87"/>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质疑项目的名称</w:t>
      </w:r>
      <w:r>
        <w:rPr>
          <w:rFonts w:hint="eastAsia" w:ascii="ˎ̥" w:hAnsi="ˎ̥" w:cs="宋体"/>
          <w:b/>
          <w:bCs/>
          <w:color w:val="000000" w:themeColor="text1"/>
          <w:kern w:val="0"/>
          <w:szCs w:val="21"/>
          <w:highlight w:val="none"/>
          <w:u w:val="single"/>
          <w14:textFill>
            <w14:solidFill>
              <w14:schemeClr w14:val="tx1"/>
            </w14:solidFill>
          </w14:textFill>
        </w:rPr>
        <w:t>：</w:t>
      </w:r>
      <w:r>
        <w:rPr>
          <w:rFonts w:ascii="ˎ̥" w:hAnsi="ˎ̥" w:cs="宋体"/>
          <w:b/>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项目编号：</w:t>
      </w:r>
      <w:r>
        <w:rPr>
          <w:rFonts w:ascii="ˎ̥" w:hAnsi="ˎ̥" w:cs="宋体"/>
          <w:b/>
          <w:bCs/>
          <w:color w:val="000000" w:themeColor="text1"/>
          <w:kern w:val="0"/>
          <w:szCs w:val="21"/>
          <w:highlight w:val="none"/>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一、质疑事项</w:t>
      </w:r>
      <w:r>
        <w:rPr>
          <w:rFonts w:ascii="ˎ̥" w:hAnsi="ˎ̥" w:cs="宋体"/>
          <w:color w:val="000000" w:themeColor="text1"/>
          <w:kern w:val="0"/>
          <w:szCs w:val="21"/>
          <w:highlight w:val="none"/>
          <w14:textFill>
            <w14:solidFill>
              <w14:schemeClr w14:val="tx1"/>
            </w14:solidFill>
          </w14:textFill>
        </w:rPr>
        <w:t>1</w:t>
      </w:r>
      <w:r>
        <w:rPr>
          <w:rFonts w:hint="eastAsia" w:ascii="ˎ̥" w:hAnsi="ˎ̥" w:cs="宋体"/>
          <w:color w:val="000000" w:themeColor="text1"/>
          <w:kern w:val="0"/>
          <w:szCs w:val="21"/>
          <w:highlight w:val="none"/>
          <w14:textFill>
            <w14:solidFill>
              <w14:schemeClr w14:val="tx1"/>
            </w14:solidFill>
          </w14:textFill>
        </w:rPr>
        <w:t>证明材料目录（证明材料附后，共</w:t>
      </w:r>
      <w:r>
        <w:rPr>
          <w:rFonts w:ascii="ˎ̥" w:hAnsi="ˎ̥" w:cs="宋体"/>
          <w:b/>
          <w:bCs/>
          <w:color w:val="000000" w:themeColor="text1"/>
          <w:kern w:val="0"/>
          <w:szCs w:val="21"/>
          <w:highlight w:val="none"/>
          <w:u w:val="single"/>
          <w14:textFill>
            <w14:solidFill>
              <w14:schemeClr w14:val="tx1"/>
            </w14:solidFill>
          </w14:textFill>
        </w:rPr>
        <w:t>     </w:t>
      </w:r>
      <w:r>
        <w:rPr>
          <w:rFonts w:hint="eastAsia" w:ascii="ˎ̥" w:hAnsi="ˎ̥" w:cs="宋体"/>
          <w:color w:val="000000" w:themeColor="text1"/>
          <w:kern w:val="0"/>
          <w:szCs w:val="21"/>
          <w:highlight w:val="none"/>
          <w14:textFill>
            <w14:solidFill>
              <w14:schemeClr w14:val="tx1"/>
            </w14:solidFill>
          </w14:textFill>
        </w:rPr>
        <w:t>页）</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1.</w:t>
      </w: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2.</w:t>
      </w: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hint="eastAsia" w:ascii="ˎ̥" w:hAnsi="ˎ̥" w:cs="宋体"/>
          <w:b/>
          <w:bCs/>
          <w:color w:val="000000" w:themeColor="text1"/>
          <w:kern w:val="0"/>
          <w:szCs w:val="21"/>
          <w:highlight w:val="none"/>
          <w14:textFill>
            <w14:solidFill>
              <w14:schemeClr w14:val="tx1"/>
            </w14:solidFill>
          </w14:textFill>
        </w:rPr>
      </w:pP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二、质疑事项</w:t>
      </w:r>
      <w:r>
        <w:rPr>
          <w:rFonts w:ascii="ˎ̥" w:hAnsi="ˎ̥" w:cs="宋体"/>
          <w:color w:val="000000" w:themeColor="text1"/>
          <w:kern w:val="0"/>
          <w:szCs w:val="21"/>
          <w:highlight w:val="none"/>
          <w14:textFill>
            <w14:solidFill>
              <w14:schemeClr w14:val="tx1"/>
            </w14:solidFill>
          </w14:textFill>
        </w:rPr>
        <w:t>2</w:t>
      </w:r>
      <w:r>
        <w:rPr>
          <w:rFonts w:hint="eastAsia" w:ascii="ˎ̥" w:hAnsi="ˎ̥" w:cs="宋体"/>
          <w:color w:val="000000" w:themeColor="text1"/>
          <w:kern w:val="0"/>
          <w:szCs w:val="21"/>
          <w:highlight w:val="none"/>
          <w14:textFill>
            <w14:solidFill>
              <w14:schemeClr w14:val="tx1"/>
            </w14:solidFill>
          </w14:textFill>
        </w:rPr>
        <w:t>证明材料目录（证明材料附后，共</w:t>
      </w:r>
      <w:r>
        <w:rPr>
          <w:rFonts w:ascii="ˎ̥" w:hAnsi="ˎ̥" w:cs="宋体"/>
          <w:b/>
          <w:bCs/>
          <w:color w:val="000000" w:themeColor="text1"/>
          <w:kern w:val="0"/>
          <w:szCs w:val="21"/>
          <w:highlight w:val="none"/>
          <w:u w:val="single"/>
          <w14:textFill>
            <w14:solidFill>
              <w14:schemeClr w14:val="tx1"/>
            </w14:solidFill>
          </w14:textFill>
        </w:rPr>
        <w:t>     </w:t>
      </w:r>
      <w:r>
        <w:rPr>
          <w:rFonts w:hint="eastAsia" w:ascii="ˎ̥" w:hAnsi="ˎ̥" w:cs="宋体"/>
          <w:color w:val="000000" w:themeColor="text1"/>
          <w:kern w:val="0"/>
          <w:szCs w:val="21"/>
          <w:highlight w:val="none"/>
          <w14:textFill>
            <w14:solidFill>
              <w14:schemeClr w14:val="tx1"/>
            </w14:solidFill>
          </w14:textFill>
        </w:rPr>
        <w:t>页）</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1.</w:t>
      </w: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highlight w:val="none"/>
          <w14:textFill>
            <w14:solidFill>
              <w14:schemeClr w14:val="tx1"/>
            </w14:solidFill>
          </w14:textFill>
        </w:rPr>
      </w:pPr>
      <w:r>
        <w:rPr>
          <w:rFonts w:ascii="ˎ̥" w:hAnsi="ˎ̥" w:cs="宋体"/>
          <w:color w:val="000000" w:themeColor="text1"/>
          <w:kern w:val="0"/>
          <w:szCs w:val="21"/>
          <w:highlight w:val="none"/>
          <w14:textFill>
            <w14:solidFill>
              <w14:schemeClr w14:val="tx1"/>
            </w14:solidFill>
          </w14:textFill>
        </w:rPr>
        <w:t>2.</w:t>
      </w:r>
      <w:r>
        <w:rPr>
          <w:rFonts w:ascii="ˎ̥" w:hAnsi="ˎ̥" w:cs="宋体"/>
          <w:b/>
          <w:bCs/>
          <w:color w:val="000000" w:themeColor="text1"/>
          <w:kern w:val="0"/>
          <w:szCs w:val="21"/>
          <w:highlight w:val="none"/>
          <w14:textFill>
            <w14:solidFill>
              <w14:schemeClr w14:val="tx1"/>
            </w14:solidFill>
          </w14:textFill>
        </w:rPr>
        <w:t>……</w:t>
      </w:r>
    </w:p>
    <w:p>
      <w:pPr>
        <w:shd w:val="clear" w:color="auto" w:fill="FFFFFF"/>
        <w:spacing w:line="260" w:lineRule="exact"/>
        <w:rPr>
          <w:rFonts w:hint="eastAsia" w:ascii="ˎ̥" w:hAnsi="ˎ̥" w:cs="宋体"/>
          <w:color w:val="000000" w:themeColor="text1"/>
          <w:kern w:val="0"/>
          <w:szCs w:val="21"/>
          <w:highlight w:val="none"/>
          <w14:textFill>
            <w14:solidFill>
              <w14:schemeClr w14:val="tx1"/>
            </w14:solidFill>
          </w14:textFill>
        </w:rPr>
      </w:pPr>
      <w:r>
        <w:rPr>
          <w:rFonts w:ascii="ˎ̥" w:hAnsi="ˎ̥" w:cs="宋体"/>
          <w:b/>
          <w:bCs/>
          <w:color w:val="000000" w:themeColor="text1"/>
          <w:kern w:val="0"/>
          <w:szCs w:val="21"/>
          <w:highlight w:val="none"/>
          <w14:textFill>
            <w14:solidFill>
              <w14:schemeClr w14:val="tx1"/>
            </w14:solidFill>
          </w14:textFill>
        </w:rPr>
        <w:t>……</w:t>
      </w:r>
    </w:p>
    <w:p>
      <w:pPr>
        <w:widowControl/>
        <w:shd w:val="clear" w:color="auto" w:fill="FFFFFF"/>
        <w:spacing w:line="26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p>
    <w:p>
      <w:pPr>
        <w:widowControl/>
        <w:shd w:val="clear" w:color="auto" w:fill="FFFFFF"/>
        <w:spacing w:line="260" w:lineRule="exact"/>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ind w:firstLine="3418" w:firstLineChars="1628"/>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质疑供应商（公章）：</w:t>
      </w:r>
      <w:r>
        <w:rPr>
          <w:rFonts w:ascii="ˎ̥" w:hAnsi="ˎ̥" w:cs="宋体"/>
          <w:color w:val="000000" w:themeColor="text1"/>
          <w:kern w:val="0"/>
          <w:szCs w:val="21"/>
          <w:highlight w:val="none"/>
          <w14:textFill>
            <w14:solidFill>
              <w14:schemeClr w14:val="tx1"/>
            </w14:solidFill>
          </w14:textFill>
        </w:rPr>
        <w:t>           </w:t>
      </w:r>
    </w:p>
    <w:p>
      <w:pPr>
        <w:widowControl/>
        <w:shd w:val="clear" w:color="auto" w:fill="FFFFFF"/>
        <w:spacing w:line="260" w:lineRule="exact"/>
        <w:ind w:firstLine="3418" w:firstLineChars="1628"/>
        <w:rPr>
          <w:rFonts w:hint="eastAsia" w:ascii="ˎ̥" w:hAnsi="ˎ̥" w:cs="宋体"/>
          <w:color w:val="000000" w:themeColor="text1"/>
          <w:kern w:val="0"/>
          <w:szCs w:val="21"/>
          <w:highlight w:val="none"/>
          <w14:textFill>
            <w14:solidFill>
              <w14:schemeClr w14:val="tx1"/>
            </w14:solidFill>
          </w14:textFill>
        </w:rPr>
      </w:pPr>
    </w:p>
    <w:p>
      <w:pPr>
        <w:widowControl/>
        <w:shd w:val="clear" w:color="auto" w:fill="FFFFFF"/>
        <w:spacing w:line="260" w:lineRule="exact"/>
        <w:ind w:firstLine="3418" w:firstLineChars="1628"/>
        <w:rPr>
          <w:rFonts w:hint="eastAsia" w:ascii="ˎ̥" w:hAnsi="ˎ̥" w:cs="宋体"/>
          <w:color w:val="000000" w:themeColor="text1"/>
          <w:kern w:val="0"/>
          <w:szCs w:val="21"/>
          <w:highlight w:val="none"/>
          <w14:textFill>
            <w14:solidFill>
              <w14:schemeClr w14:val="tx1"/>
            </w14:solidFill>
          </w14:textFill>
        </w:rPr>
      </w:pPr>
      <w:r>
        <w:rPr>
          <w:rFonts w:hint="eastAsia" w:ascii="ˎ̥" w:hAnsi="ˎ̥" w:cs="宋体"/>
          <w:color w:val="000000" w:themeColor="text1"/>
          <w:kern w:val="0"/>
          <w:szCs w:val="21"/>
          <w:highlight w:val="none"/>
          <w14:textFill>
            <w14:solidFill>
              <w14:schemeClr w14:val="tx1"/>
            </w14:solidFill>
          </w14:textFill>
        </w:rPr>
        <w:t>提起质疑的日期：</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年</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月</w:t>
      </w:r>
      <w:r>
        <w:rPr>
          <w:rFonts w:ascii="ˎ̥" w:hAnsi="ˎ̥" w:cs="宋体"/>
          <w:color w:val="000000" w:themeColor="text1"/>
          <w:kern w:val="0"/>
          <w:szCs w:val="21"/>
          <w:highlight w:val="none"/>
          <w14:textFill>
            <w14:solidFill>
              <w14:schemeClr w14:val="tx1"/>
            </w14:solidFill>
          </w14:textFill>
        </w:rPr>
        <w:t xml:space="preserve">   </w:t>
      </w:r>
      <w:r>
        <w:rPr>
          <w:rFonts w:hint="eastAsia" w:ascii="ˎ̥" w:hAnsi="ˎ̥" w:cs="宋体"/>
          <w:color w:val="000000" w:themeColor="text1"/>
          <w:kern w:val="0"/>
          <w:szCs w:val="21"/>
          <w:highlight w:val="none"/>
          <w14:textFill>
            <w14:solidFill>
              <w14:schemeClr w14:val="tx1"/>
            </w14:solidFill>
          </w14:textFill>
        </w:rPr>
        <w:t>日</w:t>
      </w:r>
    </w:p>
    <w:p>
      <w:pPr>
        <w:widowControl/>
        <w:shd w:val="clear" w:color="auto" w:fill="FFFFFF"/>
        <w:spacing w:line="260" w:lineRule="exact"/>
        <w:jc w:val="left"/>
        <w:rPr>
          <w:color w:val="000000" w:themeColor="text1"/>
          <w:highlight w:val="none"/>
          <w14:textFill>
            <w14:solidFill>
              <w14:schemeClr w14:val="tx1"/>
            </w14:solidFill>
          </w14:textFill>
        </w:rPr>
      </w:pPr>
    </w:p>
    <w:p>
      <w:pPr>
        <w:widowControl/>
        <w:shd w:val="clear" w:color="auto" w:fill="FFFFFF"/>
        <w:spacing w:line="26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（后附</w:t>
      </w:r>
      <w:r>
        <w:rPr>
          <w:rFonts w:hint="eastAsia" w:ascii="ˎ̥" w:hAnsi="ˎ̥" w:cs="宋体"/>
          <w:color w:val="000000" w:themeColor="text1"/>
          <w:kern w:val="0"/>
          <w:szCs w:val="21"/>
          <w:highlight w:val="none"/>
          <w14:textFill>
            <w14:solidFill>
              <w14:schemeClr w14:val="tx1"/>
            </w14:solidFill>
          </w14:textFill>
        </w:rPr>
        <w:t>质疑事项</w:t>
      </w:r>
      <w:r>
        <w:rPr>
          <w:rFonts w:hint="eastAsia"/>
          <w:color w:val="000000" w:themeColor="text1"/>
          <w:highlight w:val="none"/>
          <w14:textFill>
            <w14:solidFill>
              <w14:schemeClr w14:val="tx1"/>
            </w14:solidFill>
          </w14:textFill>
        </w:rPr>
        <w:t>证明材料的具体文件）</w:t>
      </w:r>
    </w:p>
    <w:p>
      <w:pPr>
        <w:pStyle w:val="18"/>
        <w:jc w:val="center"/>
        <w:outlineLvl w:val="1"/>
        <w:rPr>
          <w:rFonts w:hAnsi="宋体"/>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sectPr>
      <w:pgSz w:w="11906" w:h="16838"/>
      <w:pgMar w:top="1134" w:right="1134" w:bottom="851"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3A53EE3-3D5B-4B5D-AB40-68FF664B742A}"/>
  </w:font>
  <w:font w:name="Arial">
    <w:panose1 w:val="020B0604020202020204"/>
    <w:charset w:val="01"/>
    <w:family w:val="swiss"/>
    <w:pitch w:val="default"/>
    <w:sig w:usb0="E0002AFF" w:usb1="C0007843" w:usb2="00000009" w:usb3="00000000" w:csb0="400001FF" w:csb1="FFFF0000"/>
    <w:embedRegular r:id="rId2" w:fontKey="{EA29F382-1932-44E3-8656-6213BBCEEE84}"/>
  </w:font>
  <w:font w:name="黑体">
    <w:panose1 w:val="02010609060101010101"/>
    <w:charset w:val="86"/>
    <w:family w:val="auto"/>
    <w:pitch w:val="default"/>
    <w:sig w:usb0="800002BF" w:usb1="38CF7CFA" w:usb2="00000016" w:usb3="00000000" w:csb0="00040001" w:csb1="00000000"/>
    <w:embedRegular r:id="rId3" w:fontKey="{5D6BE241-DCB0-45BC-96F3-F15D48E4003F}"/>
  </w:font>
  <w:font w:name="Courier New">
    <w:panose1 w:val="02070309020205020404"/>
    <w:charset w:val="01"/>
    <w:family w:val="modern"/>
    <w:pitch w:val="default"/>
    <w:sig w:usb0="E0002AFF" w:usb1="C0007843" w:usb2="00000009" w:usb3="00000000" w:csb0="400001FF" w:csb1="FFFF0000"/>
    <w:embedRegular r:id="rId4" w:fontKey="{7A734454-8BCF-4687-925E-E1E77D94E31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5" w:fontKey="{1969718D-E1A1-4DBB-99CE-D823A4C66892}"/>
  </w:font>
  <w:font w:name="仿宋_GB2312">
    <w:altName w:val="仿宋"/>
    <w:panose1 w:val="00000000000000000000"/>
    <w:charset w:val="86"/>
    <w:family w:val="modern"/>
    <w:pitch w:val="default"/>
    <w:sig w:usb0="00000000" w:usb1="00000000" w:usb2="00000010" w:usb3="00000000" w:csb0="00040000" w:csb1="00000000"/>
  </w:font>
  <w:font w:name="金山简黑体">
    <w:altName w:val="黑体"/>
    <w:panose1 w:val="00000000000000000000"/>
    <w:charset w:val="00"/>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康简魏碑">
    <w:altName w:val="微软雅黑"/>
    <w:panose1 w:val="00000000000000000000"/>
    <w:charset w:val="00"/>
    <w:family w:val="modern"/>
    <w:pitch w:val="default"/>
    <w:sig w:usb0="00000000" w:usb1="00000000" w:usb2="00000010" w:usb3="00000000" w:csb0="00040000" w:csb1="00000000"/>
    <w:embedRegular r:id="rId6" w:fontKey="{D7B2EA74-1FDA-46DD-BC17-10004DC75549}"/>
  </w:font>
  <w:font w:name="楷体_GB2312">
    <w:altName w:val="楷体"/>
    <w:panose1 w:val="00000000000000000000"/>
    <w:charset w:val="00"/>
    <w:family w:val="modern"/>
    <w:pitch w:val="default"/>
    <w:sig w:usb0="00000000" w:usb1="00000000" w:usb2="00000010" w:usb3="00000000" w:csb0="00040000" w:csb1="00000000"/>
    <w:embedRegular r:id="rId7" w:fontKey="{3EE586C8-89D0-4581-BD08-44D431079085}"/>
  </w:font>
  <w:font w:name="Helvetica">
    <w:panose1 w:val="020B0504020202030204"/>
    <w:charset w:val="00"/>
    <w:family w:val="swiss"/>
    <w:pitch w:val="default"/>
    <w:sig w:usb0="00000007" w:usb1="00000000" w:usb2="00000000" w:usb3="00000000" w:csb0="00000093" w:csb1="00000000"/>
    <w:embedRegular r:id="rId8" w:fontKey="{154F5AA8-9DB3-45E0-9F0A-2CE6E4D5FAFC}"/>
  </w:font>
  <w:font w:name="文鼎CS楷体">
    <w:altName w:val="微软雅黑"/>
    <w:panose1 w:val="00000000000000000000"/>
    <w:charset w:val="00"/>
    <w:family w:val="modern"/>
    <w:pitch w:val="default"/>
    <w:sig w:usb0="00000000" w:usb1="00000000" w:usb2="00000010" w:usb3="00000000" w:csb0="00040000" w:csb1="00000000"/>
    <w:embedRegular r:id="rId9" w:fontKey="{AE3B0F28-A8DA-46F3-B5F7-69256D7B402B}"/>
  </w:font>
  <w:font w:name="ˎ̥">
    <w:altName w:val="Times New Roman"/>
    <w:panose1 w:val="00000000000000000000"/>
    <w:charset w:val="00"/>
    <w:family w:val="roman"/>
    <w:pitch w:val="default"/>
    <w:sig w:usb0="00000000" w:usb1="00000000" w:usb2="00000000" w:usb3="00000000" w:csb0="00000000" w:csb1="00000000"/>
    <w:embedRegular r:id="rId10" w:fontKey="{ACED32ED-3F92-486B-9421-B233A687C4C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2286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57785" cy="228600"/>
                      </a:xfrm>
                      <a:prstGeom prst="rect">
                        <a:avLst/>
                      </a:prstGeom>
                      <a:noFill/>
                      <a:ln w="15875">
                        <a:noFill/>
                      </a:ln>
                    </wps:spPr>
                    <wps:txbx>
                      <w:txbxContent>
                        <w:p>
                          <w:pPr>
                            <w:pStyle w:val="22"/>
                            <w:rPr>
                              <w:rStyle w:val="36"/>
                            </w:rPr>
                          </w:pPr>
                          <w:r>
                            <w:fldChar w:fldCharType="begin"/>
                          </w:r>
                          <w:r>
                            <w:rPr>
                              <w:rStyle w:val="36"/>
                            </w:rPr>
                            <w:instrText xml:space="preserve">PAGE  </w:instrText>
                          </w:r>
                          <w:r>
                            <w:fldChar w:fldCharType="separate"/>
                          </w:r>
                          <w:r>
                            <w:rPr>
                              <w:rStyle w:val="36"/>
                            </w:rPr>
                            <w:t>7</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8pt;width:4.55pt;mso-position-horizontal:center;mso-position-horizontal-relative:margin;mso-wrap-style:none;z-index:251658240;mso-width-relative:page;mso-height-relative:page;" filled="f" stroked="f" coordsize="21600,21600" o:gfxdata="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&#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8m9Og1AAAAAIBAAAPAAAAAAAAAAEAIAAAACIAAABk&#10;cnMvZG93bnJldi54bWxQSwECFAAUAAAACACHTuJA9olKqtEBAACXAwAADgAAAAAAAAABACAAAAAj&#10;AQAAZHJzL2Uyb0RvYy54bWxQSwUGAAAAAAYABgBZAQAAZgUAAAAA&#10;">
              <v:fill on="f" focussize="0,0"/>
              <v:stroke on="f" weight="1.25pt"/>
              <v:imagedata o:title=""/>
              <o:lock v:ext="edit" aspectratio="f"/>
              <v:textbox inset="0mm,0mm,0mm,0mm" style="mso-fit-shape-to-text:t;">
                <w:txbxContent>
                  <w:p>
                    <w:pPr>
                      <w:pStyle w:val="22"/>
                      <w:rPr>
                        <w:rStyle w:val="36"/>
                      </w:rPr>
                    </w:pPr>
                    <w:r>
                      <w:fldChar w:fldCharType="begin"/>
                    </w:r>
                    <w:r>
                      <w:rPr>
                        <w:rStyle w:val="36"/>
                      </w:rPr>
                      <w:instrText xml:space="preserve">PAGE  </w:instrText>
                    </w:r>
                    <w:r>
                      <w:fldChar w:fldCharType="separate"/>
                    </w:r>
                    <w:r>
                      <w:rPr>
                        <w:rStyle w:val="36"/>
                      </w:rP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286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57785" cy="228600"/>
                      </a:xfrm>
                      <a:prstGeom prst="rect">
                        <a:avLst/>
                      </a:prstGeom>
                      <a:noFill/>
                      <a:ln w="15875">
                        <a:noFill/>
                      </a:ln>
                    </wps:spPr>
                    <wps:txbx>
                      <w:txbxContent>
                        <w:p>
                          <w:pPr>
                            <w:pStyle w:val="2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8pt;width:4.55pt;mso-position-horizontal:center;mso-position-horizontal-relative:margin;mso-wrap-style:none;z-index:251659264;mso-width-relative:page;mso-height-relative:page;" filled="f" stroked="f" coordsize="21600,21600" o:gfxdata="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&#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8m9Og1AAAAAIBAAAPAAAAAAAAAAEAIAAAACIAAABk&#10;cnMvZG93bnJldi54bWxQSwECFAAUAAAACACHTuJAgGtQHtEBAACXAwAADgAAAAAAAAABACAAAAAj&#10;AQAAZHJzL2Uyb0RvYy54bWxQSwUGAAAAAAYABgBZAQAAZ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spacing w:line="240" w:lineRule="exact"/>
      <w:jc w:val="left"/>
      <w:rPr>
        <w:sz w:val="15"/>
        <w:szCs w:val="15"/>
      </w:rPr>
    </w:pPr>
    <w:r>
      <w:rPr>
        <w:rFonts w:hint="eastAsia" w:ascii="宋体" w:hAnsi="宋体"/>
        <w:sz w:val="15"/>
        <w:szCs w:val="15"/>
      </w:rPr>
      <w:t>项目名称：</w:t>
    </w:r>
    <w:r>
      <w:rPr>
        <w:rFonts w:hint="eastAsia" w:ascii="宋体" w:hAnsi="宋体"/>
        <w:sz w:val="15"/>
        <w:szCs w:val="15"/>
        <w:lang w:eastAsia="zh-CN"/>
      </w:rPr>
      <w:t>南宁职业技术学院软件技术专业群2020年度“双高”课程资源建设采购</w:t>
    </w:r>
    <w:r>
      <w:rPr>
        <w:rFonts w:hint="eastAsia" w:ascii="宋体" w:hAnsi="宋体"/>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7C940"/>
    <w:multiLevelType w:val="singleLevel"/>
    <w:tmpl w:val="E2D7C940"/>
    <w:lvl w:ilvl="0" w:tentative="0">
      <w:start w:val="1"/>
      <w:numFmt w:val="decimal"/>
      <w:lvlText w:val="%1)"/>
      <w:lvlJc w:val="left"/>
      <w:pPr>
        <w:tabs>
          <w:tab w:val="left" w:pos="312"/>
        </w:tabs>
      </w:pPr>
    </w:lvl>
  </w:abstractNum>
  <w:abstractNum w:abstractNumId="1">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2">
    <w:nsid w:val="0000000A"/>
    <w:multiLevelType w:val="multilevel"/>
    <w:tmpl w:val="0000000A"/>
    <w:lvl w:ilvl="0" w:tentative="0">
      <w:start w:val="1"/>
      <w:numFmt w:val="decimal"/>
      <w:pStyle w:val="92"/>
      <w:lvlText w:val="（%1）"/>
      <w:lvlJc w:val="left"/>
      <w:pPr>
        <w:tabs>
          <w:tab w:val="left" w:pos="1140"/>
        </w:tabs>
        <w:ind w:left="1140" w:hanging="720"/>
      </w:pPr>
      <w:rPr>
        <w:rFonts w:ascii="宋体" w:hAnsi="宋体" w:eastAsia="宋体" w:cs="Times New Roman"/>
      </w:rPr>
    </w:lvl>
    <w:lvl w:ilvl="1" w:tentative="0">
      <w:start w:val="1"/>
      <w:numFmt w:val="lowerLetter"/>
      <w:pStyle w:val="53"/>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51"/>
      <w:lvlText w:val="%4."/>
      <w:lvlJc w:val="left"/>
      <w:pPr>
        <w:tabs>
          <w:tab w:val="left" w:pos="2100"/>
        </w:tabs>
        <w:ind w:left="2100" w:hanging="420"/>
      </w:pPr>
    </w:lvl>
    <w:lvl w:ilvl="4" w:tentative="0">
      <w:start w:val="1"/>
      <w:numFmt w:val="lowerLetter"/>
      <w:pStyle w:val="50"/>
      <w:lvlText w:val="%5)"/>
      <w:lvlJc w:val="left"/>
      <w:pPr>
        <w:tabs>
          <w:tab w:val="left" w:pos="2520"/>
        </w:tabs>
        <w:ind w:left="2520" w:hanging="420"/>
      </w:pPr>
    </w:lvl>
    <w:lvl w:ilvl="5" w:tentative="0">
      <w:start w:val="1"/>
      <w:numFmt w:val="lowerRoman"/>
      <w:pStyle w:val="68"/>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pStyle w:val="87"/>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C"/>
    <w:multiLevelType w:val="multilevel"/>
    <w:tmpl w:val="0000000C"/>
    <w:lvl w:ilvl="0" w:tentative="0">
      <w:start w:val="1"/>
      <w:numFmt w:val="decimal"/>
      <w:pStyle w:val="66"/>
      <w:lvlText w:val="%1、"/>
      <w:lvlJc w:val="left"/>
      <w:pPr>
        <w:tabs>
          <w:tab w:val="left" w:pos="972"/>
        </w:tabs>
        <w:ind w:left="1320" w:hanging="564"/>
      </w:pPr>
      <w:rPr>
        <w:rFonts w:hint="eastAsia"/>
      </w:rPr>
    </w:lvl>
    <w:lvl w:ilvl="1" w:tentative="0">
      <w:start w:val="1"/>
      <w:numFmt w:val="lowerLetter"/>
      <w:pStyle w:val="64"/>
      <w:lvlText w:val="%2."/>
      <w:lvlJc w:val="left"/>
      <w:pPr>
        <w:tabs>
          <w:tab w:val="left" w:pos="1980"/>
        </w:tabs>
        <w:ind w:left="1980" w:hanging="360"/>
      </w:pPr>
    </w:lvl>
    <w:lvl w:ilvl="2" w:tentative="0">
      <w:start w:val="1"/>
      <w:numFmt w:val="lowerRoman"/>
      <w:pStyle w:val="63"/>
      <w:lvlText w:val="%3."/>
      <w:lvlJc w:val="right"/>
      <w:pPr>
        <w:tabs>
          <w:tab w:val="left" w:pos="2700"/>
        </w:tabs>
        <w:ind w:left="2700" w:hanging="180"/>
      </w:pPr>
    </w:lvl>
    <w:lvl w:ilvl="3" w:tentative="0">
      <w:start w:val="1"/>
      <w:numFmt w:val="decimal"/>
      <w:pStyle w:val="62"/>
      <w:lvlText w:val="%4."/>
      <w:lvlJc w:val="left"/>
      <w:pPr>
        <w:tabs>
          <w:tab w:val="left" w:pos="3420"/>
        </w:tabs>
        <w:ind w:left="3420" w:hanging="360"/>
      </w:pPr>
    </w:lvl>
    <w:lvl w:ilvl="4" w:tentative="0">
      <w:start w:val="1"/>
      <w:numFmt w:val="lowerLetter"/>
      <w:pStyle w:val="61"/>
      <w:lvlText w:val="%5."/>
      <w:lvlJc w:val="left"/>
      <w:pPr>
        <w:tabs>
          <w:tab w:val="left" w:pos="4140"/>
        </w:tabs>
        <w:ind w:left="4140" w:hanging="360"/>
      </w:pPr>
    </w:lvl>
    <w:lvl w:ilvl="5" w:tentative="0">
      <w:start w:val="1"/>
      <w:numFmt w:val="lowerRoman"/>
      <w:pStyle w:val="60"/>
      <w:lvlText w:val="%6."/>
      <w:lvlJc w:val="right"/>
      <w:pPr>
        <w:tabs>
          <w:tab w:val="left" w:pos="4860"/>
        </w:tabs>
        <w:ind w:left="4860" w:hanging="180"/>
      </w:pPr>
    </w:lvl>
    <w:lvl w:ilvl="6" w:tentative="0">
      <w:start w:val="1"/>
      <w:numFmt w:val="decimal"/>
      <w:pStyle w:val="104"/>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5">
    <w:nsid w:val="103B7568"/>
    <w:multiLevelType w:val="singleLevel"/>
    <w:tmpl w:val="103B7568"/>
    <w:lvl w:ilvl="0" w:tentative="0">
      <w:start w:val="3"/>
      <w:numFmt w:val="chineseCounting"/>
      <w:suff w:val="nothing"/>
      <w:lvlText w:val="（%1）"/>
      <w:lvlJc w:val="left"/>
      <w:rPr>
        <w:rFonts w:hint="eastAsia"/>
      </w:rPr>
    </w:lvl>
  </w:abstractNum>
  <w:abstractNum w:abstractNumId="6">
    <w:nsid w:val="14CF7821"/>
    <w:multiLevelType w:val="multilevel"/>
    <w:tmpl w:val="14CF7821"/>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23813970"/>
    <w:multiLevelType w:val="multilevel"/>
    <w:tmpl w:val="23813970"/>
    <w:lvl w:ilvl="0" w:tentative="0">
      <w:start w:val="1"/>
      <w:numFmt w:val="decimal"/>
      <w:pStyle w:val="70"/>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1551737"/>
    <w:multiLevelType w:val="multilevel"/>
    <w:tmpl w:val="41551737"/>
    <w:lvl w:ilvl="0" w:tentative="0">
      <w:start w:val="1"/>
      <w:numFmt w:val="japaneseCounting"/>
      <w:pStyle w:val="10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C26843"/>
    <w:multiLevelType w:val="multilevel"/>
    <w:tmpl w:val="4CC26843"/>
    <w:lvl w:ilvl="0" w:tentative="0">
      <w:start w:val="10"/>
      <w:numFmt w:val="decimal"/>
      <w:pStyle w:val="120"/>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03A0AE7"/>
    <w:multiLevelType w:val="multilevel"/>
    <w:tmpl w:val="503A0AE7"/>
    <w:lvl w:ilvl="0" w:tentative="0">
      <w:start w:val="2"/>
      <w:numFmt w:val="decimal"/>
      <w:pStyle w:val="1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767656C"/>
    <w:multiLevelType w:val="multilevel"/>
    <w:tmpl w:val="5767656C"/>
    <w:lvl w:ilvl="0" w:tentative="0">
      <w:start w:val="1"/>
      <w:numFmt w:val="decimal"/>
      <w:pStyle w:val="95"/>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1CA2E6C"/>
    <w:multiLevelType w:val="multilevel"/>
    <w:tmpl w:val="71CA2E6C"/>
    <w:lvl w:ilvl="0" w:tentative="0">
      <w:start w:val="1"/>
      <w:numFmt w:val="decimal"/>
      <w:lvlText w:val="（%1）......ꌜ"/>
      <w:lvlJc w:val="left"/>
      <w:pPr>
        <w:ind w:left="2160" w:hanging="21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4.%5.%6.%7.%8.%9."/>
      <w:lvlJc w:val="left"/>
      <w:pPr>
        <w:ind w:left="3448" w:hanging="1800"/>
      </w:pPr>
      <w:rPr>
        <w:rFonts w:hint="default"/>
      </w:rPr>
    </w:lvl>
  </w:abstractNum>
  <w:abstractNum w:abstractNumId="15">
    <w:nsid w:val="732D5169"/>
    <w:multiLevelType w:val="multilevel"/>
    <w:tmpl w:val="732D5169"/>
    <w:lvl w:ilvl="0" w:tentative="0">
      <w:start w:val="1"/>
      <w:numFmt w:val="decimal"/>
      <w:pStyle w:val="76"/>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6"/>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hideSpellingErrors/>
  <w:documentProtection w:enforcement="0"/>
  <w:defaultTabStop w:val="0"/>
  <w:drawingGridHorizontalSpacing w:val="105"/>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C6"/>
    <w:rsid w:val="00001337"/>
    <w:rsid w:val="000013B7"/>
    <w:rsid w:val="000018B6"/>
    <w:rsid w:val="00002DFE"/>
    <w:rsid w:val="00003EDF"/>
    <w:rsid w:val="000044CD"/>
    <w:rsid w:val="00004A95"/>
    <w:rsid w:val="00005B70"/>
    <w:rsid w:val="00007F46"/>
    <w:rsid w:val="000101DB"/>
    <w:rsid w:val="00010919"/>
    <w:rsid w:val="00010B94"/>
    <w:rsid w:val="00011A0B"/>
    <w:rsid w:val="00011DE5"/>
    <w:rsid w:val="000129F1"/>
    <w:rsid w:val="00012D92"/>
    <w:rsid w:val="00012F89"/>
    <w:rsid w:val="0001387D"/>
    <w:rsid w:val="000141B5"/>
    <w:rsid w:val="0001441D"/>
    <w:rsid w:val="00014556"/>
    <w:rsid w:val="00014BD0"/>
    <w:rsid w:val="00015966"/>
    <w:rsid w:val="000159B2"/>
    <w:rsid w:val="00015DA0"/>
    <w:rsid w:val="00016269"/>
    <w:rsid w:val="0001672C"/>
    <w:rsid w:val="000168BB"/>
    <w:rsid w:val="000172AD"/>
    <w:rsid w:val="00017704"/>
    <w:rsid w:val="00020DE9"/>
    <w:rsid w:val="000213CB"/>
    <w:rsid w:val="00021874"/>
    <w:rsid w:val="000223D4"/>
    <w:rsid w:val="00023890"/>
    <w:rsid w:val="00023F78"/>
    <w:rsid w:val="00025312"/>
    <w:rsid w:val="00025D36"/>
    <w:rsid w:val="000262D5"/>
    <w:rsid w:val="000263F7"/>
    <w:rsid w:val="00026A1C"/>
    <w:rsid w:val="00026B06"/>
    <w:rsid w:val="00026D67"/>
    <w:rsid w:val="00027219"/>
    <w:rsid w:val="0002780C"/>
    <w:rsid w:val="0002783E"/>
    <w:rsid w:val="00027DB0"/>
    <w:rsid w:val="00027F18"/>
    <w:rsid w:val="00031CC2"/>
    <w:rsid w:val="00032799"/>
    <w:rsid w:val="0003289C"/>
    <w:rsid w:val="00032B3C"/>
    <w:rsid w:val="00033223"/>
    <w:rsid w:val="00033326"/>
    <w:rsid w:val="000347EB"/>
    <w:rsid w:val="000348F6"/>
    <w:rsid w:val="000351EA"/>
    <w:rsid w:val="00035299"/>
    <w:rsid w:val="00035429"/>
    <w:rsid w:val="00035F4B"/>
    <w:rsid w:val="0003699E"/>
    <w:rsid w:val="00037635"/>
    <w:rsid w:val="00037BA4"/>
    <w:rsid w:val="0004011B"/>
    <w:rsid w:val="0004063A"/>
    <w:rsid w:val="00041153"/>
    <w:rsid w:val="00042879"/>
    <w:rsid w:val="00042EF1"/>
    <w:rsid w:val="000437E9"/>
    <w:rsid w:val="00044929"/>
    <w:rsid w:val="00044B38"/>
    <w:rsid w:val="00044CE5"/>
    <w:rsid w:val="000450D9"/>
    <w:rsid w:val="000453BE"/>
    <w:rsid w:val="00046197"/>
    <w:rsid w:val="00046AF6"/>
    <w:rsid w:val="00047469"/>
    <w:rsid w:val="000475E7"/>
    <w:rsid w:val="000477D8"/>
    <w:rsid w:val="000479CE"/>
    <w:rsid w:val="00051154"/>
    <w:rsid w:val="00051EEB"/>
    <w:rsid w:val="00052196"/>
    <w:rsid w:val="00052223"/>
    <w:rsid w:val="00052760"/>
    <w:rsid w:val="00053534"/>
    <w:rsid w:val="000537AD"/>
    <w:rsid w:val="0005392D"/>
    <w:rsid w:val="00054898"/>
    <w:rsid w:val="000548CF"/>
    <w:rsid w:val="00054B73"/>
    <w:rsid w:val="00054F3A"/>
    <w:rsid w:val="00055C4B"/>
    <w:rsid w:val="00055CC5"/>
    <w:rsid w:val="0005658A"/>
    <w:rsid w:val="000565EA"/>
    <w:rsid w:val="000566E1"/>
    <w:rsid w:val="00056E07"/>
    <w:rsid w:val="000576D6"/>
    <w:rsid w:val="0006007A"/>
    <w:rsid w:val="0006032D"/>
    <w:rsid w:val="00060601"/>
    <w:rsid w:val="00060AD7"/>
    <w:rsid w:val="00060C6D"/>
    <w:rsid w:val="00060E23"/>
    <w:rsid w:val="00060F20"/>
    <w:rsid w:val="0006125A"/>
    <w:rsid w:val="00061670"/>
    <w:rsid w:val="00061804"/>
    <w:rsid w:val="00062015"/>
    <w:rsid w:val="00062389"/>
    <w:rsid w:val="000624A6"/>
    <w:rsid w:val="00065160"/>
    <w:rsid w:val="0006567D"/>
    <w:rsid w:val="00066BD9"/>
    <w:rsid w:val="0006727F"/>
    <w:rsid w:val="000676ED"/>
    <w:rsid w:val="00067BAC"/>
    <w:rsid w:val="00067F20"/>
    <w:rsid w:val="00070924"/>
    <w:rsid w:val="00070B43"/>
    <w:rsid w:val="00070B9E"/>
    <w:rsid w:val="00071167"/>
    <w:rsid w:val="000718CC"/>
    <w:rsid w:val="00071C8B"/>
    <w:rsid w:val="000729CC"/>
    <w:rsid w:val="00072F77"/>
    <w:rsid w:val="00073761"/>
    <w:rsid w:val="00073D3F"/>
    <w:rsid w:val="00074225"/>
    <w:rsid w:val="0007428A"/>
    <w:rsid w:val="0007579D"/>
    <w:rsid w:val="00075BF0"/>
    <w:rsid w:val="00076CCB"/>
    <w:rsid w:val="0008194C"/>
    <w:rsid w:val="00082875"/>
    <w:rsid w:val="00082D23"/>
    <w:rsid w:val="00082D8D"/>
    <w:rsid w:val="000833C7"/>
    <w:rsid w:val="00083515"/>
    <w:rsid w:val="0008405F"/>
    <w:rsid w:val="000846EF"/>
    <w:rsid w:val="0008517A"/>
    <w:rsid w:val="0008557B"/>
    <w:rsid w:val="000857B8"/>
    <w:rsid w:val="00085847"/>
    <w:rsid w:val="00085F22"/>
    <w:rsid w:val="00087225"/>
    <w:rsid w:val="000874E4"/>
    <w:rsid w:val="000875D3"/>
    <w:rsid w:val="00087C5C"/>
    <w:rsid w:val="00087F83"/>
    <w:rsid w:val="0009032F"/>
    <w:rsid w:val="00090751"/>
    <w:rsid w:val="00091ED5"/>
    <w:rsid w:val="00092A03"/>
    <w:rsid w:val="00093A4F"/>
    <w:rsid w:val="000948FA"/>
    <w:rsid w:val="00094E6F"/>
    <w:rsid w:val="0009514D"/>
    <w:rsid w:val="000954C3"/>
    <w:rsid w:val="000963D1"/>
    <w:rsid w:val="0009656D"/>
    <w:rsid w:val="00097AE5"/>
    <w:rsid w:val="00097C86"/>
    <w:rsid w:val="000A11B3"/>
    <w:rsid w:val="000A1412"/>
    <w:rsid w:val="000A15B2"/>
    <w:rsid w:val="000A1CAE"/>
    <w:rsid w:val="000A2779"/>
    <w:rsid w:val="000A3ADC"/>
    <w:rsid w:val="000A41F6"/>
    <w:rsid w:val="000A433E"/>
    <w:rsid w:val="000A46C1"/>
    <w:rsid w:val="000A5613"/>
    <w:rsid w:val="000A572F"/>
    <w:rsid w:val="000A5E58"/>
    <w:rsid w:val="000A6119"/>
    <w:rsid w:val="000A75A9"/>
    <w:rsid w:val="000A7F90"/>
    <w:rsid w:val="000A7FE5"/>
    <w:rsid w:val="000B0ECF"/>
    <w:rsid w:val="000B1A5B"/>
    <w:rsid w:val="000B1C5D"/>
    <w:rsid w:val="000B2558"/>
    <w:rsid w:val="000B2757"/>
    <w:rsid w:val="000B2D68"/>
    <w:rsid w:val="000B374E"/>
    <w:rsid w:val="000B413E"/>
    <w:rsid w:val="000B4529"/>
    <w:rsid w:val="000B47CC"/>
    <w:rsid w:val="000B4879"/>
    <w:rsid w:val="000B4F6D"/>
    <w:rsid w:val="000B507F"/>
    <w:rsid w:val="000B5537"/>
    <w:rsid w:val="000B5721"/>
    <w:rsid w:val="000B58E8"/>
    <w:rsid w:val="000B5CC8"/>
    <w:rsid w:val="000B696D"/>
    <w:rsid w:val="000B71F6"/>
    <w:rsid w:val="000B73A2"/>
    <w:rsid w:val="000B78CB"/>
    <w:rsid w:val="000C0540"/>
    <w:rsid w:val="000C0C34"/>
    <w:rsid w:val="000C1117"/>
    <w:rsid w:val="000C1F6B"/>
    <w:rsid w:val="000C2495"/>
    <w:rsid w:val="000C28E0"/>
    <w:rsid w:val="000C2C8A"/>
    <w:rsid w:val="000C2ECC"/>
    <w:rsid w:val="000C3E78"/>
    <w:rsid w:val="000C3EF8"/>
    <w:rsid w:val="000C420D"/>
    <w:rsid w:val="000C44A5"/>
    <w:rsid w:val="000C536C"/>
    <w:rsid w:val="000C57EC"/>
    <w:rsid w:val="000C5F19"/>
    <w:rsid w:val="000C6008"/>
    <w:rsid w:val="000C66DB"/>
    <w:rsid w:val="000C6A0B"/>
    <w:rsid w:val="000C7066"/>
    <w:rsid w:val="000C7558"/>
    <w:rsid w:val="000D0C1B"/>
    <w:rsid w:val="000D0C43"/>
    <w:rsid w:val="000D0EE3"/>
    <w:rsid w:val="000D25A3"/>
    <w:rsid w:val="000D25FF"/>
    <w:rsid w:val="000D277E"/>
    <w:rsid w:val="000D2BFC"/>
    <w:rsid w:val="000D2E21"/>
    <w:rsid w:val="000D3976"/>
    <w:rsid w:val="000D4F6B"/>
    <w:rsid w:val="000D5121"/>
    <w:rsid w:val="000D62C6"/>
    <w:rsid w:val="000D75A9"/>
    <w:rsid w:val="000D7A0B"/>
    <w:rsid w:val="000D7C07"/>
    <w:rsid w:val="000E0B96"/>
    <w:rsid w:val="000E0D40"/>
    <w:rsid w:val="000E15E8"/>
    <w:rsid w:val="000E177D"/>
    <w:rsid w:val="000E2879"/>
    <w:rsid w:val="000E305D"/>
    <w:rsid w:val="000E3DD4"/>
    <w:rsid w:val="000E576C"/>
    <w:rsid w:val="000E6255"/>
    <w:rsid w:val="000E6DB6"/>
    <w:rsid w:val="000E7614"/>
    <w:rsid w:val="000E7968"/>
    <w:rsid w:val="000E7FEB"/>
    <w:rsid w:val="000F04CA"/>
    <w:rsid w:val="000F11F8"/>
    <w:rsid w:val="000F1B73"/>
    <w:rsid w:val="000F1C1A"/>
    <w:rsid w:val="000F23E5"/>
    <w:rsid w:val="000F29C5"/>
    <w:rsid w:val="000F2DA3"/>
    <w:rsid w:val="000F2E9B"/>
    <w:rsid w:val="000F2F07"/>
    <w:rsid w:val="000F2F7A"/>
    <w:rsid w:val="000F3ACE"/>
    <w:rsid w:val="000F43EB"/>
    <w:rsid w:val="000F4B46"/>
    <w:rsid w:val="000F61AE"/>
    <w:rsid w:val="000F61EC"/>
    <w:rsid w:val="000F73F9"/>
    <w:rsid w:val="000F788E"/>
    <w:rsid w:val="001005DB"/>
    <w:rsid w:val="00100DA8"/>
    <w:rsid w:val="0010113D"/>
    <w:rsid w:val="001014B3"/>
    <w:rsid w:val="00102B28"/>
    <w:rsid w:val="001032A8"/>
    <w:rsid w:val="001038BF"/>
    <w:rsid w:val="00103C96"/>
    <w:rsid w:val="0010431C"/>
    <w:rsid w:val="00105815"/>
    <w:rsid w:val="00110003"/>
    <w:rsid w:val="00110205"/>
    <w:rsid w:val="001107BB"/>
    <w:rsid w:val="00110A48"/>
    <w:rsid w:val="00110D20"/>
    <w:rsid w:val="00110D65"/>
    <w:rsid w:val="00111E6E"/>
    <w:rsid w:val="00113592"/>
    <w:rsid w:val="00113AB4"/>
    <w:rsid w:val="00113B89"/>
    <w:rsid w:val="001144B5"/>
    <w:rsid w:val="00116434"/>
    <w:rsid w:val="00116D9A"/>
    <w:rsid w:val="00116F77"/>
    <w:rsid w:val="0011762B"/>
    <w:rsid w:val="00117941"/>
    <w:rsid w:val="00120585"/>
    <w:rsid w:val="00120F2C"/>
    <w:rsid w:val="0012153E"/>
    <w:rsid w:val="00121F93"/>
    <w:rsid w:val="0012277F"/>
    <w:rsid w:val="00122D79"/>
    <w:rsid w:val="001231FC"/>
    <w:rsid w:val="001235FB"/>
    <w:rsid w:val="00123765"/>
    <w:rsid w:val="00124C95"/>
    <w:rsid w:val="001263BA"/>
    <w:rsid w:val="001266EB"/>
    <w:rsid w:val="00126FE5"/>
    <w:rsid w:val="00127370"/>
    <w:rsid w:val="00127D28"/>
    <w:rsid w:val="00130558"/>
    <w:rsid w:val="00130CF3"/>
    <w:rsid w:val="00130ED4"/>
    <w:rsid w:val="001311B3"/>
    <w:rsid w:val="001314F6"/>
    <w:rsid w:val="001322F0"/>
    <w:rsid w:val="00132834"/>
    <w:rsid w:val="00132DB9"/>
    <w:rsid w:val="0013310F"/>
    <w:rsid w:val="00134470"/>
    <w:rsid w:val="00135D45"/>
    <w:rsid w:val="001362C4"/>
    <w:rsid w:val="00136313"/>
    <w:rsid w:val="00137E7E"/>
    <w:rsid w:val="00140143"/>
    <w:rsid w:val="00140ACA"/>
    <w:rsid w:val="00141335"/>
    <w:rsid w:val="001416E8"/>
    <w:rsid w:val="00141E6D"/>
    <w:rsid w:val="00142438"/>
    <w:rsid w:val="001425A1"/>
    <w:rsid w:val="001435AC"/>
    <w:rsid w:val="00143D59"/>
    <w:rsid w:val="0014516D"/>
    <w:rsid w:val="00145FB0"/>
    <w:rsid w:val="001469CA"/>
    <w:rsid w:val="00146B82"/>
    <w:rsid w:val="001471F2"/>
    <w:rsid w:val="00147B8A"/>
    <w:rsid w:val="00147BE5"/>
    <w:rsid w:val="00150525"/>
    <w:rsid w:val="0015094A"/>
    <w:rsid w:val="00150DF7"/>
    <w:rsid w:val="001510D1"/>
    <w:rsid w:val="001516C3"/>
    <w:rsid w:val="00151D2D"/>
    <w:rsid w:val="00152D96"/>
    <w:rsid w:val="00153C79"/>
    <w:rsid w:val="001542F8"/>
    <w:rsid w:val="0015455A"/>
    <w:rsid w:val="00155066"/>
    <w:rsid w:val="00155D38"/>
    <w:rsid w:val="00156396"/>
    <w:rsid w:val="0015671F"/>
    <w:rsid w:val="0015681B"/>
    <w:rsid w:val="001570D0"/>
    <w:rsid w:val="00157924"/>
    <w:rsid w:val="00157B76"/>
    <w:rsid w:val="00157E18"/>
    <w:rsid w:val="001602B0"/>
    <w:rsid w:val="00160C6A"/>
    <w:rsid w:val="00161707"/>
    <w:rsid w:val="0016248D"/>
    <w:rsid w:val="00162566"/>
    <w:rsid w:val="00162B46"/>
    <w:rsid w:val="00163DC1"/>
    <w:rsid w:val="00163E28"/>
    <w:rsid w:val="001645D1"/>
    <w:rsid w:val="001646BE"/>
    <w:rsid w:val="00164773"/>
    <w:rsid w:val="00165766"/>
    <w:rsid w:val="00165878"/>
    <w:rsid w:val="00166002"/>
    <w:rsid w:val="00166373"/>
    <w:rsid w:val="00166F4E"/>
    <w:rsid w:val="0016726A"/>
    <w:rsid w:val="001674CC"/>
    <w:rsid w:val="00167668"/>
    <w:rsid w:val="00167E54"/>
    <w:rsid w:val="00171117"/>
    <w:rsid w:val="00171480"/>
    <w:rsid w:val="0017165F"/>
    <w:rsid w:val="00171C74"/>
    <w:rsid w:val="00172A27"/>
    <w:rsid w:val="00172A6B"/>
    <w:rsid w:val="00173107"/>
    <w:rsid w:val="00173A8C"/>
    <w:rsid w:val="001744D1"/>
    <w:rsid w:val="001744E5"/>
    <w:rsid w:val="00175F34"/>
    <w:rsid w:val="001769D7"/>
    <w:rsid w:val="00176D4F"/>
    <w:rsid w:val="001778D0"/>
    <w:rsid w:val="001802D3"/>
    <w:rsid w:val="00182485"/>
    <w:rsid w:val="00182EA9"/>
    <w:rsid w:val="00183173"/>
    <w:rsid w:val="001835A1"/>
    <w:rsid w:val="00183711"/>
    <w:rsid w:val="00183E10"/>
    <w:rsid w:val="00184E96"/>
    <w:rsid w:val="00185DC2"/>
    <w:rsid w:val="0018691E"/>
    <w:rsid w:val="00186A11"/>
    <w:rsid w:val="00187C2D"/>
    <w:rsid w:val="00187DDD"/>
    <w:rsid w:val="00190852"/>
    <w:rsid w:val="001915EF"/>
    <w:rsid w:val="0019191E"/>
    <w:rsid w:val="00192145"/>
    <w:rsid w:val="00192CAD"/>
    <w:rsid w:val="00193759"/>
    <w:rsid w:val="001940C1"/>
    <w:rsid w:val="0019499B"/>
    <w:rsid w:val="00195599"/>
    <w:rsid w:val="0019638D"/>
    <w:rsid w:val="00197536"/>
    <w:rsid w:val="00197DBA"/>
    <w:rsid w:val="001A0305"/>
    <w:rsid w:val="001A0655"/>
    <w:rsid w:val="001A0C7C"/>
    <w:rsid w:val="001A2AF4"/>
    <w:rsid w:val="001A2B0E"/>
    <w:rsid w:val="001A4DFB"/>
    <w:rsid w:val="001A5601"/>
    <w:rsid w:val="001A618D"/>
    <w:rsid w:val="001A6194"/>
    <w:rsid w:val="001A730C"/>
    <w:rsid w:val="001A753D"/>
    <w:rsid w:val="001A7793"/>
    <w:rsid w:val="001B05FD"/>
    <w:rsid w:val="001B075E"/>
    <w:rsid w:val="001B0BFB"/>
    <w:rsid w:val="001B0E17"/>
    <w:rsid w:val="001B2088"/>
    <w:rsid w:val="001B2486"/>
    <w:rsid w:val="001B27AA"/>
    <w:rsid w:val="001B31A8"/>
    <w:rsid w:val="001B3929"/>
    <w:rsid w:val="001B3D9D"/>
    <w:rsid w:val="001B4228"/>
    <w:rsid w:val="001B430D"/>
    <w:rsid w:val="001B491B"/>
    <w:rsid w:val="001B4B63"/>
    <w:rsid w:val="001B4E72"/>
    <w:rsid w:val="001B50ED"/>
    <w:rsid w:val="001B58DA"/>
    <w:rsid w:val="001C00E9"/>
    <w:rsid w:val="001C08F0"/>
    <w:rsid w:val="001C155B"/>
    <w:rsid w:val="001C15EA"/>
    <w:rsid w:val="001C1789"/>
    <w:rsid w:val="001C1DFF"/>
    <w:rsid w:val="001C2376"/>
    <w:rsid w:val="001C2DE2"/>
    <w:rsid w:val="001C36AD"/>
    <w:rsid w:val="001C3A5B"/>
    <w:rsid w:val="001C3F2D"/>
    <w:rsid w:val="001C445D"/>
    <w:rsid w:val="001C4E38"/>
    <w:rsid w:val="001C5864"/>
    <w:rsid w:val="001C5B56"/>
    <w:rsid w:val="001C5DA3"/>
    <w:rsid w:val="001C60E8"/>
    <w:rsid w:val="001C6E61"/>
    <w:rsid w:val="001C7716"/>
    <w:rsid w:val="001D0A40"/>
    <w:rsid w:val="001D10F9"/>
    <w:rsid w:val="001D197C"/>
    <w:rsid w:val="001D1A98"/>
    <w:rsid w:val="001D1ED0"/>
    <w:rsid w:val="001D1ED4"/>
    <w:rsid w:val="001D1EDB"/>
    <w:rsid w:val="001D34F8"/>
    <w:rsid w:val="001D36DD"/>
    <w:rsid w:val="001D4CC4"/>
    <w:rsid w:val="001D4D59"/>
    <w:rsid w:val="001D4F38"/>
    <w:rsid w:val="001D53A1"/>
    <w:rsid w:val="001D5991"/>
    <w:rsid w:val="001D5B5B"/>
    <w:rsid w:val="001D69FF"/>
    <w:rsid w:val="001D7AD4"/>
    <w:rsid w:val="001E063D"/>
    <w:rsid w:val="001E0AF7"/>
    <w:rsid w:val="001E0E8A"/>
    <w:rsid w:val="001E12DF"/>
    <w:rsid w:val="001E1667"/>
    <w:rsid w:val="001E17B0"/>
    <w:rsid w:val="001E1912"/>
    <w:rsid w:val="001E23C5"/>
    <w:rsid w:val="001E2BFA"/>
    <w:rsid w:val="001E2C7D"/>
    <w:rsid w:val="001E2E48"/>
    <w:rsid w:val="001E39CE"/>
    <w:rsid w:val="001E4437"/>
    <w:rsid w:val="001E4CB8"/>
    <w:rsid w:val="001E5AEF"/>
    <w:rsid w:val="001E5F56"/>
    <w:rsid w:val="001E658D"/>
    <w:rsid w:val="001E68BD"/>
    <w:rsid w:val="001F0448"/>
    <w:rsid w:val="001F0697"/>
    <w:rsid w:val="001F0885"/>
    <w:rsid w:val="001F09C1"/>
    <w:rsid w:val="001F0ECA"/>
    <w:rsid w:val="001F1F51"/>
    <w:rsid w:val="001F212E"/>
    <w:rsid w:val="001F225A"/>
    <w:rsid w:val="001F227A"/>
    <w:rsid w:val="001F2FD9"/>
    <w:rsid w:val="001F32B8"/>
    <w:rsid w:val="001F3672"/>
    <w:rsid w:val="001F488F"/>
    <w:rsid w:val="001F549B"/>
    <w:rsid w:val="001F561F"/>
    <w:rsid w:val="001F5AAC"/>
    <w:rsid w:val="001F6A66"/>
    <w:rsid w:val="001F7361"/>
    <w:rsid w:val="001F753B"/>
    <w:rsid w:val="00200261"/>
    <w:rsid w:val="00200714"/>
    <w:rsid w:val="00201F27"/>
    <w:rsid w:val="00201F3E"/>
    <w:rsid w:val="00201F42"/>
    <w:rsid w:val="00204AE2"/>
    <w:rsid w:val="00204C17"/>
    <w:rsid w:val="00204F22"/>
    <w:rsid w:val="0020523F"/>
    <w:rsid w:val="00205296"/>
    <w:rsid w:val="00205869"/>
    <w:rsid w:val="00206F16"/>
    <w:rsid w:val="00207832"/>
    <w:rsid w:val="00207E05"/>
    <w:rsid w:val="002104D4"/>
    <w:rsid w:val="0021053B"/>
    <w:rsid w:val="00211E83"/>
    <w:rsid w:val="002120CB"/>
    <w:rsid w:val="002123D9"/>
    <w:rsid w:val="00214A1E"/>
    <w:rsid w:val="00214F53"/>
    <w:rsid w:val="00214F55"/>
    <w:rsid w:val="00214F5D"/>
    <w:rsid w:val="00215415"/>
    <w:rsid w:val="002157B0"/>
    <w:rsid w:val="00215924"/>
    <w:rsid w:val="00216BAD"/>
    <w:rsid w:val="00220644"/>
    <w:rsid w:val="00220760"/>
    <w:rsid w:val="002208D5"/>
    <w:rsid w:val="00221957"/>
    <w:rsid w:val="0022251B"/>
    <w:rsid w:val="002232F0"/>
    <w:rsid w:val="00223EFA"/>
    <w:rsid w:val="002242D1"/>
    <w:rsid w:val="00224ADC"/>
    <w:rsid w:val="00224D1C"/>
    <w:rsid w:val="00225003"/>
    <w:rsid w:val="00225A75"/>
    <w:rsid w:val="00225F3D"/>
    <w:rsid w:val="0022623E"/>
    <w:rsid w:val="00226C52"/>
    <w:rsid w:val="00226D59"/>
    <w:rsid w:val="00227037"/>
    <w:rsid w:val="00227130"/>
    <w:rsid w:val="00227253"/>
    <w:rsid w:val="0022747E"/>
    <w:rsid w:val="00227C4F"/>
    <w:rsid w:val="00230A93"/>
    <w:rsid w:val="002319A7"/>
    <w:rsid w:val="00231C28"/>
    <w:rsid w:val="0023222B"/>
    <w:rsid w:val="00232580"/>
    <w:rsid w:val="002328D0"/>
    <w:rsid w:val="00233005"/>
    <w:rsid w:val="0023399F"/>
    <w:rsid w:val="00233DDE"/>
    <w:rsid w:val="00233EBD"/>
    <w:rsid w:val="00235600"/>
    <w:rsid w:val="002357CC"/>
    <w:rsid w:val="00235D04"/>
    <w:rsid w:val="00235E96"/>
    <w:rsid w:val="00236046"/>
    <w:rsid w:val="002367BD"/>
    <w:rsid w:val="00236842"/>
    <w:rsid w:val="0023698E"/>
    <w:rsid w:val="002375CA"/>
    <w:rsid w:val="0023796E"/>
    <w:rsid w:val="00237FCB"/>
    <w:rsid w:val="0024035D"/>
    <w:rsid w:val="00240D3C"/>
    <w:rsid w:val="00241081"/>
    <w:rsid w:val="002412FE"/>
    <w:rsid w:val="00241589"/>
    <w:rsid w:val="00241F1B"/>
    <w:rsid w:val="002431C1"/>
    <w:rsid w:val="00243B00"/>
    <w:rsid w:val="00243C55"/>
    <w:rsid w:val="00243FF3"/>
    <w:rsid w:val="00244362"/>
    <w:rsid w:val="00244DCF"/>
    <w:rsid w:val="00245966"/>
    <w:rsid w:val="00247462"/>
    <w:rsid w:val="00247BB2"/>
    <w:rsid w:val="00247BBB"/>
    <w:rsid w:val="002505BF"/>
    <w:rsid w:val="00250A84"/>
    <w:rsid w:val="00250E32"/>
    <w:rsid w:val="00251CEE"/>
    <w:rsid w:val="00251F00"/>
    <w:rsid w:val="00252568"/>
    <w:rsid w:val="002526A7"/>
    <w:rsid w:val="00252CDE"/>
    <w:rsid w:val="00252F54"/>
    <w:rsid w:val="00253F18"/>
    <w:rsid w:val="002541B3"/>
    <w:rsid w:val="00254A0B"/>
    <w:rsid w:val="00254EAE"/>
    <w:rsid w:val="00255867"/>
    <w:rsid w:val="00256919"/>
    <w:rsid w:val="00256BC0"/>
    <w:rsid w:val="00256D99"/>
    <w:rsid w:val="00257249"/>
    <w:rsid w:val="00257D12"/>
    <w:rsid w:val="00260D72"/>
    <w:rsid w:val="00261571"/>
    <w:rsid w:val="002618EE"/>
    <w:rsid w:val="002622FF"/>
    <w:rsid w:val="0026235F"/>
    <w:rsid w:val="00262483"/>
    <w:rsid w:val="0026252E"/>
    <w:rsid w:val="00262D17"/>
    <w:rsid w:val="00262D8E"/>
    <w:rsid w:val="00263EBA"/>
    <w:rsid w:val="0026435E"/>
    <w:rsid w:val="002645C6"/>
    <w:rsid w:val="002646C8"/>
    <w:rsid w:val="00264AC3"/>
    <w:rsid w:val="00264D0E"/>
    <w:rsid w:val="0026593A"/>
    <w:rsid w:val="002667F5"/>
    <w:rsid w:val="002670BA"/>
    <w:rsid w:val="00270A3B"/>
    <w:rsid w:val="00270E2C"/>
    <w:rsid w:val="00271214"/>
    <w:rsid w:val="002712B8"/>
    <w:rsid w:val="00271811"/>
    <w:rsid w:val="00271E79"/>
    <w:rsid w:val="002723BE"/>
    <w:rsid w:val="00272BD6"/>
    <w:rsid w:val="00274915"/>
    <w:rsid w:val="00274931"/>
    <w:rsid w:val="00275040"/>
    <w:rsid w:val="002752BF"/>
    <w:rsid w:val="002753DE"/>
    <w:rsid w:val="002756E5"/>
    <w:rsid w:val="00276026"/>
    <w:rsid w:val="0027678A"/>
    <w:rsid w:val="00276E00"/>
    <w:rsid w:val="00276FA7"/>
    <w:rsid w:val="00277A10"/>
    <w:rsid w:val="002804E0"/>
    <w:rsid w:val="0028080B"/>
    <w:rsid w:val="00280C3A"/>
    <w:rsid w:val="00280C83"/>
    <w:rsid w:val="00282328"/>
    <w:rsid w:val="00282C09"/>
    <w:rsid w:val="00282F8A"/>
    <w:rsid w:val="00283148"/>
    <w:rsid w:val="002838FC"/>
    <w:rsid w:val="00284129"/>
    <w:rsid w:val="00284B97"/>
    <w:rsid w:val="00285335"/>
    <w:rsid w:val="002867C3"/>
    <w:rsid w:val="0028690A"/>
    <w:rsid w:val="002876C2"/>
    <w:rsid w:val="002877A9"/>
    <w:rsid w:val="002877D8"/>
    <w:rsid w:val="00287C40"/>
    <w:rsid w:val="00290D88"/>
    <w:rsid w:val="00291055"/>
    <w:rsid w:val="0029107F"/>
    <w:rsid w:val="002925E9"/>
    <w:rsid w:val="0029273C"/>
    <w:rsid w:val="00293049"/>
    <w:rsid w:val="0029344E"/>
    <w:rsid w:val="00294E2B"/>
    <w:rsid w:val="00295FD3"/>
    <w:rsid w:val="00296106"/>
    <w:rsid w:val="00296D24"/>
    <w:rsid w:val="0029723E"/>
    <w:rsid w:val="0029750A"/>
    <w:rsid w:val="002975D9"/>
    <w:rsid w:val="0029775F"/>
    <w:rsid w:val="0029782B"/>
    <w:rsid w:val="00297DFB"/>
    <w:rsid w:val="002A02C3"/>
    <w:rsid w:val="002A03C3"/>
    <w:rsid w:val="002A0E23"/>
    <w:rsid w:val="002A139B"/>
    <w:rsid w:val="002A1884"/>
    <w:rsid w:val="002A2818"/>
    <w:rsid w:val="002A354A"/>
    <w:rsid w:val="002A386E"/>
    <w:rsid w:val="002A39C0"/>
    <w:rsid w:val="002A4859"/>
    <w:rsid w:val="002A51BC"/>
    <w:rsid w:val="002A56EE"/>
    <w:rsid w:val="002A594B"/>
    <w:rsid w:val="002A5D3D"/>
    <w:rsid w:val="002A63AF"/>
    <w:rsid w:val="002A76D5"/>
    <w:rsid w:val="002B006B"/>
    <w:rsid w:val="002B065B"/>
    <w:rsid w:val="002B06E4"/>
    <w:rsid w:val="002B0DC9"/>
    <w:rsid w:val="002B0FA1"/>
    <w:rsid w:val="002B23DA"/>
    <w:rsid w:val="002B24ED"/>
    <w:rsid w:val="002B2508"/>
    <w:rsid w:val="002B33CB"/>
    <w:rsid w:val="002B37B2"/>
    <w:rsid w:val="002B384D"/>
    <w:rsid w:val="002B414D"/>
    <w:rsid w:val="002B5325"/>
    <w:rsid w:val="002B5EF7"/>
    <w:rsid w:val="002B6522"/>
    <w:rsid w:val="002B6B8E"/>
    <w:rsid w:val="002B786C"/>
    <w:rsid w:val="002C0072"/>
    <w:rsid w:val="002C0DB1"/>
    <w:rsid w:val="002C17B1"/>
    <w:rsid w:val="002C1F1A"/>
    <w:rsid w:val="002C2C8C"/>
    <w:rsid w:val="002C33CF"/>
    <w:rsid w:val="002C3CF8"/>
    <w:rsid w:val="002C4464"/>
    <w:rsid w:val="002C469D"/>
    <w:rsid w:val="002C48C1"/>
    <w:rsid w:val="002C5442"/>
    <w:rsid w:val="002C6385"/>
    <w:rsid w:val="002C6C63"/>
    <w:rsid w:val="002D0BB7"/>
    <w:rsid w:val="002D0FD8"/>
    <w:rsid w:val="002D2775"/>
    <w:rsid w:val="002D3364"/>
    <w:rsid w:val="002D3446"/>
    <w:rsid w:val="002D363F"/>
    <w:rsid w:val="002D3B24"/>
    <w:rsid w:val="002D409E"/>
    <w:rsid w:val="002D494E"/>
    <w:rsid w:val="002D4A59"/>
    <w:rsid w:val="002D4B89"/>
    <w:rsid w:val="002D54AD"/>
    <w:rsid w:val="002D55C0"/>
    <w:rsid w:val="002D634B"/>
    <w:rsid w:val="002D6EA7"/>
    <w:rsid w:val="002E0157"/>
    <w:rsid w:val="002E02CC"/>
    <w:rsid w:val="002E0E5C"/>
    <w:rsid w:val="002E0F20"/>
    <w:rsid w:val="002E0F78"/>
    <w:rsid w:val="002E140B"/>
    <w:rsid w:val="002E18BB"/>
    <w:rsid w:val="002E24DF"/>
    <w:rsid w:val="002E25CC"/>
    <w:rsid w:val="002E2695"/>
    <w:rsid w:val="002E30FC"/>
    <w:rsid w:val="002E341F"/>
    <w:rsid w:val="002E3506"/>
    <w:rsid w:val="002E37D8"/>
    <w:rsid w:val="002E3D47"/>
    <w:rsid w:val="002E4593"/>
    <w:rsid w:val="002E464A"/>
    <w:rsid w:val="002E4AB6"/>
    <w:rsid w:val="002E5526"/>
    <w:rsid w:val="002E633E"/>
    <w:rsid w:val="002E64C5"/>
    <w:rsid w:val="002E66FF"/>
    <w:rsid w:val="002E7160"/>
    <w:rsid w:val="002E7200"/>
    <w:rsid w:val="002F0763"/>
    <w:rsid w:val="002F131E"/>
    <w:rsid w:val="002F22DF"/>
    <w:rsid w:val="002F31F7"/>
    <w:rsid w:val="002F3850"/>
    <w:rsid w:val="002F3F27"/>
    <w:rsid w:val="002F425E"/>
    <w:rsid w:val="002F5B55"/>
    <w:rsid w:val="002F5D9E"/>
    <w:rsid w:val="002F5FCC"/>
    <w:rsid w:val="002F61B9"/>
    <w:rsid w:val="002F642B"/>
    <w:rsid w:val="002F65D8"/>
    <w:rsid w:val="002F6B58"/>
    <w:rsid w:val="002F6CFA"/>
    <w:rsid w:val="002F710B"/>
    <w:rsid w:val="002F7585"/>
    <w:rsid w:val="002F7811"/>
    <w:rsid w:val="002F79A9"/>
    <w:rsid w:val="002F7C2D"/>
    <w:rsid w:val="00300AA6"/>
    <w:rsid w:val="00300EAC"/>
    <w:rsid w:val="00301313"/>
    <w:rsid w:val="00301E6D"/>
    <w:rsid w:val="00302CA2"/>
    <w:rsid w:val="00302FE1"/>
    <w:rsid w:val="00303505"/>
    <w:rsid w:val="0030368F"/>
    <w:rsid w:val="0030426C"/>
    <w:rsid w:val="00305D6F"/>
    <w:rsid w:val="00305E4F"/>
    <w:rsid w:val="0030677B"/>
    <w:rsid w:val="00306850"/>
    <w:rsid w:val="003069F3"/>
    <w:rsid w:val="003075AB"/>
    <w:rsid w:val="00307C2D"/>
    <w:rsid w:val="00307EC5"/>
    <w:rsid w:val="0031071F"/>
    <w:rsid w:val="00311747"/>
    <w:rsid w:val="0031186C"/>
    <w:rsid w:val="00312481"/>
    <w:rsid w:val="00312600"/>
    <w:rsid w:val="003133DF"/>
    <w:rsid w:val="003135E7"/>
    <w:rsid w:val="003139AD"/>
    <w:rsid w:val="00314524"/>
    <w:rsid w:val="00315260"/>
    <w:rsid w:val="003159D2"/>
    <w:rsid w:val="00316D17"/>
    <w:rsid w:val="00317284"/>
    <w:rsid w:val="003224B8"/>
    <w:rsid w:val="00322829"/>
    <w:rsid w:val="00322973"/>
    <w:rsid w:val="00322AFB"/>
    <w:rsid w:val="0032519A"/>
    <w:rsid w:val="003257DD"/>
    <w:rsid w:val="00325888"/>
    <w:rsid w:val="00325A26"/>
    <w:rsid w:val="00326D5D"/>
    <w:rsid w:val="00326FAC"/>
    <w:rsid w:val="00330B1C"/>
    <w:rsid w:val="0033149C"/>
    <w:rsid w:val="003318B6"/>
    <w:rsid w:val="00331C1D"/>
    <w:rsid w:val="0033215C"/>
    <w:rsid w:val="0033279C"/>
    <w:rsid w:val="00332956"/>
    <w:rsid w:val="003332F1"/>
    <w:rsid w:val="00333B85"/>
    <w:rsid w:val="003349C9"/>
    <w:rsid w:val="0033500D"/>
    <w:rsid w:val="003355F5"/>
    <w:rsid w:val="00336A25"/>
    <w:rsid w:val="00337218"/>
    <w:rsid w:val="0033753E"/>
    <w:rsid w:val="00337694"/>
    <w:rsid w:val="0034067E"/>
    <w:rsid w:val="00340D00"/>
    <w:rsid w:val="00340D9C"/>
    <w:rsid w:val="003415C5"/>
    <w:rsid w:val="00341AC4"/>
    <w:rsid w:val="0034287D"/>
    <w:rsid w:val="00342B21"/>
    <w:rsid w:val="00343472"/>
    <w:rsid w:val="003443B3"/>
    <w:rsid w:val="00344471"/>
    <w:rsid w:val="00344592"/>
    <w:rsid w:val="00344B2A"/>
    <w:rsid w:val="003452AE"/>
    <w:rsid w:val="00345549"/>
    <w:rsid w:val="003463F2"/>
    <w:rsid w:val="00346460"/>
    <w:rsid w:val="00346821"/>
    <w:rsid w:val="00346F61"/>
    <w:rsid w:val="003470B5"/>
    <w:rsid w:val="0034753D"/>
    <w:rsid w:val="003521FC"/>
    <w:rsid w:val="00352217"/>
    <w:rsid w:val="003531D2"/>
    <w:rsid w:val="003538F1"/>
    <w:rsid w:val="00353CE1"/>
    <w:rsid w:val="00353D7D"/>
    <w:rsid w:val="00353DCF"/>
    <w:rsid w:val="00354149"/>
    <w:rsid w:val="003542AA"/>
    <w:rsid w:val="00355277"/>
    <w:rsid w:val="003552AB"/>
    <w:rsid w:val="003553F2"/>
    <w:rsid w:val="00355596"/>
    <w:rsid w:val="00355677"/>
    <w:rsid w:val="0035569F"/>
    <w:rsid w:val="00355AA8"/>
    <w:rsid w:val="00355F5B"/>
    <w:rsid w:val="00356832"/>
    <w:rsid w:val="00356DF3"/>
    <w:rsid w:val="00357417"/>
    <w:rsid w:val="00360858"/>
    <w:rsid w:val="003608FB"/>
    <w:rsid w:val="003609AF"/>
    <w:rsid w:val="003623AE"/>
    <w:rsid w:val="00364466"/>
    <w:rsid w:val="00365501"/>
    <w:rsid w:val="00365E4E"/>
    <w:rsid w:val="00365ED8"/>
    <w:rsid w:val="00366486"/>
    <w:rsid w:val="00366B47"/>
    <w:rsid w:val="003670F7"/>
    <w:rsid w:val="00367890"/>
    <w:rsid w:val="00367DFB"/>
    <w:rsid w:val="0037000D"/>
    <w:rsid w:val="00370D7D"/>
    <w:rsid w:val="003710AD"/>
    <w:rsid w:val="0037304B"/>
    <w:rsid w:val="00373984"/>
    <w:rsid w:val="00373DDB"/>
    <w:rsid w:val="0037414F"/>
    <w:rsid w:val="00375CA0"/>
    <w:rsid w:val="00376755"/>
    <w:rsid w:val="0037754E"/>
    <w:rsid w:val="00377A8D"/>
    <w:rsid w:val="003802B3"/>
    <w:rsid w:val="003806E5"/>
    <w:rsid w:val="0038228C"/>
    <w:rsid w:val="00382A8A"/>
    <w:rsid w:val="003830DA"/>
    <w:rsid w:val="003855A5"/>
    <w:rsid w:val="00385DBE"/>
    <w:rsid w:val="0038603B"/>
    <w:rsid w:val="003862AA"/>
    <w:rsid w:val="003875CA"/>
    <w:rsid w:val="00387761"/>
    <w:rsid w:val="003878F7"/>
    <w:rsid w:val="00387F5A"/>
    <w:rsid w:val="00390130"/>
    <w:rsid w:val="00391016"/>
    <w:rsid w:val="00391368"/>
    <w:rsid w:val="0039142E"/>
    <w:rsid w:val="00391BBF"/>
    <w:rsid w:val="003921C5"/>
    <w:rsid w:val="00393FE0"/>
    <w:rsid w:val="003943E0"/>
    <w:rsid w:val="0039446C"/>
    <w:rsid w:val="00395998"/>
    <w:rsid w:val="0039660D"/>
    <w:rsid w:val="00396995"/>
    <w:rsid w:val="00396C01"/>
    <w:rsid w:val="00396FD8"/>
    <w:rsid w:val="0039794D"/>
    <w:rsid w:val="00397A67"/>
    <w:rsid w:val="00397BAD"/>
    <w:rsid w:val="00397D00"/>
    <w:rsid w:val="003A10A8"/>
    <w:rsid w:val="003A1DF5"/>
    <w:rsid w:val="003A2027"/>
    <w:rsid w:val="003A385A"/>
    <w:rsid w:val="003A3AAC"/>
    <w:rsid w:val="003A4681"/>
    <w:rsid w:val="003A46F7"/>
    <w:rsid w:val="003A4C9B"/>
    <w:rsid w:val="003A55C4"/>
    <w:rsid w:val="003A57B4"/>
    <w:rsid w:val="003A5874"/>
    <w:rsid w:val="003A61BA"/>
    <w:rsid w:val="003A62E2"/>
    <w:rsid w:val="003A641E"/>
    <w:rsid w:val="003A682A"/>
    <w:rsid w:val="003A6BE5"/>
    <w:rsid w:val="003A6E33"/>
    <w:rsid w:val="003A7D94"/>
    <w:rsid w:val="003B0372"/>
    <w:rsid w:val="003B077C"/>
    <w:rsid w:val="003B084C"/>
    <w:rsid w:val="003B0C88"/>
    <w:rsid w:val="003B0E73"/>
    <w:rsid w:val="003B2A22"/>
    <w:rsid w:val="003B2C5F"/>
    <w:rsid w:val="003B2EA4"/>
    <w:rsid w:val="003B32E0"/>
    <w:rsid w:val="003B3E15"/>
    <w:rsid w:val="003B421B"/>
    <w:rsid w:val="003B46D9"/>
    <w:rsid w:val="003B4E76"/>
    <w:rsid w:val="003B50DF"/>
    <w:rsid w:val="003B5B6C"/>
    <w:rsid w:val="003B5CE7"/>
    <w:rsid w:val="003B5CFB"/>
    <w:rsid w:val="003B6177"/>
    <w:rsid w:val="003B63E1"/>
    <w:rsid w:val="003B670B"/>
    <w:rsid w:val="003B6CDA"/>
    <w:rsid w:val="003C0F17"/>
    <w:rsid w:val="003C114A"/>
    <w:rsid w:val="003C13E1"/>
    <w:rsid w:val="003C2235"/>
    <w:rsid w:val="003C2FB0"/>
    <w:rsid w:val="003C48AB"/>
    <w:rsid w:val="003C53E5"/>
    <w:rsid w:val="003C54CB"/>
    <w:rsid w:val="003C65A9"/>
    <w:rsid w:val="003C6A2D"/>
    <w:rsid w:val="003C7666"/>
    <w:rsid w:val="003D009C"/>
    <w:rsid w:val="003D00CA"/>
    <w:rsid w:val="003D0655"/>
    <w:rsid w:val="003D0D38"/>
    <w:rsid w:val="003D25F8"/>
    <w:rsid w:val="003D2A67"/>
    <w:rsid w:val="003D2C97"/>
    <w:rsid w:val="003D2DEA"/>
    <w:rsid w:val="003D31BA"/>
    <w:rsid w:val="003D4F0B"/>
    <w:rsid w:val="003D52BF"/>
    <w:rsid w:val="003D7211"/>
    <w:rsid w:val="003D74FF"/>
    <w:rsid w:val="003D7B1E"/>
    <w:rsid w:val="003D7CDD"/>
    <w:rsid w:val="003D7E5B"/>
    <w:rsid w:val="003E02A5"/>
    <w:rsid w:val="003E0BE7"/>
    <w:rsid w:val="003E0C4B"/>
    <w:rsid w:val="003E1568"/>
    <w:rsid w:val="003E18DA"/>
    <w:rsid w:val="003E1C40"/>
    <w:rsid w:val="003E2125"/>
    <w:rsid w:val="003E21D9"/>
    <w:rsid w:val="003E2307"/>
    <w:rsid w:val="003E2D43"/>
    <w:rsid w:val="003E32C7"/>
    <w:rsid w:val="003E3314"/>
    <w:rsid w:val="003E3C54"/>
    <w:rsid w:val="003E4503"/>
    <w:rsid w:val="003E4DAC"/>
    <w:rsid w:val="003E51FA"/>
    <w:rsid w:val="003E7662"/>
    <w:rsid w:val="003E7883"/>
    <w:rsid w:val="003F017D"/>
    <w:rsid w:val="003F01FA"/>
    <w:rsid w:val="003F11FF"/>
    <w:rsid w:val="003F2063"/>
    <w:rsid w:val="003F215E"/>
    <w:rsid w:val="003F237B"/>
    <w:rsid w:val="003F2D71"/>
    <w:rsid w:val="003F51A0"/>
    <w:rsid w:val="003F51CC"/>
    <w:rsid w:val="003F60BA"/>
    <w:rsid w:val="003F683C"/>
    <w:rsid w:val="003F6F84"/>
    <w:rsid w:val="003F723A"/>
    <w:rsid w:val="003F7460"/>
    <w:rsid w:val="003F7792"/>
    <w:rsid w:val="003F7927"/>
    <w:rsid w:val="003F7F9D"/>
    <w:rsid w:val="003F7FCA"/>
    <w:rsid w:val="004001A1"/>
    <w:rsid w:val="00401638"/>
    <w:rsid w:val="00402738"/>
    <w:rsid w:val="00402A9A"/>
    <w:rsid w:val="00402C3C"/>
    <w:rsid w:val="004032B9"/>
    <w:rsid w:val="00403925"/>
    <w:rsid w:val="00403B4A"/>
    <w:rsid w:val="00404F1A"/>
    <w:rsid w:val="00405414"/>
    <w:rsid w:val="004057D6"/>
    <w:rsid w:val="00405D1E"/>
    <w:rsid w:val="00406442"/>
    <w:rsid w:val="00406728"/>
    <w:rsid w:val="00406DDE"/>
    <w:rsid w:val="00406F4F"/>
    <w:rsid w:val="00407253"/>
    <w:rsid w:val="00410650"/>
    <w:rsid w:val="00410EAB"/>
    <w:rsid w:val="0041154F"/>
    <w:rsid w:val="00411DC2"/>
    <w:rsid w:val="00411DCE"/>
    <w:rsid w:val="00412B70"/>
    <w:rsid w:val="00412BFF"/>
    <w:rsid w:val="00413600"/>
    <w:rsid w:val="00413D9F"/>
    <w:rsid w:val="004146E9"/>
    <w:rsid w:val="00414DE8"/>
    <w:rsid w:val="0041577C"/>
    <w:rsid w:val="00415990"/>
    <w:rsid w:val="004159FF"/>
    <w:rsid w:val="00416203"/>
    <w:rsid w:val="004200A1"/>
    <w:rsid w:val="0042031A"/>
    <w:rsid w:val="00420588"/>
    <w:rsid w:val="0042058D"/>
    <w:rsid w:val="00420B80"/>
    <w:rsid w:val="004214E1"/>
    <w:rsid w:val="00421BC0"/>
    <w:rsid w:val="00422126"/>
    <w:rsid w:val="00422528"/>
    <w:rsid w:val="00423C0C"/>
    <w:rsid w:val="00424326"/>
    <w:rsid w:val="004243B9"/>
    <w:rsid w:val="00425319"/>
    <w:rsid w:val="0042539B"/>
    <w:rsid w:val="004254F0"/>
    <w:rsid w:val="00426694"/>
    <w:rsid w:val="00426A46"/>
    <w:rsid w:val="00426D73"/>
    <w:rsid w:val="00426EB3"/>
    <w:rsid w:val="00426F1F"/>
    <w:rsid w:val="004278D2"/>
    <w:rsid w:val="004306E4"/>
    <w:rsid w:val="00430733"/>
    <w:rsid w:val="00430916"/>
    <w:rsid w:val="004321C1"/>
    <w:rsid w:val="00432726"/>
    <w:rsid w:val="004332AF"/>
    <w:rsid w:val="00433FBA"/>
    <w:rsid w:val="0043432A"/>
    <w:rsid w:val="004356C0"/>
    <w:rsid w:val="00435950"/>
    <w:rsid w:val="00435C5B"/>
    <w:rsid w:val="0043621C"/>
    <w:rsid w:val="00436516"/>
    <w:rsid w:val="00437335"/>
    <w:rsid w:val="0043753A"/>
    <w:rsid w:val="00437CD0"/>
    <w:rsid w:val="0044050E"/>
    <w:rsid w:val="00440A59"/>
    <w:rsid w:val="004413FC"/>
    <w:rsid w:val="00441A84"/>
    <w:rsid w:val="00442AFB"/>
    <w:rsid w:val="00442B1F"/>
    <w:rsid w:val="00442EE8"/>
    <w:rsid w:val="004433A0"/>
    <w:rsid w:val="00443A71"/>
    <w:rsid w:val="00443D43"/>
    <w:rsid w:val="00443EB1"/>
    <w:rsid w:val="00444FB2"/>
    <w:rsid w:val="0044508E"/>
    <w:rsid w:val="004451CB"/>
    <w:rsid w:val="00445C11"/>
    <w:rsid w:val="004462AA"/>
    <w:rsid w:val="004462ED"/>
    <w:rsid w:val="00446334"/>
    <w:rsid w:val="004469F8"/>
    <w:rsid w:val="00446B08"/>
    <w:rsid w:val="00447009"/>
    <w:rsid w:val="004479B4"/>
    <w:rsid w:val="00450563"/>
    <w:rsid w:val="00450EAE"/>
    <w:rsid w:val="0045112B"/>
    <w:rsid w:val="0045202C"/>
    <w:rsid w:val="004521C7"/>
    <w:rsid w:val="0045236B"/>
    <w:rsid w:val="00452EA3"/>
    <w:rsid w:val="00454748"/>
    <w:rsid w:val="004550D3"/>
    <w:rsid w:val="0045579F"/>
    <w:rsid w:val="00455830"/>
    <w:rsid w:val="00456A93"/>
    <w:rsid w:val="00456CB1"/>
    <w:rsid w:val="004571F0"/>
    <w:rsid w:val="004578B8"/>
    <w:rsid w:val="00457F4C"/>
    <w:rsid w:val="004600C3"/>
    <w:rsid w:val="004603F8"/>
    <w:rsid w:val="0046099B"/>
    <w:rsid w:val="004619F8"/>
    <w:rsid w:val="00462822"/>
    <w:rsid w:val="00462972"/>
    <w:rsid w:val="00462E0A"/>
    <w:rsid w:val="00462E40"/>
    <w:rsid w:val="00462F33"/>
    <w:rsid w:val="0046305F"/>
    <w:rsid w:val="004637C8"/>
    <w:rsid w:val="00464087"/>
    <w:rsid w:val="0046431A"/>
    <w:rsid w:val="004657FB"/>
    <w:rsid w:val="004667F4"/>
    <w:rsid w:val="004670CF"/>
    <w:rsid w:val="00467129"/>
    <w:rsid w:val="00467DCB"/>
    <w:rsid w:val="00467F1F"/>
    <w:rsid w:val="00471B20"/>
    <w:rsid w:val="004727D6"/>
    <w:rsid w:val="00472867"/>
    <w:rsid w:val="004731F1"/>
    <w:rsid w:val="00473AC5"/>
    <w:rsid w:val="00473C26"/>
    <w:rsid w:val="004744D5"/>
    <w:rsid w:val="004745EC"/>
    <w:rsid w:val="004759C2"/>
    <w:rsid w:val="00475D2A"/>
    <w:rsid w:val="00475EC4"/>
    <w:rsid w:val="00476547"/>
    <w:rsid w:val="004772B4"/>
    <w:rsid w:val="00477361"/>
    <w:rsid w:val="00480EEA"/>
    <w:rsid w:val="00481AC9"/>
    <w:rsid w:val="004820AA"/>
    <w:rsid w:val="0048394B"/>
    <w:rsid w:val="00483CE6"/>
    <w:rsid w:val="00484AFC"/>
    <w:rsid w:val="00484CB5"/>
    <w:rsid w:val="00484FA1"/>
    <w:rsid w:val="00485352"/>
    <w:rsid w:val="00485C19"/>
    <w:rsid w:val="00486183"/>
    <w:rsid w:val="004903EB"/>
    <w:rsid w:val="004911D3"/>
    <w:rsid w:val="0049202E"/>
    <w:rsid w:val="00492DF2"/>
    <w:rsid w:val="00492E60"/>
    <w:rsid w:val="00493224"/>
    <w:rsid w:val="004932A7"/>
    <w:rsid w:val="0049384A"/>
    <w:rsid w:val="00493948"/>
    <w:rsid w:val="00494013"/>
    <w:rsid w:val="0049434C"/>
    <w:rsid w:val="0049469B"/>
    <w:rsid w:val="00494990"/>
    <w:rsid w:val="0049537D"/>
    <w:rsid w:val="0049625F"/>
    <w:rsid w:val="00496AFA"/>
    <w:rsid w:val="004A039C"/>
    <w:rsid w:val="004A1290"/>
    <w:rsid w:val="004A19BE"/>
    <w:rsid w:val="004A1EFF"/>
    <w:rsid w:val="004A27C1"/>
    <w:rsid w:val="004A2BC1"/>
    <w:rsid w:val="004A33EE"/>
    <w:rsid w:val="004A3580"/>
    <w:rsid w:val="004A3FD6"/>
    <w:rsid w:val="004A4208"/>
    <w:rsid w:val="004A4597"/>
    <w:rsid w:val="004A5911"/>
    <w:rsid w:val="004A59D3"/>
    <w:rsid w:val="004A62EC"/>
    <w:rsid w:val="004A671F"/>
    <w:rsid w:val="004B1061"/>
    <w:rsid w:val="004B1516"/>
    <w:rsid w:val="004B22D7"/>
    <w:rsid w:val="004B2755"/>
    <w:rsid w:val="004B286A"/>
    <w:rsid w:val="004B2EA9"/>
    <w:rsid w:val="004B3F00"/>
    <w:rsid w:val="004B432E"/>
    <w:rsid w:val="004B53C1"/>
    <w:rsid w:val="004B62AA"/>
    <w:rsid w:val="004B633F"/>
    <w:rsid w:val="004B6383"/>
    <w:rsid w:val="004B67E4"/>
    <w:rsid w:val="004B727A"/>
    <w:rsid w:val="004B76B1"/>
    <w:rsid w:val="004B7760"/>
    <w:rsid w:val="004B790B"/>
    <w:rsid w:val="004B7C65"/>
    <w:rsid w:val="004B7F71"/>
    <w:rsid w:val="004C0B43"/>
    <w:rsid w:val="004C1B0B"/>
    <w:rsid w:val="004C2A53"/>
    <w:rsid w:val="004C2F6E"/>
    <w:rsid w:val="004C38A0"/>
    <w:rsid w:val="004C4A5F"/>
    <w:rsid w:val="004C5395"/>
    <w:rsid w:val="004C6C13"/>
    <w:rsid w:val="004C7C0A"/>
    <w:rsid w:val="004C7C1A"/>
    <w:rsid w:val="004C7C3F"/>
    <w:rsid w:val="004C7C94"/>
    <w:rsid w:val="004D0501"/>
    <w:rsid w:val="004D1B10"/>
    <w:rsid w:val="004D1B33"/>
    <w:rsid w:val="004D1DBF"/>
    <w:rsid w:val="004D1E85"/>
    <w:rsid w:val="004D1FB7"/>
    <w:rsid w:val="004D2190"/>
    <w:rsid w:val="004D2F43"/>
    <w:rsid w:val="004D3FC3"/>
    <w:rsid w:val="004D6A0C"/>
    <w:rsid w:val="004D72D3"/>
    <w:rsid w:val="004D74AF"/>
    <w:rsid w:val="004D7636"/>
    <w:rsid w:val="004E00C5"/>
    <w:rsid w:val="004E08E9"/>
    <w:rsid w:val="004E0DD3"/>
    <w:rsid w:val="004E0E34"/>
    <w:rsid w:val="004E10B5"/>
    <w:rsid w:val="004E1207"/>
    <w:rsid w:val="004E180D"/>
    <w:rsid w:val="004E1CF7"/>
    <w:rsid w:val="004E38B2"/>
    <w:rsid w:val="004E397D"/>
    <w:rsid w:val="004E39DF"/>
    <w:rsid w:val="004E3A51"/>
    <w:rsid w:val="004E5334"/>
    <w:rsid w:val="004E65BF"/>
    <w:rsid w:val="004E674F"/>
    <w:rsid w:val="004E680E"/>
    <w:rsid w:val="004E7559"/>
    <w:rsid w:val="004E7F67"/>
    <w:rsid w:val="004F03B0"/>
    <w:rsid w:val="004F0740"/>
    <w:rsid w:val="004F0881"/>
    <w:rsid w:val="004F1010"/>
    <w:rsid w:val="004F18E0"/>
    <w:rsid w:val="004F3776"/>
    <w:rsid w:val="004F48F5"/>
    <w:rsid w:val="004F4E81"/>
    <w:rsid w:val="004F50C1"/>
    <w:rsid w:val="004F54ED"/>
    <w:rsid w:val="004F56C9"/>
    <w:rsid w:val="004F65E9"/>
    <w:rsid w:val="004F700A"/>
    <w:rsid w:val="004F743C"/>
    <w:rsid w:val="004F7D9C"/>
    <w:rsid w:val="005007EB"/>
    <w:rsid w:val="00501530"/>
    <w:rsid w:val="00501553"/>
    <w:rsid w:val="00501569"/>
    <w:rsid w:val="00502CCE"/>
    <w:rsid w:val="0050451A"/>
    <w:rsid w:val="00505491"/>
    <w:rsid w:val="00505985"/>
    <w:rsid w:val="00505FC6"/>
    <w:rsid w:val="00506402"/>
    <w:rsid w:val="00506721"/>
    <w:rsid w:val="005072C2"/>
    <w:rsid w:val="005077C0"/>
    <w:rsid w:val="005102DE"/>
    <w:rsid w:val="0051046F"/>
    <w:rsid w:val="00510CF8"/>
    <w:rsid w:val="00510DEF"/>
    <w:rsid w:val="005110D0"/>
    <w:rsid w:val="00511529"/>
    <w:rsid w:val="0051162F"/>
    <w:rsid w:val="00511C27"/>
    <w:rsid w:val="005125BF"/>
    <w:rsid w:val="00512ABC"/>
    <w:rsid w:val="00512C7A"/>
    <w:rsid w:val="005140C1"/>
    <w:rsid w:val="0051437D"/>
    <w:rsid w:val="00514759"/>
    <w:rsid w:val="00516517"/>
    <w:rsid w:val="005166B9"/>
    <w:rsid w:val="00517F73"/>
    <w:rsid w:val="00521AD4"/>
    <w:rsid w:val="00521DD5"/>
    <w:rsid w:val="005221FA"/>
    <w:rsid w:val="00522773"/>
    <w:rsid w:val="00522B29"/>
    <w:rsid w:val="00522C1F"/>
    <w:rsid w:val="00523060"/>
    <w:rsid w:val="00523564"/>
    <w:rsid w:val="00524039"/>
    <w:rsid w:val="00524332"/>
    <w:rsid w:val="00524FB0"/>
    <w:rsid w:val="00525094"/>
    <w:rsid w:val="00525CAA"/>
    <w:rsid w:val="005263C1"/>
    <w:rsid w:val="005266D2"/>
    <w:rsid w:val="00526815"/>
    <w:rsid w:val="00526EA9"/>
    <w:rsid w:val="005275AD"/>
    <w:rsid w:val="005279B2"/>
    <w:rsid w:val="00527D45"/>
    <w:rsid w:val="00527F4E"/>
    <w:rsid w:val="00530652"/>
    <w:rsid w:val="00530939"/>
    <w:rsid w:val="00530C49"/>
    <w:rsid w:val="00531B68"/>
    <w:rsid w:val="00532216"/>
    <w:rsid w:val="00534279"/>
    <w:rsid w:val="00535FDF"/>
    <w:rsid w:val="0053659A"/>
    <w:rsid w:val="00537686"/>
    <w:rsid w:val="00537D11"/>
    <w:rsid w:val="00540836"/>
    <w:rsid w:val="0054138B"/>
    <w:rsid w:val="00541726"/>
    <w:rsid w:val="005417B4"/>
    <w:rsid w:val="00542130"/>
    <w:rsid w:val="00543506"/>
    <w:rsid w:val="005435CF"/>
    <w:rsid w:val="00543E74"/>
    <w:rsid w:val="00543F55"/>
    <w:rsid w:val="00544B47"/>
    <w:rsid w:val="005450E5"/>
    <w:rsid w:val="00545883"/>
    <w:rsid w:val="00545EE1"/>
    <w:rsid w:val="0054644C"/>
    <w:rsid w:val="00547087"/>
    <w:rsid w:val="0054785F"/>
    <w:rsid w:val="00547B08"/>
    <w:rsid w:val="00550FB6"/>
    <w:rsid w:val="00551027"/>
    <w:rsid w:val="00551605"/>
    <w:rsid w:val="005526AE"/>
    <w:rsid w:val="00553E6B"/>
    <w:rsid w:val="005543BF"/>
    <w:rsid w:val="005544C4"/>
    <w:rsid w:val="00554B0D"/>
    <w:rsid w:val="005555FA"/>
    <w:rsid w:val="00555642"/>
    <w:rsid w:val="00555BF0"/>
    <w:rsid w:val="00557468"/>
    <w:rsid w:val="0055758C"/>
    <w:rsid w:val="00561589"/>
    <w:rsid w:val="005616D4"/>
    <w:rsid w:val="00562194"/>
    <w:rsid w:val="00562B22"/>
    <w:rsid w:val="0056324E"/>
    <w:rsid w:val="005635DA"/>
    <w:rsid w:val="00563783"/>
    <w:rsid w:val="00563B5F"/>
    <w:rsid w:val="005651B3"/>
    <w:rsid w:val="005657B9"/>
    <w:rsid w:val="00565DBC"/>
    <w:rsid w:val="005672CF"/>
    <w:rsid w:val="005677B9"/>
    <w:rsid w:val="00567FA9"/>
    <w:rsid w:val="00570532"/>
    <w:rsid w:val="00570F5C"/>
    <w:rsid w:val="005718E9"/>
    <w:rsid w:val="00571CE3"/>
    <w:rsid w:val="00571EDE"/>
    <w:rsid w:val="00573248"/>
    <w:rsid w:val="005733F0"/>
    <w:rsid w:val="00573CD8"/>
    <w:rsid w:val="00573E9B"/>
    <w:rsid w:val="00574806"/>
    <w:rsid w:val="005748A2"/>
    <w:rsid w:val="0057509A"/>
    <w:rsid w:val="00575D43"/>
    <w:rsid w:val="0057726F"/>
    <w:rsid w:val="00577D31"/>
    <w:rsid w:val="0058085F"/>
    <w:rsid w:val="005809F9"/>
    <w:rsid w:val="00580D67"/>
    <w:rsid w:val="00581048"/>
    <w:rsid w:val="0058135D"/>
    <w:rsid w:val="0058170C"/>
    <w:rsid w:val="00581882"/>
    <w:rsid w:val="0058276F"/>
    <w:rsid w:val="00584977"/>
    <w:rsid w:val="0058502B"/>
    <w:rsid w:val="005855A0"/>
    <w:rsid w:val="005858AD"/>
    <w:rsid w:val="005865A2"/>
    <w:rsid w:val="005866D3"/>
    <w:rsid w:val="00586AAD"/>
    <w:rsid w:val="0058732F"/>
    <w:rsid w:val="005875D4"/>
    <w:rsid w:val="00587748"/>
    <w:rsid w:val="00587B7D"/>
    <w:rsid w:val="00590348"/>
    <w:rsid w:val="00590362"/>
    <w:rsid w:val="0059082D"/>
    <w:rsid w:val="00590A1C"/>
    <w:rsid w:val="00590F29"/>
    <w:rsid w:val="0059181E"/>
    <w:rsid w:val="00591B53"/>
    <w:rsid w:val="00591FD9"/>
    <w:rsid w:val="0059218C"/>
    <w:rsid w:val="0059232E"/>
    <w:rsid w:val="005923E2"/>
    <w:rsid w:val="00592DCA"/>
    <w:rsid w:val="00593E5E"/>
    <w:rsid w:val="0059506C"/>
    <w:rsid w:val="00596057"/>
    <w:rsid w:val="00596BC7"/>
    <w:rsid w:val="00597198"/>
    <w:rsid w:val="0059730A"/>
    <w:rsid w:val="005976BC"/>
    <w:rsid w:val="005A0AFB"/>
    <w:rsid w:val="005A0FDF"/>
    <w:rsid w:val="005A1155"/>
    <w:rsid w:val="005A158F"/>
    <w:rsid w:val="005A2697"/>
    <w:rsid w:val="005A26B4"/>
    <w:rsid w:val="005A36A7"/>
    <w:rsid w:val="005A40D2"/>
    <w:rsid w:val="005A48FF"/>
    <w:rsid w:val="005A499C"/>
    <w:rsid w:val="005A4EEF"/>
    <w:rsid w:val="005A6AF7"/>
    <w:rsid w:val="005A6D16"/>
    <w:rsid w:val="005A7207"/>
    <w:rsid w:val="005A7506"/>
    <w:rsid w:val="005B04D7"/>
    <w:rsid w:val="005B1172"/>
    <w:rsid w:val="005B3024"/>
    <w:rsid w:val="005B46BC"/>
    <w:rsid w:val="005B4B4C"/>
    <w:rsid w:val="005B4B4D"/>
    <w:rsid w:val="005B5198"/>
    <w:rsid w:val="005B5380"/>
    <w:rsid w:val="005B65E3"/>
    <w:rsid w:val="005B6966"/>
    <w:rsid w:val="005B69DB"/>
    <w:rsid w:val="005C2019"/>
    <w:rsid w:val="005C2117"/>
    <w:rsid w:val="005C24B5"/>
    <w:rsid w:val="005C27CC"/>
    <w:rsid w:val="005C280A"/>
    <w:rsid w:val="005C41E1"/>
    <w:rsid w:val="005C4F5C"/>
    <w:rsid w:val="005C635C"/>
    <w:rsid w:val="005C727D"/>
    <w:rsid w:val="005C7641"/>
    <w:rsid w:val="005C7AD2"/>
    <w:rsid w:val="005C7B74"/>
    <w:rsid w:val="005D0051"/>
    <w:rsid w:val="005D03AB"/>
    <w:rsid w:val="005D0A37"/>
    <w:rsid w:val="005D0C6B"/>
    <w:rsid w:val="005D1DB1"/>
    <w:rsid w:val="005D3010"/>
    <w:rsid w:val="005D348E"/>
    <w:rsid w:val="005D3E91"/>
    <w:rsid w:val="005D4311"/>
    <w:rsid w:val="005D479C"/>
    <w:rsid w:val="005D4BF5"/>
    <w:rsid w:val="005D4F64"/>
    <w:rsid w:val="005D5CA5"/>
    <w:rsid w:val="005D63B3"/>
    <w:rsid w:val="005D652F"/>
    <w:rsid w:val="005D695D"/>
    <w:rsid w:val="005D7080"/>
    <w:rsid w:val="005D7A2F"/>
    <w:rsid w:val="005E0774"/>
    <w:rsid w:val="005E0D57"/>
    <w:rsid w:val="005E1332"/>
    <w:rsid w:val="005E1931"/>
    <w:rsid w:val="005E237E"/>
    <w:rsid w:val="005E299E"/>
    <w:rsid w:val="005E3589"/>
    <w:rsid w:val="005E37AB"/>
    <w:rsid w:val="005E3A99"/>
    <w:rsid w:val="005E400A"/>
    <w:rsid w:val="005E4853"/>
    <w:rsid w:val="005E498A"/>
    <w:rsid w:val="005E49D3"/>
    <w:rsid w:val="005E4C25"/>
    <w:rsid w:val="005E4CA8"/>
    <w:rsid w:val="005E5990"/>
    <w:rsid w:val="005E7279"/>
    <w:rsid w:val="005E7410"/>
    <w:rsid w:val="005E7655"/>
    <w:rsid w:val="005E76BE"/>
    <w:rsid w:val="005F0F7D"/>
    <w:rsid w:val="005F189A"/>
    <w:rsid w:val="005F1974"/>
    <w:rsid w:val="005F21F3"/>
    <w:rsid w:val="005F3278"/>
    <w:rsid w:val="005F3281"/>
    <w:rsid w:val="005F38EF"/>
    <w:rsid w:val="005F3A45"/>
    <w:rsid w:val="005F4432"/>
    <w:rsid w:val="005F4DBF"/>
    <w:rsid w:val="005F6ACC"/>
    <w:rsid w:val="005F7A4B"/>
    <w:rsid w:val="006002E4"/>
    <w:rsid w:val="0060056C"/>
    <w:rsid w:val="006009D0"/>
    <w:rsid w:val="006010F9"/>
    <w:rsid w:val="00601760"/>
    <w:rsid w:val="00601AF6"/>
    <w:rsid w:val="00601CC8"/>
    <w:rsid w:val="00602349"/>
    <w:rsid w:val="00602485"/>
    <w:rsid w:val="006031CD"/>
    <w:rsid w:val="006037A4"/>
    <w:rsid w:val="006039AF"/>
    <w:rsid w:val="00603FCB"/>
    <w:rsid w:val="0060440C"/>
    <w:rsid w:val="00604E93"/>
    <w:rsid w:val="006055ED"/>
    <w:rsid w:val="0060670F"/>
    <w:rsid w:val="00606788"/>
    <w:rsid w:val="00606867"/>
    <w:rsid w:val="00606CCA"/>
    <w:rsid w:val="0060748E"/>
    <w:rsid w:val="006077B7"/>
    <w:rsid w:val="00607B89"/>
    <w:rsid w:val="0061105C"/>
    <w:rsid w:val="00611B70"/>
    <w:rsid w:val="00612872"/>
    <w:rsid w:val="006129D3"/>
    <w:rsid w:val="006132BA"/>
    <w:rsid w:val="00613A0B"/>
    <w:rsid w:val="00613C2B"/>
    <w:rsid w:val="00614117"/>
    <w:rsid w:val="0061594B"/>
    <w:rsid w:val="00615E5D"/>
    <w:rsid w:val="00616400"/>
    <w:rsid w:val="0061669B"/>
    <w:rsid w:val="006166D0"/>
    <w:rsid w:val="006168E8"/>
    <w:rsid w:val="0061733A"/>
    <w:rsid w:val="00617BDF"/>
    <w:rsid w:val="00620404"/>
    <w:rsid w:val="006204D6"/>
    <w:rsid w:val="00620E29"/>
    <w:rsid w:val="0062123A"/>
    <w:rsid w:val="0062178D"/>
    <w:rsid w:val="00621D4F"/>
    <w:rsid w:val="006220F4"/>
    <w:rsid w:val="00622219"/>
    <w:rsid w:val="006223D0"/>
    <w:rsid w:val="006226BD"/>
    <w:rsid w:val="00622C1F"/>
    <w:rsid w:val="006231F6"/>
    <w:rsid w:val="0062333E"/>
    <w:rsid w:val="0062374C"/>
    <w:rsid w:val="006242F5"/>
    <w:rsid w:val="006245AF"/>
    <w:rsid w:val="00627072"/>
    <w:rsid w:val="006271C4"/>
    <w:rsid w:val="006302D2"/>
    <w:rsid w:val="006306E2"/>
    <w:rsid w:val="00630E4A"/>
    <w:rsid w:val="00631469"/>
    <w:rsid w:val="006319FB"/>
    <w:rsid w:val="00632534"/>
    <w:rsid w:val="006333D4"/>
    <w:rsid w:val="00633827"/>
    <w:rsid w:val="00634302"/>
    <w:rsid w:val="00634EC5"/>
    <w:rsid w:val="006355AF"/>
    <w:rsid w:val="006363AF"/>
    <w:rsid w:val="006365DD"/>
    <w:rsid w:val="00636BA1"/>
    <w:rsid w:val="00636D9A"/>
    <w:rsid w:val="0063745B"/>
    <w:rsid w:val="00640D52"/>
    <w:rsid w:val="006411A0"/>
    <w:rsid w:val="006412D7"/>
    <w:rsid w:val="006415A6"/>
    <w:rsid w:val="0064185F"/>
    <w:rsid w:val="00642A5A"/>
    <w:rsid w:val="006439A6"/>
    <w:rsid w:val="00645287"/>
    <w:rsid w:val="00645EE1"/>
    <w:rsid w:val="00646823"/>
    <w:rsid w:val="006473D9"/>
    <w:rsid w:val="00650340"/>
    <w:rsid w:val="0065157D"/>
    <w:rsid w:val="00651645"/>
    <w:rsid w:val="00651EB2"/>
    <w:rsid w:val="0065215A"/>
    <w:rsid w:val="006524B7"/>
    <w:rsid w:val="006525DE"/>
    <w:rsid w:val="006526FC"/>
    <w:rsid w:val="0065275C"/>
    <w:rsid w:val="00652CB9"/>
    <w:rsid w:val="006533C2"/>
    <w:rsid w:val="00653DFD"/>
    <w:rsid w:val="006543A1"/>
    <w:rsid w:val="00654502"/>
    <w:rsid w:val="00655F9C"/>
    <w:rsid w:val="00655FF1"/>
    <w:rsid w:val="00656126"/>
    <w:rsid w:val="00656416"/>
    <w:rsid w:val="00656779"/>
    <w:rsid w:val="00656FC5"/>
    <w:rsid w:val="00657217"/>
    <w:rsid w:val="0066006D"/>
    <w:rsid w:val="00660E47"/>
    <w:rsid w:val="00661FC7"/>
    <w:rsid w:val="006620F8"/>
    <w:rsid w:val="0066218A"/>
    <w:rsid w:val="00662659"/>
    <w:rsid w:val="00663064"/>
    <w:rsid w:val="0066349C"/>
    <w:rsid w:val="00663B29"/>
    <w:rsid w:val="00664D3B"/>
    <w:rsid w:val="00665D81"/>
    <w:rsid w:val="00667339"/>
    <w:rsid w:val="00667586"/>
    <w:rsid w:val="006676C3"/>
    <w:rsid w:val="00667D90"/>
    <w:rsid w:val="00670D22"/>
    <w:rsid w:val="00670FA0"/>
    <w:rsid w:val="0067163F"/>
    <w:rsid w:val="006738A7"/>
    <w:rsid w:val="00673E60"/>
    <w:rsid w:val="00674430"/>
    <w:rsid w:val="0067495E"/>
    <w:rsid w:val="006754D8"/>
    <w:rsid w:val="006758E0"/>
    <w:rsid w:val="0067592D"/>
    <w:rsid w:val="00675B18"/>
    <w:rsid w:val="00676901"/>
    <w:rsid w:val="006769B3"/>
    <w:rsid w:val="00677D65"/>
    <w:rsid w:val="006802A7"/>
    <w:rsid w:val="006803E6"/>
    <w:rsid w:val="00680804"/>
    <w:rsid w:val="00680AAE"/>
    <w:rsid w:val="00680C42"/>
    <w:rsid w:val="0068122A"/>
    <w:rsid w:val="00682BA7"/>
    <w:rsid w:val="006837B8"/>
    <w:rsid w:val="0068403F"/>
    <w:rsid w:val="006840E2"/>
    <w:rsid w:val="006845C2"/>
    <w:rsid w:val="00684790"/>
    <w:rsid w:val="00684E6B"/>
    <w:rsid w:val="00685114"/>
    <w:rsid w:val="00686391"/>
    <w:rsid w:val="00686BEC"/>
    <w:rsid w:val="006913DE"/>
    <w:rsid w:val="00692021"/>
    <w:rsid w:val="00692DBF"/>
    <w:rsid w:val="00693A9C"/>
    <w:rsid w:val="00694B4A"/>
    <w:rsid w:val="006953E3"/>
    <w:rsid w:val="00695552"/>
    <w:rsid w:val="006958B0"/>
    <w:rsid w:val="00695BEA"/>
    <w:rsid w:val="006967F3"/>
    <w:rsid w:val="00697519"/>
    <w:rsid w:val="0069788E"/>
    <w:rsid w:val="006A07DF"/>
    <w:rsid w:val="006A0DD8"/>
    <w:rsid w:val="006A0E95"/>
    <w:rsid w:val="006A13DB"/>
    <w:rsid w:val="006A183F"/>
    <w:rsid w:val="006A19A8"/>
    <w:rsid w:val="006A1DC1"/>
    <w:rsid w:val="006A2AF8"/>
    <w:rsid w:val="006A2B4F"/>
    <w:rsid w:val="006A3365"/>
    <w:rsid w:val="006A37B6"/>
    <w:rsid w:val="006A3DA5"/>
    <w:rsid w:val="006A3DB6"/>
    <w:rsid w:val="006A536C"/>
    <w:rsid w:val="006A5ECC"/>
    <w:rsid w:val="006A60D2"/>
    <w:rsid w:val="006A634C"/>
    <w:rsid w:val="006A640F"/>
    <w:rsid w:val="006A643C"/>
    <w:rsid w:val="006A6862"/>
    <w:rsid w:val="006A6F84"/>
    <w:rsid w:val="006A73DF"/>
    <w:rsid w:val="006A7811"/>
    <w:rsid w:val="006A7924"/>
    <w:rsid w:val="006A7EFE"/>
    <w:rsid w:val="006B028B"/>
    <w:rsid w:val="006B2B98"/>
    <w:rsid w:val="006B3BD6"/>
    <w:rsid w:val="006B3BDA"/>
    <w:rsid w:val="006B48D0"/>
    <w:rsid w:val="006B6A2B"/>
    <w:rsid w:val="006B6C49"/>
    <w:rsid w:val="006B6E00"/>
    <w:rsid w:val="006B70B9"/>
    <w:rsid w:val="006C0B5C"/>
    <w:rsid w:val="006C157C"/>
    <w:rsid w:val="006C1CD5"/>
    <w:rsid w:val="006C2BBD"/>
    <w:rsid w:val="006C2EEB"/>
    <w:rsid w:val="006C3E47"/>
    <w:rsid w:val="006C434D"/>
    <w:rsid w:val="006C586B"/>
    <w:rsid w:val="006C6682"/>
    <w:rsid w:val="006C6A9E"/>
    <w:rsid w:val="006C6E87"/>
    <w:rsid w:val="006C7716"/>
    <w:rsid w:val="006D01FA"/>
    <w:rsid w:val="006D032D"/>
    <w:rsid w:val="006D0BE9"/>
    <w:rsid w:val="006D12FC"/>
    <w:rsid w:val="006D163D"/>
    <w:rsid w:val="006D17E6"/>
    <w:rsid w:val="006D1DFB"/>
    <w:rsid w:val="006D26B8"/>
    <w:rsid w:val="006D26BC"/>
    <w:rsid w:val="006D2D06"/>
    <w:rsid w:val="006D2F56"/>
    <w:rsid w:val="006D316E"/>
    <w:rsid w:val="006D336D"/>
    <w:rsid w:val="006D3C20"/>
    <w:rsid w:val="006D48CD"/>
    <w:rsid w:val="006D5C6B"/>
    <w:rsid w:val="006D5D64"/>
    <w:rsid w:val="006D72FF"/>
    <w:rsid w:val="006D75EF"/>
    <w:rsid w:val="006D7BBA"/>
    <w:rsid w:val="006D7E0F"/>
    <w:rsid w:val="006E0305"/>
    <w:rsid w:val="006E0416"/>
    <w:rsid w:val="006E1234"/>
    <w:rsid w:val="006E1380"/>
    <w:rsid w:val="006E1CCD"/>
    <w:rsid w:val="006E2B28"/>
    <w:rsid w:val="006E3312"/>
    <w:rsid w:val="006E33E4"/>
    <w:rsid w:val="006E437F"/>
    <w:rsid w:val="006E535A"/>
    <w:rsid w:val="006E57D5"/>
    <w:rsid w:val="006E5B39"/>
    <w:rsid w:val="006E5C20"/>
    <w:rsid w:val="006E71C0"/>
    <w:rsid w:val="006E738E"/>
    <w:rsid w:val="006E76CA"/>
    <w:rsid w:val="006E77ED"/>
    <w:rsid w:val="006F127C"/>
    <w:rsid w:val="006F13DA"/>
    <w:rsid w:val="006F199D"/>
    <w:rsid w:val="006F20D8"/>
    <w:rsid w:val="006F3D86"/>
    <w:rsid w:val="006F3EBE"/>
    <w:rsid w:val="006F4314"/>
    <w:rsid w:val="006F43BD"/>
    <w:rsid w:val="006F54F7"/>
    <w:rsid w:val="006F642C"/>
    <w:rsid w:val="0070000B"/>
    <w:rsid w:val="00700F61"/>
    <w:rsid w:val="00701215"/>
    <w:rsid w:val="00701631"/>
    <w:rsid w:val="00702193"/>
    <w:rsid w:val="007022E4"/>
    <w:rsid w:val="00702579"/>
    <w:rsid w:val="007025F7"/>
    <w:rsid w:val="00702D0C"/>
    <w:rsid w:val="0070353D"/>
    <w:rsid w:val="00704302"/>
    <w:rsid w:val="0070456D"/>
    <w:rsid w:val="00705C7E"/>
    <w:rsid w:val="00707D76"/>
    <w:rsid w:val="007109B1"/>
    <w:rsid w:val="00710A76"/>
    <w:rsid w:val="007115EE"/>
    <w:rsid w:val="0071162D"/>
    <w:rsid w:val="007118FC"/>
    <w:rsid w:val="00711DB8"/>
    <w:rsid w:val="007123AB"/>
    <w:rsid w:val="00712F02"/>
    <w:rsid w:val="0071587D"/>
    <w:rsid w:val="00715CDE"/>
    <w:rsid w:val="007164CD"/>
    <w:rsid w:val="00716713"/>
    <w:rsid w:val="00716869"/>
    <w:rsid w:val="00717443"/>
    <w:rsid w:val="00717547"/>
    <w:rsid w:val="00717CB2"/>
    <w:rsid w:val="00721BEF"/>
    <w:rsid w:val="00722BC6"/>
    <w:rsid w:val="00723231"/>
    <w:rsid w:val="007235C5"/>
    <w:rsid w:val="0072367F"/>
    <w:rsid w:val="007236CC"/>
    <w:rsid w:val="0072380E"/>
    <w:rsid w:val="00723BB8"/>
    <w:rsid w:val="00724595"/>
    <w:rsid w:val="00724873"/>
    <w:rsid w:val="00726224"/>
    <w:rsid w:val="0072666A"/>
    <w:rsid w:val="00727516"/>
    <w:rsid w:val="00727922"/>
    <w:rsid w:val="007301FE"/>
    <w:rsid w:val="007305EB"/>
    <w:rsid w:val="00730AD0"/>
    <w:rsid w:val="00730BDF"/>
    <w:rsid w:val="00731140"/>
    <w:rsid w:val="007311D5"/>
    <w:rsid w:val="007313D9"/>
    <w:rsid w:val="00731BA6"/>
    <w:rsid w:val="00731EAC"/>
    <w:rsid w:val="00732A60"/>
    <w:rsid w:val="00732D07"/>
    <w:rsid w:val="007332AE"/>
    <w:rsid w:val="0073340B"/>
    <w:rsid w:val="00733873"/>
    <w:rsid w:val="00733958"/>
    <w:rsid w:val="00733F41"/>
    <w:rsid w:val="00733FFA"/>
    <w:rsid w:val="0073514F"/>
    <w:rsid w:val="007351BC"/>
    <w:rsid w:val="00735DC0"/>
    <w:rsid w:val="0073657C"/>
    <w:rsid w:val="007369E0"/>
    <w:rsid w:val="00736C06"/>
    <w:rsid w:val="00736D0B"/>
    <w:rsid w:val="007370DF"/>
    <w:rsid w:val="007403BF"/>
    <w:rsid w:val="007421C2"/>
    <w:rsid w:val="00742355"/>
    <w:rsid w:val="00743A4C"/>
    <w:rsid w:val="007442B7"/>
    <w:rsid w:val="00744C5A"/>
    <w:rsid w:val="007453B1"/>
    <w:rsid w:val="007464BB"/>
    <w:rsid w:val="00746ACC"/>
    <w:rsid w:val="007501F0"/>
    <w:rsid w:val="00750945"/>
    <w:rsid w:val="007513CD"/>
    <w:rsid w:val="00751570"/>
    <w:rsid w:val="00751B75"/>
    <w:rsid w:val="00751B99"/>
    <w:rsid w:val="007523E1"/>
    <w:rsid w:val="0075341A"/>
    <w:rsid w:val="00753674"/>
    <w:rsid w:val="0075372E"/>
    <w:rsid w:val="007539C0"/>
    <w:rsid w:val="00754577"/>
    <w:rsid w:val="007547C7"/>
    <w:rsid w:val="00755080"/>
    <w:rsid w:val="00756098"/>
    <w:rsid w:val="007569E1"/>
    <w:rsid w:val="00756E6B"/>
    <w:rsid w:val="0076061B"/>
    <w:rsid w:val="00760B4D"/>
    <w:rsid w:val="00760D3F"/>
    <w:rsid w:val="00761792"/>
    <w:rsid w:val="007620FC"/>
    <w:rsid w:val="0076235F"/>
    <w:rsid w:val="00763AA0"/>
    <w:rsid w:val="00763B19"/>
    <w:rsid w:val="00763B57"/>
    <w:rsid w:val="00763D6C"/>
    <w:rsid w:val="00764C5D"/>
    <w:rsid w:val="007652C0"/>
    <w:rsid w:val="007655A0"/>
    <w:rsid w:val="00765CB9"/>
    <w:rsid w:val="00766625"/>
    <w:rsid w:val="0076689F"/>
    <w:rsid w:val="00766E26"/>
    <w:rsid w:val="00767465"/>
    <w:rsid w:val="00770FBA"/>
    <w:rsid w:val="00773476"/>
    <w:rsid w:val="007736A9"/>
    <w:rsid w:val="00775C27"/>
    <w:rsid w:val="00775ED4"/>
    <w:rsid w:val="007767BC"/>
    <w:rsid w:val="00776EB4"/>
    <w:rsid w:val="00777694"/>
    <w:rsid w:val="0077776B"/>
    <w:rsid w:val="00780693"/>
    <w:rsid w:val="007807CC"/>
    <w:rsid w:val="00780E57"/>
    <w:rsid w:val="00780F7A"/>
    <w:rsid w:val="007816A3"/>
    <w:rsid w:val="00781BB6"/>
    <w:rsid w:val="00783789"/>
    <w:rsid w:val="00784526"/>
    <w:rsid w:val="007849E8"/>
    <w:rsid w:val="00784D41"/>
    <w:rsid w:val="007853C8"/>
    <w:rsid w:val="007854E2"/>
    <w:rsid w:val="00785999"/>
    <w:rsid w:val="00786D79"/>
    <w:rsid w:val="00786EE9"/>
    <w:rsid w:val="007875FF"/>
    <w:rsid w:val="00787EC7"/>
    <w:rsid w:val="00791836"/>
    <w:rsid w:val="00792786"/>
    <w:rsid w:val="00792A3A"/>
    <w:rsid w:val="007931F1"/>
    <w:rsid w:val="007932A7"/>
    <w:rsid w:val="007932F2"/>
    <w:rsid w:val="0079340B"/>
    <w:rsid w:val="007936C3"/>
    <w:rsid w:val="00793E30"/>
    <w:rsid w:val="00794165"/>
    <w:rsid w:val="00794333"/>
    <w:rsid w:val="00794EC6"/>
    <w:rsid w:val="00795582"/>
    <w:rsid w:val="00795BAC"/>
    <w:rsid w:val="00795FC3"/>
    <w:rsid w:val="007961D1"/>
    <w:rsid w:val="00796CE0"/>
    <w:rsid w:val="00797035"/>
    <w:rsid w:val="00797076"/>
    <w:rsid w:val="00797A6F"/>
    <w:rsid w:val="007A13A7"/>
    <w:rsid w:val="007A1AF8"/>
    <w:rsid w:val="007A2102"/>
    <w:rsid w:val="007A391F"/>
    <w:rsid w:val="007A4342"/>
    <w:rsid w:val="007A44BE"/>
    <w:rsid w:val="007A4510"/>
    <w:rsid w:val="007A4B97"/>
    <w:rsid w:val="007A4F3A"/>
    <w:rsid w:val="007A7621"/>
    <w:rsid w:val="007A7898"/>
    <w:rsid w:val="007A7F64"/>
    <w:rsid w:val="007B011E"/>
    <w:rsid w:val="007B0991"/>
    <w:rsid w:val="007B0A17"/>
    <w:rsid w:val="007B1752"/>
    <w:rsid w:val="007B1D3E"/>
    <w:rsid w:val="007B1ED6"/>
    <w:rsid w:val="007B2240"/>
    <w:rsid w:val="007B2815"/>
    <w:rsid w:val="007B2EEA"/>
    <w:rsid w:val="007B3720"/>
    <w:rsid w:val="007B44B7"/>
    <w:rsid w:val="007B54F1"/>
    <w:rsid w:val="007B586A"/>
    <w:rsid w:val="007B7B69"/>
    <w:rsid w:val="007B7BFE"/>
    <w:rsid w:val="007C0252"/>
    <w:rsid w:val="007C062A"/>
    <w:rsid w:val="007C0EF3"/>
    <w:rsid w:val="007C25F6"/>
    <w:rsid w:val="007C2B4F"/>
    <w:rsid w:val="007C2FB4"/>
    <w:rsid w:val="007C35AA"/>
    <w:rsid w:val="007C360F"/>
    <w:rsid w:val="007C391C"/>
    <w:rsid w:val="007C3A15"/>
    <w:rsid w:val="007C4F85"/>
    <w:rsid w:val="007C4FB2"/>
    <w:rsid w:val="007C50FA"/>
    <w:rsid w:val="007C5400"/>
    <w:rsid w:val="007C5E93"/>
    <w:rsid w:val="007C5FDB"/>
    <w:rsid w:val="007C60B6"/>
    <w:rsid w:val="007C60CF"/>
    <w:rsid w:val="007C612E"/>
    <w:rsid w:val="007C61A9"/>
    <w:rsid w:val="007C69D4"/>
    <w:rsid w:val="007C7658"/>
    <w:rsid w:val="007C7796"/>
    <w:rsid w:val="007D0157"/>
    <w:rsid w:val="007D01D2"/>
    <w:rsid w:val="007D04F6"/>
    <w:rsid w:val="007D09B7"/>
    <w:rsid w:val="007D0C3B"/>
    <w:rsid w:val="007D0DA4"/>
    <w:rsid w:val="007D1240"/>
    <w:rsid w:val="007D19E5"/>
    <w:rsid w:val="007D238D"/>
    <w:rsid w:val="007D2F2D"/>
    <w:rsid w:val="007D32BE"/>
    <w:rsid w:val="007D37F8"/>
    <w:rsid w:val="007D394D"/>
    <w:rsid w:val="007D499E"/>
    <w:rsid w:val="007D4EA8"/>
    <w:rsid w:val="007D505C"/>
    <w:rsid w:val="007D57F6"/>
    <w:rsid w:val="007D682E"/>
    <w:rsid w:val="007D68E7"/>
    <w:rsid w:val="007D74BD"/>
    <w:rsid w:val="007E0017"/>
    <w:rsid w:val="007E02C5"/>
    <w:rsid w:val="007E0583"/>
    <w:rsid w:val="007E0C6B"/>
    <w:rsid w:val="007E0D7D"/>
    <w:rsid w:val="007E2E4E"/>
    <w:rsid w:val="007E4057"/>
    <w:rsid w:val="007E4B8C"/>
    <w:rsid w:val="007E4E7A"/>
    <w:rsid w:val="007E54E3"/>
    <w:rsid w:val="007E5640"/>
    <w:rsid w:val="007E6605"/>
    <w:rsid w:val="007E6E64"/>
    <w:rsid w:val="007E7C32"/>
    <w:rsid w:val="007E7FBF"/>
    <w:rsid w:val="007E7FC3"/>
    <w:rsid w:val="007F03F8"/>
    <w:rsid w:val="007F12A1"/>
    <w:rsid w:val="007F1B66"/>
    <w:rsid w:val="007F29CB"/>
    <w:rsid w:val="007F3B8B"/>
    <w:rsid w:val="007F4C8C"/>
    <w:rsid w:val="007F521F"/>
    <w:rsid w:val="007F5AE5"/>
    <w:rsid w:val="007F614B"/>
    <w:rsid w:val="007F65AD"/>
    <w:rsid w:val="007F68AE"/>
    <w:rsid w:val="008016E7"/>
    <w:rsid w:val="008022A3"/>
    <w:rsid w:val="008033A6"/>
    <w:rsid w:val="00803469"/>
    <w:rsid w:val="0080365E"/>
    <w:rsid w:val="00803A31"/>
    <w:rsid w:val="008040C7"/>
    <w:rsid w:val="008041A5"/>
    <w:rsid w:val="00804DF2"/>
    <w:rsid w:val="00805377"/>
    <w:rsid w:val="008055B1"/>
    <w:rsid w:val="008057F4"/>
    <w:rsid w:val="00805A50"/>
    <w:rsid w:val="00805E65"/>
    <w:rsid w:val="00805F8F"/>
    <w:rsid w:val="008060C7"/>
    <w:rsid w:val="0080655B"/>
    <w:rsid w:val="00807EF5"/>
    <w:rsid w:val="00810A81"/>
    <w:rsid w:val="00810D59"/>
    <w:rsid w:val="0081115D"/>
    <w:rsid w:val="008111A0"/>
    <w:rsid w:val="0081164D"/>
    <w:rsid w:val="00811CB7"/>
    <w:rsid w:val="00811DA0"/>
    <w:rsid w:val="008125C1"/>
    <w:rsid w:val="008145C2"/>
    <w:rsid w:val="0081488A"/>
    <w:rsid w:val="00814AA8"/>
    <w:rsid w:val="008156AF"/>
    <w:rsid w:val="008161AD"/>
    <w:rsid w:val="00816C77"/>
    <w:rsid w:val="00816E09"/>
    <w:rsid w:val="008178BD"/>
    <w:rsid w:val="008178CC"/>
    <w:rsid w:val="00820099"/>
    <w:rsid w:val="00820DE6"/>
    <w:rsid w:val="00821198"/>
    <w:rsid w:val="00821A93"/>
    <w:rsid w:val="00821E9F"/>
    <w:rsid w:val="008222D2"/>
    <w:rsid w:val="008223A8"/>
    <w:rsid w:val="008234A5"/>
    <w:rsid w:val="008237C6"/>
    <w:rsid w:val="00825FA7"/>
    <w:rsid w:val="008260E0"/>
    <w:rsid w:val="00826BC4"/>
    <w:rsid w:val="0082718B"/>
    <w:rsid w:val="00827443"/>
    <w:rsid w:val="00827752"/>
    <w:rsid w:val="008305A1"/>
    <w:rsid w:val="00831493"/>
    <w:rsid w:val="00831642"/>
    <w:rsid w:val="00831749"/>
    <w:rsid w:val="008322BF"/>
    <w:rsid w:val="008323E5"/>
    <w:rsid w:val="008326B2"/>
    <w:rsid w:val="008331AD"/>
    <w:rsid w:val="00833313"/>
    <w:rsid w:val="00834718"/>
    <w:rsid w:val="00835A07"/>
    <w:rsid w:val="00836353"/>
    <w:rsid w:val="008364B6"/>
    <w:rsid w:val="0083673A"/>
    <w:rsid w:val="00837879"/>
    <w:rsid w:val="008434EE"/>
    <w:rsid w:val="00843578"/>
    <w:rsid w:val="0084357A"/>
    <w:rsid w:val="00845033"/>
    <w:rsid w:val="008450C5"/>
    <w:rsid w:val="0084519A"/>
    <w:rsid w:val="00845CFE"/>
    <w:rsid w:val="00845F86"/>
    <w:rsid w:val="008462EB"/>
    <w:rsid w:val="00846C20"/>
    <w:rsid w:val="00846FD3"/>
    <w:rsid w:val="00847B14"/>
    <w:rsid w:val="00850DC3"/>
    <w:rsid w:val="0085157D"/>
    <w:rsid w:val="0085208D"/>
    <w:rsid w:val="008521D2"/>
    <w:rsid w:val="00852C97"/>
    <w:rsid w:val="00853614"/>
    <w:rsid w:val="0085372E"/>
    <w:rsid w:val="008543BE"/>
    <w:rsid w:val="00854748"/>
    <w:rsid w:val="0085521C"/>
    <w:rsid w:val="00855B37"/>
    <w:rsid w:val="00856372"/>
    <w:rsid w:val="00856AE8"/>
    <w:rsid w:val="0085703E"/>
    <w:rsid w:val="0085790F"/>
    <w:rsid w:val="00857C31"/>
    <w:rsid w:val="00857F9E"/>
    <w:rsid w:val="008600D1"/>
    <w:rsid w:val="008601B1"/>
    <w:rsid w:val="0086123E"/>
    <w:rsid w:val="00861593"/>
    <w:rsid w:val="00861CEA"/>
    <w:rsid w:val="00861F43"/>
    <w:rsid w:val="0086262F"/>
    <w:rsid w:val="00862CCB"/>
    <w:rsid w:val="00863215"/>
    <w:rsid w:val="00863377"/>
    <w:rsid w:val="008645A6"/>
    <w:rsid w:val="008647B0"/>
    <w:rsid w:val="008663B5"/>
    <w:rsid w:val="008665EA"/>
    <w:rsid w:val="0086666B"/>
    <w:rsid w:val="00870484"/>
    <w:rsid w:val="00872696"/>
    <w:rsid w:val="00872902"/>
    <w:rsid w:val="0087291A"/>
    <w:rsid w:val="00873613"/>
    <w:rsid w:val="00873CE2"/>
    <w:rsid w:val="00873EC8"/>
    <w:rsid w:val="008757C4"/>
    <w:rsid w:val="00875831"/>
    <w:rsid w:val="00875CE2"/>
    <w:rsid w:val="00875E2A"/>
    <w:rsid w:val="00875F29"/>
    <w:rsid w:val="00876302"/>
    <w:rsid w:val="00876A5B"/>
    <w:rsid w:val="00877B3B"/>
    <w:rsid w:val="00877E7D"/>
    <w:rsid w:val="00877ED4"/>
    <w:rsid w:val="008811DC"/>
    <w:rsid w:val="00881619"/>
    <w:rsid w:val="008816E6"/>
    <w:rsid w:val="00881D4A"/>
    <w:rsid w:val="00882341"/>
    <w:rsid w:val="008824F5"/>
    <w:rsid w:val="0088328F"/>
    <w:rsid w:val="0088446B"/>
    <w:rsid w:val="00884783"/>
    <w:rsid w:val="00884AF3"/>
    <w:rsid w:val="00884EC1"/>
    <w:rsid w:val="008851AE"/>
    <w:rsid w:val="008865DF"/>
    <w:rsid w:val="00886681"/>
    <w:rsid w:val="00886EE9"/>
    <w:rsid w:val="00887544"/>
    <w:rsid w:val="008875AE"/>
    <w:rsid w:val="00887924"/>
    <w:rsid w:val="00887C10"/>
    <w:rsid w:val="0089048C"/>
    <w:rsid w:val="00891628"/>
    <w:rsid w:val="00891C29"/>
    <w:rsid w:val="00892625"/>
    <w:rsid w:val="00892E8B"/>
    <w:rsid w:val="00893D18"/>
    <w:rsid w:val="00894696"/>
    <w:rsid w:val="008946D6"/>
    <w:rsid w:val="00894CC0"/>
    <w:rsid w:val="00895048"/>
    <w:rsid w:val="008954E6"/>
    <w:rsid w:val="00895984"/>
    <w:rsid w:val="00895DC2"/>
    <w:rsid w:val="00896112"/>
    <w:rsid w:val="008961E3"/>
    <w:rsid w:val="00896772"/>
    <w:rsid w:val="00896EFA"/>
    <w:rsid w:val="0089728E"/>
    <w:rsid w:val="0089763F"/>
    <w:rsid w:val="008976AC"/>
    <w:rsid w:val="00897A7D"/>
    <w:rsid w:val="008A009A"/>
    <w:rsid w:val="008A027C"/>
    <w:rsid w:val="008A0356"/>
    <w:rsid w:val="008A156D"/>
    <w:rsid w:val="008A1B30"/>
    <w:rsid w:val="008A1FD3"/>
    <w:rsid w:val="008A2268"/>
    <w:rsid w:val="008A2437"/>
    <w:rsid w:val="008A2649"/>
    <w:rsid w:val="008A3BF6"/>
    <w:rsid w:val="008A3E3F"/>
    <w:rsid w:val="008A4427"/>
    <w:rsid w:val="008A5CA5"/>
    <w:rsid w:val="008A5DF7"/>
    <w:rsid w:val="008A66C1"/>
    <w:rsid w:val="008A6732"/>
    <w:rsid w:val="008A6CF2"/>
    <w:rsid w:val="008A7446"/>
    <w:rsid w:val="008A79FF"/>
    <w:rsid w:val="008A7ED4"/>
    <w:rsid w:val="008B00A8"/>
    <w:rsid w:val="008B0398"/>
    <w:rsid w:val="008B03BB"/>
    <w:rsid w:val="008B0798"/>
    <w:rsid w:val="008B0806"/>
    <w:rsid w:val="008B09EC"/>
    <w:rsid w:val="008B0BAD"/>
    <w:rsid w:val="008B14A9"/>
    <w:rsid w:val="008B2D9D"/>
    <w:rsid w:val="008B324E"/>
    <w:rsid w:val="008B421D"/>
    <w:rsid w:val="008B4B09"/>
    <w:rsid w:val="008B50F9"/>
    <w:rsid w:val="008B51C4"/>
    <w:rsid w:val="008B5342"/>
    <w:rsid w:val="008B5A6C"/>
    <w:rsid w:val="008B5CCD"/>
    <w:rsid w:val="008B5EDD"/>
    <w:rsid w:val="008B6286"/>
    <w:rsid w:val="008B6CB7"/>
    <w:rsid w:val="008B713D"/>
    <w:rsid w:val="008B7B01"/>
    <w:rsid w:val="008B7FA2"/>
    <w:rsid w:val="008C010E"/>
    <w:rsid w:val="008C0E2F"/>
    <w:rsid w:val="008C287D"/>
    <w:rsid w:val="008C38C2"/>
    <w:rsid w:val="008C3DA8"/>
    <w:rsid w:val="008C50CE"/>
    <w:rsid w:val="008C560F"/>
    <w:rsid w:val="008C5EF3"/>
    <w:rsid w:val="008C6226"/>
    <w:rsid w:val="008C6645"/>
    <w:rsid w:val="008C683A"/>
    <w:rsid w:val="008C7020"/>
    <w:rsid w:val="008D078C"/>
    <w:rsid w:val="008D086C"/>
    <w:rsid w:val="008D261F"/>
    <w:rsid w:val="008D2E0E"/>
    <w:rsid w:val="008D2FA5"/>
    <w:rsid w:val="008D3497"/>
    <w:rsid w:val="008D4B36"/>
    <w:rsid w:val="008D4C28"/>
    <w:rsid w:val="008D5A43"/>
    <w:rsid w:val="008D5C60"/>
    <w:rsid w:val="008D5C6C"/>
    <w:rsid w:val="008D6BAD"/>
    <w:rsid w:val="008D6FB1"/>
    <w:rsid w:val="008E0707"/>
    <w:rsid w:val="008E0F5C"/>
    <w:rsid w:val="008E14F5"/>
    <w:rsid w:val="008E16E9"/>
    <w:rsid w:val="008E20E5"/>
    <w:rsid w:val="008E2FA6"/>
    <w:rsid w:val="008E381A"/>
    <w:rsid w:val="008E5688"/>
    <w:rsid w:val="008E63EF"/>
    <w:rsid w:val="008E6902"/>
    <w:rsid w:val="008E75E4"/>
    <w:rsid w:val="008E7745"/>
    <w:rsid w:val="008E798A"/>
    <w:rsid w:val="008E7F0F"/>
    <w:rsid w:val="008F0D5B"/>
    <w:rsid w:val="008F186E"/>
    <w:rsid w:val="008F234C"/>
    <w:rsid w:val="008F26A2"/>
    <w:rsid w:val="008F2B3E"/>
    <w:rsid w:val="008F2EDC"/>
    <w:rsid w:val="008F330F"/>
    <w:rsid w:val="008F39BC"/>
    <w:rsid w:val="008F3A5F"/>
    <w:rsid w:val="008F3EE5"/>
    <w:rsid w:val="008F41EE"/>
    <w:rsid w:val="008F4309"/>
    <w:rsid w:val="008F58A9"/>
    <w:rsid w:val="008F5C15"/>
    <w:rsid w:val="008F5EB4"/>
    <w:rsid w:val="008F657D"/>
    <w:rsid w:val="008F6BF7"/>
    <w:rsid w:val="008F7259"/>
    <w:rsid w:val="008F74EA"/>
    <w:rsid w:val="008F7D4E"/>
    <w:rsid w:val="009013AB"/>
    <w:rsid w:val="00901FA0"/>
    <w:rsid w:val="00902506"/>
    <w:rsid w:val="00902571"/>
    <w:rsid w:val="00904552"/>
    <w:rsid w:val="00905BF7"/>
    <w:rsid w:val="00905E64"/>
    <w:rsid w:val="00906342"/>
    <w:rsid w:val="00906823"/>
    <w:rsid w:val="00906A6F"/>
    <w:rsid w:val="00907422"/>
    <w:rsid w:val="009075A4"/>
    <w:rsid w:val="0091036A"/>
    <w:rsid w:val="009105E2"/>
    <w:rsid w:val="00911206"/>
    <w:rsid w:val="009116B8"/>
    <w:rsid w:val="00911AB1"/>
    <w:rsid w:val="00912F6B"/>
    <w:rsid w:val="00913436"/>
    <w:rsid w:val="0091361C"/>
    <w:rsid w:val="009142C7"/>
    <w:rsid w:val="00915354"/>
    <w:rsid w:val="009159D9"/>
    <w:rsid w:val="00915B49"/>
    <w:rsid w:val="009163A7"/>
    <w:rsid w:val="0091682D"/>
    <w:rsid w:val="009168F4"/>
    <w:rsid w:val="00916CD8"/>
    <w:rsid w:val="00916F7B"/>
    <w:rsid w:val="0091723C"/>
    <w:rsid w:val="00917829"/>
    <w:rsid w:val="00917B6E"/>
    <w:rsid w:val="009205AA"/>
    <w:rsid w:val="00920869"/>
    <w:rsid w:val="00920D6B"/>
    <w:rsid w:val="009212CE"/>
    <w:rsid w:val="00922AF8"/>
    <w:rsid w:val="00922B60"/>
    <w:rsid w:val="00922E07"/>
    <w:rsid w:val="00922EBB"/>
    <w:rsid w:val="00923473"/>
    <w:rsid w:val="00923FF6"/>
    <w:rsid w:val="009258ED"/>
    <w:rsid w:val="00926250"/>
    <w:rsid w:val="0092695E"/>
    <w:rsid w:val="00926BC6"/>
    <w:rsid w:val="009307FC"/>
    <w:rsid w:val="009308C2"/>
    <w:rsid w:val="0093206E"/>
    <w:rsid w:val="00932F28"/>
    <w:rsid w:val="00933F2B"/>
    <w:rsid w:val="00933FB5"/>
    <w:rsid w:val="0093491D"/>
    <w:rsid w:val="00934ED1"/>
    <w:rsid w:val="00934F77"/>
    <w:rsid w:val="00935A59"/>
    <w:rsid w:val="0093614C"/>
    <w:rsid w:val="009374DB"/>
    <w:rsid w:val="00937DA0"/>
    <w:rsid w:val="00940B75"/>
    <w:rsid w:val="00941684"/>
    <w:rsid w:val="00943016"/>
    <w:rsid w:val="0094396E"/>
    <w:rsid w:val="00943FC9"/>
    <w:rsid w:val="00945746"/>
    <w:rsid w:val="00945B87"/>
    <w:rsid w:val="009463C2"/>
    <w:rsid w:val="0094645B"/>
    <w:rsid w:val="0094653C"/>
    <w:rsid w:val="009467C6"/>
    <w:rsid w:val="00946B7C"/>
    <w:rsid w:val="00947EC9"/>
    <w:rsid w:val="00950066"/>
    <w:rsid w:val="00950620"/>
    <w:rsid w:val="00950FD9"/>
    <w:rsid w:val="009512A8"/>
    <w:rsid w:val="00951C95"/>
    <w:rsid w:val="009526CC"/>
    <w:rsid w:val="00952C4C"/>
    <w:rsid w:val="00953316"/>
    <w:rsid w:val="00953750"/>
    <w:rsid w:val="00953CB2"/>
    <w:rsid w:val="00953CFA"/>
    <w:rsid w:val="0095452F"/>
    <w:rsid w:val="0095472E"/>
    <w:rsid w:val="00954894"/>
    <w:rsid w:val="00955214"/>
    <w:rsid w:val="00955B1D"/>
    <w:rsid w:val="009561D2"/>
    <w:rsid w:val="009565D9"/>
    <w:rsid w:val="00957712"/>
    <w:rsid w:val="009577A0"/>
    <w:rsid w:val="00957F7B"/>
    <w:rsid w:val="009603DA"/>
    <w:rsid w:val="009604FF"/>
    <w:rsid w:val="00961392"/>
    <w:rsid w:val="00961C7F"/>
    <w:rsid w:val="00961D40"/>
    <w:rsid w:val="009620A5"/>
    <w:rsid w:val="00962758"/>
    <w:rsid w:val="0096446D"/>
    <w:rsid w:val="00964516"/>
    <w:rsid w:val="009647B1"/>
    <w:rsid w:val="00964BBB"/>
    <w:rsid w:val="00965544"/>
    <w:rsid w:val="00965826"/>
    <w:rsid w:val="00965B72"/>
    <w:rsid w:val="00965CA2"/>
    <w:rsid w:val="00965CBB"/>
    <w:rsid w:val="0096766A"/>
    <w:rsid w:val="009705E8"/>
    <w:rsid w:val="009729D0"/>
    <w:rsid w:val="0097388C"/>
    <w:rsid w:val="00974115"/>
    <w:rsid w:val="009745B8"/>
    <w:rsid w:val="00974810"/>
    <w:rsid w:val="00974AE6"/>
    <w:rsid w:val="009753A5"/>
    <w:rsid w:val="009760AD"/>
    <w:rsid w:val="009760B3"/>
    <w:rsid w:val="00977106"/>
    <w:rsid w:val="009777D6"/>
    <w:rsid w:val="0097783E"/>
    <w:rsid w:val="00977EA1"/>
    <w:rsid w:val="00980252"/>
    <w:rsid w:val="0098161A"/>
    <w:rsid w:val="0098179E"/>
    <w:rsid w:val="00981A3A"/>
    <w:rsid w:val="00981B11"/>
    <w:rsid w:val="00982C35"/>
    <w:rsid w:val="00982F08"/>
    <w:rsid w:val="0098307E"/>
    <w:rsid w:val="0098407A"/>
    <w:rsid w:val="00984E14"/>
    <w:rsid w:val="00985B8D"/>
    <w:rsid w:val="00987DAE"/>
    <w:rsid w:val="0099037D"/>
    <w:rsid w:val="00990C73"/>
    <w:rsid w:val="009924E2"/>
    <w:rsid w:val="009929CD"/>
    <w:rsid w:val="00992F13"/>
    <w:rsid w:val="00994C28"/>
    <w:rsid w:val="00994DFD"/>
    <w:rsid w:val="009953B1"/>
    <w:rsid w:val="009953CC"/>
    <w:rsid w:val="00995BE9"/>
    <w:rsid w:val="009963C5"/>
    <w:rsid w:val="0099695D"/>
    <w:rsid w:val="00996BA5"/>
    <w:rsid w:val="0099736E"/>
    <w:rsid w:val="009975E9"/>
    <w:rsid w:val="009A1801"/>
    <w:rsid w:val="009A3323"/>
    <w:rsid w:val="009A39E5"/>
    <w:rsid w:val="009A39F0"/>
    <w:rsid w:val="009A3D70"/>
    <w:rsid w:val="009A4FB8"/>
    <w:rsid w:val="009A54EF"/>
    <w:rsid w:val="009A6247"/>
    <w:rsid w:val="009A6409"/>
    <w:rsid w:val="009B04FE"/>
    <w:rsid w:val="009B0AF1"/>
    <w:rsid w:val="009B12AB"/>
    <w:rsid w:val="009B22D2"/>
    <w:rsid w:val="009B2B14"/>
    <w:rsid w:val="009B2FE4"/>
    <w:rsid w:val="009B32D1"/>
    <w:rsid w:val="009B33EB"/>
    <w:rsid w:val="009B3AB0"/>
    <w:rsid w:val="009B3C9A"/>
    <w:rsid w:val="009B4C27"/>
    <w:rsid w:val="009B583D"/>
    <w:rsid w:val="009B60C9"/>
    <w:rsid w:val="009B6CEF"/>
    <w:rsid w:val="009B7C74"/>
    <w:rsid w:val="009C15E0"/>
    <w:rsid w:val="009C2004"/>
    <w:rsid w:val="009C22EF"/>
    <w:rsid w:val="009C2B50"/>
    <w:rsid w:val="009C2C4A"/>
    <w:rsid w:val="009C2FEF"/>
    <w:rsid w:val="009C3558"/>
    <w:rsid w:val="009C4585"/>
    <w:rsid w:val="009C5348"/>
    <w:rsid w:val="009C56F8"/>
    <w:rsid w:val="009C57C9"/>
    <w:rsid w:val="009C62C1"/>
    <w:rsid w:val="009C693D"/>
    <w:rsid w:val="009C6D55"/>
    <w:rsid w:val="009C7A8E"/>
    <w:rsid w:val="009C7FD2"/>
    <w:rsid w:val="009D0E35"/>
    <w:rsid w:val="009D1089"/>
    <w:rsid w:val="009D134F"/>
    <w:rsid w:val="009D1530"/>
    <w:rsid w:val="009D320F"/>
    <w:rsid w:val="009D54AA"/>
    <w:rsid w:val="009D5AD4"/>
    <w:rsid w:val="009D6EC4"/>
    <w:rsid w:val="009D7334"/>
    <w:rsid w:val="009D73CE"/>
    <w:rsid w:val="009D7B46"/>
    <w:rsid w:val="009E0C68"/>
    <w:rsid w:val="009E0D7B"/>
    <w:rsid w:val="009E29AE"/>
    <w:rsid w:val="009E29C7"/>
    <w:rsid w:val="009E2BA0"/>
    <w:rsid w:val="009E306F"/>
    <w:rsid w:val="009E3231"/>
    <w:rsid w:val="009E334C"/>
    <w:rsid w:val="009E3615"/>
    <w:rsid w:val="009E38B1"/>
    <w:rsid w:val="009E4CFF"/>
    <w:rsid w:val="009E4D84"/>
    <w:rsid w:val="009E5562"/>
    <w:rsid w:val="009E5766"/>
    <w:rsid w:val="009E5C0D"/>
    <w:rsid w:val="009E5EF2"/>
    <w:rsid w:val="009E614C"/>
    <w:rsid w:val="009E6893"/>
    <w:rsid w:val="009E784D"/>
    <w:rsid w:val="009F0353"/>
    <w:rsid w:val="009F0CFC"/>
    <w:rsid w:val="009F1113"/>
    <w:rsid w:val="009F1A91"/>
    <w:rsid w:val="009F1CEC"/>
    <w:rsid w:val="009F3156"/>
    <w:rsid w:val="009F36CD"/>
    <w:rsid w:val="009F3A3A"/>
    <w:rsid w:val="009F3B91"/>
    <w:rsid w:val="009F4D8A"/>
    <w:rsid w:val="009F4F56"/>
    <w:rsid w:val="009F50A7"/>
    <w:rsid w:val="009F5713"/>
    <w:rsid w:val="009F6144"/>
    <w:rsid w:val="009F6CF2"/>
    <w:rsid w:val="009F70F1"/>
    <w:rsid w:val="009F7390"/>
    <w:rsid w:val="009F77F2"/>
    <w:rsid w:val="009F7945"/>
    <w:rsid w:val="009F7DF4"/>
    <w:rsid w:val="00A0033C"/>
    <w:rsid w:val="00A00666"/>
    <w:rsid w:val="00A00AE9"/>
    <w:rsid w:val="00A00CFC"/>
    <w:rsid w:val="00A00D14"/>
    <w:rsid w:val="00A00DAE"/>
    <w:rsid w:val="00A03CD7"/>
    <w:rsid w:val="00A03EFA"/>
    <w:rsid w:val="00A04835"/>
    <w:rsid w:val="00A04AAF"/>
    <w:rsid w:val="00A04B39"/>
    <w:rsid w:val="00A06ADD"/>
    <w:rsid w:val="00A07087"/>
    <w:rsid w:val="00A07863"/>
    <w:rsid w:val="00A11022"/>
    <w:rsid w:val="00A1199B"/>
    <w:rsid w:val="00A123D8"/>
    <w:rsid w:val="00A12B1D"/>
    <w:rsid w:val="00A12D9A"/>
    <w:rsid w:val="00A1315A"/>
    <w:rsid w:val="00A1345C"/>
    <w:rsid w:val="00A13F1B"/>
    <w:rsid w:val="00A149E7"/>
    <w:rsid w:val="00A1615E"/>
    <w:rsid w:val="00A17385"/>
    <w:rsid w:val="00A213C6"/>
    <w:rsid w:val="00A21B91"/>
    <w:rsid w:val="00A22175"/>
    <w:rsid w:val="00A225C0"/>
    <w:rsid w:val="00A2263D"/>
    <w:rsid w:val="00A22C49"/>
    <w:rsid w:val="00A22C52"/>
    <w:rsid w:val="00A237AC"/>
    <w:rsid w:val="00A23A8D"/>
    <w:rsid w:val="00A23EBE"/>
    <w:rsid w:val="00A24294"/>
    <w:rsid w:val="00A24689"/>
    <w:rsid w:val="00A24825"/>
    <w:rsid w:val="00A25103"/>
    <w:rsid w:val="00A257C2"/>
    <w:rsid w:val="00A26016"/>
    <w:rsid w:val="00A26491"/>
    <w:rsid w:val="00A2654E"/>
    <w:rsid w:val="00A276D4"/>
    <w:rsid w:val="00A277E3"/>
    <w:rsid w:val="00A27A44"/>
    <w:rsid w:val="00A31337"/>
    <w:rsid w:val="00A314A2"/>
    <w:rsid w:val="00A326C9"/>
    <w:rsid w:val="00A32C91"/>
    <w:rsid w:val="00A366F4"/>
    <w:rsid w:val="00A36967"/>
    <w:rsid w:val="00A372CC"/>
    <w:rsid w:val="00A3761A"/>
    <w:rsid w:val="00A40762"/>
    <w:rsid w:val="00A41A26"/>
    <w:rsid w:val="00A41CF0"/>
    <w:rsid w:val="00A42356"/>
    <w:rsid w:val="00A431E9"/>
    <w:rsid w:val="00A43774"/>
    <w:rsid w:val="00A43E25"/>
    <w:rsid w:val="00A44B44"/>
    <w:rsid w:val="00A44C61"/>
    <w:rsid w:val="00A45266"/>
    <w:rsid w:val="00A467A7"/>
    <w:rsid w:val="00A467D1"/>
    <w:rsid w:val="00A46830"/>
    <w:rsid w:val="00A47269"/>
    <w:rsid w:val="00A47776"/>
    <w:rsid w:val="00A47832"/>
    <w:rsid w:val="00A5003A"/>
    <w:rsid w:val="00A50F7A"/>
    <w:rsid w:val="00A518A3"/>
    <w:rsid w:val="00A52045"/>
    <w:rsid w:val="00A5225F"/>
    <w:rsid w:val="00A52D2F"/>
    <w:rsid w:val="00A53302"/>
    <w:rsid w:val="00A54149"/>
    <w:rsid w:val="00A544F1"/>
    <w:rsid w:val="00A54E46"/>
    <w:rsid w:val="00A553FE"/>
    <w:rsid w:val="00A5572F"/>
    <w:rsid w:val="00A55877"/>
    <w:rsid w:val="00A55E7A"/>
    <w:rsid w:val="00A567AB"/>
    <w:rsid w:val="00A56C2A"/>
    <w:rsid w:val="00A6021C"/>
    <w:rsid w:val="00A60272"/>
    <w:rsid w:val="00A60688"/>
    <w:rsid w:val="00A6076E"/>
    <w:rsid w:val="00A60C94"/>
    <w:rsid w:val="00A60D9F"/>
    <w:rsid w:val="00A6125C"/>
    <w:rsid w:val="00A61912"/>
    <w:rsid w:val="00A61AC4"/>
    <w:rsid w:val="00A62229"/>
    <w:rsid w:val="00A62304"/>
    <w:rsid w:val="00A62A68"/>
    <w:rsid w:val="00A62E0C"/>
    <w:rsid w:val="00A6305A"/>
    <w:rsid w:val="00A635F8"/>
    <w:rsid w:val="00A63848"/>
    <w:rsid w:val="00A63CD9"/>
    <w:rsid w:val="00A640D9"/>
    <w:rsid w:val="00A6440C"/>
    <w:rsid w:val="00A64F64"/>
    <w:rsid w:val="00A652DE"/>
    <w:rsid w:val="00A65567"/>
    <w:rsid w:val="00A656CF"/>
    <w:rsid w:val="00A6615A"/>
    <w:rsid w:val="00A70997"/>
    <w:rsid w:val="00A709A8"/>
    <w:rsid w:val="00A70A8B"/>
    <w:rsid w:val="00A70E3F"/>
    <w:rsid w:val="00A714A8"/>
    <w:rsid w:val="00A71F4E"/>
    <w:rsid w:val="00A725B1"/>
    <w:rsid w:val="00A72C45"/>
    <w:rsid w:val="00A733B5"/>
    <w:rsid w:val="00A733F1"/>
    <w:rsid w:val="00A736AC"/>
    <w:rsid w:val="00A746B1"/>
    <w:rsid w:val="00A74BB9"/>
    <w:rsid w:val="00A74D31"/>
    <w:rsid w:val="00A755B6"/>
    <w:rsid w:val="00A75C8F"/>
    <w:rsid w:val="00A75F57"/>
    <w:rsid w:val="00A7699B"/>
    <w:rsid w:val="00A801AD"/>
    <w:rsid w:val="00A808B7"/>
    <w:rsid w:val="00A80B2E"/>
    <w:rsid w:val="00A80B54"/>
    <w:rsid w:val="00A810C9"/>
    <w:rsid w:val="00A8153A"/>
    <w:rsid w:val="00A8177B"/>
    <w:rsid w:val="00A82AF5"/>
    <w:rsid w:val="00A83B7C"/>
    <w:rsid w:val="00A84353"/>
    <w:rsid w:val="00A84453"/>
    <w:rsid w:val="00A844CF"/>
    <w:rsid w:val="00A864C5"/>
    <w:rsid w:val="00A86735"/>
    <w:rsid w:val="00A86771"/>
    <w:rsid w:val="00A870D7"/>
    <w:rsid w:val="00A87994"/>
    <w:rsid w:val="00A87CCB"/>
    <w:rsid w:val="00A90497"/>
    <w:rsid w:val="00A90A23"/>
    <w:rsid w:val="00A91722"/>
    <w:rsid w:val="00A9198A"/>
    <w:rsid w:val="00A923FE"/>
    <w:rsid w:val="00A92722"/>
    <w:rsid w:val="00A92746"/>
    <w:rsid w:val="00A9284F"/>
    <w:rsid w:val="00A93933"/>
    <w:rsid w:val="00A939FC"/>
    <w:rsid w:val="00A953D5"/>
    <w:rsid w:val="00A95AC3"/>
    <w:rsid w:val="00A960E8"/>
    <w:rsid w:val="00A966E6"/>
    <w:rsid w:val="00A96741"/>
    <w:rsid w:val="00A968F4"/>
    <w:rsid w:val="00A96C19"/>
    <w:rsid w:val="00AA04CD"/>
    <w:rsid w:val="00AA0A30"/>
    <w:rsid w:val="00AA1C40"/>
    <w:rsid w:val="00AA20DC"/>
    <w:rsid w:val="00AA2258"/>
    <w:rsid w:val="00AA2B5C"/>
    <w:rsid w:val="00AA3D9B"/>
    <w:rsid w:val="00AA4CCE"/>
    <w:rsid w:val="00AA4F57"/>
    <w:rsid w:val="00AA56E6"/>
    <w:rsid w:val="00AA5B75"/>
    <w:rsid w:val="00AA71CF"/>
    <w:rsid w:val="00AA7AF0"/>
    <w:rsid w:val="00AA7CCE"/>
    <w:rsid w:val="00AB005B"/>
    <w:rsid w:val="00AB0359"/>
    <w:rsid w:val="00AB0553"/>
    <w:rsid w:val="00AB06C7"/>
    <w:rsid w:val="00AB098D"/>
    <w:rsid w:val="00AB0FE8"/>
    <w:rsid w:val="00AB171E"/>
    <w:rsid w:val="00AB2495"/>
    <w:rsid w:val="00AB249D"/>
    <w:rsid w:val="00AB2A56"/>
    <w:rsid w:val="00AB2B6A"/>
    <w:rsid w:val="00AB2BCF"/>
    <w:rsid w:val="00AB303C"/>
    <w:rsid w:val="00AB3341"/>
    <w:rsid w:val="00AB3C60"/>
    <w:rsid w:val="00AB54B8"/>
    <w:rsid w:val="00AB5878"/>
    <w:rsid w:val="00AB59CC"/>
    <w:rsid w:val="00AB5FDA"/>
    <w:rsid w:val="00AB69A9"/>
    <w:rsid w:val="00AB6B9D"/>
    <w:rsid w:val="00AB70A8"/>
    <w:rsid w:val="00AB7895"/>
    <w:rsid w:val="00AB7BA3"/>
    <w:rsid w:val="00AB7FF3"/>
    <w:rsid w:val="00AC023D"/>
    <w:rsid w:val="00AC046D"/>
    <w:rsid w:val="00AC0953"/>
    <w:rsid w:val="00AC1066"/>
    <w:rsid w:val="00AC1D3E"/>
    <w:rsid w:val="00AC2E52"/>
    <w:rsid w:val="00AC577B"/>
    <w:rsid w:val="00AC6DE9"/>
    <w:rsid w:val="00AC73B9"/>
    <w:rsid w:val="00AC7507"/>
    <w:rsid w:val="00AD17C0"/>
    <w:rsid w:val="00AD1BBB"/>
    <w:rsid w:val="00AD1E11"/>
    <w:rsid w:val="00AD2D0E"/>
    <w:rsid w:val="00AD37BA"/>
    <w:rsid w:val="00AD4454"/>
    <w:rsid w:val="00AD51AA"/>
    <w:rsid w:val="00AD5940"/>
    <w:rsid w:val="00AD5ADD"/>
    <w:rsid w:val="00AD5AE2"/>
    <w:rsid w:val="00AD5CBE"/>
    <w:rsid w:val="00AD5DFB"/>
    <w:rsid w:val="00AD6651"/>
    <w:rsid w:val="00AD677E"/>
    <w:rsid w:val="00AD6E55"/>
    <w:rsid w:val="00AD78A7"/>
    <w:rsid w:val="00AD7E0F"/>
    <w:rsid w:val="00AE0003"/>
    <w:rsid w:val="00AE051E"/>
    <w:rsid w:val="00AE1514"/>
    <w:rsid w:val="00AE2CF5"/>
    <w:rsid w:val="00AE2DC4"/>
    <w:rsid w:val="00AE3CF7"/>
    <w:rsid w:val="00AE419E"/>
    <w:rsid w:val="00AE4640"/>
    <w:rsid w:val="00AE46E1"/>
    <w:rsid w:val="00AE5300"/>
    <w:rsid w:val="00AE7624"/>
    <w:rsid w:val="00AE7E11"/>
    <w:rsid w:val="00AF028E"/>
    <w:rsid w:val="00AF113B"/>
    <w:rsid w:val="00AF1313"/>
    <w:rsid w:val="00AF1C77"/>
    <w:rsid w:val="00AF2630"/>
    <w:rsid w:val="00AF271A"/>
    <w:rsid w:val="00AF29B0"/>
    <w:rsid w:val="00AF327C"/>
    <w:rsid w:val="00AF3F76"/>
    <w:rsid w:val="00AF4CC4"/>
    <w:rsid w:val="00AF4DB2"/>
    <w:rsid w:val="00AF4E04"/>
    <w:rsid w:val="00AF5219"/>
    <w:rsid w:val="00AF536D"/>
    <w:rsid w:val="00AF543F"/>
    <w:rsid w:val="00AF5FDD"/>
    <w:rsid w:val="00AF6E06"/>
    <w:rsid w:val="00AF734E"/>
    <w:rsid w:val="00B001A7"/>
    <w:rsid w:val="00B007C7"/>
    <w:rsid w:val="00B01879"/>
    <w:rsid w:val="00B01B1A"/>
    <w:rsid w:val="00B03430"/>
    <w:rsid w:val="00B03F5A"/>
    <w:rsid w:val="00B04788"/>
    <w:rsid w:val="00B04D91"/>
    <w:rsid w:val="00B06276"/>
    <w:rsid w:val="00B06D81"/>
    <w:rsid w:val="00B0764E"/>
    <w:rsid w:val="00B07C47"/>
    <w:rsid w:val="00B10932"/>
    <w:rsid w:val="00B10ED5"/>
    <w:rsid w:val="00B10F55"/>
    <w:rsid w:val="00B11B2B"/>
    <w:rsid w:val="00B11C8D"/>
    <w:rsid w:val="00B11DDB"/>
    <w:rsid w:val="00B12540"/>
    <w:rsid w:val="00B127EF"/>
    <w:rsid w:val="00B1288A"/>
    <w:rsid w:val="00B12B40"/>
    <w:rsid w:val="00B12C45"/>
    <w:rsid w:val="00B14DAF"/>
    <w:rsid w:val="00B14F1B"/>
    <w:rsid w:val="00B152EA"/>
    <w:rsid w:val="00B15AC4"/>
    <w:rsid w:val="00B16F60"/>
    <w:rsid w:val="00B1728C"/>
    <w:rsid w:val="00B172ED"/>
    <w:rsid w:val="00B17398"/>
    <w:rsid w:val="00B17B7E"/>
    <w:rsid w:val="00B20467"/>
    <w:rsid w:val="00B20688"/>
    <w:rsid w:val="00B20A44"/>
    <w:rsid w:val="00B221BD"/>
    <w:rsid w:val="00B2297F"/>
    <w:rsid w:val="00B23652"/>
    <w:rsid w:val="00B23B09"/>
    <w:rsid w:val="00B23BB8"/>
    <w:rsid w:val="00B240DA"/>
    <w:rsid w:val="00B241B4"/>
    <w:rsid w:val="00B24728"/>
    <w:rsid w:val="00B24F5A"/>
    <w:rsid w:val="00B259B5"/>
    <w:rsid w:val="00B26002"/>
    <w:rsid w:val="00B266D1"/>
    <w:rsid w:val="00B269B6"/>
    <w:rsid w:val="00B26F5D"/>
    <w:rsid w:val="00B27124"/>
    <w:rsid w:val="00B27293"/>
    <w:rsid w:val="00B30C33"/>
    <w:rsid w:val="00B31BB3"/>
    <w:rsid w:val="00B3276E"/>
    <w:rsid w:val="00B3365F"/>
    <w:rsid w:val="00B33FD1"/>
    <w:rsid w:val="00B34119"/>
    <w:rsid w:val="00B350EA"/>
    <w:rsid w:val="00B35D0D"/>
    <w:rsid w:val="00B35F58"/>
    <w:rsid w:val="00B36A03"/>
    <w:rsid w:val="00B36B5E"/>
    <w:rsid w:val="00B3795E"/>
    <w:rsid w:val="00B40145"/>
    <w:rsid w:val="00B40A86"/>
    <w:rsid w:val="00B40F1E"/>
    <w:rsid w:val="00B40F49"/>
    <w:rsid w:val="00B418E2"/>
    <w:rsid w:val="00B41BC8"/>
    <w:rsid w:val="00B42AEF"/>
    <w:rsid w:val="00B43CD6"/>
    <w:rsid w:val="00B44A92"/>
    <w:rsid w:val="00B44AFE"/>
    <w:rsid w:val="00B44C60"/>
    <w:rsid w:val="00B45DD9"/>
    <w:rsid w:val="00B465F2"/>
    <w:rsid w:val="00B46DA8"/>
    <w:rsid w:val="00B46F53"/>
    <w:rsid w:val="00B47AAA"/>
    <w:rsid w:val="00B47BE8"/>
    <w:rsid w:val="00B50235"/>
    <w:rsid w:val="00B50440"/>
    <w:rsid w:val="00B504BD"/>
    <w:rsid w:val="00B50B2C"/>
    <w:rsid w:val="00B52809"/>
    <w:rsid w:val="00B5380B"/>
    <w:rsid w:val="00B53856"/>
    <w:rsid w:val="00B53B0F"/>
    <w:rsid w:val="00B54EFB"/>
    <w:rsid w:val="00B55037"/>
    <w:rsid w:val="00B56BB1"/>
    <w:rsid w:val="00B572C9"/>
    <w:rsid w:val="00B57E7F"/>
    <w:rsid w:val="00B600AA"/>
    <w:rsid w:val="00B602C4"/>
    <w:rsid w:val="00B606C9"/>
    <w:rsid w:val="00B61A37"/>
    <w:rsid w:val="00B61DA9"/>
    <w:rsid w:val="00B623F3"/>
    <w:rsid w:val="00B6307F"/>
    <w:rsid w:val="00B639C1"/>
    <w:rsid w:val="00B64BE4"/>
    <w:rsid w:val="00B64F7A"/>
    <w:rsid w:val="00B65DBC"/>
    <w:rsid w:val="00B66E83"/>
    <w:rsid w:val="00B6710E"/>
    <w:rsid w:val="00B67B23"/>
    <w:rsid w:val="00B67BED"/>
    <w:rsid w:val="00B67F02"/>
    <w:rsid w:val="00B7073E"/>
    <w:rsid w:val="00B709C1"/>
    <w:rsid w:val="00B732A9"/>
    <w:rsid w:val="00B74240"/>
    <w:rsid w:val="00B7433A"/>
    <w:rsid w:val="00B7588F"/>
    <w:rsid w:val="00B76BA0"/>
    <w:rsid w:val="00B778F8"/>
    <w:rsid w:val="00B77F4E"/>
    <w:rsid w:val="00B80CE8"/>
    <w:rsid w:val="00B81B73"/>
    <w:rsid w:val="00B82797"/>
    <w:rsid w:val="00B8342B"/>
    <w:rsid w:val="00B83AF5"/>
    <w:rsid w:val="00B83ED6"/>
    <w:rsid w:val="00B849F0"/>
    <w:rsid w:val="00B85D6E"/>
    <w:rsid w:val="00B85F0A"/>
    <w:rsid w:val="00B862DF"/>
    <w:rsid w:val="00B867A3"/>
    <w:rsid w:val="00B87E3B"/>
    <w:rsid w:val="00B902FB"/>
    <w:rsid w:val="00B90B28"/>
    <w:rsid w:val="00B9149C"/>
    <w:rsid w:val="00B91E5B"/>
    <w:rsid w:val="00B92FAD"/>
    <w:rsid w:val="00B9325D"/>
    <w:rsid w:val="00B93297"/>
    <w:rsid w:val="00B9373D"/>
    <w:rsid w:val="00B93FC6"/>
    <w:rsid w:val="00B9418E"/>
    <w:rsid w:val="00B9459E"/>
    <w:rsid w:val="00B94D94"/>
    <w:rsid w:val="00B95DD5"/>
    <w:rsid w:val="00B9684B"/>
    <w:rsid w:val="00B96F09"/>
    <w:rsid w:val="00B96FDD"/>
    <w:rsid w:val="00B97265"/>
    <w:rsid w:val="00B97537"/>
    <w:rsid w:val="00B97890"/>
    <w:rsid w:val="00B9791D"/>
    <w:rsid w:val="00B97B5B"/>
    <w:rsid w:val="00BA1409"/>
    <w:rsid w:val="00BA1562"/>
    <w:rsid w:val="00BA1760"/>
    <w:rsid w:val="00BA176B"/>
    <w:rsid w:val="00BA247C"/>
    <w:rsid w:val="00BA2B1E"/>
    <w:rsid w:val="00BA33A7"/>
    <w:rsid w:val="00BA3C96"/>
    <w:rsid w:val="00BA3F8D"/>
    <w:rsid w:val="00BA4751"/>
    <w:rsid w:val="00BA48B7"/>
    <w:rsid w:val="00BA52EC"/>
    <w:rsid w:val="00BA5EFA"/>
    <w:rsid w:val="00BA6527"/>
    <w:rsid w:val="00BA67B9"/>
    <w:rsid w:val="00BA6F03"/>
    <w:rsid w:val="00BA7096"/>
    <w:rsid w:val="00BA7152"/>
    <w:rsid w:val="00BA7788"/>
    <w:rsid w:val="00BB0039"/>
    <w:rsid w:val="00BB0578"/>
    <w:rsid w:val="00BB0B92"/>
    <w:rsid w:val="00BB133E"/>
    <w:rsid w:val="00BB1569"/>
    <w:rsid w:val="00BB1B6A"/>
    <w:rsid w:val="00BB1D7D"/>
    <w:rsid w:val="00BB242A"/>
    <w:rsid w:val="00BB35D3"/>
    <w:rsid w:val="00BB36A2"/>
    <w:rsid w:val="00BB3C9C"/>
    <w:rsid w:val="00BB472B"/>
    <w:rsid w:val="00BB4B8D"/>
    <w:rsid w:val="00BB62C5"/>
    <w:rsid w:val="00BB68B7"/>
    <w:rsid w:val="00BB6EFE"/>
    <w:rsid w:val="00BB6F5E"/>
    <w:rsid w:val="00BC0D4B"/>
    <w:rsid w:val="00BC0D84"/>
    <w:rsid w:val="00BC26C4"/>
    <w:rsid w:val="00BC2C18"/>
    <w:rsid w:val="00BC2C3D"/>
    <w:rsid w:val="00BC3095"/>
    <w:rsid w:val="00BC446F"/>
    <w:rsid w:val="00BC4847"/>
    <w:rsid w:val="00BC4C47"/>
    <w:rsid w:val="00BC57DB"/>
    <w:rsid w:val="00BC5A0C"/>
    <w:rsid w:val="00BC5E3B"/>
    <w:rsid w:val="00BC6115"/>
    <w:rsid w:val="00BC6258"/>
    <w:rsid w:val="00BC65D6"/>
    <w:rsid w:val="00BC6788"/>
    <w:rsid w:val="00BC6CD2"/>
    <w:rsid w:val="00BC782A"/>
    <w:rsid w:val="00BD0157"/>
    <w:rsid w:val="00BD09BC"/>
    <w:rsid w:val="00BD0ECD"/>
    <w:rsid w:val="00BD0F6D"/>
    <w:rsid w:val="00BD0F8C"/>
    <w:rsid w:val="00BD1450"/>
    <w:rsid w:val="00BD1641"/>
    <w:rsid w:val="00BD1D2B"/>
    <w:rsid w:val="00BD24F1"/>
    <w:rsid w:val="00BD2C1B"/>
    <w:rsid w:val="00BD2C9D"/>
    <w:rsid w:val="00BD3790"/>
    <w:rsid w:val="00BD39D8"/>
    <w:rsid w:val="00BD4DF1"/>
    <w:rsid w:val="00BD717B"/>
    <w:rsid w:val="00BE041C"/>
    <w:rsid w:val="00BE061C"/>
    <w:rsid w:val="00BE08A8"/>
    <w:rsid w:val="00BE1870"/>
    <w:rsid w:val="00BE1AC4"/>
    <w:rsid w:val="00BE26D8"/>
    <w:rsid w:val="00BE3126"/>
    <w:rsid w:val="00BE3D71"/>
    <w:rsid w:val="00BE4899"/>
    <w:rsid w:val="00BE503A"/>
    <w:rsid w:val="00BE5430"/>
    <w:rsid w:val="00BE5A24"/>
    <w:rsid w:val="00BE5B5A"/>
    <w:rsid w:val="00BE600D"/>
    <w:rsid w:val="00BE612D"/>
    <w:rsid w:val="00BE6446"/>
    <w:rsid w:val="00BF0C2F"/>
    <w:rsid w:val="00BF12D0"/>
    <w:rsid w:val="00BF1E6C"/>
    <w:rsid w:val="00BF227F"/>
    <w:rsid w:val="00BF2331"/>
    <w:rsid w:val="00BF2697"/>
    <w:rsid w:val="00BF333E"/>
    <w:rsid w:val="00BF3465"/>
    <w:rsid w:val="00BF359D"/>
    <w:rsid w:val="00BF3664"/>
    <w:rsid w:val="00BF4CF8"/>
    <w:rsid w:val="00BF5025"/>
    <w:rsid w:val="00BF6555"/>
    <w:rsid w:val="00BF681B"/>
    <w:rsid w:val="00BF6870"/>
    <w:rsid w:val="00BF705E"/>
    <w:rsid w:val="00BF77CE"/>
    <w:rsid w:val="00C000D5"/>
    <w:rsid w:val="00C0084C"/>
    <w:rsid w:val="00C00A0F"/>
    <w:rsid w:val="00C01419"/>
    <w:rsid w:val="00C0149C"/>
    <w:rsid w:val="00C0154D"/>
    <w:rsid w:val="00C015B9"/>
    <w:rsid w:val="00C02809"/>
    <w:rsid w:val="00C02A7D"/>
    <w:rsid w:val="00C02F2A"/>
    <w:rsid w:val="00C0345D"/>
    <w:rsid w:val="00C035B7"/>
    <w:rsid w:val="00C035F1"/>
    <w:rsid w:val="00C0362E"/>
    <w:rsid w:val="00C03D8C"/>
    <w:rsid w:val="00C04011"/>
    <w:rsid w:val="00C040F0"/>
    <w:rsid w:val="00C0443B"/>
    <w:rsid w:val="00C04463"/>
    <w:rsid w:val="00C047BA"/>
    <w:rsid w:val="00C0543D"/>
    <w:rsid w:val="00C05C9F"/>
    <w:rsid w:val="00C05E37"/>
    <w:rsid w:val="00C060E5"/>
    <w:rsid w:val="00C06AC6"/>
    <w:rsid w:val="00C07F72"/>
    <w:rsid w:val="00C10438"/>
    <w:rsid w:val="00C10AA5"/>
    <w:rsid w:val="00C10C81"/>
    <w:rsid w:val="00C11146"/>
    <w:rsid w:val="00C11369"/>
    <w:rsid w:val="00C118DB"/>
    <w:rsid w:val="00C11F30"/>
    <w:rsid w:val="00C12EDC"/>
    <w:rsid w:val="00C12F33"/>
    <w:rsid w:val="00C140FE"/>
    <w:rsid w:val="00C14E07"/>
    <w:rsid w:val="00C14E9C"/>
    <w:rsid w:val="00C15284"/>
    <w:rsid w:val="00C1603B"/>
    <w:rsid w:val="00C16BD1"/>
    <w:rsid w:val="00C16D9A"/>
    <w:rsid w:val="00C173FC"/>
    <w:rsid w:val="00C17454"/>
    <w:rsid w:val="00C1761C"/>
    <w:rsid w:val="00C21105"/>
    <w:rsid w:val="00C2130B"/>
    <w:rsid w:val="00C21690"/>
    <w:rsid w:val="00C218B1"/>
    <w:rsid w:val="00C21DFB"/>
    <w:rsid w:val="00C224FB"/>
    <w:rsid w:val="00C22640"/>
    <w:rsid w:val="00C227B4"/>
    <w:rsid w:val="00C22B6A"/>
    <w:rsid w:val="00C23083"/>
    <w:rsid w:val="00C23260"/>
    <w:rsid w:val="00C23F8E"/>
    <w:rsid w:val="00C24029"/>
    <w:rsid w:val="00C241A8"/>
    <w:rsid w:val="00C24396"/>
    <w:rsid w:val="00C24742"/>
    <w:rsid w:val="00C25096"/>
    <w:rsid w:val="00C250AA"/>
    <w:rsid w:val="00C257F5"/>
    <w:rsid w:val="00C260E3"/>
    <w:rsid w:val="00C2637D"/>
    <w:rsid w:val="00C302F6"/>
    <w:rsid w:val="00C3084E"/>
    <w:rsid w:val="00C314C5"/>
    <w:rsid w:val="00C31B4D"/>
    <w:rsid w:val="00C31FEB"/>
    <w:rsid w:val="00C32DCF"/>
    <w:rsid w:val="00C33098"/>
    <w:rsid w:val="00C334E1"/>
    <w:rsid w:val="00C33B2D"/>
    <w:rsid w:val="00C341D9"/>
    <w:rsid w:val="00C342B5"/>
    <w:rsid w:val="00C34447"/>
    <w:rsid w:val="00C34547"/>
    <w:rsid w:val="00C3532B"/>
    <w:rsid w:val="00C354AC"/>
    <w:rsid w:val="00C36ACD"/>
    <w:rsid w:val="00C36CC0"/>
    <w:rsid w:val="00C37083"/>
    <w:rsid w:val="00C372FE"/>
    <w:rsid w:val="00C407EA"/>
    <w:rsid w:val="00C408F6"/>
    <w:rsid w:val="00C40F2A"/>
    <w:rsid w:val="00C41480"/>
    <w:rsid w:val="00C4182A"/>
    <w:rsid w:val="00C41D9E"/>
    <w:rsid w:val="00C41FE2"/>
    <w:rsid w:val="00C42B8A"/>
    <w:rsid w:val="00C42E96"/>
    <w:rsid w:val="00C4345D"/>
    <w:rsid w:val="00C43ACA"/>
    <w:rsid w:val="00C44134"/>
    <w:rsid w:val="00C444D3"/>
    <w:rsid w:val="00C445E4"/>
    <w:rsid w:val="00C448D1"/>
    <w:rsid w:val="00C452EF"/>
    <w:rsid w:val="00C46912"/>
    <w:rsid w:val="00C46A84"/>
    <w:rsid w:val="00C46C2E"/>
    <w:rsid w:val="00C46E55"/>
    <w:rsid w:val="00C471B5"/>
    <w:rsid w:val="00C472E9"/>
    <w:rsid w:val="00C47A79"/>
    <w:rsid w:val="00C50833"/>
    <w:rsid w:val="00C517A4"/>
    <w:rsid w:val="00C51E41"/>
    <w:rsid w:val="00C523E0"/>
    <w:rsid w:val="00C53AF7"/>
    <w:rsid w:val="00C54353"/>
    <w:rsid w:val="00C54A7A"/>
    <w:rsid w:val="00C54D2F"/>
    <w:rsid w:val="00C55212"/>
    <w:rsid w:val="00C5546E"/>
    <w:rsid w:val="00C556DF"/>
    <w:rsid w:val="00C55E9D"/>
    <w:rsid w:val="00C56CE3"/>
    <w:rsid w:val="00C5782D"/>
    <w:rsid w:val="00C604DF"/>
    <w:rsid w:val="00C6057E"/>
    <w:rsid w:val="00C60626"/>
    <w:rsid w:val="00C6063F"/>
    <w:rsid w:val="00C60B7D"/>
    <w:rsid w:val="00C6180B"/>
    <w:rsid w:val="00C62583"/>
    <w:rsid w:val="00C64566"/>
    <w:rsid w:val="00C64E8B"/>
    <w:rsid w:val="00C6538F"/>
    <w:rsid w:val="00C655B9"/>
    <w:rsid w:val="00C661AD"/>
    <w:rsid w:val="00C66828"/>
    <w:rsid w:val="00C66871"/>
    <w:rsid w:val="00C669CA"/>
    <w:rsid w:val="00C66DB1"/>
    <w:rsid w:val="00C671A3"/>
    <w:rsid w:val="00C67FD4"/>
    <w:rsid w:val="00C7015D"/>
    <w:rsid w:val="00C701F0"/>
    <w:rsid w:val="00C7063B"/>
    <w:rsid w:val="00C71F8F"/>
    <w:rsid w:val="00C72F45"/>
    <w:rsid w:val="00C74E08"/>
    <w:rsid w:val="00C75C1A"/>
    <w:rsid w:val="00C7616C"/>
    <w:rsid w:val="00C7665A"/>
    <w:rsid w:val="00C76B5A"/>
    <w:rsid w:val="00C76F43"/>
    <w:rsid w:val="00C77BE2"/>
    <w:rsid w:val="00C80BFF"/>
    <w:rsid w:val="00C81846"/>
    <w:rsid w:val="00C81849"/>
    <w:rsid w:val="00C81BD5"/>
    <w:rsid w:val="00C82BCF"/>
    <w:rsid w:val="00C84042"/>
    <w:rsid w:val="00C841FE"/>
    <w:rsid w:val="00C842F0"/>
    <w:rsid w:val="00C8494D"/>
    <w:rsid w:val="00C84A04"/>
    <w:rsid w:val="00C855A9"/>
    <w:rsid w:val="00C85E3A"/>
    <w:rsid w:val="00C8621E"/>
    <w:rsid w:val="00C878B7"/>
    <w:rsid w:val="00C90E34"/>
    <w:rsid w:val="00C9114E"/>
    <w:rsid w:val="00C91DEF"/>
    <w:rsid w:val="00C91FAC"/>
    <w:rsid w:val="00C91FFE"/>
    <w:rsid w:val="00C92AB1"/>
    <w:rsid w:val="00C92B9A"/>
    <w:rsid w:val="00C92BC1"/>
    <w:rsid w:val="00C9378E"/>
    <w:rsid w:val="00C93D5C"/>
    <w:rsid w:val="00C93FC4"/>
    <w:rsid w:val="00C940A9"/>
    <w:rsid w:val="00C9418A"/>
    <w:rsid w:val="00C951F2"/>
    <w:rsid w:val="00C95272"/>
    <w:rsid w:val="00C95341"/>
    <w:rsid w:val="00C9623F"/>
    <w:rsid w:val="00C96717"/>
    <w:rsid w:val="00C96DAD"/>
    <w:rsid w:val="00C9762C"/>
    <w:rsid w:val="00C97AC0"/>
    <w:rsid w:val="00C97BB4"/>
    <w:rsid w:val="00C97CB1"/>
    <w:rsid w:val="00CA05E7"/>
    <w:rsid w:val="00CA2553"/>
    <w:rsid w:val="00CA329A"/>
    <w:rsid w:val="00CA32B3"/>
    <w:rsid w:val="00CA3B7D"/>
    <w:rsid w:val="00CA4165"/>
    <w:rsid w:val="00CA485F"/>
    <w:rsid w:val="00CA494C"/>
    <w:rsid w:val="00CA4B58"/>
    <w:rsid w:val="00CA4F7C"/>
    <w:rsid w:val="00CA57BB"/>
    <w:rsid w:val="00CA5E3F"/>
    <w:rsid w:val="00CA5EBD"/>
    <w:rsid w:val="00CA5EBF"/>
    <w:rsid w:val="00CA693C"/>
    <w:rsid w:val="00CA7274"/>
    <w:rsid w:val="00CB0553"/>
    <w:rsid w:val="00CB099A"/>
    <w:rsid w:val="00CB0B4A"/>
    <w:rsid w:val="00CB151A"/>
    <w:rsid w:val="00CB1DCB"/>
    <w:rsid w:val="00CB1ECC"/>
    <w:rsid w:val="00CB23C1"/>
    <w:rsid w:val="00CB2814"/>
    <w:rsid w:val="00CB2F2F"/>
    <w:rsid w:val="00CB35D1"/>
    <w:rsid w:val="00CB3FA8"/>
    <w:rsid w:val="00CB4609"/>
    <w:rsid w:val="00CB4D69"/>
    <w:rsid w:val="00CB661B"/>
    <w:rsid w:val="00CB68D8"/>
    <w:rsid w:val="00CB6A6C"/>
    <w:rsid w:val="00CB6E0A"/>
    <w:rsid w:val="00CB7D13"/>
    <w:rsid w:val="00CC05C3"/>
    <w:rsid w:val="00CC18A4"/>
    <w:rsid w:val="00CC1C08"/>
    <w:rsid w:val="00CC1D87"/>
    <w:rsid w:val="00CC22B7"/>
    <w:rsid w:val="00CC26A2"/>
    <w:rsid w:val="00CC2C14"/>
    <w:rsid w:val="00CC41AC"/>
    <w:rsid w:val="00CC49A4"/>
    <w:rsid w:val="00CC72EB"/>
    <w:rsid w:val="00CC783F"/>
    <w:rsid w:val="00CC7D27"/>
    <w:rsid w:val="00CD09B7"/>
    <w:rsid w:val="00CD0E19"/>
    <w:rsid w:val="00CD1BE0"/>
    <w:rsid w:val="00CD28F4"/>
    <w:rsid w:val="00CD2B27"/>
    <w:rsid w:val="00CD3DF8"/>
    <w:rsid w:val="00CD666B"/>
    <w:rsid w:val="00CD6EF5"/>
    <w:rsid w:val="00CD7695"/>
    <w:rsid w:val="00CE0D79"/>
    <w:rsid w:val="00CE0DCA"/>
    <w:rsid w:val="00CE169A"/>
    <w:rsid w:val="00CE16F6"/>
    <w:rsid w:val="00CE1D93"/>
    <w:rsid w:val="00CE2655"/>
    <w:rsid w:val="00CE2EDE"/>
    <w:rsid w:val="00CE368E"/>
    <w:rsid w:val="00CE3722"/>
    <w:rsid w:val="00CE3946"/>
    <w:rsid w:val="00CE4794"/>
    <w:rsid w:val="00CE4D58"/>
    <w:rsid w:val="00CE604D"/>
    <w:rsid w:val="00CE64D7"/>
    <w:rsid w:val="00CE69AD"/>
    <w:rsid w:val="00CE73D0"/>
    <w:rsid w:val="00CF008A"/>
    <w:rsid w:val="00CF106F"/>
    <w:rsid w:val="00CF1254"/>
    <w:rsid w:val="00CF2CBF"/>
    <w:rsid w:val="00CF342B"/>
    <w:rsid w:val="00CF4184"/>
    <w:rsid w:val="00CF4656"/>
    <w:rsid w:val="00CF4A0D"/>
    <w:rsid w:val="00CF5109"/>
    <w:rsid w:val="00CF5560"/>
    <w:rsid w:val="00CF577D"/>
    <w:rsid w:val="00CF633D"/>
    <w:rsid w:val="00CF6937"/>
    <w:rsid w:val="00CF71D4"/>
    <w:rsid w:val="00CF7304"/>
    <w:rsid w:val="00CF74BA"/>
    <w:rsid w:val="00CF7C86"/>
    <w:rsid w:val="00D005D9"/>
    <w:rsid w:val="00D00CBB"/>
    <w:rsid w:val="00D00E29"/>
    <w:rsid w:val="00D011F5"/>
    <w:rsid w:val="00D015EF"/>
    <w:rsid w:val="00D0181E"/>
    <w:rsid w:val="00D0192E"/>
    <w:rsid w:val="00D019E3"/>
    <w:rsid w:val="00D01AB7"/>
    <w:rsid w:val="00D02B47"/>
    <w:rsid w:val="00D02B8D"/>
    <w:rsid w:val="00D02E21"/>
    <w:rsid w:val="00D039E8"/>
    <w:rsid w:val="00D03BFD"/>
    <w:rsid w:val="00D03F72"/>
    <w:rsid w:val="00D0431B"/>
    <w:rsid w:val="00D04AB6"/>
    <w:rsid w:val="00D06534"/>
    <w:rsid w:val="00D07C1F"/>
    <w:rsid w:val="00D07E9B"/>
    <w:rsid w:val="00D10401"/>
    <w:rsid w:val="00D1095C"/>
    <w:rsid w:val="00D11278"/>
    <w:rsid w:val="00D11A09"/>
    <w:rsid w:val="00D12974"/>
    <w:rsid w:val="00D12D67"/>
    <w:rsid w:val="00D1313E"/>
    <w:rsid w:val="00D1355E"/>
    <w:rsid w:val="00D1361E"/>
    <w:rsid w:val="00D138D3"/>
    <w:rsid w:val="00D1396F"/>
    <w:rsid w:val="00D14AE5"/>
    <w:rsid w:val="00D1520B"/>
    <w:rsid w:val="00D165FD"/>
    <w:rsid w:val="00D16B6A"/>
    <w:rsid w:val="00D16E12"/>
    <w:rsid w:val="00D175B3"/>
    <w:rsid w:val="00D17847"/>
    <w:rsid w:val="00D2023C"/>
    <w:rsid w:val="00D20E5F"/>
    <w:rsid w:val="00D210FF"/>
    <w:rsid w:val="00D215BA"/>
    <w:rsid w:val="00D228DC"/>
    <w:rsid w:val="00D24812"/>
    <w:rsid w:val="00D24C01"/>
    <w:rsid w:val="00D2570E"/>
    <w:rsid w:val="00D2598B"/>
    <w:rsid w:val="00D25C87"/>
    <w:rsid w:val="00D26106"/>
    <w:rsid w:val="00D2610A"/>
    <w:rsid w:val="00D26399"/>
    <w:rsid w:val="00D26417"/>
    <w:rsid w:val="00D269A2"/>
    <w:rsid w:val="00D26DAD"/>
    <w:rsid w:val="00D26EEE"/>
    <w:rsid w:val="00D27594"/>
    <w:rsid w:val="00D27A49"/>
    <w:rsid w:val="00D27CFB"/>
    <w:rsid w:val="00D27D66"/>
    <w:rsid w:val="00D30A8B"/>
    <w:rsid w:val="00D30F74"/>
    <w:rsid w:val="00D30F81"/>
    <w:rsid w:val="00D3138F"/>
    <w:rsid w:val="00D31B2A"/>
    <w:rsid w:val="00D3203A"/>
    <w:rsid w:val="00D32846"/>
    <w:rsid w:val="00D3423A"/>
    <w:rsid w:val="00D3423E"/>
    <w:rsid w:val="00D34367"/>
    <w:rsid w:val="00D345B4"/>
    <w:rsid w:val="00D34771"/>
    <w:rsid w:val="00D365D5"/>
    <w:rsid w:val="00D369FC"/>
    <w:rsid w:val="00D36B27"/>
    <w:rsid w:val="00D36C8F"/>
    <w:rsid w:val="00D37321"/>
    <w:rsid w:val="00D37497"/>
    <w:rsid w:val="00D40663"/>
    <w:rsid w:val="00D4081E"/>
    <w:rsid w:val="00D41914"/>
    <w:rsid w:val="00D421E4"/>
    <w:rsid w:val="00D43464"/>
    <w:rsid w:val="00D440EA"/>
    <w:rsid w:val="00D44DDA"/>
    <w:rsid w:val="00D44FCD"/>
    <w:rsid w:val="00D4500F"/>
    <w:rsid w:val="00D45765"/>
    <w:rsid w:val="00D458A7"/>
    <w:rsid w:val="00D46DDE"/>
    <w:rsid w:val="00D50C24"/>
    <w:rsid w:val="00D52D4D"/>
    <w:rsid w:val="00D52E6D"/>
    <w:rsid w:val="00D534DD"/>
    <w:rsid w:val="00D535CE"/>
    <w:rsid w:val="00D54D1C"/>
    <w:rsid w:val="00D54E64"/>
    <w:rsid w:val="00D55545"/>
    <w:rsid w:val="00D56059"/>
    <w:rsid w:val="00D5654C"/>
    <w:rsid w:val="00D56E07"/>
    <w:rsid w:val="00D60188"/>
    <w:rsid w:val="00D606D5"/>
    <w:rsid w:val="00D61F07"/>
    <w:rsid w:val="00D61F43"/>
    <w:rsid w:val="00D623C9"/>
    <w:rsid w:val="00D625C0"/>
    <w:rsid w:val="00D63C64"/>
    <w:rsid w:val="00D646D1"/>
    <w:rsid w:val="00D65246"/>
    <w:rsid w:val="00D65DD1"/>
    <w:rsid w:val="00D662C6"/>
    <w:rsid w:val="00D6633E"/>
    <w:rsid w:val="00D67332"/>
    <w:rsid w:val="00D67A10"/>
    <w:rsid w:val="00D67A59"/>
    <w:rsid w:val="00D70658"/>
    <w:rsid w:val="00D707E8"/>
    <w:rsid w:val="00D71965"/>
    <w:rsid w:val="00D71A7C"/>
    <w:rsid w:val="00D71D25"/>
    <w:rsid w:val="00D72960"/>
    <w:rsid w:val="00D72E84"/>
    <w:rsid w:val="00D73301"/>
    <w:rsid w:val="00D734A0"/>
    <w:rsid w:val="00D73D4A"/>
    <w:rsid w:val="00D73F68"/>
    <w:rsid w:val="00D741A7"/>
    <w:rsid w:val="00D75456"/>
    <w:rsid w:val="00D75467"/>
    <w:rsid w:val="00D765FA"/>
    <w:rsid w:val="00D7696A"/>
    <w:rsid w:val="00D777DB"/>
    <w:rsid w:val="00D77E23"/>
    <w:rsid w:val="00D80A5E"/>
    <w:rsid w:val="00D8172D"/>
    <w:rsid w:val="00D81BC0"/>
    <w:rsid w:val="00D81C50"/>
    <w:rsid w:val="00D82117"/>
    <w:rsid w:val="00D82316"/>
    <w:rsid w:val="00D82A05"/>
    <w:rsid w:val="00D830F2"/>
    <w:rsid w:val="00D836C9"/>
    <w:rsid w:val="00D83906"/>
    <w:rsid w:val="00D8393C"/>
    <w:rsid w:val="00D83DB6"/>
    <w:rsid w:val="00D851B8"/>
    <w:rsid w:val="00D86369"/>
    <w:rsid w:val="00D86AE6"/>
    <w:rsid w:val="00D872FB"/>
    <w:rsid w:val="00D8780D"/>
    <w:rsid w:val="00D9054F"/>
    <w:rsid w:val="00D91E0C"/>
    <w:rsid w:val="00D922AF"/>
    <w:rsid w:val="00D92471"/>
    <w:rsid w:val="00D92A44"/>
    <w:rsid w:val="00D93121"/>
    <w:rsid w:val="00D93401"/>
    <w:rsid w:val="00D93974"/>
    <w:rsid w:val="00D941DC"/>
    <w:rsid w:val="00D9442F"/>
    <w:rsid w:val="00D944E6"/>
    <w:rsid w:val="00D94BAE"/>
    <w:rsid w:val="00D958A7"/>
    <w:rsid w:val="00D968B1"/>
    <w:rsid w:val="00D977F5"/>
    <w:rsid w:val="00D97885"/>
    <w:rsid w:val="00D9788B"/>
    <w:rsid w:val="00DA1A81"/>
    <w:rsid w:val="00DA4312"/>
    <w:rsid w:val="00DA46CA"/>
    <w:rsid w:val="00DA54FA"/>
    <w:rsid w:val="00DA6548"/>
    <w:rsid w:val="00DA65CB"/>
    <w:rsid w:val="00DA6C37"/>
    <w:rsid w:val="00DA6CBD"/>
    <w:rsid w:val="00DA6F3F"/>
    <w:rsid w:val="00DA70F0"/>
    <w:rsid w:val="00DA715F"/>
    <w:rsid w:val="00DA75D8"/>
    <w:rsid w:val="00DB0AD1"/>
    <w:rsid w:val="00DB10A7"/>
    <w:rsid w:val="00DB17FA"/>
    <w:rsid w:val="00DB189B"/>
    <w:rsid w:val="00DB2AD6"/>
    <w:rsid w:val="00DB2E09"/>
    <w:rsid w:val="00DB4683"/>
    <w:rsid w:val="00DB4DAB"/>
    <w:rsid w:val="00DB5F09"/>
    <w:rsid w:val="00DC008D"/>
    <w:rsid w:val="00DC031E"/>
    <w:rsid w:val="00DC0581"/>
    <w:rsid w:val="00DC0C7B"/>
    <w:rsid w:val="00DC1655"/>
    <w:rsid w:val="00DC1B5C"/>
    <w:rsid w:val="00DC1CC0"/>
    <w:rsid w:val="00DC2191"/>
    <w:rsid w:val="00DC2270"/>
    <w:rsid w:val="00DC2353"/>
    <w:rsid w:val="00DC28AC"/>
    <w:rsid w:val="00DC2D6D"/>
    <w:rsid w:val="00DC3423"/>
    <w:rsid w:val="00DC3A5B"/>
    <w:rsid w:val="00DC3D01"/>
    <w:rsid w:val="00DC413C"/>
    <w:rsid w:val="00DC475C"/>
    <w:rsid w:val="00DC497D"/>
    <w:rsid w:val="00DC4CBF"/>
    <w:rsid w:val="00DC5141"/>
    <w:rsid w:val="00DC5239"/>
    <w:rsid w:val="00DC5C3B"/>
    <w:rsid w:val="00DC7287"/>
    <w:rsid w:val="00DC7566"/>
    <w:rsid w:val="00DC78AA"/>
    <w:rsid w:val="00DC78AD"/>
    <w:rsid w:val="00DD00CE"/>
    <w:rsid w:val="00DD1ACB"/>
    <w:rsid w:val="00DD1C8F"/>
    <w:rsid w:val="00DD1CE5"/>
    <w:rsid w:val="00DD2760"/>
    <w:rsid w:val="00DD3453"/>
    <w:rsid w:val="00DD5006"/>
    <w:rsid w:val="00DD5D28"/>
    <w:rsid w:val="00DD623D"/>
    <w:rsid w:val="00DD6A32"/>
    <w:rsid w:val="00DE0393"/>
    <w:rsid w:val="00DE08B6"/>
    <w:rsid w:val="00DE1999"/>
    <w:rsid w:val="00DE270A"/>
    <w:rsid w:val="00DE2A2C"/>
    <w:rsid w:val="00DE3626"/>
    <w:rsid w:val="00DE3F8C"/>
    <w:rsid w:val="00DE4E2D"/>
    <w:rsid w:val="00DE4F5D"/>
    <w:rsid w:val="00DE5CA3"/>
    <w:rsid w:val="00DE6571"/>
    <w:rsid w:val="00DE6821"/>
    <w:rsid w:val="00DE6F84"/>
    <w:rsid w:val="00DE7049"/>
    <w:rsid w:val="00DE7553"/>
    <w:rsid w:val="00DE78BB"/>
    <w:rsid w:val="00DF03C6"/>
    <w:rsid w:val="00DF04E9"/>
    <w:rsid w:val="00DF09D5"/>
    <w:rsid w:val="00DF0CEE"/>
    <w:rsid w:val="00DF12A5"/>
    <w:rsid w:val="00DF1BDA"/>
    <w:rsid w:val="00DF2A4B"/>
    <w:rsid w:val="00DF2E57"/>
    <w:rsid w:val="00DF4270"/>
    <w:rsid w:val="00DF45D3"/>
    <w:rsid w:val="00DF463A"/>
    <w:rsid w:val="00DF52CE"/>
    <w:rsid w:val="00DF543E"/>
    <w:rsid w:val="00DF566D"/>
    <w:rsid w:val="00DF5EE7"/>
    <w:rsid w:val="00DF6A8E"/>
    <w:rsid w:val="00DF7062"/>
    <w:rsid w:val="00E00358"/>
    <w:rsid w:val="00E005F0"/>
    <w:rsid w:val="00E0064E"/>
    <w:rsid w:val="00E00BBF"/>
    <w:rsid w:val="00E01EB3"/>
    <w:rsid w:val="00E02788"/>
    <w:rsid w:val="00E028D6"/>
    <w:rsid w:val="00E0318A"/>
    <w:rsid w:val="00E03422"/>
    <w:rsid w:val="00E0461E"/>
    <w:rsid w:val="00E04EFB"/>
    <w:rsid w:val="00E06418"/>
    <w:rsid w:val="00E06A34"/>
    <w:rsid w:val="00E079F4"/>
    <w:rsid w:val="00E1059B"/>
    <w:rsid w:val="00E1066C"/>
    <w:rsid w:val="00E10DD6"/>
    <w:rsid w:val="00E10DF9"/>
    <w:rsid w:val="00E11AF0"/>
    <w:rsid w:val="00E12362"/>
    <w:rsid w:val="00E13088"/>
    <w:rsid w:val="00E13134"/>
    <w:rsid w:val="00E1372C"/>
    <w:rsid w:val="00E13AFD"/>
    <w:rsid w:val="00E13D3D"/>
    <w:rsid w:val="00E13ED5"/>
    <w:rsid w:val="00E14432"/>
    <w:rsid w:val="00E148ED"/>
    <w:rsid w:val="00E155A4"/>
    <w:rsid w:val="00E164F6"/>
    <w:rsid w:val="00E16F63"/>
    <w:rsid w:val="00E17271"/>
    <w:rsid w:val="00E211C1"/>
    <w:rsid w:val="00E21BFC"/>
    <w:rsid w:val="00E22FD1"/>
    <w:rsid w:val="00E2359B"/>
    <w:rsid w:val="00E2359E"/>
    <w:rsid w:val="00E23607"/>
    <w:rsid w:val="00E24CDE"/>
    <w:rsid w:val="00E252E5"/>
    <w:rsid w:val="00E25A55"/>
    <w:rsid w:val="00E25B46"/>
    <w:rsid w:val="00E25D92"/>
    <w:rsid w:val="00E271D8"/>
    <w:rsid w:val="00E2747B"/>
    <w:rsid w:val="00E27617"/>
    <w:rsid w:val="00E2768D"/>
    <w:rsid w:val="00E30994"/>
    <w:rsid w:val="00E30E8A"/>
    <w:rsid w:val="00E3118A"/>
    <w:rsid w:val="00E32532"/>
    <w:rsid w:val="00E33525"/>
    <w:rsid w:val="00E33855"/>
    <w:rsid w:val="00E33978"/>
    <w:rsid w:val="00E33A50"/>
    <w:rsid w:val="00E34638"/>
    <w:rsid w:val="00E34EDD"/>
    <w:rsid w:val="00E3576A"/>
    <w:rsid w:val="00E373D4"/>
    <w:rsid w:val="00E3777E"/>
    <w:rsid w:val="00E379CD"/>
    <w:rsid w:val="00E37B38"/>
    <w:rsid w:val="00E37BF6"/>
    <w:rsid w:val="00E41541"/>
    <w:rsid w:val="00E41A56"/>
    <w:rsid w:val="00E4371B"/>
    <w:rsid w:val="00E4401B"/>
    <w:rsid w:val="00E447F7"/>
    <w:rsid w:val="00E46BF4"/>
    <w:rsid w:val="00E46E9E"/>
    <w:rsid w:val="00E50CDF"/>
    <w:rsid w:val="00E510E6"/>
    <w:rsid w:val="00E527F2"/>
    <w:rsid w:val="00E53126"/>
    <w:rsid w:val="00E5359A"/>
    <w:rsid w:val="00E5385C"/>
    <w:rsid w:val="00E53D83"/>
    <w:rsid w:val="00E545AE"/>
    <w:rsid w:val="00E54ACC"/>
    <w:rsid w:val="00E54B1E"/>
    <w:rsid w:val="00E54EF6"/>
    <w:rsid w:val="00E5618A"/>
    <w:rsid w:val="00E561CF"/>
    <w:rsid w:val="00E56851"/>
    <w:rsid w:val="00E56A52"/>
    <w:rsid w:val="00E57128"/>
    <w:rsid w:val="00E57163"/>
    <w:rsid w:val="00E57186"/>
    <w:rsid w:val="00E573FD"/>
    <w:rsid w:val="00E57479"/>
    <w:rsid w:val="00E57495"/>
    <w:rsid w:val="00E606A6"/>
    <w:rsid w:val="00E60848"/>
    <w:rsid w:val="00E60A4B"/>
    <w:rsid w:val="00E615FB"/>
    <w:rsid w:val="00E62302"/>
    <w:rsid w:val="00E630D9"/>
    <w:rsid w:val="00E639B0"/>
    <w:rsid w:val="00E63B37"/>
    <w:rsid w:val="00E63BE4"/>
    <w:rsid w:val="00E63DBA"/>
    <w:rsid w:val="00E64119"/>
    <w:rsid w:val="00E64C5B"/>
    <w:rsid w:val="00E65045"/>
    <w:rsid w:val="00E664AC"/>
    <w:rsid w:val="00E669DA"/>
    <w:rsid w:val="00E66BF2"/>
    <w:rsid w:val="00E670ED"/>
    <w:rsid w:val="00E677E0"/>
    <w:rsid w:val="00E67A2B"/>
    <w:rsid w:val="00E67B19"/>
    <w:rsid w:val="00E67DD5"/>
    <w:rsid w:val="00E7000C"/>
    <w:rsid w:val="00E700EB"/>
    <w:rsid w:val="00E70B00"/>
    <w:rsid w:val="00E70B2F"/>
    <w:rsid w:val="00E70B3B"/>
    <w:rsid w:val="00E70DE1"/>
    <w:rsid w:val="00E71925"/>
    <w:rsid w:val="00E71E27"/>
    <w:rsid w:val="00E72AE4"/>
    <w:rsid w:val="00E73C98"/>
    <w:rsid w:val="00E74030"/>
    <w:rsid w:val="00E757D9"/>
    <w:rsid w:val="00E75DFA"/>
    <w:rsid w:val="00E7655D"/>
    <w:rsid w:val="00E769CB"/>
    <w:rsid w:val="00E76DE0"/>
    <w:rsid w:val="00E774E4"/>
    <w:rsid w:val="00E77D66"/>
    <w:rsid w:val="00E77F96"/>
    <w:rsid w:val="00E77FE6"/>
    <w:rsid w:val="00E80EBA"/>
    <w:rsid w:val="00E81527"/>
    <w:rsid w:val="00E81ADA"/>
    <w:rsid w:val="00E82E34"/>
    <w:rsid w:val="00E84140"/>
    <w:rsid w:val="00E841C7"/>
    <w:rsid w:val="00E84D2D"/>
    <w:rsid w:val="00E85BEA"/>
    <w:rsid w:val="00E85F7C"/>
    <w:rsid w:val="00E864CC"/>
    <w:rsid w:val="00E8729C"/>
    <w:rsid w:val="00E873A5"/>
    <w:rsid w:val="00E90F01"/>
    <w:rsid w:val="00E92371"/>
    <w:rsid w:val="00E92404"/>
    <w:rsid w:val="00E92929"/>
    <w:rsid w:val="00E929AA"/>
    <w:rsid w:val="00E92C24"/>
    <w:rsid w:val="00E932E5"/>
    <w:rsid w:val="00E950B5"/>
    <w:rsid w:val="00E95CA4"/>
    <w:rsid w:val="00E95E22"/>
    <w:rsid w:val="00E96514"/>
    <w:rsid w:val="00E96634"/>
    <w:rsid w:val="00E96B57"/>
    <w:rsid w:val="00E96B5A"/>
    <w:rsid w:val="00E97346"/>
    <w:rsid w:val="00E975D6"/>
    <w:rsid w:val="00E97B10"/>
    <w:rsid w:val="00E97B8D"/>
    <w:rsid w:val="00E97DD0"/>
    <w:rsid w:val="00EA07EC"/>
    <w:rsid w:val="00EA0F34"/>
    <w:rsid w:val="00EA145A"/>
    <w:rsid w:val="00EA17D5"/>
    <w:rsid w:val="00EA1A64"/>
    <w:rsid w:val="00EA2558"/>
    <w:rsid w:val="00EA2891"/>
    <w:rsid w:val="00EA2A89"/>
    <w:rsid w:val="00EA2C63"/>
    <w:rsid w:val="00EA3789"/>
    <w:rsid w:val="00EA4B07"/>
    <w:rsid w:val="00EA6621"/>
    <w:rsid w:val="00EA7151"/>
    <w:rsid w:val="00EA7389"/>
    <w:rsid w:val="00EB3E29"/>
    <w:rsid w:val="00EB548A"/>
    <w:rsid w:val="00EB5EB4"/>
    <w:rsid w:val="00EB6752"/>
    <w:rsid w:val="00EB67E5"/>
    <w:rsid w:val="00EB791A"/>
    <w:rsid w:val="00EB7F35"/>
    <w:rsid w:val="00EC07CE"/>
    <w:rsid w:val="00EC0D0A"/>
    <w:rsid w:val="00EC251F"/>
    <w:rsid w:val="00EC304D"/>
    <w:rsid w:val="00EC470D"/>
    <w:rsid w:val="00EC4F83"/>
    <w:rsid w:val="00EC5C6B"/>
    <w:rsid w:val="00EC5D5D"/>
    <w:rsid w:val="00EC712B"/>
    <w:rsid w:val="00ED01B3"/>
    <w:rsid w:val="00ED0BE4"/>
    <w:rsid w:val="00ED19A7"/>
    <w:rsid w:val="00ED230E"/>
    <w:rsid w:val="00ED23D7"/>
    <w:rsid w:val="00ED2567"/>
    <w:rsid w:val="00ED2E0C"/>
    <w:rsid w:val="00ED3195"/>
    <w:rsid w:val="00ED4525"/>
    <w:rsid w:val="00ED582D"/>
    <w:rsid w:val="00ED5834"/>
    <w:rsid w:val="00ED5AD5"/>
    <w:rsid w:val="00ED60D4"/>
    <w:rsid w:val="00ED6BD7"/>
    <w:rsid w:val="00ED7347"/>
    <w:rsid w:val="00ED7B2B"/>
    <w:rsid w:val="00EE19E9"/>
    <w:rsid w:val="00EE1DAA"/>
    <w:rsid w:val="00EE1F35"/>
    <w:rsid w:val="00EE2C42"/>
    <w:rsid w:val="00EE2CFD"/>
    <w:rsid w:val="00EE3241"/>
    <w:rsid w:val="00EE404D"/>
    <w:rsid w:val="00EE4756"/>
    <w:rsid w:val="00EE5455"/>
    <w:rsid w:val="00EE58B7"/>
    <w:rsid w:val="00EE5F04"/>
    <w:rsid w:val="00EE6912"/>
    <w:rsid w:val="00EE6B49"/>
    <w:rsid w:val="00EE6ECA"/>
    <w:rsid w:val="00EE7EE2"/>
    <w:rsid w:val="00EF017B"/>
    <w:rsid w:val="00EF01C7"/>
    <w:rsid w:val="00EF07A0"/>
    <w:rsid w:val="00EF07B8"/>
    <w:rsid w:val="00EF0D05"/>
    <w:rsid w:val="00EF1C1F"/>
    <w:rsid w:val="00EF1FF5"/>
    <w:rsid w:val="00EF2714"/>
    <w:rsid w:val="00EF4423"/>
    <w:rsid w:val="00EF483B"/>
    <w:rsid w:val="00EF52BD"/>
    <w:rsid w:val="00EF5738"/>
    <w:rsid w:val="00EF5EA7"/>
    <w:rsid w:val="00EF5EDC"/>
    <w:rsid w:val="00EF644C"/>
    <w:rsid w:val="00EF6461"/>
    <w:rsid w:val="00EF73EB"/>
    <w:rsid w:val="00F006FF"/>
    <w:rsid w:val="00F01DFF"/>
    <w:rsid w:val="00F02044"/>
    <w:rsid w:val="00F023E9"/>
    <w:rsid w:val="00F02407"/>
    <w:rsid w:val="00F02B0A"/>
    <w:rsid w:val="00F0346B"/>
    <w:rsid w:val="00F03C0B"/>
    <w:rsid w:val="00F04088"/>
    <w:rsid w:val="00F04CA1"/>
    <w:rsid w:val="00F059FF"/>
    <w:rsid w:val="00F069E0"/>
    <w:rsid w:val="00F06B3F"/>
    <w:rsid w:val="00F07240"/>
    <w:rsid w:val="00F073CB"/>
    <w:rsid w:val="00F07488"/>
    <w:rsid w:val="00F07645"/>
    <w:rsid w:val="00F077BD"/>
    <w:rsid w:val="00F11062"/>
    <w:rsid w:val="00F122AA"/>
    <w:rsid w:val="00F1313B"/>
    <w:rsid w:val="00F13277"/>
    <w:rsid w:val="00F139C4"/>
    <w:rsid w:val="00F14080"/>
    <w:rsid w:val="00F144AC"/>
    <w:rsid w:val="00F15068"/>
    <w:rsid w:val="00F155C1"/>
    <w:rsid w:val="00F16525"/>
    <w:rsid w:val="00F17995"/>
    <w:rsid w:val="00F20073"/>
    <w:rsid w:val="00F20976"/>
    <w:rsid w:val="00F20B98"/>
    <w:rsid w:val="00F20D4C"/>
    <w:rsid w:val="00F20D68"/>
    <w:rsid w:val="00F232FE"/>
    <w:rsid w:val="00F237FC"/>
    <w:rsid w:val="00F247D7"/>
    <w:rsid w:val="00F24884"/>
    <w:rsid w:val="00F255F6"/>
    <w:rsid w:val="00F27EC2"/>
    <w:rsid w:val="00F3074F"/>
    <w:rsid w:val="00F30782"/>
    <w:rsid w:val="00F30967"/>
    <w:rsid w:val="00F3165C"/>
    <w:rsid w:val="00F31E8B"/>
    <w:rsid w:val="00F323ED"/>
    <w:rsid w:val="00F3247B"/>
    <w:rsid w:val="00F32507"/>
    <w:rsid w:val="00F3254D"/>
    <w:rsid w:val="00F32C0E"/>
    <w:rsid w:val="00F32DA9"/>
    <w:rsid w:val="00F32EC4"/>
    <w:rsid w:val="00F341E9"/>
    <w:rsid w:val="00F3426D"/>
    <w:rsid w:val="00F34849"/>
    <w:rsid w:val="00F34BB2"/>
    <w:rsid w:val="00F34FFE"/>
    <w:rsid w:val="00F35499"/>
    <w:rsid w:val="00F35C73"/>
    <w:rsid w:val="00F36184"/>
    <w:rsid w:val="00F36261"/>
    <w:rsid w:val="00F36F1E"/>
    <w:rsid w:val="00F36FEC"/>
    <w:rsid w:val="00F37648"/>
    <w:rsid w:val="00F37A05"/>
    <w:rsid w:val="00F40130"/>
    <w:rsid w:val="00F40DAA"/>
    <w:rsid w:val="00F40DF7"/>
    <w:rsid w:val="00F412AB"/>
    <w:rsid w:val="00F41C50"/>
    <w:rsid w:val="00F41CDF"/>
    <w:rsid w:val="00F4338C"/>
    <w:rsid w:val="00F436AB"/>
    <w:rsid w:val="00F44125"/>
    <w:rsid w:val="00F4459C"/>
    <w:rsid w:val="00F44B35"/>
    <w:rsid w:val="00F44CBC"/>
    <w:rsid w:val="00F44D72"/>
    <w:rsid w:val="00F44D82"/>
    <w:rsid w:val="00F45A58"/>
    <w:rsid w:val="00F4761B"/>
    <w:rsid w:val="00F47BD3"/>
    <w:rsid w:val="00F5058E"/>
    <w:rsid w:val="00F5165A"/>
    <w:rsid w:val="00F5213F"/>
    <w:rsid w:val="00F52943"/>
    <w:rsid w:val="00F53981"/>
    <w:rsid w:val="00F54A64"/>
    <w:rsid w:val="00F557EF"/>
    <w:rsid w:val="00F559B6"/>
    <w:rsid w:val="00F559E6"/>
    <w:rsid w:val="00F55D58"/>
    <w:rsid w:val="00F56B83"/>
    <w:rsid w:val="00F577AC"/>
    <w:rsid w:val="00F6021D"/>
    <w:rsid w:val="00F60438"/>
    <w:rsid w:val="00F60B97"/>
    <w:rsid w:val="00F60C7F"/>
    <w:rsid w:val="00F6181C"/>
    <w:rsid w:val="00F61CB2"/>
    <w:rsid w:val="00F61D43"/>
    <w:rsid w:val="00F624E9"/>
    <w:rsid w:val="00F6296C"/>
    <w:rsid w:val="00F62BB4"/>
    <w:rsid w:val="00F64159"/>
    <w:rsid w:val="00F64F77"/>
    <w:rsid w:val="00F6552D"/>
    <w:rsid w:val="00F6555D"/>
    <w:rsid w:val="00F65D49"/>
    <w:rsid w:val="00F65D55"/>
    <w:rsid w:val="00F669C0"/>
    <w:rsid w:val="00F70C51"/>
    <w:rsid w:val="00F70C5C"/>
    <w:rsid w:val="00F70DE5"/>
    <w:rsid w:val="00F733F1"/>
    <w:rsid w:val="00F73CBE"/>
    <w:rsid w:val="00F74C63"/>
    <w:rsid w:val="00F7566E"/>
    <w:rsid w:val="00F756F3"/>
    <w:rsid w:val="00F75D25"/>
    <w:rsid w:val="00F75F2C"/>
    <w:rsid w:val="00F75FAA"/>
    <w:rsid w:val="00F765D4"/>
    <w:rsid w:val="00F76D0C"/>
    <w:rsid w:val="00F76E18"/>
    <w:rsid w:val="00F8052F"/>
    <w:rsid w:val="00F80B3C"/>
    <w:rsid w:val="00F80B6B"/>
    <w:rsid w:val="00F80BD2"/>
    <w:rsid w:val="00F80E1E"/>
    <w:rsid w:val="00F81661"/>
    <w:rsid w:val="00F81C66"/>
    <w:rsid w:val="00F81D0B"/>
    <w:rsid w:val="00F82104"/>
    <w:rsid w:val="00F82CFA"/>
    <w:rsid w:val="00F83259"/>
    <w:rsid w:val="00F84200"/>
    <w:rsid w:val="00F84CEE"/>
    <w:rsid w:val="00F860C8"/>
    <w:rsid w:val="00F8644B"/>
    <w:rsid w:val="00F86B7F"/>
    <w:rsid w:val="00F86C5F"/>
    <w:rsid w:val="00F90773"/>
    <w:rsid w:val="00F914CE"/>
    <w:rsid w:val="00F91AF1"/>
    <w:rsid w:val="00F91D05"/>
    <w:rsid w:val="00F91F61"/>
    <w:rsid w:val="00F921CE"/>
    <w:rsid w:val="00F930B9"/>
    <w:rsid w:val="00F93329"/>
    <w:rsid w:val="00F93B58"/>
    <w:rsid w:val="00F93E45"/>
    <w:rsid w:val="00F9457C"/>
    <w:rsid w:val="00F94D32"/>
    <w:rsid w:val="00F95023"/>
    <w:rsid w:val="00F9522A"/>
    <w:rsid w:val="00F955C1"/>
    <w:rsid w:val="00F95A31"/>
    <w:rsid w:val="00F95A7B"/>
    <w:rsid w:val="00F95DCE"/>
    <w:rsid w:val="00F962BF"/>
    <w:rsid w:val="00F96740"/>
    <w:rsid w:val="00F96932"/>
    <w:rsid w:val="00F96D81"/>
    <w:rsid w:val="00F96E7E"/>
    <w:rsid w:val="00F97725"/>
    <w:rsid w:val="00F97842"/>
    <w:rsid w:val="00FA006E"/>
    <w:rsid w:val="00FA0B17"/>
    <w:rsid w:val="00FA1717"/>
    <w:rsid w:val="00FA1BE3"/>
    <w:rsid w:val="00FA1E26"/>
    <w:rsid w:val="00FA2D6E"/>
    <w:rsid w:val="00FA2E69"/>
    <w:rsid w:val="00FA3189"/>
    <w:rsid w:val="00FA34BD"/>
    <w:rsid w:val="00FA386D"/>
    <w:rsid w:val="00FA4D0B"/>
    <w:rsid w:val="00FA4FD0"/>
    <w:rsid w:val="00FA57C1"/>
    <w:rsid w:val="00FA68AA"/>
    <w:rsid w:val="00FA7AA4"/>
    <w:rsid w:val="00FB00D5"/>
    <w:rsid w:val="00FB03CB"/>
    <w:rsid w:val="00FB149D"/>
    <w:rsid w:val="00FB206D"/>
    <w:rsid w:val="00FB22F9"/>
    <w:rsid w:val="00FB26FC"/>
    <w:rsid w:val="00FB36CC"/>
    <w:rsid w:val="00FB4F3F"/>
    <w:rsid w:val="00FB53F8"/>
    <w:rsid w:val="00FB5A88"/>
    <w:rsid w:val="00FB5F40"/>
    <w:rsid w:val="00FB66AC"/>
    <w:rsid w:val="00FB6B78"/>
    <w:rsid w:val="00FB78EF"/>
    <w:rsid w:val="00FB79E6"/>
    <w:rsid w:val="00FB7C8A"/>
    <w:rsid w:val="00FC00B5"/>
    <w:rsid w:val="00FC0B28"/>
    <w:rsid w:val="00FC0BE3"/>
    <w:rsid w:val="00FC0C5C"/>
    <w:rsid w:val="00FC1365"/>
    <w:rsid w:val="00FC1944"/>
    <w:rsid w:val="00FC1C68"/>
    <w:rsid w:val="00FC2E21"/>
    <w:rsid w:val="00FC328A"/>
    <w:rsid w:val="00FC4941"/>
    <w:rsid w:val="00FC639D"/>
    <w:rsid w:val="00FC713E"/>
    <w:rsid w:val="00FC760C"/>
    <w:rsid w:val="00FC79C9"/>
    <w:rsid w:val="00FD00B2"/>
    <w:rsid w:val="00FD087D"/>
    <w:rsid w:val="00FD0F42"/>
    <w:rsid w:val="00FD1A3F"/>
    <w:rsid w:val="00FD1B6F"/>
    <w:rsid w:val="00FD1B8A"/>
    <w:rsid w:val="00FD2716"/>
    <w:rsid w:val="00FD2A10"/>
    <w:rsid w:val="00FD3AFB"/>
    <w:rsid w:val="00FD4462"/>
    <w:rsid w:val="00FD4551"/>
    <w:rsid w:val="00FD4C92"/>
    <w:rsid w:val="00FD5860"/>
    <w:rsid w:val="00FD6173"/>
    <w:rsid w:val="00FD65D6"/>
    <w:rsid w:val="00FD6DC3"/>
    <w:rsid w:val="00FD7C4A"/>
    <w:rsid w:val="00FE0B39"/>
    <w:rsid w:val="00FE0DE0"/>
    <w:rsid w:val="00FE0F55"/>
    <w:rsid w:val="00FE1027"/>
    <w:rsid w:val="00FE197F"/>
    <w:rsid w:val="00FE1F3B"/>
    <w:rsid w:val="00FE2185"/>
    <w:rsid w:val="00FE2DF4"/>
    <w:rsid w:val="00FE36E3"/>
    <w:rsid w:val="00FE3AE1"/>
    <w:rsid w:val="00FE4C54"/>
    <w:rsid w:val="00FE4DF1"/>
    <w:rsid w:val="00FE57E0"/>
    <w:rsid w:val="00FE6286"/>
    <w:rsid w:val="00FE7356"/>
    <w:rsid w:val="00FE73A7"/>
    <w:rsid w:val="00FF0198"/>
    <w:rsid w:val="00FF0FFC"/>
    <w:rsid w:val="00FF14E7"/>
    <w:rsid w:val="00FF1811"/>
    <w:rsid w:val="00FF18B0"/>
    <w:rsid w:val="00FF2BB6"/>
    <w:rsid w:val="00FF2EED"/>
    <w:rsid w:val="00FF3C19"/>
    <w:rsid w:val="00FF46AE"/>
    <w:rsid w:val="00FF5A4D"/>
    <w:rsid w:val="00FF5FD7"/>
    <w:rsid w:val="00FF6B02"/>
    <w:rsid w:val="00FF704E"/>
    <w:rsid w:val="00FF7D9E"/>
    <w:rsid w:val="027225A0"/>
    <w:rsid w:val="030D36B5"/>
    <w:rsid w:val="040F7D06"/>
    <w:rsid w:val="052C409D"/>
    <w:rsid w:val="05584712"/>
    <w:rsid w:val="05971D90"/>
    <w:rsid w:val="05C315E7"/>
    <w:rsid w:val="066A75F6"/>
    <w:rsid w:val="069E7DCE"/>
    <w:rsid w:val="06B31EC9"/>
    <w:rsid w:val="078C4B9F"/>
    <w:rsid w:val="07F46A83"/>
    <w:rsid w:val="080E1430"/>
    <w:rsid w:val="08661C68"/>
    <w:rsid w:val="087153AF"/>
    <w:rsid w:val="09A54DE7"/>
    <w:rsid w:val="09E52067"/>
    <w:rsid w:val="0A3D4238"/>
    <w:rsid w:val="0A785F94"/>
    <w:rsid w:val="0B242D6F"/>
    <w:rsid w:val="0B766B97"/>
    <w:rsid w:val="0B7E5480"/>
    <w:rsid w:val="0CAA3EE0"/>
    <w:rsid w:val="0CE64125"/>
    <w:rsid w:val="0D0B5724"/>
    <w:rsid w:val="0D145C26"/>
    <w:rsid w:val="0D7B3CC8"/>
    <w:rsid w:val="0D874655"/>
    <w:rsid w:val="0D874FEE"/>
    <w:rsid w:val="0DCB17F7"/>
    <w:rsid w:val="0DE251C7"/>
    <w:rsid w:val="0E6201DB"/>
    <w:rsid w:val="0ED362D5"/>
    <w:rsid w:val="0F2C747D"/>
    <w:rsid w:val="0FB71D20"/>
    <w:rsid w:val="0FC93710"/>
    <w:rsid w:val="0FE44761"/>
    <w:rsid w:val="103C7916"/>
    <w:rsid w:val="108D4BAA"/>
    <w:rsid w:val="10F851DA"/>
    <w:rsid w:val="113D5F31"/>
    <w:rsid w:val="117250F5"/>
    <w:rsid w:val="12014F45"/>
    <w:rsid w:val="12256FFB"/>
    <w:rsid w:val="122E6BA3"/>
    <w:rsid w:val="127D7D91"/>
    <w:rsid w:val="12D24854"/>
    <w:rsid w:val="130229B8"/>
    <w:rsid w:val="149E4804"/>
    <w:rsid w:val="1540318B"/>
    <w:rsid w:val="15995C59"/>
    <w:rsid w:val="16D46AEB"/>
    <w:rsid w:val="170B3820"/>
    <w:rsid w:val="1741003C"/>
    <w:rsid w:val="18310182"/>
    <w:rsid w:val="18337DE2"/>
    <w:rsid w:val="190637E4"/>
    <w:rsid w:val="19476DAA"/>
    <w:rsid w:val="1A526ACC"/>
    <w:rsid w:val="1B2C04A0"/>
    <w:rsid w:val="1B2F295A"/>
    <w:rsid w:val="1B770253"/>
    <w:rsid w:val="1CA74200"/>
    <w:rsid w:val="1CAC1052"/>
    <w:rsid w:val="1CEC4F21"/>
    <w:rsid w:val="1D1161AB"/>
    <w:rsid w:val="1D44777D"/>
    <w:rsid w:val="1DF33B06"/>
    <w:rsid w:val="1DFB31D0"/>
    <w:rsid w:val="1EE7257E"/>
    <w:rsid w:val="1F005A03"/>
    <w:rsid w:val="1F171669"/>
    <w:rsid w:val="1F2E0EA6"/>
    <w:rsid w:val="20020175"/>
    <w:rsid w:val="208B3EBB"/>
    <w:rsid w:val="209A73B5"/>
    <w:rsid w:val="209F7D83"/>
    <w:rsid w:val="218F58A4"/>
    <w:rsid w:val="21962D28"/>
    <w:rsid w:val="21A73748"/>
    <w:rsid w:val="21C42C58"/>
    <w:rsid w:val="21E33B04"/>
    <w:rsid w:val="223D45EE"/>
    <w:rsid w:val="22906F5A"/>
    <w:rsid w:val="229211C8"/>
    <w:rsid w:val="22FF3DB9"/>
    <w:rsid w:val="23BD674A"/>
    <w:rsid w:val="23E347D8"/>
    <w:rsid w:val="24167631"/>
    <w:rsid w:val="242327F8"/>
    <w:rsid w:val="242A0CA5"/>
    <w:rsid w:val="246B1BCA"/>
    <w:rsid w:val="24D714EC"/>
    <w:rsid w:val="251E6199"/>
    <w:rsid w:val="252B3ACB"/>
    <w:rsid w:val="256477DC"/>
    <w:rsid w:val="25CA0DE4"/>
    <w:rsid w:val="25D6487C"/>
    <w:rsid w:val="26F10791"/>
    <w:rsid w:val="27036A0B"/>
    <w:rsid w:val="271035EA"/>
    <w:rsid w:val="27765C85"/>
    <w:rsid w:val="27ED7AC8"/>
    <w:rsid w:val="28123E8D"/>
    <w:rsid w:val="28150CD2"/>
    <w:rsid w:val="283E36F6"/>
    <w:rsid w:val="28582F41"/>
    <w:rsid w:val="29665CCE"/>
    <w:rsid w:val="2A2D312B"/>
    <w:rsid w:val="2A366D0A"/>
    <w:rsid w:val="2A38416F"/>
    <w:rsid w:val="2A8156D7"/>
    <w:rsid w:val="2A9D5160"/>
    <w:rsid w:val="2B0F2FCD"/>
    <w:rsid w:val="2B265CB7"/>
    <w:rsid w:val="2C1F7C90"/>
    <w:rsid w:val="2C2A720D"/>
    <w:rsid w:val="2CE136A1"/>
    <w:rsid w:val="2D5D7080"/>
    <w:rsid w:val="2D676279"/>
    <w:rsid w:val="2D923D71"/>
    <w:rsid w:val="2DA74197"/>
    <w:rsid w:val="2DFC7C3E"/>
    <w:rsid w:val="2E19094C"/>
    <w:rsid w:val="2E204C08"/>
    <w:rsid w:val="2E4F63A5"/>
    <w:rsid w:val="2E591FDB"/>
    <w:rsid w:val="2E5F24EA"/>
    <w:rsid w:val="2ECE0649"/>
    <w:rsid w:val="30C2254E"/>
    <w:rsid w:val="31832E75"/>
    <w:rsid w:val="31F908B4"/>
    <w:rsid w:val="327A26FE"/>
    <w:rsid w:val="32C57F37"/>
    <w:rsid w:val="32F8638C"/>
    <w:rsid w:val="35592974"/>
    <w:rsid w:val="35937723"/>
    <w:rsid w:val="35974266"/>
    <w:rsid w:val="35994580"/>
    <w:rsid w:val="360405FC"/>
    <w:rsid w:val="3643670E"/>
    <w:rsid w:val="36A54F92"/>
    <w:rsid w:val="37025D58"/>
    <w:rsid w:val="370774AD"/>
    <w:rsid w:val="371D7D53"/>
    <w:rsid w:val="37210C6C"/>
    <w:rsid w:val="375440B4"/>
    <w:rsid w:val="376B7F8B"/>
    <w:rsid w:val="381B1946"/>
    <w:rsid w:val="38C215E0"/>
    <w:rsid w:val="38CC622C"/>
    <w:rsid w:val="38D83976"/>
    <w:rsid w:val="38FF5EFE"/>
    <w:rsid w:val="395B1785"/>
    <w:rsid w:val="398462E7"/>
    <w:rsid w:val="398A318B"/>
    <w:rsid w:val="39BA6D16"/>
    <w:rsid w:val="3A115002"/>
    <w:rsid w:val="3A4956EE"/>
    <w:rsid w:val="3B6D671B"/>
    <w:rsid w:val="3BB03DD9"/>
    <w:rsid w:val="3D165BDF"/>
    <w:rsid w:val="3DA833E2"/>
    <w:rsid w:val="3DE541D5"/>
    <w:rsid w:val="3DF240BC"/>
    <w:rsid w:val="3E074F1F"/>
    <w:rsid w:val="3E282555"/>
    <w:rsid w:val="3E740F54"/>
    <w:rsid w:val="3E851C92"/>
    <w:rsid w:val="3ED75244"/>
    <w:rsid w:val="3F27401E"/>
    <w:rsid w:val="3FB767BC"/>
    <w:rsid w:val="40BE16E6"/>
    <w:rsid w:val="41372A89"/>
    <w:rsid w:val="422E3F7B"/>
    <w:rsid w:val="42F42FA2"/>
    <w:rsid w:val="43DA6D5A"/>
    <w:rsid w:val="4618095C"/>
    <w:rsid w:val="4649370A"/>
    <w:rsid w:val="46F36DA0"/>
    <w:rsid w:val="470F1A40"/>
    <w:rsid w:val="47243AD3"/>
    <w:rsid w:val="473B3601"/>
    <w:rsid w:val="47874501"/>
    <w:rsid w:val="47A23A54"/>
    <w:rsid w:val="47CD68E2"/>
    <w:rsid w:val="486B47C1"/>
    <w:rsid w:val="48D94DD8"/>
    <w:rsid w:val="49610290"/>
    <w:rsid w:val="49A12FFD"/>
    <w:rsid w:val="4A2E3A7F"/>
    <w:rsid w:val="4A415D2F"/>
    <w:rsid w:val="4A4F2044"/>
    <w:rsid w:val="4A7E1BD3"/>
    <w:rsid w:val="4AAF27BD"/>
    <w:rsid w:val="4AAF27F9"/>
    <w:rsid w:val="4AD53A7C"/>
    <w:rsid w:val="4B4705A8"/>
    <w:rsid w:val="4B9C21A7"/>
    <w:rsid w:val="4BFB2DD7"/>
    <w:rsid w:val="4C2740F6"/>
    <w:rsid w:val="4C946B2A"/>
    <w:rsid w:val="4C97250C"/>
    <w:rsid w:val="4D026468"/>
    <w:rsid w:val="4DC0067A"/>
    <w:rsid w:val="4E812CDB"/>
    <w:rsid w:val="4F1231F5"/>
    <w:rsid w:val="4FF57994"/>
    <w:rsid w:val="506E5B35"/>
    <w:rsid w:val="50783A04"/>
    <w:rsid w:val="50A17192"/>
    <w:rsid w:val="50C432FA"/>
    <w:rsid w:val="50EF373E"/>
    <w:rsid w:val="528746C5"/>
    <w:rsid w:val="52BB0E80"/>
    <w:rsid w:val="531B167D"/>
    <w:rsid w:val="534F7755"/>
    <w:rsid w:val="53A846D4"/>
    <w:rsid w:val="53EA0CAA"/>
    <w:rsid w:val="542268B5"/>
    <w:rsid w:val="54434881"/>
    <w:rsid w:val="54AB3C58"/>
    <w:rsid w:val="54D57811"/>
    <w:rsid w:val="55624D2C"/>
    <w:rsid w:val="559176BF"/>
    <w:rsid w:val="5611060F"/>
    <w:rsid w:val="57976D25"/>
    <w:rsid w:val="57A40682"/>
    <w:rsid w:val="58461AA1"/>
    <w:rsid w:val="587535CA"/>
    <w:rsid w:val="587C5656"/>
    <w:rsid w:val="58E84452"/>
    <w:rsid w:val="59E50895"/>
    <w:rsid w:val="5A207761"/>
    <w:rsid w:val="5A5C1E19"/>
    <w:rsid w:val="5A8460C5"/>
    <w:rsid w:val="5B28282A"/>
    <w:rsid w:val="5BF36EEB"/>
    <w:rsid w:val="5C376650"/>
    <w:rsid w:val="5C8541BD"/>
    <w:rsid w:val="5D3443FE"/>
    <w:rsid w:val="5D9E5BBA"/>
    <w:rsid w:val="5DA730E4"/>
    <w:rsid w:val="5DB76889"/>
    <w:rsid w:val="5DEF0460"/>
    <w:rsid w:val="5DF35C30"/>
    <w:rsid w:val="5DFF1BEB"/>
    <w:rsid w:val="5EEB2157"/>
    <w:rsid w:val="5F0F7504"/>
    <w:rsid w:val="5F6B5B0B"/>
    <w:rsid w:val="5F87057A"/>
    <w:rsid w:val="5FAF440D"/>
    <w:rsid w:val="5FC17F16"/>
    <w:rsid w:val="5FC6267F"/>
    <w:rsid w:val="61597DFD"/>
    <w:rsid w:val="63111A3E"/>
    <w:rsid w:val="63617407"/>
    <w:rsid w:val="63EB60C9"/>
    <w:rsid w:val="646C0022"/>
    <w:rsid w:val="64A913E6"/>
    <w:rsid w:val="64B62EC8"/>
    <w:rsid w:val="64CE77F5"/>
    <w:rsid w:val="65303A44"/>
    <w:rsid w:val="65347CB0"/>
    <w:rsid w:val="65535135"/>
    <w:rsid w:val="65C7133C"/>
    <w:rsid w:val="66514C6C"/>
    <w:rsid w:val="66A652E7"/>
    <w:rsid w:val="66C06D6D"/>
    <w:rsid w:val="6769673B"/>
    <w:rsid w:val="67F56373"/>
    <w:rsid w:val="67FD1AB8"/>
    <w:rsid w:val="68190848"/>
    <w:rsid w:val="68A84FEB"/>
    <w:rsid w:val="68CF25BE"/>
    <w:rsid w:val="69642A5F"/>
    <w:rsid w:val="69687D90"/>
    <w:rsid w:val="69CB25B9"/>
    <w:rsid w:val="6A4A7EC9"/>
    <w:rsid w:val="6A7D1B74"/>
    <w:rsid w:val="6A986670"/>
    <w:rsid w:val="6B4F0661"/>
    <w:rsid w:val="6C5A17EE"/>
    <w:rsid w:val="6CA35CAD"/>
    <w:rsid w:val="6CE02708"/>
    <w:rsid w:val="6D1628C5"/>
    <w:rsid w:val="6DA45032"/>
    <w:rsid w:val="6DB65872"/>
    <w:rsid w:val="6DC56614"/>
    <w:rsid w:val="6E2B34C4"/>
    <w:rsid w:val="6E34225B"/>
    <w:rsid w:val="6E877FAE"/>
    <w:rsid w:val="6EE25D3A"/>
    <w:rsid w:val="6F0A4A75"/>
    <w:rsid w:val="6F2140C4"/>
    <w:rsid w:val="6F396939"/>
    <w:rsid w:val="701C1DC5"/>
    <w:rsid w:val="70C91BA1"/>
    <w:rsid w:val="70ED0083"/>
    <w:rsid w:val="71954437"/>
    <w:rsid w:val="719B56EF"/>
    <w:rsid w:val="71EC55F8"/>
    <w:rsid w:val="722C5153"/>
    <w:rsid w:val="72974DA1"/>
    <w:rsid w:val="72A96D3F"/>
    <w:rsid w:val="72AB3117"/>
    <w:rsid w:val="730557B9"/>
    <w:rsid w:val="730A171B"/>
    <w:rsid w:val="7380143D"/>
    <w:rsid w:val="73AB13BC"/>
    <w:rsid w:val="73B94C4B"/>
    <w:rsid w:val="73C05431"/>
    <w:rsid w:val="74874674"/>
    <w:rsid w:val="74D84D1E"/>
    <w:rsid w:val="75140886"/>
    <w:rsid w:val="75F53B5C"/>
    <w:rsid w:val="76530AF9"/>
    <w:rsid w:val="76D0273C"/>
    <w:rsid w:val="76F07BC6"/>
    <w:rsid w:val="77432F12"/>
    <w:rsid w:val="7833678A"/>
    <w:rsid w:val="785023D2"/>
    <w:rsid w:val="78A41B79"/>
    <w:rsid w:val="78C96A89"/>
    <w:rsid w:val="78D36762"/>
    <w:rsid w:val="791512D9"/>
    <w:rsid w:val="797C574D"/>
    <w:rsid w:val="7A366F71"/>
    <w:rsid w:val="7AA314D5"/>
    <w:rsid w:val="7AB15D4A"/>
    <w:rsid w:val="7AB55CBB"/>
    <w:rsid w:val="7AC86EEC"/>
    <w:rsid w:val="7B5A14C4"/>
    <w:rsid w:val="7BEA6F4F"/>
    <w:rsid w:val="7C9C232E"/>
    <w:rsid w:val="7CB46847"/>
    <w:rsid w:val="7CBC20B9"/>
    <w:rsid w:val="7CC037EF"/>
    <w:rsid w:val="7CD74C0B"/>
    <w:rsid w:val="7D8913E9"/>
    <w:rsid w:val="7E0E2CDC"/>
    <w:rsid w:val="7E760EB0"/>
    <w:rsid w:val="7E8248EF"/>
    <w:rsid w:val="7EF77135"/>
    <w:rsid w:val="7F43216B"/>
    <w:rsid w:val="7F5409EE"/>
    <w:rsid w:val="DCF7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137"/>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184"/>
    <w:qFormat/>
    <w:uiPriority w:val="0"/>
    <w:pPr>
      <w:tabs>
        <w:tab w:val="left" w:pos="2155"/>
      </w:tabs>
      <w:spacing w:before="120" w:line="360" w:lineRule="auto"/>
      <w:ind w:left="2155" w:hanging="1078"/>
      <w:outlineLvl w:val="3"/>
    </w:pPr>
    <w:rPr>
      <w:rFonts w:ascii="Arial" w:eastAsia="黑体"/>
      <w:kern w:val="0"/>
      <w:sz w:val="28"/>
      <w:szCs w:val="20"/>
    </w:rPr>
  </w:style>
  <w:style w:type="paragraph" w:styleId="6">
    <w:name w:val="heading 5"/>
    <w:basedOn w:val="1"/>
    <w:next w:val="1"/>
    <w:link w:val="157"/>
    <w:qFormat/>
    <w:uiPriority w:val="0"/>
    <w:pPr>
      <w:keepNext/>
      <w:keepLines/>
      <w:spacing w:before="280" w:after="290" w:line="372" w:lineRule="auto"/>
      <w:outlineLvl w:val="4"/>
    </w:pPr>
    <w:rPr>
      <w:b/>
      <w:bCs/>
      <w:sz w:val="28"/>
      <w:szCs w:val="28"/>
    </w:rPr>
  </w:style>
  <w:style w:type="paragraph" w:styleId="7">
    <w:name w:val="heading 6"/>
    <w:basedOn w:val="1"/>
    <w:next w:val="1"/>
    <w:link w:val="158"/>
    <w:qFormat/>
    <w:uiPriority w:val="0"/>
    <w:pPr>
      <w:keepNext/>
      <w:keepLines/>
      <w:adjustRightInd/>
      <w:spacing w:before="240" w:after="64" w:line="316" w:lineRule="auto"/>
      <w:textAlignment w:val="auto"/>
      <w:outlineLvl w:val="5"/>
    </w:pPr>
    <w:rPr>
      <w:rFonts w:ascii="Arial" w:hAnsi="Arial" w:eastAsia="黑体"/>
      <w:b/>
      <w:bCs/>
      <w:sz w:val="24"/>
    </w:rPr>
  </w:style>
  <w:style w:type="paragraph" w:styleId="8">
    <w:name w:val="heading 7"/>
    <w:basedOn w:val="1"/>
    <w:next w:val="1"/>
    <w:link w:val="195"/>
    <w:qFormat/>
    <w:uiPriority w:val="0"/>
    <w:pPr>
      <w:keepNext/>
      <w:keepLines/>
      <w:adjustRightInd/>
      <w:spacing w:before="240" w:after="64" w:line="316" w:lineRule="auto"/>
      <w:textAlignment w:val="auto"/>
      <w:outlineLvl w:val="6"/>
    </w:pPr>
    <w:rPr>
      <w:b/>
      <w:bCs/>
      <w:sz w:val="24"/>
    </w:rPr>
  </w:style>
  <w:style w:type="paragraph" w:styleId="9">
    <w:name w:val="heading 8"/>
    <w:basedOn w:val="1"/>
    <w:next w:val="1"/>
    <w:link w:val="175"/>
    <w:qFormat/>
    <w:uiPriority w:val="0"/>
    <w:pPr>
      <w:keepNext/>
      <w:keepLines/>
      <w:adjustRightInd/>
      <w:spacing w:before="240" w:after="64" w:line="316" w:lineRule="auto"/>
      <w:textAlignment w:val="auto"/>
      <w:outlineLvl w:val="7"/>
    </w:pPr>
    <w:rPr>
      <w:rFonts w:ascii="Arial" w:hAnsi="Arial" w:eastAsia="黑体"/>
      <w:sz w:val="24"/>
    </w:rPr>
  </w:style>
  <w:style w:type="paragraph" w:styleId="10">
    <w:name w:val="heading 9"/>
    <w:basedOn w:val="1"/>
    <w:next w:val="1"/>
    <w:link w:val="156"/>
    <w:qFormat/>
    <w:uiPriority w:val="0"/>
    <w:pPr>
      <w:keepNext/>
      <w:keepLines/>
      <w:adjustRightInd/>
      <w:spacing w:before="240" w:after="64" w:line="316" w:lineRule="auto"/>
      <w:textAlignment w:val="auto"/>
      <w:outlineLvl w:val="8"/>
    </w:pPr>
    <w:rPr>
      <w:rFonts w:ascii="Arial" w:hAnsi="Arial" w:eastAsia="黑体"/>
      <w:szCs w:val="21"/>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170"/>
    <w:semiHidden/>
    <w:qFormat/>
    <w:uiPriority w:val="0"/>
    <w:pPr>
      <w:shd w:val="clear" w:color="auto" w:fill="000080"/>
    </w:pPr>
  </w:style>
  <w:style w:type="paragraph" w:styleId="12">
    <w:name w:val="annotation text"/>
    <w:basedOn w:val="1"/>
    <w:link w:val="145"/>
    <w:qFormat/>
    <w:uiPriority w:val="0"/>
    <w:pPr>
      <w:jc w:val="left"/>
    </w:pPr>
  </w:style>
  <w:style w:type="paragraph" w:styleId="13">
    <w:name w:val="Body Text 3"/>
    <w:basedOn w:val="1"/>
    <w:link w:val="152"/>
    <w:unhideWhenUsed/>
    <w:qFormat/>
    <w:uiPriority w:val="0"/>
    <w:pPr>
      <w:spacing w:line="500" w:lineRule="exact"/>
    </w:pPr>
    <w:rPr>
      <w:rFonts w:eastAsia="仿宋_GB2312"/>
      <w:kern w:val="0"/>
      <w:sz w:val="28"/>
      <w:szCs w:val="20"/>
    </w:rPr>
  </w:style>
  <w:style w:type="paragraph" w:styleId="14">
    <w:name w:val="Body Text"/>
    <w:basedOn w:val="1"/>
    <w:link w:val="159"/>
    <w:unhideWhenUsed/>
    <w:qFormat/>
    <w:uiPriority w:val="0"/>
    <w:rPr>
      <w:rFonts w:ascii="金山简黑体" w:hAnsi="Courier New" w:eastAsia="金山简黑体"/>
      <w:b/>
      <w:spacing w:val="-8"/>
      <w:kern w:val="0"/>
      <w:sz w:val="44"/>
      <w:szCs w:val="20"/>
    </w:rPr>
  </w:style>
  <w:style w:type="paragraph" w:styleId="15">
    <w:name w:val="Body Text Indent"/>
    <w:basedOn w:val="1"/>
    <w:link w:val="201"/>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rPr>
      <w:sz w:val="28"/>
    </w:rPr>
  </w:style>
  <w:style w:type="paragraph" w:styleId="17">
    <w:name w:val="HTML Address"/>
    <w:basedOn w:val="1"/>
    <w:link w:val="185"/>
    <w:qFormat/>
    <w:uiPriority w:val="0"/>
    <w:pPr>
      <w:adjustRightInd/>
      <w:spacing w:line="240" w:lineRule="auto"/>
      <w:textAlignment w:val="auto"/>
    </w:pPr>
    <w:rPr>
      <w:rFonts w:ascii="宋体" w:hAnsi="宋体"/>
      <w:i/>
      <w:iCs/>
    </w:rPr>
  </w:style>
  <w:style w:type="paragraph" w:styleId="18">
    <w:name w:val="Plain Text"/>
    <w:basedOn w:val="1"/>
    <w:link w:val="197"/>
    <w:qFormat/>
    <w:uiPriority w:val="0"/>
    <w:rPr>
      <w:rFonts w:ascii="宋体" w:hAnsi="Courier New"/>
      <w:szCs w:val="20"/>
    </w:rPr>
  </w:style>
  <w:style w:type="paragraph" w:styleId="19">
    <w:name w:val="Date"/>
    <w:basedOn w:val="1"/>
    <w:next w:val="1"/>
    <w:link w:val="161"/>
    <w:qFormat/>
    <w:uiPriority w:val="0"/>
    <w:pPr>
      <w:ind w:left="100" w:leftChars="2500"/>
    </w:pPr>
  </w:style>
  <w:style w:type="paragraph" w:styleId="20">
    <w:name w:val="Body Text Indent 2"/>
    <w:basedOn w:val="1"/>
    <w:link w:val="183"/>
    <w:qFormat/>
    <w:uiPriority w:val="0"/>
    <w:pPr>
      <w:spacing w:after="120" w:line="480" w:lineRule="auto"/>
      <w:ind w:left="420" w:leftChars="200"/>
    </w:pPr>
  </w:style>
  <w:style w:type="paragraph" w:styleId="21">
    <w:name w:val="Balloon Text"/>
    <w:basedOn w:val="1"/>
    <w:link w:val="141"/>
    <w:qFormat/>
    <w:uiPriority w:val="0"/>
    <w:rPr>
      <w:sz w:val="18"/>
      <w:szCs w:val="18"/>
    </w:rPr>
  </w:style>
  <w:style w:type="paragraph" w:styleId="22">
    <w:name w:val="footer"/>
    <w:basedOn w:val="1"/>
    <w:link w:val="172"/>
    <w:qFormat/>
    <w:uiPriority w:val="99"/>
    <w:pPr>
      <w:tabs>
        <w:tab w:val="center" w:pos="4153"/>
        <w:tab w:val="right" w:pos="8306"/>
      </w:tabs>
      <w:snapToGrid w:val="0"/>
      <w:jc w:val="left"/>
    </w:pPr>
    <w:rPr>
      <w:sz w:val="18"/>
      <w:szCs w:val="18"/>
    </w:rPr>
  </w:style>
  <w:style w:type="paragraph" w:styleId="23">
    <w:name w:val="header"/>
    <w:basedOn w:val="1"/>
    <w:link w:val="19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b/>
      <w:bCs/>
      <w:caps/>
      <w:sz w:val="20"/>
      <w:szCs w:val="20"/>
    </w:rPr>
  </w:style>
  <w:style w:type="paragraph" w:styleId="25">
    <w:name w:val="Subtitle"/>
    <w:basedOn w:val="1"/>
    <w:next w:val="1"/>
    <w:link w:val="154"/>
    <w:qFormat/>
    <w:uiPriority w:val="0"/>
    <w:pPr>
      <w:spacing w:before="240" w:after="60" w:line="312" w:lineRule="auto"/>
      <w:jc w:val="center"/>
      <w:outlineLvl w:val="1"/>
    </w:pPr>
    <w:rPr>
      <w:rFonts w:ascii="Cambria" w:hAnsi="Cambria"/>
      <w:b/>
      <w:bCs/>
      <w:kern w:val="28"/>
      <w:sz w:val="32"/>
      <w:szCs w:val="32"/>
    </w:rPr>
  </w:style>
  <w:style w:type="paragraph" w:styleId="26">
    <w:name w:val="footnote text"/>
    <w:basedOn w:val="1"/>
    <w:link w:val="191"/>
    <w:semiHidden/>
    <w:qFormat/>
    <w:uiPriority w:val="0"/>
    <w:pPr>
      <w:snapToGrid w:val="0"/>
      <w:jc w:val="left"/>
    </w:pPr>
    <w:rPr>
      <w:sz w:val="18"/>
      <w:szCs w:val="18"/>
    </w:rPr>
  </w:style>
  <w:style w:type="paragraph" w:styleId="27">
    <w:name w:val="toc 2"/>
    <w:basedOn w:val="1"/>
    <w:next w:val="1"/>
    <w:qFormat/>
    <w:uiPriority w:val="39"/>
    <w:pPr>
      <w:tabs>
        <w:tab w:val="right" w:leader="dot" w:pos="9628"/>
      </w:tabs>
      <w:ind w:left="420" w:firstLine="120"/>
      <w:jc w:val="left"/>
    </w:pPr>
    <w:rPr>
      <w:smallCaps/>
      <w:sz w:val="20"/>
      <w:szCs w:val="20"/>
    </w:rPr>
  </w:style>
  <w:style w:type="paragraph" w:styleId="28">
    <w:name w:val="Body Text 2"/>
    <w:basedOn w:val="1"/>
    <w:link w:val="193"/>
    <w:unhideWhenUsed/>
    <w:qFormat/>
    <w:uiPriority w:val="0"/>
    <w:pPr>
      <w:jc w:val="center"/>
    </w:pPr>
    <w:rPr>
      <w:rFonts w:hAnsi="宋体"/>
      <w:kern w:val="0"/>
      <w:sz w:val="20"/>
    </w:rPr>
  </w:style>
  <w:style w:type="paragraph" w:styleId="29">
    <w:name w:val="HTML Preformatted"/>
    <w:basedOn w:val="1"/>
    <w:link w:val="1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link w:val="190"/>
    <w:qFormat/>
    <w:uiPriority w:val="0"/>
    <w:pPr>
      <w:adjustRightInd/>
      <w:spacing w:before="240" w:after="60" w:line="240" w:lineRule="auto"/>
      <w:jc w:val="center"/>
      <w:textAlignment w:val="auto"/>
      <w:outlineLvl w:val="0"/>
    </w:pPr>
    <w:rPr>
      <w:rFonts w:ascii="Arial" w:hAnsi="Arial" w:cs="Arial"/>
      <w:b/>
      <w:bCs/>
      <w:sz w:val="32"/>
      <w:szCs w:val="32"/>
    </w:rPr>
  </w:style>
  <w:style w:type="paragraph" w:styleId="32">
    <w:name w:val="annotation subject"/>
    <w:basedOn w:val="12"/>
    <w:next w:val="12"/>
    <w:link w:val="179"/>
    <w:qFormat/>
    <w:uiPriority w:val="0"/>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Emphasis"/>
    <w:basedOn w:val="35"/>
    <w:qFormat/>
    <w:uiPriority w:val="20"/>
  </w:style>
  <w:style w:type="character" w:styleId="39">
    <w:name w:val="HTML Typewriter"/>
    <w:basedOn w:val="35"/>
    <w:qFormat/>
    <w:uiPriority w:val="0"/>
    <w:rPr>
      <w:rFonts w:hint="default" w:ascii="Courier New" w:hAnsi="Courier New" w:eastAsia="Times New Roman" w:cs="Times New Roman"/>
      <w:sz w:val="24"/>
      <w:szCs w:val="24"/>
    </w:rPr>
  </w:style>
  <w:style w:type="character" w:styleId="40">
    <w:name w:val="Hyperlink"/>
    <w:qFormat/>
    <w:uiPriority w:val="99"/>
    <w:rPr>
      <w:color w:val="0000FF"/>
      <w:u w:val="single"/>
    </w:rPr>
  </w:style>
  <w:style w:type="character" w:styleId="41">
    <w:name w:val="HTML Code"/>
    <w:basedOn w:val="35"/>
    <w:qFormat/>
    <w:uiPriority w:val="0"/>
    <w:rPr>
      <w:rFonts w:hint="default" w:ascii="Courier New" w:hAnsi="Courier New" w:eastAsia="Times New Roman" w:cs="Times New Roman"/>
      <w:sz w:val="24"/>
      <w:szCs w:val="24"/>
    </w:rPr>
  </w:style>
  <w:style w:type="character" w:styleId="42">
    <w:name w:val="annotation reference"/>
    <w:qFormat/>
    <w:uiPriority w:val="0"/>
    <w:rPr>
      <w:sz w:val="21"/>
      <w:szCs w:val="21"/>
    </w:rPr>
  </w:style>
  <w:style w:type="character" w:styleId="43">
    <w:name w:val="HTML Keyboard"/>
    <w:basedOn w:val="35"/>
    <w:qFormat/>
    <w:uiPriority w:val="0"/>
    <w:rPr>
      <w:rFonts w:hint="default" w:ascii="Courier New" w:hAnsi="Courier New" w:eastAsia="Times New Roman" w:cs="Times New Roman"/>
      <w:sz w:val="24"/>
      <w:szCs w:val="24"/>
    </w:rPr>
  </w:style>
  <w:style w:type="character" w:styleId="44">
    <w:name w:val="HTML Sample"/>
    <w:basedOn w:val="35"/>
    <w:qFormat/>
    <w:uiPriority w:val="0"/>
    <w:rPr>
      <w:rFonts w:hint="default" w:ascii="Courier New" w:hAnsi="Courier New" w:eastAsia="Times New Roman" w:cs="Times New Roman"/>
    </w:rPr>
  </w:style>
  <w:style w:type="character" w:customStyle="1" w:styleId="45">
    <w:name w:val="标题 1 字符"/>
    <w:link w:val="3"/>
    <w:qFormat/>
    <w:uiPriority w:val="0"/>
    <w:rPr>
      <w:rFonts w:eastAsia="宋体"/>
      <w:b/>
      <w:bCs/>
      <w:kern w:val="44"/>
      <w:sz w:val="44"/>
      <w:szCs w:val="44"/>
      <w:lang w:val="en-US" w:eastAsia="zh-CN" w:bidi="ar-SA"/>
    </w:rPr>
  </w:style>
  <w:style w:type="character" w:customStyle="1" w:styleId="46">
    <w:name w:val="标题 3 字符"/>
    <w:link w:val="4"/>
    <w:qFormat/>
    <w:uiPriority w:val="0"/>
    <w:rPr>
      <w:rFonts w:eastAsia="宋体"/>
      <w:b/>
      <w:bCs/>
      <w:kern w:val="2"/>
      <w:sz w:val="32"/>
      <w:szCs w:val="32"/>
      <w:lang w:val="en-US" w:eastAsia="zh-CN" w:bidi="ar-SA"/>
    </w:rPr>
  </w:style>
  <w:style w:type="paragraph" w:customStyle="1" w:styleId="47">
    <w:name w:val="封面标准代替信息"/>
    <w:basedOn w:val="48"/>
    <w:qFormat/>
    <w:uiPriority w:val="0"/>
    <w:pPr>
      <w:spacing w:before="57"/>
    </w:pPr>
    <w:rPr>
      <w:rFonts w:ascii="宋体"/>
      <w:sz w:val="21"/>
    </w:rPr>
  </w:style>
  <w:style w:type="paragraph" w:customStyle="1" w:styleId="48">
    <w:name w:val="封面标准号2"/>
    <w:basedOn w:val="49"/>
    <w:qFormat/>
    <w:uiPriority w:val="0"/>
    <w:pPr>
      <w:framePr w:w="9138" w:h="1244" w:wrap="around" w:vAnchor="page" w:hAnchor="margin" w:y="2908" w:anchorLock="1"/>
      <w:adjustRightInd w:val="0"/>
      <w:spacing w:before="357" w:line="280" w:lineRule="exact"/>
    </w:pPr>
  </w:style>
  <w:style w:type="paragraph" w:customStyle="1" w:styleId="49">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50">
    <w:name w:val="附录三级条标题"/>
    <w:basedOn w:val="51"/>
    <w:next w:val="54"/>
    <w:qFormat/>
    <w:uiPriority w:val="0"/>
    <w:pPr>
      <w:numPr>
        <w:ilvl w:val="4"/>
      </w:numPr>
      <w:tabs>
        <w:tab w:val="left" w:pos="1260"/>
      </w:tabs>
      <w:outlineLvl w:val="4"/>
    </w:pPr>
  </w:style>
  <w:style w:type="paragraph" w:customStyle="1" w:styleId="51">
    <w:name w:val="附录二级条标题"/>
    <w:basedOn w:val="52"/>
    <w:next w:val="54"/>
    <w:qFormat/>
    <w:uiPriority w:val="0"/>
    <w:pPr>
      <w:numPr>
        <w:ilvl w:val="3"/>
      </w:numPr>
      <w:tabs>
        <w:tab w:val="left" w:pos="1260"/>
      </w:tabs>
      <w:autoSpaceDN w:val="0"/>
      <w:spacing w:beforeLines="0"/>
      <w:outlineLvl w:val="3"/>
    </w:pPr>
  </w:style>
  <w:style w:type="paragraph" w:customStyle="1" w:styleId="52">
    <w:name w:val="附录一级条标题"/>
    <w:basedOn w:val="53"/>
    <w:next w:val="54"/>
    <w:qFormat/>
    <w:uiPriority w:val="0"/>
    <w:pPr>
      <w:tabs>
        <w:tab w:val="left" w:pos="1260"/>
      </w:tabs>
    </w:pPr>
  </w:style>
  <w:style w:type="paragraph" w:customStyle="1" w:styleId="53">
    <w:name w:val="附录章标题"/>
    <w:next w:val="54"/>
    <w:qFormat/>
    <w:uiPriority w:val="0"/>
    <w:pPr>
      <w:numPr>
        <w:ilvl w:val="1"/>
        <w:numId w:val="1"/>
      </w:num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Formatvorlage layout_standard + 10 pt Zentriert"/>
    <w:basedOn w:val="57"/>
    <w:qFormat/>
    <w:uiPriority w:val="0"/>
    <w:pPr>
      <w:jc w:val="center"/>
    </w:pPr>
    <w:rPr>
      <w:rFonts w:eastAsia="Times New Roman"/>
      <w:bCs/>
      <w:sz w:val="22"/>
    </w:rPr>
  </w:style>
  <w:style w:type="paragraph" w:customStyle="1" w:styleId="57">
    <w:name w:val="layout_standard"/>
    <w:basedOn w:val="26"/>
    <w:qFormat/>
    <w:uiPriority w:val="0"/>
    <w:pPr>
      <w:widowControl/>
      <w:snapToGrid/>
    </w:pPr>
    <w:rPr>
      <w:rFonts w:ascii="Arial" w:hAnsi="Arial"/>
      <w:b/>
      <w:kern w:val="0"/>
      <w:sz w:val="36"/>
      <w:szCs w:val="20"/>
      <w:lang w:val="en-GB" w:eastAsia="de-DE"/>
    </w:rPr>
  </w:style>
  <w:style w:type="paragraph" w:customStyle="1" w:styleId="58">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59">
    <w:name w:val="p0"/>
    <w:basedOn w:val="1"/>
    <w:qFormat/>
    <w:uiPriority w:val="0"/>
    <w:pPr>
      <w:widowControl/>
    </w:pPr>
    <w:rPr>
      <w:kern w:val="0"/>
      <w:szCs w:val="21"/>
    </w:rPr>
  </w:style>
  <w:style w:type="paragraph" w:customStyle="1" w:styleId="60">
    <w:name w:val="四级条标题"/>
    <w:basedOn w:val="61"/>
    <w:next w:val="54"/>
    <w:qFormat/>
    <w:uiPriority w:val="0"/>
    <w:pPr>
      <w:numPr>
        <w:ilvl w:val="5"/>
      </w:numPr>
      <w:tabs>
        <w:tab w:val="left" w:pos="1980"/>
      </w:tabs>
      <w:outlineLvl w:val="5"/>
    </w:pPr>
  </w:style>
  <w:style w:type="paragraph" w:customStyle="1" w:styleId="61">
    <w:name w:val="三级条标题"/>
    <w:basedOn w:val="62"/>
    <w:next w:val="54"/>
    <w:qFormat/>
    <w:uiPriority w:val="0"/>
    <w:pPr>
      <w:numPr>
        <w:ilvl w:val="4"/>
      </w:numPr>
      <w:tabs>
        <w:tab w:val="left" w:pos="1980"/>
      </w:tabs>
      <w:outlineLvl w:val="4"/>
    </w:pPr>
  </w:style>
  <w:style w:type="paragraph" w:customStyle="1" w:styleId="62">
    <w:name w:val="二级条标题"/>
    <w:basedOn w:val="63"/>
    <w:next w:val="54"/>
    <w:qFormat/>
    <w:uiPriority w:val="0"/>
    <w:pPr>
      <w:numPr>
        <w:ilvl w:val="3"/>
      </w:numPr>
      <w:tabs>
        <w:tab w:val="left" w:pos="1980"/>
      </w:tabs>
      <w:outlineLvl w:val="3"/>
    </w:pPr>
  </w:style>
  <w:style w:type="paragraph" w:customStyle="1" w:styleId="63">
    <w:name w:val="一级条标题"/>
    <w:basedOn w:val="64"/>
    <w:next w:val="54"/>
    <w:qFormat/>
    <w:uiPriority w:val="0"/>
    <w:pPr>
      <w:numPr>
        <w:ilvl w:val="2"/>
      </w:numPr>
      <w:tabs>
        <w:tab w:val="left" w:pos="1980"/>
      </w:tabs>
      <w:spacing w:beforeLines="0"/>
      <w:outlineLvl w:val="2"/>
    </w:pPr>
  </w:style>
  <w:style w:type="paragraph" w:customStyle="1" w:styleId="64">
    <w:name w:val="章标题"/>
    <w:next w:val="54"/>
    <w:qFormat/>
    <w:uiPriority w:val="0"/>
    <w:pPr>
      <w:numPr>
        <w:ilvl w:val="1"/>
        <w:numId w:val="2"/>
      </w:numPr>
      <w:spacing w:beforeLines="50"/>
      <w:jc w:val="both"/>
      <w:outlineLvl w:val="1"/>
    </w:pPr>
    <w:rPr>
      <w:rFonts w:ascii="黑体" w:hAnsi="Times New Roman" w:eastAsia="黑体" w:cs="Times New Roman"/>
      <w:sz w:val="21"/>
      <w:lang w:val="en-US" w:eastAsia="zh-CN" w:bidi="ar-SA"/>
    </w:rPr>
  </w:style>
  <w:style w:type="paragraph" w:customStyle="1" w:styleId="65">
    <w:name w:val="Char Char Char1 Char Char Char Char Char Char Char"/>
    <w:basedOn w:val="1"/>
    <w:qFormat/>
    <w:uiPriority w:val="0"/>
    <w:pPr>
      <w:adjustRightInd/>
      <w:spacing w:line="240" w:lineRule="auto"/>
      <w:textAlignment w:val="auto"/>
    </w:pPr>
  </w:style>
  <w:style w:type="paragraph" w:customStyle="1" w:styleId="66">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无标题条"/>
    <w:next w:val="54"/>
    <w:qFormat/>
    <w:uiPriority w:val="0"/>
    <w:pPr>
      <w:jc w:val="both"/>
    </w:pPr>
    <w:rPr>
      <w:rFonts w:ascii="Times New Roman" w:hAnsi="Times New Roman" w:eastAsia="宋体" w:cs="Times New Roman"/>
      <w:sz w:val="21"/>
      <w:lang w:val="en-US" w:eastAsia="zh-CN" w:bidi="ar-SA"/>
    </w:rPr>
  </w:style>
  <w:style w:type="paragraph" w:customStyle="1" w:styleId="68">
    <w:name w:val="附录四级条标题"/>
    <w:basedOn w:val="50"/>
    <w:next w:val="54"/>
    <w:qFormat/>
    <w:uiPriority w:val="0"/>
    <w:pPr>
      <w:numPr>
        <w:ilvl w:val="5"/>
      </w:numPr>
      <w:outlineLvl w:val="5"/>
    </w:pPr>
  </w:style>
  <w:style w:type="paragraph" w:customStyle="1" w:styleId="69">
    <w:name w:val="Char"/>
    <w:basedOn w:val="1"/>
    <w:qFormat/>
    <w:uiPriority w:val="0"/>
    <w:pPr>
      <w:adjustRightInd/>
      <w:spacing w:line="240" w:lineRule="auto"/>
      <w:textAlignment w:val="auto"/>
    </w:pPr>
    <w:rPr>
      <w:rFonts w:ascii="Tahoma" w:hAnsi="Tahoma"/>
      <w:sz w:val="24"/>
      <w:szCs w:val="20"/>
    </w:rPr>
  </w:style>
  <w:style w:type="paragraph" w:customStyle="1" w:styleId="70">
    <w:name w:val="列项——"/>
    <w:qFormat/>
    <w:uiPriority w:val="0"/>
    <w:pPr>
      <w:widowControl w:val="0"/>
      <w:numPr>
        <w:ilvl w:val="0"/>
        <w:numId w:val="3"/>
      </w:numPr>
      <w:tabs>
        <w:tab w:val="left" w:pos="854"/>
        <w:tab w:val="left"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2">
    <w:name w:val="五级无标题条"/>
    <w:basedOn w:val="1"/>
    <w:qFormat/>
    <w:uiPriority w:val="0"/>
    <w:pPr>
      <w:numPr>
        <w:ilvl w:val="6"/>
        <w:numId w:val="4"/>
      </w:numPr>
      <w:tabs>
        <w:tab w:val="left" w:pos="360"/>
      </w:tabs>
      <w:adjustRightInd/>
      <w:spacing w:line="240" w:lineRule="auto"/>
      <w:textAlignment w:val="auto"/>
    </w:pPr>
  </w:style>
  <w:style w:type="paragraph" w:customStyle="1" w:styleId="73">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74">
    <w:name w:val="四级无标题条"/>
    <w:basedOn w:val="1"/>
    <w:qFormat/>
    <w:uiPriority w:val="0"/>
    <w:pPr>
      <w:numPr>
        <w:ilvl w:val="5"/>
        <w:numId w:val="4"/>
      </w:numPr>
      <w:tabs>
        <w:tab w:val="left" w:pos="360"/>
      </w:tabs>
      <w:adjustRightInd/>
      <w:spacing w:line="240" w:lineRule="auto"/>
      <w:textAlignment w:val="auto"/>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正文表标题"/>
    <w:next w:val="54"/>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77">
    <w:name w:val="标准书眉_偶数页"/>
    <w:basedOn w:val="78"/>
    <w:next w:val="1"/>
    <w:qFormat/>
    <w:uiPriority w:val="0"/>
    <w:pPr>
      <w:tabs>
        <w:tab w:val="center" w:pos="4154"/>
        <w:tab w:val="right" w:pos="8306"/>
      </w:tabs>
      <w:jc w:val="left"/>
    </w:pPr>
  </w:style>
  <w:style w:type="paragraph" w:customStyle="1" w:styleId="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
    <w:name w:val="font5"/>
    <w:basedOn w:val="1"/>
    <w:qFormat/>
    <w:uiPriority w:val="0"/>
    <w:pPr>
      <w:widowControl/>
      <w:tabs>
        <w:tab w:val="left" w:pos="360"/>
      </w:tabs>
      <w:spacing w:before="100" w:beforeAutospacing="1" w:after="100" w:afterAutospacing="1"/>
      <w:jc w:val="left"/>
    </w:pPr>
    <w:rPr>
      <w:rFonts w:ascii="宋体" w:hAnsi="宋体" w:cs="Arial Unicode MS"/>
      <w:kern w:val="0"/>
      <w:sz w:val="20"/>
      <w:szCs w:val="20"/>
    </w:rPr>
  </w:style>
  <w:style w:type="paragraph" w:customStyle="1" w:styleId="80">
    <w:name w:val="发布部门"/>
    <w:next w:val="54"/>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1">
    <w:name w:val="附录五级条标题"/>
    <w:basedOn w:val="68"/>
    <w:next w:val="54"/>
    <w:qFormat/>
    <w:uiPriority w:val="0"/>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4">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85">
    <w:name w:val="样式 标题 2 + 非加粗 首行缩进:  2 字符"/>
    <w:basedOn w:val="2"/>
    <w:qFormat/>
    <w:uiPriority w:val="0"/>
    <w:pPr>
      <w:spacing w:before="0" w:after="0" w:line="600" w:lineRule="exact"/>
      <w:ind w:firstLine="640" w:firstLineChars="200"/>
      <w:jc w:val="left"/>
    </w:pPr>
    <w:rPr>
      <w:rFonts w:cs="宋体"/>
      <w:b w:val="0"/>
      <w:bCs w:val="0"/>
      <w:szCs w:val="20"/>
    </w:rPr>
  </w:style>
  <w:style w:type="paragraph" w:customStyle="1" w:styleId="86">
    <w:name w:val="附录表标题"/>
    <w:next w:val="54"/>
    <w:qFormat/>
    <w:uiPriority w:val="0"/>
    <w:pPr>
      <w:jc w:val="center"/>
    </w:pPr>
    <w:rPr>
      <w:rFonts w:ascii="黑体" w:hAnsi="Times New Roman" w:eastAsia="黑体" w:cs="Times New Roman"/>
      <w:kern w:val="21"/>
      <w:sz w:val="21"/>
      <w:lang w:val="en-US" w:eastAsia="zh-CN" w:bidi="ar-SA"/>
    </w:rPr>
  </w:style>
  <w:style w:type="paragraph" w:customStyle="1" w:styleId="87">
    <w:name w:val="注："/>
    <w:next w:val="54"/>
    <w:qFormat/>
    <w:uiPriority w:val="0"/>
    <w:pPr>
      <w:widowControl w:val="0"/>
      <w:numPr>
        <w:ilvl w:val="0"/>
        <w:numId w:val="6"/>
      </w:numPr>
      <w:autoSpaceDE w:val="0"/>
      <w:autoSpaceDN w:val="0"/>
      <w:jc w:val="both"/>
    </w:pPr>
    <w:rPr>
      <w:rFonts w:ascii="宋体" w:hAnsi="Times New Roman" w:eastAsia="宋体" w:cs="Times New Roman"/>
      <w:sz w:val="18"/>
      <w:lang w:val="en-US" w:eastAsia="zh-CN" w:bidi="ar-SA"/>
    </w:rPr>
  </w:style>
  <w:style w:type="paragraph" w:customStyle="1" w:styleId="88">
    <w:name w:val="实施日期"/>
    <w:basedOn w:val="89"/>
    <w:qFormat/>
    <w:uiPriority w:val="0"/>
    <w:pPr>
      <w:framePr w:hSpace="0" w:xAlign="right"/>
      <w:jc w:val="right"/>
    </w:pPr>
  </w:style>
  <w:style w:type="paragraph" w:customStyle="1" w:styleId="89">
    <w:name w:val="发布日期"/>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0">
    <w:name w:val="_Style 86"/>
    <w:semiHidden/>
    <w:qFormat/>
    <w:uiPriority w:val="99"/>
    <w:rPr>
      <w:rFonts w:ascii="Times New Roman" w:hAnsi="Times New Roman" w:eastAsia="宋体" w:cs="Times New Roman"/>
      <w:kern w:val="2"/>
      <w:sz w:val="21"/>
      <w:szCs w:val="24"/>
      <w:lang w:val="en-US" w:eastAsia="zh-CN" w:bidi="ar-SA"/>
    </w:rPr>
  </w:style>
  <w:style w:type="paragraph" w:customStyle="1" w:styleId="91">
    <w:name w:val="Char Char Char Char Char Char Char Char Char Char Char Char"/>
    <w:basedOn w:val="1"/>
    <w:qFormat/>
    <w:uiPriority w:val="0"/>
    <w:pPr>
      <w:widowControl/>
      <w:spacing w:after="160" w:line="240" w:lineRule="exact"/>
      <w:jc w:val="left"/>
    </w:pPr>
  </w:style>
  <w:style w:type="paragraph" w:customStyle="1" w:styleId="92">
    <w:name w:val="附录标识"/>
    <w:basedOn w:val="66"/>
    <w:qFormat/>
    <w:uiPriority w:val="0"/>
    <w:pPr>
      <w:numPr>
        <w:ilvl w:val="0"/>
        <w:numId w:val="1"/>
      </w:numPr>
      <w:tabs>
        <w:tab w:val="left" w:pos="6405"/>
      </w:tabs>
      <w:spacing w:after="200"/>
    </w:pPr>
    <w:rPr>
      <w:sz w:val="21"/>
    </w:rPr>
  </w:style>
  <w:style w:type="paragraph" w:customStyle="1" w:styleId="9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4">
    <w:name w:val="封面正文"/>
    <w:qFormat/>
    <w:uiPriority w:val="0"/>
    <w:pPr>
      <w:jc w:val="both"/>
    </w:pPr>
    <w:rPr>
      <w:rFonts w:ascii="Times New Roman" w:hAnsi="Times New Roman" w:eastAsia="宋体" w:cs="Times New Roman"/>
      <w:lang w:val="en-US" w:eastAsia="zh-CN" w:bidi="ar-SA"/>
    </w:rPr>
  </w:style>
  <w:style w:type="paragraph" w:customStyle="1" w:styleId="95">
    <w:name w:val="正文图标题"/>
    <w:next w:val="54"/>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6">
    <w:name w:val="Formatvorlage layout_standard + 10 pt"/>
    <w:basedOn w:val="57"/>
    <w:qFormat/>
    <w:uiPriority w:val="0"/>
    <w:rPr>
      <w:bCs/>
      <w:sz w:val="22"/>
    </w:rPr>
  </w:style>
  <w:style w:type="paragraph" w:customStyle="1" w:styleId="97">
    <w:name w:val="二级无标题条"/>
    <w:basedOn w:val="1"/>
    <w:qFormat/>
    <w:uiPriority w:val="0"/>
    <w:pPr>
      <w:numPr>
        <w:ilvl w:val="3"/>
        <w:numId w:val="4"/>
      </w:numPr>
      <w:tabs>
        <w:tab w:val="left" w:pos="360"/>
      </w:tabs>
      <w:adjustRightInd/>
      <w:spacing w:line="240" w:lineRule="auto"/>
      <w:textAlignment w:val="auto"/>
    </w:pPr>
  </w:style>
  <w:style w:type="paragraph" w:customStyle="1" w:styleId="98">
    <w:name w:val="参考文献、索引标题"/>
    <w:basedOn w:val="66"/>
    <w:next w:val="1"/>
    <w:qFormat/>
    <w:uiPriority w:val="0"/>
    <w:pPr>
      <w:numPr>
        <w:numId w:val="0"/>
      </w:numPr>
      <w:spacing w:after="200"/>
    </w:pPr>
    <w:rPr>
      <w:sz w:val="21"/>
    </w:rPr>
  </w:style>
  <w:style w:type="paragraph" w:customStyle="1" w:styleId="99">
    <w:name w:val="Style16"/>
    <w:basedOn w:val="1"/>
    <w:qFormat/>
    <w:uiPriority w:val="0"/>
    <w:pPr>
      <w:spacing w:line="630" w:lineRule="exact"/>
      <w:ind w:firstLine="643"/>
      <w:textAlignment w:val="auto"/>
    </w:pPr>
    <w:rPr>
      <w:rFonts w:ascii="宋体"/>
      <w:kern w:val="0"/>
      <w:sz w:val="24"/>
    </w:rPr>
  </w:style>
  <w:style w:type="paragraph" w:customStyle="1" w:styleId="100">
    <w:name w:val="图表脚注"/>
    <w:next w:val="54"/>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101">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02">
    <w:name w:val="附录图标题"/>
    <w:next w:val="54"/>
    <w:qFormat/>
    <w:uiPriority w:val="0"/>
    <w:pPr>
      <w:jc w:val="center"/>
    </w:pPr>
    <w:rPr>
      <w:rFonts w:ascii="黑体" w:hAnsi="Times New Roman" w:eastAsia="黑体" w:cs="Times New Roman"/>
      <w:sz w:val="21"/>
      <w:lang w:val="en-US" w:eastAsia="zh-CN" w:bidi="ar-SA"/>
    </w:rPr>
  </w:style>
  <w:style w:type="paragraph" w:customStyle="1" w:styleId="103">
    <w:name w:val="目次、标准名称标题"/>
    <w:basedOn w:val="66"/>
    <w:next w:val="54"/>
    <w:qFormat/>
    <w:uiPriority w:val="0"/>
    <w:pPr>
      <w:numPr>
        <w:numId w:val="0"/>
      </w:numPr>
      <w:spacing w:line="460" w:lineRule="exact"/>
    </w:pPr>
  </w:style>
  <w:style w:type="paragraph" w:customStyle="1" w:styleId="104">
    <w:name w:val="五级条标题"/>
    <w:basedOn w:val="60"/>
    <w:next w:val="54"/>
    <w:qFormat/>
    <w:uiPriority w:val="0"/>
    <w:pPr>
      <w:numPr>
        <w:ilvl w:val="6"/>
      </w:numPr>
      <w:outlineLvl w:val="6"/>
    </w:pPr>
  </w:style>
  <w:style w:type="paragraph" w:customStyle="1" w:styleId="105">
    <w:name w:val="_Style 101"/>
    <w:basedOn w:val="1"/>
    <w:qFormat/>
    <w:uiPriority w:val="34"/>
    <w:pPr>
      <w:ind w:firstLine="420" w:firstLineChars="200"/>
    </w:pPr>
    <w:rPr>
      <w:rFonts w:ascii="Calibri" w:hAnsi="Calibri"/>
      <w:szCs w:val="22"/>
    </w:rPr>
  </w:style>
  <w:style w:type="paragraph" w:customStyle="1" w:styleId="106">
    <w:name w:val="示例"/>
    <w:next w:val="54"/>
    <w:qFormat/>
    <w:uiPriority w:val="0"/>
    <w:pPr>
      <w:numPr>
        <w:ilvl w:val="0"/>
        <w:numId w:val="8"/>
      </w:numPr>
      <w:tabs>
        <w:tab w:val="left" w:pos="816"/>
        <w:tab w:val="left" w:pos="1120"/>
      </w:tabs>
      <w:ind w:firstLine="419" w:firstLineChars="233"/>
      <w:jc w:val="both"/>
    </w:pPr>
    <w:rPr>
      <w:rFonts w:ascii="宋体" w:hAnsi="Times New Roman" w:eastAsia="宋体" w:cs="Times New Roman"/>
      <w:sz w:val="18"/>
      <w:lang w:val="en-US" w:eastAsia="zh-CN" w:bidi="ar-SA"/>
    </w:rPr>
  </w:style>
  <w:style w:type="paragraph" w:customStyle="1" w:styleId="107">
    <w:name w:val="表右齐"/>
    <w:basedOn w:val="1"/>
    <w:qFormat/>
    <w:uiPriority w:val="0"/>
    <w:pPr>
      <w:autoSpaceDE w:val="0"/>
      <w:autoSpaceDN w:val="0"/>
      <w:ind w:left="720" w:right="332"/>
      <w:jc w:val="right"/>
    </w:pPr>
    <w:rPr>
      <w:rFonts w:hAnsi="Arial"/>
      <w:kern w:val="0"/>
      <w:szCs w:val="20"/>
    </w:rPr>
  </w:style>
  <w:style w:type="paragraph" w:customStyle="1" w:styleId="108">
    <w:name w:val="layout_Position"/>
    <w:basedOn w:val="1"/>
    <w:qFormat/>
    <w:uiPriority w:val="0"/>
    <w:pPr>
      <w:widowControl/>
      <w:jc w:val="left"/>
    </w:pPr>
    <w:rPr>
      <w:rFonts w:ascii="Arial" w:hAnsi="Arial" w:eastAsia="Times New Roman"/>
      <w:kern w:val="0"/>
      <w:sz w:val="22"/>
      <w:szCs w:val="20"/>
      <w:lang w:val="en-GB" w:eastAsia="de-DE"/>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1">
    <w:name w:val="Char1"/>
    <w:basedOn w:val="1"/>
    <w:qFormat/>
    <w:uiPriority w:val="0"/>
    <w:pPr>
      <w:adjustRightInd/>
      <w:spacing w:line="240" w:lineRule="auto"/>
      <w:textAlignment w:val="auto"/>
    </w:pPr>
    <w:rPr>
      <w:szCs w:val="21"/>
    </w:rPr>
  </w:style>
  <w:style w:type="paragraph" w:customStyle="1" w:styleId="112">
    <w:name w:val="Char Char Char Char Char Char Char"/>
    <w:basedOn w:val="1"/>
    <w:qFormat/>
    <w:uiPriority w:val="0"/>
    <w:pPr>
      <w:adjustRightInd/>
      <w:spacing w:line="240" w:lineRule="auto"/>
      <w:textAlignment w:val="auto"/>
    </w:pPr>
  </w:style>
  <w:style w:type="paragraph" w:customStyle="1" w:styleId="113">
    <w:name w:val="表格文字"/>
    <w:qFormat/>
    <w:uiPriority w:val="0"/>
    <w:pPr>
      <w:jc w:val="center"/>
    </w:pPr>
    <w:rPr>
      <w:rFonts w:ascii="Times New Roman" w:hAnsi="Times New Roman" w:eastAsia="宋体" w:cs="Times New Roman"/>
      <w:kern w:val="2"/>
      <w:sz w:val="21"/>
      <w:szCs w:val="21"/>
      <w:lang w:val="en-US" w:eastAsia="zh-CN" w:bidi="ar-SA"/>
    </w:rPr>
  </w:style>
  <w:style w:type="paragraph" w:customStyle="1" w:styleId="114">
    <w:name w:val="字母编号列项（一级）"/>
    <w:qFormat/>
    <w:uiPriority w:val="0"/>
    <w:pPr>
      <w:ind w:left="200" w:leftChars="200" w:hanging="420" w:hangingChars="200"/>
      <w:jc w:val="both"/>
    </w:pPr>
    <w:rPr>
      <w:rFonts w:ascii="宋体" w:hAnsi="Times New Roman" w:eastAsia="宋体" w:cs="Times New Roman"/>
      <w:sz w:val="21"/>
      <w:lang w:val="en-US" w:eastAsia="zh-CN" w:bidi="ar-SA"/>
    </w:rPr>
  </w:style>
  <w:style w:type="paragraph" w:customStyle="1" w:styleId="115">
    <w:name w:val="条文脚注"/>
    <w:basedOn w:val="26"/>
    <w:qFormat/>
    <w:uiPriority w:val="0"/>
    <w:pPr>
      <w:adjustRightInd/>
      <w:spacing w:line="240" w:lineRule="auto"/>
      <w:ind w:left="200" w:leftChars="200" w:hanging="360" w:hangingChars="200"/>
      <w:jc w:val="both"/>
      <w:textAlignment w:val="auto"/>
    </w:pPr>
    <w:rPr>
      <w:rFonts w:ascii="宋体" w:hAnsi="宋体"/>
    </w:rPr>
  </w:style>
  <w:style w:type="paragraph" w:customStyle="1" w:styleId="116">
    <w:name w:val="Char Char Char"/>
    <w:basedOn w:val="1"/>
    <w:qFormat/>
    <w:uiPriority w:val="0"/>
    <w:pPr>
      <w:adjustRightInd/>
      <w:spacing w:line="240" w:lineRule="auto"/>
      <w:textAlignment w:val="auto"/>
    </w:pPr>
    <w:rPr>
      <w:szCs w:val="20"/>
    </w:rPr>
  </w:style>
  <w:style w:type="paragraph" w:customStyle="1" w:styleId="117">
    <w:name w:val="Char Char Char Char Char Char Char1"/>
    <w:basedOn w:val="1"/>
    <w:qFormat/>
    <w:uiPriority w:val="0"/>
  </w:style>
  <w:style w:type="paragraph" w:customStyle="1" w:styleId="11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9">
    <w:name w:val="列项·"/>
    <w:qFormat/>
    <w:uiPriority w:val="0"/>
    <w:pPr>
      <w:numPr>
        <w:ilvl w:val="0"/>
        <w:numId w:val="9"/>
      </w:numPr>
      <w:tabs>
        <w:tab w:val="left" w:pos="840"/>
        <w:tab w:val="left" w:pos="1140"/>
      </w:tabs>
      <w:ind w:left="200" w:leftChars="200" w:hanging="420" w:hangingChars="200"/>
      <w:jc w:val="both"/>
    </w:pPr>
    <w:rPr>
      <w:rFonts w:ascii="宋体" w:hAnsi="Times New Roman" w:eastAsia="宋体" w:cs="Times New Roman"/>
      <w:sz w:val="21"/>
      <w:lang w:val="en-US" w:eastAsia="zh-CN" w:bidi="ar-SA"/>
    </w:rPr>
  </w:style>
  <w:style w:type="paragraph" w:customStyle="1" w:styleId="120">
    <w:name w:val="注×："/>
    <w:qFormat/>
    <w:uiPriority w:val="0"/>
    <w:pPr>
      <w:widowControl w:val="0"/>
      <w:numPr>
        <w:ilvl w:val="0"/>
        <w:numId w:val="10"/>
      </w:numPr>
      <w:tabs>
        <w:tab w:val="left" w:pos="630"/>
        <w:tab w:val="left" w:pos="900"/>
      </w:tabs>
      <w:autoSpaceDE w:val="0"/>
      <w:autoSpaceDN w:val="0"/>
      <w:jc w:val="both"/>
    </w:pPr>
    <w:rPr>
      <w:rFonts w:ascii="宋体" w:hAnsi="Times New Roman" w:eastAsia="宋体" w:cs="Times New Roman"/>
      <w:sz w:val="18"/>
      <w:lang w:val="en-US" w:eastAsia="zh-CN" w:bidi="ar-SA"/>
    </w:rPr>
  </w:style>
  <w:style w:type="paragraph" w:customStyle="1" w:styleId="121">
    <w:name w:val="其他发布部门"/>
    <w:basedOn w:val="80"/>
    <w:qFormat/>
    <w:uiPriority w:val="0"/>
    <w:pPr>
      <w:spacing w:line="0" w:lineRule="atLeast"/>
    </w:pPr>
    <w:rPr>
      <w:rFonts w:ascii="黑体" w:eastAsia="黑体"/>
      <w:b w:val="0"/>
    </w:rPr>
  </w:style>
  <w:style w:type="paragraph" w:customStyle="1" w:styleId="122">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3">
    <w:name w:val="一级无标题条"/>
    <w:basedOn w:val="1"/>
    <w:qFormat/>
    <w:uiPriority w:val="0"/>
    <w:pPr>
      <w:numPr>
        <w:ilvl w:val="2"/>
        <w:numId w:val="4"/>
      </w:numPr>
      <w:tabs>
        <w:tab w:val="left" w:pos="360"/>
      </w:tabs>
      <w:adjustRightInd/>
      <w:spacing w:line="240" w:lineRule="auto"/>
      <w:textAlignment w:val="auto"/>
    </w:pPr>
  </w:style>
  <w:style w:type="paragraph" w:customStyle="1" w:styleId="124">
    <w:name w:val="数字编号列项（二级）"/>
    <w:qFormat/>
    <w:uiPriority w:val="0"/>
    <w:pPr>
      <w:ind w:left="400" w:leftChars="400" w:hanging="420" w:hangingChars="200"/>
      <w:jc w:val="both"/>
    </w:pPr>
    <w:rPr>
      <w:rFonts w:ascii="宋体" w:hAnsi="Times New Roman" w:eastAsia="宋体" w:cs="Times New Roman"/>
      <w:sz w:val="21"/>
      <w:lang w:val="en-US" w:eastAsia="zh-CN" w:bidi="ar-SA"/>
    </w:rPr>
  </w:style>
  <w:style w:type="paragraph" w:customStyle="1" w:styleId="125">
    <w:name w:val="图表 标题"/>
    <w:basedOn w:val="1"/>
    <w:link w:val="200"/>
    <w:qFormat/>
    <w:uiPriority w:val="0"/>
    <w:pPr>
      <w:autoSpaceDN w:val="0"/>
      <w:adjustRightInd/>
      <w:spacing w:line="360" w:lineRule="auto"/>
      <w:jc w:val="center"/>
      <w:textAlignment w:val="auto"/>
    </w:pPr>
    <w:rPr>
      <w:sz w:val="24"/>
    </w:rPr>
  </w:style>
  <w:style w:type="paragraph" w:customStyle="1" w:styleId="126">
    <w:name w:val="默认段落字体 Para Char Char Char Char Char Char Char Char Char1 Char Char Char Char"/>
    <w:basedOn w:val="1"/>
    <w:qFormat/>
    <w:uiPriority w:val="0"/>
    <w:rPr>
      <w:rFonts w:ascii="Tahoma" w:hAnsi="Tahoma"/>
      <w:sz w:val="24"/>
      <w:szCs w:val="20"/>
    </w:rPr>
  </w:style>
  <w:style w:type="paragraph" w:customStyle="1" w:styleId="12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8">
    <w:name w:val="三级无标题条"/>
    <w:basedOn w:val="1"/>
    <w:qFormat/>
    <w:uiPriority w:val="0"/>
    <w:pPr>
      <w:numPr>
        <w:ilvl w:val="4"/>
        <w:numId w:val="4"/>
      </w:numPr>
      <w:tabs>
        <w:tab w:val="left" w:pos="360"/>
      </w:tabs>
      <w:adjustRightInd/>
      <w:spacing w:line="240" w:lineRule="auto"/>
      <w:textAlignment w:val="auto"/>
    </w:pPr>
  </w:style>
  <w:style w:type="paragraph" w:customStyle="1" w:styleId="129">
    <w:name w:val="Char Char Char Char"/>
    <w:basedOn w:val="1"/>
    <w:qFormat/>
    <w:uiPriority w:val="0"/>
    <w:pPr>
      <w:widowControl/>
      <w:adjustRightInd/>
      <w:spacing w:after="160" w:line="240" w:lineRule="exact"/>
      <w:jc w:val="left"/>
      <w:textAlignment w:val="auto"/>
    </w:pPr>
  </w:style>
  <w:style w:type="paragraph" w:customStyle="1" w:styleId="130">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1">
    <w:name w:val="Default"/>
    <w:qFormat/>
    <w:uiPriority w:val="0"/>
    <w:pPr>
      <w:widowControl w:val="0"/>
      <w:autoSpaceDE w:val="0"/>
      <w:autoSpaceDN w:val="0"/>
      <w:adjustRightInd w:val="0"/>
      <w:spacing w:line="360" w:lineRule="exact"/>
      <w:jc w:val="center"/>
    </w:pPr>
    <w:rPr>
      <w:rFonts w:ascii="宋体" w:hAnsi="宋体" w:eastAsia="宋体" w:cs="宋体"/>
      <w:color w:val="000000"/>
      <w:sz w:val="24"/>
      <w:szCs w:val="24"/>
      <w:lang w:val="en-US" w:eastAsia="zh-CN" w:bidi="ar-SA"/>
    </w:rPr>
  </w:style>
  <w:style w:type="paragraph" w:customStyle="1" w:styleId="132">
    <w:name w:val="Char Char Char Char Char Char Char Char Char Char Char Char1"/>
    <w:basedOn w:val="1"/>
    <w:qFormat/>
    <w:uiPriority w:val="0"/>
    <w:pPr>
      <w:widowControl/>
      <w:adjustRightInd/>
      <w:spacing w:after="160" w:line="240" w:lineRule="exact"/>
      <w:jc w:val="left"/>
      <w:textAlignment w:val="auto"/>
    </w:pPr>
  </w:style>
  <w:style w:type="paragraph" w:customStyle="1" w:styleId="133">
    <w:name w:val="列出段落1"/>
    <w:basedOn w:val="1"/>
    <w:qFormat/>
    <w:uiPriority w:val="0"/>
    <w:pPr>
      <w:ind w:firstLine="420" w:firstLineChars="200"/>
    </w:pPr>
    <w:rPr>
      <w:rFonts w:ascii="Calibri" w:hAnsi="Calibri"/>
      <w:szCs w:val="22"/>
    </w:rPr>
  </w:style>
  <w:style w:type="character" w:customStyle="1" w:styleId="134">
    <w:name w:val="Font Style71"/>
    <w:qFormat/>
    <w:uiPriority w:val="0"/>
    <w:rPr>
      <w:rFonts w:ascii="宋体" w:eastAsia="宋体" w:cs="宋体"/>
      <w:b/>
      <w:bCs/>
      <w:spacing w:val="20"/>
      <w:sz w:val="28"/>
      <w:szCs w:val="28"/>
    </w:rPr>
  </w:style>
  <w:style w:type="character" w:customStyle="1" w:styleId="135">
    <w:name w:val="批注文字 Char2"/>
    <w:basedOn w:val="35"/>
    <w:semiHidden/>
    <w:qFormat/>
    <w:uiPriority w:val="0"/>
    <w:rPr>
      <w:kern w:val="2"/>
      <w:sz w:val="21"/>
      <w:szCs w:val="24"/>
    </w:rPr>
  </w:style>
  <w:style w:type="character" w:customStyle="1" w:styleId="136">
    <w:name w:val="纯文本 Char2"/>
    <w:basedOn w:val="35"/>
    <w:qFormat/>
    <w:uiPriority w:val="0"/>
    <w:rPr>
      <w:rFonts w:ascii="宋体" w:hAnsi="Courier New" w:cs="Courier New"/>
      <w:kern w:val="2"/>
      <w:sz w:val="21"/>
      <w:szCs w:val="21"/>
    </w:rPr>
  </w:style>
  <w:style w:type="character" w:customStyle="1" w:styleId="137">
    <w:name w:val="标题 2 字符"/>
    <w:link w:val="2"/>
    <w:qFormat/>
    <w:uiPriority w:val="0"/>
    <w:rPr>
      <w:rFonts w:ascii="Arial" w:hAnsi="Arial" w:eastAsia="黑体"/>
      <w:b/>
      <w:bCs/>
      <w:kern w:val="2"/>
      <w:sz w:val="32"/>
      <w:szCs w:val="32"/>
      <w:lang w:val="en-US" w:eastAsia="zh-CN" w:bidi="ar-SA"/>
    </w:rPr>
  </w:style>
  <w:style w:type="character" w:customStyle="1" w:styleId="138">
    <w:name w:val="发布"/>
    <w:basedOn w:val="35"/>
    <w:qFormat/>
    <w:uiPriority w:val="0"/>
    <w:rPr>
      <w:rFonts w:hint="eastAsia" w:ascii="黑体" w:hAnsi="黑体" w:eastAsia="黑体"/>
      <w:spacing w:val="22"/>
      <w:w w:val="100"/>
      <w:position w:val="3"/>
      <w:sz w:val="28"/>
    </w:rPr>
  </w:style>
  <w:style w:type="character" w:customStyle="1" w:styleId="139">
    <w:name w:val="纯文本 Char1"/>
    <w:qFormat/>
    <w:uiPriority w:val="0"/>
    <w:rPr>
      <w:rFonts w:ascii="宋体" w:hAnsi="Courier New" w:eastAsia="宋体"/>
      <w:kern w:val="2"/>
      <w:sz w:val="21"/>
      <w:lang w:val="en-US" w:eastAsia="zh-CN" w:bidi="ar-SA"/>
    </w:rPr>
  </w:style>
  <w:style w:type="character" w:customStyle="1" w:styleId="140">
    <w:name w:val="HTML 地址 Char1"/>
    <w:basedOn w:val="35"/>
    <w:semiHidden/>
    <w:qFormat/>
    <w:uiPriority w:val="99"/>
    <w:rPr>
      <w:i/>
      <w:iCs/>
      <w:kern w:val="2"/>
      <w:sz w:val="21"/>
      <w:szCs w:val="24"/>
    </w:rPr>
  </w:style>
  <w:style w:type="character" w:customStyle="1" w:styleId="141">
    <w:name w:val="批注框文本 字符"/>
    <w:basedOn w:val="35"/>
    <w:link w:val="21"/>
    <w:qFormat/>
    <w:locked/>
    <w:uiPriority w:val="0"/>
    <w:rPr>
      <w:kern w:val="2"/>
      <w:sz w:val="18"/>
      <w:szCs w:val="18"/>
    </w:rPr>
  </w:style>
  <w:style w:type="character" w:customStyle="1" w:styleId="142">
    <w:name w:val="Char Char2"/>
    <w:basedOn w:val="35"/>
    <w:qFormat/>
    <w:locked/>
    <w:uiPriority w:val="0"/>
    <w:rPr>
      <w:rFonts w:ascii="Courier New" w:hAnsi="Courier New" w:eastAsia="宋体" w:cs="Courier New"/>
      <w:kern w:val="2"/>
      <w:lang w:val="en-US" w:eastAsia="zh-CN" w:bidi="ar-SA"/>
    </w:rPr>
  </w:style>
  <w:style w:type="character" w:customStyle="1" w:styleId="143">
    <w:name w:val="批注主题 Char1"/>
    <w:basedOn w:val="135"/>
    <w:semiHidden/>
    <w:qFormat/>
    <w:uiPriority w:val="99"/>
    <w:rPr>
      <w:b/>
      <w:bCs/>
      <w:kern w:val="2"/>
      <w:sz w:val="21"/>
      <w:szCs w:val="24"/>
    </w:rPr>
  </w:style>
  <w:style w:type="character" w:customStyle="1" w:styleId="144">
    <w:name w:val="Char Char11"/>
    <w:basedOn w:val="35"/>
    <w:qFormat/>
    <w:locked/>
    <w:uiPriority w:val="0"/>
    <w:rPr>
      <w:rFonts w:ascii="宋体" w:hAnsi="宋体" w:eastAsia="宋体"/>
      <w:kern w:val="2"/>
      <w:sz w:val="21"/>
      <w:szCs w:val="24"/>
      <w:lang w:val="en-US" w:eastAsia="zh-CN" w:bidi="ar-SA"/>
    </w:rPr>
  </w:style>
  <w:style w:type="character" w:customStyle="1" w:styleId="145">
    <w:name w:val="批注文字 字符"/>
    <w:link w:val="12"/>
    <w:qFormat/>
    <w:uiPriority w:val="0"/>
    <w:rPr>
      <w:kern w:val="2"/>
      <w:sz w:val="21"/>
      <w:szCs w:val="24"/>
    </w:rPr>
  </w:style>
  <w:style w:type="character" w:customStyle="1" w:styleId="146">
    <w:name w:val="页脚 Char1"/>
    <w:basedOn w:val="35"/>
    <w:semiHidden/>
    <w:qFormat/>
    <w:uiPriority w:val="99"/>
    <w:rPr>
      <w:kern w:val="2"/>
      <w:sz w:val="18"/>
      <w:szCs w:val="18"/>
    </w:rPr>
  </w:style>
  <w:style w:type="character" w:customStyle="1" w:styleId="147">
    <w:name w:val="正文文本 Char1"/>
    <w:basedOn w:val="35"/>
    <w:semiHidden/>
    <w:qFormat/>
    <w:uiPriority w:val="99"/>
    <w:rPr>
      <w:kern w:val="2"/>
      <w:sz w:val="21"/>
      <w:szCs w:val="24"/>
    </w:rPr>
  </w:style>
  <w:style w:type="character" w:customStyle="1" w:styleId="148">
    <w:name w:val="Char Char20"/>
    <w:basedOn w:val="35"/>
    <w:qFormat/>
    <w:locked/>
    <w:uiPriority w:val="0"/>
    <w:rPr>
      <w:rFonts w:ascii="Arial" w:hAnsi="Arial" w:eastAsia="黑体"/>
      <w:b/>
      <w:bCs/>
      <w:kern w:val="2"/>
      <w:sz w:val="32"/>
      <w:szCs w:val="32"/>
      <w:lang w:val="en-US" w:eastAsia="zh-CN" w:bidi="ar-SA"/>
    </w:rPr>
  </w:style>
  <w:style w:type="character" w:customStyle="1" w:styleId="149">
    <w:name w:val="Char Char8"/>
    <w:qFormat/>
    <w:locked/>
    <w:uiPriority w:val="0"/>
    <w:rPr>
      <w:rFonts w:ascii="宋体" w:hAnsi="Courier New" w:eastAsia="宋体"/>
      <w:spacing w:val="-4"/>
      <w:kern w:val="2"/>
      <w:sz w:val="18"/>
      <w:lang w:val="en-US" w:eastAsia="zh-CN" w:bidi="ar-SA"/>
    </w:rPr>
  </w:style>
  <w:style w:type="character" w:customStyle="1" w:styleId="150">
    <w:name w:val="fo Char"/>
    <w:qFormat/>
    <w:uiPriority w:val="0"/>
    <w:rPr>
      <w:sz w:val="18"/>
      <w:szCs w:val="18"/>
    </w:rPr>
  </w:style>
  <w:style w:type="character" w:customStyle="1" w:styleId="151">
    <w:name w:val="Char Char19"/>
    <w:basedOn w:val="35"/>
    <w:qFormat/>
    <w:locked/>
    <w:uiPriority w:val="0"/>
    <w:rPr>
      <w:rFonts w:eastAsia="宋体"/>
      <w:b/>
      <w:bCs/>
      <w:kern w:val="2"/>
      <w:sz w:val="32"/>
      <w:szCs w:val="32"/>
      <w:lang w:val="en-US" w:eastAsia="zh-CN" w:bidi="ar-SA"/>
    </w:rPr>
  </w:style>
  <w:style w:type="character" w:customStyle="1" w:styleId="152">
    <w:name w:val="正文文本 3 字符"/>
    <w:link w:val="13"/>
    <w:qFormat/>
    <w:uiPriority w:val="0"/>
    <w:rPr>
      <w:rFonts w:eastAsia="仿宋_GB2312"/>
      <w:sz w:val="28"/>
      <w:lang w:bidi="ar-SA"/>
    </w:rPr>
  </w:style>
  <w:style w:type="character" w:customStyle="1" w:styleId="153">
    <w:name w:val="HTML 预设格式 Char1"/>
    <w:basedOn w:val="35"/>
    <w:semiHidden/>
    <w:qFormat/>
    <w:uiPriority w:val="99"/>
    <w:rPr>
      <w:rFonts w:ascii="Courier New" w:hAnsi="Courier New" w:cs="Courier New"/>
      <w:kern w:val="2"/>
    </w:rPr>
  </w:style>
  <w:style w:type="character" w:customStyle="1" w:styleId="154">
    <w:name w:val="副标题 字符"/>
    <w:link w:val="25"/>
    <w:qFormat/>
    <w:uiPriority w:val="0"/>
    <w:rPr>
      <w:rFonts w:ascii="Cambria" w:hAnsi="Cambria" w:eastAsia="宋体"/>
      <w:b/>
      <w:bCs/>
      <w:kern w:val="28"/>
      <w:sz w:val="32"/>
      <w:szCs w:val="32"/>
      <w:lang w:val="en-US" w:eastAsia="zh-CN" w:bidi="ar-SA"/>
    </w:rPr>
  </w:style>
  <w:style w:type="character" w:customStyle="1" w:styleId="155">
    <w:name w:val="页眉 Char1"/>
    <w:basedOn w:val="35"/>
    <w:semiHidden/>
    <w:qFormat/>
    <w:uiPriority w:val="99"/>
    <w:rPr>
      <w:kern w:val="2"/>
      <w:sz w:val="18"/>
      <w:szCs w:val="18"/>
    </w:rPr>
  </w:style>
  <w:style w:type="character" w:customStyle="1" w:styleId="156">
    <w:name w:val="标题 9 字符"/>
    <w:basedOn w:val="35"/>
    <w:link w:val="10"/>
    <w:qFormat/>
    <w:uiPriority w:val="0"/>
    <w:rPr>
      <w:rFonts w:ascii="Arial" w:hAnsi="Arial" w:eastAsia="黑体"/>
      <w:kern w:val="2"/>
      <w:sz w:val="21"/>
      <w:szCs w:val="21"/>
    </w:rPr>
  </w:style>
  <w:style w:type="character" w:customStyle="1" w:styleId="157">
    <w:name w:val="标题 5 字符"/>
    <w:link w:val="6"/>
    <w:qFormat/>
    <w:uiPriority w:val="0"/>
    <w:rPr>
      <w:rFonts w:eastAsia="宋体"/>
      <w:b/>
      <w:bCs/>
      <w:kern w:val="2"/>
      <w:sz w:val="28"/>
      <w:szCs w:val="28"/>
      <w:lang w:val="en-US" w:eastAsia="zh-CN" w:bidi="ar-SA"/>
    </w:rPr>
  </w:style>
  <w:style w:type="character" w:customStyle="1" w:styleId="158">
    <w:name w:val="标题 6 字符"/>
    <w:basedOn w:val="35"/>
    <w:link w:val="7"/>
    <w:qFormat/>
    <w:uiPriority w:val="0"/>
    <w:rPr>
      <w:rFonts w:ascii="Arial" w:hAnsi="Arial" w:eastAsia="黑体"/>
      <w:b/>
      <w:bCs/>
      <w:kern w:val="2"/>
      <w:sz w:val="24"/>
      <w:szCs w:val="24"/>
    </w:rPr>
  </w:style>
  <w:style w:type="character" w:customStyle="1" w:styleId="159">
    <w:name w:val="正文文本 字符"/>
    <w:link w:val="14"/>
    <w:qFormat/>
    <w:uiPriority w:val="0"/>
    <w:rPr>
      <w:rFonts w:ascii="金山简黑体" w:hAnsi="Courier New" w:eastAsia="金山简黑体"/>
      <w:b/>
      <w:spacing w:val="-8"/>
      <w:sz w:val="44"/>
      <w:lang w:bidi="ar-SA"/>
    </w:rPr>
  </w:style>
  <w:style w:type="character" w:customStyle="1" w:styleId="160">
    <w:name w:val="标题1"/>
    <w:basedOn w:val="35"/>
    <w:qFormat/>
    <w:uiPriority w:val="0"/>
  </w:style>
  <w:style w:type="character" w:customStyle="1" w:styleId="161">
    <w:name w:val="日期 字符"/>
    <w:link w:val="19"/>
    <w:qFormat/>
    <w:uiPriority w:val="0"/>
    <w:rPr>
      <w:rFonts w:eastAsia="宋体"/>
      <w:kern w:val="2"/>
      <w:sz w:val="21"/>
      <w:szCs w:val="24"/>
      <w:lang w:val="en-US" w:eastAsia="zh-CN" w:bidi="ar-SA"/>
    </w:rPr>
  </w:style>
  <w:style w:type="character" w:customStyle="1" w:styleId="162">
    <w:name w:val="Font Style73"/>
    <w:qFormat/>
    <w:uiPriority w:val="0"/>
    <w:rPr>
      <w:rFonts w:ascii="宋体" w:eastAsia="宋体" w:cs="宋体"/>
      <w:b/>
      <w:bCs/>
      <w:spacing w:val="10"/>
      <w:sz w:val="28"/>
      <w:szCs w:val="28"/>
    </w:rPr>
  </w:style>
  <w:style w:type="character" w:customStyle="1" w:styleId="163">
    <w:name w:val="批注框文本 Char1"/>
    <w:basedOn w:val="35"/>
    <w:semiHidden/>
    <w:qFormat/>
    <w:uiPriority w:val="99"/>
    <w:rPr>
      <w:kern w:val="2"/>
      <w:sz w:val="18"/>
      <w:szCs w:val="18"/>
    </w:rPr>
  </w:style>
  <w:style w:type="character" w:customStyle="1" w:styleId="164">
    <w:name w:val="日期 Char1"/>
    <w:basedOn w:val="35"/>
    <w:semiHidden/>
    <w:qFormat/>
    <w:uiPriority w:val="99"/>
    <w:rPr>
      <w:kern w:val="2"/>
      <w:sz w:val="21"/>
      <w:szCs w:val="24"/>
    </w:rPr>
  </w:style>
  <w:style w:type="character" w:customStyle="1" w:styleId="165">
    <w:name w:val="Char Char17"/>
    <w:basedOn w:val="35"/>
    <w:qFormat/>
    <w:locked/>
    <w:uiPriority w:val="0"/>
    <w:rPr>
      <w:rFonts w:eastAsia="宋体"/>
      <w:b/>
      <w:bCs/>
      <w:kern w:val="2"/>
      <w:sz w:val="28"/>
      <w:szCs w:val="28"/>
      <w:lang w:val="en-US" w:eastAsia="zh-CN" w:bidi="ar-SA"/>
    </w:rPr>
  </w:style>
  <w:style w:type="character" w:customStyle="1" w:styleId="166">
    <w:name w:val="正文文本 2 Char1"/>
    <w:basedOn w:val="35"/>
    <w:semiHidden/>
    <w:qFormat/>
    <w:uiPriority w:val="99"/>
    <w:rPr>
      <w:kern w:val="2"/>
      <w:sz w:val="21"/>
      <w:szCs w:val="24"/>
    </w:rPr>
  </w:style>
  <w:style w:type="character" w:customStyle="1" w:styleId="167">
    <w:name w:val="正文文本 3 Char1"/>
    <w:basedOn w:val="35"/>
    <w:semiHidden/>
    <w:qFormat/>
    <w:uiPriority w:val="99"/>
    <w:rPr>
      <w:kern w:val="2"/>
      <w:sz w:val="16"/>
      <w:szCs w:val="16"/>
    </w:rPr>
  </w:style>
  <w:style w:type="character" w:customStyle="1" w:styleId="168">
    <w:name w:val="apple-style-span"/>
    <w:basedOn w:val="35"/>
    <w:qFormat/>
    <w:uiPriority w:val="0"/>
  </w:style>
  <w:style w:type="character" w:customStyle="1" w:styleId="169">
    <w:name w:val="正文文本缩进 Char1"/>
    <w:basedOn w:val="35"/>
    <w:semiHidden/>
    <w:qFormat/>
    <w:uiPriority w:val="99"/>
    <w:rPr>
      <w:kern w:val="2"/>
      <w:sz w:val="21"/>
      <w:szCs w:val="24"/>
    </w:rPr>
  </w:style>
  <w:style w:type="character" w:customStyle="1" w:styleId="170">
    <w:name w:val="文档结构图 字符"/>
    <w:basedOn w:val="35"/>
    <w:link w:val="11"/>
    <w:semiHidden/>
    <w:qFormat/>
    <w:locked/>
    <w:uiPriority w:val="0"/>
    <w:rPr>
      <w:kern w:val="2"/>
      <w:sz w:val="21"/>
      <w:szCs w:val="24"/>
      <w:shd w:val="clear" w:color="auto" w:fill="000080"/>
    </w:rPr>
  </w:style>
  <w:style w:type="character" w:customStyle="1" w:styleId="171">
    <w:name w:val="普通文字 Char Char1"/>
    <w:qFormat/>
    <w:uiPriority w:val="0"/>
    <w:rPr>
      <w:rFonts w:ascii="宋体" w:hAnsi="Courier New" w:eastAsia="宋体"/>
      <w:kern w:val="2"/>
      <w:sz w:val="21"/>
      <w:lang w:val="en-US" w:eastAsia="zh-CN" w:bidi="ar-SA"/>
    </w:rPr>
  </w:style>
  <w:style w:type="character" w:customStyle="1" w:styleId="172">
    <w:name w:val="页脚 字符"/>
    <w:link w:val="22"/>
    <w:qFormat/>
    <w:uiPriority w:val="99"/>
    <w:rPr>
      <w:rFonts w:eastAsia="宋体"/>
      <w:kern w:val="2"/>
      <w:sz w:val="18"/>
      <w:szCs w:val="18"/>
      <w:lang w:val="en-US" w:eastAsia="zh-CN" w:bidi="ar-SA"/>
    </w:rPr>
  </w:style>
  <w:style w:type="character" w:customStyle="1" w:styleId="173">
    <w:name w:val="Char Char18"/>
    <w:basedOn w:val="35"/>
    <w:qFormat/>
    <w:locked/>
    <w:uiPriority w:val="0"/>
    <w:rPr>
      <w:rFonts w:ascii="Arial" w:eastAsia="黑体"/>
      <w:sz w:val="28"/>
      <w:lang w:val="en-US" w:eastAsia="zh-CN" w:bidi="ar-SA"/>
    </w:rPr>
  </w:style>
  <w:style w:type="character" w:customStyle="1" w:styleId="174">
    <w:name w:val="HTML 预设格式 字符"/>
    <w:link w:val="29"/>
    <w:qFormat/>
    <w:uiPriority w:val="0"/>
    <w:rPr>
      <w:rFonts w:ascii="宋体" w:hAnsi="宋体" w:eastAsia="宋体"/>
      <w:sz w:val="24"/>
      <w:szCs w:val="24"/>
      <w:lang w:bidi="ar-SA"/>
    </w:rPr>
  </w:style>
  <w:style w:type="character" w:customStyle="1" w:styleId="175">
    <w:name w:val="标题 8 字符"/>
    <w:basedOn w:val="35"/>
    <w:link w:val="9"/>
    <w:qFormat/>
    <w:uiPriority w:val="0"/>
    <w:rPr>
      <w:rFonts w:ascii="Arial" w:hAnsi="Arial" w:eastAsia="黑体"/>
      <w:kern w:val="2"/>
      <w:sz w:val="24"/>
      <w:szCs w:val="24"/>
    </w:rPr>
  </w:style>
  <w:style w:type="character" w:customStyle="1" w:styleId="176">
    <w:name w:val="标题 Char1"/>
    <w:basedOn w:val="35"/>
    <w:qFormat/>
    <w:uiPriority w:val="10"/>
    <w:rPr>
      <w:rFonts w:ascii="Cambria" w:hAnsi="Cambria" w:cs="Times New Roman"/>
      <w:b/>
      <w:bCs/>
      <w:kern w:val="2"/>
      <w:sz w:val="32"/>
      <w:szCs w:val="32"/>
    </w:rPr>
  </w:style>
  <w:style w:type="character" w:customStyle="1" w:styleId="177">
    <w:name w:val="Char Char12"/>
    <w:basedOn w:val="35"/>
    <w:qFormat/>
    <w:locked/>
    <w:uiPriority w:val="0"/>
    <w:rPr>
      <w:rFonts w:ascii="宋体" w:hAnsi="宋体" w:eastAsia="宋体"/>
      <w:kern w:val="2"/>
      <w:sz w:val="18"/>
      <w:szCs w:val="18"/>
      <w:lang w:val="en-US" w:eastAsia="zh-CN" w:bidi="ar-SA"/>
    </w:rPr>
  </w:style>
  <w:style w:type="character" w:customStyle="1" w:styleId="178">
    <w:name w:val="正文文本缩进 2 Char1"/>
    <w:basedOn w:val="35"/>
    <w:semiHidden/>
    <w:qFormat/>
    <w:uiPriority w:val="99"/>
    <w:rPr>
      <w:kern w:val="2"/>
      <w:sz w:val="21"/>
      <w:szCs w:val="24"/>
    </w:rPr>
  </w:style>
  <w:style w:type="character" w:customStyle="1" w:styleId="179">
    <w:name w:val="批注主题 字符"/>
    <w:basedOn w:val="145"/>
    <w:link w:val="32"/>
    <w:qFormat/>
    <w:uiPriority w:val="0"/>
    <w:rPr>
      <w:kern w:val="2"/>
      <w:sz w:val="21"/>
      <w:szCs w:val="24"/>
    </w:rPr>
  </w:style>
  <w:style w:type="character" w:customStyle="1" w:styleId="180">
    <w:name w:val="Char Char6"/>
    <w:basedOn w:val="35"/>
    <w:qFormat/>
    <w:locked/>
    <w:uiPriority w:val="0"/>
    <w:rPr>
      <w:rFonts w:ascii="宋体" w:hAnsi="宋体" w:eastAsia="宋体"/>
      <w:kern w:val="2"/>
      <w:sz w:val="18"/>
      <w:szCs w:val="18"/>
      <w:lang w:val="en-US" w:eastAsia="zh-CN" w:bidi="ar-SA"/>
    </w:rPr>
  </w:style>
  <w:style w:type="character" w:customStyle="1" w:styleId="181">
    <w:name w:val="h Char"/>
    <w:qFormat/>
    <w:uiPriority w:val="0"/>
    <w:rPr>
      <w:rFonts w:ascii="Times New Roman" w:hAnsi="Times New Roman"/>
      <w:kern w:val="2"/>
      <w:sz w:val="18"/>
      <w:szCs w:val="18"/>
    </w:rPr>
  </w:style>
  <w:style w:type="character" w:customStyle="1" w:styleId="182">
    <w:name w:val="Char Char21"/>
    <w:basedOn w:val="35"/>
    <w:qFormat/>
    <w:locked/>
    <w:uiPriority w:val="0"/>
    <w:rPr>
      <w:rFonts w:eastAsia="宋体"/>
      <w:b/>
      <w:bCs/>
      <w:kern w:val="44"/>
      <w:sz w:val="44"/>
      <w:szCs w:val="44"/>
      <w:lang w:val="en-US" w:eastAsia="zh-CN" w:bidi="ar-SA"/>
    </w:rPr>
  </w:style>
  <w:style w:type="character" w:customStyle="1" w:styleId="183">
    <w:name w:val="正文文本缩进 2 字符"/>
    <w:link w:val="20"/>
    <w:qFormat/>
    <w:uiPriority w:val="0"/>
    <w:rPr>
      <w:rFonts w:eastAsia="宋体"/>
      <w:kern w:val="2"/>
      <w:sz w:val="21"/>
      <w:szCs w:val="24"/>
      <w:lang w:val="en-US" w:eastAsia="zh-CN" w:bidi="ar-SA"/>
    </w:rPr>
  </w:style>
  <w:style w:type="character" w:customStyle="1" w:styleId="184">
    <w:name w:val="标题 4 字符"/>
    <w:link w:val="5"/>
    <w:qFormat/>
    <w:uiPriority w:val="0"/>
    <w:rPr>
      <w:rFonts w:ascii="Arial" w:eastAsia="黑体"/>
      <w:sz w:val="28"/>
      <w:lang w:val="en-US" w:eastAsia="zh-CN" w:bidi="ar-SA"/>
    </w:rPr>
  </w:style>
  <w:style w:type="character" w:customStyle="1" w:styleId="185">
    <w:name w:val="HTML 地址 字符"/>
    <w:basedOn w:val="35"/>
    <w:link w:val="17"/>
    <w:qFormat/>
    <w:locked/>
    <w:uiPriority w:val="0"/>
    <w:rPr>
      <w:rFonts w:ascii="宋体" w:hAnsi="宋体"/>
      <w:i/>
      <w:iCs/>
      <w:kern w:val="2"/>
      <w:sz w:val="21"/>
      <w:szCs w:val="24"/>
    </w:rPr>
  </w:style>
  <w:style w:type="character" w:customStyle="1" w:styleId="186">
    <w:name w:val="脚注文本 Char1"/>
    <w:basedOn w:val="35"/>
    <w:semiHidden/>
    <w:qFormat/>
    <w:uiPriority w:val="99"/>
    <w:rPr>
      <w:kern w:val="2"/>
      <w:sz w:val="18"/>
      <w:szCs w:val="18"/>
    </w:rPr>
  </w:style>
  <w:style w:type="character" w:customStyle="1" w:styleId="187">
    <w:name w:val="Char Char7"/>
    <w:basedOn w:val="35"/>
    <w:qFormat/>
    <w:locked/>
    <w:uiPriority w:val="0"/>
    <w:rPr>
      <w:rFonts w:ascii="宋体" w:hAnsi="宋体" w:eastAsia="宋体"/>
      <w:kern w:val="2"/>
      <w:sz w:val="21"/>
      <w:szCs w:val="24"/>
      <w:lang w:val="en-US" w:eastAsia="zh-CN" w:bidi="ar-SA"/>
    </w:rPr>
  </w:style>
  <w:style w:type="character" w:customStyle="1" w:styleId="188">
    <w:name w:val="textcontents"/>
    <w:basedOn w:val="35"/>
    <w:qFormat/>
    <w:uiPriority w:val="0"/>
  </w:style>
  <w:style w:type="character" w:customStyle="1" w:styleId="189">
    <w:name w:val="Char Char10"/>
    <w:basedOn w:val="35"/>
    <w:qFormat/>
    <w:locked/>
    <w:uiPriority w:val="0"/>
    <w:rPr>
      <w:rFonts w:ascii="宋体" w:hAnsi="宋体" w:eastAsia="宋体"/>
      <w:kern w:val="2"/>
      <w:sz w:val="21"/>
      <w:szCs w:val="24"/>
      <w:lang w:val="en-US" w:eastAsia="zh-CN" w:bidi="ar-SA"/>
    </w:rPr>
  </w:style>
  <w:style w:type="character" w:customStyle="1" w:styleId="190">
    <w:name w:val="标题 字符"/>
    <w:basedOn w:val="35"/>
    <w:link w:val="31"/>
    <w:qFormat/>
    <w:locked/>
    <w:uiPriority w:val="0"/>
    <w:rPr>
      <w:rFonts w:ascii="Arial" w:hAnsi="Arial" w:cs="Arial"/>
      <w:b/>
      <w:bCs/>
      <w:kern w:val="2"/>
      <w:sz w:val="32"/>
      <w:szCs w:val="32"/>
    </w:rPr>
  </w:style>
  <w:style w:type="character" w:customStyle="1" w:styleId="191">
    <w:name w:val="脚注文本 字符"/>
    <w:basedOn w:val="35"/>
    <w:link w:val="26"/>
    <w:semiHidden/>
    <w:qFormat/>
    <w:locked/>
    <w:uiPriority w:val="0"/>
    <w:rPr>
      <w:kern w:val="2"/>
      <w:sz w:val="18"/>
      <w:szCs w:val="18"/>
    </w:rPr>
  </w:style>
  <w:style w:type="character" w:customStyle="1" w:styleId="192">
    <w:name w:val="文档结构图 Char1"/>
    <w:basedOn w:val="35"/>
    <w:semiHidden/>
    <w:qFormat/>
    <w:uiPriority w:val="99"/>
    <w:rPr>
      <w:rFonts w:ascii="宋体"/>
      <w:kern w:val="2"/>
      <w:sz w:val="18"/>
      <w:szCs w:val="18"/>
    </w:rPr>
  </w:style>
  <w:style w:type="character" w:customStyle="1" w:styleId="193">
    <w:name w:val="正文文本 2 字符"/>
    <w:link w:val="28"/>
    <w:qFormat/>
    <w:uiPriority w:val="0"/>
    <w:rPr>
      <w:rFonts w:hAnsi="宋体" w:eastAsia="宋体"/>
      <w:szCs w:val="24"/>
      <w:lang w:bidi="ar-SA"/>
    </w:rPr>
  </w:style>
  <w:style w:type="character" w:customStyle="1" w:styleId="194">
    <w:name w:val="副标题 Char1"/>
    <w:basedOn w:val="35"/>
    <w:qFormat/>
    <w:uiPriority w:val="11"/>
    <w:rPr>
      <w:rFonts w:ascii="Cambria" w:hAnsi="Cambria" w:cs="Times New Roman"/>
      <w:b/>
      <w:bCs/>
      <w:kern w:val="28"/>
      <w:sz w:val="32"/>
      <w:szCs w:val="32"/>
    </w:rPr>
  </w:style>
  <w:style w:type="character" w:customStyle="1" w:styleId="195">
    <w:name w:val="标题 7 字符"/>
    <w:basedOn w:val="35"/>
    <w:link w:val="8"/>
    <w:qFormat/>
    <w:uiPriority w:val="0"/>
    <w:rPr>
      <w:b/>
      <w:bCs/>
      <w:kern w:val="2"/>
      <w:sz w:val="24"/>
      <w:szCs w:val="24"/>
    </w:rPr>
  </w:style>
  <w:style w:type="character" w:customStyle="1" w:styleId="196">
    <w:name w:val="op-map-singlepoint-info-right"/>
    <w:basedOn w:val="35"/>
    <w:qFormat/>
    <w:uiPriority w:val="0"/>
  </w:style>
  <w:style w:type="character" w:customStyle="1" w:styleId="197">
    <w:name w:val="纯文本 字符"/>
    <w:link w:val="18"/>
    <w:qFormat/>
    <w:uiPriority w:val="0"/>
    <w:rPr>
      <w:rFonts w:ascii="宋体" w:hAnsi="Courier New" w:eastAsia="宋体"/>
      <w:kern w:val="2"/>
      <w:sz w:val="21"/>
      <w:lang w:val="en-US" w:eastAsia="zh-CN" w:bidi="ar-SA"/>
    </w:rPr>
  </w:style>
  <w:style w:type="character" w:customStyle="1" w:styleId="198">
    <w:name w:val="页眉 字符"/>
    <w:link w:val="23"/>
    <w:qFormat/>
    <w:uiPriority w:val="99"/>
    <w:rPr>
      <w:rFonts w:eastAsia="宋体"/>
      <w:kern w:val="2"/>
      <w:sz w:val="18"/>
      <w:szCs w:val="18"/>
      <w:lang w:val="en-US" w:eastAsia="zh-CN" w:bidi="ar-SA"/>
    </w:rPr>
  </w:style>
  <w:style w:type="character" w:customStyle="1" w:styleId="199">
    <w:name w:val="批注文字 Char1"/>
    <w:semiHidden/>
    <w:qFormat/>
    <w:locked/>
    <w:uiPriority w:val="0"/>
    <w:rPr>
      <w:kern w:val="2"/>
      <w:sz w:val="21"/>
      <w:szCs w:val="24"/>
    </w:rPr>
  </w:style>
  <w:style w:type="character" w:customStyle="1" w:styleId="200">
    <w:name w:val="图表 标题 Char"/>
    <w:link w:val="125"/>
    <w:qFormat/>
    <w:uiPriority w:val="0"/>
    <w:rPr>
      <w:rFonts w:eastAsia="宋体"/>
      <w:kern w:val="2"/>
      <w:sz w:val="24"/>
      <w:szCs w:val="24"/>
      <w:lang w:val="en-US" w:eastAsia="zh-CN" w:bidi="ar-SA"/>
    </w:rPr>
  </w:style>
  <w:style w:type="character" w:customStyle="1" w:styleId="201">
    <w:name w:val="正文文本缩进 字符"/>
    <w:link w:val="15"/>
    <w:qFormat/>
    <w:locked/>
    <w:uiPriority w:val="0"/>
    <w:rPr>
      <w:rFonts w:ascii="宋体" w:hAnsi="Courier New"/>
      <w:spacing w:val="-4"/>
      <w:kern w:val="2"/>
      <w:sz w:val="18"/>
    </w:rPr>
  </w:style>
  <w:style w:type="paragraph" w:customStyle="1" w:styleId="202">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203">
    <w:name w:val="List Paragraph"/>
    <w:basedOn w:val="1"/>
    <w:unhideWhenUsed/>
    <w:qFormat/>
    <w:uiPriority w:val="99"/>
    <w:pPr>
      <w:ind w:firstLine="420" w:firstLineChars="200"/>
    </w:pPr>
  </w:style>
  <w:style w:type="character" w:customStyle="1" w:styleId="204">
    <w:name w:val="redfilefwwh"/>
    <w:basedOn w:val="35"/>
    <w:qFormat/>
    <w:uiPriority w:val="0"/>
    <w:rPr>
      <w:color w:val="BA2636"/>
      <w:sz w:val="18"/>
      <w:szCs w:val="18"/>
    </w:rPr>
  </w:style>
  <w:style w:type="character" w:customStyle="1" w:styleId="205">
    <w:name w:val="next"/>
    <w:basedOn w:val="35"/>
    <w:qFormat/>
    <w:uiPriority w:val="0"/>
    <w:rPr>
      <w:rFonts w:ascii="微软雅黑" w:hAnsi="微软雅黑" w:eastAsia="微软雅黑" w:cs="微软雅黑"/>
      <w:sz w:val="21"/>
      <w:szCs w:val="21"/>
    </w:rPr>
  </w:style>
  <w:style w:type="character" w:customStyle="1" w:styleId="206">
    <w:name w:val="gjfg"/>
    <w:basedOn w:val="35"/>
    <w:qFormat/>
    <w:uiPriority w:val="0"/>
  </w:style>
  <w:style w:type="character" w:customStyle="1" w:styleId="207">
    <w:name w:val="displayarti"/>
    <w:basedOn w:val="35"/>
    <w:qFormat/>
    <w:uiPriority w:val="0"/>
    <w:rPr>
      <w:color w:val="FFFFFF"/>
      <w:shd w:val="clear" w:fill="A00000"/>
    </w:rPr>
  </w:style>
  <w:style w:type="character" w:customStyle="1" w:styleId="208">
    <w:name w:val="redfilenumber"/>
    <w:basedOn w:val="35"/>
    <w:qFormat/>
    <w:uiPriority w:val="0"/>
    <w:rPr>
      <w:color w:val="BA2636"/>
      <w:sz w:val="18"/>
      <w:szCs w:val="18"/>
    </w:rPr>
  </w:style>
  <w:style w:type="character" w:customStyle="1" w:styleId="209">
    <w:name w:val="prev"/>
    <w:basedOn w:val="35"/>
    <w:qFormat/>
    <w:uiPriority w:val="0"/>
    <w:rPr>
      <w:rFonts w:hint="eastAsia" w:ascii="微软雅黑" w:hAnsi="微软雅黑" w:eastAsia="微软雅黑" w:cs="微软雅黑"/>
      <w:sz w:val="21"/>
      <w:szCs w:val="21"/>
    </w:rPr>
  </w:style>
  <w:style w:type="character" w:customStyle="1" w:styleId="210">
    <w:name w:val="prev1"/>
    <w:basedOn w:val="35"/>
    <w:qFormat/>
    <w:uiPriority w:val="0"/>
    <w:rPr>
      <w:color w:val="888888"/>
    </w:rPr>
  </w:style>
  <w:style w:type="character" w:customStyle="1" w:styleId="211">
    <w:name w:val="cfdate"/>
    <w:basedOn w:val="35"/>
    <w:qFormat/>
    <w:uiPriority w:val="0"/>
    <w:rPr>
      <w:color w:val="333333"/>
      <w:sz w:val="18"/>
      <w:szCs w:val="18"/>
    </w:rPr>
  </w:style>
  <w:style w:type="character" w:customStyle="1" w:styleId="212">
    <w:name w:val="qxdate"/>
    <w:basedOn w:val="35"/>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9270</Words>
  <Characters>52841</Characters>
  <Lines>440</Lines>
  <Paragraphs>123</Paragraphs>
  <TotalTime>116</TotalTime>
  <ScaleCrop>false</ScaleCrop>
  <LinksUpToDate>false</LinksUpToDate>
  <CharactersWithSpaces>61988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2020-10-21T04:08:00Z</dcterms:created>
  <dc:creator>丁琳</dc:creator>
  <cp:lastModifiedBy>Administrator</cp:lastModifiedBy>
  <cp:lastPrinted>2020-09-10T08:37:00Z</cp:lastPrinted>
  <dcterms:modified xsi:type="dcterms:W3CDTF">2020-12-01T09:01:37Z</dcterms:modified>
  <dc:title>南财采管〔2012〕3号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