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beforeLines="10" w:line="400" w:lineRule="exact"/>
        <w:rPr>
          <w:rFonts w:eastAsia="华康简魏碑"/>
          <w:b/>
          <w:bCs/>
          <w:color w:val="000000" w:themeColor="text1"/>
          <w:spacing w:val="80"/>
          <w:sz w:val="28"/>
          <w:szCs w:val="28"/>
          <w:highlight w:val="none"/>
          <w14:textFill>
            <w14:solidFill>
              <w14:schemeClr w14:val="tx1"/>
            </w14:solidFill>
          </w14:textFill>
        </w:rPr>
      </w:pPr>
    </w:p>
    <w:p>
      <w:pPr>
        <w:pStyle w:val="18"/>
        <w:adjustRightInd/>
        <w:spacing w:line="240" w:lineRule="auto"/>
        <w:jc w:val="center"/>
        <w:textAlignment w:val="auto"/>
        <w:rPr>
          <w:rFonts w:ascii="华康简魏碑" w:eastAsia="华康简魏碑"/>
          <w:b/>
          <w:bCs/>
          <w:color w:val="auto"/>
          <w:spacing w:val="80"/>
          <w:sz w:val="64"/>
          <w:highlight w:val="none"/>
        </w:rPr>
      </w:pPr>
      <w:r>
        <w:rPr>
          <w:rFonts w:hint="eastAsia" w:ascii="华康简魏碑" w:eastAsia="华康简魏碑"/>
          <w:b/>
          <w:bCs/>
          <w:color w:val="auto"/>
          <w:spacing w:val="80"/>
          <w:sz w:val="64"/>
          <w:highlight w:val="none"/>
        </w:rPr>
        <w:t>南宁市政府采购</w:t>
      </w:r>
    </w:p>
    <w:p>
      <w:pPr>
        <w:pStyle w:val="18"/>
        <w:jc w:val="center"/>
        <w:rPr>
          <w:rFonts w:ascii="楷体_GB2312" w:eastAsia="楷体_GB2312"/>
          <w:b/>
          <w:bCs/>
          <w:color w:val="auto"/>
          <w:sz w:val="44"/>
          <w:szCs w:val="44"/>
          <w:highlight w:val="none"/>
        </w:rPr>
      </w:pPr>
    </w:p>
    <w:p>
      <w:pPr>
        <w:pStyle w:val="18"/>
        <w:adjustRightInd/>
        <w:spacing w:line="240" w:lineRule="auto"/>
        <w:jc w:val="center"/>
        <w:textAlignment w:val="auto"/>
        <w:rPr>
          <w:color w:val="auto"/>
          <w:sz w:val="96"/>
          <w:szCs w:val="96"/>
          <w:highlight w:val="none"/>
        </w:rPr>
      </w:pPr>
      <w:r>
        <w:rPr>
          <w:rFonts w:hint="eastAsia"/>
          <w:color w:val="auto"/>
          <w:sz w:val="96"/>
          <w:szCs w:val="96"/>
          <w:highlight w:val="none"/>
        </w:rPr>
        <w:t>公开招标</w:t>
      </w:r>
      <w:bookmarkStart w:id="91" w:name="_GoBack"/>
      <w:bookmarkEnd w:id="91"/>
      <w:r>
        <w:rPr>
          <w:rFonts w:hint="eastAsia"/>
          <w:color w:val="auto"/>
          <w:sz w:val="96"/>
          <w:szCs w:val="96"/>
          <w:highlight w:val="none"/>
        </w:rPr>
        <w:t>文件</w:t>
      </w:r>
    </w:p>
    <w:p>
      <w:pPr>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服务</w:t>
      </w:r>
      <w:r>
        <w:rPr>
          <w:rFonts w:hint="eastAsia" w:ascii="宋体" w:hAnsi="宋体"/>
          <w:b/>
          <w:color w:val="auto"/>
          <w:sz w:val="36"/>
          <w:szCs w:val="36"/>
          <w:highlight w:val="none"/>
        </w:rPr>
        <w:t>类</w:t>
      </w:r>
      <w:r>
        <w:rPr>
          <w:rFonts w:hint="eastAsia" w:ascii="宋体" w:hAnsi="宋体"/>
          <w:b/>
          <w:color w:val="auto"/>
          <w:sz w:val="36"/>
          <w:szCs w:val="36"/>
          <w:highlight w:val="none"/>
          <w:lang w:eastAsia="zh-CN"/>
        </w:rPr>
        <w:t>，</w:t>
      </w:r>
      <w:r>
        <w:rPr>
          <w:rFonts w:hint="eastAsia" w:ascii="宋体" w:hAnsi="宋体"/>
          <w:b/>
          <w:color w:val="auto"/>
          <w:sz w:val="36"/>
          <w:szCs w:val="36"/>
          <w:highlight w:val="none"/>
        </w:rPr>
        <w:t>交易)</w:t>
      </w:r>
    </w:p>
    <w:p>
      <w:pPr>
        <w:jc w:val="center"/>
        <w:rPr>
          <w:rFonts w:ascii="宋体" w:hAnsi="宋体"/>
          <w:b/>
          <w:color w:val="auto"/>
          <w:sz w:val="32"/>
          <w:szCs w:val="32"/>
          <w:highlight w:val="none"/>
        </w:rPr>
      </w:pPr>
    </w:p>
    <w:p>
      <w:pPr>
        <w:pStyle w:val="18"/>
        <w:rPr>
          <w:color w:val="auto"/>
          <w:highlight w:val="none"/>
        </w:rPr>
      </w:pPr>
    </w:p>
    <w:p>
      <w:pPr>
        <w:tabs>
          <w:tab w:val="left" w:pos="7665"/>
        </w:tabs>
        <w:ind w:right="-94" w:rightChars="-45"/>
        <w:rPr>
          <w:rFonts w:ascii="宋体" w:hAnsi="Courier New"/>
          <w:color w:val="auto"/>
          <w:szCs w:val="20"/>
          <w:highlight w:val="none"/>
        </w:rPr>
      </w:pPr>
    </w:p>
    <w:p>
      <w:pPr>
        <w:adjustRightInd/>
        <w:spacing w:line="240" w:lineRule="auto"/>
        <w:ind w:left="2530" w:hanging="2250" w:hangingChars="700"/>
        <w:jc w:val="left"/>
        <w:textAlignment w:val="auto"/>
        <w:rPr>
          <w:rFonts w:hint="eastAsia" w:ascii="宋体" w:hAnsi="宋体" w:eastAsia="宋体"/>
          <w:b/>
          <w:color w:val="auto"/>
          <w:spacing w:val="-20"/>
          <w:sz w:val="36"/>
          <w:szCs w:val="36"/>
          <w:highlight w:val="none"/>
          <w:lang w:eastAsia="zh-CN"/>
        </w:rPr>
      </w:pPr>
      <w:r>
        <w:rPr>
          <w:rFonts w:hint="eastAsia" w:ascii="宋体" w:hAnsi="宋体"/>
          <w:b/>
          <w:color w:val="auto"/>
          <w:spacing w:val="-20"/>
          <w:sz w:val="36"/>
          <w:szCs w:val="36"/>
          <w:highlight w:val="none"/>
        </w:rPr>
        <w:t>项目名称：南宁职业技术学院软件技术专业群2020年度“双高”</w:t>
      </w:r>
      <w:r>
        <w:rPr>
          <w:rFonts w:hint="eastAsia" w:ascii="宋体" w:hAnsi="宋体"/>
          <w:b/>
          <w:color w:val="auto"/>
          <w:spacing w:val="-20"/>
          <w:sz w:val="36"/>
          <w:szCs w:val="36"/>
          <w:highlight w:val="none"/>
          <w:lang w:eastAsia="zh-CN"/>
        </w:rPr>
        <w:t>课</w:t>
      </w:r>
      <w:r>
        <w:rPr>
          <w:rFonts w:hint="eastAsia" w:ascii="宋体" w:hAnsi="宋体"/>
          <w:b/>
          <w:color w:val="auto"/>
          <w:spacing w:val="-20"/>
          <w:sz w:val="36"/>
          <w:szCs w:val="36"/>
          <w:highlight w:val="none"/>
        </w:rPr>
        <w:t>程资源</w:t>
      </w:r>
      <w:r>
        <w:rPr>
          <w:rFonts w:hint="eastAsia" w:ascii="宋体" w:hAnsi="宋体"/>
          <w:b/>
          <w:color w:val="auto"/>
          <w:spacing w:val="-20"/>
          <w:sz w:val="36"/>
          <w:szCs w:val="36"/>
          <w:highlight w:val="none"/>
          <w:lang w:eastAsia="zh-CN"/>
        </w:rPr>
        <w:t>建</w:t>
      </w:r>
      <w:r>
        <w:rPr>
          <w:rFonts w:hint="eastAsia" w:ascii="宋体" w:hAnsi="宋体"/>
          <w:b/>
          <w:color w:val="auto"/>
          <w:spacing w:val="-20"/>
          <w:sz w:val="36"/>
          <w:szCs w:val="36"/>
          <w:highlight w:val="none"/>
        </w:rPr>
        <w:t>设采购</w:t>
      </w:r>
      <w:r>
        <w:rPr>
          <w:rFonts w:hint="eastAsia" w:ascii="宋体" w:hAnsi="宋体"/>
          <w:b/>
          <w:color w:val="auto"/>
          <w:spacing w:val="-20"/>
          <w:sz w:val="36"/>
          <w:szCs w:val="36"/>
          <w:highlight w:val="none"/>
          <w:lang w:eastAsia="zh-CN"/>
        </w:rPr>
        <w:t>（重）</w:t>
      </w:r>
    </w:p>
    <w:p>
      <w:pPr>
        <w:adjustRightInd/>
        <w:spacing w:line="240" w:lineRule="auto"/>
        <w:jc w:val="left"/>
        <w:textAlignment w:val="auto"/>
        <w:rPr>
          <w:rFonts w:ascii="宋体" w:hAnsi="宋体"/>
          <w:b/>
          <w:color w:val="auto"/>
          <w:sz w:val="36"/>
          <w:szCs w:val="36"/>
          <w:highlight w:val="none"/>
        </w:rPr>
      </w:pPr>
      <w:r>
        <w:rPr>
          <w:rFonts w:hint="eastAsia" w:ascii="宋体" w:hAnsi="宋体"/>
          <w:b/>
          <w:color w:val="auto"/>
          <w:sz w:val="36"/>
          <w:szCs w:val="36"/>
          <w:highlight w:val="none"/>
        </w:rPr>
        <w:t>项目编号：NNZC2020-G3-990639-ZXGJ</w:t>
      </w:r>
    </w:p>
    <w:p>
      <w:pPr>
        <w:adjustRightInd/>
        <w:spacing w:line="240" w:lineRule="auto"/>
        <w:jc w:val="left"/>
        <w:textAlignment w:val="auto"/>
        <w:rPr>
          <w:rFonts w:hint="eastAsia" w:eastAsia="宋体"/>
          <w:color w:val="auto"/>
          <w:highlight w:val="none"/>
          <w:lang w:eastAsia="zh-CN"/>
        </w:rPr>
      </w:pPr>
      <w:r>
        <w:rPr>
          <w:rFonts w:hint="eastAsia" w:ascii="宋体" w:hAnsi="宋体"/>
          <w:b/>
          <w:color w:val="auto"/>
          <w:sz w:val="36"/>
          <w:szCs w:val="36"/>
          <w:highlight w:val="none"/>
        </w:rPr>
        <w:t>审批编号</w:t>
      </w: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[2020]NCCJW760</w:t>
      </w:r>
    </w:p>
    <w:p>
      <w:pPr>
        <w:jc w:val="center"/>
        <w:rPr>
          <w:rFonts w:hint="eastAsia"/>
          <w:color w:val="auto"/>
          <w:highlight w:val="none"/>
          <w:lang w:val="en-US" w:eastAsia="zh-CN"/>
        </w:rPr>
      </w:pPr>
    </w:p>
    <w:p>
      <w:pPr>
        <w:jc w:val="center"/>
        <w:rPr>
          <w:b/>
          <w:color w:val="auto"/>
          <w:sz w:val="36"/>
          <w:szCs w:val="36"/>
          <w:highlight w:val="none"/>
        </w:rPr>
      </w:pPr>
      <w:r>
        <w:rPr>
          <w:rFonts w:hint="eastAsia"/>
          <w:color w:val="auto"/>
          <w:highlight w:val="none"/>
          <w:lang w:val="en-US" w:eastAsia="zh-CN"/>
        </w:rPr>
        <w:t xml:space="preserve"> </w:t>
      </w:r>
    </w:p>
    <w:p>
      <w:pPr>
        <w:rPr>
          <w:b/>
          <w:color w:val="auto"/>
          <w:sz w:val="36"/>
          <w:szCs w:val="36"/>
          <w:highlight w:val="none"/>
        </w:rPr>
      </w:pPr>
      <w:r>
        <w:rPr>
          <w:rFonts w:hint="eastAsia"/>
          <w:b/>
          <w:color w:val="auto"/>
          <w:sz w:val="36"/>
          <w:szCs w:val="36"/>
          <w:highlight w:val="none"/>
        </w:rPr>
        <w:t>采购人：南宁职业技术学院</w:t>
      </w:r>
    </w:p>
    <w:p>
      <w:pPr>
        <w:rPr>
          <w:b/>
          <w:color w:val="auto"/>
          <w:sz w:val="36"/>
          <w:szCs w:val="36"/>
          <w:highlight w:val="none"/>
        </w:rPr>
      </w:pPr>
      <w:r>
        <w:rPr>
          <w:rFonts w:hint="eastAsia"/>
          <w:b/>
          <w:color w:val="auto"/>
          <w:sz w:val="36"/>
          <w:szCs w:val="36"/>
          <w:highlight w:val="none"/>
        </w:rPr>
        <w:t>采购代理机构：中昕国际项目管理有限公司</w:t>
      </w:r>
    </w:p>
    <w:p>
      <w:pPr>
        <w:ind w:firstLine="1890" w:firstLineChars="523"/>
        <w:rPr>
          <w:b/>
          <w:color w:val="auto"/>
          <w:sz w:val="36"/>
          <w:szCs w:val="36"/>
          <w:highlight w:val="none"/>
        </w:rPr>
      </w:pPr>
    </w:p>
    <w:p>
      <w:pPr>
        <w:widowControl/>
        <w:jc w:val="center"/>
        <w:rPr>
          <w:rFonts w:eastAsia="华康简魏碑"/>
          <w:b/>
          <w:bCs/>
          <w:color w:val="auto"/>
          <w:spacing w:val="80"/>
          <w:sz w:val="28"/>
          <w:szCs w:val="28"/>
          <w:highlight w:val="none"/>
        </w:rPr>
      </w:pPr>
      <w:r>
        <w:rPr>
          <w:rFonts w:hint="eastAsia" w:ascii="宋体" w:hAnsi="宋体"/>
          <w:b/>
          <w:color w:val="auto"/>
          <w:sz w:val="36"/>
          <w:szCs w:val="36"/>
          <w:highlight w:val="none"/>
        </w:rPr>
        <w:t>2020年</w:t>
      </w:r>
      <w:r>
        <w:rPr>
          <w:rFonts w:hint="eastAsia" w:ascii="宋体" w:hAnsi="宋体"/>
          <w:b/>
          <w:color w:val="auto"/>
          <w:sz w:val="36"/>
          <w:szCs w:val="36"/>
          <w:highlight w:val="none"/>
          <w:lang w:val="en-US" w:eastAsia="zh-CN"/>
        </w:rPr>
        <w:t>12</w:t>
      </w:r>
      <w:r>
        <w:rPr>
          <w:rFonts w:hint="eastAsia" w:ascii="宋体" w:hAnsi="宋体"/>
          <w:b/>
          <w:color w:val="auto"/>
          <w:sz w:val="36"/>
          <w:szCs w:val="36"/>
          <w:highlight w:val="none"/>
        </w:rPr>
        <w:t>月</w:t>
      </w:r>
    </w:p>
    <w:p>
      <w:pPr>
        <w:rPr>
          <w:rFonts w:eastAsia="华康简魏碑"/>
          <w:b/>
          <w:bCs/>
          <w:color w:val="auto"/>
          <w:spacing w:val="80"/>
          <w:sz w:val="28"/>
          <w:szCs w:val="28"/>
          <w:highlight w:val="none"/>
        </w:rPr>
      </w:pPr>
    </w:p>
    <w:p>
      <w:pPr>
        <w:pStyle w:val="7"/>
        <w:rPr>
          <w:color w:val="auto"/>
          <w:highlight w:val="none"/>
        </w:rPr>
      </w:pPr>
    </w:p>
    <w:p>
      <w:pPr>
        <w:pStyle w:val="18"/>
        <w:jc w:val="center"/>
        <w:rPr>
          <w:rFonts w:ascii="Times New Roman" w:hAnsi="Times New Roman"/>
          <w:b/>
          <w:color w:val="auto"/>
          <w:sz w:val="48"/>
          <w:szCs w:val="48"/>
          <w:highlight w:val="none"/>
        </w:rPr>
        <w:sectPr>
          <w:headerReference r:id="rId4" w:type="first"/>
          <w:headerReference r:id="rId3" w:type="default"/>
          <w:footerReference r:id="rId5" w:type="default"/>
          <w:pgSz w:w="11906" w:h="16838"/>
          <w:pgMar w:top="1134" w:right="1134" w:bottom="1134" w:left="1134" w:header="720" w:footer="720" w:gutter="0"/>
          <w:pgNumType w:start="1"/>
          <w:cols w:space="720" w:num="1"/>
          <w:titlePg/>
          <w:docGrid w:type="lines" w:linePitch="331" w:charSpace="0"/>
        </w:sectPr>
      </w:pPr>
    </w:p>
    <w:p>
      <w:pPr>
        <w:pStyle w:val="18"/>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     录</w:t>
      </w:r>
    </w:p>
    <w:p>
      <w:pPr>
        <w:pStyle w:val="18"/>
        <w:spacing w:line="240" w:lineRule="auto"/>
        <w:jc w:val="center"/>
        <w:rPr>
          <w:rFonts w:ascii="Times New Roman" w:hAnsi="Times New Roman"/>
          <w:b/>
          <w:color w:val="auto"/>
          <w:sz w:val="28"/>
          <w:szCs w:val="28"/>
          <w:highlight w:val="none"/>
        </w:rPr>
      </w:pPr>
    </w:p>
    <w:p>
      <w:pPr>
        <w:pStyle w:val="24"/>
        <w:tabs>
          <w:tab w:val="right" w:leader="dot" w:pos="9638"/>
        </w:tabs>
        <w:spacing w:line="480" w:lineRule="auto"/>
        <w:rPr>
          <w:rFonts w:hint="eastAsia" w:ascii="宋体" w:hAnsi="宋体" w:eastAsia="宋体" w:cs="宋体"/>
          <w:b/>
          <w:bCs w:val="0"/>
          <w:sz w:val="24"/>
          <w:szCs w:val="24"/>
        </w:rPr>
      </w:pPr>
      <w:bookmarkStart w:id="0" w:name="_Toc139967217"/>
      <w:bookmarkStart w:id="1" w:name="_Toc213206171"/>
      <w:bookmarkStart w:id="2" w:name="_Toc139966433"/>
      <w:bookmarkStart w:id="3" w:name="_Toc139966426"/>
      <w:bookmarkStart w:id="4" w:name="_Toc139967210"/>
      <w:r>
        <w:rPr>
          <w:rFonts w:ascii="宋体" w:hAnsi="宋体"/>
          <w:b w:val="0"/>
          <w:bCs w:val="0"/>
          <w:caps w:val="0"/>
          <w:color w:val="auto"/>
          <w:sz w:val="24"/>
          <w:szCs w:val="24"/>
          <w:highlight w:val="none"/>
        </w:rPr>
        <w:fldChar w:fldCharType="begin"/>
      </w:r>
      <w:r>
        <w:rPr>
          <w:rFonts w:ascii="宋体" w:hAnsi="宋体"/>
          <w:b w:val="0"/>
          <w:bCs w:val="0"/>
          <w:caps w:val="0"/>
          <w:color w:val="auto"/>
          <w:sz w:val="24"/>
          <w:szCs w:val="24"/>
          <w:highlight w:val="none"/>
        </w:rPr>
        <w:instrText xml:space="preserve"> TOC \o "1-3" \h \z \u </w:instrText>
      </w:r>
      <w:r>
        <w:rPr>
          <w:rFonts w:ascii="宋体" w:hAnsi="宋体"/>
          <w:b w:val="0"/>
          <w:bCs w:val="0"/>
          <w:caps w:val="0"/>
          <w:color w:val="auto"/>
          <w:sz w:val="24"/>
          <w:szCs w:val="24"/>
          <w:highlight w:val="none"/>
        </w:rPr>
        <w:fldChar w:fldCharType="separate"/>
      </w:r>
      <w:r>
        <w:rPr>
          <w:rFonts w:hint="eastAsia" w:ascii="宋体" w:hAnsi="宋体" w:eastAsia="宋体" w:cs="宋体"/>
          <w:b/>
          <w:bCs w:val="0"/>
          <w:caps w:val="0"/>
          <w:color w:val="auto"/>
          <w:sz w:val="24"/>
          <w:szCs w:val="24"/>
          <w:highlight w:val="none"/>
        </w:rPr>
        <w:fldChar w:fldCharType="begin"/>
      </w:r>
      <w:r>
        <w:rPr>
          <w:rFonts w:hint="eastAsia" w:ascii="宋体" w:hAnsi="宋体" w:eastAsia="宋体" w:cs="宋体"/>
          <w:b/>
          <w:bCs w:val="0"/>
          <w:caps w:val="0"/>
          <w:sz w:val="24"/>
          <w:szCs w:val="24"/>
          <w:highlight w:val="none"/>
        </w:rPr>
        <w:instrText xml:space="preserve"> HYPERLINK \l _Toc1481 </w:instrText>
      </w:r>
      <w:r>
        <w:rPr>
          <w:rFonts w:hint="eastAsia" w:ascii="宋体" w:hAnsi="宋体" w:eastAsia="宋体" w:cs="宋体"/>
          <w:b/>
          <w:bCs w:val="0"/>
          <w:caps w:val="0"/>
          <w:sz w:val="24"/>
          <w:szCs w:val="24"/>
          <w:highlight w:val="none"/>
        </w:rPr>
        <w:fldChar w:fldCharType="separate"/>
      </w:r>
      <w:r>
        <w:rPr>
          <w:rFonts w:hint="eastAsia" w:ascii="宋体" w:hAnsi="宋体" w:eastAsia="宋体" w:cs="宋体"/>
          <w:b/>
          <w:bCs w:val="0"/>
          <w:sz w:val="24"/>
          <w:szCs w:val="24"/>
          <w:highlight w:val="none"/>
        </w:rPr>
        <w:t>第一章  公告</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_Toc1481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caps w:val="0"/>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_Toc23855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第二章  项目需求一览表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_Toc23855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_Toc27482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 xml:space="preserve">第三章 </w:t>
      </w:r>
      <w:r>
        <w:rPr>
          <w:rFonts w:hint="eastAsia" w:ascii="宋体" w:hAnsi="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评标办法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_Toc27482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13</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_Toc12273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第四章  投标人须知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_Toc12273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20</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_Toc20566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一    总  则</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_Toc20566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22</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_Toc12895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二    公开招标文件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_Toc12895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25</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_Toc22920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三    投标文件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_Toc22920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26</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_Toc30576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四    投标</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_Toc30576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29</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_Toc12805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五    开标与评标</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_Toc12805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29</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_Toc6668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六    合同授予</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_Toc6668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34</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_Toc23695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七    其他事项</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_Toc23695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35</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_Toc8044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第五章  投标文件格式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_Toc8044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37</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_Toc272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第六章  合同条款及格式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49</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4"/>
        <w:tabs>
          <w:tab w:val="right" w:leader="dot" w:pos="9638"/>
        </w:tabs>
        <w:spacing w:line="480" w:lineRule="auto"/>
        <w:rPr>
          <w:rFonts w:hint="eastAsia" w:ascii="宋体" w:hAnsi="宋体" w:eastAsia="宋体" w:cs="宋体"/>
          <w:b/>
          <w:bCs w:val="0"/>
          <w:sz w:val="24"/>
          <w:szCs w:val="24"/>
        </w:rPr>
      </w:pPr>
      <w:r>
        <w:rPr>
          <w:rFonts w:hint="eastAsia" w:ascii="宋体" w:hAnsi="宋体" w:eastAsia="宋体" w:cs="宋体"/>
          <w:b/>
          <w:bCs w:val="0"/>
          <w:caps/>
          <w:color w:val="auto"/>
          <w:sz w:val="24"/>
          <w:szCs w:val="24"/>
          <w:highlight w:val="none"/>
        </w:rPr>
        <w:fldChar w:fldCharType="begin"/>
      </w:r>
      <w:r>
        <w:rPr>
          <w:rFonts w:hint="eastAsia" w:ascii="宋体" w:hAnsi="宋体" w:eastAsia="宋体" w:cs="宋体"/>
          <w:b/>
          <w:bCs w:val="0"/>
          <w:caps/>
          <w:sz w:val="24"/>
          <w:szCs w:val="24"/>
          <w:highlight w:val="none"/>
        </w:rPr>
        <w:instrText xml:space="preserve"> HYPERLINK \l _Toc22323 </w:instrText>
      </w:r>
      <w:r>
        <w:rPr>
          <w:rFonts w:hint="eastAsia" w:ascii="宋体" w:hAnsi="宋体" w:eastAsia="宋体" w:cs="宋体"/>
          <w:b/>
          <w:bCs w:val="0"/>
          <w:caps/>
          <w:sz w:val="24"/>
          <w:szCs w:val="24"/>
          <w:highlight w:val="none"/>
        </w:rPr>
        <w:fldChar w:fldCharType="separate"/>
      </w:r>
      <w:r>
        <w:rPr>
          <w:rFonts w:hint="eastAsia" w:ascii="宋体" w:hAnsi="宋体" w:eastAsia="宋体" w:cs="宋体"/>
          <w:b/>
          <w:bCs w:val="0"/>
          <w:sz w:val="24"/>
          <w:szCs w:val="24"/>
          <w:highlight w:val="none"/>
        </w:rPr>
        <w:t>第七章  质疑材料格式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_Toc22323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55</w:t>
      </w:r>
      <w:r>
        <w:rPr>
          <w:rFonts w:hint="eastAsia" w:ascii="宋体" w:hAnsi="宋体" w:eastAsia="宋体" w:cs="宋体"/>
          <w:b/>
          <w:bCs w:val="0"/>
          <w:sz w:val="24"/>
          <w:szCs w:val="24"/>
        </w:rPr>
        <w:fldChar w:fldCharType="end"/>
      </w:r>
      <w:r>
        <w:rPr>
          <w:rFonts w:hint="eastAsia" w:ascii="宋体" w:hAnsi="宋体" w:eastAsia="宋体" w:cs="宋体"/>
          <w:b/>
          <w:bCs w:val="0"/>
          <w:caps/>
          <w:color w:val="auto"/>
          <w:sz w:val="24"/>
          <w:szCs w:val="24"/>
          <w:highlight w:val="none"/>
        </w:rPr>
        <w:fldChar w:fldCharType="end"/>
      </w:r>
    </w:p>
    <w:p>
      <w:pPr>
        <w:pStyle w:val="27"/>
        <w:tabs>
          <w:tab w:val="right" w:leader="dot" w:pos="9638"/>
          <w:tab w:val="clear" w:pos="9628"/>
        </w:tabs>
        <w:spacing w:line="480" w:lineRule="auto"/>
      </w:pPr>
    </w:p>
    <w:p>
      <w:pPr>
        <w:pStyle w:val="18"/>
        <w:spacing w:line="480" w:lineRule="auto"/>
        <w:jc w:val="center"/>
        <w:outlineLvl w:val="0"/>
        <w:rPr>
          <w:rFonts w:hAnsi="宋体"/>
          <w:b/>
          <w:bCs/>
          <w:caps/>
          <w:color w:val="auto"/>
          <w:sz w:val="24"/>
          <w:szCs w:val="24"/>
          <w:highlight w:val="none"/>
        </w:rPr>
      </w:pPr>
      <w:r>
        <w:rPr>
          <w:rFonts w:hAnsi="宋体"/>
          <w:bCs/>
          <w:caps/>
          <w:color w:val="auto"/>
          <w:szCs w:val="24"/>
          <w:highlight w:val="none"/>
        </w:rPr>
        <w:fldChar w:fldCharType="end"/>
      </w:r>
      <w:bookmarkStart w:id="5" w:name="_Toc213325920"/>
    </w:p>
    <w:p>
      <w:pPr>
        <w:pStyle w:val="18"/>
        <w:jc w:val="center"/>
        <w:outlineLvl w:val="0"/>
        <w:rPr>
          <w:rFonts w:hAnsi="宋体"/>
          <w:b/>
          <w:bCs/>
          <w:caps/>
          <w:color w:val="auto"/>
          <w:sz w:val="28"/>
          <w:szCs w:val="28"/>
          <w:highlight w:val="none"/>
        </w:rPr>
      </w:pPr>
    </w:p>
    <w:p>
      <w:pPr>
        <w:pStyle w:val="18"/>
        <w:jc w:val="center"/>
        <w:outlineLvl w:val="0"/>
        <w:rPr>
          <w:rFonts w:hAnsi="宋体"/>
          <w:b/>
          <w:color w:val="auto"/>
          <w:sz w:val="36"/>
          <w:szCs w:val="36"/>
          <w:highlight w:val="none"/>
        </w:rPr>
      </w:pPr>
      <w:r>
        <w:rPr>
          <w:rFonts w:ascii="Times New Roman" w:hAnsi="Times New Roman"/>
          <w:b/>
          <w:color w:val="auto"/>
          <w:sz w:val="36"/>
          <w:highlight w:val="none"/>
        </w:rPr>
        <w:br w:type="page"/>
      </w:r>
      <w:bookmarkStart w:id="6" w:name="_Toc1481"/>
      <w:r>
        <w:rPr>
          <w:rFonts w:hint="eastAsia" w:ascii="Times New Roman" w:hAnsi="Times New Roman"/>
          <w:b/>
          <w:color w:val="auto"/>
          <w:sz w:val="36"/>
          <w:highlight w:val="none"/>
        </w:rPr>
        <w:t>第一章  招标公告</w:t>
      </w:r>
      <w:bookmarkEnd w:id="0"/>
      <w:bookmarkEnd w:id="1"/>
      <w:bookmarkEnd w:id="2"/>
      <w:bookmarkEnd w:id="5"/>
      <w:bookmarkEnd w:id="6"/>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项目概况</w:t>
      </w:r>
    </w:p>
    <w:p>
      <w:pPr>
        <w:pBdr>
          <w:top w:val="single" w:color="auto" w:sz="4" w:space="1"/>
          <w:left w:val="single" w:color="auto" w:sz="4" w:space="4"/>
          <w:bottom w:val="single" w:color="auto" w:sz="4" w:space="12"/>
          <w:right w:val="single" w:color="auto" w:sz="4" w:space="4"/>
        </w:pBdr>
        <w:spacing w:line="320" w:lineRule="exact"/>
        <w:ind w:firstLine="420" w:firstLineChars="200"/>
        <w:rPr>
          <w:rFonts w:ascii="宋体" w:hAnsi="宋体"/>
          <w:b/>
          <w:i/>
          <w:iCs/>
          <w:color w:val="auto"/>
          <w:szCs w:val="21"/>
          <w:highlight w:val="none"/>
          <w:u w:val="single"/>
        </w:rPr>
      </w:pPr>
      <w:r>
        <w:rPr>
          <w:rFonts w:hint="eastAsia" w:ascii="宋体" w:hAnsi="宋体"/>
          <w:color w:val="auto"/>
          <w:szCs w:val="21"/>
          <w:highlight w:val="none"/>
          <w:u w:val="single"/>
          <w:lang w:eastAsia="zh-CN"/>
        </w:rPr>
        <w:t>南宁职业技术学院软件技术专业群2020年度“双高”课程资源建设采购（重）</w:t>
      </w:r>
      <w:r>
        <w:rPr>
          <w:rFonts w:hint="eastAsia" w:ascii="宋体" w:hAnsi="宋体"/>
          <w:color w:val="auto"/>
          <w:szCs w:val="21"/>
          <w:highlight w:val="none"/>
        </w:rPr>
        <w:t>招标项目的潜在投标人应在</w:t>
      </w:r>
      <w:r>
        <w:rPr>
          <w:rFonts w:ascii="宋体" w:hAnsi="宋体"/>
          <w:color w:val="auto"/>
          <w:szCs w:val="21"/>
          <w:highlight w:val="none"/>
          <w:u w:val="single"/>
        </w:rPr>
        <w:t>南宁市公共资源交易中心网上</w:t>
      </w:r>
      <w:r>
        <w:rPr>
          <w:rFonts w:hint="eastAsia" w:ascii="宋体" w:hAnsi="宋体"/>
          <w:color w:val="auto"/>
          <w:szCs w:val="21"/>
          <w:highlight w:val="none"/>
          <w:u w:val="single"/>
        </w:rPr>
        <w:t>自行</w:t>
      </w:r>
      <w:r>
        <w:rPr>
          <w:rFonts w:ascii="宋体" w:hAnsi="宋体"/>
          <w:color w:val="auto"/>
          <w:szCs w:val="21"/>
          <w:highlight w:val="none"/>
          <w:u w:val="single"/>
        </w:rPr>
        <w:t>下载</w:t>
      </w:r>
      <w:r>
        <w:rPr>
          <w:rFonts w:hint="eastAsia" w:ascii="宋体" w:hAnsi="宋体"/>
          <w:color w:val="auto"/>
          <w:szCs w:val="21"/>
          <w:highlight w:val="none"/>
        </w:rPr>
        <w:t>获取招标文件，并于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1</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日09 时30分（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spacing w:line="500" w:lineRule="exact"/>
        <w:ind w:firstLine="422"/>
        <w:rPr>
          <w:rFonts w:ascii="宋体" w:hAnsi="宋体" w:cs="Arial"/>
          <w:b/>
          <w:color w:val="auto"/>
          <w:kern w:val="1"/>
          <w:szCs w:val="21"/>
          <w:highlight w:val="none"/>
        </w:rPr>
      </w:pPr>
      <w:bookmarkStart w:id="7" w:name="_Toc35393621"/>
      <w:bookmarkStart w:id="8" w:name="_Toc28359002"/>
      <w:bookmarkStart w:id="9" w:name="_Toc44405601"/>
      <w:bookmarkStart w:id="10" w:name="_Toc28359079"/>
      <w:bookmarkStart w:id="11" w:name="_Toc35393790"/>
      <w:bookmarkStart w:id="12" w:name="_Hlk24379207"/>
      <w:r>
        <w:rPr>
          <w:rFonts w:hint="eastAsia" w:ascii="宋体" w:hAnsi="宋体" w:cs="Arial"/>
          <w:b/>
          <w:color w:val="auto"/>
          <w:kern w:val="1"/>
          <w:szCs w:val="21"/>
          <w:highlight w:val="none"/>
        </w:rPr>
        <w:t>一、项目基本情况</w:t>
      </w:r>
      <w:bookmarkEnd w:id="7"/>
      <w:bookmarkEnd w:id="8"/>
      <w:bookmarkEnd w:id="9"/>
      <w:bookmarkEnd w:id="10"/>
      <w:bookmarkEnd w:id="11"/>
    </w:p>
    <w:p>
      <w:pPr>
        <w:spacing w:line="500" w:lineRule="exact"/>
        <w:ind w:firstLine="422"/>
        <w:rPr>
          <w:rFonts w:ascii="宋体" w:hAnsi="宋体" w:cs="Arial"/>
          <w:bCs/>
          <w:color w:val="auto"/>
          <w:kern w:val="1"/>
          <w:szCs w:val="21"/>
          <w:highlight w:val="none"/>
        </w:rPr>
      </w:pPr>
      <w:r>
        <w:rPr>
          <w:rFonts w:hint="eastAsia" w:ascii="宋体" w:hAnsi="宋体" w:cs="Arial"/>
          <w:b/>
          <w:color w:val="auto"/>
          <w:kern w:val="1"/>
          <w:szCs w:val="21"/>
          <w:highlight w:val="none"/>
        </w:rPr>
        <w:t>项目编号：NNZC2020-G3-990639-ZXGJ</w:t>
      </w:r>
    </w:p>
    <w:p>
      <w:pPr>
        <w:spacing w:line="500" w:lineRule="exact"/>
        <w:ind w:firstLine="422" w:firstLineChars="200"/>
        <w:rPr>
          <w:rFonts w:ascii="宋体" w:hAnsi="宋体" w:cs="Arial"/>
          <w:b/>
          <w:bCs/>
          <w:color w:val="auto"/>
          <w:kern w:val="1"/>
          <w:szCs w:val="21"/>
          <w:highlight w:val="none"/>
        </w:rPr>
      </w:pPr>
      <w:r>
        <w:rPr>
          <w:rFonts w:ascii="宋体" w:hAnsi="宋体" w:cs="Arial"/>
          <w:b/>
          <w:bCs/>
          <w:color w:val="auto"/>
          <w:kern w:val="1"/>
          <w:szCs w:val="21"/>
          <w:highlight w:val="none"/>
        </w:rPr>
        <w:t>审批编号：</w:t>
      </w:r>
      <w:r>
        <w:rPr>
          <w:rFonts w:hint="eastAsia" w:ascii="宋体" w:hAnsi="宋体" w:cs="Arial"/>
          <w:b/>
          <w:bCs/>
          <w:color w:val="auto"/>
          <w:kern w:val="1"/>
          <w:szCs w:val="21"/>
          <w:highlight w:val="none"/>
        </w:rPr>
        <w:t>[2020]NCCJW760</w:t>
      </w:r>
    </w:p>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项目名称：南宁职业技术学院软件技术专业群2020年度“双高”课程资源建设采购（重）</w:t>
      </w:r>
    </w:p>
    <w:bookmarkEnd w:id="12"/>
    <w:p>
      <w:pPr>
        <w:spacing w:line="500" w:lineRule="exact"/>
        <w:ind w:firstLine="422"/>
        <w:rPr>
          <w:rFonts w:hint="default" w:ascii="宋体" w:hAnsi="宋体" w:cs="Arial"/>
          <w:b/>
          <w:bCs/>
          <w:color w:val="auto"/>
          <w:kern w:val="1"/>
          <w:szCs w:val="21"/>
          <w:highlight w:val="none"/>
          <w:lang w:val="en-US" w:eastAsia="zh-CN"/>
        </w:rPr>
      </w:pPr>
      <w:r>
        <w:rPr>
          <w:rFonts w:hint="eastAsia" w:ascii="宋体" w:hAnsi="宋体" w:cs="Arial"/>
          <w:b/>
          <w:color w:val="auto"/>
          <w:kern w:val="1"/>
          <w:szCs w:val="21"/>
          <w:highlight w:val="none"/>
        </w:rPr>
        <w:t>预算金额：</w:t>
      </w:r>
      <w:r>
        <w:rPr>
          <w:rFonts w:hint="eastAsia" w:ascii="宋体" w:hAnsi="宋体" w:cs="Arial"/>
          <w:b/>
          <w:bCs/>
          <w:color w:val="auto"/>
          <w:kern w:val="1"/>
          <w:szCs w:val="21"/>
          <w:highlight w:val="none"/>
        </w:rPr>
        <w:t>C分标：Web前端开发1+X课证一体课程项目采购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w:t>
      </w:r>
    </w:p>
    <w:p>
      <w:pPr>
        <w:spacing w:line="500" w:lineRule="exact"/>
        <w:ind w:firstLine="422"/>
        <w:rPr>
          <w:rFonts w:hint="default" w:ascii="宋体" w:hAnsi="宋体" w:cs="Arial"/>
          <w:b/>
          <w:bCs/>
          <w:color w:val="auto"/>
          <w:kern w:val="1"/>
          <w:szCs w:val="21"/>
          <w:highlight w:val="none"/>
          <w:lang w:val="en-US" w:eastAsia="zh-CN"/>
        </w:rPr>
      </w:pPr>
      <w:r>
        <w:rPr>
          <w:rFonts w:hint="eastAsia" w:ascii="宋体" w:hAnsi="宋体" w:cs="Arial"/>
          <w:b/>
          <w:bCs/>
          <w:color w:val="auto"/>
          <w:kern w:val="1"/>
          <w:szCs w:val="21"/>
          <w:highlight w:val="none"/>
          <w:lang w:val="en-US" w:eastAsia="zh-CN"/>
        </w:rPr>
        <w:t xml:space="preserve">    </w:t>
      </w:r>
      <w:r>
        <w:rPr>
          <w:rFonts w:hint="eastAsia" w:ascii="宋体" w:hAnsi="宋体" w:eastAsia="宋体" w:cs="Arial"/>
          <w:b/>
          <w:bCs/>
          <w:color w:val="auto"/>
          <w:kern w:val="1"/>
          <w:sz w:val="21"/>
          <w:szCs w:val="21"/>
          <w:highlight w:val="none"/>
          <w:lang w:val="en-US" w:eastAsia="zh-CN" w:bidi="ar-SA"/>
        </w:rPr>
        <w:t xml:space="preserve">      D</w:t>
      </w:r>
      <w:r>
        <w:rPr>
          <w:rFonts w:hint="eastAsia" w:ascii="宋体" w:hAnsi="宋体" w:cs="Arial"/>
          <w:b/>
          <w:bCs/>
          <w:color w:val="auto"/>
          <w:kern w:val="1"/>
          <w:szCs w:val="21"/>
          <w:highlight w:val="none"/>
          <w:lang w:val="en-US" w:eastAsia="zh-CN"/>
        </w:rPr>
        <w:t>分标：计算机网络与信息安全专业课程包采购，贰拾贰万伍仟元整（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 xml:space="preserve">225000.00 ）     </w:t>
      </w:r>
    </w:p>
    <w:p>
      <w:pPr>
        <w:spacing w:line="500" w:lineRule="exact"/>
        <w:ind w:firstLine="422"/>
        <w:rPr>
          <w:rFonts w:hint="default" w:ascii="宋体" w:hAnsi="宋体" w:cs="Arial"/>
          <w:b/>
          <w:bCs/>
          <w:color w:val="auto"/>
          <w:kern w:val="1"/>
          <w:szCs w:val="21"/>
          <w:highlight w:val="none"/>
          <w:lang w:val="en-US" w:eastAsia="zh-CN"/>
        </w:rPr>
      </w:pPr>
      <w:r>
        <w:rPr>
          <w:rFonts w:hint="eastAsia" w:ascii="宋体" w:hAnsi="宋体" w:cs="Arial"/>
          <w:b/>
          <w:color w:val="auto"/>
          <w:kern w:val="1"/>
          <w:szCs w:val="21"/>
          <w:highlight w:val="none"/>
        </w:rPr>
        <w:t>最高限价：</w:t>
      </w:r>
      <w:r>
        <w:rPr>
          <w:rFonts w:hint="eastAsia" w:ascii="宋体" w:hAnsi="宋体" w:cs="Arial"/>
          <w:b/>
          <w:bCs/>
          <w:color w:val="auto"/>
          <w:kern w:val="1"/>
          <w:szCs w:val="21"/>
          <w:highlight w:val="none"/>
        </w:rPr>
        <w:t>C分标：Web前端开发1+X课证一体课程项目采购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w:t>
      </w:r>
    </w:p>
    <w:p>
      <w:pPr>
        <w:spacing w:line="500" w:lineRule="exact"/>
        <w:ind w:firstLine="422"/>
        <w:rPr>
          <w:rFonts w:hint="eastAsia" w:ascii="宋体" w:hAnsi="宋体" w:eastAsia="宋体" w:cs="Arial"/>
          <w:b/>
          <w:bCs/>
          <w:color w:val="auto"/>
          <w:kern w:val="1"/>
          <w:sz w:val="21"/>
          <w:szCs w:val="21"/>
          <w:highlight w:val="none"/>
          <w:lang w:val="en-US" w:eastAsia="zh-CN" w:bidi="ar-SA"/>
        </w:rPr>
      </w:pPr>
      <w:r>
        <w:rPr>
          <w:rFonts w:hint="eastAsia" w:ascii="宋体" w:hAnsi="宋体" w:eastAsia="宋体" w:cs="Arial"/>
          <w:b/>
          <w:bCs/>
          <w:color w:val="auto"/>
          <w:kern w:val="1"/>
          <w:sz w:val="21"/>
          <w:szCs w:val="21"/>
          <w:highlight w:val="none"/>
          <w:lang w:val="en-US" w:eastAsia="zh-CN" w:bidi="ar-SA"/>
        </w:rPr>
        <w:t xml:space="preserve"> </w:t>
      </w:r>
      <w:r>
        <w:rPr>
          <w:rFonts w:hint="eastAsia" w:ascii="宋体" w:hAnsi="宋体" w:cs="Arial"/>
          <w:b/>
          <w:bCs/>
          <w:color w:val="auto"/>
          <w:kern w:val="1"/>
          <w:sz w:val="21"/>
          <w:szCs w:val="21"/>
          <w:highlight w:val="none"/>
          <w:lang w:val="en-US" w:eastAsia="zh-CN" w:bidi="ar-SA"/>
        </w:rPr>
        <w:t xml:space="preserve">         </w:t>
      </w:r>
      <w:r>
        <w:rPr>
          <w:rFonts w:hint="eastAsia" w:ascii="宋体" w:hAnsi="宋体" w:eastAsia="宋体" w:cs="Arial"/>
          <w:b/>
          <w:bCs/>
          <w:color w:val="auto"/>
          <w:kern w:val="1"/>
          <w:sz w:val="21"/>
          <w:szCs w:val="21"/>
          <w:highlight w:val="none"/>
          <w:lang w:val="en-US" w:eastAsia="zh-CN" w:bidi="ar-SA"/>
        </w:rPr>
        <w:t xml:space="preserve">D分标：计算机网络与信息安全专业课程包采购，贰拾贰万伍仟元整（￥225000.00 ）  </w:t>
      </w:r>
    </w:p>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采购需求：</w:t>
      </w:r>
    </w:p>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C分标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p>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w:t>
            </w:r>
          </w:p>
        </w:tc>
        <w:tc>
          <w:tcPr>
            <w:tcW w:w="23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《Web前端开发1+X课证一体课程》PPT课件</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1套</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课件应包含《HTML5+CSS3开发技术》、《JavaScript前端开发》、《Vue应用程序开发》3个技术领域内容，素材应符合相关技术规范。PPT涉及的技术应为最新主流技术，不允许出现明显的已过时的技术。每个技术领域PPT不少于8个，能体现整门技术领域的知识框架……（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u w:color="000000"/>
                <w:lang w:val="en-US" w:eastAsia="zh-CN"/>
              </w:rPr>
              <w:t>2</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《Web前端开发1+X课证一体课程》教学视频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100个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1.内容应覆盖《HTML5+CSS3开发技术》、《JavaScript前端开发》、《Vue应用程序开发》3个技术领域……（具体内容详见本公告附件：采购需求）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u w:color="000000"/>
                <w:lang w:val="en-US" w:eastAsia="zh-CN"/>
              </w:rPr>
              <w:t>3</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《Web前端开发1+X课证一体课程》线上课程</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sym w:font="Wingdings" w:char="F0AB"/>
            </w:r>
            <w:r>
              <w:rPr>
                <w:rFonts w:hint="eastAsia" w:ascii="宋体" w:hAnsi="宋体" w:eastAsia="宋体" w:cs="宋体"/>
                <w:color w:val="auto"/>
                <w:kern w:val="0"/>
                <w:sz w:val="21"/>
                <w:szCs w:val="21"/>
                <w:highlight w:val="none"/>
                <w:u w:color="000000"/>
              </w:rPr>
              <w:t>1. 根据课程资源，设计并制作体现课程资源情况的首页、导航、功能栏目以及二级页面等，设计独特的网站风格……（具体内容详见本公告附件：采购需求）</w:t>
            </w:r>
          </w:p>
        </w:tc>
      </w:tr>
    </w:tbl>
    <w:p>
      <w:pPr>
        <w:spacing w:line="440" w:lineRule="exact"/>
        <w:ind w:firstLine="422"/>
        <w:rPr>
          <w:rFonts w:hint="eastAsia" w:ascii="宋体" w:hAnsi="宋体" w:cs="Arial"/>
          <w:b/>
          <w:color w:val="auto"/>
          <w:kern w:val="1"/>
          <w:szCs w:val="21"/>
          <w:highlight w:val="none"/>
          <w:lang w:val="en-US" w:eastAsia="zh-CN"/>
        </w:rPr>
      </w:pPr>
      <w:r>
        <w:rPr>
          <w:rFonts w:hint="eastAsia" w:ascii="宋体" w:hAnsi="宋体" w:cs="Arial"/>
          <w:b/>
          <w:color w:val="auto"/>
          <w:kern w:val="1"/>
          <w:szCs w:val="21"/>
          <w:highlight w:val="none"/>
          <w:lang w:val="en-US" w:eastAsia="zh-CN"/>
        </w:rPr>
        <w:t>D分标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1</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《web应用安全与管理》课程包PPT课件</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1.要求依据1+X“网络安全评估”职业技能等级要求（中级）“Web 安全评估测试”工作领域的职业技能要求进行开发，素材应符合相关技术规范……（具体内容详见本公告附件：采购需求）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2</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《web应用安全与管理》课程包教学视频</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 内容应参照1+X“网络安全评估”职业技能等级要求（中级）“Web 安全评估测试”工作领域的职业技能要求进行开发……（具体内容详见本公告附件：采购需求）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《Linux操作系统管理》PPT课件</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1.课件应根据RHCSA（Red Hat Certified System Administrator）国际化课程标准进行开发……（具体内容详见本公告附件：采购需求）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《Linux操作系统管理》教学视频</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 内容应根据RHCSA（Red Hat Certified System Administrator）国际化课程标准进行开发……（具体内容详见本公告附件：采购需求）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lang w:bidi="ar"/>
              </w:rPr>
              <w:t>5</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专业核心课程微课</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1.每门微课材料包含微课视频，以及在微课录制过程中使用到的全部辅助扩展资料：教学方案设计、课件、习题、动画、视频、图片、答案、总结等……（具体内容详见本公告附件：采购需求）</w:t>
            </w:r>
          </w:p>
        </w:tc>
      </w:tr>
    </w:tbl>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合同履行期限：</w:t>
      </w:r>
    </w:p>
    <w:p>
      <w:pPr>
        <w:spacing w:line="440" w:lineRule="exact"/>
        <w:ind w:firstLine="316" w:firstLineChars="150"/>
        <w:rPr>
          <w:rFonts w:hint="eastAsia" w:ascii="宋体" w:hAnsi="宋体" w:cs="Arial"/>
          <w:color w:val="auto"/>
          <w:kern w:val="1"/>
          <w:szCs w:val="21"/>
          <w:highlight w:val="none"/>
        </w:rPr>
      </w:pPr>
      <w:r>
        <w:rPr>
          <w:rFonts w:hint="eastAsia" w:ascii="宋体" w:hAnsi="宋体" w:cs="Arial"/>
          <w:b/>
          <w:color w:val="auto"/>
          <w:kern w:val="1"/>
          <w:szCs w:val="21"/>
          <w:highlight w:val="none"/>
        </w:rPr>
        <w:t>C分标：</w:t>
      </w:r>
      <w:r>
        <w:rPr>
          <w:rFonts w:hint="eastAsia" w:ascii="宋体" w:hAnsi="宋体" w:cs="Arial"/>
          <w:color w:val="auto"/>
          <w:kern w:val="1"/>
          <w:szCs w:val="21"/>
          <w:highlight w:val="none"/>
        </w:rPr>
        <w:t>自合同签订之日起至项目验收合格。</w:t>
      </w:r>
    </w:p>
    <w:p>
      <w:pPr>
        <w:spacing w:line="440" w:lineRule="exact"/>
        <w:ind w:firstLine="316" w:firstLineChars="150"/>
        <w:rPr>
          <w:rFonts w:ascii="宋体" w:hAnsi="宋体" w:cs="Arial"/>
          <w:b/>
          <w:color w:val="auto"/>
          <w:kern w:val="1"/>
          <w:szCs w:val="21"/>
          <w:highlight w:val="none"/>
        </w:rPr>
      </w:pPr>
      <w:r>
        <w:rPr>
          <w:rFonts w:hint="eastAsia" w:ascii="宋体" w:hAnsi="宋体" w:cs="Arial"/>
          <w:b/>
          <w:color w:val="auto"/>
          <w:kern w:val="1"/>
          <w:szCs w:val="21"/>
          <w:highlight w:val="none"/>
          <w:lang w:val="en-US" w:eastAsia="zh-CN"/>
        </w:rPr>
        <w:t>D</w:t>
      </w:r>
      <w:r>
        <w:rPr>
          <w:rFonts w:hint="eastAsia" w:ascii="宋体" w:hAnsi="宋体" w:cs="Arial"/>
          <w:b/>
          <w:color w:val="auto"/>
          <w:kern w:val="1"/>
          <w:szCs w:val="21"/>
          <w:highlight w:val="none"/>
        </w:rPr>
        <w:t>分标：</w:t>
      </w:r>
      <w:r>
        <w:rPr>
          <w:rFonts w:hint="eastAsia" w:ascii="宋体" w:hAnsi="宋体" w:cs="Arial"/>
          <w:color w:val="auto"/>
          <w:kern w:val="1"/>
          <w:szCs w:val="21"/>
          <w:highlight w:val="none"/>
        </w:rPr>
        <w:t>自合同签订之日起至项目验收合格。</w:t>
      </w:r>
    </w:p>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本项目不接受联合体投标。</w:t>
      </w:r>
    </w:p>
    <w:p>
      <w:pPr>
        <w:spacing w:line="440" w:lineRule="exact"/>
        <w:ind w:firstLine="422"/>
        <w:rPr>
          <w:rFonts w:ascii="宋体" w:hAnsi="宋体" w:cs="Arial"/>
          <w:b/>
          <w:bCs/>
          <w:color w:val="auto"/>
          <w:kern w:val="1"/>
          <w:szCs w:val="21"/>
          <w:highlight w:val="none"/>
        </w:rPr>
      </w:pPr>
      <w:bookmarkStart w:id="13" w:name="_Toc28359003"/>
      <w:bookmarkStart w:id="14" w:name="_Toc35393622"/>
      <w:bookmarkStart w:id="15" w:name="_Toc35393791"/>
      <w:bookmarkStart w:id="16" w:name="_Toc28359080"/>
      <w:bookmarkStart w:id="17" w:name="_Toc44405602"/>
      <w:r>
        <w:rPr>
          <w:rFonts w:hint="eastAsia" w:ascii="宋体" w:hAnsi="宋体" w:cs="Arial"/>
          <w:b/>
          <w:bCs/>
          <w:color w:val="auto"/>
          <w:kern w:val="1"/>
          <w:szCs w:val="21"/>
          <w:highlight w:val="none"/>
        </w:rPr>
        <w:t>二、投标人的资格要求：</w:t>
      </w:r>
      <w:bookmarkEnd w:id="13"/>
      <w:bookmarkEnd w:id="14"/>
      <w:bookmarkEnd w:id="15"/>
      <w:bookmarkEnd w:id="16"/>
      <w:bookmarkEnd w:id="17"/>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1.满足《中华人民共和国政府采购法》第二十二条规定；</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2. 落实政府采购政策需满足的资格要求：无</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3.本项目的特定资格要求：无</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5.对在“信用中国”网站(www.creditchina.gov.cn)、中国政府采购网(www.ccgp.gov.cn)等渠道列入失信被执行人、重大税收违法案件当事人名单、采购严重违法失信行为记录名单及其他不符合法律规定条件的供应商，不得参与采购活动；</w:t>
      </w:r>
      <w:r>
        <w:rPr>
          <w:rFonts w:ascii="宋体" w:hAnsi="宋体" w:cs="Arial"/>
          <w:color w:val="auto"/>
          <w:kern w:val="1"/>
          <w:szCs w:val="21"/>
          <w:highlight w:val="none"/>
        </w:rPr>
        <w:t xml:space="preserve"> </w:t>
      </w:r>
    </w:p>
    <w:p>
      <w:pPr>
        <w:spacing w:line="440" w:lineRule="exact"/>
        <w:ind w:firstLine="422"/>
        <w:rPr>
          <w:rFonts w:ascii="宋体" w:hAnsi="宋体" w:cs="Arial"/>
          <w:b/>
          <w:bCs/>
          <w:color w:val="auto"/>
          <w:kern w:val="1"/>
          <w:szCs w:val="21"/>
          <w:highlight w:val="none"/>
        </w:rPr>
      </w:pPr>
      <w:bookmarkStart w:id="18" w:name="_Toc44405603"/>
      <w:bookmarkStart w:id="19" w:name="_Toc35393623"/>
      <w:bookmarkStart w:id="20" w:name="_Toc35393792"/>
      <w:r>
        <w:rPr>
          <w:rFonts w:hint="eastAsia" w:ascii="宋体" w:hAnsi="宋体" w:cs="Arial"/>
          <w:b/>
          <w:bCs/>
          <w:color w:val="auto"/>
          <w:kern w:val="1"/>
          <w:szCs w:val="21"/>
          <w:highlight w:val="none"/>
        </w:rPr>
        <w:t>三、获取招标文件</w:t>
      </w:r>
      <w:bookmarkEnd w:id="18"/>
      <w:bookmarkEnd w:id="19"/>
      <w:bookmarkEnd w:id="20"/>
    </w:p>
    <w:p>
      <w:pPr>
        <w:spacing w:line="440" w:lineRule="exact"/>
        <w:ind w:firstLine="495"/>
        <w:rPr>
          <w:rFonts w:ascii="宋体" w:hAnsi="宋体" w:cs="Arial"/>
          <w:color w:val="auto"/>
          <w:kern w:val="1"/>
          <w:szCs w:val="21"/>
          <w:highlight w:val="none"/>
        </w:rPr>
      </w:pPr>
      <w:r>
        <w:rPr>
          <w:rFonts w:hint="eastAsia" w:ascii="宋体" w:hAnsi="宋体" w:cs="Arial"/>
          <w:color w:val="auto"/>
          <w:kern w:val="1"/>
          <w:szCs w:val="21"/>
          <w:highlight w:val="none"/>
        </w:rPr>
        <w:t>在</w:t>
      </w:r>
      <w:r>
        <w:rPr>
          <w:rFonts w:ascii="宋体" w:hAnsi="宋体" w:cs="Arial"/>
          <w:color w:val="auto"/>
          <w:kern w:val="1"/>
          <w:szCs w:val="21"/>
          <w:highlight w:val="none"/>
        </w:rPr>
        <w:t>南宁市公共资源交易中心网上</w:t>
      </w:r>
      <w:r>
        <w:rPr>
          <w:rFonts w:hint="eastAsia" w:ascii="宋体" w:hAnsi="宋体" w:cs="Arial"/>
          <w:color w:val="auto"/>
          <w:kern w:val="1"/>
          <w:szCs w:val="21"/>
          <w:highlight w:val="none"/>
        </w:rPr>
        <w:t>自行</w:t>
      </w:r>
      <w:r>
        <w:rPr>
          <w:rFonts w:ascii="宋体" w:hAnsi="宋体" w:cs="Arial"/>
          <w:color w:val="auto"/>
          <w:kern w:val="1"/>
          <w:szCs w:val="21"/>
          <w:highlight w:val="none"/>
        </w:rPr>
        <w:t>下载</w:t>
      </w:r>
      <w:r>
        <w:rPr>
          <w:rFonts w:hint="eastAsia" w:ascii="宋体" w:hAnsi="宋体" w:cs="Arial"/>
          <w:color w:val="auto"/>
          <w:kern w:val="1"/>
          <w:szCs w:val="21"/>
          <w:highlight w:val="none"/>
        </w:rPr>
        <w:t>，登陆南宁市公共资源交易中心网站（网址：</w:t>
      </w:r>
      <w:r>
        <w:rPr>
          <w:rFonts w:hint="eastAsia"/>
          <w:color w:val="auto"/>
          <w:highlight w:val="none"/>
        </w:rPr>
        <w:fldChar w:fldCharType="begin"/>
      </w:r>
      <w:r>
        <w:rPr>
          <w:color w:val="auto"/>
          <w:highlight w:val="none"/>
        </w:rPr>
        <w:instrText xml:space="preserve"> HYPERLINK "http://www.nnggzy.org.cn），在南宁市公共资源交易中心或各分支机构的采购公告栏内查找相关项目的采购公告，并点击该公告的附件，即可免费浏览或下载项目的招标" </w:instrText>
      </w:r>
      <w:r>
        <w:rPr>
          <w:rFonts w:hint="eastAsia"/>
          <w:color w:val="auto"/>
          <w:highlight w:val="none"/>
        </w:rPr>
        <w:fldChar w:fldCharType="separate"/>
      </w:r>
      <w:r>
        <w:rPr>
          <w:rFonts w:hint="eastAsia" w:ascii="宋体" w:hAnsi="宋体" w:cs="Arial"/>
          <w:color w:val="auto"/>
          <w:kern w:val="1"/>
          <w:szCs w:val="21"/>
          <w:highlight w:val="none"/>
        </w:rPr>
        <w:t>www.nnggzy.org.cn），在南宁市公共资源交易中心或各分支机构的采购公告栏内查找相关项目的采购公告，并点击该公告的附件，即可免费浏览或下载项目的招标</w:t>
      </w:r>
      <w:r>
        <w:rPr>
          <w:rFonts w:hint="eastAsia" w:ascii="宋体" w:hAnsi="宋体" w:cs="Arial"/>
          <w:color w:val="auto"/>
          <w:kern w:val="1"/>
          <w:szCs w:val="21"/>
          <w:highlight w:val="none"/>
        </w:rPr>
        <w:fldChar w:fldCharType="end"/>
      </w:r>
      <w:r>
        <w:rPr>
          <w:rFonts w:hint="eastAsia" w:ascii="宋体" w:hAnsi="宋体" w:cs="Arial"/>
          <w:color w:val="auto"/>
          <w:kern w:val="1"/>
          <w:szCs w:val="21"/>
          <w:highlight w:val="none"/>
        </w:rPr>
        <w:t>文件。</w:t>
      </w:r>
    </w:p>
    <w:p>
      <w:pPr>
        <w:spacing w:line="440" w:lineRule="exact"/>
        <w:ind w:firstLine="422"/>
        <w:rPr>
          <w:rFonts w:ascii="宋体" w:hAnsi="宋体" w:cs="Arial"/>
          <w:b/>
          <w:bCs/>
          <w:color w:val="auto"/>
          <w:kern w:val="1"/>
          <w:szCs w:val="21"/>
          <w:highlight w:val="none"/>
        </w:rPr>
      </w:pPr>
      <w:bookmarkStart w:id="21" w:name="_Toc28359005"/>
      <w:bookmarkStart w:id="22" w:name="_Toc28359082"/>
      <w:bookmarkStart w:id="23" w:name="_Toc35393793"/>
      <w:bookmarkStart w:id="24" w:name="_Toc35393624"/>
      <w:bookmarkStart w:id="25" w:name="_Toc44405604"/>
      <w:r>
        <w:rPr>
          <w:rFonts w:hint="eastAsia" w:ascii="宋体" w:hAnsi="宋体" w:cs="Arial"/>
          <w:b/>
          <w:bCs/>
          <w:color w:val="auto"/>
          <w:kern w:val="1"/>
          <w:szCs w:val="21"/>
          <w:highlight w:val="none"/>
        </w:rPr>
        <w:t>四、提交投标文件</w:t>
      </w:r>
      <w:bookmarkEnd w:id="21"/>
      <w:bookmarkEnd w:id="22"/>
      <w:r>
        <w:rPr>
          <w:rFonts w:hint="eastAsia" w:ascii="宋体" w:hAnsi="宋体" w:cs="Arial"/>
          <w:b/>
          <w:bCs/>
          <w:color w:val="auto"/>
          <w:kern w:val="1"/>
          <w:szCs w:val="21"/>
          <w:highlight w:val="none"/>
        </w:rPr>
        <w:t>截止时间、开标时间和地点</w:t>
      </w:r>
      <w:bookmarkEnd w:id="23"/>
      <w:bookmarkEnd w:id="24"/>
      <w:bookmarkEnd w:id="25"/>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1.投标截止时间：202</w:t>
      </w:r>
      <w:r>
        <w:rPr>
          <w:rFonts w:hint="eastAsia" w:ascii="宋体" w:hAnsi="宋体" w:cs="Arial"/>
          <w:color w:val="auto"/>
          <w:kern w:val="1"/>
          <w:szCs w:val="21"/>
          <w:highlight w:val="none"/>
          <w:lang w:val="en-US" w:eastAsia="zh-CN"/>
        </w:rPr>
        <w:t>1</w:t>
      </w:r>
      <w:r>
        <w:rPr>
          <w:rFonts w:hint="eastAsia" w:ascii="宋体" w:hAnsi="宋体" w:cs="Arial"/>
          <w:color w:val="auto"/>
          <w:kern w:val="1"/>
          <w:szCs w:val="21"/>
          <w:highlight w:val="none"/>
        </w:rPr>
        <w:t>年</w:t>
      </w:r>
      <w:r>
        <w:rPr>
          <w:rFonts w:hint="eastAsia" w:ascii="宋体" w:hAnsi="宋体" w:cs="Arial"/>
          <w:color w:val="auto"/>
          <w:kern w:val="1"/>
          <w:szCs w:val="21"/>
          <w:highlight w:val="none"/>
          <w:lang w:val="en-US" w:eastAsia="zh-CN"/>
        </w:rPr>
        <w:t>1</w:t>
      </w:r>
      <w:r>
        <w:rPr>
          <w:rFonts w:hint="eastAsia" w:ascii="宋体" w:hAnsi="宋体" w:cs="Arial"/>
          <w:color w:val="auto"/>
          <w:kern w:val="1"/>
          <w:szCs w:val="21"/>
          <w:highlight w:val="none"/>
        </w:rPr>
        <w:t>月</w:t>
      </w:r>
      <w:r>
        <w:rPr>
          <w:rFonts w:hint="eastAsia" w:ascii="宋体" w:hAnsi="宋体" w:cs="Arial"/>
          <w:color w:val="auto"/>
          <w:kern w:val="1"/>
          <w:szCs w:val="21"/>
          <w:highlight w:val="none"/>
          <w:lang w:val="en-US" w:eastAsia="zh-CN"/>
        </w:rPr>
        <w:t>20</w:t>
      </w:r>
      <w:r>
        <w:rPr>
          <w:rFonts w:hint="eastAsia" w:ascii="宋体" w:hAnsi="宋体" w:cs="Arial"/>
          <w:color w:val="auto"/>
          <w:kern w:val="1"/>
          <w:szCs w:val="21"/>
          <w:highlight w:val="none"/>
        </w:rPr>
        <w:t>日上午9时30分</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2.1投标文件必须在投标截止时间前送达。采购代理机构工作人员签收邮寄包裹的时间即为投标人投标文件的送达时间，逾期送达的投标文件无效，后果由投标人自行承担。</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2.2投标人应充分预留投标文件邮寄、送达所需要的时间。为确保疫情防控期间邮寄包裹能及时送达，投标人应选择邮寄运送时间有保障的快递公司寄送投标文件。</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2.4投标文件邮寄地址：广西南宁市青秀区枫林路11号枫林蓝岸1栋一单元1101号（中昕国际项目管理有限公司），收件人：蒋工，联系电话：</w:t>
      </w:r>
      <w:r>
        <w:rPr>
          <w:rFonts w:hint="eastAsia" w:ascii="宋体" w:hAnsi="宋体" w:cs="Arial"/>
          <w:color w:val="auto"/>
          <w:kern w:val="1"/>
          <w:szCs w:val="21"/>
          <w:highlight w:val="none"/>
          <w:lang w:val="en-US" w:eastAsia="zh-CN"/>
        </w:rPr>
        <w:t>18977293603</w:t>
      </w:r>
      <w:r>
        <w:rPr>
          <w:rFonts w:hint="eastAsia" w:ascii="宋体" w:hAnsi="宋体" w:cs="Arial"/>
          <w:color w:val="auto"/>
          <w:kern w:val="1"/>
          <w:szCs w:val="21"/>
          <w:highlight w:val="none"/>
        </w:rPr>
        <w:t>。</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3.</w:t>
      </w:r>
      <w:r>
        <w:rPr>
          <w:rFonts w:ascii="宋体" w:hAnsi="宋体" w:cs="Arial"/>
          <w:color w:val="auto"/>
          <w:kern w:val="1"/>
          <w:szCs w:val="21"/>
          <w:highlight w:val="none"/>
        </w:rPr>
        <w:t xml:space="preserve"> 开标时间及地点：</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3.1本次招标将于2020年</w:t>
      </w:r>
      <w:r>
        <w:rPr>
          <w:rFonts w:hint="eastAsia" w:ascii="宋体" w:hAnsi="宋体" w:cs="Arial"/>
          <w:bCs/>
          <w:color w:val="auto"/>
          <w:kern w:val="1"/>
          <w:szCs w:val="21"/>
          <w:highlight w:val="none"/>
          <w:lang w:val="en-US" w:eastAsia="zh-CN"/>
        </w:rPr>
        <w:t>1</w:t>
      </w:r>
      <w:r>
        <w:rPr>
          <w:rFonts w:hint="eastAsia" w:ascii="宋体" w:hAnsi="宋体" w:cs="Arial"/>
          <w:bCs/>
          <w:color w:val="auto"/>
          <w:kern w:val="1"/>
          <w:szCs w:val="21"/>
          <w:highlight w:val="none"/>
        </w:rPr>
        <w:t>月</w:t>
      </w:r>
      <w:r>
        <w:rPr>
          <w:rFonts w:hint="eastAsia" w:ascii="宋体" w:hAnsi="宋体" w:cs="Arial"/>
          <w:bCs/>
          <w:color w:val="auto"/>
          <w:kern w:val="1"/>
          <w:szCs w:val="21"/>
          <w:highlight w:val="none"/>
          <w:lang w:val="en-US" w:eastAsia="zh-CN"/>
        </w:rPr>
        <w:t>20</w:t>
      </w:r>
      <w:r>
        <w:rPr>
          <w:rFonts w:hint="eastAsia" w:ascii="宋体" w:hAnsi="宋体" w:cs="Arial"/>
          <w:bCs/>
          <w:color w:val="auto"/>
          <w:kern w:val="1"/>
          <w:szCs w:val="21"/>
          <w:highlight w:val="none"/>
        </w:rPr>
        <w:t>日上午9时30分在南宁市良庆区玉洞大道33号（市青少年活动中心旁）南宁市公共资源交易中心开标厅（具体详见9楼电子显示屏场地安排）开标。</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3.2投标人不参加现场开标活动。</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3.3投标文件拆封及密封性检查：截标后，采购代理机构工作人员在公共资源交易中心工作人员和采购人的见证下拆开投标文件包封，采购人对投标文件密封性和投标文件正副本数量进行签字确认。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3.4关于投标人的报价：由采购代理机构在投标文件商务技术符合性审查结束后，根据投标人的投标报价情况填写开标记录表，交由评标委员会对投标人的报价、交货期等内容进行签字确认。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3.5关于投标文件澄清的有关要求</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22"/>
        <w:rPr>
          <w:rFonts w:ascii="宋体" w:hAnsi="宋体" w:cs="Arial"/>
          <w:b/>
          <w:bCs/>
          <w:color w:val="auto"/>
          <w:kern w:val="1"/>
          <w:szCs w:val="21"/>
          <w:highlight w:val="none"/>
        </w:rPr>
      </w:pPr>
      <w:bookmarkStart w:id="26" w:name="_Toc28359084"/>
      <w:bookmarkStart w:id="27" w:name="_Toc35393625"/>
      <w:bookmarkStart w:id="28" w:name="_Toc35393794"/>
      <w:bookmarkStart w:id="29" w:name="_Toc44405605"/>
      <w:bookmarkStart w:id="30" w:name="_Toc28359007"/>
      <w:r>
        <w:rPr>
          <w:rFonts w:hint="eastAsia" w:ascii="宋体" w:hAnsi="宋体" w:cs="Arial"/>
          <w:b/>
          <w:bCs/>
          <w:color w:val="auto"/>
          <w:kern w:val="1"/>
          <w:szCs w:val="21"/>
          <w:highlight w:val="none"/>
        </w:rPr>
        <w:t>五、公告期限</w:t>
      </w:r>
      <w:bookmarkEnd w:id="26"/>
      <w:bookmarkEnd w:id="27"/>
      <w:bookmarkEnd w:id="28"/>
      <w:bookmarkEnd w:id="29"/>
      <w:bookmarkEnd w:id="30"/>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自本公告发布之日起5个工作日。</w:t>
      </w:r>
    </w:p>
    <w:p>
      <w:pPr>
        <w:spacing w:line="440" w:lineRule="exact"/>
        <w:ind w:firstLine="422"/>
        <w:rPr>
          <w:rFonts w:ascii="宋体" w:hAnsi="宋体" w:cs="Arial"/>
          <w:b/>
          <w:bCs/>
          <w:color w:val="auto"/>
          <w:kern w:val="1"/>
          <w:szCs w:val="21"/>
          <w:highlight w:val="none"/>
        </w:rPr>
      </w:pPr>
      <w:bookmarkStart w:id="31" w:name="_Toc44405606"/>
      <w:bookmarkStart w:id="32" w:name="_Toc35393626"/>
      <w:bookmarkStart w:id="33" w:name="_Toc35393795"/>
      <w:r>
        <w:rPr>
          <w:rFonts w:hint="eastAsia" w:ascii="宋体" w:hAnsi="宋体" w:cs="Arial"/>
          <w:b/>
          <w:bCs/>
          <w:color w:val="auto"/>
          <w:kern w:val="1"/>
          <w:szCs w:val="21"/>
          <w:highlight w:val="none"/>
        </w:rPr>
        <w:t>六、其他补充事宜</w:t>
      </w:r>
      <w:bookmarkEnd w:id="31"/>
      <w:bookmarkEnd w:id="32"/>
      <w:bookmarkEnd w:id="33"/>
    </w:p>
    <w:p>
      <w:pPr>
        <w:spacing w:line="440" w:lineRule="exact"/>
        <w:ind w:firstLine="474"/>
        <w:rPr>
          <w:rFonts w:ascii="宋体" w:hAnsi="宋体" w:cs="Arial"/>
          <w:color w:val="auto"/>
          <w:kern w:val="1"/>
          <w:szCs w:val="21"/>
          <w:highlight w:val="none"/>
        </w:rPr>
      </w:pPr>
      <w:r>
        <w:rPr>
          <w:rFonts w:hint="eastAsia" w:ascii="宋体" w:hAnsi="宋体" w:cs="Arial"/>
          <w:b/>
          <w:bCs/>
          <w:color w:val="auto"/>
          <w:kern w:val="1"/>
          <w:szCs w:val="21"/>
          <w:highlight w:val="none"/>
        </w:rPr>
        <w:t>1.</w:t>
      </w:r>
      <w:r>
        <w:rPr>
          <w:rFonts w:ascii="宋体" w:hAnsi="宋体" w:cs="Arial"/>
          <w:b/>
          <w:bCs/>
          <w:color w:val="auto"/>
          <w:kern w:val="1"/>
          <w:szCs w:val="21"/>
          <w:highlight w:val="none"/>
        </w:rPr>
        <w:t>投标保证金</w:t>
      </w:r>
      <w:r>
        <w:rPr>
          <w:rFonts w:ascii="宋体" w:hAnsi="宋体" w:cs="Arial"/>
          <w:color w:val="auto"/>
          <w:kern w:val="1"/>
          <w:szCs w:val="21"/>
          <w:highlight w:val="none"/>
        </w:rPr>
        <w:t>：</w:t>
      </w:r>
    </w:p>
    <w:p>
      <w:pPr>
        <w:spacing w:line="440" w:lineRule="exact"/>
        <w:ind w:firstLine="422"/>
        <w:rPr>
          <w:rFonts w:ascii="宋体" w:hAnsi="宋体" w:cs="Arial"/>
          <w:b/>
          <w:color w:val="auto"/>
          <w:kern w:val="1"/>
          <w:szCs w:val="21"/>
          <w:highlight w:val="none"/>
        </w:rPr>
      </w:pPr>
      <w:r>
        <w:rPr>
          <w:rFonts w:ascii="宋体" w:hAnsi="宋体" w:cs="Arial"/>
          <w:color w:val="auto"/>
          <w:kern w:val="1"/>
          <w:szCs w:val="21"/>
          <w:highlight w:val="none"/>
        </w:rPr>
        <w:t>投标保证金（人民币）：</w:t>
      </w:r>
      <w:r>
        <w:rPr>
          <w:rFonts w:hint="eastAsia" w:ascii="宋体" w:hAnsi="宋体" w:cs="Arial"/>
          <w:b/>
          <w:bCs/>
          <w:color w:val="auto"/>
          <w:kern w:val="1"/>
          <w:szCs w:val="21"/>
          <w:highlight w:val="none"/>
        </w:rPr>
        <w:t>无</w:t>
      </w:r>
    </w:p>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2.</w:t>
      </w:r>
      <w:r>
        <w:rPr>
          <w:rFonts w:ascii="宋体" w:hAnsi="宋体" w:cs="Arial"/>
          <w:b/>
          <w:color w:val="auto"/>
          <w:kern w:val="1"/>
          <w:szCs w:val="21"/>
          <w:highlight w:val="none"/>
        </w:rPr>
        <w:t xml:space="preserve"> 网上查询地址：</w:t>
      </w:r>
    </w:p>
    <w:p>
      <w:pPr>
        <w:spacing w:line="440" w:lineRule="exact"/>
        <w:ind w:firstLine="420"/>
        <w:rPr>
          <w:rFonts w:ascii="宋体" w:hAnsi="宋体" w:cs="宋体"/>
          <w:color w:val="auto"/>
          <w:kern w:val="1"/>
          <w:szCs w:val="21"/>
          <w:highlight w:val="none"/>
        </w:rPr>
      </w:pP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highlight w:val="none"/>
        </w:rPr>
        <w:t xml:space="preserve"> www.ccgp.gov.cn（中国政府采购网），www.gxzfcg.gov.cn（广西壮族自治区政府采购网）， http://zfcg.nanning.gov.cn/index.do（南宁政府采购网），</w:t>
      </w:r>
      <w:r>
        <w:rPr>
          <w:rFonts w:ascii="宋体" w:hAnsi="宋体"/>
          <w:color w:val="auto"/>
          <w:highlight w:val="none"/>
        </w:rPr>
        <w:t>www.nnggzy.org.cn</w:t>
      </w:r>
      <w:r>
        <w:rPr>
          <w:rFonts w:hint="eastAsia" w:ascii="宋体" w:hAnsi="宋体"/>
          <w:color w:val="auto"/>
          <w:highlight w:val="none"/>
        </w:rPr>
        <w:t>（南宁市公共资源交易中心网）</w:t>
      </w:r>
      <w:r>
        <w:rPr>
          <w:rFonts w:ascii="宋体" w:hAnsi="宋体" w:cs="宋体"/>
          <w:color w:val="auto"/>
          <w:kern w:val="1"/>
          <w:szCs w:val="21"/>
          <w:highlight w:val="none"/>
        </w:rPr>
        <w:t>。</w:t>
      </w:r>
      <w:r>
        <w:rPr>
          <w:rFonts w:ascii="宋体" w:hAnsi="宋体" w:cs="宋体"/>
          <w:color w:val="auto"/>
          <w:kern w:val="1"/>
          <w:szCs w:val="21"/>
          <w:highlight w:val="none"/>
        </w:rPr>
        <w:fldChar w:fldCharType="end"/>
      </w:r>
    </w:p>
    <w:p>
      <w:pPr>
        <w:snapToGrid w:val="0"/>
        <w:spacing w:line="440" w:lineRule="exact"/>
        <w:ind w:firstLine="422" w:firstLineChars="200"/>
        <w:rPr>
          <w:rFonts w:ascii="宋体" w:hAnsi="宋体"/>
          <w:b/>
          <w:color w:val="auto"/>
          <w:szCs w:val="21"/>
          <w:highlight w:val="none"/>
        </w:rPr>
      </w:pPr>
      <w:r>
        <w:rPr>
          <w:rFonts w:hint="eastAsia" w:ascii="宋体" w:hAnsi="宋体" w:cs="Arial"/>
          <w:b/>
          <w:color w:val="auto"/>
          <w:kern w:val="1"/>
          <w:szCs w:val="21"/>
          <w:highlight w:val="none"/>
        </w:rPr>
        <w:t>3.</w:t>
      </w:r>
      <w:r>
        <w:rPr>
          <w:rFonts w:hint="eastAsia" w:ascii="宋体" w:hAnsi="宋体"/>
          <w:b/>
          <w:color w:val="auto"/>
          <w:szCs w:val="21"/>
          <w:highlight w:val="none"/>
        </w:rPr>
        <w:t xml:space="preserve"> 本项目需要落实的政府采购政策：</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1.《政府采购促进中小企业发展暂行办法》（财库〔2011〕181号）。</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2.政府采购支持采用本国产品的政策。</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3.强制采购、优先采购环境标志产品、节能产品。 </w:t>
      </w:r>
    </w:p>
    <w:p>
      <w:pPr>
        <w:snapToGrid w:val="0"/>
        <w:spacing w:line="440" w:lineRule="exact"/>
        <w:ind w:firstLine="420" w:firstLineChars="200"/>
        <w:rPr>
          <w:rFonts w:ascii="宋体" w:hAnsi="宋体"/>
          <w:bCs/>
          <w:color w:val="auto"/>
          <w:highlight w:val="none"/>
        </w:rPr>
      </w:pPr>
      <w:r>
        <w:rPr>
          <w:rFonts w:hint="eastAsia" w:ascii="宋体" w:hAnsi="宋体"/>
          <w:color w:val="auto"/>
          <w:szCs w:val="21"/>
          <w:highlight w:val="none"/>
        </w:rPr>
        <w:t>4.</w:t>
      </w:r>
      <w:r>
        <w:rPr>
          <w:rFonts w:hint="eastAsia" w:ascii="宋体" w:hAnsi="宋体"/>
          <w:bCs/>
          <w:color w:val="auto"/>
          <w:highlight w:val="none"/>
        </w:rPr>
        <w:t>《财政部、司法部关于政府采购支持监狱企业发展有关问题的通知》（财库〔2014〕68号）。</w:t>
      </w:r>
    </w:p>
    <w:p>
      <w:pPr>
        <w:snapToGrid w:val="0"/>
        <w:spacing w:line="440" w:lineRule="exact"/>
        <w:ind w:firstLine="420" w:firstLineChars="200"/>
        <w:rPr>
          <w:rFonts w:ascii="宋体" w:hAnsi="宋体"/>
          <w:color w:val="auto"/>
          <w:szCs w:val="21"/>
          <w:highlight w:val="none"/>
          <w:shd w:val="clear" w:color="auto" w:fill="FFFFFF"/>
        </w:rPr>
      </w:pPr>
      <w:r>
        <w:rPr>
          <w:rFonts w:hint="eastAsia" w:ascii="宋体" w:hAnsi="宋体"/>
          <w:bCs/>
          <w:color w:val="auto"/>
          <w:highlight w:val="none"/>
        </w:rPr>
        <w:t>5.</w:t>
      </w:r>
      <w:r>
        <w:rPr>
          <w:rFonts w:hint="eastAsia" w:ascii="宋体" w:hAnsi="宋体"/>
          <w:color w:val="auto"/>
          <w:highlight w:val="none"/>
        </w:rPr>
        <w:t xml:space="preserve"> </w:t>
      </w:r>
      <w:r>
        <w:rPr>
          <w:rFonts w:hint="eastAsia" w:ascii="宋体" w:hAnsi="宋体"/>
          <w:bCs/>
          <w:color w:val="auto"/>
          <w:highlight w:val="none"/>
        </w:rPr>
        <w:t>《关于促进残疾人就业政府采购政策的通知》（财库〔2017〕141号）。</w:t>
      </w:r>
    </w:p>
    <w:p>
      <w:pPr>
        <w:spacing w:line="440" w:lineRule="exact"/>
        <w:ind w:firstLine="422"/>
        <w:rPr>
          <w:rFonts w:ascii="宋体" w:hAnsi="宋体" w:cs="Arial"/>
          <w:b/>
          <w:bCs/>
          <w:color w:val="auto"/>
          <w:kern w:val="1"/>
          <w:szCs w:val="21"/>
          <w:highlight w:val="none"/>
        </w:rPr>
      </w:pPr>
      <w:bookmarkStart w:id="34" w:name="_Toc35393796"/>
      <w:bookmarkStart w:id="35" w:name="_Toc35393627"/>
      <w:bookmarkStart w:id="36" w:name="_Toc44405607"/>
      <w:bookmarkStart w:id="37" w:name="_Toc28359085"/>
      <w:bookmarkStart w:id="38" w:name="_Toc28359008"/>
      <w:r>
        <w:rPr>
          <w:rFonts w:hint="eastAsia" w:ascii="宋体" w:hAnsi="宋体" w:cs="Arial"/>
          <w:b/>
          <w:bCs/>
          <w:color w:val="auto"/>
          <w:kern w:val="1"/>
          <w:szCs w:val="21"/>
          <w:highlight w:val="none"/>
        </w:rPr>
        <w:t>七、对本次招标提出询问，请按</w:t>
      </w:r>
      <w:r>
        <w:rPr>
          <w:rFonts w:ascii="宋体" w:hAnsi="宋体" w:cs="Arial"/>
          <w:b/>
          <w:bCs/>
          <w:color w:val="auto"/>
          <w:kern w:val="1"/>
          <w:szCs w:val="21"/>
          <w:highlight w:val="none"/>
        </w:rPr>
        <w:t>以下方式</w:t>
      </w:r>
      <w:r>
        <w:rPr>
          <w:rFonts w:hint="eastAsia" w:ascii="宋体" w:hAnsi="宋体" w:cs="Arial"/>
          <w:b/>
          <w:bCs/>
          <w:color w:val="auto"/>
          <w:kern w:val="1"/>
          <w:szCs w:val="21"/>
          <w:highlight w:val="none"/>
        </w:rPr>
        <w:t>联系。</w:t>
      </w:r>
      <w:bookmarkEnd w:id="34"/>
      <w:bookmarkEnd w:id="35"/>
      <w:bookmarkEnd w:id="36"/>
      <w:bookmarkEnd w:id="37"/>
      <w:bookmarkEnd w:id="38"/>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1、</w:t>
      </w:r>
      <w:r>
        <w:rPr>
          <w:rFonts w:hint="eastAsia" w:ascii="宋体" w:hAnsi="宋体" w:cs="Arial"/>
          <w:color w:val="auto"/>
          <w:kern w:val="1"/>
          <w:szCs w:val="21"/>
          <w:highlight w:val="none"/>
        </w:rPr>
        <w:t>采购人：南宁职业技术学院</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 xml:space="preserve">联系人：莫老师  联系电话：0771-2029355  联系地址：广西南宁市西乡塘区大学西路169号  </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2、采购代理机构：</w:t>
      </w:r>
      <w:r>
        <w:rPr>
          <w:rFonts w:hint="eastAsia" w:ascii="宋体" w:hAnsi="宋体" w:cs="Arial"/>
          <w:color w:val="auto"/>
          <w:kern w:val="1"/>
          <w:szCs w:val="21"/>
          <w:highlight w:val="none"/>
        </w:rPr>
        <w:t>中昕国际项目管理有限公司</w:t>
      </w:r>
      <w:r>
        <w:rPr>
          <w:rFonts w:ascii="宋体" w:hAnsi="宋体" w:cs="Arial"/>
          <w:color w:val="auto"/>
          <w:kern w:val="1"/>
          <w:szCs w:val="21"/>
          <w:highlight w:val="none"/>
        </w:rPr>
        <w:t>；</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项目联系人：</w:t>
      </w:r>
      <w:r>
        <w:rPr>
          <w:rFonts w:hint="eastAsia" w:ascii="宋体" w:hAnsi="宋体" w:cs="Arial"/>
          <w:color w:val="auto"/>
          <w:kern w:val="1"/>
          <w:szCs w:val="21"/>
          <w:highlight w:val="none"/>
        </w:rPr>
        <w:t>余晖</w:t>
      </w:r>
      <w:r>
        <w:rPr>
          <w:rFonts w:ascii="宋体" w:hAnsi="宋体" w:cs="Arial"/>
          <w:color w:val="auto"/>
          <w:kern w:val="1"/>
          <w:szCs w:val="21"/>
          <w:highlight w:val="none"/>
        </w:rPr>
        <w:t>；联系电话：0771-</w:t>
      </w:r>
      <w:r>
        <w:rPr>
          <w:rFonts w:hint="eastAsia" w:ascii="宋体" w:hAnsi="宋体" w:cs="Arial"/>
          <w:color w:val="auto"/>
          <w:kern w:val="1"/>
          <w:szCs w:val="21"/>
          <w:highlight w:val="none"/>
        </w:rPr>
        <w:t>5670450</w:t>
      </w:r>
      <w:r>
        <w:rPr>
          <w:rFonts w:ascii="宋体" w:hAnsi="宋体" w:cs="Arial"/>
          <w:color w:val="auto"/>
          <w:kern w:val="1"/>
          <w:szCs w:val="21"/>
          <w:highlight w:val="none"/>
        </w:rPr>
        <w:t>传真：0771-</w:t>
      </w:r>
      <w:r>
        <w:rPr>
          <w:rFonts w:hint="eastAsia" w:ascii="宋体" w:hAnsi="宋体" w:cs="Arial"/>
          <w:color w:val="auto"/>
          <w:kern w:val="1"/>
          <w:szCs w:val="21"/>
          <w:highlight w:val="none"/>
        </w:rPr>
        <w:t>5670645</w:t>
      </w:r>
      <w:r>
        <w:rPr>
          <w:rFonts w:ascii="宋体" w:hAnsi="宋体" w:cs="Arial"/>
          <w:color w:val="auto"/>
          <w:kern w:val="1"/>
          <w:szCs w:val="21"/>
          <w:highlight w:val="none"/>
        </w:rPr>
        <w:t>；</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联系地址：</w:t>
      </w:r>
      <w:r>
        <w:rPr>
          <w:rFonts w:hint="eastAsia" w:ascii="宋体" w:hAnsi="宋体" w:cs="Arial"/>
          <w:color w:val="auto"/>
          <w:kern w:val="1"/>
          <w:szCs w:val="21"/>
          <w:highlight w:val="none"/>
        </w:rPr>
        <w:t>南宁市青秀区枫林路11号枫林蓝岸1号楼1单元1101号 。</w:t>
      </w:r>
    </w:p>
    <w:p>
      <w:pPr>
        <w:snapToGrid w:val="0"/>
        <w:spacing w:line="440" w:lineRule="exact"/>
        <w:ind w:firstLine="420"/>
        <w:jc w:val="right"/>
        <w:rPr>
          <w:rFonts w:ascii="宋体" w:hAnsi="宋体" w:cs="宋体"/>
          <w:color w:val="auto"/>
          <w:kern w:val="1"/>
          <w:szCs w:val="21"/>
          <w:highlight w:val="none"/>
        </w:rPr>
      </w:pPr>
      <w:r>
        <w:rPr>
          <w:rFonts w:hint="eastAsia" w:ascii="宋体" w:hAnsi="宋体" w:cs="Arial"/>
          <w:color w:val="auto"/>
          <w:kern w:val="1"/>
          <w:szCs w:val="21"/>
          <w:highlight w:val="none"/>
        </w:rPr>
        <w:t>中昕国际项目管理有限公司</w:t>
      </w:r>
    </w:p>
    <w:p>
      <w:pPr>
        <w:spacing w:line="440" w:lineRule="exact"/>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u w:val="single"/>
        </w:rPr>
        <w:t>20</w:t>
      </w:r>
      <w:r>
        <w:rPr>
          <w:rFonts w:hint="eastAsia" w:ascii="宋体" w:hAnsi="宋体" w:cs="宋体"/>
          <w:color w:val="auto"/>
          <w:szCs w:val="21"/>
          <w:highlight w:val="none"/>
          <w:u w:val="single"/>
        </w:rPr>
        <w:t>20</w:t>
      </w:r>
      <w:r>
        <w:rPr>
          <w:rFonts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ascii="宋体" w:hAnsi="宋体" w:cs="宋体"/>
          <w:color w:val="auto"/>
          <w:szCs w:val="21"/>
          <w:highlight w:val="none"/>
        </w:rPr>
        <w:t>日</w:t>
      </w:r>
    </w:p>
    <w:p>
      <w:pPr>
        <w:pStyle w:val="18"/>
        <w:spacing w:line="360" w:lineRule="auto"/>
        <w:jc w:val="center"/>
        <w:outlineLvl w:val="0"/>
        <w:rPr>
          <w:rFonts w:hint="eastAsia" w:ascii="Times New Roman" w:hAnsi="Times New Roman"/>
          <w:b/>
          <w:color w:val="auto"/>
          <w:sz w:val="36"/>
          <w:highlight w:val="none"/>
        </w:rPr>
      </w:pPr>
      <w:bookmarkStart w:id="39" w:name="_Toc139967215"/>
      <w:bookmarkStart w:id="40" w:name="_Toc213206172"/>
      <w:bookmarkStart w:id="41" w:name="_Toc139966431"/>
      <w:bookmarkStart w:id="42" w:name="_Toc213325921"/>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hint="eastAsia" w:ascii="Times New Roman" w:hAnsi="Times New Roman"/>
          <w:b/>
          <w:color w:val="auto"/>
          <w:sz w:val="36"/>
          <w:highlight w:val="none"/>
        </w:rPr>
      </w:pPr>
    </w:p>
    <w:p>
      <w:pPr>
        <w:pStyle w:val="18"/>
        <w:spacing w:line="360" w:lineRule="auto"/>
        <w:jc w:val="center"/>
        <w:outlineLvl w:val="0"/>
        <w:rPr>
          <w:rFonts w:ascii="Times New Roman" w:hAnsi="Times New Roman"/>
          <w:b/>
          <w:color w:val="auto"/>
          <w:sz w:val="36"/>
          <w:highlight w:val="none"/>
        </w:rPr>
      </w:pPr>
      <w:bookmarkStart w:id="43" w:name="_Toc23855"/>
      <w:r>
        <w:rPr>
          <w:rFonts w:hint="eastAsia" w:ascii="Times New Roman" w:hAnsi="Times New Roman"/>
          <w:b/>
          <w:color w:val="auto"/>
          <w:sz w:val="36"/>
          <w:highlight w:val="none"/>
        </w:rPr>
        <w:t>第二章  项目需求一览表</w:t>
      </w:r>
      <w:bookmarkEnd w:id="39"/>
      <w:bookmarkEnd w:id="40"/>
      <w:bookmarkEnd w:id="41"/>
      <w:bookmarkEnd w:id="42"/>
      <w:bookmarkEnd w:id="43"/>
    </w:p>
    <w:p>
      <w:pPr>
        <w:spacing w:line="360" w:lineRule="exact"/>
        <w:rPr>
          <w:rFonts w:hAnsi="宋体"/>
          <w:b/>
          <w:color w:val="auto"/>
          <w:szCs w:val="21"/>
          <w:highlight w:val="none"/>
        </w:rPr>
      </w:pPr>
      <w:bookmarkStart w:id="44" w:name="_Toc139967216"/>
      <w:bookmarkStart w:id="45" w:name="_Toc213206173"/>
      <w:bookmarkStart w:id="46" w:name="_Toc213325922"/>
      <w:bookmarkStart w:id="47" w:name="_Toc139966432"/>
      <w:r>
        <w:rPr>
          <w:rFonts w:hint="eastAsia" w:hAnsi="宋体"/>
          <w:b/>
          <w:color w:val="auto"/>
          <w:szCs w:val="21"/>
          <w:highlight w:val="none"/>
        </w:rPr>
        <w:t>说明：</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2、供应商应注意下列内容：</w:t>
      </w:r>
    </w:p>
    <w:p>
      <w:pPr>
        <w:spacing w:line="320" w:lineRule="exact"/>
        <w:ind w:firstLine="422" w:firstLineChars="200"/>
        <w:rPr>
          <w:rFonts w:ascii="宋体" w:hAnsi="宋体"/>
          <w:b/>
          <w:color w:val="auto"/>
          <w:szCs w:val="21"/>
          <w:highlight w:val="none"/>
        </w:rPr>
      </w:pPr>
      <w:r>
        <w:rPr>
          <w:rFonts w:hint="eastAsia" w:ascii="宋体" w:hAnsi="宋体"/>
          <w:b/>
          <w:color w:val="auto"/>
          <w:szCs w:val="21"/>
          <w:highlight w:val="none"/>
        </w:rPr>
        <w:t>招标文件中带“★ ”的条款为本次采购的实质性的商务、技术或服务要求，供应商须满足或响应，若无法完全满足，将会被认定为无效投标。</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3、本项目需求一览表中的内容如与第六章“合同条款及格式”相关条款不一致的，以本表为准。</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4、供应商应承诺投标文件中提供的证明材料和资质文件真实，如出现虚假应标情况，供应商除了应接受有关部门的处罚外，还应依据《中华人民共和国合同法》的相关条款来确定赔偿金额。</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 。若采购货物含有此类产品时，投标人的投标货物必须使用政府强制采购的节能产品，投标人在投标文件中必须提供所投产品有效的认证证书（加盖投标人公章），否则相应投标无效。</w:t>
      </w:r>
    </w:p>
    <w:p>
      <w:pPr>
        <w:spacing w:line="320" w:lineRule="exact"/>
        <w:ind w:firstLine="420" w:firstLineChars="200"/>
        <w:rPr>
          <w:rFonts w:hint="eastAsia" w:hAnsi="宋体"/>
          <w:b/>
          <w:bCs/>
          <w:color w:val="auto"/>
          <w:highlight w:val="none"/>
        </w:rPr>
      </w:pPr>
      <w:r>
        <w:rPr>
          <w:rFonts w:hint="eastAsia" w:ascii="宋体" w:hAnsi="宋体"/>
          <w:color w:val="auto"/>
          <w:szCs w:val="21"/>
          <w:highlight w:val="none"/>
        </w:rPr>
        <w:t>6、</w:t>
      </w:r>
      <w:r>
        <w:rPr>
          <w:rFonts w:hAnsi="宋体"/>
          <w:b/>
          <w:bCs/>
          <w:color w:val="auto"/>
          <w:highlight w:val="none"/>
        </w:rPr>
        <w:t>本次</w:t>
      </w:r>
      <w:r>
        <w:rPr>
          <w:rFonts w:hint="eastAsia" w:hAnsi="宋体"/>
          <w:b/>
          <w:bCs/>
          <w:color w:val="auto"/>
          <w:highlight w:val="none"/>
          <w:lang w:val="en-US" w:eastAsia="zh-CN"/>
        </w:rPr>
        <w:t>C分标</w:t>
      </w:r>
      <w:r>
        <w:rPr>
          <w:rFonts w:hAnsi="宋体"/>
          <w:b/>
          <w:bCs/>
          <w:color w:val="auto"/>
          <w:highlight w:val="none"/>
        </w:rPr>
        <w:t>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hAnsi="宋体"/>
          <w:b/>
          <w:bCs/>
          <w:color w:val="auto"/>
          <w:highlight w:val="none"/>
          <w:lang w:eastAsia="zh-CN"/>
        </w:rPr>
        <w:t>；</w:t>
      </w:r>
      <w:r>
        <w:rPr>
          <w:rFonts w:hint="eastAsia" w:hAnsi="宋体"/>
          <w:b/>
          <w:bCs/>
          <w:color w:val="auto"/>
          <w:highlight w:val="none"/>
          <w:lang w:val="en-US" w:eastAsia="zh-CN"/>
        </w:rPr>
        <w:t>D分标</w:t>
      </w:r>
      <w:r>
        <w:rPr>
          <w:rFonts w:hAnsi="宋体"/>
          <w:b/>
          <w:bCs/>
          <w:color w:val="auto"/>
          <w:highlight w:val="none"/>
        </w:rPr>
        <w:t>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贰拾贰万伍仟元整（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225000.00 ）</w:t>
      </w:r>
      <w:r>
        <w:rPr>
          <w:rFonts w:hint="eastAsia" w:hAnsi="宋体"/>
          <w:b/>
          <w:bCs/>
          <w:color w:val="auto"/>
          <w:highlight w:val="none"/>
          <w:lang w:eastAsia="zh-CN"/>
        </w:rPr>
        <w:t>。</w:t>
      </w:r>
      <w:r>
        <w:rPr>
          <w:rFonts w:hint="eastAsia" w:hAnsi="宋体"/>
          <w:b/>
          <w:bCs/>
          <w:color w:val="auto"/>
          <w:highlight w:val="none"/>
          <w:lang w:val="en-US" w:eastAsia="zh-CN"/>
        </w:rPr>
        <w:t>各分标</w:t>
      </w:r>
      <w:r>
        <w:rPr>
          <w:rFonts w:hint="eastAsia" w:hAnsi="宋体"/>
          <w:b/>
          <w:bCs/>
          <w:color w:val="auto"/>
          <w:highlight w:val="none"/>
          <w:lang w:eastAsia="zh-CN"/>
        </w:rPr>
        <w:t>分项最高限价详见表格。</w:t>
      </w:r>
    </w:p>
    <w:p>
      <w:pPr>
        <w:spacing w:line="320" w:lineRule="exact"/>
        <w:ind w:firstLine="420" w:firstLineChars="200"/>
        <w:rPr>
          <w:color w:val="auto"/>
          <w:highlight w:val="none"/>
        </w:rPr>
      </w:pPr>
      <w:r>
        <w:rPr>
          <w:rFonts w:hint="eastAsia" w:ascii="宋体" w:hAnsi="宋体"/>
          <w:color w:val="auto"/>
          <w:szCs w:val="21"/>
          <w:highlight w:val="none"/>
          <w:lang w:val="en-US" w:eastAsia="zh-CN"/>
        </w:rPr>
        <w:t>7、本项目各分标均为服务类项目，无核心产品；</w:t>
      </w:r>
    </w:p>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《Web前端开发1+X课证一体课程》PPT课件</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★1.课件应包含《HTML5+CSS3开发技术》、《JavaScript前端开发》、《Vue应用程序开发》3个技术领域内容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素材应符合相关技术规范。PPT涉及的技术应为最新主流技术，不允许出现明显的已过时的技术。每个技术领域PPT不少于8个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能体现整门技术领域的知识框架。</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各级标题宜采用不同的字体，一张幻灯片上文字颜色不宜过多，注意文字与背景色的反差。</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4.6文件内链接都采用相对链接，并能够正常打开</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《Web前端开发1+X课证一体课程》教学视频</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100个</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★1.内容应覆盖《HTML5+CSS3开发技术》、《JavaScript前端开发》、《Vue应用程序开发》3个技术领域。</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2.要求视频图像清晰，声音和画面同步，播放时没有明显的噪点，播放流畅。</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脚本、样片等资源内容应符合我国法律法规，尊重各民族的风俗习惯，版权不存在争议，文字内容的使用应符合规范，符合国家标准。</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视频格式为MP4，分辨率为720P高清格式，每个视频时长3-20分钟，总时长不少于500分钟。</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《Web前端开发1+X课证一体课程》线上课程</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根据课程资源，设计并制作体现课程资源情况的首页、导航、功能栏目以及二级页面等，设计独特的网站风格。</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要体现课程学习的顶层设计和框架结构，考虑面向学生、教师、企业用户、社会学习者等不同人群，提供针对这些人群的导学导览设计，使不同学习者能够迅速获取所需内容，明确学习路径。</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eastAsia="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bCs/>
                <w:color w:val="auto"/>
                <w:sz w:val="21"/>
                <w:szCs w:val="21"/>
                <w:highlight w:val="none"/>
              </w:rPr>
            </w:pP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 xml:space="preserve">★二、交货期：自合同签订之日起 </w:t>
            </w:r>
            <w:r>
              <w:rPr>
                <w:rFonts w:hint="eastAsia" w:ascii="宋体" w:hAnsi="宋体" w:cs="宋体"/>
                <w:snapToGrid w:val="0"/>
                <w:color w:val="auto"/>
                <w:spacing w:val="2"/>
                <w:kern w:val="0"/>
                <w:sz w:val="21"/>
                <w:szCs w:val="21"/>
                <w:highlight w:val="none"/>
                <w:lang w:val="en-US" w:eastAsia="zh-CN"/>
              </w:rPr>
              <w:t>50</w:t>
            </w:r>
            <w:r>
              <w:rPr>
                <w:rFonts w:hint="eastAsia" w:ascii="宋体" w:hAnsi="宋体" w:eastAsia="宋体" w:cs="宋体"/>
                <w:snapToGrid w:val="0"/>
                <w:color w:val="auto"/>
                <w:spacing w:val="2"/>
                <w:kern w:val="0"/>
                <w:sz w:val="21"/>
                <w:szCs w:val="21"/>
                <w:highlight w:val="none"/>
              </w:rPr>
              <w:t>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bl>
    <w:p>
      <w:pPr>
        <w:rPr>
          <w:color w:val="auto"/>
          <w:highlight w:val="none"/>
        </w:rPr>
      </w:pPr>
    </w:p>
    <w:p>
      <w:pPr>
        <w:pStyle w:val="7"/>
        <w:rPr>
          <w:rFonts w:hint="eastAsia"/>
          <w:color w:val="auto"/>
          <w:sz w:val="21"/>
          <w:szCs w:val="21"/>
          <w:highlight w:val="none"/>
          <w:lang w:val="en-US" w:eastAsia="zh-CN"/>
        </w:rPr>
      </w:pPr>
      <w:r>
        <w:rPr>
          <w:rFonts w:hint="eastAsia"/>
          <w:color w:val="auto"/>
          <w:sz w:val="21"/>
          <w:szCs w:val="21"/>
          <w:highlight w:val="none"/>
          <w:lang w:val="en-US" w:eastAsia="zh-CN"/>
        </w:rPr>
        <w:t>D分标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《web应用安全与管理》课程包PPT课件</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★1.要求依据1+X“网络安全评估”职业技能等级要求（中级）“Web 安全评估测试”工作领域的职业技能要求进行开发，素材应符合相关技术规范。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15000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《web应用安全与管理》课程包教学视频</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内容应参照1+X“网络安全评估”职业技能等级要求（中级）“Web 安全评估测试”工作领域的职业技能要求进行开发。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★2.授课讲师必须为参加过1+X“网络安全评估”职业技能师资培训；（验收时提供培训证书复印件）</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3.要求视频图像清晰，声音和画面同步，播放时没有明显的噪点，播放流畅。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脚本、样片等资源内容应符合我国法律法规，尊重各民族的风俗习惯，版权不存在争议，文字内容的使用应符合规范，符合国家标准。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视频格式为MP4，分辨率为1920*1080高清格式，每个视频时长3-8分钟，总时长不少于500分钟。</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60000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《Linux操作系统管理》PPT课件</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★1.课件应根据RHCSA（Red Hat Certified System Administrator）国际化课程标准进行开发。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9000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《Linux操作系统管理》教学视频</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内容应根据RHCSA（Red Hat Certified System Administrator）国际化课程标准进行开发。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2.要求视频图像清晰，声音和画面同步，播放时没有明显的噪点，播放流畅。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脚本、样片等资源内容应符合我国法律法规，尊重各民族的风俗习惯，版权不存在争议，文字内容的使用应符合规范，符合国家标准。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视频格式为MP4，分辨率为1920*1080高清格式，每个视频时长3-8min，总时长不少于500min。</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bidi="ar"/>
              </w:rPr>
              <w:t>41000</w:t>
            </w:r>
            <w:r>
              <w:rPr>
                <w:rFonts w:hint="eastAsia" w:ascii="宋体" w:hAnsi="宋体" w:cs="宋体"/>
                <w:b/>
                <w:color w:val="auto"/>
                <w:kern w:val="0"/>
                <w:sz w:val="21"/>
                <w:szCs w:val="21"/>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专业核心课程微课</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1.每门微课材料包含微课视频，以及在微课录制过程中使用到的全部辅助扩展资料：教学方案设计、课件、习题、动画、视频、图片、答案、总结等。</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微课视频：时长5-10分钟为宜（不超过15分钟）；视频图像清晰稳定、构图合理、声音清楚，主要教学环节有字幕提示等；演示文稿：配合视频讲授使用的主要教学课件为PPT格式；教学方案设计应注明讲课内容所属大类专业、专业、课程名称、知识点（技能点）名称及适用对象等信息。满足参加自治区教学类技能比赛的要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微课选题：选取教学环节中某一知识点、技能点、专题、实训活动作为选题，针对教学中的常见、典型、有代表性的问题或内容进行设计，类型包括但不限于：讲授类、解题类、答疑类、实训实验类、活动类。选题尽量“小而精”，具备独立性、完整性、示范性、代表性。</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bidi="ar"/>
              </w:rPr>
              <w:t>100000</w:t>
            </w:r>
            <w:r>
              <w:rPr>
                <w:rFonts w:hint="eastAsia" w:ascii="宋体" w:hAnsi="宋体" w:cs="宋体"/>
                <w:b/>
                <w:color w:val="auto"/>
                <w:kern w:val="0"/>
                <w:sz w:val="21"/>
                <w:szCs w:val="21"/>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eastAsia="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 xml:space="preserve">贰拾贰万伍仟元整（￥225000.00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 xml:space="preserve">★二、交货期：自合同签订之日起 </w:t>
            </w:r>
            <w:r>
              <w:rPr>
                <w:rFonts w:hint="eastAsia" w:ascii="宋体" w:hAnsi="宋体" w:cs="宋体"/>
                <w:snapToGrid w:val="0"/>
                <w:color w:val="auto"/>
                <w:spacing w:val="2"/>
                <w:kern w:val="0"/>
                <w:sz w:val="21"/>
                <w:szCs w:val="21"/>
                <w:highlight w:val="none"/>
                <w:lang w:val="en-US" w:eastAsia="zh-CN"/>
              </w:rPr>
              <w:t>50</w:t>
            </w:r>
            <w:r>
              <w:rPr>
                <w:rFonts w:hint="eastAsia" w:ascii="宋体" w:hAnsi="宋体" w:eastAsia="宋体" w:cs="宋体"/>
                <w:snapToGrid w:val="0"/>
                <w:color w:val="auto"/>
                <w:spacing w:val="2"/>
                <w:kern w:val="0"/>
                <w:sz w:val="21"/>
                <w:szCs w:val="21"/>
                <w:highlight w:val="none"/>
              </w:rPr>
              <w:t>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bl>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pStyle w:val="7"/>
        <w:rPr>
          <w:rFonts w:hint="eastAsia" w:ascii="宋体" w:hAnsi="宋体" w:eastAsia="宋体" w:cs="宋体"/>
          <w:b/>
          <w:bCs/>
          <w:color w:val="auto"/>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highlight w:val="none"/>
          <w:lang w:val="en-US" w:eastAsia="zh-CN"/>
        </w:rPr>
      </w:pPr>
    </w:p>
    <w:p>
      <w:pPr>
        <w:pStyle w:val="18"/>
        <w:jc w:val="center"/>
        <w:outlineLvl w:val="0"/>
        <w:rPr>
          <w:rFonts w:hint="eastAsia" w:hAnsi="宋体" w:cs="宋体"/>
          <w:b/>
          <w:bCs/>
          <w:color w:val="auto"/>
          <w:highlight w:val="none"/>
        </w:rPr>
      </w:pPr>
      <w:bookmarkStart w:id="48" w:name="_Toc27482"/>
      <w:r>
        <w:rPr>
          <w:rFonts w:hint="eastAsia" w:ascii="Times New Roman" w:hAnsi="Times New Roman"/>
          <w:b/>
          <w:color w:val="auto"/>
          <w:sz w:val="36"/>
          <w:highlight w:val="none"/>
        </w:rPr>
        <w:t>第三章 评标办法</w:t>
      </w:r>
      <w:bookmarkEnd w:id="44"/>
      <w:bookmarkEnd w:id="45"/>
      <w:bookmarkEnd w:id="46"/>
      <w:bookmarkEnd w:id="47"/>
      <w:bookmarkEnd w:id="48"/>
      <w:bookmarkStart w:id="49" w:name="_Toc213206174"/>
      <w:bookmarkStart w:id="50" w:name="_Toc213325923"/>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适用C分标）</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（一）评标委员会以招标文件为依据，对投标文件进行评审，对投标人的投标报价、技术文件及商务文件等三部分内容按百分制打分，其中价格分</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分，技术分</w:t>
      </w:r>
      <w:r>
        <w:rPr>
          <w:rFonts w:hint="eastAsia" w:cs="Times New Roman" w:asciiTheme="minorEastAsia" w:hAnsiTheme="minorEastAsia" w:eastAsiaTheme="minorEastAsia"/>
          <w:color w:val="auto"/>
          <w:kern w:val="0"/>
          <w:sz w:val="21"/>
          <w:szCs w:val="21"/>
          <w:highlight w:val="none"/>
          <w:lang w:val="en-US" w:eastAsia="zh-CN"/>
        </w:rPr>
        <w:t>42</w:t>
      </w:r>
      <w:r>
        <w:rPr>
          <w:rFonts w:hint="eastAsia" w:cs="Times New Roman" w:asciiTheme="minorEastAsia" w:hAnsiTheme="minorEastAsia" w:eastAsiaTheme="minorEastAsia"/>
          <w:color w:val="auto"/>
          <w:kern w:val="0"/>
          <w:sz w:val="21"/>
          <w:szCs w:val="21"/>
          <w:highlight w:val="none"/>
        </w:rPr>
        <w:t>分，商务分</w:t>
      </w:r>
      <w:r>
        <w:rPr>
          <w:rFonts w:hint="eastAsia" w:cs="Times New Roman" w:asciiTheme="minorEastAsia" w:hAnsiTheme="minorEastAsia" w:eastAsiaTheme="minorEastAsia"/>
          <w:color w:val="auto"/>
          <w:kern w:val="0"/>
          <w:sz w:val="21"/>
          <w:szCs w:val="21"/>
          <w:highlight w:val="none"/>
          <w:lang w:val="en-US" w:eastAsia="zh-CN"/>
        </w:rPr>
        <w:t>28</w:t>
      </w:r>
      <w:r>
        <w:rPr>
          <w:rFonts w:hint="eastAsia" w:cs="Times New Roman" w:asciiTheme="minorEastAsia" w:hAnsiTheme="minorEastAsia" w:eastAsiaTheme="minorEastAsia"/>
          <w:color w:val="auto"/>
          <w:kern w:val="0"/>
          <w:sz w:val="21"/>
          <w:szCs w:val="21"/>
          <w:highlight w:val="none"/>
        </w:rPr>
        <w:t>分</w:t>
      </w:r>
      <w:r>
        <w:rPr>
          <w:rFonts w:hint="eastAsia" w:cs="Times New Roman" w:asciiTheme="minorEastAsia" w:hAnsiTheme="minorEastAsia"/>
          <w:color w:val="auto"/>
          <w:kern w:val="0"/>
          <w:sz w:val="21"/>
          <w:szCs w:val="21"/>
          <w:highlight w:val="none"/>
          <w:lang w:eastAsia="zh-CN"/>
        </w:rPr>
        <w:t>、诚信分</w:t>
      </w:r>
      <w:r>
        <w:rPr>
          <w:rFonts w:hint="eastAsia" w:cs="Times New Roman" w:asciiTheme="minorEastAsia" w:hAnsiTheme="minorEastAsia"/>
          <w:color w:val="auto"/>
          <w:kern w:val="0"/>
          <w:sz w:val="21"/>
          <w:szCs w:val="21"/>
          <w:highlight w:val="none"/>
          <w:lang w:val="en-US" w:eastAsia="zh-CN"/>
        </w:rPr>
        <w:t>-6分</w:t>
      </w:r>
      <w:r>
        <w:rPr>
          <w:rFonts w:hint="eastAsia" w:cs="Times New Roman" w:asciiTheme="minorEastAsia" w:hAnsiTheme="minorEastAsia" w:eastAsiaTheme="minorEastAsia"/>
          <w:color w:val="auto"/>
          <w:kern w:val="0"/>
          <w:sz w:val="21"/>
          <w:szCs w:val="21"/>
          <w:highlight w:val="none"/>
        </w:rPr>
        <w:t>。（评标时，对于带有主观因素的评分，由各评委独立进行评价、打分，不允许讨论。）</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（二）评分细则：（按四舍五入取至小数点后四位）</w:t>
      </w:r>
    </w:p>
    <w:p>
      <w:pPr>
        <w:spacing w:line="360" w:lineRule="auto"/>
        <w:ind w:firstLine="211" w:firstLineChars="100"/>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、价格分…………………………………………………………………………………………</w:t>
      </w:r>
      <w:r>
        <w:rPr>
          <w:rFonts w:cs="Times New Roman" w:asciiTheme="minorEastAsia" w:hAnsiTheme="minorEastAsia" w:eastAsiaTheme="minorEastAsia"/>
          <w:b/>
          <w:color w:val="auto"/>
          <w:kern w:val="0"/>
          <w:sz w:val="21"/>
          <w:szCs w:val="21"/>
          <w:highlight w:val="none"/>
        </w:rPr>
        <w:t>30</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）对小型和微型企业产品的价格给予</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要求提供的《投标报价表》和《中小企业声明函》为评分依据）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以上的，给予</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1-2%</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要求提供的《投标报价表》、《中小企业声明函》和《联合体协议书》为评分依据）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）投标产品提供企业按《关于政府采购支持监狱企业发展有关问题的通知》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[2014]68</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认定为监狱企业的，在政府采购活动中，监狱企业视同小型、微型企业。（以投标人按第五章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要求提供的《报价表》和由省级以上监狱管理局、戒毒管理局</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含新疆生产建设兵团</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出具的属于监狱企业的证明文件为评分依据）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4</w:t>
      </w:r>
      <w:r>
        <w:rPr>
          <w:rFonts w:hint="eastAsia" w:cs="Times New Roman" w:asciiTheme="minorEastAsia" w:hAnsiTheme="minorEastAsia" w:eastAsiaTheme="minorEastAsia"/>
          <w:color w:val="auto"/>
          <w:kern w:val="0"/>
          <w:sz w:val="21"/>
          <w:szCs w:val="21"/>
          <w:highlight w:val="none"/>
        </w:rPr>
        <w:t>）投标产品提供企业按《关于促进残疾人就业政府采购政策的通知》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2017</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141</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要求提供的《报价表》和《残疾人福利性单位声明函》为评分依据）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5</w:t>
      </w:r>
      <w:r>
        <w:rPr>
          <w:rFonts w:hint="eastAsia" w:cs="Times New Roman" w:asciiTheme="minorEastAsia" w:hAnsiTheme="minorEastAsia" w:eastAsiaTheme="minorEastAsia"/>
          <w:color w:val="auto"/>
          <w:kern w:val="0"/>
          <w:sz w:val="21"/>
          <w:szCs w:val="21"/>
          <w:highlight w:val="none"/>
        </w:rPr>
        <w:t>）除上述情况外，评标价＝投标报价。</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）价格分计算公式：</w:t>
      </w:r>
    </w:p>
    <w:p>
      <w:pPr>
        <w:spacing w:line="360" w:lineRule="auto"/>
        <w:ind w:firstLine="2100" w:firstLineChars="10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投标人最低投标报价金额</w:t>
      </w:r>
    </w:p>
    <w:p>
      <w:pPr>
        <w:spacing w:line="360" w:lineRule="auto"/>
        <w:ind w:firstLine="300" w:firstLineChars="15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0"/>
          <w:szCs w:val="21"/>
          <w:highlight w:val="none"/>
        </w:rPr>
        <mc:AlternateContent>
          <mc:Choice Requires="wps">
            <w:drawing>
              <wp:anchor distT="0" distB="0" distL="114300" distR="114300" simplePos="0" relativeHeight="251760640"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760640;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vgLiTW&#10;AAAACQEAAA8AAAAAAAAAAQAgAAAAIgAAAGRycy9kb3ducmV2LnhtbFBLAQIUABQAAAAIAIdO4kB5&#10;nMjN6QEAALgDAAAOAAAAAAAAAAEAIAAAACUBAABkcnMvZTJvRG9jLnhtbFBLBQYAAAAABgAGAFkB&#10;AACABQAAAAA=&#10;">
                <v:fill on="f" focussize="0,0"/>
                <v:stroke color="#000000" joinstyle="round"/>
                <v:imagedata o:title=""/>
                <o:lock v:ext="edit" aspectratio="f"/>
              </v:line>
            </w:pict>
          </mc:Fallback>
        </mc:AlternateContent>
      </w:r>
      <w:r>
        <w:rPr>
          <w:rFonts w:hint="eastAsia" w:cs="Times New Roman" w:asciiTheme="minorEastAsia" w:hAnsiTheme="minorEastAsia" w:eastAsiaTheme="minorEastAsia"/>
          <w:color w:val="auto"/>
          <w:kern w:val="0"/>
          <w:sz w:val="21"/>
          <w:szCs w:val="21"/>
          <w:highlight w:val="none"/>
        </w:rPr>
        <w:t xml:space="preserve">某投标人价格分＝ </w:t>
      </w:r>
      <w:r>
        <w:rPr>
          <w:rFonts w:cs="Times New Roman" w:asciiTheme="minorEastAsia" w:hAnsiTheme="minorEastAsia" w:eastAsiaTheme="minorEastAsia"/>
          <w:color w:val="auto"/>
          <w:kern w:val="0"/>
          <w:sz w:val="21"/>
          <w:szCs w:val="21"/>
          <w:highlight w:val="none"/>
        </w:rPr>
        <w:t xml:space="preserve">                           </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2100" w:firstLineChars="1000"/>
        <w:rPr>
          <w:rFonts w:cs="Times New Roman" w:asciiTheme="minorEastAsia" w:hAnsiTheme="minorEastAsia" w:eastAsia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某投标人投标报价金额</w:t>
      </w:r>
    </w:p>
    <w:p>
      <w:pPr>
        <w:spacing w:line="360" w:lineRule="auto"/>
        <w:ind w:firstLine="211" w:firstLineChars="100"/>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、技术分………………………………………………………………………………………</w:t>
      </w:r>
      <w:r>
        <w:rPr>
          <w:rFonts w:cs="Times New Roman" w:asciiTheme="minorEastAsia" w:hAnsiTheme="minorEastAsia" w:eastAsiaTheme="minorEastAsia"/>
          <w:b/>
          <w:color w:val="auto"/>
          <w:kern w:val="0"/>
          <w:sz w:val="21"/>
          <w:szCs w:val="21"/>
          <w:highlight w:val="none"/>
        </w:rPr>
        <w:t>4</w:t>
      </w:r>
      <w:r>
        <w:rPr>
          <w:rFonts w:hint="eastAsia" w:cs="Times New Roman" w:asciiTheme="minorEastAsia" w:hAnsiTheme="minorEastAsia" w:eastAsiaTheme="minorEastAsia"/>
          <w:b/>
          <w:color w:val="auto"/>
          <w:kern w:val="0"/>
          <w:sz w:val="21"/>
          <w:szCs w:val="21"/>
          <w:highlight w:val="none"/>
          <w:lang w:val="en-US" w:eastAsia="zh-CN"/>
        </w:rPr>
        <w:t>2</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1)</w:t>
      </w:r>
      <w:r>
        <w:rPr>
          <w:rFonts w:eastAsia="Times New Roman" w:cs="Times New Roman" w:asciiTheme="minorEastAsia" w:hAnsiTheme="minorEastAsia"/>
          <w:color w:val="auto"/>
          <w:kern w:val="0"/>
          <w:sz w:val="21"/>
          <w:szCs w:val="21"/>
          <w:highlight w:val="none"/>
        </w:rPr>
        <w:t>课程建设</w:t>
      </w:r>
      <w:r>
        <w:rPr>
          <w:rFonts w:hint="eastAsia" w:cs="Times New Roman" w:asciiTheme="minorEastAsia" w:hAnsiTheme="minorEastAsia" w:eastAsiaTheme="minorEastAsia"/>
          <w:color w:val="auto"/>
          <w:kern w:val="0"/>
          <w:sz w:val="21"/>
          <w:szCs w:val="21"/>
          <w:highlight w:val="none"/>
        </w:rPr>
        <w:t>技术方案的科学性和完整性（</w:t>
      </w:r>
      <w:r>
        <w:rPr>
          <w:rFonts w:cs="Times New Roman" w:asciiTheme="minorEastAsia" w:hAnsiTheme="minorEastAsia" w:eastAsiaTheme="minorEastAsia"/>
          <w:color w:val="auto"/>
          <w:kern w:val="0"/>
          <w:sz w:val="21"/>
          <w:szCs w:val="21"/>
          <w:highlight w:val="none"/>
        </w:rPr>
        <w:t>20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7</w:t>
      </w:r>
      <w:r>
        <w:rPr>
          <w:rFonts w:hint="eastAsia" w:cs="Times New Roman" w:asciiTheme="minorEastAsia" w:hAnsiTheme="minorEastAsia" w:eastAsiaTheme="minorEastAsia"/>
          <w:color w:val="auto"/>
          <w:kern w:val="0"/>
          <w:sz w:val="21"/>
          <w:szCs w:val="21"/>
          <w:highlight w:val="none"/>
        </w:rPr>
        <w:t>分）</w:t>
      </w:r>
      <w:r>
        <w:rPr>
          <w:rFonts w:hint="eastAsia" w:cs="Times New Roman" w:asciiTheme="minorEastAsia" w:hAnsiTheme="minorEastAsia" w:eastAsiaTheme="minorEastAsia"/>
          <w:color w:val="auto"/>
          <w:kern w:val="0"/>
          <w:sz w:val="20"/>
          <w:szCs w:val="21"/>
          <w:highlight w:val="none"/>
        </w:rPr>
        <w:t>:</w:t>
      </w:r>
      <w:r>
        <w:rPr>
          <w:rFonts w:hint="eastAsia" w:cs="Times New Roman" w:asciiTheme="minorEastAsia" w:hAnsiTheme="minorEastAsia" w:eastAsiaTheme="minorEastAsia"/>
          <w:color w:val="auto"/>
          <w:kern w:val="0"/>
          <w:sz w:val="21"/>
          <w:szCs w:val="21"/>
          <w:highlight w:val="none"/>
        </w:rPr>
        <w:t>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建设方案，但对项目建设目标、建设思路、整体架构、特色与创新、建设推进计划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未提供详细描述，或未包含</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门课程详细完整的项目、任务、知识点和技能点，以及各知识点和技能点所对应的资源形式和最低数量方案。</w:t>
      </w:r>
    </w:p>
    <w:p>
      <w:pPr>
        <w:spacing w:line="360" w:lineRule="auto"/>
        <w:ind w:firstLine="42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14</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0"/>
          <w:szCs w:val="21"/>
          <w:highlight w:val="none"/>
        </w:rPr>
        <w:t>:</w:t>
      </w:r>
      <w:r>
        <w:rPr>
          <w:rFonts w:hint="eastAsia" w:cs="Times New Roman" w:asciiTheme="minorEastAsia" w:hAnsiTheme="minorEastAsia" w:eastAsiaTheme="minorEastAsia"/>
          <w:color w:val="auto"/>
          <w:kern w:val="0"/>
          <w:sz w:val="21"/>
          <w:szCs w:val="21"/>
          <w:highlight w:val="none"/>
        </w:rPr>
        <w:t>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有基本描述，人才培养方案和资源建设方案无漏项，基本满足采购文件要求，内容无前后矛盾。技术方案未完整体现与职业标准、技术标准、专业特点、区域经济需求的吻合程度，</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建设方案中</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门课程的项目、任务、知识点和技能点，以及各知识点和技能点所对应的资源形式和最低数量方案的设计较为一般。</w:t>
      </w:r>
    </w:p>
    <w:p>
      <w:pPr>
        <w:spacing w:line="360" w:lineRule="auto"/>
        <w:ind w:firstLine="42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cs="Times New Roman" w:asciiTheme="minorEastAsia" w:hAnsiTheme="minorEastAsia" w:eastAsiaTheme="minorEastAsia"/>
          <w:color w:val="auto"/>
          <w:kern w:val="0"/>
          <w:sz w:val="21"/>
          <w:szCs w:val="21"/>
          <w:highlight w:val="none"/>
        </w:rPr>
        <w:t>20</w:t>
      </w:r>
      <w:r>
        <w:rPr>
          <w:rFonts w:hint="eastAsia" w:cs="Times New Roman" w:asciiTheme="minorEastAsia" w:hAnsiTheme="minorEastAsia" w:eastAsiaTheme="minorEastAsia"/>
          <w:color w:val="auto"/>
          <w:kern w:val="0"/>
          <w:sz w:val="21"/>
          <w:szCs w:val="21"/>
          <w:highlight w:val="none"/>
        </w:rPr>
        <w:t>分）：提供了南宁职业技术学院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有详细的阐述。投标方案点对点应答详尽、明晰，满足采购文件要求，内容齐全、表述准确、条理清晰，内容无前后矛盾，符合采购文件要求。建设方案与与职业标准、技术标准、专业特点、区域经济需求高度吻合，体现方案的科学性、规范性、先进性、实用性。方案科学合理、具有一定的前瞻性，充分考虑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建设的需求。</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）新技术应用能力和资源整合利用的能力（</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建设中未体现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的应用，对新技术应用未提出针对性方案。方案无法证明能够满足标书中对该项技术应用的要求。</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建设中未体现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的应用，但与实际职业岗位技能标准、技术标准吻合度不高，参与项目开发的团队的资历证明材料无法证明有掌握相关技术的人员。方案无法证明在</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建设中应用该项新技术的可能性。</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的应用，与实际职业岗位技能标准、技术标准吻合度较高，参与项目开发的团队的资历证明材料能证明有掌握相关技术的人员，具备相关开发能力，方案可行，并在微课</w:t>
      </w:r>
      <w:r>
        <w:rPr>
          <w:rFonts w:eastAsia="Times New Roman" w:cs="Times New Roman" w:asciiTheme="minorEastAsia" w:hAnsiTheme="minorEastAsia"/>
          <w:color w:val="auto"/>
          <w:kern w:val="0"/>
          <w:sz w:val="21"/>
          <w:szCs w:val="21"/>
          <w:highlight w:val="none"/>
        </w:rPr>
        <w:t>演示</w:t>
      </w:r>
      <w:r>
        <w:rPr>
          <w:rFonts w:hint="eastAsia" w:cs="Times New Roman" w:asciiTheme="minorEastAsia" w:hAnsiTheme="minorEastAsia" w:eastAsiaTheme="minorEastAsia"/>
          <w:color w:val="auto"/>
          <w:kern w:val="0"/>
          <w:sz w:val="21"/>
          <w:szCs w:val="21"/>
          <w:highlight w:val="none"/>
        </w:rPr>
        <w:t>视频中体现这部分新技术应用情况。</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）项目组人员投入及素质情况（</w:t>
      </w:r>
      <w:r>
        <w:rPr>
          <w:rFonts w:cs="Times New Roman" w:asciiTheme="minorEastAsia" w:hAnsiTheme="minorEastAsia" w:eastAsiaTheme="minorEastAsia"/>
          <w:color w:val="auto"/>
          <w:kern w:val="0"/>
          <w:sz w:val="21"/>
          <w:szCs w:val="21"/>
          <w:highlight w:val="none"/>
        </w:rPr>
        <w:t>10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 xml:space="preserve">（1） </w:t>
      </w:r>
      <w:r>
        <w:rPr>
          <w:rFonts w:hint="eastAsia" w:cs="宋体" w:asciiTheme="minorEastAsia" w:hAnsiTheme="minorEastAsia" w:eastAsiaTheme="minorEastAsia"/>
          <w:color w:val="auto"/>
          <w:kern w:val="0"/>
          <w:sz w:val="21"/>
          <w:szCs w:val="21"/>
          <w:highlight w:val="none"/>
        </w:rPr>
        <w:t>课程专家</w:t>
      </w:r>
      <w:r>
        <w:rPr>
          <w:rFonts w:cs="Times New Roman" w:asciiTheme="minorEastAsia" w:hAnsiTheme="minorEastAsia" w:eastAsiaTheme="minorEastAsia"/>
          <w:color w:val="auto"/>
          <w:kern w:val="0"/>
          <w:sz w:val="21"/>
          <w:szCs w:val="21"/>
          <w:highlight w:val="none"/>
        </w:rPr>
        <w:t>至少3人，</w:t>
      </w:r>
      <w:r>
        <w:rPr>
          <w:rFonts w:hint="eastAsia" w:cs="宋体" w:asciiTheme="minorEastAsia" w:hAnsiTheme="minorEastAsia" w:eastAsiaTheme="minorEastAsia"/>
          <w:color w:val="auto"/>
          <w:kern w:val="0"/>
          <w:sz w:val="21"/>
          <w:szCs w:val="21"/>
          <w:highlight w:val="none"/>
        </w:rPr>
        <w:t>要求指导过前端开发相关比赛或具有</w:t>
      </w:r>
      <w:r>
        <w:rPr>
          <w:rFonts w:cs="Times New Roman" w:asciiTheme="minorEastAsia" w:hAnsiTheme="minorEastAsia" w:eastAsiaTheme="minorEastAsia"/>
          <w:color w:val="auto"/>
          <w:kern w:val="0"/>
          <w:sz w:val="21"/>
          <w:szCs w:val="21"/>
          <w:highlight w:val="none"/>
        </w:rPr>
        <w:t>3</w:t>
      </w:r>
      <w:r>
        <w:rPr>
          <w:rFonts w:hint="eastAsia" w:cs="宋体" w:asciiTheme="minorEastAsia" w:hAnsiTheme="minorEastAsia" w:eastAsiaTheme="minorEastAsia"/>
          <w:color w:val="auto"/>
          <w:kern w:val="0"/>
          <w:sz w:val="21"/>
          <w:szCs w:val="21"/>
          <w:highlight w:val="none"/>
        </w:rPr>
        <w:t>年前端开发领域项目的工作，</w:t>
      </w:r>
      <w:r>
        <w:rPr>
          <w:rFonts w:cs="Times New Roman" w:asciiTheme="minorEastAsia" w:hAnsiTheme="minorEastAsia" w:eastAsiaTheme="minorEastAsia"/>
          <w:color w:val="auto"/>
          <w:kern w:val="0"/>
          <w:sz w:val="21"/>
          <w:szCs w:val="21"/>
          <w:highlight w:val="none"/>
        </w:rPr>
        <w:t>满足得6分；</w:t>
      </w:r>
      <w:r>
        <w:rPr>
          <w:rFonts w:hint="eastAsia" w:cs="宋体" w:asciiTheme="minorEastAsia" w:hAnsiTheme="minorEastAsia" w:eastAsiaTheme="minorEastAsia"/>
          <w:color w:val="auto"/>
          <w:kern w:val="0"/>
          <w:sz w:val="21"/>
          <w:szCs w:val="21"/>
          <w:highlight w:val="none"/>
        </w:rPr>
        <w:t>（要求提供获奖证书，或者公司开具的工作经历证明）</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（2）</w:t>
      </w:r>
      <w:r>
        <w:rPr>
          <w:rFonts w:cs="Times New Roman" w:asciiTheme="minorEastAsia" w:hAnsiTheme="minorEastAsia" w:eastAsiaTheme="minorEastAsia"/>
          <w:color w:val="auto"/>
          <w:kern w:val="0"/>
          <w:sz w:val="21"/>
          <w:szCs w:val="21"/>
          <w:highlight w:val="none"/>
        </w:rPr>
        <w:t>PPT设计及界面设计人员至少1人，要求艺术设计专业，满足得1分；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（3）</w:t>
      </w:r>
      <w:r>
        <w:rPr>
          <w:rFonts w:cs="Times New Roman" w:asciiTheme="minorEastAsia" w:hAnsiTheme="minorEastAsia" w:eastAsiaTheme="minorEastAsia"/>
          <w:color w:val="auto"/>
          <w:kern w:val="0"/>
          <w:sz w:val="21"/>
          <w:szCs w:val="21"/>
          <w:highlight w:val="none"/>
        </w:rPr>
        <w:t>其他技术人员至少3人，满足得3分。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（以上所有人员需提供学历证书或资格证书复印件并加盖公章，</w:t>
      </w:r>
      <w:r>
        <w:rPr>
          <w:rFonts w:hint="eastAsia" w:cs="Times New Roman" w:asciiTheme="minorEastAsia" w:hAnsiTheme="minorEastAsia" w:eastAsiaTheme="minorEastAsia"/>
          <w:color w:val="auto"/>
          <w:kern w:val="0"/>
          <w:sz w:val="21"/>
          <w:szCs w:val="21"/>
          <w:highlight w:val="none"/>
        </w:rPr>
        <w:t>并提供劳动合同复印件</w:t>
      </w:r>
      <w:r>
        <w:rPr>
          <w:rFonts w:cs="Times New Roman" w:asciiTheme="minorEastAsia" w:hAnsiTheme="minorEastAsia" w:eastAsiaTheme="minorEastAsia"/>
          <w:color w:val="auto"/>
          <w:kern w:val="0"/>
          <w:sz w:val="21"/>
          <w:szCs w:val="21"/>
          <w:highlight w:val="none"/>
        </w:rPr>
        <w:t>）</w:t>
      </w:r>
    </w:p>
    <w:p>
      <w:pPr>
        <w:spacing w:line="360" w:lineRule="auto"/>
        <w:ind w:firstLine="103" w:firstLineChars="49"/>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eastAsiaTheme="minorEastAsia"/>
          <w:b/>
          <w:color w:val="auto"/>
          <w:kern w:val="0"/>
          <w:sz w:val="21"/>
          <w:szCs w:val="21"/>
          <w:highlight w:val="none"/>
        </w:rPr>
        <w:t>、商务分…………………………………………………………………………………………</w:t>
      </w:r>
      <w:r>
        <w:rPr>
          <w:rFonts w:hint="eastAsia" w:cs="Times New Roman" w:asciiTheme="minorEastAsia" w:hAnsiTheme="minorEastAsia" w:eastAsiaTheme="minorEastAsia"/>
          <w:b/>
          <w:color w:val="auto"/>
          <w:kern w:val="0"/>
          <w:sz w:val="21"/>
          <w:szCs w:val="21"/>
          <w:highlight w:val="none"/>
          <w:lang w:val="en-US" w:eastAsia="zh-CN"/>
        </w:rPr>
        <w:t>28</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）投标人在本地设有服务机构的得2分（提供营业执照或由当地政府机关开具的办事机构相关证明材料复印件，原件备查）。</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）投标人拟投入本项目的相关专业技术人员有专业技术证书的，</w:t>
      </w:r>
      <w:r>
        <w:rPr>
          <w:rFonts w:cs="Times New Roman" w:asciiTheme="minorEastAsia" w:hAnsiTheme="minorEastAsia" w:eastAsiaTheme="minorEastAsia"/>
          <w:color w:val="auto"/>
          <w:kern w:val="0"/>
          <w:sz w:val="21"/>
          <w:szCs w:val="21"/>
          <w:highlight w:val="none"/>
        </w:rPr>
        <w:t>计</w:t>
      </w:r>
      <w:r>
        <w:rPr>
          <w:rFonts w:hint="eastAsia" w:cs="Times New Roman" w:asciiTheme="minorEastAsia" w:hAnsiTheme="minorEastAsia" w:eastAsiaTheme="minorEastAsia"/>
          <w:color w:val="auto"/>
          <w:kern w:val="0"/>
          <w:sz w:val="21"/>
          <w:szCs w:val="21"/>
          <w:highlight w:val="none"/>
        </w:rPr>
        <w:t>算机类高级工程师证，每个证得</w:t>
      </w:r>
      <w:r>
        <w:rPr>
          <w:rFonts w:eastAsia="Times New Roman" w:cs="Times New Roman" w:asciiTheme="minorEastAsia" w:hAnsi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分；计算机类工程师证每人得</w:t>
      </w:r>
      <w:r>
        <w:rPr>
          <w:rFonts w:eastAsia="Times New Roman" w:cs="Times New Roman" w:asciiTheme="minorEastAsia" w:hAnsi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分。本项满分共</w:t>
      </w:r>
      <w:r>
        <w:rPr>
          <w:rFonts w:eastAsia="Times New Roman" w:cs="Times New Roman" w:asciiTheme="minorEastAsia" w:hAnsi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分。（需提供专业人员花名册包括姓名、性别、出生日期、学历，提供证书及所有人员</w:t>
      </w:r>
      <w:r>
        <w:rPr>
          <w:rFonts w:cs="Times New Roman" w:asciiTheme="minorEastAsia" w:hAnsiTheme="minorEastAsia" w:eastAsiaTheme="minorEastAsia"/>
          <w:color w:val="auto"/>
          <w:kern w:val="0"/>
          <w:sz w:val="21"/>
          <w:szCs w:val="21"/>
          <w:highlight w:val="none"/>
        </w:rPr>
        <w:t>2020年度内连续3个月</w:t>
      </w:r>
      <w:r>
        <w:rPr>
          <w:rFonts w:hint="eastAsia" w:cs="Times New Roman" w:asciiTheme="minorEastAsia" w:hAnsiTheme="minorEastAsia" w:eastAsiaTheme="minorEastAsia"/>
          <w:color w:val="auto"/>
          <w:kern w:val="0"/>
          <w:sz w:val="21"/>
          <w:szCs w:val="21"/>
          <w:highlight w:val="none"/>
        </w:rPr>
        <w:t>在竞标单位的社保缴费记录复印件，原件备查）。</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eastAsia="Times New Roman" w:cs="宋体" w:asciiTheme="minorEastAsia" w:hAnsiTheme="minorEastAsia"/>
          <w:color w:val="auto"/>
          <w:kern w:val="0"/>
          <w:sz w:val="21"/>
          <w:szCs w:val="21"/>
          <w:highlight w:val="none"/>
        </w:rPr>
        <w:t>3</w:t>
      </w:r>
      <w:r>
        <w:rPr>
          <w:rFonts w:hint="eastAsia" w:cs="宋体" w:asciiTheme="minorEastAsia" w:hAnsiTheme="minorEastAsia" w:eastAsiaTheme="minorEastAsia"/>
          <w:color w:val="auto"/>
          <w:kern w:val="0"/>
          <w:sz w:val="21"/>
          <w:szCs w:val="21"/>
          <w:highlight w:val="none"/>
        </w:rPr>
        <w:t>）投标人</w:t>
      </w:r>
      <w:r>
        <w:rPr>
          <w:rFonts w:cs="Times New Roman" w:asciiTheme="minorEastAsia" w:hAnsiTheme="minorEastAsia" w:eastAsiaTheme="minorEastAsia"/>
          <w:color w:val="auto"/>
          <w:kern w:val="0"/>
          <w:sz w:val="21"/>
          <w:szCs w:val="21"/>
          <w:highlight w:val="none"/>
        </w:rPr>
        <w:t>2017</w:t>
      </w:r>
      <w:r>
        <w:rPr>
          <w:rFonts w:hint="eastAsia" w:cs="宋体" w:asciiTheme="minorEastAsia" w:hAnsiTheme="minorEastAsia" w:eastAsiaTheme="minorEastAsia"/>
          <w:color w:val="auto"/>
          <w:kern w:val="0"/>
          <w:sz w:val="21"/>
          <w:szCs w:val="21"/>
          <w:highlight w:val="none"/>
        </w:rPr>
        <w:t>年以来具有前端开发领域类别相关业绩的，每项计算机</w:t>
      </w:r>
      <w:r>
        <w:rPr>
          <w:rFonts w:hint="eastAsia" w:cs="宋体" w:asciiTheme="minorEastAsia" w:hAnsiTheme="minorEastAsia" w:eastAsiaTheme="minorEastAsia"/>
          <w:color w:val="auto"/>
          <w:kern w:val="0"/>
          <w:sz w:val="21"/>
          <w:szCs w:val="21"/>
          <w:highlight w:val="none"/>
          <w:lang w:val="en-US" w:eastAsia="zh-CN"/>
        </w:rPr>
        <w:t>类</w:t>
      </w:r>
      <w:r>
        <w:rPr>
          <w:rFonts w:hint="eastAsia" w:cs="宋体" w:asciiTheme="minorEastAsia" w:hAnsiTheme="minorEastAsia" w:eastAsiaTheme="minorEastAsia"/>
          <w:color w:val="auto"/>
          <w:kern w:val="0"/>
          <w:sz w:val="21"/>
          <w:szCs w:val="21"/>
          <w:highlight w:val="none"/>
        </w:rPr>
        <w:t>业绩得2分。</w:t>
      </w:r>
      <w:r>
        <w:rPr>
          <w:rFonts w:cs="Times New Roman" w:asciiTheme="minorEastAsia" w:hAnsiTheme="minorEastAsia" w:eastAsiaTheme="minorEastAsia"/>
          <w:color w:val="auto"/>
          <w:kern w:val="0"/>
          <w:sz w:val="21"/>
          <w:szCs w:val="21"/>
          <w:highlight w:val="none"/>
        </w:rPr>
        <w:br w:type="textWrapping"/>
      </w:r>
      <w:r>
        <w:rPr>
          <w:rFonts w:hint="eastAsia" w:cs="Times New Roman" w:asciiTheme="minorEastAsia" w:hAnsiTheme="minorEastAsia" w:eastAsiaTheme="minorEastAsia"/>
          <w:color w:val="auto"/>
          <w:kern w:val="0"/>
          <w:sz w:val="21"/>
          <w:szCs w:val="21"/>
          <w:highlight w:val="none"/>
        </w:rPr>
        <w:t xml:space="preserve">    </w:t>
      </w:r>
      <w:r>
        <w:rPr>
          <w:rFonts w:eastAsia="Times New Roman" w:cs="Times New Roman" w:asciiTheme="minorEastAsia" w:hAnsiTheme="minorEastAsia"/>
          <w:color w:val="auto"/>
          <w:kern w:val="0"/>
          <w:sz w:val="21"/>
          <w:szCs w:val="21"/>
          <w:highlight w:val="none"/>
        </w:rPr>
        <w:t>4</w:t>
      </w:r>
      <w:r>
        <w:rPr>
          <w:rFonts w:hint="eastAsia" w:cs="宋体" w:asciiTheme="minorEastAsia" w:hAnsiTheme="minorEastAsia" w:eastAsiaTheme="minorEastAsia"/>
          <w:color w:val="auto"/>
          <w:kern w:val="0"/>
          <w:sz w:val="21"/>
          <w:szCs w:val="21"/>
          <w:highlight w:val="none"/>
        </w:rPr>
        <w:t>）投标人</w:t>
      </w:r>
      <w:r>
        <w:rPr>
          <w:rFonts w:cs="Times New Roman" w:asciiTheme="minorEastAsia" w:hAnsiTheme="minorEastAsia" w:eastAsiaTheme="minorEastAsia"/>
          <w:color w:val="auto"/>
          <w:kern w:val="0"/>
          <w:sz w:val="21"/>
          <w:szCs w:val="21"/>
          <w:highlight w:val="none"/>
        </w:rPr>
        <w:t>2017</w:t>
      </w:r>
      <w:r>
        <w:rPr>
          <w:rFonts w:hint="eastAsia" w:cs="宋体" w:asciiTheme="minorEastAsia" w:hAnsiTheme="minorEastAsia" w:eastAsiaTheme="minorEastAsia"/>
          <w:color w:val="auto"/>
          <w:kern w:val="0"/>
          <w:sz w:val="21"/>
          <w:szCs w:val="21"/>
          <w:highlight w:val="none"/>
        </w:rPr>
        <w:t>年以来具有教育类信息类别相关业绩的，每项得2分，最高得</w:t>
      </w:r>
      <w:r>
        <w:rPr>
          <w:rFonts w:eastAsia="Times New Roman" w:cs="Times New Roman" w:asciiTheme="minorEastAsia" w:hAnsiTheme="minorEastAsia"/>
          <w:color w:val="auto"/>
          <w:kern w:val="0"/>
          <w:sz w:val="21"/>
          <w:szCs w:val="21"/>
          <w:highlight w:val="none"/>
        </w:rPr>
        <w:t>6</w:t>
      </w:r>
      <w:r>
        <w:rPr>
          <w:rFonts w:hint="eastAsia" w:cs="宋体"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 </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1"/>
          <w:szCs w:val="21"/>
          <w:highlight w:val="none"/>
        </w:rPr>
        <w:t>5</w:t>
      </w:r>
      <w:r>
        <w:rPr>
          <w:rFonts w:hint="eastAsia" w:cs="Times New Roman" w:asciiTheme="minorEastAsia" w:hAnsiTheme="minorEastAsia" w:eastAsiaTheme="minorEastAsia"/>
          <w:color w:val="auto"/>
          <w:kern w:val="0"/>
          <w:sz w:val="21"/>
          <w:szCs w:val="21"/>
          <w:highlight w:val="none"/>
        </w:rPr>
        <w:t>）售后服务方案情况（</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分）：投标人提供的售后服务方案和售后服务承诺说明，不能提供服务人员名单及相关证明（要求提供服务人员毕业证或职称证，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7</w:t>
      </w:r>
      <w:r>
        <w:rPr>
          <w:rFonts w:hint="eastAsia" w:cs="Times New Roman" w:asciiTheme="minorEastAsia" w:hAnsiTheme="minorEastAsia" w:eastAsiaTheme="minorEastAsia"/>
          <w:color w:val="auto"/>
          <w:kern w:val="0"/>
          <w:sz w:val="21"/>
          <w:szCs w:val="21"/>
          <w:highlight w:val="none"/>
        </w:rPr>
        <w:t>分）：投标人提供的售后服务方案和售后服务承诺说明，提供服务人员名单及相关证明不足3人（要求提供服务人员毕业证或职称证，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分）：投标人提供的售后服务方案详细、具体、明确、规范；售后服务承诺完整、可行。维护期内运行维护人员不少于三人，（要求提供服务人员毕业证或职称证，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），提供</w:t>
      </w:r>
      <w:r>
        <w:rPr>
          <w:rFonts w:cs="Times New Roman" w:asciiTheme="minorEastAsia" w:hAnsiTheme="minorEastAsia" w:eastAsiaTheme="minorEastAsia"/>
          <w:color w:val="auto"/>
          <w:kern w:val="0"/>
          <w:sz w:val="21"/>
          <w:szCs w:val="21"/>
          <w:highlight w:val="none"/>
        </w:rPr>
        <w:t>7*24</w:t>
      </w:r>
      <w:r>
        <w:rPr>
          <w:rFonts w:hint="eastAsia" w:cs="Times New Roman" w:asciiTheme="minorEastAsia" w:hAnsiTheme="minorEastAsia" w:eastAsiaTheme="minorEastAsia"/>
          <w:color w:val="auto"/>
          <w:kern w:val="0"/>
          <w:sz w:val="21"/>
          <w:szCs w:val="21"/>
          <w:highlight w:val="none"/>
        </w:rPr>
        <w:t>服务，承诺免费对采购单位的需求变更进行完善，完全满足采购单位的要求。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color w:val="auto"/>
          <w:highlight w:val="none"/>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2" w:firstLineChars="200"/>
        <w:rPr>
          <w:rFonts w:eastAsia="Times New Roman" w:cs="Times New Roman" w:asciiTheme="minorEastAsia" w:hAnsiTheme="minorEastAsia"/>
          <w:b/>
          <w:color w:val="auto"/>
          <w:kern w:val="0"/>
          <w:sz w:val="20"/>
          <w:szCs w:val="21"/>
          <w:highlight w:val="none"/>
        </w:rPr>
      </w:pPr>
      <w:r>
        <w:rPr>
          <w:rFonts w:hint="eastAsia" w:cs="Times New Roman" w:asciiTheme="minorEastAsia" w:hAnsiTheme="minorEastAsia" w:eastAsiaTheme="minorEastAsia"/>
          <w:b/>
          <w:color w:val="auto"/>
          <w:kern w:val="0"/>
          <w:sz w:val="21"/>
          <w:szCs w:val="21"/>
          <w:highlight w:val="none"/>
        </w:rPr>
        <w:t>（三）总得分＝</w:t>
      </w: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b/>
          <w:color w:val="auto"/>
          <w:kern w:val="0"/>
          <w:sz w:val="21"/>
          <w:szCs w:val="21"/>
          <w:highlight w:val="none"/>
          <w:lang w:val="en-US" w:eastAsia="zh-CN"/>
        </w:rPr>
        <w:t>+4</w:t>
      </w:r>
      <w:r>
        <w:rPr>
          <w:rFonts w:hint="eastAsia" w:cs="Times New Roman" w:asciiTheme="minorEastAsia" w:hAnsiTheme="minorEastAsia" w:eastAsiaTheme="minorEastAsia"/>
          <w:b/>
          <w:color w:val="auto"/>
          <w:kern w:val="0"/>
          <w:sz w:val="21"/>
          <w:szCs w:val="21"/>
          <w:highlight w:val="none"/>
        </w:rPr>
        <w:t>。</w:t>
      </w:r>
    </w:p>
    <w:p>
      <w:pPr>
        <w:pStyle w:val="18"/>
        <w:spacing w:line="360" w:lineRule="auto"/>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适用D分标）</w:t>
      </w:r>
    </w:p>
    <w:p>
      <w:pPr>
        <w:pStyle w:val="18"/>
        <w:spacing w:line="360" w:lineRule="auto"/>
        <w:rPr>
          <w:rFonts w:hint="eastAsia" w:hAnsi="宋体" w:cs="宋体"/>
          <w:b/>
          <w:bCs/>
          <w:color w:val="auto"/>
          <w:highlight w:val="none"/>
        </w:rPr>
      </w:pP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（一）评标委员会以招标文件为依据，对投标文件进行评审，对投标人的投标报价、技术文件及商务文件等三部分内容按百分制打分，其中价格分</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分，技术分</w:t>
      </w: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5分，商务分25分</w:t>
      </w:r>
      <w:r>
        <w:rPr>
          <w:rFonts w:hint="eastAsia" w:ascii="宋体" w:hAnsi="宋体" w:eastAsia="宋体" w:cs="宋体"/>
          <w:color w:val="auto"/>
          <w:kern w:val="0"/>
          <w:sz w:val="21"/>
          <w:szCs w:val="21"/>
          <w:highlight w:val="none"/>
          <w:lang w:eastAsia="zh-CN"/>
        </w:rPr>
        <w:t>、诚信分</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rPr>
        <w:t>。（评标时，对于带有主观因素的评分，由各评委独立进行评价、打分，不允许讨论。）</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（二）评分细则：（按四舍五入取至小数点后四位）</w:t>
      </w: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、价格分………………………………………………………………………………………</w:t>
      </w:r>
      <w:r>
        <w:rPr>
          <w:rFonts w:ascii="宋体" w:hAnsi="宋体" w:eastAsia="宋体" w:cs="宋体"/>
          <w:b/>
          <w:color w:val="auto"/>
          <w:kern w:val="0"/>
          <w:sz w:val="21"/>
          <w:szCs w:val="21"/>
          <w:highlight w:val="none"/>
        </w:rPr>
        <w:t>30</w:t>
      </w:r>
      <w:r>
        <w:rPr>
          <w:rFonts w:hint="eastAsia" w:ascii="宋体" w:hAnsi="宋体" w:eastAsia="宋体" w:cs="宋体"/>
          <w:b/>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）对小型和微型企业产品的价格给予</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要求提供的《投标报价表》和《中小企业声明函》为评分依据）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以上的，给予</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要求提供的《投标报价表》、《中小企业声明函》和《联合体协议书》为评分依据）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）投标产品提供企业按《关于政府采购支持监狱企业发展有关问题的通知》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[2014]68</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认定为监狱企业的，在政府采购活动中，监狱企业视同小型、微型企业。（以投标人按第五章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要求提供的《报价表》和由省级以上监狱管理局、戒毒管理局</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含新疆生产建设兵团</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出具的属于监狱企业的证明文件为评分依据）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）投标产品提供企业按《关于促进残疾人就业政府采购政策的通知》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2017</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要求提供的《报价表》和《残疾人福利性单位声明函》为评分依据）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）除上述情况外，评标价＝投标报价。</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）价格分计算公式：</w:t>
      </w:r>
    </w:p>
    <w:p>
      <w:pPr>
        <w:spacing w:line="360" w:lineRule="auto"/>
        <w:ind w:firstLine="2205" w:firstLineChars="105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投标人最低投标报价金额</w:t>
      </w:r>
    </w:p>
    <w:p>
      <w:pPr>
        <w:spacing w:line="360" w:lineRule="auto"/>
        <w:ind w:firstLine="40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0"/>
          <w:szCs w:val="21"/>
          <w:highlight w:val="none"/>
        </w:rPr>
        <mc:AlternateContent>
          <mc:Choice Requires="wps">
            <w:drawing>
              <wp:anchor distT="0" distB="0" distL="114300" distR="114300" simplePos="0" relativeHeight="251797504"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797504;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uJNYA&#10;AAAJAQAADwAAAAAAAAABACAAAAAiAAAAZHJzL2Rvd25yZXYueG1sUEsBAhQAFAAAAAgAh07iQB8I&#10;aMLoAQAAuA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1"/>
          <w:szCs w:val="21"/>
          <w:highlight w:val="none"/>
        </w:rPr>
        <w:t xml:space="preserve">某投标人价格分＝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分</w:t>
      </w:r>
    </w:p>
    <w:p>
      <w:pPr>
        <w:spacing w:line="360" w:lineRule="auto"/>
        <w:ind w:firstLine="2205" w:firstLineChars="105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某投标人投标报价金额</w:t>
      </w:r>
    </w:p>
    <w:p>
      <w:pPr>
        <w:spacing w:line="360" w:lineRule="auto"/>
        <w:ind w:firstLine="420" w:firstLineChars="200"/>
        <w:jc w:val="left"/>
        <w:rPr>
          <w:rFonts w:ascii="宋体" w:hAnsi="宋体" w:eastAsia="宋体" w:cs="宋体"/>
          <w:color w:val="auto"/>
          <w:kern w:val="0"/>
          <w:sz w:val="21"/>
          <w:szCs w:val="21"/>
          <w:highlight w:val="none"/>
        </w:rPr>
      </w:pP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、技术分………………………………………………………………………………………</w:t>
      </w:r>
      <w:r>
        <w:rPr>
          <w:rFonts w:ascii="宋体" w:hAnsi="宋体" w:eastAsia="宋体" w:cs="宋体"/>
          <w:b/>
          <w:color w:val="auto"/>
          <w:kern w:val="0"/>
          <w:sz w:val="21"/>
          <w:szCs w:val="21"/>
          <w:highlight w:val="none"/>
        </w:rPr>
        <w:t>45</w:t>
      </w:r>
      <w:r>
        <w:rPr>
          <w:rFonts w:hint="eastAsia" w:ascii="宋体" w:hAnsi="宋体" w:eastAsia="宋体" w:cs="宋体"/>
          <w:b/>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 xml:space="preserve"> 服务实施方案（</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）一档（</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评定范围：基本满足招标文件要求，有项目执行组织措施、项目执行保障措施，实施组织方案一般，有欠缺，《</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未体现教育部发布的1+X证书制度试点的第三批职业教育培训评价组织及职业技能等级证书中“网络安全评估”职业技能等级的技术要求，《Linux操作系统管理》国际化课程包建设方案中未体现红帽认证证书的技术要求，对新技术应用未提出针对性方案。</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）二档（</w:t>
      </w:r>
      <w:r>
        <w:rPr>
          <w:rFonts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评定范围：在满足一档的基础上，项目执行组织措施、项目执行保障措施详细可行，方案资料齐全、实施组织方案良好，《</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有体现教育部发布的1+X证书制度试点的第三批职业教育培训评价组织及职业技能等级证书中“网络安全评估”职业技能等级的技术要求，《Linux操作系统管理》国际化课程包建设方案中有体现红帽认证证书或IT行业认证方面的技术要求，但与实际职业岗位技能标准、技术标准吻合度不高。</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）三档（</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在满足二档的基础上，项目执行组织措施、项目执行保障措施详细可行，熟悉项目流程及业务，方案资料齐全、实施组织方案完善，可为采购人提供更好的实施措施，项目小组人员。方案科学合理、具有一定的前瞻性，充分考虑了资源库建设的需求。《</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eb应用安全与管理》课程包建设方案中有体现教育部发布的1+X证书制度试点的第三批职业教育培训评价组织及职业技能等级证书中</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网络安全评估</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职业技能等级的技术要求，《Linux操作系统管理》国际化课程包建设方案中有体现红帽认证证书或</w:t>
      </w:r>
      <w:r>
        <w:rPr>
          <w:rFonts w:ascii="宋体" w:hAnsi="宋体" w:eastAsia="宋体" w:cs="宋体"/>
          <w:color w:val="auto"/>
          <w:kern w:val="0"/>
          <w:sz w:val="21"/>
          <w:szCs w:val="21"/>
          <w:highlight w:val="none"/>
        </w:rPr>
        <w:t>IT</w:t>
      </w:r>
      <w:r>
        <w:rPr>
          <w:rFonts w:hint="eastAsia" w:ascii="宋体" w:hAnsi="宋体" w:eastAsia="宋体" w:cs="宋体"/>
          <w:color w:val="auto"/>
          <w:kern w:val="0"/>
          <w:sz w:val="21"/>
          <w:szCs w:val="21"/>
          <w:highlight w:val="none"/>
        </w:rPr>
        <w:t>行业认证方面的技术要求，与实际职业岗位技能标准、技术标准吻合度较高，参与项目开发的团队具有丰富的网络，安全项目实施经验，项目实施小组配备有至少5名华为，思科，红帽等主流认证厂商颁发的技术工程师认证资质的技术工程师（响应文件中提供相关技术人员的职称或资格证书复印件和近3个月的社保证明，原件备查），具备相关开发能力，方案可行，并承诺在教学案例、课程作品库中体现这部分新技术应用情况。</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）培训方案（</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）一档（</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评定范围：培训方案基本可行，投入的培训队伍基本满足要求，评定为一般的。</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）二档（</w:t>
      </w:r>
      <w:r>
        <w:rPr>
          <w:rFonts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评定范围：根据实际情况做出可行性的、表述清晰、完整、合理的培训方案，投入的培训队伍及时间安排合理，能较好满足培训要求，评定为良好。</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）三档（</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根据实际情况做出可行性的、表述清晰、完整、科学的培训方案，投入的培训队伍及时间安排合理，能最大限度满足培训要求，措施到位，资源配置充分，为华为，思科，红帽等主流设备生产厂商的授权培训机构（提供证书复印件），项目培训讲师为华为，思科，红帽等主流网络设备生产厂商的认证讲师（响应文件中提供相关技术人员的资格证书复印件和近3个月的社保证明，原件备查），能够提供专人有完善的人员的使用培训，评定为优秀。</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）技术配置分（</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①</w:t>
      </w:r>
      <w:r>
        <w:rPr>
          <w:rFonts w:hint="eastAsia" w:ascii="宋体" w:hAnsi="宋体" w:eastAsia="宋体" w:cs="宋体"/>
          <w:color w:val="auto"/>
          <w:kern w:val="0"/>
          <w:sz w:val="21"/>
          <w:szCs w:val="21"/>
          <w:highlight w:val="none"/>
        </w:rPr>
        <w:t>投标人可提供广西境内本地化服务的（独立法人单位，非办事处、代理商，响应文件中提供机构的营业执照复印件及服务人员社保缴纳证明，原件备查）；如现未在有本地化服务机构的能承诺在成交后30天里内在广西成立分公司服务机构的，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②</w:t>
      </w:r>
      <w:r>
        <w:rPr>
          <w:rFonts w:hint="eastAsia" w:ascii="宋体" w:hAnsi="宋体" w:eastAsia="宋体" w:cs="宋体"/>
          <w:color w:val="auto"/>
          <w:kern w:val="0"/>
          <w:sz w:val="21"/>
          <w:szCs w:val="21"/>
          <w:highlight w:val="none"/>
        </w:rPr>
        <w:t>投标人具备业内领先的信息安全应急响应能力，可借助于自身领先的工具，运用威胁情报、规则引擎、文件虚拟执行、机器学习等技术，可精准发现网络中的入侵行为，调查、分析、研判安全事件发生的根源,提供数字证据（要求提供威胁分析工具相关采购证明文件，确保设备处于可随时调动使用解决问题，并加盖投标人公章），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 MERGEFORMAT </w:instrText>
      </w:r>
      <w:r>
        <w:rPr>
          <w:rFonts w:hint="eastAsia" w:ascii="宋体" w:hAnsi="宋体" w:eastAsia="宋体" w:cs="宋体"/>
          <w:color w:val="auto"/>
          <w:kern w:val="0"/>
          <w:sz w:val="21"/>
          <w:szCs w:val="21"/>
          <w:highlight w:val="none"/>
        </w:rPr>
        <w:fldChar w:fldCharType="separate"/>
      </w:r>
      <w:r>
        <w:rPr>
          <w:color w:val="auto"/>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投标人具有业内领先的信息安全自动化渗透测试工具，贯穿整个渗透过程的操作，包括信息收集、插件管理、指纹管理、漏洞发现、漏洞利用、后渗透攻击等模块（提供相应功能截图并加盖投标人公章）得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分，可为本项目提供先进技术素材支持的，满足得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fldChar w:fldCharType="begin"/>
      </w:r>
      <w:r>
        <w:rPr>
          <w:rFonts w:hint="eastAsia" w:ascii="宋体" w:hAnsi="宋体" w:cs="宋体"/>
          <w:color w:val="auto"/>
          <w:kern w:val="0"/>
          <w:sz w:val="21"/>
          <w:szCs w:val="21"/>
          <w:highlight w:val="none"/>
          <w:lang w:val="en-US" w:eastAsia="zh-CN"/>
        </w:rPr>
        <w:instrText xml:space="preserve"> = 4 \* GB3 \* MERGEFORMAT </w:instrText>
      </w:r>
      <w:r>
        <w:rPr>
          <w:rFonts w:hint="eastAsia" w:ascii="宋体" w:hAnsi="宋体" w:cs="宋体"/>
          <w:color w:val="auto"/>
          <w:kern w:val="0"/>
          <w:sz w:val="21"/>
          <w:szCs w:val="21"/>
          <w:highlight w:val="none"/>
          <w:lang w:val="en-US" w:eastAsia="zh-CN"/>
        </w:rPr>
        <w:fldChar w:fldCharType="separate"/>
      </w:r>
      <w:r>
        <w:rPr>
          <w:color w:val="auto"/>
          <w:highlight w:val="none"/>
        </w:rPr>
        <w:t>④</w:t>
      </w:r>
      <w:r>
        <w:rPr>
          <w:rFonts w:hint="eastAsia" w:ascii="宋体" w:hAnsi="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rPr>
        <w:t>投标人具有业内领先的信息安全自动化渗透测试工具，可以根据可编程平台提供的接口编写自己的攻击插件，实现自定义的攻击需求（提供相应功能截图并加盖投标人公章）得</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分，为本项目提供先进技术素材支持的，满足得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fldChar w:fldCharType="begin"/>
      </w:r>
      <w:r>
        <w:rPr>
          <w:rFonts w:hint="eastAsia" w:ascii="宋体" w:hAnsi="宋体" w:cs="宋体"/>
          <w:color w:val="auto"/>
          <w:kern w:val="0"/>
          <w:sz w:val="21"/>
          <w:szCs w:val="21"/>
          <w:highlight w:val="none"/>
          <w:lang w:val="en-US" w:eastAsia="zh-CN"/>
        </w:rPr>
        <w:instrText xml:space="preserve"> = 5 \* GB3 \* MERGEFORMAT </w:instrText>
      </w:r>
      <w:r>
        <w:rPr>
          <w:rFonts w:hint="eastAsia" w:ascii="宋体" w:hAnsi="宋体" w:cs="宋体"/>
          <w:color w:val="auto"/>
          <w:kern w:val="0"/>
          <w:sz w:val="21"/>
          <w:szCs w:val="21"/>
          <w:highlight w:val="none"/>
          <w:lang w:val="en-US" w:eastAsia="zh-CN"/>
        </w:rPr>
        <w:fldChar w:fldCharType="separate"/>
      </w:r>
      <w:r>
        <w:rPr>
          <w:color w:val="auto"/>
          <w:highlight w:val="none"/>
        </w:rPr>
        <w:t>⑤</w:t>
      </w:r>
      <w:r>
        <w:rPr>
          <w:rFonts w:hint="eastAsia" w:ascii="宋体" w:hAnsi="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rPr>
        <w:t>投标人具有业内领先的信息安全自动化渗透测试工具，可利用http协议、DNS协议等远程获取外带数据；可通过内置的方法反弹交互shell到平台，执行vim、交互执行操作等功能（提供相应功能截图并加盖投标人公章），可为本项目提供先进技术素材支持的，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rPr>
        <w:t>、商务分……………………………………………………………………………………</w:t>
      </w:r>
      <w:r>
        <w:rPr>
          <w:rFonts w:ascii="宋体" w:hAnsi="宋体" w:eastAsia="宋体" w:cs="宋体"/>
          <w:b/>
          <w:color w:val="auto"/>
          <w:kern w:val="0"/>
          <w:sz w:val="21"/>
          <w:szCs w:val="21"/>
          <w:highlight w:val="none"/>
        </w:rPr>
        <w:t>25</w:t>
      </w:r>
      <w:r>
        <w:rPr>
          <w:rFonts w:hint="eastAsia" w:ascii="宋体" w:hAnsi="宋体" w:eastAsia="宋体" w:cs="宋体"/>
          <w:b/>
          <w:color w:val="auto"/>
          <w:kern w:val="0"/>
          <w:sz w:val="21"/>
          <w:szCs w:val="21"/>
          <w:highlight w:val="none"/>
        </w:rPr>
        <w:t>分</w:t>
      </w:r>
    </w:p>
    <w:p>
      <w:pPr>
        <w:spacing w:line="360" w:lineRule="auto"/>
        <w:ind w:left="315" w:leftChars="150"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1）投标人通过ISO</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9001质量管理体系认证的，提供相关证明复印件及官网查询证明截图并加盖供应商公章，得2分；</w:t>
      </w:r>
    </w:p>
    <w:p>
      <w:pPr>
        <w:spacing w:line="360" w:lineRule="auto"/>
        <w:ind w:left="315" w:leftChars="150"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）投标人通过ISO</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20000</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IT服务管理体系认证的，提供相关证明复印件及官网查询证明截图并加盖供应商公章，得2分；</w:t>
      </w:r>
    </w:p>
    <w:p>
      <w:pPr>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）投标人具有良好的商业信用，获得第三方机构认定AAA信用等级的，提供相关证明复印件及官网查询证明截图并加盖供应商公章，得</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）投标人具有中国信息安全测评中心颁发的注册信息安全专业人员</w:t>
      </w:r>
      <w:r>
        <w:rPr>
          <w:rFonts w:ascii="宋体" w:hAnsi="宋体" w:eastAsia="宋体" w:cs="宋体"/>
          <w:color w:val="auto"/>
          <w:kern w:val="0"/>
          <w:sz w:val="21"/>
          <w:szCs w:val="21"/>
          <w:highlight w:val="none"/>
        </w:rPr>
        <w:t>CI</w:t>
      </w:r>
      <w:r>
        <w:rPr>
          <w:rFonts w:hint="eastAsia" w:ascii="宋体" w:hAnsi="宋体" w:eastAsia="宋体" w:cs="宋体"/>
          <w:color w:val="auto"/>
          <w:kern w:val="0"/>
          <w:sz w:val="21"/>
          <w:szCs w:val="21"/>
          <w:highlight w:val="none"/>
        </w:rPr>
        <w:t>SP证书的，提供相关技术人员的职称或资格证书复印件和近 3 个月的社保证明，每一个得1分，满分</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left="145" w:leftChars="69"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）投标人具有优秀的网络、安全工程技术能力，项目人员具有华为，思科，红帽等主流网络设备生产厂商的HCIE、</w:t>
      </w:r>
      <w:r>
        <w:rPr>
          <w:rFonts w:ascii="宋体" w:hAnsi="宋体" w:eastAsia="宋体" w:cs="宋体"/>
          <w:color w:val="auto"/>
          <w:kern w:val="0"/>
          <w:sz w:val="21"/>
          <w:szCs w:val="21"/>
          <w:highlight w:val="none"/>
        </w:rPr>
        <w:t>CC</w:t>
      </w:r>
      <w:r>
        <w:rPr>
          <w:rFonts w:hint="eastAsia" w:ascii="宋体" w:hAnsi="宋体" w:eastAsia="宋体" w:cs="宋体"/>
          <w:color w:val="auto"/>
          <w:kern w:val="0"/>
          <w:sz w:val="21"/>
          <w:szCs w:val="21"/>
          <w:highlight w:val="none"/>
        </w:rPr>
        <w:t>IE、</w:t>
      </w:r>
      <w:r>
        <w:rPr>
          <w:rFonts w:ascii="宋体" w:hAnsi="宋体" w:eastAsia="宋体" w:cs="宋体"/>
          <w:color w:val="auto"/>
          <w:kern w:val="0"/>
          <w:sz w:val="21"/>
          <w:szCs w:val="21"/>
          <w:highlight w:val="none"/>
        </w:rPr>
        <w:t>RHCA</w:t>
      </w:r>
      <w:r>
        <w:rPr>
          <w:rFonts w:hint="eastAsia" w:ascii="宋体" w:hAnsi="宋体" w:eastAsia="宋体" w:cs="宋体"/>
          <w:color w:val="auto"/>
          <w:kern w:val="0"/>
          <w:sz w:val="21"/>
          <w:szCs w:val="21"/>
          <w:highlight w:val="none"/>
        </w:rPr>
        <w:t>专家认证证书的（提供相关技术人员的证书复印件和近3个月的社保证明，原件备查），得2分。</w:t>
      </w:r>
    </w:p>
    <w:p>
      <w:pPr>
        <w:spacing w:line="360" w:lineRule="auto"/>
        <w:ind w:left="145" w:leftChars="69"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）投标人具有丰富的校企合作开发经验，如合同复印件等，每份得1分，满分5分。</w:t>
      </w:r>
      <w:r>
        <w:rPr>
          <w:rFonts w:ascii="宋体" w:hAnsi="宋体" w:eastAsia="宋体" w:cs="宋体"/>
          <w:color w:val="auto"/>
          <w:kern w:val="0"/>
          <w:sz w:val="21"/>
          <w:szCs w:val="21"/>
          <w:highlight w:val="none"/>
        </w:rPr>
        <w:t> </w:t>
      </w:r>
    </w:p>
    <w:p>
      <w:pPr>
        <w:spacing w:line="360" w:lineRule="auto"/>
        <w:ind w:left="145" w:leftChars="69" w:firstLine="420" w:firstLineChars="200"/>
        <w:jc w:val="left"/>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rPr>
        <w:t>）投标人可提供真实的网络、安全工程项目素材供项目使用。要求响应文件中提交真实的网络、安全工程项目政府采购中标（成交）公告以及合同复印件；，每份得2分，满分10分</w:t>
      </w:r>
      <w:r>
        <w:rPr>
          <w:rFonts w:hint="eastAsia" w:ascii="宋体" w:hAnsi="宋体" w:eastAsia="宋体" w:cs="宋体"/>
          <w:color w:val="auto"/>
          <w:kern w:val="0"/>
          <w:sz w:val="21"/>
          <w:szCs w:val="21"/>
          <w:highlight w:val="none"/>
          <w:lang w:eastAsia="zh-CN"/>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rFonts w:hint="eastAsia"/>
          <w:color w:val="auto"/>
          <w:highlight w:val="none"/>
          <w:lang w:eastAsia="zh-CN"/>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2" w:firstLineChars="200"/>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（三）总得分＝</w:t>
      </w: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rPr>
        <w:t>。</w:t>
      </w:r>
    </w:p>
    <w:p>
      <w:pPr>
        <w:pStyle w:val="18"/>
        <w:spacing w:line="360" w:lineRule="auto"/>
        <w:rPr>
          <w:rFonts w:hint="eastAsia" w:hAnsi="宋体" w:cs="宋体"/>
          <w:b/>
          <w:bCs/>
          <w:color w:val="auto"/>
          <w:highlight w:val="none"/>
        </w:rPr>
      </w:pPr>
      <w:r>
        <w:rPr>
          <w:rFonts w:hint="eastAsia" w:ascii="宋体" w:hAnsi="宋体" w:eastAsia="宋体" w:cs="宋体"/>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tabs>
          <w:tab w:val="left" w:pos="2757"/>
        </w:tabs>
        <w:spacing w:line="380" w:lineRule="exact"/>
        <w:rPr>
          <w:rFonts w:hint="eastAsia" w:ascii="Times New Roman" w:hAnsi="Times New Roman" w:eastAsia="宋体"/>
          <w:b/>
          <w:color w:val="auto"/>
          <w:sz w:val="36"/>
          <w:highlight w:val="none"/>
          <w:lang w:eastAsia="zh-CN"/>
        </w:rPr>
      </w:pPr>
    </w:p>
    <w:p>
      <w:pPr>
        <w:pStyle w:val="18"/>
        <w:spacing w:line="380" w:lineRule="exact"/>
        <w:ind w:firstLine="2891" w:firstLineChars="800"/>
        <w:outlineLvl w:val="0"/>
        <w:rPr>
          <w:rFonts w:hAnsi="宋体"/>
          <w:b/>
          <w:color w:val="auto"/>
          <w:sz w:val="36"/>
          <w:szCs w:val="36"/>
          <w:highlight w:val="none"/>
        </w:rPr>
      </w:pPr>
      <w:bookmarkStart w:id="51" w:name="_Toc12273"/>
      <w:r>
        <w:rPr>
          <w:rFonts w:hint="eastAsia" w:ascii="Times New Roman" w:hAnsi="Times New Roman"/>
          <w:b/>
          <w:color w:val="auto"/>
          <w:sz w:val="36"/>
          <w:highlight w:val="none"/>
        </w:rPr>
        <w:t>第四章  投标人须知</w:t>
      </w:r>
      <w:bookmarkEnd w:id="3"/>
      <w:bookmarkEnd w:id="4"/>
      <w:bookmarkEnd w:id="49"/>
      <w:bookmarkEnd w:id="50"/>
      <w:bookmarkEnd w:id="51"/>
      <w:bookmarkStart w:id="52" w:name="_Toc213326415"/>
    </w:p>
    <w:p>
      <w:pPr>
        <w:pStyle w:val="18"/>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bookmarkEnd w:id="52"/>
      <w:r>
        <w:rPr>
          <w:rFonts w:hint="eastAsia" w:ascii="Times New Roman" w:hAnsi="Times New Roman"/>
          <w:b/>
          <w:color w:val="auto"/>
          <w:sz w:val="30"/>
          <w:szCs w:val="30"/>
          <w:highlight w:val="none"/>
        </w:rPr>
        <w:t xml:space="preserve"> </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89"/>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b/>
                <w:color w:val="auto"/>
                <w:szCs w:val="21"/>
                <w:highlight w:val="none"/>
              </w:rPr>
            </w:pPr>
            <w:r>
              <w:rPr>
                <w:rFonts w:hint="eastAsia" w:hAnsi="宋体"/>
                <w:b/>
                <w:color w:val="auto"/>
                <w:szCs w:val="21"/>
                <w:highlight w:val="none"/>
              </w:rPr>
              <w:t>条款号</w:t>
            </w:r>
          </w:p>
        </w:tc>
        <w:tc>
          <w:tcPr>
            <w:tcW w:w="2389" w:type="dxa"/>
            <w:vAlign w:val="center"/>
          </w:tcPr>
          <w:p>
            <w:pPr>
              <w:pStyle w:val="18"/>
              <w:spacing w:line="240" w:lineRule="atLeast"/>
              <w:jc w:val="center"/>
              <w:rPr>
                <w:rFonts w:hAnsi="宋体"/>
                <w:b/>
                <w:color w:val="auto"/>
                <w:szCs w:val="21"/>
                <w:highlight w:val="none"/>
              </w:rPr>
            </w:pPr>
            <w:r>
              <w:rPr>
                <w:rFonts w:hint="eastAsia" w:hAnsi="宋体"/>
                <w:b/>
                <w:color w:val="auto"/>
                <w:szCs w:val="21"/>
                <w:highlight w:val="none"/>
              </w:rPr>
              <w:t>条款名称</w:t>
            </w:r>
          </w:p>
        </w:tc>
        <w:tc>
          <w:tcPr>
            <w:tcW w:w="6484" w:type="dxa"/>
          </w:tcPr>
          <w:p>
            <w:pPr>
              <w:pStyle w:val="18"/>
              <w:spacing w:line="240" w:lineRule="atLeast"/>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采购人</w:t>
            </w:r>
          </w:p>
        </w:tc>
        <w:tc>
          <w:tcPr>
            <w:tcW w:w="6484" w:type="dxa"/>
            <w:vAlign w:val="center"/>
          </w:tcPr>
          <w:p>
            <w:pPr>
              <w:pStyle w:val="18"/>
              <w:spacing w:line="360" w:lineRule="exact"/>
              <w:rPr>
                <w:rFonts w:cs="宋体"/>
                <w:color w:val="auto"/>
                <w:szCs w:val="21"/>
                <w:highlight w:val="none"/>
              </w:rPr>
            </w:pPr>
            <w:r>
              <w:rPr>
                <w:rFonts w:cs="宋体"/>
                <w:color w:val="auto"/>
                <w:szCs w:val="21"/>
                <w:highlight w:val="none"/>
              </w:rPr>
              <w:t>名称：</w:t>
            </w:r>
            <w:r>
              <w:rPr>
                <w:rFonts w:hint="eastAsia" w:cs="宋体"/>
                <w:color w:val="auto"/>
                <w:szCs w:val="21"/>
                <w:highlight w:val="none"/>
              </w:rPr>
              <w:t>南宁职业技术学院</w:t>
            </w:r>
          </w:p>
          <w:p>
            <w:pPr>
              <w:pStyle w:val="18"/>
              <w:spacing w:line="360" w:lineRule="exact"/>
              <w:rPr>
                <w:color w:val="auto"/>
                <w:highlight w:val="none"/>
              </w:rPr>
            </w:pPr>
            <w:r>
              <w:rPr>
                <w:rFonts w:hint="eastAsia"/>
                <w:color w:val="auto"/>
                <w:highlight w:val="none"/>
              </w:rPr>
              <w:t xml:space="preserve">联系人：莫老师，联系电话：0771-2029355 </w:t>
            </w:r>
          </w:p>
          <w:p>
            <w:pPr>
              <w:pStyle w:val="18"/>
              <w:spacing w:line="240" w:lineRule="atLeast"/>
              <w:rPr>
                <w:rFonts w:hAnsi="宋体" w:cs="Arial"/>
                <w:color w:val="auto"/>
                <w:szCs w:val="21"/>
                <w:highlight w:val="none"/>
                <w:u w:val="single"/>
              </w:rPr>
            </w:pPr>
            <w:r>
              <w:rPr>
                <w:rFonts w:hint="eastAsia"/>
                <w:color w:val="auto"/>
                <w:highlight w:val="none"/>
              </w:rPr>
              <w:t xml:space="preserve">联系地址：广西南宁市西乡塘区大学西路169号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1.2</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采购代理机构</w:t>
            </w:r>
          </w:p>
        </w:tc>
        <w:tc>
          <w:tcPr>
            <w:tcW w:w="6484" w:type="dxa"/>
            <w:vAlign w:val="center"/>
          </w:tcPr>
          <w:p>
            <w:pPr>
              <w:pStyle w:val="18"/>
              <w:spacing w:line="360" w:lineRule="exact"/>
              <w:rPr>
                <w:color w:val="auto"/>
                <w:highlight w:val="none"/>
              </w:rPr>
            </w:pPr>
            <w:r>
              <w:rPr>
                <w:rFonts w:hint="eastAsia"/>
                <w:color w:val="auto"/>
                <w:highlight w:val="none"/>
              </w:rPr>
              <w:t xml:space="preserve">名称：中昕国际项目管理有限公司 </w:t>
            </w:r>
          </w:p>
          <w:p>
            <w:pPr>
              <w:pStyle w:val="18"/>
              <w:spacing w:line="360" w:lineRule="exact"/>
              <w:rPr>
                <w:color w:val="auto"/>
                <w:highlight w:val="none"/>
              </w:rPr>
            </w:pPr>
            <w:r>
              <w:rPr>
                <w:rFonts w:hint="eastAsia"/>
                <w:color w:val="auto"/>
                <w:highlight w:val="none"/>
              </w:rPr>
              <w:t>地址：</w:t>
            </w:r>
            <w:r>
              <w:rPr>
                <w:rFonts w:hint="eastAsia" w:hAnsi="宋体" w:cs="Arial"/>
                <w:color w:val="auto"/>
                <w:kern w:val="1"/>
                <w:szCs w:val="21"/>
                <w:highlight w:val="none"/>
              </w:rPr>
              <w:t>南宁市青秀区枫林路11号枫林蓝岸1号楼1单元1101号。</w:t>
            </w:r>
          </w:p>
          <w:p>
            <w:pPr>
              <w:pStyle w:val="18"/>
              <w:spacing w:line="360" w:lineRule="exact"/>
              <w:rPr>
                <w:color w:val="auto"/>
                <w:highlight w:val="none"/>
              </w:rPr>
            </w:pPr>
            <w:r>
              <w:rPr>
                <w:rFonts w:hint="eastAsia"/>
                <w:color w:val="auto"/>
                <w:highlight w:val="none"/>
              </w:rPr>
              <w:t xml:space="preserve">项目联系人：余晖 </w:t>
            </w:r>
          </w:p>
          <w:p>
            <w:pPr>
              <w:pStyle w:val="18"/>
              <w:spacing w:line="360" w:lineRule="exact"/>
              <w:rPr>
                <w:color w:val="auto"/>
                <w:highlight w:val="none"/>
              </w:rPr>
            </w:pPr>
            <w:r>
              <w:rPr>
                <w:rFonts w:hint="eastAsia"/>
                <w:color w:val="auto"/>
                <w:highlight w:val="none"/>
              </w:rPr>
              <w:t>联系电话：</w:t>
            </w:r>
            <w:bookmarkStart w:id="53" w:name="CgwjmbEntity：TEL_0"/>
            <w:bookmarkEnd w:id="53"/>
            <w:r>
              <w:rPr>
                <w:rFonts w:hint="eastAsia"/>
                <w:color w:val="auto"/>
                <w:highlight w:val="none"/>
              </w:rPr>
              <w:t>0771-5670450</w:t>
            </w:r>
          </w:p>
          <w:p>
            <w:pPr>
              <w:pStyle w:val="18"/>
              <w:spacing w:line="240" w:lineRule="atLeast"/>
              <w:rPr>
                <w:rFonts w:hAnsi="宋体"/>
                <w:color w:val="auto"/>
                <w:szCs w:val="21"/>
                <w:highlight w:val="none"/>
              </w:rPr>
            </w:pPr>
            <w:r>
              <w:rPr>
                <w:rFonts w:hint="eastAsia"/>
                <w:color w:val="auto"/>
                <w:highlight w:val="none"/>
              </w:rPr>
              <w:t>传真电话：0771-5670645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项目名称</w:t>
            </w:r>
          </w:p>
        </w:tc>
        <w:tc>
          <w:tcPr>
            <w:tcW w:w="6484" w:type="dxa"/>
            <w:vAlign w:val="center"/>
          </w:tcPr>
          <w:p>
            <w:pPr>
              <w:pStyle w:val="18"/>
              <w:spacing w:line="240" w:lineRule="atLeast"/>
              <w:rPr>
                <w:rFonts w:hint="eastAsia" w:hAnsi="宋体" w:eastAsia="宋体"/>
                <w:color w:val="auto"/>
                <w:szCs w:val="21"/>
                <w:highlight w:val="none"/>
                <w:lang w:eastAsia="zh-CN"/>
              </w:rPr>
            </w:pPr>
            <w:r>
              <w:rPr>
                <w:rFonts w:hint="eastAsia" w:hAnsi="宋体"/>
                <w:color w:val="auto"/>
                <w:szCs w:val="21"/>
                <w:highlight w:val="none"/>
                <w:lang w:eastAsia="zh-CN"/>
              </w:rPr>
              <w:t>南宁职业技术学院软件技术专业群2020年度“双高”课程资源建设采购（重）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1.4</w:t>
            </w:r>
          </w:p>
        </w:tc>
        <w:tc>
          <w:tcPr>
            <w:tcW w:w="2389" w:type="dxa"/>
            <w:vAlign w:val="center"/>
          </w:tcPr>
          <w:p>
            <w:pPr>
              <w:pStyle w:val="18"/>
              <w:spacing w:line="240" w:lineRule="atLeast"/>
              <w:jc w:val="center"/>
              <w:rPr>
                <w:rFonts w:hint="eastAsia" w:hAnsi="宋体"/>
                <w:color w:val="auto"/>
                <w:szCs w:val="21"/>
                <w:highlight w:val="none"/>
              </w:rPr>
            </w:pPr>
            <w:r>
              <w:rPr>
                <w:rFonts w:hint="eastAsia" w:hAnsi="宋体"/>
                <w:color w:val="auto"/>
                <w:szCs w:val="21"/>
                <w:highlight w:val="none"/>
              </w:rPr>
              <w:t>项目编号</w:t>
            </w:r>
          </w:p>
        </w:tc>
        <w:tc>
          <w:tcPr>
            <w:tcW w:w="6484" w:type="dxa"/>
            <w:vAlign w:val="center"/>
          </w:tcPr>
          <w:p>
            <w:pPr>
              <w:pStyle w:val="18"/>
              <w:spacing w:line="240" w:lineRule="atLeast"/>
              <w:jc w:val="both"/>
              <w:rPr>
                <w:rFonts w:hint="eastAsia" w:hAnsi="宋体"/>
                <w:color w:val="auto"/>
                <w:szCs w:val="21"/>
                <w:highlight w:val="none"/>
              </w:rPr>
            </w:pPr>
            <w:r>
              <w:rPr>
                <w:rFonts w:hint="eastAsia" w:hAnsi="宋体"/>
                <w:color w:val="auto"/>
                <w:szCs w:val="21"/>
                <w:highlight w:val="none"/>
              </w:rPr>
              <w:t>NNZC2020-G3-990639-ZXGJ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预算金额</w:t>
            </w:r>
          </w:p>
        </w:tc>
        <w:tc>
          <w:tcPr>
            <w:tcW w:w="6484" w:type="dxa"/>
            <w:vAlign w:val="center"/>
          </w:tcPr>
          <w:p>
            <w:pPr>
              <w:pStyle w:val="18"/>
              <w:spacing w:line="240" w:lineRule="atLeast"/>
              <w:rPr>
                <w:rFonts w:hint="eastAsia" w:hAnsi="宋体"/>
                <w:color w:val="auto"/>
                <w:szCs w:val="21"/>
                <w:highlight w:val="none"/>
              </w:rPr>
            </w:pPr>
            <w:r>
              <w:rPr>
                <w:rFonts w:hint="eastAsia" w:hAnsi="宋体"/>
                <w:color w:val="auto"/>
                <w:szCs w:val="21"/>
                <w:highlight w:val="none"/>
              </w:rPr>
              <w:t>C分标：壹拾万零伍仟元整（￥105000.00）；</w:t>
            </w:r>
          </w:p>
          <w:p>
            <w:pPr>
              <w:pStyle w:val="18"/>
              <w:spacing w:line="240" w:lineRule="atLeast"/>
              <w:rPr>
                <w:rFonts w:hint="eastAsia" w:hAnsi="宋体" w:eastAsia="宋体"/>
                <w:color w:val="auto"/>
                <w:szCs w:val="21"/>
                <w:highlight w:val="none"/>
                <w:lang w:val="en-US" w:eastAsia="zh-CN"/>
              </w:rPr>
            </w:pPr>
            <w:r>
              <w:rPr>
                <w:rFonts w:hint="eastAsia" w:hAnsi="宋体"/>
                <w:color w:val="auto"/>
                <w:szCs w:val="21"/>
                <w:highlight w:val="none"/>
              </w:rPr>
              <w:t>D分标：贰拾贰万伍仟元整（￥225000.00 ）</w:t>
            </w:r>
            <w:r>
              <w:rPr>
                <w:rFonts w:hint="eastAsia" w:hAnsi="宋体"/>
                <w:color w:val="auto"/>
                <w:szCs w:val="21"/>
                <w:highlight w:val="none"/>
                <w:lang w:eastAsia="zh-CN"/>
              </w:rPr>
              <w:t>。</w:t>
            </w:r>
            <w:r>
              <w:rPr>
                <w:rFonts w:hint="eastAsia"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1.7</w:t>
            </w:r>
          </w:p>
        </w:tc>
        <w:tc>
          <w:tcPr>
            <w:tcW w:w="2389" w:type="dxa"/>
            <w:vAlign w:val="center"/>
          </w:tcPr>
          <w:p>
            <w:pPr>
              <w:pStyle w:val="18"/>
              <w:spacing w:line="360" w:lineRule="exact"/>
              <w:jc w:val="center"/>
              <w:rPr>
                <w:rFonts w:hAnsi="宋体"/>
                <w:color w:val="auto"/>
                <w:szCs w:val="21"/>
                <w:highlight w:val="none"/>
              </w:rPr>
            </w:pPr>
            <w:r>
              <w:rPr>
                <w:rFonts w:hint="eastAsia" w:hAnsi="宋体"/>
                <w:color w:val="auto"/>
                <w:szCs w:val="21"/>
                <w:highlight w:val="none"/>
              </w:rPr>
              <w:t>获取招标文件的时间、地点、方式及招标文件售价</w:t>
            </w:r>
          </w:p>
        </w:tc>
        <w:tc>
          <w:tcPr>
            <w:tcW w:w="6484" w:type="dxa"/>
            <w:vAlign w:val="center"/>
          </w:tcPr>
          <w:p>
            <w:pPr>
              <w:pStyle w:val="18"/>
              <w:spacing w:line="240" w:lineRule="atLeast"/>
              <w:rPr>
                <w:rFonts w:hAnsi="宋体" w:cs="Arial"/>
                <w:color w:val="auto"/>
                <w:szCs w:val="21"/>
                <w:highlight w:val="none"/>
              </w:rPr>
            </w:pPr>
            <w:r>
              <w:rPr>
                <w:rFonts w:hint="eastAsia" w:hAnsi="宋体" w:cs="Arial"/>
                <w:color w:val="auto"/>
                <w:szCs w:val="21"/>
                <w:highlight w:val="none"/>
              </w:rPr>
              <w:t>时间：自公告发布之日起。</w:t>
            </w:r>
          </w:p>
          <w:p>
            <w:pPr>
              <w:pStyle w:val="18"/>
              <w:spacing w:line="240" w:lineRule="atLeast"/>
              <w:rPr>
                <w:rFonts w:hAnsi="宋体" w:cs="Arial"/>
                <w:color w:val="auto"/>
                <w:szCs w:val="21"/>
                <w:highlight w:val="none"/>
              </w:rPr>
            </w:pPr>
            <w:r>
              <w:rPr>
                <w:rFonts w:hint="eastAsia" w:hAnsi="宋体" w:cs="Arial"/>
                <w:color w:val="auto"/>
                <w:szCs w:val="21"/>
                <w:highlight w:val="none"/>
              </w:rPr>
              <w:t>方式: 本项目不发放纸质文件，供应商自行在南宁市公共资源交易平</w:t>
            </w:r>
          </w:p>
          <w:p>
            <w:pPr>
              <w:pStyle w:val="18"/>
              <w:spacing w:line="240" w:lineRule="atLeast"/>
              <w:rPr>
                <w:rFonts w:hAnsi="宋体" w:cs="Arial"/>
                <w:color w:val="auto"/>
                <w:szCs w:val="21"/>
                <w:highlight w:val="none"/>
              </w:rPr>
            </w:pPr>
            <w:r>
              <w:rPr>
                <w:rFonts w:hint="eastAsia" w:hAnsi="宋体" w:cs="Arial"/>
                <w:color w:val="auto"/>
                <w:szCs w:val="21"/>
                <w:highlight w:val="none"/>
              </w:rPr>
              <w:t>台(http://www.nnggzy.net/)的信息公告处下载采购文件（具体操作</w:t>
            </w:r>
          </w:p>
          <w:p>
            <w:pPr>
              <w:pStyle w:val="18"/>
              <w:spacing w:line="240" w:lineRule="atLeast"/>
              <w:rPr>
                <w:rFonts w:hAnsi="宋体" w:cs="Arial"/>
                <w:color w:val="auto"/>
                <w:szCs w:val="21"/>
                <w:highlight w:val="none"/>
              </w:rPr>
            </w:pPr>
            <w:r>
              <w:rPr>
                <w:rFonts w:hint="eastAsia" w:hAnsi="宋体" w:cs="Arial"/>
                <w:color w:val="auto"/>
                <w:szCs w:val="21"/>
                <w:highlight w:val="none"/>
              </w:rPr>
              <w:t>方法参见南宁市公共资源交易中心门户网站办事指南中的“投标单位</w:t>
            </w:r>
          </w:p>
          <w:p>
            <w:pPr>
              <w:pStyle w:val="18"/>
              <w:spacing w:line="240" w:lineRule="atLeast"/>
              <w:rPr>
                <w:rFonts w:hAnsi="宋体" w:cs="Arial"/>
                <w:color w:val="auto"/>
                <w:szCs w:val="21"/>
                <w:highlight w:val="none"/>
              </w:rPr>
            </w:pPr>
            <w:r>
              <w:rPr>
                <w:rFonts w:hint="eastAsia" w:hAnsi="宋体" w:cs="Arial"/>
                <w:color w:val="auto"/>
                <w:szCs w:val="21"/>
                <w:highlight w:val="none"/>
              </w:rPr>
              <w:t>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3.4</w:t>
            </w:r>
          </w:p>
        </w:tc>
        <w:tc>
          <w:tcPr>
            <w:tcW w:w="2389" w:type="dxa"/>
            <w:vAlign w:val="center"/>
          </w:tcPr>
          <w:p>
            <w:pPr>
              <w:pStyle w:val="18"/>
              <w:spacing w:line="240" w:lineRule="atLeast"/>
              <w:jc w:val="center"/>
              <w:rPr>
                <w:rFonts w:hAnsi="宋体"/>
                <w:color w:val="auto"/>
                <w:szCs w:val="21"/>
                <w:highlight w:val="none"/>
              </w:rPr>
            </w:pPr>
            <w:r>
              <w:rPr>
                <w:rFonts w:hint="eastAsia" w:hAnsi="宋体"/>
                <w:bCs/>
                <w:color w:val="auto"/>
                <w:szCs w:val="21"/>
                <w:highlight w:val="none"/>
              </w:rPr>
              <w:t>投标人应具备的特定资格条件</w:t>
            </w:r>
          </w:p>
        </w:tc>
        <w:tc>
          <w:tcPr>
            <w:tcW w:w="6484" w:type="dxa"/>
            <w:vAlign w:val="center"/>
          </w:tcPr>
          <w:p>
            <w:pPr>
              <w:snapToGrid w:val="0"/>
              <w:spacing w:line="240" w:lineRule="atLeast"/>
              <w:rPr>
                <w:rFonts w:ascii="宋体" w:hAnsi="宋体" w:cs="Arial"/>
                <w:b/>
                <w:bCs/>
                <w:color w:val="auto"/>
                <w:szCs w:val="21"/>
                <w:highlight w:val="none"/>
              </w:rPr>
            </w:pPr>
            <w:r>
              <w:rPr>
                <w:rFonts w:hint="eastAsia" w:ascii="宋体" w:hAnsi="宋体" w:cs="Arial"/>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3.5</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是否接受联合体投标</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restart"/>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4.1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招标文件质疑提交</w:t>
            </w:r>
            <w:r>
              <w:rPr>
                <w:rFonts w:hint="eastAsia" w:hAnsi="宋体" w:cs="宋体"/>
                <w:color w:val="auto"/>
                <w:kern w:val="0"/>
                <w:szCs w:val="21"/>
                <w:highlight w:val="none"/>
              </w:rPr>
              <w:t>的截止时间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在收到招标文件之日起七个工作日内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continue"/>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质疑提交地点、电话</w:t>
            </w:r>
          </w:p>
        </w:tc>
        <w:tc>
          <w:tcPr>
            <w:tcW w:w="6484" w:type="dxa"/>
            <w:vAlign w:val="center"/>
          </w:tcPr>
          <w:p>
            <w:pPr>
              <w:pStyle w:val="18"/>
              <w:spacing w:line="240" w:lineRule="atLeast"/>
              <w:rPr>
                <w:rFonts w:hAnsi="宋体"/>
                <w:color w:val="auto"/>
                <w:szCs w:val="21"/>
                <w:highlight w:val="none"/>
                <w:u w:val="single"/>
              </w:rPr>
            </w:pPr>
            <w:r>
              <w:rPr>
                <w:rFonts w:hint="eastAsia" w:hAnsi="宋体" w:cs="Arial"/>
                <w:color w:val="auto"/>
                <w:szCs w:val="21"/>
                <w:highlight w:val="none"/>
              </w:rPr>
              <w:t>中昕国际项目管理有限公司，地址：南宁市青秀区枫林路11号枫林蓝岸1号楼1单元1101号，质疑咨询电话：0771-5670450。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7.1</w:t>
            </w:r>
          </w:p>
        </w:tc>
        <w:tc>
          <w:tcPr>
            <w:tcW w:w="2389" w:type="dxa"/>
            <w:vAlign w:val="center"/>
          </w:tcPr>
          <w:p>
            <w:pPr>
              <w:pStyle w:val="18"/>
              <w:spacing w:line="240" w:lineRule="atLeast"/>
              <w:jc w:val="center"/>
              <w:rPr>
                <w:rFonts w:hAnsi="宋体" w:cs="宋体"/>
                <w:color w:val="auto"/>
                <w:kern w:val="0"/>
                <w:szCs w:val="21"/>
                <w:highlight w:val="none"/>
              </w:rPr>
            </w:pPr>
            <w:r>
              <w:rPr>
                <w:rFonts w:hint="eastAsia" w:hAnsi="宋体" w:cs="宋体"/>
                <w:color w:val="auto"/>
                <w:kern w:val="0"/>
                <w:szCs w:val="21"/>
                <w:highlight w:val="none"/>
              </w:rPr>
              <w:t>投标人要求澄清的截止</w:t>
            </w:r>
          </w:p>
          <w:p>
            <w:pPr>
              <w:pStyle w:val="18"/>
              <w:spacing w:line="240" w:lineRule="atLeast"/>
              <w:jc w:val="center"/>
              <w:rPr>
                <w:rFonts w:hAnsi="宋体"/>
                <w:color w:val="auto"/>
                <w:szCs w:val="21"/>
                <w:highlight w:val="none"/>
              </w:rPr>
            </w:pPr>
            <w:r>
              <w:rPr>
                <w:rFonts w:hint="eastAsia" w:hAnsi="宋体" w:cs="宋体"/>
                <w:color w:val="auto"/>
                <w:kern w:val="0"/>
                <w:szCs w:val="21"/>
                <w:highlight w:val="none"/>
              </w:rPr>
              <w:t>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投标人发现招标文件有误或有不合理要求的，必须在收到招标文件之日起七个工作日内以书面形式要求采购人、采购代理机构澄清。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8.7</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投标文件副本份数</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报价文件：正本1份，副本4份</w:t>
            </w:r>
          </w:p>
          <w:p>
            <w:pPr>
              <w:pStyle w:val="18"/>
              <w:spacing w:line="240" w:lineRule="atLeast"/>
              <w:rPr>
                <w:rFonts w:hAnsi="宋体"/>
                <w:color w:val="auto"/>
                <w:szCs w:val="21"/>
                <w:highlight w:val="none"/>
              </w:rPr>
            </w:pPr>
            <w:r>
              <w:rPr>
                <w:rFonts w:hint="eastAsia" w:hAnsi="宋体"/>
                <w:color w:val="auto"/>
                <w:szCs w:val="21"/>
                <w:highlight w:val="none"/>
              </w:rPr>
              <w:t>资格文件：正本1份，副本4份</w:t>
            </w:r>
          </w:p>
          <w:p>
            <w:pPr>
              <w:pStyle w:val="18"/>
              <w:spacing w:line="360" w:lineRule="auto"/>
              <w:rPr>
                <w:rFonts w:hAnsi="宋体"/>
                <w:color w:val="auto"/>
                <w:szCs w:val="21"/>
                <w:highlight w:val="none"/>
              </w:rPr>
            </w:pPr>
            <w:r>
              <w:rPr>
                <w:rFonts w:hint="eastAsia" w:hAnsi="宋体"/>
                <w:color w:val="auto"/>
                <w:szCs w:val="21"/>
                <w:highlight w:val="none"/>
              </w:rPr>
              <w:t>技术文件：正本1份，副本4份</w:t>
            </w:r>
          </w:p>
          <w:p>
            <w:pPr>
              <w:pStyle w:val="18"/>
              <w:spacing w:line="240" w:lineRule="atLeast"/>
              <w:rPr>
                <w:rFonts w:hAnsi="宋体"/>
                <w:color w:val="auto"/>
                <w:szCs w:val="21"/>
                <w:highlight w:val="none"/>
              </w:rPr>
            </w:pPr>
            <w:r>
              <w:rPr>
                <w:rFonts w:hint="eastAsia" w:hAnsi="宋体"/>
                <w:color w:val="auto"/>
                <w:szCs w:val="21"/>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s="Courier New"/>
                <w:color w:val="auto"/>
                <w:szCs w:val="21"/>
                <w:highlight w:val="none"/>
              </w:rPr>
              <w:t>投标文件电子版</w:t>
            </w:r>
          </w:p>
        </w:tc>
        <w:tc>
          <w:tcPr>
            <w:tcW w:w="6484" w:type="dxa"/>
            <w:vAlign w:val="center"/>
          </w:tcPr>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投标人在递交投标文件时，同时递交投标文件电子版。</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1、投标文件电子版内容：</w:t>
            </w:r>
            <w:r>
              <w:rPr>
                <w:rFonts w:hint="eastAsia" w:ascii="宋体" w:hAnsi="宋体" w:cs="Courier New"/>
                <w:bCs/>
                <w:color w:val="auto"/>
                <w:szCs w:val="21"/>
                <w:highlight w:val="none"/>
              </w:rPr>
              <w:t>报价文件、资格文件、商务文件、技术文件</w:t>
            </w:r>
            <w:r>
              <w:rPr>
                <w:rFonts w:hint="eastAsia" w:ascii="宋体" w:hAnsi="宋体" w:cs="Courier New"/>
                <w:color w:val="auto"/>
                <w:szCs w:val="21"/>
                <w:highlight w:val="none"/>
              </w:rPr>
              <w:t>。</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2、投标文件电子版份数：1份。</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3、投标文件电子版形式：可编辑的word文档格式。</w:t>
            </w:r>
          </w:p>
          <w:p>
            <w:pPr>
              <w:pStyle w:val="18"/>
              <w:spacing w:line="240" w:lineRule="atLeast"/>
              <w:rPr>
                <w:rFonts w:hAnsi="宋体"/>
                <w:color w:val="auto"/>
                <w:szCs w:val="21"/>
                <w:highlight w:val="none"/>
              </w:rPr>
            </w:pPr>
            <w:r>
              <w:rPr>
                <w:rFonts w:hint="eastAsia" w:hAnsi="宋体" w:cs="Courier New"/>
                <w:color w:val="auto"/>
                <w:szCs w:val="21"/>
                <w:highlight w:val="none"/>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11.4</w:t>
            </w:r>
          </w:p>
        </w:tc>
        <w:tc>
          <w:tcPr>
            <w:tcW w:w="2389" w:type="dxa"/>
            <w:vAlign w:val="center"/>
          </w:tcPr>
          <w:p>
            <w:pPr>
              <w:autoSpaceDE w:val="0"/>
              <w:autoSpaceDN w:val="0"/>
              <w:spacing w:line="240" w:lineRule="atLeast"/>
              <w:jc w:val="center"/>
              <w:rPr>
                <w:rFonts w:ascii="宋体" w:hAnsi="宋体" w:cs="宋体"/>
                <w:color w:val="auto"/>
                <w:kern w:val="0"/>
                <w:szCs w:val="21"/>
                <w:highlight w:val="none"/>
              </w:rPr>
            </w:pPr>
            <w:r>
              <w:rPr>
                <w:rFonts w:hint="eastAsia" w:ascii="宋体" w:hAnsi="宋体"/>
                <w:color w:val="auto"/>
                <w:kern w:val="0"/>
                <w:szCs w:val="21"/>
                <w:highlight w:val="none"/>
              </w:rPr>
              <w:t>采购代理服务费</w:t>
            </w:r>
          </w:p>
        </w:tc>
        <w:tc>
          <w:tcPr>
            <w:tcW w:w="6484" w:type="dxa"/>
            <w:vAlign w:val="center"/>
          </w:tcPr>
          <w:p>
            <w:pPr>
              <w:pStyle w:val="18"/>
              <w:spacing w:line="240" w:lineRule="atLeast"/>
              <w:jc w:val="left"/>
              <w:rPr>
                <w:rFonts w:hAnsi="宋体" w:cs="宋体"/>
                <w:color w:val="auto"/>
                <w:kern w:val="0"/>
                <w:szCs w:val="21"/>
                <w:highlight w:val="none"/>
              </w:rPr>
            </w:pPr>
            <w:r>
              <w:rPr>
                <w:rFonts w:hint="eastAsia"/>
                <w:color w:val="auto"/>
                <w:szCs w:val="21"/>
                <w:highlight w:val="none"/>
              </w:rPr>
              <w:t>招标代理服务费参照按【2011】534号文规定标准（详见附件一）计取，在发出中标通知书前，中标人向采购代理机构一次性付清。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12.1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投标有效期</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自投标截止之日起90日历天内保持有效，投标有效期不满足要求的投标将被视为非实质性响应投标而予以拒绝。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13.1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投标保证金金额</w:t>
            </w:r>
          </w:p>
        </w:tc>
        <w:tc>
          <w:tcPr>
            <w:tcW w:w="6484" w:type="dxa"/>
            <w:vAlign w:val="center"/>
          </w:tcPr>
          <w:p>
            <w:pPr>
              <w:snapToGrid w:val="0"/>
              <w:spacing w:line="240" w:lineRule="atLeast"/>
              <w:rPr>
                <w:rFonts w:ascii="宋体" w:hAnsi="宋体" w:cs="Arial"/>
                <w:color w:val="auto"/>
                <w:szCs w:val="21"/>
                <w:highlight w:val="none"/>
              </w:rPr>
            </w:pPr>
            <w:r>
              <w:rPr>
                <w:rFonts w:hint="eastAsia"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投标截止时间（开标时间）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15.2</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递交投标文件地点</w:t>
            </w:r>
          </w:p>
        </w:tc>
        <w:tc>
          <w:tcPr>
            <w:tcW w:w="6484" w:type="dxa"/>
            <w:vAlign w:val="center"/>
          </w:tcPr>
          <w:p>
            <w:pPr>
              <w:snapToGrid w:val="0"/>
              <w:spacing w:line="240" w:lineRule="atLeast"/>
              <w:jc w:val="left"/>
              <w:rPr>
                <w:rFonts w:ascii="宋体" w:hAnsi="宋体"/>
                <w:b/>
                <w:color w:val="auto"/>
                <w:szCs w:val="21"/>
                <w:highlight w:val="none"/>
              </w:rPr>
            </w:pPr>
            <w:r>
              <w:rPr>
                <w:rFonts w:hint="eastAsia" w:ascii="宋体" w:hAnsi="宋体" w:cs="Arial"/>
                <w:color w:val="auto"/>
                <w:szCs w:val="21"/>
                <w:highlight w:val="none"/>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递交投标样品截止时间</w:t>
            </w:r>
          </w:p>
        </w:tc>
        <w:tc>
          <w:tcPr>
            <w:tcW w:w="6484" w:type="dxa"/>
            <w:vAlign w:val="center"/>
          </w:tcPr>
          <w:p>
            <w:pPr>
              <w:pStyle w:val="18"/>
              <w:spacing w:line="240" w:lineRule="atLeast"/>
              <w:rPr>
                <w:rFonts w:hAnsi="宋体"/>
                <w:color w:val="auto"/>
                <w:szCs w:val="21"/>
                <w:highlight w:val="none"/>
              </w:rPr>
            </w:pPr>
            <w:r>
              <w:rPr>
                <w:rFonts w:hint="eastAsia" w:hAnsi="宋体" w:cs="宋体"/>
                <w:color w:val="auto"/>
                <w:szCs w:val="21"/>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15.4</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递交投标样品地点</w:t>
            </w:r>
          </w:p>
        </w:tc>
        <w:tc>
          <w:tcPr>
            <w:tcW w:w="6484" w:type="dxa"/>
            <w:vAlign w:val="center"/>
          </w:tcPr>
          <w:p>
            <w:pPr>
              <w:pStyle w:val="18"/>
              <w:spacing w:line="240" w:lineRule="atLeast"/>
              <w:rPr>
                <w:rFonts w:hAnsi="宋体" w:cs="宋体"/>
                <w:color w:val="auto"/>
                <w:szCs w:val="21"/>
                <w:highlight w:val="none"/>
              </w:rPr>
            </w:pPr>
            <w:r>
              <w:rPr>
                <w:rFonts w:hint="eastAsia" w:hAnsi="宋体" w:cs="宋体"/>
                <w:color w:val="auto"/>
                <w:szCs w:val="21"/>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16.1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开标地点</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18.3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评标方法</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81" w:type="dxa"/>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s="Courier New"/>
                <w:color w:val="auto"/>
                <w:szCs w:val="21"/>
                <w:highlight w:val="none"/>
              </w:rPr>
              <w:t>中标结果公告内容</w:t>
            </w:r>
          </w:p>
        </w:tc>
        <w:tc>
          <w:tcPr>
            <w:tcW w:w="6484" w:type="dxa"/>
            <w:vAlign w:val="center"/>
          </w:tcPr>
          <w:p>
            <w:pPr>
              <w:pStyle w:val="18"/>
              <w:spacing w:line="240" w:lineRule="atLeast"/>
              <w:rPr>
                <w:rFonts w:hAnsi="宋体"/>
                <w:color w:val="auto"/>
                <w:szCs w:val="21"/>
                <w:highlight w:val="none"/>
              </w:rPr>
            </w:pPr>
            <w:r>
              <w:rPr>
                <w:rFonts w:hint="eastAsia" w:hAnsi="宋体" w:cs="Courier New"/>
                <w:color w:val="auto"/>
                <w:szCs w:val="21"/>
                <w:highlight w:val="none"/>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24.1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中标通知书的发放</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按相关规定在</w:t>
            </w:r>
            <w:r>
              <w:rPr>
                <w:rFonts w:hint="eastAsia" w:hAnsi="宋体" w:cs="宋体"/>
                <w:color w:val="auto"/>
                <w:kern w:val="0"/>
                <w:szCs w:val="21"/>
                <w:highlight w:val="none"/>
              </w:rPr>
              <w:t>本章第2.1项规定的政府采购信息发布媒体上公示中标结果，同时向中标供应商发出中标通知书。公示期为1个工作日，公告期满无异议的，由</w:t>
            </w:r>
            <w:r>
              <w:rPr>
                <w:rFonts w:hint="eastAsia" w:hAnsi="宋体"/>
                <w:color w:val="auto"/>
                <w:szCs w:val="21"/>
                <w:highlight w:val="none"/>
              </w:rPr>
              <w:t>招标代理机构</w:t>
            </w:r>
            <w:r>
              <w:rPr>
                <w:rFonts w:hint="eastAsia" w:hAnsi="宋体" w:cs="宋体"/>
                <w:color w:val="auto"/>
                <w:kern w:val="0"/>
                <w:szCs w:val="21"/>
                <w:highlight w:val="none"/>
              </w:rPr>
              <w:t>向中标供应商发出政府采购合同。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27.1</w:t>
            </w:r>
          </w:p>
        </w:tc>
        <w:tc>
          <w:tcPr>
            <w:tcW w:w="2389" w:type="dxa"/>
            <w:vAlign w:val="center"/>
          </w:tcPr>
          <w:p>
            <w:pPr>
              <w:autoSpaceDE w:val="0"/>
              <w:autoSpaceDN w:val="0"/>
              <w:spacing w:line="240" w:lineRule="atLeast"/>
              <w:jc w:val="center"/>
              <w:rPr>
                <w:rFonts w:ascii="宋体" w:hAnsi="宋体" w:cs="宋体"/>
                <w:color w:val="auto"/>
                <w:kern w:val="0"/>
                <w:szCs w:val="21"/>
                <w:highlight w:val="none"/>
              </w:rPr>
            </w:pPr>
            <w:r>
              <w:rPr>
                <w:rFonts w:hint="eastAsia" w:ascii="宋体" w:hAnsi="宋体"/>
                <w:color w:val="auto"/>
                <w:kern w:val="0"/>
                <w:szCs w:val="21"/>
                <w:highlight w:val="none"/>
              </w:rPr>
              <w:t>履约保证金</w:t>
            </w:r>
          </w:p>
        </w:tc>
        <w:tc>
          <w:tcPr>
            <w:tcW w:w="6484" w:type="dxa"/>
            <w:vAlign w:val="center"/>
          </w:tcPr>
          <w:p>
            <w:pPr>
              <w:pStyle w:val="18"/>
              <w:spacing w:line="240" w:lineRule="atLeast"/>
              <w:rPr>
                <w:rFonts w:hAnsi="宋体"/>
                <w:color w:val="auto"/>
                <w:szCs w:val="21"/>
                <w:highlight w:val="none"/>
              </w:rPr>
            </w:pPr>
            <w:r>
              <w:rPr>
                <w:rFonts w:hAnsi="宋体"/>
                <w:color w:val="auto"/>
                <w:szCs w:val="21"/>
                <w:highlight w:val="none"/>
                <w:u w:val="single"/>
              </w:rPr>
              <w:t>本项目无须缴纳履约保证金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26.8</w:t>
            </w:r>
          </w:p>
        </w:tc>
        <w:tc>
          <w:tcPr>
            <w:tcW w:w="2389" w:type="dxa"/>
            <w:vAlign w:val="center"/>
          </w:tcPr>
          <w:p>
            <w:pPr>
              <w:autoSpaceDE w:val="0"/>
              <w:autoSpaceDN w:val="0"/>
              <w:spacing w:line="240" w:lineRule="atLeast"/>
              <w:jc w:val="center"/>
              <w:rPr>
                <w:rFonts w:ascii="宋体" w:hAnsi="宋体"/>
                <w:color w:val="auto"/>
                <w:kern w:val="0"/>
                <w:szCs w:val="21"/>
                <w:highlight w:val="none"/>
              </w:rPr>
            </w:pPr>
            <w:r>
              <w:rPr>
                <w:rFonts w:hint="eastAsia" w:ascii="宋体" w:hAnsi="宋体"/>
                <w:color w:val="auto"/>
                <w:szCs w:val="21"/>
                <w:highlight w:val="none"/>
              </w:rPr>
              <w:t>政府采购合同公告</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根据</w:t>
            </w:r>
            <w:r>
              <w:rPr>
                <w:rFonts w:hAnsi="宋体"/>
                <w:color w:val="auto"/>
                <w:szCs w:val="21"/>
                <w:highlight w:val="none"/>
              </w:rPr>
              <w:t>《中华人民共和国政府采购法实施条例》第五十条</w:t>
            </w:r>
            <w:r>
              <w:rPr>
                <w:rFonts w:hint="eastAsia" w:hAnsi="宋体"/>
                <w:color w:val="auto"/>
                <w:szCs w:val="21"/>
                <w:highlight w:val="none"/>
              </w:rPr>
              <w:t>规定，采购人应当自政府采购合同签订之日起2个工作日内，将政府采购合同在省级以上人民政府财政部门指定的媒体上公告，</w:t>
            </w:r>
            <w:r>
              <w:rPr>
                <w:rFonts w:hAnsi="宋体"/>
                <w:color w:val="auto"/>
                <w:szCs w:val="21"/>
                <w:highlight w:val="none"/>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29.1</w:t>
            </w:r>
          </w:p>
        </w:tc>
        <w:tc>
          <w:tcPr>
            <w:tcW w:w="2389" w:type="dxa"/>
            <w:vAlign w:val="center"/>
          </w:tcPr>
          <w:p>
            <w:pPr>
              <w:autoSpaceDE w:val="0"/>
              <w:autoSpaceDN w:val="0"/>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需要补充的其他内容</w:t>
            </w:r>
          </w:p>
        </w:tc>
        <w:tc>
          <w:tcPr>
            <w:tcW w:w="6484" w:type="dxa"/>
            <w:vAlign w:val="center"/>
          </w:tcPr>
          <w:p>
            <w:pPr>
              <w:widowControl/>
              <w:spacing w:line="240" w:lineRule="atLeast"/>
              <w:jc w:val="left"/>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240" w:lineRule="atLeast"/>
              <w:jc w:val="left"/>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本招标文件中描述投标人的“签字”是指投标人的法定代表人或被授权人亲自在招标文件规定签署处亲笔写上个人的名字的行为，私章、签字章、印鉴、影印等其它形式均不能代替亲笔签字。</w:t>
            </w:r>
          </w:p>
          <w:p>
            <w:pPr>
              <w:pStyle w:val="12"/>
              <w:rPr>
                <w:color w:val="auto"/>
                <w:highlight w:val="none"/>
              </w:rPr>
            </w:pPr>
            <w:r>
              <w:rPr>
                <w:rFonts w:hint="eastAsia"/>
                <w:color w:val="auto"/>
                <w:highlight w:val="none"/>
              </w:rPr>
              <w:t>3</w:t>
            </w:r>
            <w:r>
              <w:rPr>
                <w:color w:val="auto"/>
                <w:highlight w:val="none"/>
              </w:rPr>
              <w:t>.</w:t>
            </w:r>
            <w:r>
              <w:rPr>
                <w:rFonts w:hint="eastAsia" w:ascii="Helvetica" w:hAnsi="Helvetica" w:cs="Helvetica"/>
                <w:color w:val="auto"/>
                <w:highlight w:val="none"/>
              </w:rPr>
              <w:t xml:space="preserve"> 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 政府采购信用融资’专栏。</w:t>
            </w:r>
          </w:p>
        </w:tc>
      </w:tr>
    </w:tbl>
    <w:p>
      <w:pPr>
        <w:pStyle w:val="18"/>
        <w:jc w:val="center"/>
        <w:outlineLvl w:val="1"/>
        <w:rPr>
          <w:rFonts w:hAnsi="宋体"/>
          <w:b/>
          <w:color w:val="auto"/>
          <w:sz w:val="28"/>
          <w:szCs w:val="28"/>
          <w:highlight w:val="none"/>
        </w:rPr>
      </w:pPr>
      <w:r>
        <w:rPr>
          <w:rFonts w:hAnsi="宋体"/>
          <w:color w:val="auto"/>
          <w:sz w:val="28"/>
          <w:szCs w:val="28"/>
          <w:highlight w:val="none"/>
        </w:rPr>
        <w:br w:type="page"/>
      </w:r>
      <w:bookmarkStart w:id="54" w:name="_Toc213326416"/>
      <w:bookmarkStart w:id="55" w:name="_Toc20566"/>
      <w:bookmarkStart w:id="56" w:name="_Toc401396875"/>
      <w:r>
        <w:rPr>
          <w:rFonts w:hint="eastAsia" w:ascii="Times New Roman" w:hAnsi="Times New Roman"/>
          <w:b/>
          <w:color w:val="auto"/>
          <w:sz w:val="30"/>
          <w:szCs w:val="30"/>
          <w:highlight w:val="none"/>
        </w:rPr>
        <w:t>一    总  则</w:t>
      </w:r>
      <w:bookmarkEnd w:id="54"/>
      <w:bookmarkEnd w:id="55"/>
      <w:bookmarkEnd w:id="56"/>
    </w:p>
    <w:p>
      <w:pPr>
        <w:pStyle w:val="18"/>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1. 项目概况</w:t>
      </w:r>
    </w:p>
    <w:p>
      <w:pPr>
        <w:pStyle w:val="18"/>
        <w:spacing w:line="440" w:lineRule="exact"/>
        <w:ind w:left="2" w:firstLine="358"/>
        <w:jc w:val="left"/>
        <w:rPr>
          <w:rFonts w:hAnsi="宋体"/>
          <w:bCs/>
          <w:color w:val="auto"/>
          <w:highlight w:val="none"/>
        </w:rPr>
      </w:pPr>
      <w:r>
        <w:rPr>
          <w:rFonts w:hint="eastAsia" w:hAnsi="宋体"/>
          <w:bCs/>
          <w:color w:val="auto"/>
          <w:highlight w:val="none"/>
        </w:rPr>
        <w:t>1.1  采购人：见投标人须知前附表。</w:t>
      </w:r>
    </w:p>
    <w:p>
      <w:pPr>
        <w:pStyle w:val="18"/>
        <w:spacing w:line="440" w:lineRule="exact"/>
        <w:ind w:left="2" w:firstLine="358"/>
        <w:jc w:val="left"/>
        <w:rPr>
          <w:rFonts w:ascii="文鼎CS楷体" w:eastAsia="文鼎CS楷体"/>
          <w:color w:val="auto"/>
          <w:highlight w:val="none"/>
        </w:rPr>
      </w:pPr>
      <w:r>
        <w:rPr>
          <w:rFonts w:hint="eastAsia" w:hAnsi="宋体"/>
          <w:bCs/>
          <w:color w:val="auto"/>
          <w:highlight w:val="none"/>
        </w:rPr>
        <w:t>1.2  采购代理机构：见投标人须知前附表。</w:t>
      </w:r>
    </w:p>
    <w:p>
      <w:pPr>
        <w:pStyle w:val="18"/>
        <w:spacing w:line="440" w:lineRule="exact"/>
        <w:ind w:left="2" w:firstLine="358"/>
        <w:jc w:val="left"/>
        <w:rPr>
          <w:rFonts w:ascii="文鼎CS楷体" w:eastAsia="文鼎CS楷体"/>
          <w:color w:val="auto"/>
          <w:highlight w:val="none"/>
        </w:rPr>
      </w:pPr>
      <w:r>
        <w:rPr>
          <w:rFonts w:hint="eastAsia" w:ascii="文鼎CS楷体" w:eastAsia="文鼎CS楷体"/>
          <w:color w:val="auto"/>
          <w:highlight w:val="none"/>
        </w:rPr>
        <w:t>1.3  项目名称：</w:t>
      </w:r>
      <w:r>
        <w:rPr>
          <w:rFonts w:hint="eastAsia" w:hAnsi="宋体"/>
          <w:bCs/>
          <w:color w:val="auto"/>
          <w:highlight w:val="none"/>
        </w:rPr>
        <w:t>见投标人须知前附表。</w:t>
      </w:r>
    </w:p>
    <w:p>
      <w:pPr>
        <w:pStyle w:val="18"/>
        <w:spacing w:line="440" w:lineRule="exact"/>
        <w:ind w:left="2" w:firstLine="358"/>
        <w:jc w:val="left"/>
        <w:rPr>
          <w:rFonts w:hAnsi="宋体"/>
          <w:bCs/>
          <w:color w:val="auto"/>
          <w:highlight w:val="none"/>
        </w:rPr>
      </w:pPr>
      <w:r>
        <w:rPr>
          <w:rFonts w:hint="eastAsia" w:ascii="文鼎CS楷体" w:eastAsia="文鼎CS楷体"/>
          <w:color w:val="auto"/>
          <w:highlight w:val="none"/>
        </w:rPr>
        <w:t>1.4  项目编号：</w:t>
      </w:r>
      <w:r>
        <w:rPr>
          <w:rFonts w:hint="eastAsia" w:hAnsi="宋体"/>
          <w:bCs/>
          <w:color w:val="auto"/>
          <w:highlight w:val="none"/>
        </w:rPr>
        <w:t>见投标人须知前附表。</w:t>
      </w:r>
    </w:p>
    <w:p>
      <w:pPr>
        <w:pStyle w:val="18"/>
        <w:spacing w:line="440" w:lineRule="exact"/>
        <w:ind w:left="2" w:firstLine="358"/>
        <w:jc w:val="left"/>
        <w:rPr>
          <w:rFonts w:hAnsi="宋体"/>
          <w:bCs/>
          <w:color w:val="auto"/>
          <w:highlight w:val="none"/>
        </w:rPr>
      </w:pPr>
      <w:r>
        <w:rPr>
          <w:rFonts w:hint="eastAsia" w:hAnsi="宋体"/>
          <w:bCs/>
          <w:color w:val="auto"/>
          <w:highlight w:val="none"/>
        </w:rPr>
        <w:t>1.5  预算金额：见投标人须知前附表。</w:t>
      </w:r>
    </w:p>
    <w:p>
      <w:pPr>
        <w:pStyle w:val="18"/>
        <w:spacing w:line="440" w:lineRule="exact"/>
        <w:ind w:left="2" w:firstLine="358"/>
        <w:jc w:val="left"/>
        <w:rPr>
          <w:rFonts w:hAnsi="宋体"/>
          <w:bCs/>
          <w:color w:val="auto"/>
          <w:highlight w:val="none"/>
        </w:rPr>
      </w:pPr>
      <w:r>
        <w:rPr>
          <w:rFonts w:hint="eastAsia" w:hAnsi="宋体"/>
          <w:bCs/>
          <w:color w:val="auto"/>
          <w:highlight w:val="none"/>
        </w:rPr>
        <w:t>1.6  资金来源：政府财政性资金</w:t>
      </w:r>
    </w:p>
    <w:p>
      <w:pPr>
        <w:pStyle w:val="18"/>
        <w:spacing w:line="440" w:lineRule="exact"/>
        <w:ind w:left="2" w:firstLine="358"/>
        <w:jc w:val="left"/>
        <w:rPr>
          <w:rFonts w:hAnsi="宋体"/>
          <w:bCs/>
          <w:color w:val="auto"/>
          <w:highlight w:val="none"/>
        </w:rPr>
      </w:pPr>
      <w:r>
        <w:rPr>
          <w:rFonts w:hint="eastAsia" w:hAnsi="宋体"/>
          <w:bCs/>
          <w:color w:val="auto"/>
          <w:highlight w:val="none"/>
        </w:rPr>
        <w:t xml:space="preserve">1.7  </w:t>
      </w:r>
      <w:r>
        <w:rPr>
          <w:rFonts w:hint="eastAsia" w:hAnsi="宋体"/>
          <w:color w:val="auto"/>
          <w:szCs w:val="21"/>
          <w:highlight w:val="none"/>
        </w:rPr>
        <w:t>获取招标文件的时间、地点、方式及招标文件售价：</w:t>
      </w:r>
      <w:r>
        <w:rPr>
          <w:rFonts w:hint="eastAsia" w:hAnsi="宋体"/>
          <w:bCs/>
          <w:color w:val="auto"/>
          <w:highlight w:val="none"/>
        </w:rPr>
        <w:t>见投标人须知前附表。</w:t>
      </w:r>
    </w:p>
    <w:p>
      <w:pPr>
        <w:pStyle w:val="18"/>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snapToGrid w:val="0"/>
        <w:spacing w:line="440" w:lineRule="exact"/>
        <w:ind w:firstLine="420" w:firstLineChars="200"/>
        <w:rPr>
          <w:rFonts w:ascii="宋体" w:hAnsi="宋体"/>
          <w:color w:val="auto"/>
          <w:highlight w:val="none"/>
        </w:rPr>
      </w:pPr>
      <w:r>
        <w:rPr>
          <w:rFonts w:hint="eastAsia" w:ascii="宋体" w:hAnsi="宋体"/>
          <w:color w:val="auto"/>
          <w:highlight w:val="none"/>
        </w:rPr>
        <w:t>2.1  与本项目相关的政府采购业务信息（包括公开招标公告、中标公告及其更正事项等）将在以下媒体上发布：www.ccgp.gov.cn（中国政府采购网），www.gxzfcg.gov.cn（广西壮族自治区政府采购网）， http://zfcg.nanning.gov.cn/index.do（南宁政府采购网），</w:t>
      </w:r>
      <w:r>
        <w:rPr>
          <w:rFonts w:ascii="宋体" w:hAnsi="宋体"/>
          <w:color w:val="auto"/>
          <w:highlight w:val="none"/>
        </w:rPr>
        <w:t>www.nnggzy.org.cn</w:t>
      </w:r>
      <w:r>
        <w:rPr>
          <w:rFonts w:hint="eastAsia" w:ascii="宋体" w:hAnsi="宋体"/>
          <w:color w:val="auto"/>
          <w:highlight w:val="none"/>
        </w:rPr>
        <w:t>（南宁市公共资源交易中心网）。</w:t>
      </w:r>
    </w:p>
    <w:p>
      <w:pPr>
        <w:pStyle w:val="18"/>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3. 投标人资格要求：</w:t>
      </w:r>
    </w:p>
    <w:p>
      <w:pPr>
        <w:pStyle w:val="18"/>
        <w:spacing w:line="440" w:lineRule="exact"/>
        <w:ind w:firstLine="360"/>
        <w:rPr>
          <w:rFonts w:hAnsi="宋体"/>
          <w:bCs/>
          <w:color w:val="auto"/>
          <w:highlight w:val="none"/>
        </w:rPr>
      </w:pPr>
      <w:r>
        <w:rPr>
          <w:rFonts w:hint="eastAsia" w:hAnsi="宋体"/>
          <w:bCs/>
          <w:color w:val="auto"/>
          <w:highlight w:val="none"/>
        </w:rPr>
        <w:t>3.1投标人未被列入失信被执行人、重大税收违法案件当事人名单、政府采购严重违法失信行为记录名单，且应符合《中华人民共和国政府采购法》第二十二条规定的下列投标人资格条件：</w:t>
      </w:r>
    </w:p>
    <w:p>
      <w:pPr>
        <w:pStyle w:val="18"/>
        <w:spacing w:line="440" w:lineRule="exact"/>
        <w:ind w:firstLine="720"/>
        <w:rPr>
          <w:rFonts w:hAnsi="宋体"/>
          <w:bCs/>
          <w:color w:val="auto"/>
          <w:highlight w:val="none"/>
        </w:rPr>
      </w:pPr>
      <w:r>
        <w:rPr>
          <w:rFonts w:hint="eastAsia" w:hAnsi="宋体"/>
          <w:bCs/>
          <w:color w:val="auto"/>
          <w:highlight w:val="none"/>
        </w:rPr>
        <w:t>（1）具有独立承担民事责任的能力；</w:t>
      </w:r>
    </w:p>
    <w:p>
      <w:pPr>
        <w:pStyle w:val="18"/>
        <w:spacing w:line="440" w:lineRule="exact"/>
        <w:ind w:firstLine="720"/>
        <w:rPr>
          <w:rFonts w:hAnsi="宋体"/>
          <w:bCs/>
          <w:color w:val="auto"/>
          <w:highlight w:val="none"/>
        </w:rPr>
      </w:pPr>
      <w:r>
        <w:rPr>
          <w:rFonts w:hint="eastAsia" w:hAnsi="宋体"/>
          <w:bCs/>
          <w:color w:val="auto"/>
          <w:highlight w:val="none"/>
        </w:rPr>
        <w:t>（2）具有良好的商业信誉和健全的财务会计制度；</w:t>
      </w:r>
    </w:p>
    <w:p>
      <w:pPr>
        <w:pStyle w:val="18"/>
        <w:spacing w:line="440" w:lineRule="exact"/>
        <w:ind w:firstLine="720"/>
        <w:rPr>
          <w:rFonts w:hAnsi="宋体"/>
          <w:bCs/>
          <w:color w:val="auto"/>
          <w:highlight w:val="none"/>
        </w:rPr>
      </w:pPr>
      <w:r>
        <w:rPr>
          <w:rFonts w:hint="eastAsia" w:hAnsi="宋体"/>
          <w:bCs/>
          <w:color w:val="auto"/>
          <w:highlight w:val="none"/>
        </w:rPr>
        <w:t>（3）具有履行合同所必需的设备和专业技术能力；</w:t>
      </w:r>
    </w:p>
    <w:p>
      <w:pPr>
        <w:pStyle w:val="18"/>
        <w:spacing w:line="440" w:lineRule="exact"/>
        <w:ind w:firstLine="720"/>
        <w:rPr>
          <w:rFonts w:hAnsi="宋体"/>
          <w:bCs/>
          <w:color w:val="auto"/>
          <w:highlight w:val="none"/>
        </w:rPr>
      </w:pPr>
      <w:r>
        <w:rPr>
          <w:rFonts w:hint="eastAsia" w:hAnsi="宋体"/>
          <w:bCs/>
          <w:color w:val="auto"/>
          <w:highlight w:val="none"/>
        </w:rPr>
        <w:t>（4）有依法缴纳税收和社会保障资金的良好记录；</w:t>
      </w:r>
    </w:p>
    <w:p>
      <w:pPr>
        <w:pStyle w:val="18"/>
        <w:spacing w:line="440" w:lineRule="exact"/>
        <w:ind w:firstLine="720"/>
        <w:rPr>
          <w:rFonts w:hAnsi="宋体"/>
          <w:bCs/>
          <w:color w:val="auto"/>
          <w:highlight w:val="none"/>
        </w:rPr>
      </w:pPr>
      <w:r>
        <w:rPr>
          <w:rFonts w:hint="eastAsia" w:hAnsi="宋体"/>
          <w:bCs/>
          <w:color w:val="auto"/>
          <w:highlight w:val="none"/>
        </w:rPr>
        <w:t>（5）参加政府采购活动前三年内，在经营活动中没有重大违法记录；</w:t>
      </w:r>
    </w:p>
    <w:p>
      <w:pPr>
        <w:pStyle w:val="18"/>
        <w:spacing w:line="440" w:lineRule="exact"/>
        <w:ind w:firstLine="720"/>
        <w:rPr>
          <w:rFonts w:hAnsi="宋体"/>
          <w:bCs/>
          <w:color w:val="auto"/>
          <w:highlight w:val="none"/>
        </w:rPr>
      </w:pPr>
      <w:r>
        <w:rPr>
          <w:rFonts w:hint="eastAsia" w:hAnsi="宋体"/>
          <w:bCs/>
          <w:color w:val="auto"/>
          <w:highlight w:val="none"/>
        </w:rPr>
        <w:t>（6）法律、行政法规规定的其他条件。</w:t>
      </w:r>
    </w:p>
    <w:p>
      <w:pPr>
        <w:pStyle w:val="18"/>
        <w:spacing w:line="440" w:lineRule="exact"/>
        <w:ind w:firstLine="360"/>
        <w:rPr>
          <w:rFonts w:hAnsi="宋体"/>
          <w:bCs/>
          <w:color w:val="auto"/>
          <w:highlight w:val="none"/>
        </w:rPr>
      </w:pPr>
      <w:r>
        <w:rPr>
          <w:rFonts w:hint="eastAsia" w:hAnsi="宋体"/>
          <w:bCs/>
          <w:color w:val="auto"/>
          <w:highlight w:val="none"/>
        </w:rPr>
        <w:t>3.2  针对本项目，投标人应具备的特定资格条件：</w:t>
      </w:r>
      <w:r>
        <w:rPr>
          <w:rFonts w:hint="eastAsia" w:hAnsi="宋体"/>
          <w:b/>
          <w:bCs/>
          <w:color w:val="auto"/>
          <w:highlight w:val="none"/>
        </w:rPr>
        <w:t>见投标人须知前附表</w:t>
      </w:r>
      <w:r>
        <w:rPr>
          <w:rFonts w:hint="eastAsia" w:hAnsi="宋体"/>
          <w:bCs/>
          <w:color w:val="auto"/>
          <w:highlight w:val="none"/>
        </w:rPr>
        <w:t>。</w:t>
      </w:r>
    </w:p>
    <w:p>
      <w:pPr>
        <w:pStyle w:val="18"/>
        <w:spacing w:line="440" w:lineRule="exact"/>
        <w:ind w:firstLine="420" w:firstLineChars="200"/>
        <w:rPr>
          <w:rFonts w:hAnsi="宋体"/>
          <w:bCs/>
          <w:color w:val="auto"/>
          <w:highlight w:val="none"/>
        </w:rPr>
      </w:pPr>
      <w:r>
        <w:rPr>
          <w:rFonts w:hint="eastAsia"/>
          <w:color w:val="auto"/>
          <w:highlight w:val="none"/>
        </w:rPr>
        <w:t xml:space="preserve">3.3  </w:t>
      </w:r>
      <w:r>
        <w:rPr>
          <w:rFonts w:hint="eastAsia" w:hAnsi="宋体"/>
          <w:bCs/>
          <w:color w:val="auto"/>
          <w:highlight w:val="none"/>
        </w:rPr>
        <w:t>投标人须知前附表规定接受联合体投标的，两个以上供应商可以组成一个投标联合体，</w:t>
      </w:r>
      <w:r>
        <w:rPr>
          <w:rFonts w:hint="eastAsia" w:hAnsi="宋体"/>
          <w:color w:val="auto"/>
          <w:szCs w:val="21"/>
          <w:highlight w:val="none"/>
        </w:rPr>
        <w:t>以一个投标人的身份共同参加投标</w:t>
      </w:r>
      <w:r>
        <w:rPr>
          <w:rFonts w:hint="eastAsia" w:hAnsi="宋体"/>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440" w:lineRule="exact"/>
        <w:ind w:firstLine="420" w:firstLineChars="20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投标人不得直接或间接地与为本次采购的项目内容进行设计、编制规范和其他文件的咨询公司、采购人、采购代理机构或其附属机构有任何关联。 </w:t>
      </w:r>
    </w:p>
    <w:p>
      <w:pPr>
        <w:pStyle w:val="18"/>
        <w:spacing w:line="440" w:lineRule="exact"/>
        <w:ind w:left="1"/>
        <w:jc w:val="left"/>
        <w:rPr>
          <w:rFonts w:hAnsi="宋体"/>
          <w:bCs/>
          <w:color w:val="auto"/>
          <w:sz w:val="24"/>
          <w:highlight w:val="none"/>
        </w:rPr>
      </w:pPr>
      <w:r>
        <w:rPr>
          <w:rFonts w:hint="eastAsia" w:hAnsi="宋体"/>
          <w:bCs/>
          <w:color w:val="auto"/>
          <w:sz w:val="24"/>
          <w:highlight w:val="none"/>
        </w:rPr>
        <w:t>4.  询问</w:t>
      </w:r>
    </w:p>
    <w:p>
      <w:pPr>
        <w:pStyle w:val="18"/>
        <w:spacing w:line="440" w:lineRule="exact"/>
        <w:ind w:left="2" w:firstLine="360"/>
        <w:jc w:val="left"/>
        <w:rPr>
          <w:rFonts w:hAnsi="宋体"/>
          <w:bCs/>
          <w:color w:val="auto"/>
          <w:highlight w:val="none"/>
        </w:rPr>
      </w:pPr>
      <w:r>
        <w:rPr>
          <w:rFonts w:hint="eastAsia" w:hAnsi="宋体"/>
          <w:bCs/>
          <w:color w:val="auto"/>
          <w:highlight w:val="none"/>
        </w:rPr>
        <w:t>4.1供应商对政府采购活动事项有疑问的，可以向采购人或采购代理机构项目负责人提出询问。</w:t>
      </w:r>
    </w:p>
    <w:p>
      <w:pPr>
        <w:pStyle w:val="18"/>
        <w:spacing w:line="440" w:lineRule="exact"/>
        <w:ind w:left="2" w:firstLine="360"/>
        <w:jc w:val="left"/>
        <w:rPr>
          <w:rFonts w:hAnsi="宋体"/>
          <w:bCs/>
          <w:color w:val="auto"/>
          <w:highlight w:val="none"/>
        </w:rPr>
      </w:pPr>
      <w:r>
        <w:rPr>
          <w:rFonts w:hint="eastAsia" w:hAnsi="宋体"/>
          <w:bCs/>
          <w:color w:val="auto"/>
          <w:highlight w:val="none"/>
        </w:rPr>
        <w:t>4.2采购人或采购人委托的采购代理机构自受理询问之日起3个工作日内对供应商依法提出的询问作出答复。</w:t>
      </w:r>
    </w:p>
    <w:p>
      <w:pPr>
        <w:pStyle w:val="18"/>
        <w:spacing w:line="440" w:lineRule="exact"/>
        <w:ind w:left="2" w:firstLine="360"/>
        <w:jc w:val="left"/>
        <w:rPr>
          <w:rFonts w:hAnsi="宋体"/>
          <w:bCs/>
          <w:color w:val="auto"/>
          <w:highlight w:val="none"/>
        </w:rPr>
      </w:pPr>
      <w:r>
        <w:rPr>
          <w:rFonts w:hAnsi="宋体"/>
          <w:bCs/>
          <w:color w:val="auto"/>
          <w:highlight w:val="none"/>
        </w:rPr>
        <w:t xml:space="preserve">4.3 </w:t>
      </w:r>
      <w:r>
        <w:rPr>
          <w:rFonts w:hint="eastAsia" w:hAnsi="宋体"/>
          <w:bCs/>
          <w:color w:val="auto"/>
          <w:highlight w:val="none"/>
        </w:rPr>
        <w:t>询问事项可能影响中标、成交结果的，采购人应当暂停签订合同，已经签订合同的，应当中止履行合同。</w:t>
      </w:r>
    </w:p>
    <w:p>
      <w:pPr>
        <w:pStyle w:val="18"/>
        <w:spacing w:line="440" w:lineRule="exact"/>
        <w:jc w:val="left"/>
        <w:rPr>
          <w:rFonts w:hAnsi="宋体"/>
          <w:bCs/>
          <w:color w:val="auto"/>
          <w:sz w:val="24"/>
          <w:highlight w:val="none"/>
        </w:rPr>
      </w:pPr>
      <w:r>
        <w:rPr>
          <w:rFonts w:hint="eastAsia" w:hAnsi="宋体"/>
          <w:bCs/>
          <w:color w:val="auto"/>
          <w:sz w:val="24"/>
          <w:highlight w:val="none"/>
        </w:rPr>
        <w:t>5. 质疑和投诉</w:t>
      </w:r>
    </w:p>
    <w:p>
      <w:pPr>
        <w:pStyle w:val="18"/>
        <w:spacing w:line="440" w:lineRule="exact"/>
        <w:jc w:val="left"/>
        <w:rPr>
          <w:rFonts w:hAnsi="宋体"/>
          <w:bCs/>
          <w:color w:val="auto"/>
          <w:sz w:val="24"/>
          <w:highlight w:val="none"/>
        </w:rPr>
      </w:pPr>
      <w:r>
        <w:rPr>
          <w:rFonts w:hint="eastAsia" w:hAnsi="宋体"/>
          <w:bCs/>
          <w:color w:val="auto"/>
          <w:sz w:val="24"/>
          <w:highlight w:val="none"/>
        </w:rPr>
        <w:t>5.1 质疑</w:t>
      </w:r>
    </w:p>
    <w:p>
      <w:pPr>
        <w:pStyle w:val="18"/>
        <w:spacing w:line="440" w:lineRule="exact"/>
        <w:jc w:val="left"/>
        <w:rPr>
          <w:rFonts w:hAnsi="宋体"/>
          <w:bCs/>
          <w:color w:val="auto"/>
          <w:highlight w:val="none"/>
        </w:rPr>
      </w:pPr>
      <w:r>
        <w:rPr>
          <w:rFonts w:hint="eastAsia" w:hAnsi="宋体"/>
          <w:bCs/>
          <w:color w:val="auto"/>
          <w:highlight w:val="none"/>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w:t>
      </w:r>
      <w:r>
        <w:rPr>
          <w:rFonts w:hint="eastAsia" w:hAnsi="宋体"/>
          <w:bCs/>
          <w:color w:val="auto"/>
          <w:szCs w:val="21"/>
          <w:highlight w:val="none"/>
        </w:rPr>
        <w:t>和联系方式</w:t>
      </w:r>
      <w:r>
        <w:rPr>
          <w:rFonts w:hint="eastAsia" w:hAnsi="宋体"/>
          <w:bCs/>
          <w:color w:val="auto"/>
          <w:highlight w:val="none"/>
        </w:rPr>
        <w:t>详见投标人须知前附表。采购代理机构应根据采购文件的规定将属于采购人受理和答复的质疑材料及时移交给采购人，采购人应将质疑处理情况及时函告采购代理机构。</w:t>
      </w:r>
    </w:p>
    <w:p>
      <w:pPr>
        <w:pStyle w:val="18"/>
        <w:spacing w:line="440" w:lineRule="exact"/>
        <w:ind w:left="2" w:firstLine="360"/>
        <w:jc w:val="left"/>
        <w:rPr>
          <w:rFonts w:hAnsi="宋体"/>
          <w:bCs/>
          <w:color w:val="auto"/>
          <w:highlight w:val="none"/>
        </w:rPr>
      </w:pPr>
      <w:r>
        <w:rPr>
          <w:rFonts w:hint="eastAsia" w:hAnsi="宋体"/>
          <w:bCs/>
          <w:color w:val="auto"/>
          <w:highlight w:val="none"/>
        </w:rPr>
        <w:t>5.1.1.1潜在供应商依法获取公开招标文件后，认为采购文件使自己的权益受到损害的，应当在公开招标文件公告期限届满之日起7个工作日内提出质疑。对公开招标文件中采购需求（含资格要求、</w:t>
      </w:r>
      <w:r>
        <w:rPr>
          <w:rFonts w:hint="eastAsia" w:hAnsi="宋体" w:cs="宋体"/>
          <w:color w:val="auto"/>
          <w:kern w:val="0"/>
          <w:szCs w:val="21"/>
          <w:highlight w:val="none"/>
        </w:rPr>
        <w:t>预算金额</w:t>
      </w:r>
      <w:r>
        <w:rPr>
          <w:rFonts w:hint="eastAsia" w:hAnsi="宋体"/>
          <w:bCs/>
          <w:color w:val="auto"/>
          <w:highlight w:val="none"/>
        </w:rPr>
        <w:t>和评分办法）的质疑由采购人受理并负责答复；对公开招标文件中的采购执行程序的质疑由采购代理机构受理并负责答复。</w:t>
      </w:r>
    </w:p>
    <w:p>
      <w:pPr>
        <w:pStyle w:val="18"/>
        <w:spacing w:line="440" w:lineRule="exact"/>
        <w:ind w:left="2" w:firstLine="360"/>
        <w:jc w:val="left"/>
        <w:rPr>
          <w:rFonts w:hAnsi="宋体"/>
          <w:bCs/>
          <w:color w:val="auto"/>
          <w:highlight w:val="none"/>
        </w:rPr>
      </w:pPr>
      <w:r>
        <w:rPr>
          <w:rFonts w:hint="eastAsia" w:hAnsi="宋体"/>
          <w:bCs/>
          <w:color w:val="auto"/>
          <w:highlight w:val="none"/>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8"/>
        <w:spacing w:line="440" w:lineRule="exact"/>
        <w:ind w:left="2" w:firstLine="360"/>
        <w:jc w:val="left"/>
        <w:rPr>
          <w:rFonts w:hAnsi="宋体"/>
          <w:bCs/>
          <w:color w:val="auto"/>
          <w:szCs w:val="21"/>
          <w:highlight w:val="none"/>
        </w:rPr>
      </w:pPr>
      <w:r>
        <w:rPr>
          <w:rFonts w:hint="eastAsia" w:hAnsi="宋体"/>
          <w:bCs/>
          <w:color w:val="auto"/>
          <w:highlight w:val="none"/>
        </w:rPr>
        <w:t>5.1.1.3供应商认为中标或者成交结果使自己的权益受到损害的，应当在中标或者成交结果公告期限届满之日起7个工作日内提出质疑，由采购人受理并负责答复。</w:t>
      </w:r>
    </w:p>
    <w:p>
      <w:pPr>
        <w:pStyle w:val="18"/>
        <w:spacing w:line="440" w:lineRule="exact"/>
        <w:ind w:left="2" w:firstLine="360"/>
        <w:jc w:val="left"/>
        <w:rPr>
          <w:rFonts w:hAnsi="宋体"/>
          <w:bCs/>
          <w:color w:val="auto"/>
          <w:szCs w:val="21"/>
          <w:highlight w:val="none"/>
        </w:rPr>
      </w:pPr>
      <w:r>
        <w:rPr>
          <w:rFonts w:hint="eastAsia" w:hAnsi="宋体"/>
          <w:bCs/>
          <w:color w:val="auto"/>
          <w:szCs w:val="21"/>
          <w:highlight w:val="none"/>
        </w:rPr>
        <w:t>5.1.2  供应商质疑实行实名制，其质疑应当有具体的质疑事项及事实根据，质疑应当坚持依法依规、诚实信用原则，不得进行虚假、恶意质疑。</w:t>
      </w:r>
    </w:p>
    <w:p>
      <w:pPr>
        <w:pStyle w:val="18"/>
        <w:spacing w:line="440" w:lineRule="exact"/>
        <w:ind w:left="2" w:firstLine="360"/>
        <w:jc w:val="left"/>
        <w:rPr>
          <w:bCs/>
          <w:color w:val="auto"/>
          <w:szCs w:val="21"/>
          <w:highlight w:val="none"/>
        </w:rPr>
      </w:pPr>
      <w:r>
        <w:rPr>
          <w:rFonts w:hint="eastAsia"/>
          <w:bCs/>
          <w:color w:val="auto"/>
          <w:szCs w:val="21"/>
          <w:highlight w:val="none"/>
        </w:rPr>
        <w:t xml:space="preserve">5.1.3  </w:t>
      </w:r>
      <w:r>
        <w:rPr>
          <w:bCs/>
          <w:color w:val="auto"/>
          <w:szCs w:val="21"/>
          <w:highlight w:val="none"/>
        </w:rPr>
        <w:t>供应商提交质疑应当提交质疑函和必要的证明材料</w:t>
      </w:r>
      <w:r>
        <w:rPr>
          <w:rFonts w:hAnsi="宋体"/>
          <w:bCs/>
          <w:color w:val="auto"/>
          <w:szCs w:val="21"/>
          <w:highlight w:val="none"/>
        </w:rPr>
        <w:t>[</w:t>
      </w:r>
      <w:r>
        <w:rPr>
          <w:rFonts w:hint="eastAsia" w:hAnsi="宋体"/>
          <w:bCs/>
          <w:color w:val="auto"/>
          <w:szCs w:val="21"/>
          <w:highlight w:val="none"/>
        </w:rPr>
        <w:t>按第七章“质疑材料格式”提供的“质疑函（格式）”和“质疑证明材料（格式）”的要求填写</w:t>
      </w:r>
      <w:r>
        <w:rPr>
          <w:rFonts w:hAnsi="宋体"/>
          <w:bCs/>
          <w:color w:val="auto"/>
          <w:szCs w:val="21"/>
          <w:highlight w:val="none"/>
        </w:rPr>
        <w:t>]</w:t>
      </w:r>
      <w:r>
        <w:rPr>
          <w:bCs/>
          <w:color w:val="auto"/>
          <w:szCs w:val="21"/>
          <w:highlight w:val="none"/>
        </w:rPr>
        <w:t>，质疑函应当包括下列内容：</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1</w:t>
      </w:r>
      <w:r>
        <w:rPr>
          <w:bCs/>
          <w:color w:val="auto"/>
          <w:szCs w:val="21"/>
          <w:highlight w:val="none"/>
        </w:rPr>
        <w:t>）供应商的姓名或者名称、地址、邮编、联系人及联系电话；</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2</w:t>
      </w:r>
      <w:r>
        <w:rPr>
          <w:bCs/>
          <w:color w:val="auto"/>
          <w:szCs w:val="21"/>
          <w:highlight w:val="none"/>
        </w:rPr>
        <w:t>）质疑项目的名称、编号；</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3</w:t>
      </w:r>
      <w:r>
        <w:rPr>
          <w:bCs/>
          <w:color w:val="auto"/>
          <w:szCs w:val="21"/>
          <w:highlight w:val="none"/>
        </w:rPr>
        <w:t>）具体、明确的质疑事项和质疑事项相关的请求；</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4</w:t>
      </w:r>
      <w:r>
        <w:rPr>
          <w:bCs/>
          <w:color w:val="auto"/>
          <w:szCs w:val="21"/>
          <w:highlight w:val="none"/>
        </w:rPr>
        <w:t>）事实依据</w:t>
      </w:r>
      <w:r>
        <w:rPr>
          <w:rFonts w:hint="eastAsia" w:hAnsi="宋体"/>
          <w:bCs/>
          <w:color w:val="auto"/>
          <w:szCs w:val="21"/>
          <w:highlight w:val="none"/>
        </w:rPr>
        <w:t>（列明权益受到损害的事实和理由）</w:t>
      </w:r>
      <w:r>
        <w:rPr>
          <w:bCs/>
          <w:color w:val="auto"/>
          <w:szCs w:val="21"/>
          <w:highlight w:val="none"/>
        </w:rPr>
        <w:t>；</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5</w:t>
      </w:r>
      <w:r>
        <w:rPr>
          <w:bCs/>
          <w:color w:val="auto"/>
          <w:szCs w:val="21"/>
          <w:highlight w:val="none"/>
        </w:rPr>
        <w:t>）必要的法律依据；</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6</w:t>
      </w:r>
      <w:r>
        <w:rPr>
          <w:bCs/>
          <w:color w:val="auto"/>
          <w:szCs w:val="21"/>
          <w:highlight w:val="none"/>
        </w:rPr>
        <w:t>）提起质疑的日期；</w:t>
      </w:r>
    </w:p>
    <w:p>
      <w:pPr>
        <w:pStyle w:val="18"/>
        <w:spacing w:line="440" w:lineRule="exact"/>
        <w:ind w:left="2" w:firstLine="360"/>
        <w:jc w:val="left"/>
        <w:rPr>
          <w:rFonts w:hAnsi="宋体"/>
          <w:color w:val="auto"/>
          <w:highlight w:val="none"/>
        </w:rPr>
      </w:pPr>
      <w:r>
        <w:rPr>
          <w:bCs/>
          <w:color w:val="auto"/>
          <w:szCs w:val="21"/>
          <w:highlight w:val="none"/>
        </w:rPr>
        <w:t>供应商为自然人的，应当由本人签字；质疑供应商为法人或者其他组织的，应当由法定代表人、主要负责人签字或其授权代表签字或盖章并加盖公章。</w:t>
      </w:r>
    </w:p>
    <w:p>
      <w:pPr>
        <w:pStyle w:val="18"/>
        <w:spacing w:line="440" w:lineRule="exact"/>
        <w:ind w:left="2" w:firstLine="360"/>
        <w:rPr>
          <w:rFonts w:hAnsi="宋体"/>
          <w:bCs/>
          <w:color w:val="auto"/>
          <w:highlight w:val="none"/>
        </w:rPr>
      </w:pPr>
      <w:r>
        <w:rPr>
          <w:rFonts w:hint="eastAsia" w:hAnsi="宋体"/>
          <w:bCs/>
          <w:color w:val="auto"/>
          <w:highlight w:val="none"/>
        </w:rPr>
        <w:t>5.1.4  质疑供应商可以委托代理人办理质疑事务。委托代理人应熟悉相关业务情况。代理人办理质疑事务时，除提交质疑书外，还应当提交质疑供应商的授权委托书，授权委托书应当载明委托代理的具体权限和事项</w:t>
      </w:r>
      <w:r>
        <w:rPr>
          <w:rFonts w:hint="eastAsia" w:hAnsi="宋体"/>
          <w:color w:val="auto"/>
          <w:highlight w:val="none"/>
        </w:rPr>
        <w:t>。</w:t>
      </w:r>
    </w:p>
    <w:p>
      <w:pPr>
        <w:pStyle w:val="18"/>
        <w:spacing w:line="440" w:lineRule="exact"/>
        <w:ind w:left="2" w:firstLine="360"/>
        <w:rPr>
          <w:rFonts w:hAnsi="宋体"/>
          <w:bCs/>
          <w:color w:val="auto"/>
          <w:highlight w:val="none"/>
        </w:rPr>
      </w:pPr>
      <w:r>
        <w:rPr>
          <w:rFonts w:hint="eastAsia" w:hAnsi="宋体"/>
          <w:bCs/>
          <w:color w:val="auto"/>
          <w:highlight w:val="none"/>
        </w:rPr>
        <w:t>5.1.5  质疑供应商提起质疑应当符合下列条件：</w:t>
      </w:r>
    </w:p>
    <w:p>
      <w:pPr>
        <w:pStyle w:val="18"/>
        <w:spacing w:line="440" w:lineRule="exact"/>
        <w:ind w:left="2" w:firstLine="36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采购活动的供应商，以联合体形式参加政府采购活动的，其质疑应当由组成联合体的所有供应商共同提出；</w:t>
      </w:r>
    </w:p>
    <w:p>
      <w:pPr>
        <w:pStyle w:val="18"/>
        <w:spacing w:line="440" w:lineRule="exact"/>
        <w:ind w:left="2" w:firstLine="360"/>
        <w:rPr>
          <w:rFonts w:hAnsi="宋体"/>
          <w:bCs/>
          <w:color w:val="auto"/>
          <w:highlight w:val="none"/>
        </w:rPr>
      </w:pPr>
      <w:r>
        <w:rPr>
          <w:rFonts w:hint="eastAsia" w:hAnsi="宋体"/>
          <w:bCs/>
          <w:color w:val="auto"/>
          <w:highlight w:val="none"/>
        </w:rPr>
        <w:t>（2）质疑函内容符合本章第5.1.3项的规定；</w:t>
      </w:r>
    </w:p>
    <w:p>
      <w:pPr>
        <w:pStyle w:val="18"/>
        <w:spacing w:line="440" w:lineRule="exact"/>
        <w:ind w:left="2" w:firstLine="360"/>
        <w:rPr>
          <w:rFonts w:hAnsi="宋体"/>
          <w:bCs/>
          <w:color w:val="auto"/>
          <w:highlight w:val="none"/>
        </w:rPr>
      </w:pPr>
      <w:r>
        <w:rPr>
          <w:rFonts w:hint="eastAsia" w:hAnsi="宋体"/>
          <w:bCs/>
          <w:color w:val="auto"/>
          <w:highlight w:val="none"/>
        </w:rPr>
        <w:t>（3）在质疑有效期限内提起质疑；</w:t>
      </w:r>
    </w:p>
    <w:p>
      <w:pPr>
        <w:pStyle w:val="18"/>
        <w:spacing w:line="440" w:lineRule="exact"/>
        <w:ind w:left="2" w:firstLine="360"/>
        <w:rPr>
          <w:rFonts w:hAnsi="宋体"/>
          <w:bCs/>
          <w:color w:val="auto"/>
          <w:highlight w:val="none"/>
        </w:rPr>
      </w:pPr>
      <w:r>
        <w:rPr>
          <w:rFonts w:hint="eastAsia" w:hAnsi="宋体"/>
          <w:bCs/>
          <w:color w:val="auto"/>
          <w:highlight w:val="none"/>
        </w:rPr>
        <w:t>（4）属于所质疑的采购人或采购人委托的采购代理机构组织的采购活动；</w:t>
      </w:r>
    </w:p>
    <w:p>
      <w:pPr>
        <w:pStyle w:val="18"/>
        <w:spacing w:line="440" w:lineRule="exact"/>
        <w:ind w:left="2" w:firstLine="36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pStyle w:val="18"/>
        <w:spacing w:line="440" w:lineRule="exact"/>
        <w:ind w:left="2" w:firstLine="360"/>
        <w:rPr>
          <w:rFonts w:hAnsi="宋体"/>
          <w:bCs/>
          <w:color w:val="auto"/>
          <w:highlight w:val="none"/>
        </w:rPr>
      </w:pPr>
      <w:r>
        <w:rPr>
          <w:rFonts w:hint="eastAsia" w:hAnsi="宋体"/>
          <w:bCs/>
          <w:color w:val="auto"/>
          <w:highlight w:val="none"/>
        </w:rPr>
        <w:t>（6）供应商对同一采购程序环节的质疑应当在质疑有效期内一次性提出；</w:t>
      </w:r>
    </w:p>
    <w:p>
      <w:pPr>
        <w:pStyle w:val="18"/>
        <w:spacing w:line="440" w:lineRule="exact"/>
        <w:ind w:left="2" w:firstLine="360"/>
        <w:rPr>
          <w:rFonts w:hAnsi="宋体"/>
          <w:bCs/>
          <w:color w:val="auto"/>
          <w:highlight w:val="none"/>
        </w:rPr>
      </w:pPr>
      <w:r>
        <w:rPr>
          <w:rFonts w:hint="eastAsia" w:hAnsi="宋体"/>
          <w:bCs/>
          <w:color w:val="auto"/>
          <w:highlight w:val="none"/>
        </w:rPr>
        <w:t>（7）供应商提交质疑应当提交必要的证明材料，证明材料应以合法手段取得；</w:t>
      </w:r>
    </w:p>
    <w:p>
      <w:pPr>
        <w:pStyle w:val="18"/>
        <w:spacing w:line="440" w:lineRule="exact"/>
        <w:ind w:left="2" w:firstLine="360"/>
        <w:rPr>
          <w:color w:val="auto"/>
          <w:highlight w:val="none"/>
        </w:rPr>
      </w:pPr>
      <w:r>
        <w:rPr>
          <w:rFonts w:hint="eastAsia" w:hAnsi="宋体"/>
          <w:bCs/>
          <w:color w:val="auto"/>
          <w:highlight w:val="none"/>
        </w:rPr>
        <w:t>（8）财政部门规定的其他条件。</w:t>
      </w:r>
    </w:p>
    <w:p>
      <w:pPr>
        <w:pStyle w:val="18"/>
        <w:spacing w:line="460" w:lineRule="exact"/>
        <w:ind w:firstLine="420" w:firstLineChars="200"/>
        <w:rPr>
          <w:color w:val="auto"/>
          <w:szCs w:val="21"/>
          <w:highlight w:val="none"/>
        </w:rPr>
      </w:pPr>
      <w:r>
        <w:rPr>
          <w:rFonts w:hint="eastAsia"/>
          <w:color w:val="auto"/>
          <w:highlight w:val="none"/>
        </w:rPr>
        <w:t xml:space="preserve">5.1.6  </w:t>
      </w:r>
      <w:r>
        <w:rPr>
          <w:rFonts w:hint="eastAsia"/>
          <w:color w:val="auto"/>
          <w:szCs w:val="21"/>
          <w:highlight w:val="none"/>
        </w:rPr>
        <w:t>采购人或采购人委托的采购代理机构在收到质疑函后7个工作日内作出答复，并以书面形式通知质疑供应商及其他有关供应商。对不符合质疑条件的质疑，答复质疑不成立，并说明理由；对符合质疑条件的质疑，对质疑事项作出答复</w:t>
      </w:r>
      <w:r>
        <w:rPr>
          <w:rFonts w:hint="eastAsia" w:ascii="Helvetica" w:hAnsi="Helvetica" w:cs="Helvetica"/>
          <w:color w:val="auto"/>
          <w:highlight w:val="none"/>
        </w:rPr>
        <w:t>。</w:t>
      </w:r>
    </w:p>
    <w:p>
      <w:pPr>
        <w:spacing w:line="440" w:lineRule="exact"/>
        <w:ind w:firstLine="420" w:firstLineChars="200"/>
        <w:rPr>
          <w:rFonts w:ascii="宋体" w:hAnsi="宋体"/>
          <w:color w:val="auto"/>
          <w:highlight w:val="none"/>
        </w:rPr>
      </w:pPr>
      <w:r>
        <w:rPr>
          <w:rFonts w:hAnsi="宋体"/>
          <w:bCs/>
          <w:color w:val="auto"/>
          <w:szCs w:val="21"/>
          <w:highlight w:val="none"/>
        </w:rPr>
        <w:t>5.1.7</w:t>
      </w:r>
      <w:r>
        <w:rPr>
          <w:rFonts w:hint="eastAsia" w:hAnsi="宋体"/>
          <w:bCs/>
          <w:color w:val="auto"/>
          <w:szCs w:val="21"/>
          <w:highlight w:val="none"/>
        </w:rPr>
        <w:t>质疑事项可能影响中标、成交结果的，采购人应当暂停签订合同，已经签订合同的，应当中止履行合同。</w:t>
      </w:r>
    </w:p>
    <w:p>
      <w:pPr>
        <w:pStyle w:val="18"/>
        <w:spacing w:line="440" w:lineRule="exact"/>
        <w:jc w:val="left"/>
        <w:rPr>
          <w:rFonts w:hAnsi="宋体"/>
          <w:bCs/>
          <w:color w:val="auto"/>
          <w:sz w:val="24"/>
          <w:highlight w:val="none"/>
        </w:rPr>
      </w:pPr>
      <w:r>
        <w:rPr>
          <w:rFonts w:hint="eastAsia" w:hAnsi="宋体"/>
          <w:bCs/>
          <w:color w:val="auto"/>
          <w:sz w:val="24"/>
          <w:highlight w:val="none"/>
        </w:rPr>
        <w:t>5.2  投诉</w:t>
      </w:r>
    </w:p>
    <w:p>
      <w:pPr>
        <w:pStyle w:val="18"/>
        <w:spacing w:line="440" w:lineRule="exact"/>
        <w:ind w:left="2" w:leftChars="1" w:firstLine="420" w:firstLineChars="200"/>
        <w:jc w:val="left"/>
        <w:rPr>
          <w:rFonts w:hAnsi="宋体"/>
          <w:bCs/>
          <w:color w:val="auto"/>
          <w:highlight w:val="none"/>
        </w:rPr>
      </w:pPr>
      <w:r>
        <w:rPr>
          <w:rFonts w:hint="eastAsia" w:hAnsi="宋体"/>
          <w:bCs/>
          <w:color w:val="auto"/>
          <w:highlight w:val="none"/>
        </w:rPr>
        <w:t>5.2.1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未在规定期限内做出答复的，供应商可以在答复期满后15个工作日内向南宁市政府采购监督管理部门提起投诉。</w:t>
      </w:r>
    </w:p>
    <w:p>
      <w:pPr>
        <w:pStyle w:val="18"/>
        <w:spacing w:line="440" w:lineRule="exact"/>
        <w:ind w:left="2" w:leftChars="1" w:firstLine="420" w:firstLineChars="200"/>
        <w:jc w:val="left"/>
        <w:rPr>
          <w:rFonts w:hAnsi="宋体"/>
          <w:bCs/>
          <w:color w:val="auto"/>
          <w:highlight w:val="none"/>
        </w:rPr>
      </w:pPr>
      <w:r>
        <w:rPr>
          <w:rFonts w:hint="eastAsia"/>
          <w:color w:val="auto"/>
          <w:highlight w:val="none"/>
        </w:rPr>
        <w:t>5.2.2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8"/>
        <w:spacing w:line="440" w:lineRule="exact"/>
        <w:ind w:left="2" w:firstLine="417" w:firstLineChars="199"/>
        <w:jc w:val="left"/>
        <w:rPr>
          <w:color w:val="auto"/>
          <w:highlight w:val="none"/>
        </w:rPr>
      </w:pPr>
      <w:r>
        <w:rPr>
          <w:rFonts w:hint="eastAsia" w:hAnsi="宋体"/>
          <w:color w:val="auto"/>
          <w:highlight w:val="none"/>
        </w:rPr>
        <w:t xml:space="preserve">（1）投诉人和被投诉人的名称、地址、电话等； </w:t>
      </w:r>
    </w:p>
    <w:p>
      <w:pPr>
        <w:pStyle w:val="18"/>
        <w:spacing w:line="440" w:lineRule="exact"/>
        <w:ind w:left="2" w:firstLine="417" w:firstLineChars="199"/>
        <w:jc w:val="left"/>
        <w:rPr>
          <w:color w:val="auto"/>
          <w:highlight w:val="none"/>
        </w:rPr>
      </w:pPr>
      <w:r>
        <w:rPr>
          <w:rFonts w:hint="eastAsia" w:hAnsi="宋体"/>
          <w:color w:val="auto"/>
          <w:highlight w:val="none"/>
        </w:rPr>
        <w:t>（2）具体的投诉事项及事实依据；</w:t>
      </w:r>
    </w:p>
    <w:p>
      <w:pPr>
        <w:pStyle w:val="18"/>
        <w:spacing w:line="440" w:lineRule="exact"/>
        <w:ind w:left="2" w:firstLine="417" w:firstLineChars="199"/>
        <w:jc w:val="left"/>
        <w:rPr>
          <w:color w:val="auto"/>
          <w:highlight w:val="none"/>
        </w:rPr>
      </w:pPr>
      <w:r>
        <w:rPr>
          <w:rFonts w:hint="eastAsia" w:hAnsi="宋体"/>
          <w:color w:val="auto"/>
          <w:highlight w:val="none"/>
        </w:rPr>
        <w:t xml:space="preserve">（3）质疑和质疑答复情况及相关证明材料； </w:t>
      </w:r>
    </w:p>
    <w:p>
      <w:pPr>
        <w:pStyle w:val="18"/>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（4）提起投诉的日期。</w:t>
      </w:r>
    </w:p>
    <w:p>
      <w:pPr>
        <w:pStyle w:val="18"/>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（5）附件材料：营业执照副本内页复印件（要求证件有效并清晰反映企业法人经营范围；近期连续三个月依法缴纳税收和在职职工社会保障资金证明材料（复印件）。</w:t>
      </w:r>
      <w:r>
        <w:rPr>
          <w:rFonts w:hint="eastAsia" w:hAnsi="宋体"/>
          <w:color w:val="auto"/>
          <w:highlight w:val="none"/>
        </w:rPr>
        <w:tab/>
      </w:r>
    </w:p>
    <w:p>
      <w:pPr>
        <w:pStyle w:val="18"/>
        <w:spacing w:line="440" w:lineRule="exact"/>
        <w:ind w:firstLine="420" w:firstLineChars="200"/>
        <w:rPr>
          <w:rFonts w:hAnsi="宋体"/>
          <w:color w:val="auto"/>
          <w:highlight w:val="none"/>
        </w:rPr>
      </w:pPr>
      <w:r>
        <w:rPr>
          <w:rFonts w:hint="eastAsia" w:hAnsi="宋体"/>
          <w:color w:val="auto"/>
          <w:highlight w:val="none"/>
        </w:rPr>
        <w:t>投诉书应当署名。投诉人为法人或者其他组织的，应当由法定代表人或者主要负责人签字盖章并加盖公章。</w:t>
      </w:r>
    </w:p>
    <w:p>
      <w:pPr>
        <w:pStyle w:val="18"/>
        <w:spacing w:line="440" w:lineRule="exact"/>
        <w:ind w:firstLine="420" w:firstLineChars="200"/>
        <w:rPr>
          <w:rFonts w:hAnsi="宋体"/>
          <w:color w:val="auto"/>
          <w:highlight w:val="none"/>
        </w:rPr>
      </w:pPr>
      <w:r>
        <w:rPr>
          <w:rFonts w:hint="eastAsia"/>
          <w:color w:val="auto"/>
          <w:highlight w:val="none"/>
        </w:rPr>
        <w:t>5.2.3  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代理人办理投诉事务时，除提交投诉书外，还应当提交投诉人的授权委托书，授权委托书应当载明委托代理的具体权限和事项；</w:t>
      </w:r>
      <w:r>
        <w:rPr>
          <w:rFonts w:hint="eastAsia" w:hAnsi="宋体"/>
          <w:bCs/>
          <w:color w:val="auto"/>
          <w:highlight w:val="none"/>
        </w:rPr>
        <w:t>提交</w:t>
      </w:r>
      <w:r>
        <w:rPr>
          <w:rFonts w:hint="eastAsia" w:hAnsi="宋体"/>
          <w:color w:val="auto"/>
          <w:highlight w:val="none"/>
        </w:rPr>
        <w:t>委托代理人身份证明复印件。</w:t>
      </w:r>
    </w:p>
    <w:p>
      <w:pPr>
        <w:pStyle w:val="18"/>
        <w:spacing w:line="440" w:lineRule="exact"/>
        <w:ind w:firstLine="420" w:firstLineChars="200"/>
        <w:rPr>
          <w:rFonts w:hAnsi="宋体"/>
          <w:color w:val="auto"/>
          <w:highlight w:val="none"/>
        </w:rPr>
      </w:pPr>
      <w:r>
        <w:rPr>
          <w:rFonts w:hint="eastAsia"/>
          <w:color w:val="auto"/>
          <w:highlight w:val="none"/>
        </w:rPr>
        <w:t>5.2.4  投诉人提起投诉应当符合下列条件：</w:t>
      </w:r>
    </w:p>
    <w:p>
      <w:pPr>
        <w:spacing w:line="440" w:lineRule="exact"/>
        <w:ind w:firstLine="4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420"/>
        <w:rPr>
          <w:rFonts w:ascii="宋体" w:hAnsi="宋体"/>
          <w:color w:val="auto"/>
          <w:highlight w:val="none"/>
        </w:rPr>
      </w:pPr>
      <w:r>
        <w:rPr>
          <w:rFonts w:hint="eastAsia" w:ascii="宋体" w:hAnsi="宋体"/>
          <w:color w:val="auto"/>
          <w:highlight w:val="none"/>
        </w:rPr>
        <w:t>（3）投诉书内容符合本章第5.2.2项的规定；</w:t>
      </w:r>
    </w:p>
    <w:p>
      <w:pPr>
        <w:spacing w:line="440" w:lineRule="exact"/>
        <w:ind w:firstLine="4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420"/>
        <w:rPr>
          <w:rFonts w:ascii="宋体" w:hAnsi="宋体"/>
          <w:color w:val="auto"/>
          <w:highlight w:val="none"/>
        </w:rPr>
      </w:pPr>
      <w:r>
        <w:rPr>
          <w:rFonts w:hint="eastAsia" w:ascii="宋体" w:hAnsi="宋体"/>
          <w:color w:val="auto"/>
          <w:highlight w:val="none"/>
        </w:rPr>
        <w:t>（5）属于南宁市政府采购监督管理部门管辖；</w:t>
      </w:r>
    </w:p>
    <w:p>
      <w:pPr>
        <w:spacing w:line="440" w:lineRule="exact"/>
        <w:ind w:firstLine="4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pPr>
        <w:spacing w:line="440" w:lineRule="exact"/>
        <w:ind w:firstLine="420"/>
        <w:rPr>
          <w:rFonts w:ascii="宋体"/>
          <w:color w:val="auto"/>
          <w:highlight w:val="none"/>
        </w:rPr>
      </w:pPr>
      <w:r>
        <w:rPr>
          <w:rFonts w:hint="eastAsia" w:ascii="宋体"/>
          <w:color w:val="auto"/>
          <w:highlight w:val="none"/>
        </w:rPr>
        <w:t>（7）国务院财政部门规定的其他条件。</w:t>
      </w:r>
    </w:p>
    <w:p>
      <w:pPr>
        <w:spacing w:line="440" w:lineRule="exact"/>
        <w:ind w:firstLine="420" w:firstLineChars="200"/>
        <w:rPr>
          <w:rFonts w:ascii="宋体"/>
          <w:color w:val="auto"/>
          <w:highlight w:val="none"/>
        </w:rPr>
      </w:pPr>
      <w:r>
        <w:rPr>
          <w:rFonts w:hint="eastAsia" w:ascii="宋体"/>
          <w:color w:val="auto"/>
          <w:highlight w:val="none"/>
        </w:rPr>
        <w:t>5.2.5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420" w:firstLineChars="200"/>
        <w:rPr>
          <w:rFonts w:ascii="宋体"/>
          <w:color w:val="auto"/>
          <w:highlight w:val="none"/>
        </w:rPr>
      </w:pPr>
      <w:r>
        <w:rPr>
          <w:rFonts w:hint="eastAsia" w:ascii="宋体"/>
          <w:color w:val="auto"/>
          <w:highlight w:val="none"/>
        </w:rPr>
        <w:t>5.2.6  南宁市政府采购监督管理部门在处理投诉事项期间，可以视具体情况暂停采购活动。</w:t>
      </w:r>
    </w:p>
    <w:p>
      <w:pPr>
        <w:pStyle w:val="18"/>
        <w:spacing w:line="440" w:lineRule="exact"/>
        <w:jc w:val="center"/>
        <w:outlineLvl w:val="1"/>
        <w:rPr>
          <w:rFonts w:ascii="Times New Roman" w:hAnsi="Times New Roman"/>
          <w:b/>
          <w:color w:val="auto"/>
          <w:sz w:val="30"/>
          <w:szCs w:val="30"/>
          <w:highlight w:val="none"/>
        </w:rPr>
      </w:pPr>
      <w:bookmarkStart w:id="57" w:name="_Toc401396876"/>
      <w:bookmarkStart w:id="58" w:name="_Toc213326417"/>
      <w:bookmarkStart w:id="59" w:name="_Toc12895"/>
      <w:r>
        <w:rPr>
          <w:rFonts w:hint="eastAsia" w:ascii="Times New Roman" w:hAnsi="Times New Roman"/>
          <w:b/>
          <w:color w:val="auto"/>
          <w:sz w:val="30"/>
          <w:szCs w:val="30"/>
          <w:highlight w:val="none"/>
        </w:rPr>
        <w:t>二    公开招标文件</w:t>
      </w:r>
      <w:bookmarkEnd w:id="57"/>
      <w:bookmarkEnd w:id="58"/>
      <w:bookmarkEnd w:id="59"/>
    </w:p>
    <w:p>
      <w:pPr>
        <w:pStyle w:val="18"/>
        <w:spacing w:line="440" w:lineRule="exact"/>
        <w:rPr>
          <w:rFonts w:hAnsi="宋体"/>
          <w:bCs/>
          <w:color w:val="auto"/>
          <w:highlight w:val="none"/>
        </w:rPr>
      </w:pPr>
      <w:r>
        <w:rPr>
          <w:rFonts w:hint="eastAsia" w:hAnsi="宋体"/>
          <w:bCs/>
          <w:color w:val="auto"/>
          <w:sz w:val="24"/>
          <w:highlight w:val="none"/>
        </w:rPr>
        <w:t>6.  公开招标文件的组成</w:t>
      </w:r>
    </w:p>
    <w:p>
      <w:pPr>
        <w:pStyle w:val="18"/>
        <w:spacing w:line="440" w:lineRule="exact"/>
        <w:ind w:firstLine="359" w:firstLineChars="171"/>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文件包括六个章节，各章的内容如下：</w:t>
      </w:r>
    </w:p>
    <w:p>
      <w:pPr>
        <w:pStyle w:val="18"/>
        <w:spacing w:line="440" w:lineRule="exact"/>
        <w:ind w:firstLine="718" w:firstLineChars="342"/>
        <w:rPr>
          <w:rFonts w:hAnsi="宋体"/>
          <w:color w:val="auto"/>
          <w:highlight w:val="none"/>
        </w:rPr>
      </w:pPr>
      <w:r>
        <w:rPr>
          <w:rFonts w:hint="eastAsia" w:hAnsi="宋体"/>
          <w:color w:val="auto"/>
          <w:highlight w:val="none"/>
        </w:rPr>
        <w:t>第一章  公告</w:t>
      </w:r>
    </w:p>
    <w:p>
      <w:pPr>
        <w:pStyle w:val="18"/>
        <w:spacing w:line="440" w:lineRule="exact"/>
        <w:ind w:firstLine="718" w:firstLineChars="342"/>
        <w:rPr>
          <w:rFonts w:hAnsi="宋体"/>
          <w:color w:val="auto"/>
          <w:highlight w:val="none"/>
        </w:rPr>
      </w:pPr>
      <w:r>
        <w:rPr>
          <w:rFonts w:hint="eastAsia" w:hAnsi="宋体"/>
          <w:color w:val="auto"/>
          <w:highlight w:val="none"/>
        </w:rPr>
        <w:t>第二章  项目需求一览表</w:t>
      </w:r>
    </w:p>
    <w:p>
      <w:pPr>
        <w:pStyle w:val="18"/>
        <w:spacing w:line="440" w:lineRule="exact"/>
        <w:ind w:firstLine="718" w:firstLineChars="342"/>
        <w:rPr>
          <w:rFonts w:hAnsi="宋体"/>
          <w:color w:val="auto"/>
          <w:highlight w:val="none"/>
        </w:rPr>
      </w:pPr>
      <w:r>
        <w:rPr>
          <w:rFonts w:hint="eastAsia" w:hAnsi="宋体"/>
          <w:color w:val="auto"/>
          <w:highlight w:val="none"/>
        </w:rPr>
        <w:t>第三章  评标方法</w:t>
      </w:r>
    </w:p>
    <w:p>
      <w:pPr>
        <w:pStyle w:val="18"/>
        <w:spacing w:line="440" w:lineRule="exact"/>
        <w:ind w:firstLine="718" w:firstLineChars="342"/>
        <w:rPr>
          <w:rFonts w:hAnsi="宋体"/>
          <w:color w:val="auto"/>
          <w:highlight w:val="none"/>
        </w:rPr>
      </w:pPr>
      <w:r>
        <w:rPr>
          <w:rFonts w:hint="eastAsia" w:hAnsi="宋体"/>
          <w:color w:val="auto"/>
          <w:highlight w:val="none"/>
        </w:rPr>
        <w:t>第四章  投标人须知</w:t>
      </w:r>
    </w:p>
    <w:p>
      <w:pPr>
        <w:pStyle w:val="18"/>
        <w:spacing w:line="440" w:lineRule="exact"/>
        <w:ind w:firstLine="718" w:firstLineChars="342"/>
        <w:rPr>
          <w:rFonts w:hAnsi="宋体"/>
          <w:color w:val="auto"/>
          <w:highlight w:val="none"/>
        </w:rPr>
      </w:pPr>
      <w:r>
        <w:rPr>
          <w:rFonts w:hint="eastAsia" w:hAnsi="宋体"/>
          <w:color w:val="auto"/>
          <w:highlight w:val="none"/>
        </w:rPr>
        <w:t>第五章  投标文件格式</w:t>
      </w:r>
    </w:p>
    <w:p>
      <w:pPr>
        <w:pStyle w:val="18"/>
        <w:spacing w:line="440" w:lineRule="exact"/>
        <w:ind w:firstLine="718" w:firstLineChars="342"/>
        <w:rPr>
          <w:rFonts w:hAnsi="宋体"/>
          <w:color w:val="auto"/>
          <w:highlight w:val="none"/>
        </w:rPr>
      </w:pPr>
      <w:r>
        <w:rPr>
          <w:rFonts w:hint="eastAsia" w:hAnsi="宋体"/>
          <w:color w:val="auto"/>
          <w:highlight w:val="none"/>
        </w:rPr>
        <w:t>第六章  合同条款及格式</w:t>
      </w:r>
    </w:p>
    <w:p>
      <w:pPr>
        <w:pStyle w:val="18"/>
        <w:spacing w:line="440" w:lineRule="exact"/>
        <w:ind w:firstLine="718" w:firstLineChars="342"/>
        <w:rPr>
          <w:rFonts w:hAnsi="宋体"/>
          <w:color w:val="auto"/>
          <w:highlight w:val="none"/>
        </w:rPr>
      </w:pPr>
      <w:r>
        <w:rPr>
          <w:rFonts w:hint="eastAsia" w:hAnsi="宋体"/>
          <w:bCs/>
          <w:color w:val="auto"/>
          <w:szCs w:val="21"/>
          <w:highlight w:val="none"/>
        </w:rPr>
        <w:t xml:space="preserve">第七章  质疑材料格式 </w:t>
      </w:r>
    </w:p>
    <w:p>
      <w:pPr>
        <w:pStyle w:val="18"/>
        <w:spacing w:line="440" w:lineRule="exact"/>
        <w:ind w:firstLine="359" w:firstLineChars="171"/>
        <w:rPr>
          <w:rFonts w:hAnsi="宋体"/>
          <w:color w:val="auto"/>
          <w:highlight w:val="none"/>
        </w:rPr>
      </w:pPr>
      <w:r>
        <w:rPr>
          <w:rFonts w:hint="eastAsia" w:hAnsi="宋体"/>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8"/>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18"/>
        <w:spacing w:after="165"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18"/>
        <w:spacing w:line="440" w:lineRule="exact"/>
        <w:ind w:left="2" w:firstLine="360"/>
        <w:rPr>
          <w:rFonts w:hAnsi="宋体"/>
          <w:color w:val="auto"/>
          <w:highlight w:val="none"/>
        </w:rPr>
      </w:pPr>
      <w:r>
        <w:rPr>
          <w:rFonts w:hint="eastAsia" w:hAnsi="宋体"/>
          <w:color w:val="auto"/>
          <w:highlight w:val="none"/>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hint="eastAsia" w:cs="宋体"/>
          <w:color w:val="auto"/>
          <w:kern w:val="0"/>
          <w:szCs w:val="21"/>
          <w:highlight w:val="none"/>
        </w:rPr>
        <w:t>同时，采购代理机构</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发布更正公告。如果澄清发出的时间距投标截止时间不足十五日，则相应延长投标截止时间。</w:t>
      </w:r>
    </w:p>
    <w:p>
      <w:pPr>
        <w:pStyle w:val="18"/>
        <w:spacing w:after="165" w:line="440" w:lineRule="exact"/>
        <w:ind w:left="2" w:firstLine="480"/>
        <w:rPr>
          <w:color w:val="auto"/>
          <w:highlight w:val="none"/>
        </w:rPr>
      </w:pPr>
      <w:r>
        <w:rPr>
          <w:rFonts w:hint="eastAsia" w:hAnsi="宋体"/>
          <w:color w:val="auto"/>
          <w:highlight w:val="none"/>
        </w:rPr>
        <w:t>7.3  采购人或采购代理机构</w:t>
      </w:r>
      <w:r>
        <w:rPr>
          <w:rFonts w:hint="eastAsia"/>
          <w:color w:val="auto"/>
          <w:highlight w:val="none"/>
        </w:rPr>
        <w:t>对已发出的招标文件进行必要修改的，应在投标截止时间十五日前，以书面形式通知所有招标文件收受人；同时，采购代理机构在</w:t>
      </w:r>
      <w:r>
        <w:rPr>
          <w:rFonts w:hint="eastAsia" w:cs="宋体"/>
          <w:color w:val="auto"/>
          <w:kern w:val="0"/>
          <w:szCs w:val="21"/>
          <w:highlight w:val="none"/>
        </w:rPr>
        <w:t>本章第2.1项规定的政府采购信息发布媒体上</w:t>
      </w:r>
      <w:r>
        <w:rPr>
          <w:rFonts w:hint="eastAsia"/>
          <w:color w:val="auto"/>
          <w:highlight w:val="none"/>
        </w:rPr>
        <w:t>发布更正公告。如果修改招标文件的时间距投标截止时间不足十五日，则相应延长投标截止时间。</w:t>
      </w:r>
    </w:p>
    <w:p>
      <w:pPr>
        <w:pStyle w:val="18"/>
        <w:spacing w:line="440" w:lineRule="exact"/>
        <w:ind w:left="2" w:firstLine="360"/>
        <w:rPr>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采购人和采购代理机构可以视采购具体情况，延长投标截止时间和开标时间，但至少应当在投标截止时间三日前，将变更时间书面通知所有招标文件收受人。</w:t>
      </w:r>
      <w:r>
        <w:rPr>
          <w:rFonts w:hint="eastAsia" w:cs="宋体"/>
          <w:color w:val="auto"/>
          <w:kern w:val="0"/>
          <w:szCs w:val="21"/>
          <w:highlight w:val="none"/>
        </w:rPr>
        <w:t>同时，采购代理机构</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发布变更公告。</w:t>
      </w:r>
    </w:p>
    <w:p>
      <w:pPr>
        <w:pStyle w:val="18"/>
        <w:spacing w:line="440" w:lineRule="exact"/>
        <w:ind w:left="2" w:firstLine="360"/>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0" w:name="_Toc401396877"/>
      <w:bookmarkStart w:id="61" w:name="_Toc213326418"/>
      <w:bookmarkStart w:id="62" w:name="_Toc22920"/>
      <w:r>
        <w:rPr>
          <w:rFonts w:hint="eastAsia" w:ascii="Times New Roman" w:hAnsi="Times New Roman"/>
          <w:b/>
          <w:color w:val="auto"/>
          <w:sz w:val="30"/>
          <w:szCs w:val="30"/>
          <w:highlight w:val="none"/>
        </w:rPr>
        <w:t>三    投标文件</w:t>
      </w:r>
      <w:bookmarkEnd w:id="60"/>
      <w:bookmarkEnd w:id="61"/>
      <w:bookmarkEnd w:id="62"/>
    </w:p>
    <w:p>
      <w:pPr>
        <w:pStyle w:val="18"/>
        <w:spacing w:line="440" w:lineRule="exact"/>
        <w:rPr>
          <w:rFonts w:hAnsi="宋体"/>
          <w:bCs/>
          <w:color w:val="auto"/>
          <w:sz w:val="24"/>
          <w:highlight w:val="none"/>
        </w:rPr>
      </w:pPr>
      <w:r>
        <w:rPr>
          <w:rFonts w:hint="eastAsia" w:hAnsi="宋体"/>
          <w:bCs/>
          <w:color w:val="auto"/>
          <w:sz w:val="24"/>
          <w:highlight w:val="none"/>
        </w:rPr>
        <w:t>8.  投标文件的编制</w:t>
      </w:r>
    </w:p>
    <w:p>
      <w:pPr>
        <w:pStyle w:val="18"/>
        <w:spacing w:line="440" w:lineRule="exact"/>
        <w:ind w:left="2" w:firstLine="360"/>
        <w:rPr>
          <w:rFonts w:hAnsi="宋体"/>
          <w:color w:val="auto"/>
          <w:highlight w:val="none"/>
        </w:rPr>
      </w:pPr>
      <w:r>
        <w:rPr>
          <w:rFonts w:hint="eastAsia" w:hAnsi="宋体"/>
          <w:color w:val="auto"/>
          <w:highlight w:val="none"/>
        </w:rPr>
        <w:t>8.1  投标人应仔细阅读招标文件，在充分了解招标的内容、技术参数要求和商务条款以及实质性要求和条件后，编写投标文件。</w:t>
      </w:r>
    </w:p>
    <w:p>
      <w:pPr>
        <w:pStyle w:val="18"/>
        <w:spacing w:line="440" w:lineRule="exact"/>
        <w:ind w:left="2" w:firstLine="360"/>
        <w:rPr>
          <w:color w:val="auto"/>
          <w:highlight w:val="none"/>
        </w:rPr>
      </w:pPr>
      <w:r>
        <w:rPr>
          <w:rFonts w:hint="eastAsia" w:hAnsi="宋体"/>
          <w:color w:val="auto"/>
          <w:highlight w:val="none"/>
        </w:rPr>
        <w:t>8.2  对招标文件的实质性要求和条件作出响应是指投标人必须对招标文件中标注为实质性要求和条件的技术参数要求、商务条款及其它内容</w:t>
      </w:r>
      <w:r>
        <w:rPr>
          <w:rFonts w:hint="eastAsia"/>
          <w:b/>
          <w:color w:val="auto"/>
          <w:highlight w:val="none"/>
        </w:rPr>
        <w:t>作出满足或者优于原要求和条件的承诺</w:t>
      </w:r>
      <w:r>
        <w:rPr>
          <w:rFonts w:hint="eastAsia"/>
          <w:color w:val="auto"/>
          <w:highlight w:val="none"/>
        </w:rPr>
        <w:t>。</w:t>
      </w:r>
    </w:p>
    <w:p>
      <w:pPr>
        <w:pStyle w:val="18"/>
        <w:spacing w:line="440" w:lineRule="exact"/>
        <w:ind w:left="2" w:firstLine="360"/>
        <w:rPr>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招标文件中标注★号的内容为实质性要求和条件。未标注★号的内容</w:t>
      </w:r>
      <w:r>
        <w:rPr>
          <w:rFonts w:hint="eastAsia"/>
          <w:color w:val="auto"/>
          <w:szCs w:val="21"/>
          <w:highlight w:val="none"/>
        </w:rPr>
        <w:t>超过3项</w:t>
      </w:r>
      <w:r>
        <w:rPr>
          <w:rFonts w:hint="eastAsia"/>
          <w:color w:val="auto"/>
          <w:highlight w:val="none"/>
        </w:rPr>
        <w:t>不满足将视为投标无效。</w:t>
      </w:r>
    </w:p>
    <w:p>
      <w:pPr>
        <w:pStyle w:val="18"/>
        <w:spacing w:line="440" w:lineRule="exact"/>
        <w:ind w:left="2" w:firstLine="36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440" w:lineRule="exact"/>
        <w:ind w:left="2" w:firstLine="36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18"/>
        <w:spacing w:line="440" w:lineRule="exact"/>
        <w:ind w:left="2" w:firstLine="360"/>
        <w:rPr>
          <w:rFonts w:hAnsi="宋体"/>
          <w:color w:val="auto"/>
          <w:highlight w:val="none"/>
        </w:rPr>
      </w:pPr>
      <w:r>
        <w:rPr>
          <w:rFonts w:hint="eastAsia" w:hAnsi="宋体"/>
          <w:color w:val="auto"/>
          <w:highlight w:val="none"/>
        </w:rPr>
        <w:t>8.6  投标文件应尽量避免涂改、行间插字或删除。如果出现上述情况，改动之处应加盖单位公章或由投标人的法定代表人或其委托代理人签字或盖章确认。</w:t>
      </w:r>
    </w:p>
    <w:p>
      <w:pPr>
        <w:pStyle w:val="18"/>
        <w:spacing w:line="440" w:lineRule="exact"/>
        <w:ind w:left="2" w:firstLine="360"/>
        <w:rPr>
          <w:rFonts w:hAnsi="宋体"/>
          <w:color w:val="auto"/>
          <w:highlight w:val="none"/>
        </w:rPr>
      </w:pPr>
      <w:r>
        <w:rPr>
          <w:rFonts w:hint="eastAsia" w:hAnsi="宋体"/>
          <w:color w:val="auto"/>
          <w:highlight w:val="none"/>
        </w:rPr>
        <w:t>8.7  投标文件应编制目录，且页码清晰准确。</w:t>
      </w:r>
    </w:p>
    <w:p>
      <w:pPr>
        <w:pStyle w:val="18"/>
        <w:spacing w:line="440" w:lineRule="exact"/>
        <w:ind w:left="2" w:firstLine="360"/>
        <w:rPr>
          <w:color w:val="auto"/>
          <w:highlight w:val="none"/>
        </w:rPr>
      </w:pPr>
      <w:r>
        <w:rPr>
          <w:rFonts w:hint="eastAsia" w:hAnsi="宋体"/>
          <w:color w:val="auto"/>
          <w:highlight w:val="none"/>
        </w:rPr>
        <w:t>8.8  投标文件的</w:t>
      </w:r>
      <w:r>
        <w:rPr>
          <w:rFonts w:hint="eastAsia"/>
          <w:color w:val="auto"/>
          <w:highlight w:val="none"/>
        </w:rPr>
        <w:t>正本和副本应分别装订成册，封面上应清楚地标记“正本”或“副本”字样，并标明项目名称、项目编号、投标人名称及地址等内容。副本可以采用正本的复印件，当副本和正本不一致时，以正本为准。投标人应准备报价文件正本、资格文件正本、技术文件正本、商务文件正本各一份，副本份数见投标人须知前附表。</w:t>
      </w:r>
    </w:p>
    <w:p>
      <w:pPr>
        <w:pStyle w:val="18"/>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18"/>
        <w:spacing w:line="440" w:lineRule="exact"/>
        <w:ind w:firstLine="420" w:firstLineChars="200"/>
        <w:rPr>
          <w:rFonts w:hAnsi="宋体"/>
          <w:bCs/>
          <w:color w:val="auto"/>
          <w:sz w:val="24"/>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18"/>
        <w:spacing w:line="440" w:lineRule="exact"/>
        <w:ind w:firstLine="420" w:firstLineChars="200"/>
        <w:rPr>
          <w:rFonts w:hAnsi="宋体"/>
          <w:bCs/>
          <w:color w:val="auto"/>
          <w:sz w:val="24"/>
          <w:highlight w:val="none"/>
        </w:rPr>
      </w:pPr>
      <w:r>
        <w:rPr>
          <w:rFonts w:hint="eastAsia" w:hAnsi="宋体"/>
          <w:color w:val="auto"/>
          <w:highlight w:val="none"/>
        </w:rPr>
        <w:t>9.2  对不同文字文本投标文件的解释发生异议的，以中文文本为准。</w:t>
      </w:r>
    </w:p>
    <w:p>
      <w:pPr>
        <w:pStyle w:val="18"/>
        <w:spacing w:line="440" w:lineRule="exact"/>
        <w:ind w:firstLine="420" w:firstLineChars="200"/>
        <w:rPr>
          <w:rFonts w:hAnsi="宋体"/>
          <w:bCs/>
          <w:color w:val="auto"/>
          <w:sz w:val="24"/>
          <w:highlight w:val="none"/>
        </w:rPr>
      </w:pPr>
      <w:r>
        <w:rPr>
          <w:rFonts w:hint="eastAsia" w:hAnsi="宋体"/>
          <w:color w:val="auto"/>
          <w:highlight w:val="none"/>
        </w:rPr>
        <w:t>9.3  投标文件使用的计量单位除招标文件中有特殊规定外，一律使用中华人民共和国法定计量单位。</w:t>
      </w:r>
    </w:p>
    <w:p>
      <w:pPr>
        <w:pStyle w:val="18"/>
        <w:spacing w:line="440" w:lineRule="exact"/>
        <w:rPr>
          <w:rFonts w:hAnsi="宋体"/>
          <w:bCs/>
          <w:color w:val="auto"/>
          <w:sz w:val="24"/>
          <w:highlight w:val="none"/>
        </w:rPr>
      </w:pPr>
      <w:r>
        <w:rPr>
          <w:rFonts w:hint="eastAsia" w:hAnsi="宋体"/>
          <w:bCs/>
          <w:color w:val="auto"/>
          <w:sz w:val="24"/>
          <w:highlight w:val="none"/>
        </w:rPr>
        <w:t>10.  投标文件的组成</w:t>
      </w:r>
    </w:p>
    <w:p>
      <w:pPr>
        <w:pStyle w:val="18"/>
        <w:spacing w:line="440" w:lineRule="exact"/>
        <w:ind w:firstLine="360"/>
        <w:rPr>
          <w:rFonts w:hAnsi="宋体"/>
          <w:color w:val="auto"/>
          <w:highlight w:val="none"/>
        </w:rPr>
      </w:pPr>
      <w:r>
        <w:rPr>
          <w:rFonts w:hint="eastAsia" w:hAnsi="宋体"/>
          <w:color w:val="auto"/>
          <w:highlight w:val="none"/>
        </w:rPr>
        <w:t>10.1  投标人需编制的投标文件包括报价文件、</w:t>
      </w:r>
      <w:r>
        <w:rPr>
          <w:rFonts w:hint="eastAsia"/>
          <w:color w:val="auto"/>
          <w:highlight w:val="none"/>
        </w:rPr>
        <w:t>资格文件正本、</w:t>
      </w:r>
      <w:r>
        <w:rPr>
          <w:rFonts w:hint="eastAsia" w:hAnsi="宋体"/>
          <w:color w:val="auto"/>
          <w:highlight w:val="none"/>
        </w:rPr>
        <w:t>技术文件和商务文件四部分，投标人应按下列说明编写和提交。应递交的有关文件如未特别注明为原件的，可提交复印件，注明必须提交的应按规定递交，否则视为投标无效。</w:t>
      </w:r>
    </w:p>
    <w:p>
      <w:pPr>
        <w:pStyle w:val="18"/>
        <w:spacing w:line="440" w:lineRule="exact"/>
        <w:ind w:firstLine="360"/>
        <w:rPr>
          <w:rFonts w:hAnsi="宋体"/>
          <w:color w:val="auto"/>
          <w:highlight w:val="none"/>
        </w:rPr>
      </w:pPr>
      <w:r>
        <w:rPr>
          <w:rFonts w:hint="eastAsia" w:hAnsi="宋体"/>
          <w:color w:val="auto"/>
          <w:highlight w:val="none"/>
        </w:rPr>
        <w:t>10.1.1  报价文件组成要求，包括：</w:t>
      </w:r>
    </w:p>
    <w:p>
      <w:pPr>
        <w:pStyle w:val="18"/>
        <w:numPr>
          <w:ilvl w:val="0"/>
          <w:numId w:val="11"/>
        </w:numPr>
        <w:spacing w:line="440" w:lineRule="exact"/>
        <w:rPr>
          <w:rFonts w:hAnsi="宋体"/>
          <w:color w:val="auto"/>
          <w:highlight w:val="none"/>
        </w:rPr>
      </w:pPr>
      <w:r>
        <w:rPr>
          <w:rFonts w:hint="eastAsia" w:hAnsi="宋体"/>
          <w:color w:val="auto"/>
          <w:highlight w:val="none"/>
        </w:rPr>
        <w:t>投标函：按第五章“投标文件格式”提供的“投标函（格式）”的要求填写；</w:t>
      </w:r>
    </w:p>
    <w:p>
      <w:pPr>
        <w:pStyle w:val="18"/>
        <w:spacing w:line="440" w:lineRule="exact"/>
        <w:ind w:firstLine="360"/>
        <w:rPr>
          <w:rFonts w:hAnsi="宋体"/>
          <w:color w:val="auto"/>
          <w:highlight w:val="none"/>
        </w:rPr>
      </w:pPr>
      <w:r>
        <w:rPr>
          <w:rFonts w:hint="eastAsia" w:hAnsi="宋体"/>
          <w:color w:val="auto"/>
          <w:highlight w:val="none"/>
        </w:rPr>
        <w:t>（2）开标一览表：按第五章“投标文件格式”提供的“开标一览表（格式）”的要求填写。</w:t>
      </w:r>
    </w:p>
    <w:p>
      <w:pPr>
        <w:pStyle w:val="18"/>
        <w:spacing w:line="440" w:lineRule="exact"/>
        <w:ind w:firstLine="360"/>
        <w:rPr>
          <w:rFonts w:hAnsi="宋体"/>
          <w:color w:val="auto"/>
          <w:highlight w:val="none"/>
        </w:rPr>
      </w:pPr>
      <w:r>
        <w:rPr>
          <w:rFonts w:hint="eastAsia" w:hAnsi="宋体"/>
          <w:color w:val="auto"/>
          <w:highlight w:val="none"/>
        </w:rPr>
        <w:t>（3）中小企业声明函：按第五章“投标文件格式”提供的“中小企业声明函（格式）”的要求填写；</w:t>
      </w:r>
    </w:p>
    <w:p>
      <w:pPr>
        <w:pStyle w:val="18"/>
        <w:spacing w:line="440" w:lineRule="exact"/>
        <w:ind w:firstLine="315" w:firstLineChars="150"/>
        <w:rPr>
          <w:rFonts w:hAnsi="宋体"/>
          <w:color w:val="auto"/>
          <w:highlight w:val="none"/>
        </w:rPr>
      </w:pPr>
      <w:r>
        <w:rPr>
          <w:rFonts w:hint="eastAsia" w:hAnsi="宋体"/>
          <w:color w:val="auto"/>
          <w:highlight w:val="none"/>
        </w:rPr>
        <w:t>（4）监狱企业证明：提供由省级以上监狱管理局、戒毒管理局（含新疆生产建设兵团）出具的属于监狱企业的证明文件。</w:t>
      </w:r>
    </w:p>
    <w:p>
      <w:pPr>
        <w:pStyle w:val="18"/>
        <w:spacing w:line="440" w:lineRule="exact"/>
        <w:ind w:firstLine="412"/>
        <w:rPr>
          <w:rFonts w:hAnsi="宋体"/>
          <w:color w:val="auto"/>
          <w:highlight w:val="none"/>
        </w:rPr>
      </w:pPr>
      <w:r>
        <w:rPr>
          <w:rFonts w:hint="eastAsia" w:hAnsi="宋体"/>
          <w:color w:val="auto"/>
          <w:highlight w:val="none"/>
        </w:rPr>
        <w:t>（5）残疾人福利性单位声明函：按第五章“投标文件格式”提供的“残疾人福利性单位声明函（格式）”的要求填写。</w:t>
      </w:r>
    </w:p>
    <w:p>
      <w:pPr>
        <w:pStyle w:val="18"/>
        <w:spacing w:line="440" w:lineRule="exact"/>
        <w:ind w:firstLine="422" w:firstLineChars="200"/>
        <w:rPr>
          <w:rFonts w:hAnsi="宋体"/>
          <w:b/>
          <w:color w:val="auto"/>
          <w:highlight w:val="none"/>
        </w:rPr>
      </w:pPr>
      <w:r>
        <w:rPr>
          <w:rFonts w:hint="eastAsia" w:hAnsi="宋体"/>
          <w:b/>
          <w:color w:val="auto"/>
          <w:highlight w:val="none"/>
        </w:rPr>
        <w:t>报价文件中的第（1）（2）项必须加盖投标单位公章提交，否则投标无效；第（3）～（5）项如有请提交。</w:t>
      </w:r>
    </w:p>
    <w:p>
      <w:pPr>
        <w:pStyle w:val="18"/>
        <w:numPr>
          <w:ilvl w:val="2"/>
          <w:numId w:val="12"/>
        </w:numPr>
        <w:spacing w:line="440" w:lineRule="exact"/>
        <w:jc w:val="left"/>
        <w:rPr>
          <w:rFonts w:hAnsi="宋体"/>
          <w:color w:val="auto"/>
          <w:highlight w:val="none"/>
        </w:rPr>
      </w:pPr>
      <w:r>
        <w:rPr>
          <w:rFonts w:hint="eastAsia" w:hAnsi="宋体"/>
          <w:color w:val="auto"/>
          <w:highlight w:val="none"/>
        </w:rPr>
        <w:t xml:space="preserve"> 资格文件组成要求，包括：</w:t>
      </w:r>
    </w:p>
    <w:p>
      <w:pPr>
        <w:pStyle w:val="18"/>
        <w:spacing w:line="440" w:lineRule="exact"/>
        <w:ind w:firstLine="420" w:firstLineChars="200"/>
        <w:jc w:val="left"/>
        <w:rPr>
          <w:rFonts w:hAnsi="宋体"/>
          <w:color w:val="auto"/>
          <w:highlight w:val="none"/>
        </w:rPr>
      </w:pPr>
      <w:r>
        <w:rPr>
          <w:rFonts w:hint="eastAsia" w:hAnsi="宋体"/>
          <w:color w:val="auto"/>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8"/>
        <w:spacing w:line="440" w:lineRule="exact"/>
        <w:ind w:firstLine="420" w:firstLineChars="200"/>
        <w:jc w:val="left"/>
        <w:rPr>
          <w:rFonts w:hAnsi="宋体"/>
          <w:color w:val="auto"/>
          <w:highlight w:val="none"/>
        </w:rPr>
      </w:pPr>
      <w:r>
        <w:rPr>
          <w:rFonts w:hint="eastAsia" w:hAnsi="宋体"/>
          <w:color w:val="auto"/>
          <w:highlight w:val="none"/>
        </w:rPr>
        <w:t>（2）</w:t>
      </w:r>
      <w:r>
        <w:rPr>
          <w:rFonts w:hint="eastAsia" w:hAnsi="宋体"/>
          <w:color w:val="auto"/>
          <w:szCs w:val="21"/>
          <w:highlight w:val="none"/>
        </w:rPr>
        <w:t>投标人有效的“营业执照”副本复印件</w:t>
      </w:r>
      <w:r>
        <w:rPr>
          <w:rFonts w:hint="eastAsia" w:hAnsi="宋体"/>
          <w:color w:val="auto"/>
          <w:highlight w:val="none"/>
        </w:rPr>
        <w:t>，原件备查；</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8"/>
        <w:spacing w:line="440" w:lineRule="exact"/>
        <w:ind w:firstLine="422" w:firstLineChars="200"/>
        <w:jc w:val="left"/>
        <w:rPr>
          <w:rFonts w:hAnsi="宋体"/>
          <w:color w:val="auto"/>
          <w:highlight w:val="none"/>
        </w:rPr>
      </w:pPr>
      <w:r>
        <w:rPr>
          <w:rFonts w:hint="eastAsia" w:hAnsi="宋体"/>
          <w:b/>
          <w:color w:val="auto"/>
          <w:highlight w:val="none"/>
        </w:rPr>
        <w:t>资格文件组成要求的第（1）～（3）项必须加盖投标单位公章提交，否则投标无效。</w:t>
      </w:r>
    </w:p>
    <w:p>
      <w:pPr>
        <w:pStyle w:val="18"/>
        <w:spacing w:line="440" w:lineRule="exact"/>
        <w:ind w:firstLine="360"/>
        <w:rPr>
          <w:rFonts w:hAnsi="宋体"/>
          <w:b/>
          <w:bCs/>
          <w:color w:val="auto"/>
          <w:highlight w:val="none"/>
        </w:rPr>
      </w:pPr>
      <w:r>
        <w:rPr>
          <w:rFonts w:hint="eastAsia" w:hAnsi="宋体"/>
          <w:color w:val="auto"/>
          <w:highlight w:val="none"/>
        </w:rPr>
        <w:t>10.1.3  技术文件组成要求，包括：</w:t>
      </w:r>
    </w:p>
    <w:p>
      <w:pPr>
        <w:pStyle w:val="18"/>
        <w:spacing w:line="440" w:lineRule="exact"/>
        <w:ind w:firstLine="720"/>
        <w:rPr>
          <w:rFonts w:hAnsi="宋体"/>
          <w:color w:val="auto"/>
          <w:highlight w:val="none"/>
        </w:rPr>
      </w:pPr>
      <w:r>
        <w:rPr>
          <w:rFonts w:hint="eastAsia" w:hAnsi="宋体"/>
          <w:color w:val="auto"/>
          <w:highlight w:val="none"/>
        </w:rPr>
        <w:t>（1）投标服务技术资料表：按第五章“投标文件格式”提供的“投标服务技术资料表（格式）”的要求填写；</w:t>
      </w:r>
    </w:p>
    <w:p>
      <w:pPr>
        <w:pStyle w:val="18"/>
        <w:spacing w:line="440" w:lineRule="exact"/>
        <w:ind w:firstLine="720"/>
        <w:rPr>
          <w:rFonts w:hAnsi="宋体"/>
          <w:color w:val="auto"/>
          <w:highlight w:val="none"/>
        </w:rPr>
      </w:pPr>
      <w:r>
        <w:rPr>
          <w:rFonts w:hint="eastAsia" w:hAnsi="宋体"/>
          <w:color w:val="auto"/>
          <w:highlight w:val="none"/>
        </w:rPr>
        <w:t>（2）“第三章 评标办法”中涉及需要提供的相关技术方案（可以是课程建设技术方案</w:t>
      </w:r>
      <w:r>
        <w:rPr>
          <w:rFonts w:hint="eastAsia" w:hAnsi="宋体"/>
          <w:color w:val="auto"/>
          <w:highlight w:val="none"/>
          <w:lang w:val="en-US" w:eastAsia="zh-CN"/>
        </w:rPr>
        <w:t>或</w:t>
      </w:r>
      <w:r>
        <w:rPr>
          <w:rFonts w:hint="eastAsia" w:hAnsi="宋体"/>
          <w:color w:val="auto"/>
          <w:highlight w:val="none"/>
        </w:rPr>
        <w:t>服务实施方案</w:t>
      </w:r>
      <w:r>
        <w:rPr>
          <w:rFonts w:hint="eastAsia" w:hAnsi="宋体"/>
          <w:color w:val="auto"/>
          <w:highlight w:val="none"/>
          <w:lang w:val="en-US" w:eastAsia="zh-CN"/>
        </w:rPr>
        <w:t>或</w:t>
      </w:r>
      <w:r>
        <w:rPr>
          <w:rFonts w:hint="eastAsia" w:hAnsi="宋体"/>
          <w:color w:val="auto"/>
          <w:highlight w:val="none"/>
        </w:rPr>
        <w:t>人才培养方案或项目建设计划书</w:t>
      </w:r>
      <w:r>
        <w:rPr>
          <w:rFonts w:hint="eastAsia" w:hAnsi="宋体"/>
          <w:color w:val="auto"/>
          <w:highlight w:val="none"/>
          <w:lang w:val="en-US" w:eastAsia="zh-CN"/>
        </w:rPr>
        <w:t>等</w:t>
      </w:r>
      <w:r>
        <w:rPr>
          <w:rFonts w:hint="eastAsia" w:hAnsi="宋体"/>
          <w:color w:val="auto"/>
          <w:highlight w:val="none"/>
        </w:rPr>
        <w:t>），格式自拟；</w:t>
      </w:r>
    </w:p>
    <w:p>
      <w:pPr>
        <w:pStyle w:val="18"/>
        <w:spacing w:line="440" w:lineRule="exact"/>
        <w:ind w:firstLine="720"/>
        <w:rPr>
          <w:rFonts w:hAnsi="宋体"/>
          <w:color w:val="auto"/>
          <w:highlight w:val="none"/>
        </w:rPr>
      </w:pPr>
      <w:r>
        <w:rPr>
          <w:rFonts w:hint="eastAsia" w:hAnsi="宋体"/>
          <w:color w:val="auto"/>
          <w:highlight w:val="none"/>
        </w:rPr>
        <w:t>（3）其它：针对本项目所投标服务的主要技术指标、参数及性能的详细说明，相关的图纸、图片，产品有效检测和鉴定证明复印件，等等。</w:t>
      </w:r>
    </w:p>
    <w:p>
      <w:pPr>
        <w:pStyle w:val="18"/>
        <w:spacing w:line="440" w:lineRule="exact"/>
        <w:ind w:firstLine="420"/>
        <w:rPr>
          <w:rFonts w:hAnsi="宋体"/>
          <w:b/>
          <w:color w:val="auto"/>
          <w:highlight w:val="none"/>
        </w:rPr>
      </w:pPr>
      <w:r>
        <w:rPr>
          <w:rFonts w:hint="eastAsia" w:hAnsi="宋体"/>
          <w:b/>
          <w:color w:val="auto"/>
          <w:highlight w:val="none"/>
        </w:rPr>
        <w:t>其中，技术文件组成要求的第（1）项必须加盖投标单位公章提交，否则投标无效；技术文件要求的第（2）、（3）项如有请提交。</w:t>
      </w:r>
    </w:p>
    <w:p>
      <w:pPr>
        <w:pStyle w:val="18"/>
        <w:spacing w:line="440" w:lineRule="exact"/>
        <w:ind w:firstLine="360"/>
        <w:rPr>
          <w:rFonts w:hAnsi="宋体"/>
          <w:color w:val="auto"/>
          <w:highlight w:val="none"/>
        </w:rPr>
      </w:pPr>
      <w:r>
        <w:rPr>
          <w:rFonts w:hint="eastAsia" w:hAnsi="宋体"/>
          <w:color w:val="auto"/>
          <w:highlight w:val="none"/>
        </w:rPr>
        <w:t>10.1.4  商务文件组成要求，包括：</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r>
        <w:rPr>
          <w:rFonts w:hint="eastAsia" w:ascii="宋体" w:hAnsi="宋体" w:cs="宋体"/>
          <w:color w:val="auto"/>
          <w:kern w:val="0"/>
          <w:szCs w:val="21"/>
          <w:highlight w:val="none"/>
        </w:rPr>
        <w:t xml:space="preserve"> </w:t>
      </w:r>
      <w:r>
        <w:rPr>
          <w:rFonts w:hint="eastAsia" w:ascii="宋体" w:hAnsi="宋体"/>
          <w:color w:val="auto"/>
          <w:szCs w:val="21"/>
          <w:highlight w:val="none"/>
        </w:rPr>
        <w:t>；</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（3）商务条款偏离表：按第五章“投标文件格式”提供的“商务条款偏离表（格式）” 的要求填写；</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（4）售后服务方案（格式自拟）；</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（5）法定代表人授权委托书：按第五章“投标文件格式”提供的“法定代表人授权委托书（格式）”的要求填写；</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（7）财务会计报表复印件：投标人近一年的财务会计报表，包括资产负债表、现金流量表、利润表、财务情况说明书或审计报告；</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（8）其它：</w:t>
      </w:r>
      <w:r>
        <w:rPr>
          <w:rFonts w:hint="eastAsia" w:hAnsi="宋体"/>
          <w:color w:val="auto"/>
          <w:highlight w:val="none"/>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8"/>
        <w:spacing w:line="440" w:lineRule="exact"/>
        <w:ind w:firstLine="413" w:firstLineChars="196"/>
        <w:rPr>
          <w:rFonts w:hAnsi="宋体"/>
          <w:color w:val="auto"/>
          <w:highlight w:val="none"/>
        </w:rPr>
      </w:pPr>
      <w:r>
        <w:rPr>
          <w:rFonts w:hint="eastAsia" w:hAnsi="宋体"/>
          <w:b/>
          <w:color w:val="auto"/>
          <w:highlight w:val="none"/>
        </w:rPr>
        <w:t>商务文件中的第（3）项必须加盖投标单位公章提交，否则投标无效；第（5）、（6）项在委托代理时必须提交；第</w:t>
      </w:r>
      <w:r>
        <w:rPr>
          <w:rFonts w:hint="eastAsia" w:hAnsi="宋体"/>
          <w:b/>
          <w:color w:val="auto"/>
          <w:highlight w:val="none"/>
          <w:lang w:eastAsia="zh-CN"/>
        </w:rPr>
        <w:t>（</w:t>
      </w:r>
      <w:r>
        <w:rPr>
          <w:rFonts w:hint="eastAsia" w:hAnsi="宋体"/>
          <w:b/>
          <w:color w:val="auto"/>
          <w:highlight w:val="none"/>
          <w:lang w:val="en-US" w:eastAsia="zh-CN"/>
        </w:rPr>
        <w:t>1</w:t>
      </w:r>
      <w:r>
        <w:rPr>
          <w:rFonts w:hint="eastAsia" w:hAnsi="宋体"/>
          <w:b/>
          <w:color w:val="auto"/>
          <w:highlight w:val="none"/>
          <w:lang w:eastAsia="zh-CN"/>
        </w:rPr>
        <w:t>）、（</w:t>
      </w:r>
      <w:r>
        <w:rPr>
          <w:rFonts w:hint="eastAsia" w:hAnsi="宋体"/>
          <w:b/>
          <w:color w:val="auto"/>
          <w:highlight w:val="none"/>
          <w:lang w:val="en-US" w:eastAsia="zh-CN"/>
        </w:rPr>
        <w:t>2</w:t>
      </w:r>
      <w:r>
        <w:rPr>
          <w:rFonts w:hint="eastAsia" w:hAnsi="宋体"/>
          <w:b/>
          <w:color w:val="auto"/>
          <w:highlight w:val="none"/>
          <w:lang w:eastAsia="zh-CN"/>
        </w:rPr>
        <w:t>）、</w:t>
      </w:r>
      <w:r>
        <w:rPr>
          <w:rFonts w:hint="eastAsia" w:hAnsi="宋体"/>
          <w:b/>
          <w:color w:val="auto"/>
          <w:highlight w:val="none"/>
        </w:rPr>
        <w:t>（4）、（</w:t>
      </w:r>
      <w:r>
        <w:rPr>
          <w:rFonts w:hint="eastAsia" w:hAnsi="宋体"/>
          <w:b/>
          <w:color w:val="auto"/>
          <w:highlight w:val="none"/>
          <w:lang w:val="en-US" w:eastAsia="zh-CN"/>
        </w:rPr>
        <w:t>7</w:t>
      </w:r>
      <w:r>
        <w:rPr>
          <w:rFonts w:hint="eastAsia" w:hAnsi="宋体"/>
          <w:b/>
          <w:color w:val="auto"/>
          <w:highlight w:val="none"/>
        </w:rPr>
        <w:t>）</w:t>
      </w:r>
      <w:r>
        <w:rPr>
          <w:rFonts w:hint="eastAsia" w:hAnsi="宋体"/>
          <w:b/>
          <w:color w:val="auto"/>
          <w:highlight w:val="none"/>
          <w:lang w:eastAsia="zh-CN"/>
        </w:rPr>
        <w:t>、</w:t>
      </w:r>
      <w:r>
        <w:rPr>
          <w:rFonts w:hint="eastAsia" w:hAnsi="宋体"/>
          <w:b/>
          <w:color w:val="auto"/>
          <w:highlight w:val="none"/>
        </w:rPr>
        <w:t>（8）项如有请提交。</w:t>
      </w:r>
    </w:p>
    <w:p>
      <w:pPr>
        <w:pStyle w:val="18"/>
        <w:spacing w:line="440" w:lineRule="exact"/>
        <w:ind w:firstLine="360"/>
        <w:rPr>
          <w:rFonts w:hAnsi="宋体"/>
          <w:b/>
          <w:color w:val="auto"/>
          <w:highlight w:val="none"/>
        </w:rPr>
      </w:pPr>
      <w:r>
        <w:rPr>
          <w:rFonts w:hint="eastAsia" w:hAnsi="宋体"/>
          <w:color w:val="auto"/>
          <w:highlight w:val="none"/>
        </w:rPr>
        <w:t>10.2  投标人应编制目录，将报价文件、资格文件、技术文件和商务文件</w:t>
      </w:r>
      <w:r>
        <w:rPr>
          <w:rFonts w:hint="eastAsia" w:hAnsi="宋体"/>
          <w:b/>
          <w:color w:val="auto"/>
          <w:highlight w:val="none"/>
        </w:rPr>
        <w:t>分别装订成册</w:t>
      </w:r>
      <w:r>
        <w:rPr>
          <w:rFonts w:hint="eastAsia" w:hAnsi="宋体"/>
          <w:color w:val="auto"/>
          <w:highlight w:val="none"/>
        </w:rPr>
        <w:t>。</w:t>
      </w:r>
      <w:r>
        <w:rPr>
          <w:rFonts w:hint="eastAsia" w:hAnsi="宋体"/>
          <w:b/>
          <w:color w:val="auto"/>
          <w:highlight w:val="none"/>
        </w:rPr>
        <w:t>特别注意投标报价不得出现在资格文件、技术文件和商务文件中。</w:t>
      </w:r>
    </w:p>
    <w:p>
      <w:pPr>
        <w:pStyle w:val="18"/>
        <w:spacing w:line="440" w:lineRule="exact"/>
        <w:ind w:firstLine="360"/>
        <w:rPr>
          <w:rFonts w:hAnsi="宋体"/>
          <w:b/>
          <w:color w:val="auto"/>
          <w:highlight w:val="none"/>
        </w:rPr>
      </w:pPr>
      <w:r>
        <w:rPr>
          <w:rFonts w:hint="eastAsia" w:hAnsi="宋体"/>
          <w:b/>
          <w:color w:val="auto"/>
          <w:highlight w:val="none"/>
        </w:rPr>
        <w:t>10.2.1  上述文件应由投标人的法定代表人或其委托代理人在规定签章处签字并加盖单位公章。其中，法定代表人授权委托书必须有法定代表人签字及被授权人签字并加盖单位公章。未在规定签章处签字并加盖单位公章的，作投标无效处理。</w:t>
      </w:r>
    </w:p>
    <w:p>
      <w:pPr>
        <w:pStyle w:val="18"/>
        <w:spacing w:line="440" w:lineRule="exact"/>
        <w:rPr>
          <w:rFonts w:hAnsi="宋体"/>
          <w:bCs/>
          <w:color w:val="auto"/>
          <w:sz w:val="24"/>
          <w:highlight w:val="none"/>
        </w:rPr>
      </w:pPr>
      <w:r>
        <w:rPr>
          <w:rFonts w:hint="eastAsia" w:hAnsi="宋体"/>
          <w:bCs/>
          <w:color w:val="auto"/>
          <w:sz w:val="24"/>
          <w:highlight w:val="none"/>
        </w:rPr>
        <w:t>11.  投标报价</w:t>
      </w:r>
    </w:p>
    <w:p>
      <w:pPr>
        <w:pStyle w:val="18"/>
        <w:spacing w:line="440" w:lineRule="exact"/>
        <w:ind w:firstLine="360"/>
        <w:rPr>
          <w:rFonts w:hAnsi="宋体"/>
          <w:color w:val="auto"/>
          <w:highlight w:val="none"/>
        </w:rPr>
      </w:pPr>
      <w:r>
        <w:rPr>
          <w:rFonts w:hint="eastAsia" w:hAnsi="宋体"/>
          <w:color w:val="auto"/>
          <w:highlight w:val="none"/>
        </w:rPr>
        <w:t>11.1  投标人应以人民币报价。</w:t>
      </w:r>
    </w:p>
    <w:p>
      <w:pPr>
        <w:pStyle w:val="18"/>
        <w:spacing w:line="440" w:lineRule="exact"/>
        <w:ind w:firstLine="360"/>
        <w:rPr>
          <w:rFonts w:hAnsi="宋体"/>
          <w:color w:val="auto"/>
          <w:highlight w:val="none"/>
        </w:rPr>
      </w:pPr>
      <w:r>
        <w:rPr>
          <w:rFonts w:hint="eastAsia" w:hAnsi="宋体"/>
          <w:color w:val="auto"/>
          <w:highlight w:val="none"/>
        </w:rPr>
        <w:t>11.2  投标人可就第二章“</w:t>
      </w:r>
      <w:r>
        <w:rPr>
          <w:rFonts w:hint="eastAsia" w:hAnsi="宋体"/>
          <w:b/>
          <w:color w:val="auto"/>
          <w:highlight w:val="none"/>
        </w:rPr>
        <w:t>项目需求一览表</w:t>
      </w:r>
      <w:r>
        <w:rPr>
          <w:rFonts w:hint="eastAsia" w:hAnsi="宋体"/>
          <w:color w:val="auto"/>
          <w:highlight w:val="none"/>
        </w:rPr>
        <w:t>”中的</w:t>
      </w:r>
      <w:r>
        <w:rPr>
          <w:rFonts w:hint="eastAsia" w:hAnsi="宋体"/>
          <w:b/>
          <w:color w:val="auto"/>
          <w:highlight w:val="none"/>
        </w:rPr>
        <w:t>某一个分标内容报出完整且唯一报价，也可就某几个或所有分标内容分别报出完整且唯一报价，附带有条件的报价将不予接受。</w:t>
      </w:r>
    </w:p>
    <w:p>
      <w:pPr>
        <w:pStyle w:val="18"/>
        <w:spacing w:line="440" w:lineRule="exact"/>
        <w:ind w:firstLine="360"/>
        <w:rPr>
          <w:color w:val="auto"/>
          <w:highlight w:val="none"/>
        </w:rPr>
      </w:pPr>
      <w:r>
        <w:rPr>
          <w:rFonts w:hint="eastAsia" w:hAnsi="宋体"/>
          <w:color w:val="auto"/>
          <w:highlight w:val="none"/>
        </w:rPr>
        <w:t>11.3  投标报价为中标供应商履行合同的最终价格，合同实施过程中，</w:t>
      </w:r>
      <w:r>
        <w:rPr>
          <w:rFonts w:hint="eastAsia"/>
          <w:color w:val="auto"/>
          <w:highlight w:val="none"/>
        </w:rPr>
        <w:t>采购人</w:t>
      </w:r>
      <w:r>
        <w:rPr>
          <w:color w:val="auto"/>
          <w:highlight w:val="none"/>
        </w:rPr>
        <w:t>不再</w:t>
      </w:r>
      <w:r>
        <w:rPr>
          <w:rFonts w:hint="eastAsia"/>
          <w:color w:val="auto"/>
          <w:highlight w:val="none"/>
        </w:rPr>
        <w:t>向中标供应商</w:t>
      </w:r>
      <w:r>
        <w:rPr>
          <w:color w:val="auto"/>
          <w:highlight w:val="none"/>
        </w:rPr>
        <w:t>支付</w:t>
      </w:r>
      <w:r>
        <w:rPr>
          <w:rFonts w:hint="eastAsia"/>
          <w:color w:val="auto"/>
          <w:highlight w:val="none"/>
        </w:rPr>
        <w:t>其投标</w:t>
      </w:r>
      <w:r>
        <w:rPr>
          <w:color w:val="auto"/>
          <w:highlight w:val="none"/>
        </w:rPr>
        <w:t>报价之外的任何费用。</w:t>
      </w:r>
    </w:p>
    <w:p>
      <w:pPr>
        <w:pStyle w:val="18"/>
        <w:spacing w:line="440" w:lineRule="exact"/>
        <w:ind w:firstLine="360"/>
        <w:rPr>
          <w:color w:val="auto"/>
          <w:highlight w:val="none"/>
        </w:rPr>
      </w:pPr>
      <w:r>
        <w:rPr>
          <w:rFonts w:hint="eastAsia"/>
          <w:color w:val="auto"/>
          <w:highlight w:val="none"/>
        </w:rPr>
        <w:t>11.4  本项目中标服务费在</w:t>
      </w:r>
      <w:r>
        <w:rPr>
          <w:rFonts w:hint="eastAsia" w:hAnsi="宋体"/>
          <w:color w:val="auto"/>
          <w:highlight w:val="none"/>
        </w:rPr>
        <w:t>签订合同前，中标人应向采购代理机构一次付清代理服务费</w:t>
      </w:r>
      <w:r>
        <w:rPr>
          <w:rFonts w:hint="eastAsia"/>
          <w:color w:val="auto"/>
          <w:highlight w:val="none"/>
        </w:rPr>
        <w:t>。签订合同前，中标供应商须向采购代理机构一次付清代理服务费。</w:t>
      </w:r>
    </w:p>
    <w:p>
      <w:pPr>
        <w:pStyle w:val="18"/>
        <w:spacing w:line="440" w:lineRule="exact"/>
        <w:ind w:firstLine="360"/>
        <w:rPr>
          <w:color w:val="auto"/>
          <w:highlight w:val="none"/>
        </w:rPr>
      </w:pPr>
      <w:r>
        <w:rPr>
          <w:rFonts w:hint="eastAsia"/>
          <w:color w:val="auto"/>
          <w:highlight w:val="none"/>
        </w:rPr>
        <w:t>11.5  不论投标结果如何，投标人均应自行承担与编制和递交投标文件有关的全部费用。</w:t>
      </w:r>
    </w:p>
    <w:p>
      <w:pPr>
        <w:pStyle w:val="18"/>
        <w:spacing w:line="440" w:lineRule="exact"/>
        <w:rPr>
          <w:rFonts w:hAnsi="宋体"/>
          <w:bCs/>
          <w:color w:val="auto"/>
          <w:sz w:val="24"/>
          <w:highlight w:val="none"/>
        </w:rPr>
      </w:pPr>
      <w:r>
        <w:rPr>
          <w:rFonts w:hint="eastAsia" w:hAnsi="宋体"/>
          <w:bCs/>
          <w:color w:val="auto"/>
          <w:sz w:val="24"/>
          <w:highlight w:val="none"/>
        </w:rPr>
        <w:t>12.  投标有效期</w:t>
      </w:r>
    </w:p>
    <w:p>
      <w:pPr>
        <w:pStyle w:val="18"/>
        <w:spacing w:line="440" w:lineRule="exact"/>
        <w:ind w:firstLine="360"/>
        <w:rPr>
          <w:rFonts w:hAnsi="宋体"/>
          <w:color w:val="auto"/>
          <w:highlight w:val="none"/>
        </w:rPr>
      </w:pPr>
      <w:r>
        <w:rPr>
          <w:rFonts w:hint="eastAsia" w:hAnsi="宋体"/>
          <w:color w:val="auto"/>
          <w:highlight w:val="none"/>
        </w:rPr>
        <w:t>12.1  在投标人须知前附表规定的投标有效期内，投标人不得要求撤销或修改其投标文件。投标有效期不满足要求的投标将被视为非实质性响应投标而予以拒绝。</w:t>
      </w:r>
    </w:p>
    <w:p>
      <w:pPr>
        <w:pStyle w:val="18"/>
        <w:spacing w:line="440" w:lineRule="exact"/>
        <w:ind w:firstLine="360"/>
        <w:rPr>
          <w:rFonts w:hAnsi="宋体"/>
          <w:color w:val="auto"/>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18"/>
        <w:spacing w:line="440" w:lineRule="exact"/>
        <w:rPr>
          <w:rFonts w:hAnsi="宋体"/>
          <w:bCs/>
          <w:color w:val="auto"/>
          <w:sz w:val="24"/>
          <w:highlight w:val="none"/>
        </w:rPr>
      </w:pPr>
      <w:r>
        <w:rPr>
          <w:rFonts w:hint="eastAsia" w:hAnsi="宋体"/>
          <w:bCs/>
          <w:color w:val="auto"/>
          <w:sz w:val="24"/>
          <w:highlight w:val="none"/>
        </w:rPr>
        <w:t>13.  投标保证金</w:t>
      </w:r>
    </w:p>
    <w:p>
      <w:pPr>
        <w:pStyle w:val="18"/>
        <w:spacing w:line="440" w:lineRule="exact"/>
        <w:ind w:left="2" w:firstLine="417" w:firstLineChars="199"/>
        <w:rPr>
          <w:rFonts w:hAnsi="宋体"/>
          <w:color w:val="auto"/>
          <w:highlight w:val="none"/>
        </w:rPr>
      </w:pPr>
      <w:r>
        <w:rPr>
          <w:rFonts w:hint="eastAsia" w:hAnsi="宋体"/>
          <w:color w:val="auto"/>
          <w:highlight w:val="none"/>
        </w:rPr>
        <w:t>13.1本项目不收取投标保证金</w:t>
      </w:r>
    </w:p>
    <w:p>
      <w:pPr>
        <w:pStyle w:val="18"/>
        <w:tabs>
          <w:tab w:val="left" w:pos="0"/>
        </w:tabs>
        <w:spacing w:line="440" w:lineRule="exact"/>
        <w:ind w:firstLine="361" w:firstLineChars="171"/>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3" w:name="_Toc213326419"/>
      <w:bookmarkStart w:id="64" w:name="_Toc401396878"/>
    </w:p>
    <w:p>
      <w:pPr>
        <w:pStyle w:val="18"/>
        <w:spacing w:line="440" w:lineRule="exact"/>
        <w:jc w:val="center"/>
        <w:outlineLvl w:val="1"/>
        <w:rPr>
          <w:rFonts w:ascii="Times New Roman" w:hAnsi="Times New Roman"/>
          <w:b/>
          <w:color w:val="auto"/>
          <w:sz w:val="30"/>
          <w:szCs w:val="30"/>
          <w:highlight w:val="none"/>
        </w:rPr>
      </w:pPr>
      <w:bookmarkStart w:id="65" w:name="_Toc30576"/>
      <w:r>
        <w:rPr>
          <w:rFonts w:hint="eastAsia" w:ascii="Times New Roman" w:hAnsi="Times New Roman"/>
          <w:b/>
          <w:color w:val="auto"/>
          <w:sz w:val="30"/>
          <w:szCs w:val="30"/>
          <w:highlight w:val="none"/>
        </w:rPr>
        <w:t>四    投标</w:t>
      </w:r>
      <w:bookmarkEnd w:id="63"/>
      <w:bookmarkEnd w:id="64"/>
      <w:bookmarkEnd w:id="65"/>
    </w:p>
    <w:p>
      <w:pPr>
        <w:pStyle w:val="18"/>
        <w:spacing w:line="440" w:lineRule="exact"/>
        <w:rPr>
          <w:rFonts w:hAnsi="宋体"/>
          <w:bCs/>
          <w:color w:val="auto"/>
          <w:sz w:val="24"/>
          <w:highlight w:val="none"/>
        </w:rPr>
      </w:pPr>
      <w:r>
        <w:rPr>
          <w:rFonts w:hint="eastAsia" w:hAnsi="宋体"/>
          <w:bCs/>
          <w:color w:val="auto"/>
          <w:sz w:val="24"/>
          <w:highlight w:val="none"/>
        </w:rPr>
        <w:t>14.  投标文件的密封</w:t>
      </w:r>
    </w:p>
    <w:p>
      <w:pPr>
        <w:pStyle w:val="18"/>
        <w:spacing w:line="440" w:lineRule="exact"/>
        <w:ind w:firstLine="359" w:firstLineChars="171"/>
        <w:rPr>
          <w:rFonts w:hAnsi="宋体"/>
          <w:color w:val="auto"/>
          <w:highlight w:val="none"/>
        </w:rPr>
      </w:pPr>
      <w:r>
        <w:rPr>
          <w:rFonts w:hint="eastAsia" w:hAnsi="宋体"/>
          <w:color w:val="auto"/>
          <w:highlight w:val="none"/>
        </w:rPr>
        <w:t>14.1  投标人应将投标正、副本文件、电子版文件统一装入一个文件包装袋中加以密封。封口处必须加盖投标人单位公章或被授权人签字，以示密封。密封袋上应标明项目名称、项目编号、投标人名称和地址、及“在（开标日期、时间）之前不得启封”的字样。</w:t>
      </w:r>
    </w:p>
    <w:p>
      <w:pPr>
        <w:pStyle w:val="18"/>
        <w:spacing w:line="440" w:lineRule="exact"/>
        <w:ind w:firstLine="359" w:firstLineChars="171"/>
        <w:rPr>
          <w:rFonts w:hAnsi="宋体"/>
          <w:color w:val="auto"/>
          <w:highlight w:val="none"/>
        </w:rPr>
      </w:pPr>
      <w:r>
        <w:rPr>
          <w:rFonts w:hint="eastAsia" w:hAnsi="宋体"/>
          <w:color w:val="auto"/>
          <w:highlight w:val="none"/>
        </w:rPr>
        <w:t>如投标人未按上述要求密封及加写标记，其投标文件不予接收，并且采购人或采购代理机构对其投标文件的误投或过早启封概不负责。</w:t>
      </w:r>
    </w:p>
    <w:p>
      <w:pPr>
        <w:pStyle w:val="18"/>
        <w:spacing w:line="440" w:lineRule="exact"/>
        <w:rPr>
          <w:rFonts w:hAnsi="宋体"/>
          <w:bCs/>
          <w:color w:val="auto"/>
          <w:sz w:val="24"/>
          <w:highlight w:val="none"/>
        </w:rPr>
      </w:pPr>
      <w:r>
        <w:rPr>
          <w:rFonts w:hint="eastAsia" w:hAnsi="宋体"/>
          <w:bCs/>
          <w:color w:val="auto"/>
          <w:sz w:val="24"/>
          <w:highlight w:val="none"/>
        </w:rPr>
        <w:t>15.  投标文件及投标样品的递交</w:t>
      </w:r>
    </w:p>
    <w:p>
      <w:pPr>
        <w:pStyle w:val="18"/>
        <w:spacing w:line="440" w:lineRule="exact"/>
        <w:ind w:firstLine="360"/>
        <w:rPr>
          <w:rFonts w:hAnsi="宋体"/>
          <w:color w:val="auto"/>
          <w:highlight w:val="none"/>
        </w:rPr>
      </w:pPr>
      <w:r>
        <w:rPr>
          <w:rFonts w:hint="eastAsia" w:hAnsi="宋体"/>
          <w:color w:val="auto"/>
          <w:highlight w:val="none"/>
        </w:rPr>
        <w:t>15.1  投标人投标截止时间：见投标人须知前附表。</w:t>
      </w:r>
    </w:p>
    <w:p>
      <w:pPr>
        <w:pStyle w:val="18"/>
        <w:spacing w:line="440" w:lineRule="exact"/>
        <w:ind w:firstLine="360"/>
        <w:rPr>
          <w:rFonts w:hAnsi="宋体"/>
          <w:color w:val="auto"/>
          <w:highlight w:val="none"/>
        </w:rPr>
      </w:pPr>
      <w:r>
        <w:rPr>
          <w:rFonts w:hint="eastAsia" w:hAnsi="宋体"/>
          <w:color w:val="auto"/>
          <w:highlight w:val="none"/>
        </w:rPr>
        <w:t>15.2  投标人递交投标文件地点：见投标人须知前附表。</w:t>
      </w:r>
    </w:p>
    <w:p>
      <w:pPr>
        <w:pStyle w:val="18"/>
        <w:spacing w:line="440" w:lineRule="exact"/>
        <w:ind w:firstLine="360"/>
        <w:rPr>
          <w:rFonts w:hAnsi="宋体"/>
          <w:color w:val="auto"/>
          <w:highlight w:val="none"/>
        </w:rPr>
      </w:pPr>
      <w:r>
        <w:rPr>
          <w:rFonts w:hint="eastAsia" w:hAnsi="宋体"/>
          <w:color w:val="auto"/>
          <w:highlight w:val="none"/>
        </w:rPr>
        <w:t>15.3  投标人递交投标样品截止时间：见投标人须知前附表。</w:t>
      </w:r>
    </w:p>
    <w:p>
      <w:pPr>
        <w:pStyle w:val="18"/>
        <w:spacing w:line="440" w:lineRule="exact"/>
        <w:ind w:firstLine="360"/>
        <w:rPr>
          <w:rFonts w:hAnsi="宋体"/>
          <w:color w:val="auto"/>
          <w:highlight w:val="none"/>
        </w:rPr>
      </w:pPr>
      <w:r>
        <w:rPr>
          <w:rFonts w:hint="eastAsia" w:hAnsi="宋体"/>
          <w:color w:val="auto"/>
          <w:highlight w:val="none"/>
        </w:rPr>
        <w:t>15.4  投标人递交投标样品地点：见投标人须知前附表。</w:t>
      </w:r>
    </w:p>
    <w:p>
      <w:pPr>
        <w:pStyle w:val="18"/>
        <w:spacing w:line="440" w:lineRule="exact"/>
        <w:jc w:val="center"/>
        <w:rPr>
          <w:rFonts w:hAnsi="宋体"/>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6" w:name="_Toc213326420"/>
      <w:bookmarkStart w:id="67" w:name="_Toc12805"/>
      <w:bookmarkStart w:id="68" w:name="_Toc401396879"/>
      <w:r>
        <w:rPr>
          <w:rFonts w:hint="eastAsia" w:ascii="Times New Roman" w:hAnsi="Times New Roman"/>
          <w:b/>
          <w:color w:val="auto"/>
          <w:sz w:val="30"/>
          <w:szCs w:val="30"/>
          <w:highlight w:val="none"/>
        </w:rPr>
        <w:t>五    开标与评标</w:t>
      </w:r>
      <w:bookmarkEnd w:id="66"/>
      <w:bookmarkEnd w:id="67"/>
      <w:bookmarkEnd w:id="68"/>
    </w:p>
    <w:p>
      <w:pPr>
        <w:pStyle w:val="18"/>
        <w:spacing w:line="440" w:lineRule="exact"/>
        <w:rPr>
          <w:rFonts w:hAnsi="宋体"/>
          <w:bCs/>
          <w:color w:val="auto"/>
          <w:sz w:val="24"/>
          <w:highlight w:val="none"/>
        </w:rPr>
      </w:pPr>
      <w:r>
        <w:rPr>
          <w:rFonts w:hint="eastAsia" w:hAnsi="宋体"/>
          <w:bCs/>
          <w:color w:val="auto"/>
          <w:sz w:val="24"/>
          <w:highlight w:val="none"/>
        </w:rPr>
        <w:t>16.  开标</w:t>
      </w:r>
    </w:p>
    <w:p>
      <w:pPr>
        <w:pStyle w:val="18"/>
        <w:spacing w:line="440" w:lineRule="exact"/>
        <w:ind w:firstLine="359" w:firstLineChars="171"/>
        <w:rPr>
          <w:rFonts w:hAnsi="宋体"/>
          <w:color w:val="auto"/>
          <w:highlight w:val="none"/>
        </w:rPr>
      </w:pPr>
      <w:r>
        <w:rPr>
          <w:rFonts w:hint="eastAsia" w:hAnsi="宋体"/>
          <w:color w:val="auto"/>
          <w:highlight w:val="none"/>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18"/>
        <w:spacing w:line="440" w:lineRule="exact"/>
        <w:ind w:firstLine="359" w:firstLineChars="171"/>
        <w:rPr>
          <w:rFonts w:hAnsi="宋体"/>
          <w:color w:val="auto"/>
          <w:highlight w:val="none"/>
        </w:rPr>
      </w:pPr>
      <w:r>
        <w:rPr>
          <w:rFonts w:hint="eastAsia" w:hAnsi="宋体"/>
          <w:color w:val="auto"/>
          <w:highlight w:val="none"/>
        </w:rPr>
        <w:t>16.2  开标程序：</w:t>
      </w:r>
    </w:p>
    <w:p>
      <w:pPr>
        <w:pStyle w:val="18"/>
        <w:spacing w:line="440" w:lineRule="exact"/>
        <w:ind w:firstLine="720"/>
        <w:rPr>
          <w:rFonts w:hAnsi="宋体"/>
          <w:color w:val="auto"/>
          <w:highlight w:val="none"/>
        </w:rPr>
      </w:pPr>
      <w:r>
        <w:rPr>
          <w:rFonts w:hint="eastAsia" w:hAnsi="宋体"/>
          <w:color w:val="auto"/>
          <w:highlight w:val="none"/>
        </w:rPr>
        <w:t>（1）开标会由采购代理机构主持，主持人宣布开标会议开始；</w:t>
      </w:r>
    </w:p>
    <w:p>
      <w:pPr>
        <w:pStyle w:val="18"/>
        <w:spacing w:line="440" w:lineRule="exact"/>
        <w:ind w:firstLine="720"/>
        <w:rPr>
          <w:rFonts w:hAnsi="宋体"/>
          <w:color w:val="auto"/>
          <w:highlight w:val="none"/>
        </w:rPr>
      </w:pPr>
      <w:r>
        <w:rPr>
          <w:rFonts w:hint="eastAsia" w:hAnsi="宋体"/>
          <w:color w:val="auto"/>
          <w:highlight w:val="none"/>
        </w:rPr>
        <w:t>（2）公布在投标截止时间前递交投标文件的投标人家数、投标单位名称，并点名确认投标人是否到场；</w:t>
      </w:r>
    </w:p>
    <w:p>
      <w:pPr>
        <w:pStyle w:val="18"/>
        <w:spacing w:line="440" w:lineRule="exact"/>
        <w:ind w:firstLine="720"/>
        <w:rPr>
          <w:rFonts w:hAnsi="宋体"/>
          <w:color w:val="auto"/>
          <w:highlight w:val="none"/>
        </w:rPr>
      </w:pPr>
      <w:r>
        <w:rPr>
          <w:rFonts w:hint="eastAsia" w:hAnsi="宋体"/>
          <w:color w:val="auto"/>
          <w:highlight w:val="none"/>
        </w:rPr>
        <w:t>（3）宣布开标人、唱标人、记录人、监标人等有关人员；</w:t>
      </w:r>
    </w:p>
    <w:p>
      <w:pPr>
        <w:pStyle w:val="18"/>
        <w:spacing w:line="440" w:lineRule="exact"/>
        <w:ind w:firstLine="720"/>
        <w:rPr>
          <w:rFonts w:hAnsi="宋体"/>
          <w:color w:val="auto"/>
          <w:highlight w:val="none"/>
        </w:rPr>
      </w:pPr>
      <w:r>
        <w:rPr>
          <w:rFonts w:hint="eastAsia" w:hAnsi="宋体"/>
          <w:color w:val="auto"/>
          <w:highlight w:val="none"/>
        </w:rPr>
        <w:t>（4）投标人代表按本章第14.1项的规定由各投标人检查各自的投标文件密封情况并签字确认；</w:t>
      </w:r>
    </w:p>
    <w:p>
      <w:pPr>
        <w:pStyle w:val="18"/>
        <w:spacing w:line="440" w:lineRule="exact"/>
        <w:ind w:firstLine="720"/>
        <w:rPr>
          <w:rFonts w:hAnsi="宋体"/>
          <w:color w:val="auto"/>
          <w:highlight w:val="none"/>
        </w:rPr>
      </w:pPr>
      <w:r>
        <w:rPr>
          <w:rFonts w:hint="eastAsia" w:hAnsi="宋体"/>
          <w:color w:val="auto"/>
          <w:highlight w:val="none"/>
        </w:rPr>
        <w:t>（5）按各投标人递交投标文件时间的先后顺序当众拆封投标文件，由唱标人宣读投标人名称、分标名称、投标报价、服务期等以及采购代理机构认为有必要宣读的其他内容；</w:t>
      </w:r>
    </w:p>
    <w:p>
      <w:pPr>
        <w:pStyle w:val="18"/>
        <w:spacing w:line="440" w:lineRule="exact"/>
        <w:ind w:firstLine="720"/>
        <w:rPr>
          <w:rFonts w:hAnsi="宋体"/>
          <w:color w:val="auto"/>
          <w:highlight w:val="none"/>
        </w:rPr>
      </w:pPr>
      <w:r>
        <w:rPr>
          <w:rFonts w:hint="eastAsia" w:hAnsi="宋体"/>
          <w:color w:val="auto"/>
          <w:highlight w:val="none"/>
        </w:rPr>
        <w:t>（6）相关人员在开标记录上签字确认；</w:t>
      </w:r>
    </w:p>
    <w:p>
      <w:pPr>
        <w:pStyle w:val="18"/>
        <w:spacing w:line="440" w:lineRule="exact"/>
        <w:ind w:firstLine="720"/>
        <w:rPr>
          <w:rFonts w:hAnsi="宋体"/>
          <w:color w:val="auto"/>
          <w:highlight w:val="none"/>
        </w:rPr>
      </w:pPr>
      <w:r>
        <w:rPr>
          <w:rFonts w:hint="eastAsia" w:hAnsi="宋体"/>
          <w:color w:val="auto"/>
          <w:highlight w:val="none"/>
        </w:rPr>
        <w:t>（7）宣布评标期间的有关事项；</w:t>
      </w:r>
    </w:p>
    <w:p>
      <w:pPr>
        <w:pStyle w:val="18"/>
        <w:spacing w:line="440" w:lineRule="exact"/>
        <w:ind w:firstLine="720"/>
        <w:rPr>
          <w:rFonts w:hAnsi="宋体"/>
          <w:color w:val="auto"/>
          <w:highlight w:val="none"/>
        </w:rPr>
      </w:pPr>
      <w:r>
        <w:rPr>
          <w:rFonts w:hint="eastAsia" w:hAnsi="宋体"/>
          <w:color w:val="auto"/>
          <w:highlight w:val="none"/>
        </w:rPr>
        <w:t>（8）开标结束。</w:t>
      </w:r>
    </w:p>
    <w:p>
      <w:pPr>
        <w:pStyle w:val="18"/>
        <w:spacing w:line="440" w:lineRule="exact"/>
        <w:rPr>
          <w:rFonts w:hAnsi="宋体"/>
          <w:color w:val="auto"/>
          <w:szCs w:val="21"/>
          <w:highlight w:val="none"/>
        </w:rPr>
      </w:pPr>
      <w:r>
        <w:rPr>
          <w:rFonts w:hint="eastAsia" w:hAnsi="宋体"/>
          <w:color w:val="auto"/>
          <w:szCs w:val="21"/>
          <w:highlight w:val="none"/>
        </w:rPr>
        <w:t>17.资格审查</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采购人依据法律法规和招标文件的规定，对投标文件中的资格文件进行审查，以确定投标供应商是否具备投标资格。合格投标人不足3家的，不得评标。</w:t>
      </w:r>
    </w:p>
    <w:p>
      <w:pPr>
        <w:pStyle w:val="18"/>
        <w:spacing w:line="440" w:lineRule="exact"/>
        <w:rPr>
          <w:rFonts w:hAnsi="宋体"/>
          <w:bCs/>
          <w:color w:val="auto"/>
          <w:sz w:val="24"/>
          <w:highlight w:val="none"/>
        </w:rPr>
      </w:pPr>
      <w:r>
        <w:rPr>
          <w:rFonts w:hint="eastAsia" w:hAnsi="宋体"/>
          <w:bCs/>
          <w:color w:val="auto"/>
          <w:sz w:val="24"/>
          <w:highlight w:val="none"/>
        </w:rPr>
        <w:t>18.  评标</w:t>
      </w:r>
    </w:p>
    <w:p>
      <w:pPr>
        <w:pStyle w:val="18"/>
        <w:spacing w:line="440" w:lineRule="exact"/>
        <w:ind w:firstLine="420" w:firstLineChars="200"/>
        <w:rPr>
          <w:rFonts w:hAnsi="宋体"/>
          <w:color w:val="auto"/>
          <w:highlight w:val="none"/>
        </w:rPr>
      </w:pPr>
      <w:r>
        <w:rPr>
          <w:rFonts w:hint="eastAsia" w:hAnsi="宋体"/>
          <w:color w:val="auto"/>
          <w:highlight w:val="none"/>
        </w:rPr>
        <w:t>18.1  评标委员会：评标由依法组建的评标委员会负责。</w:t>
      </w:r>
      <w:r>
        <w:rPr>
          <w:rFonts w:hint="eastAsia" w:hAnsi="宋体"/>
          <w:color w:val="auto"/>
          <w:szCs w:val="21"/>
          <w:highlight w:val="none"/>
        </w:rPr>
        <w:t>评标委员会由采购人代表和评审专家组成</w:t>
      </w:r>
      <w:r>
        <w:rPr>
          <w:rFonts w:hint="eastAsia" w:hAnsi="宋体"/>
          <w:color w:val="auto"/>
          <w:highlight w:val="none"/>
        </w:rPr>
        <w:t>。采购人或采购代理机构根据本项目的特点，从财政部门设立的政府采购评审专家库中，通过随机方式抽取专家。</w:t>
      </w:r>
    </w:p>
    <w:p>
      <w:pPr>
        <w:pStyle w:val="18"/>
        <w:spacing w:line="440" w:lineRule="exact"/>
        <w:ind w:firstLine="420" w:firstLineChars="200"/>
        <w:rPr>
          <w:rFonts w:hAnsi="宋体"/>
          <w:color w:val="auto"/>
          <w:highlight w:val="none"/>
        </w:rPr>
      </w:pPr>
      <w:r>
        <w:rPr>
          <w:rFonts w:hint="eastAsia"/>
          <w:color w:val="auto"/>
          <w:highlight w:val="none"/>
        </w:rPr>
        <w:t>18.2  评标原则：评标活动遵循公平、公正、科学和择优的原则。</w:t>
      </w:r>
    </w:p>
    <w:p>
      <w:pPr>
        <w:pStyle w:val="18"/>
        <w:spacing w:line="440" w:lineRule="exact"/>
        <w:ind w:firstLine="420" w:firstLineChars="200"/>
        <w:rPr>
          <w:rFonts w:hAnsi="宋体"/>
          <w:color w:val="auto"/>
          <w:highlight w:val="none"/>
        </w:rPr>
      </w:pPr>
      <w:r>
        <w:rPr>
          <w:rFonts w:hint="eastAsia" w:hAnsi="宋体"/>
          <w:color w:val="auto"/>
          <w:highlight w:val="none"/>
        </w:rPr>
        <w:t>18.3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440" w:lineRule="exact"/>
        <w:ind w:firstLine="420" w:firstLineChars="200"/>
        <w:rPr>
          <w:rFonts w:hAnsi="宋体"/>
          <w:color w:val="auto"/>
          <w:highlight w:val="none"/>
        </w:rPr>
      </w:pPr>
      <w:r>
        <w:rPr>
          <w:rFonts w:hint="eastAsia" w:hAnsi="宋体"/>
          <w:color w:val="auto"/>
          <w:highlight w:val="none"/>
        </w:rPr>
        <w:t xml:space="preserve">18.4  </w:t>
      </w:r>
      <w:r>
        <w:rPr>
          <w:rFonts w:hint="eastAsia" w:hAnsi="宋体"/>
          <w:bCs/>
          <w:color w:val="auto"/>
          <w:highlight w:val="none"/>
        </w:rPr>
        <w:t>评标程序：</w:t>
      </w:r>
    </w:p>
    <w:p>
      <w:pPr>
        <w:pStyle w:val="18"/>
        <w:spacing w:line="440" w:lineRule="exact"/>
        <w:ind w:firstLine="420" w:firstLineChars="200"/>
        <w:rPr>
          <w:rFonts w:hAnsi="宋体"/>
          <w:color w:val="auto"/>
          <w:highlight w:val="none"/>
        </w:rPr>
      </w:pPr>
      <w:r>
        <w:rPr>
          <w:rFonts w:hint="eastAsia" w:hAnsi="宋体"/>
          <w:bCs/>
          <w:color w:val="auto"/>
          <w:highlight w:val="none"/>
        </w:rPr>
        <w:t>18.4.1  采购代理机构项目负责人宣读评标现场纪律要求，集中管理通讯工具，询问在场人员是否申请回避；</w:t>
      </w:r>
    </w:p>
    <w:p>
      <w:pPr>
        <w:pStyle w:val="18"/>
        <w:spacing w:line="440" w:lineRule="exact"/>
        <w:ind w:firstLine="420" w:firstLineChars="200"/>
        <w:rPr>
          <w:rFonts w:hAnsi="宋体"/>
          <w:color w:val="auto"/>
          <w:highlight w:val="none"/>
        </w:rPr>
      </w:pPr>
      <w:r>
        <w:rPr>
          <w:rFonts w:hint="eastAsia" w:hAnsi="宋体"/>
          <w:bCs/>
          <w:color w:val="auto"/>
          <w:highlight w:val="none"/>
        </w:rPr>
        <w:t>18.4.2  采购代理机构项目负责人介绍项目概况及评标委员会组成情况（但不得发表影响评审的倾向性、歧视性言论），推选评标组长（原则上采购人不得担任评标组长）；</w:t>
      </w:r>
    </w:p>
    <w:p>
      <w:pPr>
        <w:pStyle w:val="18"/>
        <w:spacing w:line="440" w:lineRule="exact"/>
        <w:ind w:firstLine="420" w:firstLineChars="200"/>
        <w:rPr>
          <w:rFonts w:hAnsi="宋体"/>
          <w:color w:val="auto"/>
          <w:highlight w:val="none"/>
        </w:rPr>
      </w:pPr>
      <w:r>
        <w:rPr>
          <w:rFonts w:hint="eastAsia" w:hAnsi="宋体"/>
          <w:bCs/>
          <w:color w:val="auto"/>
          <w:highlight w:val="none"/>
        </w:rPr>
        <w:t>18.4.3  评标委员会按分工开展评标工作：</w:t>
      </w:r>
    </w:p>
    <w:p>
      <w:pPr>
        <w:pStyle w:val="18"/>
        <w:spacing w:line="440" w:lineRule="exact"/>
        <w:ind w:firstLine="718" w:firstLineChars="342"/>
        <w:rPr>
          <w:rFonts w:hAnsi="宋体"/>
          <w:color w:val="auto"/>
          <w:highlight w:val="none"/>
        </w:rPr>
      </w:pPr>
      <w:r>
        <w:rPr>
          <w:rFonts w:hint="eastAsia" w:hAnsi="宋体"/>
          <w:color w:val="auto"/>
          <w:highlight w:val="none"/>
        </w:rPr>
        <w:t>18.4.3.1投标文件初审。</w:t>
      </w:r>
      <w:r>
        <w:rPr>
          <w:rFonts w:hint="eastAsia" w:hAnsi="宋体"/>
          <w:bCs/>
          <w:color w:val="auto"/>
          <w:szCs w:val="21"/>
          <w:highlight w:val="none"/>
        </w:rPr>
        <w:t>商务技术</w:t>
      </w:r>
      <w:r>
        <w:rPr>
          <w:rFonts w:hint="eastAsia" w:hAnsi="宋体"/>
          <w:color w:val="auto"/>
          <w:highlight w:val="none"/>
        </w:rPr>
        <w:t>符合性检查：依据招标文件的规定，从</w:t>
      </w:r>
      <w:r>
        <w:rPr>
          <w:rFonts w:hint="eastAsia" w:hAnsi="宋体"/>
          <w:bCs/>
          <w:color w:val="auto"/>
          <w:szCs w:val="21"/>
          <w:highlight w:val="none"/>
        </w:rPr>
        <w:t>商务文件和技术</w:t>
      </w:r>
      <w:r>
        <w:rPr>
          <w:rFonts w:hint="eastAsia" w:hAnsi="宋体"/>
          <w:color w:val="auto"/>
          <w:highlight w:val="none"/>
        </w:rPr>
        <w:t>文件的有效性、完整性和对招标文件的响应程度进行审查，以确定是否对招标文件的实质性要求和条件作出响应。</w:t>
      </w:r>
    </w:p>
    <w:p>
      <w:pPr>
        <w:pStyle w:val="18"/>
        <w:spacing w:line="440" w:lineRule="exact"/>
        <w:ind w:firstLine="718" w:firstLineChars="342"/>
        <w:rPr>
          <w:rFonts w:hAnsi="宋体"/>
          <w:color w:val="auto"/>
          <w:szCs w:val="22"/>
          <w:highlight w:val="none"/>
        </w:rPr>
      </w:pPr>
      <w:r>
        <w:rPr>
          <w:rFonts w:hint="eastAsia" w:hAnsi="宋体"/>
          <w:color w:val="auto"/>
          <w:highlight w:val="none"/>
        </w:rPr>
        <w:t>(1)有</w:t>
      </w:r>
      <w:r>
        <w:rPr>
          <w:rFonts w:hint="eastAsia" w:hAnsi="宋体"/>
          <w:color w:val="auto"/>
          <w:szCs w:val="22"/>
          <w:highlight w:val="none"/>
        </w:rPr>
        <w:t>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（2）关联供应商不得参加同一合同项下政府采购活动，否则投标文件将被视为无效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单位负责人为同一人或者存在直接控股、管理关系的不同的供应商，不得参加同一合同项下的政府采购活动;</w:t>
      </w:r>
    </w:p>
    <w:p>
      <w:pPr>
        <w:pStyle w:val="18"/>
        <w:spacing w:line="440" w:lineRule="exact"/>
        <w:ind w:firstLine="420"/>
        <w:rPr>
          <w:rFonts w:hAnsi="宋体"/>
          <w:color w:val="auto"/>
          <w:highlight w:val="none"/>
        </w:rPr>
      </w:pPr>
      <w:r>
        <w:rPr>
          <w:rFonts w:hint="eastAsia" w:hAnsi="宋体"/>
          <w:color w:val="auto"/>
          <w:highlight w:val="none"/>
        </w:rPr>
        <w:t>18.4.3.2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440" w:lineRule="exact"/>
        <w:ind w:firstLine="420" w:firstLineChars="200"/>
        <w:rPr>
          <w:rFonts w:hAnsi="宋体"/>
          <w:color w:val="auto"/>
          <w:highlight w:val="none"/>
        </w:rPr>
      </w:pPr>
      <w:r>
        <w:rPr>
          <w:rFonts w:hint="eastAsia" w:hAnsi="宋体"/>
          <w:color w:val="auto"/>
          <w:highlight w:val="none"/>
        </w:rPr>
        <w:t>18.4.3.3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440" w:lineRule="exact"/>
        <w:ind w:firstLine="420" w:firstLineChars="200"/>
        <w:rPr>
          <w:rFonts w:hAnsi="宋体"/>
          <w:color w:val="auto"/>
          <w:highlight w:val="none"/>
        </w:rPr>
      </w:pPr>
      <w:r>
        <w:rPr>
          <w:rFonts w:hint="eastAsia" w:hAnsi="宋体"/>
          <w:color w:val="auto"/>
          <w:highlight w:val="none"/>
        </w:rPr>
        <w:t>18.4.3.4报价</w:t>
      </w:r>
      <w:r>
        <w:rPr>
          <w:rFonts w:hint="eastAsia" w:hAnsi="宋体"/>
          <w:bCs/>
          <w:color w:val="auto"/>
          <w:szCs w:val="21"/>
          <w:highlight w:val="none"/>
        </w:rPr>
        <w:t>符合性审查</w:t>
      </w:r>
      <w:r>
        <w:rPr>
          <w:rFonts w:hint="eastAsia" w:hAnsi="宋体"/>
          <w:color w:val="auto"/>
          <w:szCs w:val="21"/>
          <w:highlight w:val="none"/>
        </w:rPr>
        <w:t>。评标委员会对投标人的报价文件进行</w:t>
      </w:r>
      <w:r>
        <w:rPr>
          <w:rFonts w:hint="eastAsia" w:hAnsi="宋体"/>
          <w:bCs/>
          <w:color w:val="auto"/>
          <w:szCs w:val="21"/>
          <w:highlight w:val="none"/>
        </w:rPr>
        <w:t>符合性审查</w:t>
      </w:r>
      <w:r>
        <w:rPr>
          <w:rFonts w:hint="eastAsia" w:hAnsi="宋体"/>
          <w:color w:val="auto"/>
          <w:szCs w:val="21"/>
          <w:highlight w:val="none"/>
        </w:rPr>
        <w:t>。评标委员会认为投标人的报价明显低于其他通过</w:t>
      </w:r>
      <w:r>
        <w:rPr>
          <w:rFonts w:hint="eastAsia" w:hAnsi="宋体"/>
          <w:bCs/>
          <w:color w:val="auto"/>
          <w:szCs w:val="21"/>
          <w:highlight w:val="none"/>
        </w:rPr>
        <w:t>商务技术</w:t>
      </w:r>
      <w:r>
        <w:rPr>
          <w:rFonts w:hint="eastAsia" w:hAnsi="宋体"/>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420"/>
        <w:rPr>
          <w:rFonts w:hAnsi="宋体"/>
          <w:color w:val="auto"/>
          <w:highlight w:val="none"/>
        </w:rPr>
      </w:pPr>
      <w:r>
        <w:rPr>
          <w:rFonts w:hint="eastAsia" w:hAnsi="宋体"/>
          <w:color w:val="auto"/>
          <w:highlight w:val="none"/>
        </w:rPr>
        <w:t>18.4.3.5编写评标报告，并确定中标供应商名单。</w:t>
      </w:r>
    </w:p>
    <w:p>
      <w:pPr>
        <w:pStyle w:val="18"/>
        <w:spacing w:line="440" w:lineRule="exact"/>
        <w:ind w:firstLine="420" w:firstLineChars="200"/>
        <w:rPr>
          <w:rFonts w:hAnsi="宋体"/>
          <w:bCs/>
          <w:color w:val="auto"/>
          <w:highlight w:val="none"/>
        </w:rPr>
      </w:pPr>
      <w:r>
        <w:rPr>
          <w:rFonts w:hint="eastAsia" w:hAnsi="宋体"/>
          <w:color w:val="auto"/>
          <w:highlight w:val="none"/>
        </w:rPr>
        <w:t>18.4.4  采购代理机构对评标过程和评分、评标结论进行核对和复核，如有错漏，请当事评委进行校正，按校正后的结果确定中标供应商。</w:t>
      </w:r>
    </w:p>
    <w:p>
      <w:pPr>
        <w:pStyle w:val="18"/>
        <w:spacing w:line="440" w:lineRule="exact"/>
        <w:ind w:firstLine="420" w:firstLineChars="200"/>
        <w:rPr>
          <w:rFonts w:hAnsi="宋体"/>
          <w:bCs/>
          <w:color w:val="auto"/>
          <w:highlight w:val="none"/>
        </w:rPr>
      </w:pPr>
      <w:r>
        <w:rPr>
          <w:rFonts w:hint="eastAsia" w:hAnsi="宋体"/>
          <w:color w:val="auto"/>
          <w:highlight w:val="none"/>
        </w:rPr>
        <w:t>18.5  在确定中标供应商前，采购人或采购代理机构不得与投标供应商就投标价格、投标方案等实质性内容进行谈判。</w:t>
      </w:r>
    </w:p>
    <w:p>
      <w:pPr>
        <w:pStyle w:val="18"/>
        <w:spacing w:line="440" w:lineRule="exact"/>
        <w:ind w:firstLine="420" w:firstLineChars="200"/>
        <w:rPr>
          <w:rFonts w:hAnsi="宋体"/>
          <w:bCs/>
          <w:color w:val="auto"/>
          <w:highlight w:val="none"/>
        </w:rPr>
      </w:pPr>
      <w:r>
        <w:rPr>
          <w:rFonts w:hint="eastAsia" w:hAnsi="宋体"/>
          <w:color w:val="auto"/>
          <w:highlight w:val="none"/>
        </w:rPr>
        <w:t>18.6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440" w:lineRule="exact"/>
        <w:rPr>
          <w:bCs/>
          <w:color w:val="auto"/>
          <w:sz w:val="24"/>
          <w:highlight w:val="none"/>
        </w:rPr>
      </w:pPr>
      <w:r>
        <w:rPr>
          <w:rFonts w:hint="eastAsia"/>
          <w:bCs/>
          <w:color w:val="auto"/>
          <w:sz w:val="24"/>
          <w:highlight w:val="none"/>
        </w:rPr>
        <w:t>19.  投标文件的修正</w:t>
      </w:r>
    </w:p>
    <w:p>
      <w:pPr>
        <w:pStyle w:val="18"/>
        <w:spacing w:line="360" w:lineRule="auto"/>
        <w:ind w:firstLine="420" w:firstLineChars="200"/>
        <w:rPr>
          <w:rFonts w:hAnsi="宋体"/>
          <w:color w:val="auto"/>
          <w:highlight w:val="none"/>
        </w:rPr>
      </w:pPr>
      <w:r>
        <w:rPr>
          <w:rFonts w:hint="eastAsia" w:hAnsi="宋体"/>
          <w:color w:val="auto"/>
          <w:highlight w:val="none"/>
        </w:rPr>
        <w:t>19.1  投标文件报价出现前后不一致的，修正的原则如下：</w:t>
      </w:r>
    </w:p>
    <w:p>
      <w:pPr>
        <w:pStyle w:val="18"/>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8"/>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18"/>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18"/>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18"/>
        <w:spacing w:line="440" w:lineRule="exact"/>
        <w:ind w:firstLine="360"/>
        <w:rPr>
          <w:rFonts w:hAnsi="宋体"/>
          <w:color w:val="auto"/>
          <w:highlight w:val="none"/>
        </w:rPr>
      </w:pPr>
      <w:r>
        <w:rPr>
          <w:rFonts w:hint="eastAsia" w:hAnsi="宋体"/>
          <w:color w:val="auto"/>
          <w:highlight w:val="none"/>
        </w:rPr>
        <w:t>19.2同时出现两种以上不一致的，按照本条款规定的顺序修正。修正后的报价按照本章</w:t>
      </w:r>
      <w:r>
        <w:rPr>
          <w:rFonts w:hAnsi="宋体"/>
          <w:color w:val="auto"/>
          <w:highlight w:val="none"/>
        </w:rPr>
        <w:t>17.4.3.2</w:t>
      </w:r>
      <w:r>
        <w:rPr>
          <w:rFonts w:hint="eastAsia" w:hAnsi="宋体"/>
          <w:color w:val="auto"/>
          <w:highlight w:val="none"/>
        </w:rPr>
        <w:t>的规定经投标人确认后产生约束力，投标人不确认的，其投标无效。</w:t>
      </w:r>
    </w:p>
    <w:p>
      <w:pPr>
        <w:pStyle w:val="18"/>
        <w:spacing w:line="440" w:lineRule="exact"/>
        <w:rPr>
          <w:rFonts w:hAnsi="宋体"/>
          <w:b/>
          <w:bCs/>
          <w:color w:val="auto"/>
          <w:sz w:val="24"/>
          <w:highlight w:val="none"/>
        </w:rPr>
      </w:pPr>
      <w:r>
        <w:rPr>
          <w:rFonts w:hint="eastAsia" w:hAnsi="宋体"/>
          <w:color w:val="auto"/>
          <w:highlight w:val="none"/>
        </w:rPr>
        <w:t>20</w:t>
      </w:r>
      <w:r>
        <w:rPr>
          <w:rFonts w:hint="eastAsia" w:hAnsi="宋体"/>
          <w:b/>
          <w:bCs/>
          <w:color w:val="auto"/>
          <w:sz w:val="24"/>
          <w:highlight w:val="none"/>
        </w:rPr>
        <w:t>.  拒绝接收</w:t>
      </w:r>
    </w:p>
    <w:p>
      <w:pPr>
        <w:pStyle w:val="18"/>
        <w:spacing w:line="440" w:lineRule="exact"/>
        <w:ind w:firstLine="720"/>
        <w:rPr>
          <w:rFonts w:hAnsi="宋体"/>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未在本章第15.1项规定的时间之前将投标文件送达至本章第15.2项指定地点的</w:t>
      </w:r>
      <w:r>
        <w:rPr>
          <w:rFonts w:hint="eastAsia" w:hAnsi="宋体"/>
          <w:color w:val="auto"/>
          <w:highlight w:val="none"/>
        </w:rPr>
        <w:t>，采购代理机构应当拒绝接收该投标人的投标文件。</w:t>
      </w:r>
    </w:p>
    <w:p>
      <w:pPr>
        <w:pStyle w:val="18"/>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未在本章第15.3项规定的</w:t>
      </w:r>
      <w:r>
        <w:rPr>
          <w:rFonts w:hint="eastAsia" w:hAnsi="宋体"/>
          <w:color w:val="auto"/>
          <w:highlight w:val="none"/>
        </w:rPr>
        <w:t>时间</w:t>
      </w:r>
      <w:r>
        <w:rPr>
          <w:rFonts w:hint="eastAsia"/>
          <w:color w:val="auto"/>
          <w:highlight w:val="none"/>
        </w:rPr>
        <w:t>之前将投标样品送达至本章第15.4项指定地点的</w:t>
      </w:r>
      <w:r>
        <w:rPr>
          <w:rFonts w:hint="eastAsia" w:hAnsi="宋体"/>
          <w:color w:val="auto"/>
          <w:highlight w:val="none"/>
        </w:rPr>
        <w:t>，将拒绝接收该投标人的投标样品。</w:t>
      </w:r>
    </w:p>
    <w:p>
      <w:pPr>
        <w:pStyle w:val="18"/>
        <w:spacing w:line="440" w:lineRule="exact"/>
        <w:rPr>
          <w:rFonts w:hAnsi="宋体"/>
          <w:b/>
          <w:bCs/>
          <w:color w:val="auto"/>
          <w:sz w:val="24"/>
          <w:highlight w:val="none"/>
        </w:rPr>
      </w:pPr>
      <w:r>
        <w:rPr>
          <w:rFonts w:hint="eastAsia" w:hAnsi="宋体"/>
          <w:b/>
          <w:bCs/>
          <w:color w:val="auto"/>
          <w:sz w:val="24"/>
          <w:highlight w:val="none"/>
        </w:rPr>
        <w:t>21.  无效投标</w:t>
      </w:r>
    </w:p>
    <w:p>
      <w:pPr>
        <w:pStyle w:val="18"/>
        <w:spacing w:line="440" w:lineRule="exact"/>
        <w:ind w:firstLine="359" w:firstLineChars="171"/>
        <w:rPr>
          <w:rFonts w:hAnsi="宋体"/>
          <w:color w:val="auto"/>
          <w:highlight w:val="none"/>
        </w:rPr>
      </w:pPr>
      <w:r>
        <w:rPr>
          <w:rFonts w:hint="eastAsia" w:hAnsi="宋体"/>
          <w:color w:val="auto"/>
          <w:highlight w:val="none"/>
        </w:rPr>
        <w:t>21.1  属下列情形之一的，投标人的投标无效：</w:t>
      </w:r>
    </w:p>
    <w:p>
      <w:pPr>
        <w:pStyle w:val="18"/>
        <w:spacing w:line="440" w:lineRule="exact"/>
        <w:ind w:firstLine="718" w:firstLineChars="342"/>
        <w:rPr>
          <w:rFonts w:hAnsi="宋体"/>
          <w:color w:val="auto"/>
          <w:highlight w:val="none"/>
        </w:rPr>
      </w:pPr>
      <w:r>
        <w:rPr>
          <w:rFonts w:hint="eastAsia" w:hAnsi="宋体"/>
          <w:color w:val="auto"/>
          <w:highlight w:val="none"/>
        </w:rPr>
        <w:t>实质上没有响应招标文件要求的投标将被视为无效投标。</w:t>
      </w:r>
    </w:p>
    <w:p>
      <w:pPr>
        <w:pStyle w:val="18"/>
        <w:spacing w:line="440" w:lineRule="exact"/>
        <w:ind w:firstLine="424" w:firstLineChars="202"/>
        <w:rPr>
          <w:rFonts w:hAnsi="宋体"/>
          <w:color w:val="auto"/>
          <w:highlight w:val="none"/>
        </w:rPr>
      </w:pPr>
      <w:r>
        <w:rPr>
          <w:rFonts w:hint="eastAsia" w:hAnsi="宋体"/>
          <w:color w:val="auto"/>
          <w:highlight w:val="none"/>
        </w:rPr>
        <w:t>21.1.1在资格、符合性审查和商务评审时，如发现下列情形之一的，投标文件将被视为无效：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（1）超越了按照法律法规规定必须获得行政许可证或者行政审批的经营范围的；</w:t>
      </w:r>
    </w:p>
    <w:p>
      <w:pPr>
        <w:pStyle w:val="18"/>
        <w:spacing w:line="440" w:lineRule="exact"/>
        <w:ind w:firstLine="718" w:firstLineChars="342"/>
        <w:rPr>
          <w:rFonts w:hAnsi="宋体"/>
          <w:color w:val="auto"/>
          <w:highlight w:val="none"/>
        </w:rPr>
      </w:pPr>
      <w:r>
        <w:rPr>
          <w:rFonts w:hint="eastAsia" w:hAnsi="宋体"/>
          <w:color w:val="auto"/>
          <w:highlight w:val="none"/>
        </w:rPr>
        <w:t>（2）资格证明文件不全的，或者不具备招标文件中规定的资格要求的；</w:t>
      </w:r>
    </w:p>
    <w:p>
      <w:pPr>
        <w:pStyle w:val="18"/>
        <w:spacing w:line="440" w:lineRule="exact"/>
        <w:ind w:firstLine="718" w:firstLineChars="342"/>
        <w:rPr>
          <w:rFonts w:hAnsi="宋体"/>
          <w:color w:val="auto"/>
          <w:highlight w:val="none"/>
        </w:rPr>
      </w:pPr>
      <w:r>
        <w:rPr>
          <w:rFonts w:hint="eastAsia" w:hAnsi="宋体"/>
          <w:color w:val="auto"/>
          <w:highlight w:val="none"/>
        </w:rPr>
        <w:t>（3）投标文件无法定代表人或其授权委托代理人签字,或未提供法定代表人身份证明、法定代表人授权委托书；</w:t>
      </w:r>
    </w:p>
    <w:p>
      <w:pPr>
        <w:pStyle w:val="18"/>
        <w:spacing w:line="440" w:lineRule="exact"/>
        <w:ind w:firstLine="718" w:firstLineChars="342"/>
        <w:rPr>
          <w:rFonts w:hAnsi="宋体"/>
          <w:color w:val="auto"/>
          <w:highlight w:val="none"/>
        </w:rPr>
      </w:pPr>
      <w:r>
        <w:rPr>
          <w:rFonts w:hint="eastAsia" w:hAnsi="宋体"/>
          <w:color w:val="auto"/>
          <w:highlight w:val="none"/>
        </w:rPr>
        <w:t xml:space="preserve">（4）投标代表人未能出具有效身份证明或与法定代表人授权委托人身份不符的； </w:t>
      </w:r>
    </w:p>
    <w:p>
      <w:pPr>
        <w:pStyle w:val="18"/>
        <w:spacing w:line="440" w:lineRule="exact"/>
        <w:ind w:firstLine="718" w:firstLineChars="342"/>
        <w:rPr>
          <w:rFonts w:hAnsi="宋体"/>
          <w:color w:val="auto"/>
          <w:highlight w:val="none"/>
        </w:rPr>
      </w:pPr>
      <w:r>
        <w:rPr>
          <w:rFonts w:hint="eastAsia" w:hAnsi="宋体"/>
          <w:color w:val="auto"/>
          <w:highlight w:val="none"/>
        </w:rPr>
        <w:t>（5）项目填写不齐全或者内容虚假的；</w:t>
      </w:r>
    </w:p>
    <w:p>
      <w:pPr>
        <w:pStyle w:val="18"/>
        <w:spacing w:line="440" w:lineRule="exact"/>
        <w:ind w:firstLine="718" w:firstLineChars="342"/>
        <w:rPr>
          <w:rFonts w:hAnsi="宋体"/>
          <w:color w:val="auto"/>
          <w:highlight w:val="none"/>
        </w:rPr>
      </w:pPr>
      <w:r>
        <w:rPr>
          <w:rFonts w:hint="eastAsia" w:hAnsi="宋体"/>
          <w:color w:val="auto"/>
          <w:highlight w:val="none"/>
        </w:rPr>
        <w:t>（6）投标文件的实质性内容未使用中文表述、意思表述不明确、前后矛盾或者使用计量单位不符合招标文件要求的（经评标委员会认定并允许其当场更正的笔误除外）</w:t>
      </w:r>
    </w:p>
    <w:p>
      <w:pPr>
        <w:pStyle w:val="18"/>
        <w:spacing w:line="440" w:lineRule="exact"/>
        <w:ind w:firstLine="718" w:firstLineChars="342"/>
        <w:rPr>
          <w:rFonts w:hAnsi="宋体"/>
          <w:color w:val="auto"/>
          <w:highlight w:val="none"/>
        </w:rPr>
      </w:pPr>
      <w:r>
        <w:rPr>
          <w:rFonts w:hint="eastAsia" w:hAnsi="宋体"/>
          <w:color w:val="auto"/>
          <w:highlight w:val="none"/>
        </w:rPr>
        <w:t>（7）投标有效期、服务期限时间、质保期、服务等商务条款不能满足招标文件要求的；</w:t>
      </w:r>
    </w:p>
    <w:p>
      <w:pPr>
        <w:pStyle w:val="18"/>
        <w:spacing w:line="440" w:lineRule="exact"/>
        <w:ind w:firstLine="718" w:firstLineChars="342"/>
        <w:rPr>
          <w:rFonts w:hAnsi="宋体"/>
          <w:color w:val="auto"/>
          <w:highlight w:val="none"/>
        </w:rPr>
      </w:pPr>
      <w:r>
        <w:rPr>
          <w:rFonts w:hint="eastAsia" w:hAnsi="宋体"/>
          <w:color w:val="auto"/>
          <w:highlight w:val="none"/>
        </w:rPr>
        <w:t>（8）未实质性响应招标文件要求或者投标文件含有采购人不能接受的附加条件的；</w:t>
      </w:r>
    </w:p>
    <w:p>
      <w:pPr>
        <w:pStyle w:val="18"/>
        <w:spacing w:line="440" w:lineRule="exact"/>
        <w:ind w:firstLine="718" w:firstLineChars="342"/>
        <w:rPr>
          <w:rFonts w:hAnsi="宋体"/>
          <w:color w:val="auto"/>
          <w:highlight w:val="none"/>
        </w:rPr>
      </w:pPr>
      <w:r>
        <w:rPr>
          <w:rFonts w:hint="eastAsia" w:hAnsi="宋体"/>
          <w:color w:val="auto"/>
          <w:highlight w:val="none"/>
        </w:rPr>
        <w:t>（9）未按照招标文件的规定提交投标保证金的；</w:t>
      </w:r>
    </w:p>
    <w:p>
      <w:pPr>
        <w:pStyle w:val="18"/>
        <w:spacing w:line="440" w:lineRule="exact"/>
        <w:ind w:firstLine="718" w:firstLineChars="342"/>
        <w:rPr>
          <w:rFonts w:hAnsi="宋体"/>
          <w:color w:val="auto"/>
          <w:highlight w:val="none"/>
        </w:rPr>
      </w:pPr>
      <w:r>
        <w:rPr>
          <w:rFonts w:hint="eastAsia" w:hAnsi="宋体"/>
          <w:color w:val="auto"/>
          <w:highlight w:val="none"/>
        </w:rPr>
        <w:t>（10）投标文件未按招标文件要求签署、盖章的；</w:t>
      </w:r>
    </w:p>
    <w:p>
      <w:pPr>
        <w:pStyle w:val="18"/>
        <w:spacing w:line="440" w:lineRule="exact"/>
        <w:ind w:firstLine="718" w:firstLineChars="342"/>
        <w:rPr>
          <w:rFonts w:hAnsi="宋体"/>
          <w:color w:val="auto"/>
          <w:highlight w:val="none"/>
        </w:rPr>
      </w:pPr>
      <w:r>
        <w:rPr>
          <w:rFonts w:hint="eastAsia" w:hAnsi="宋体"/>
          <w:color w:val="auto"/>
          <w:highlight w:val="none"/>
        </w:rPr>
        <w:t>（11）法律、法规和招标文件规定的其他无效情形。</w:t>
      </w:r>
    </w:p>
    <w:p>
      <w:pPr>
        <w:pStyle w:val="18"/>
        <w:spacing w:line="440" w:lineRule="exact"/>
        <w:ind w:firstLine="424" w:firstLineChars="202"/>
        <w:rPr>
          <w:rFonts w:hAnsi="宋体"/>
          <w:color w:val="auto"/>
          <w:highlight w:val="none"/>
        </w:rPr>
      </w:pPr>
      <w:r>
        <w:rPr>
          <w:rFonts w:hint="eastAsia" w:hAnsi="宋体"/>
          <w:color w:val="auto"/>
          <w:highlight w:val="none"/>
        </w:rPr>
        <w:t>21.1.2在技术评审时，如发现下列情形之一的，投标文件将被视为无效：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（1）未提供或未如实提供投标货物的技术参数，或者投标文件标明的响应或偏离与事实不符或虚假投标的；</w:t>
      </w:r>
    </w:p>
    <w:p>
      <w:pPr>
        <w:pStyle w:val="18"/>
        <w:spacing w:line="440" w:lineRule="exact"/>
        <w:ind w:firstLine="718" w:firstLineChars="342"/>
        <w:rPr>
          <w:rFonts w:hAnsi="宋体"/>
          <w:color w:val="auto"/>
          <w:highlight w:val="none"/>
        </w:rPr>
      </w:pPr>
      <w:r>
        <w:rPr>
          <w:rFonts w:hint="eastAsia" w:hAnsi="宋体"/>
          <w:color w:val="auto"/>
          <w:highlight w:val="none"/>
        </w:rPr>
        <w:t>（2）明显不符合招标文件要求的技术规格、安全、质量标准，或者与招标文件中标“★”的技术指标、主要功能项目发生实质性负偏离的；</w:t>
      </w:r>
    </w:p>
    <w:p>
      <w:pPr>
        <w:pStyle w:val="18"/>
        <w:spacing w:line="440" w:lineRule="exact"/>
        <w:ind w:firstLine="718" w:firstLineChars="342"/>
        <w:rPr>
          <w:rFonts w:hAnsi="宋体"/>
          <w:color w:val="auto"/>
          <w:highlight w:val="none"/>
        </w:rPr>
      </w:pPr>
      <w:r>
        <w:rPr>
          <w:rFonts w:hint="eastAsia" w:hAnsi="宋体"/>
          <w:color w:val="auto"/>
          <w:highlight w:val="none"/>
        </w:rPr>
        <w:t>（3）允许偏离的技术、性能指标或者辅助功能项目发生负偏离超出允许负偏离的数量的。</w:t>
      </w:r>
    </w:p>
    <w:p>
      <w:pPr>
        <w:pStyle w:val="18"/>
        <w:spacing w:line="440" w:lineRule="exact"/>
        <w:ind w:firstLine="718" w:firstLineChars="342"/>
        <w:rPr>
          <w:rFonts w:hAnsi="宋体"/>
          <w:color w:val="auto"/>
          <w:highlight w:val="none"/>
        </w:rPr>
      </w:pPr>
      <w:r>
        <w:rPr>
          <w:rFonts w:hint="eastAsia" w:hAnsi="宋体"/>
          <w:color w:val="auto"/>
          <w:highlight w:val="none"/>
        </w:rPr>
        <w:t>（4）投标技术方案不明确，存在一个或一个以上备选（替代）投标方案的；</w:t>
      </w:r>
    </w:p>
    <w:p>
      <w:pPr>
        <w:pStyle w:val="18"/>
        <w:spacing w:line="440" w:lineRule="exact"/>
        <w:ind w:firstLine="718" w:firstLineChars="342"/>
        <w:rPr>
          <w:rFonts w:hAnsi="宋体"/>
          <w:color w:val="auto"/>
          <w:highlight w:val="none"/>
        </w:rPr>
      </w:pPr>
      <w:r>
        <w:rPr>
          <w:rFonts w:hint="eastAsia" w:hAnsi="宋体"/>
          <w:color w:val="auto"/>
          <w:highlight w:val="none"/>
        </w:rPr>
        <w:t>（5）与其他参加本次投标供应商的投标文件（技术文件）的文字表述内容差错相同二处以上的；</w:t>
      </w:r>
    </w:p>
    <w:p>
      <w:pPr>
        <w:pStyle w:val="18"/>
        <w:spacing w:line="440" w:lineRule="exact"/>
        <w:ind w:firstLine="424" w:firstLineChars="202"/>
        <w:rPr>
          <w:rFonts w:hAnsi="宋体"/>
          <w:color w:val="auto"/>
          <w:highlight w:val="none"/>
        </w:rPr>
      </w:pPr>
      <w:r>
        <w:rPr>
          <w:rFonts w:hint="eastAsia" w:hAnsi="宋体"/>
          <w:color w:val="auto"/>
          <w:highlight w:val="none"/>
        </w:rPr>
        <w:t>21.1.3在报价评审时，如发现下列情形之一的，投标文件将被视为无效：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（1）未采用人民币报价或者未按照招标文件标明的币种报价的；</w:t>
      </w:r>
    </w:p>
    <w:p>
      <w:pPr>
        <w:pStyle w:val="18"/>
        <w:spacing w:line="440" w:lineRule="exact"/>
        <w:ind w:firstLine="718" w:firstLineChars="342"/>
        <w:rPr>
          <w:rFonts w:hAnsi="宋体"/>
          <w:color w:val="auto"/>
          <w:highlight w:val="none"/>
        </w:rPr>
      </w:pPr>
      <w:r>
        <w:rPr>
          <w:rFonts w:hint="eastAsia" w:hAnsi="宋体"/>
          <w:color w:val="auto"/>
          <w:highlight w:val="none"/>
        </w:rPr>
        <w:t>（2）报价超出招标文件规定最高限价，或者超出预算金额的；</w:t>
      </w:r>
    </w:p>
    <w:p>
      <w:pPr>
        <w:pStyle w:val="18"/>
        <w:spacing w:line="440" w:lineRule="exact"/>
        <w:ind w:firstLine="718" w:firstLineChars="342"/>
        <w:rPr>
          <w:rFonts w:hAnsi="宋体"/>
          <w:color w:val="auto"/>
          <w:highlight w:val="none"/>
        </w:rPr>
      </w:pPr>
      <w:r>
        <w:rPr>
          <w:rFonts w:hint="eastAsia" w:hAnsi="宋体"/>
          <w:color w:val="auto"/>
          <w:highlight w:val="none"/>
        </w:rPr>
        <w:t>（3）具有选择性投标报价的；</w:t>
      </w:r>
    </w:p>
    <w:p>
      <w:pPr>
        <w:pStyle w:val="18"/>
        <w:spacing w:line="440" w:lineRule="exact"/>
        <w:ind w:firstLine="718" w:firstLineChars="342"/>
        <w:rPr>
          <w:rFonts w:hAnsi="宋体"/>
          <w:color w:val="auto"/>
          <w:highlight w:val="none"/>
        </w:rPr>
      </w:pPr>
      <w:r>
        <w:rPr>
          <w:rFonts w:hint="eastAsia" w:hAnsi="宋体"/>
          <w:color w:val="auto"/>
          <w:highlight w:val="none"/>
        </w:rPr>
        <w:t>（4）投标人未就所投分标的全部内容作完整唯一报价的，或有漏项报价的或有选择的或有条件的报价的。</w:t>
      </w:r>
    </w:p>
    <w:p>
      <w:pPr>
        <w:pStyle w:val="18"/>
        <w:spacing w:line="440" w:lineRule="exact"/>
        <w:rPr>
          <w:rFonts w:hAnsi="宋体"/>
          <w:color w:val="auto"/>
          <w:highlight w:val="none"/>
        </w:rPr>
      </w:pPr>
      <w:r>
        <w:rPr>
          <w:rFonts w:hint="eastAsia" w:hAnsi="宋体"/>
          <w:color w:val="auto"/>
          <w:highlight w:val="none"/>
        </w:rPr>
        <w:t xml:space="preserve">   21.2  有下列情形之一的视为投标人相互串通投标，投标文件将被视为无效：</w:t>
      </w:r>
    </w:p>
    <w:p>
      <w:pPr>
        <w:pStyle w:val="18"/>
        <w:spacing w:line="440" w:lineRule="exact"/>
        <w:ind w:firstLine="735" w:firstLineChars="350"/>
        <w:rPr>
          <w:rFonts w:hAnsi="宋体"/>
          <w:color w:val="auto"/>
          <w:highlight w:val="none"/>
        </w:rPr>
      </w:pPr>
      <w:r>
        <w:rPr>
          <w:rFonts w:hint="eastAsia" w:hAnsi="宋体"/>
          <w:color w:val="auto"/>
          <w:highlight w:val="none"/>
        </w:rPr>
        <w:t>（1）不同投标人的投标文件由同一单位或者个人编制；或不同投标人报名的IP地址一致的；</w:t>
      </w:r>
    </w:p>
    <w:p>
      <w:pPr>
        <w:pStyle w:val="18"/>
        <w:spacing w:line="440" w:lineRule="exact"/>
        <w:ind w:firstLine="735" w:firstLineChars="350"/>
        <w:rPr>
          <w:rFonts w:hAnsi="宋体"/>
          <w:color w:val="auto"/>
          <w:highlight w:val="none"/>
        </w:rPr>
      </w:pPr>
      <w:r>
        <w:rPr>
          <w:rFonts w:hint="eastAsia" w:hAnsi="宋体"/>
          <w:color w:val="auto"/>
          <w:highlight w:val="none"/>
        </w:rPr>
        <w:t>（2）不同投标人委托同一单位或者个人办理投标事宜；</w:t>
      </w:r>
    </w:p>
    <w:p>
      <w:pPr>
        <w:pStyle w:val="18"/>
        <w:spacing w:line="440" w:lineRule="exact"/>
        <w:ind w:firstLine="735" w:firstLineChars="350"/>
        <w:rPr>
          <w:rFonts w:hAnsi="宋体"/>
          <w:color w:val="auto"/>
          <w:highlight w:val="none"/>
        </w:rPr>
      </w:pPr>
      <w:r>
        <w:rPr>
          <w:rFonts w:hint="eastAsia" w:hAnsi="宋体"/>
          <w:color w:val="auto"/>
          <w:highlight w:val="none"/>
        </w:rPr>
        <w:t>（3）不同的投标人的投标文件载明的项目管理员为同一个人；</w:t>
      </w:r>
    </w:p>
    <w:p>
      <w:pPr>
        <w:pStyle w:val="18"/>
        <w:spacing w:line="440" w:lineRule="exact"/>
        <w:ind w:firstLine="735" w:firstLineChars="350"/>
        <w:rPr>
          <w:rFonts w:hAnsi="宋体"/>
          <w:color w:val="auto"/>
          <w:highlight w:val="none"/>
        </w:rPr>
      </w:pPr>
      <w:r>
        <w:rPr>
          <w:rFonts w:hint="eastAsia" w:hAnsi="宋体"/>
          <w:color w:val="auto"/>
          <w:highlight w:val="none"/>
        </w:rPr>
        <w:t>（4）不同投标人的投标文件异常一致或投标报价呈规律性差异；</w:t>
      </w:r>
    </w:p>
    <w:p>
      <w:pPr>
        <w:pStyle w:val="18"/>
        <w:spacing w:line="440" w:lineRule="exact"/>
        <w:ind w:firstLine="735" w:firstLineChars="350"/>
        <w:rPr>
          <w:rFonts w:hAnsi="宋体"/>
          <w:color w:val="auto"/>
          <w:highlight w:val="none"/>
        </w:rPr>
      </w:pPr>
      <w:r>
        <w:rPr>
          <w:rFonts w:hint="eastAsia" w:hAnsi="宋体"/>
          <w:color w:val="auto"/>
          <w:highlight w:val="none"/>
        </w:rPr>
        <w:t>（5）不同投标人的投标文件相互混装；</w:t>
      </w:r>
    </w:p>
    <w:p>
      <w:pPr>
        <w:pStyle w:val="18"/>
        <w:spacing w:line="440" w:lineRule="exact"/>
        <w:ind w:firstLine="735" w:firstLineChars="350"/>
        <w:rPr>
          <w:rFonts w:hAnsi="宋体"/>
          <w:color w:val="auto"/>
          <w:highlight w:val="none"/>
        </w:rPr>
      </w:pPr>
      <w:r>
        <w:rPr>
          <w:rFonts w:hint="eastAsia" w:hAnsi="宋体"/>
          <w:color w:val="auto"/>
          <w:highlight w:val="none"/>
        </w:rPr>
        <w:t>（6）不同投标人的投标保证金从同一单位或者个人账户转出。</w:t>
      </w:r>
    </w:p>
    <w:p>
      <w:pPr>
        <w:pStyle w:val="18"/>
        <w:spacing w:line="440" w:lineRule="exact"/>
        <w:rPr>
          <w:rFonts w:hAnsi="宋体"/>
          <w:b/>
          <w:bCs/>
          <w:color w:val="auto"/>
          <w:sz w:val="24"/>
          <w:highlight w:val="none"/>
        </w:rPr>
      </w:pPr>
      <w:r>
        <w:rPr>
          <w:rFonts w:hint="eastAsia" w:hAnsi="宋体"/>
          <w:b/>
          <w:bCs/>
          <w:color w:val="auto"/>
          <w:sz w:val="24"/>
          <w:highlight w:val="none"/>
        </w:rPr>
        <w:t>22.  废标</w:t>
      </w:r>
    </w:p>
    <w:p>
      <w:pPr>
        <w:pStyle w:val="18"/>
        <w:spacing w:line="440" w:lineRule="exact"/>
        <w:ind w:firstLine="359" w:firstLineChars="171"/>
        <w:rPr>
          <w:rFonts w:hAnsi="宋体"/>
          <w:color w:val="auto"/>
          <w:highlight w:val="none"/>
        </w:rPr>
      </w:pPr>
      <w:r>
        <w:rPr>
          <w:rFonts w:hint="eastAsia" w:hAnsi="宋体"/>
          <w:color w:val="auto"/>
          <w:highlight w:val="none"/>
        </w:rPr>
        <w:t>22.1  在招标过程中，出现下列情形之一的，予以废标：</w:t>
      </w:r>
    </w:p>
    <w:p>
      <w:pPr>
        <w:pStyle w:val="18"/>
        <w:spacing w:line="440" w:lineRule="exact"/>
        <w:ind w:firstLine="359" w:firstLineChars="171"/>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18"/>
        <w:spacing w:line="440" w:lineRule="exact"/>
        <w:ind w:firstLine="420"/>
        <w:rPr>
          <w:rFonts w:hAnsi="宋体"/>
          <w:b/>
          <w:color w:val="auto"/>
          <w:highlight w:val="none"/>
        </w:rPr>
      </w:pPr>
      <w:r>
        <w:rPr>
          <w:rFonts w:hint="eastAsia" w:hAnsi="宋体"/>
          <w:b/>
          <w:color w:val="auto"/>
          <w:highlight w:val="none"/>
        </w:rPr>
        <w:t>有效投标供应商数量计算：</w:t>
      </w:r>
    </w:p>
    <w:p>
      <w:pPr>
        <w:pStyle w:val="18"/>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8"/>
        <w:spacing w:line="440" w:lineRule="exact"/>
        <w:ind w:firstLine="420" w:firstLineChars="200"/>
        <w:jc w:val="left"/>
        <w:rPr>
          <w:rFonts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ind w:firstLine="420" w:firstLineChars="200"/>
        <w:jc w:val="left"/>
        <w:rPr>
          <w:rFonts w:ascii="宋体" w:hAnsi="宋体" w:cs="宋体"/>
          <w:color w:val="auto"/>
          <w:szCs w:val="20"/>
          <w:highlight w:val="none"/>
        </w:rPr>
      </w:pPr>
      <w:r>
        <w:rPr>
          <w:rFonts w:hint="eastAsia" w:ascii="宋体" w:hAnsi="宋体" w:cs="宋体"/>
          <w:color w:val="auto"/>
          <w:szCs w:val="20"/>
          <w:highlight w:val="none"/>
        </w:rPr>
        <w:t>③非单一产品采购项目，采购人应当根据采购项目技术构成、产品价格比重等合理确定核心产品，并在招标文件中载明。多家投标人提供的核心产品品牌相同的，按上述规定处理。</w:t>
      </w:r>
    </w:p>
    <w:p>
      <w:pPr>
        <w:pStyle w:val="18"/>
        <w:spacing w:line="440" w:lineRule="exact"/>
        <w:ind w:firstLine="420"/>
        <w:rPr>
          <w:rFonts w:hAnsi="宋体" w:cs="宋体"/>
          <w:color w:val="auto"/>
          <w:highlight w:val="none"/>
        </w:rPr>
      </w:pPr>
      <w:r>
        <w:rPr>
          <w:rFonts w:hint="eastAsia" w:hAnsi="宋体" w:cs="宋体"/>
          <w:color w:val="auto"/>
          <w:highlight w:val="none"/>
        </w:rPr>
        <w:t>（2）出现影响采购公正的违法、违规行为的；</w:t>
      </w:r>
    </w:p>
    <w:p>
      <w:pPr>
        <w:pStyle w:val="18"/>
        <w:spacing w:line="440" w:lineRule="exact"/>
        <w:ind w:firstLine="420"/>
        <w:rPr>
          <w:rFonts w:hAnsi="宋体" w:cs="宋体"/>
          <w:color w:val="auto"/>
          <w:highlight w:val="none"/>
        </w:rPr>
      </w:pPr>
      <w:r>
        <w:rPr>
          <w:rFonts w:hint="eastAsia" w:hAnsi="宋体" w:cs="宋体"/>
          <w:color w:val="auto"/>
          <w:highlight w:val="none"/>
        </w:rPr>
        <w:t>（3）投标人的报价均超过了预算金额，采购人不能支付的；</w:t>
      </w:r>
    </w:p>
    <w:p>
      <w:pPr>
        <w:pStyle w:val="18"/>
        <w:spacing w:line="440" w:lineRule="exact"/>
        <w:ind w:firstLine="420"/>
        <w:rPr>
          <w:rFonts w:hAnsi="宋体" w:cs="宋体"/>
          <w:color w:val="auto"/>
          <w:highlight w:val="none"/>
        </w:rPr>
      </w:pPr>
      <w:r>
        <w:rPr>
          <w:rFonts w:hint="eastAsia" w:hAnsi="宋体" w:cs="宋体"/>
          <w:color w:val="auto"/>
          <w:highlight w:val="none"/>
        </w:rPr>
        <w:t>（4）因重大变故，采购任务取消的。</w:t>
      </w:r>
    </w:p>
    <w:p>
      <w:pPr>
        <w:pStyle w:val="18"/>
        <w:spacing w:line="440" w:lineRule="exact"/>
        <w:ind w:firstLine="411" w:firstLineChars="196"/>
        <w:rPr>
          <w:rFonts w:hAnsi="宋体"/>
          <w:color w:val="auto"/>
          <w:highlight w:val="none"/>
        </w:rPr>
      </w:pPr>
      <w:r>
        <w:rPr>
          <w:rFonts w:hint="eastAsia" w:hAnsi="宋体"/>
          <w:color w:val="auto"/>
          <w:highlight w:val="none"/>
        </w:rPr>
        <w:t>22.2  废标后，采购代理机构将在本章第2.1项规定的政府采购信息发布媒体上公告废标理由，不再另行通知。</w:t>
      </w:r>
    </w:p>
    <w:p>
      <w:pPr>
        <w:pStyle w:val="18"/>
        <w:spacing w:line="440" w:lineRule="exact"/>
        <w:jc w:val="center"/>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9" w:name="_Toc401396880"/>
      <w:bookmarkStart w:id="70" w:name="_Toc6668"/>
      <w:bookmarkStart w:id="71" w:name="_Toc213326421"/>
      <w:r>
        <w:rPr>
          <w:rFonts w:hint="eastAsia" w:ascii="Times New Roman" w:hAnsi="Times New Roman"/>
          <w:b/>
          <w:color w:val="auto"/>
          <w:sz w:val="30"/>
          <w:szCs w:val="30"/>
          <w:highlight w:val="none"/>
        </w:rPr>
        <w:t>六    合同授予</w:t>
      </w:r>
      <w:bookmarkEnd w:id="69"/>
      <w:bookmarkEnd w:id="70"/>
      <w:bookmarkEnd w:id="71"/>
    </w:p>
    <w:p>
      <w:pPr>
        <w:pStyle w:val="18"/>
        <w:spacing w:line="440" w:lineRule="exact"/>
        <w:rPr>
          <w:rFonts w:hAnsi="宋体"/>
          <w:bCs/>
          <w:color w:val="auto"/>
          <w:sz w:val="24"/>
          <w:highlight w:val="none"/>
        </w:rPr>
      </w:pPr>
      <w:r>
        <w:rPr>
          <w:rFonts w:hint="eastAsia" w:hAnsi="宋体"/>
          <w:bCs/>
          <w:color w:val="auto"/>
          <w:sz w:val="24"/>
          <w:highlight w:val="none"/>
        </w:rPr>
        <w:t>23.  中标供应商的确定</w:t>
      </w:r>
    </w:p>
    <w:p>
      <w:pPr>
        <w:spacing w:line="440" w:lineRule="exact"/>
        <w:ind w:firstLine="420"/>
        <w:rPr>
          <w:rFonts w:ascii="宋体" w:hAnsi="宋体"/>
          <w:color w:val="auto"/>
          <w:szCs w:val="20"/>
          <w:highlight w:val="none"/>
        </w:rPr>
      </w:pPr>
      <w:r>
        <w:rPr>
          <w:rFonts w:hint="eastAsia" w:ascii="宋体" w:hAnsi="宋体"/>
          <w:color w:val="auto"/>
          <w:szCs w:val="20"/>
          <w:highlight w:val="none"/>
        </w:rPr>
        <w:t>23.1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8"/>
        <w:spacing w:line="440" w:lineRule="exact"/>
        <w:rPr>
          <w:rFonts w:hAnsi="宋体"/>
          <w:bCs/>
          <w:color w:val="auto"/>
          <w:sz w:val="24"/>
          <w:highlight w:val="none"/>
        </w:rPr>
      </w:pPr>
      <w:r>
        <w:rPr>
          <w:rFonts w:hint="eastAsia" w:hAnsi="宋体"/>
          <w:bCs/>
          <w:color w:val="auto"/>
          <w:sz w:val="24"/>
          <w:highlight w:val="none"/>
        </w:rPr>
        <w:t>24.  中标通知书</w:t>
      </w:r>
    </w:p>
    <w:p>
      <w:pPr>
        <w:pStyle w:val="18"/>
        <w:spacing w:line="440" w:lineRule="exact"/>
        <w:ind w:firstLine="360"/>
        <w:rPr>
          <w:rFonts w:cs="宋体"/>
          <w:color w:val="auto"/>
          <w:kern w:val="0"/>
          <w:szCs w:val="21"/>
          <w:highlight w:val="none"/>
        </w:rPr>
      </w:pPr>
      <w:r>
        <w:rPr>
          <w:rFonts w:hint="eastAsia" w:hAnsi="宋体"/>
          <w:color w:val="auto"/>
          <w:highlight w:val="none"/>
        </w:rPr>
        <w:t xml:space="preserve">24.1  </w:t>
      </w:r>
      <w:r>
        <w:rPr>
          <w:rFonts w:hint="eastAsia" w:cs="宋体"/>
          <w:color w:val="auto"/>
          <w:kern w:val="0"/>
          <w:szCs w:val="21"/>
          <w:highlight w:val="none"/>
        </w:rPr>
        <w:t>评标结束后，评标结果由采购代理机构在本章第2.1项规定的政府采购信息发布媒体上公示，公示期为一个工作日，公告期满无异议的，由采购代理机构向中标供应商发出政府采购合同。</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24.1.1  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排名第二的中标候选人因前款规定的同样原因被取消中标资格的，采购人可以确定排名第三的中标候选人为中标人。</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以上信息查询记录及相关证据与采购文件一并保存。</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24.2  中标通知书对采购人和中标供应商具有同等法律效力。中标通知书发出后，采购人改变中标结果，或者中标供应商放弃中标，应当承担相应的法律责任。</w:t>
      </w:r>
    </w:p>
    <w:p>
      <w:pPr>
        <w:pStyle w:val="18"/>
        <w:spacing w:line="440" w:lineRule="exact"/>
        <w:rPr>
          <w:rFonts w:hAnsi="宋体"/>
          <w:bCs/>
          <w:color w:val="auto"/>
          <w:sz w:val="24"/>
          <w:highlight w:val="none"/>
        </w:rPr>
      </w:pPr>
      <w:r>
        <w:rPr>
          <w:rFonts w:hint="eastAsia" w:hAnsi="宋体"/>
          <w:bCs/>
          <w:color w:val="auto"/>
          <w:sz w:val="24"/>
          <w:highlight w:val="none"/>
        </w:rPr>
        <w:t>25.  投标文件及投标样品的退回</w:t>
      </w:r>
    </w:p>
    <w:p>
      <w:pPr>
        <w:pStyle w:val="18"/>
        <w:spacing w:line="440" w:lineRule="exact"/>
        <w:ind w:firstLine="420" w:firstLineChars="200"/>
        <w:rPr>
          <w:rFonts w:hAnsi="宋体"/>
          <w:color w:val="auto"/>
          <w:highlight w:val="none"/>
        </w:rPr>
      </w:pPr>
      <w:r>
        <w:rPr>
          <w:rFonts w:hint="eastAsia" w:hAnsi="宋体"/>
          <w:color w:val="auto"/>
          <w:highlight w:val="none"/>
        </w:rPr>
        <w:t>26.1  采购人和中标供应商应当在第二章“项目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color w:val="auto"/>
          <w:highlight w:val="none"/>
        </w:rPr>
        <w:t>均应在合同的签章处签章，</w:t>
      </w:r>
      <w:r>
        <w:rPr>
          <w:rFonts w:hint="eastAsia" w:hAnsi="宋体"/>
          <w:color w:val="auto"/>
          <w:highlight w:val="none"/>
        </w:rPr>
        <w:t>就采购合同约定的事项对采购人承担连带责任。</w:t>
      </w:r>
    </w:p>
    <w:p>
      <w:pPr>
        <w:pStyle w:val="18"/>
        <w:spacing w:line="440" w:lineRule="exact"/>
        <w:ind w:firstLine="420" w:firstLineChars="200"/>
        <w:rPr>
          <w:rFonts w:hAnsi="宋体"/>
          <w:color w:val="auto"/>
          <w:highlight w:val="none"/>
        </w:rPr>
      </w:pPr>
      <w:r>
        <w:rPr>
          <w:rFonts w:hint="eastAsia" w:hAnsi="宋体"/>
          <w:color w:val="auto"/>
          <w:highlight w:val="none"/>
        </w:rPr>
        <w:t xml:space="preserve">26.2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440" w:lineRule="exact"/>
        <w:ind w:firstLine="360"/>
        <w:rPr>
          <w:rFonts w:hAnsi="宋体"/>
          <w:color w:val="auto"/>
          <w:highlight w:val="none"/>
        </w:rPr>
      </w:pPr>
      <w:r>
        <w:rPr>
          <w:rFonts w:hint="eastAsia" w:cs="宋体"/>
          <w:color w:val="auto"/>
          <w:kern w:val="0"/>
          <w:szCs w:val="28"/>
          <w:highlight w:val="none"/>
        </w:rPr>
        <w:t>26.4</w:t>
      </w:r>
      <w:r>
        <w:rPr>
          <w:rFonts w:hint="eastAsia" w:cs="宋体"/>
          <w:color w:val="auto"/>
          <w:szCs w:val="28"/>
          <w:highlight w:val="none"/>
        </w:rPr>
        <w:t>政府采购合同签订后一个工作日内，由采购人将合同扫描件上传至南宁市电子化政府采购系统，由采购代理机构将合同扫描件上传到南宁市财政局备案系统。</w:t>
      </w:r>
    </w:p>
    <w:p>
      <w:pPr>
        <w:pStyle w:val="18"/>
        <w:spacing w:line="440" w:lineRule="exact"/>
        <w:ind w:firstLine="360"/>
        <w:rPr>
          <w:rFonts w:hAnsi="宋体"/>
          <w:color w:val="auto"/>
          <w:highlight w:val="none"/>
        </w:rPr>
      </w:pPr>
      <w:r>
        <w:rPr>
          <w:rFonts w:hint="eastAsia" w:hAnsi="宋体"/>
          <w:color w:val="auto"/>
          <w:highlight w:val="none"/>
        </w:rPr>
        <w:t>26.5 中标通知书发出后，中标供应商无正当理由拒签合同的，采购人可追究中标供应商</w:t>
      </w:r>
      <w:r>
        <w:rPr>
          <w:rFonts w:hint="eastAsia" w:cs="宋体"/>
          <w:color w:val="auto"/>
          <w:kern w:val="0"/>
          <w:szCs w:val="21"/>
          <w:highlight w:val="none"/>
        </w:rPr>
        <w:t>承担相应的法律责任</w:t>
      </w:r>
      <w:r>
        <w:rPr>
          <w:rFonts w:hint="eastAsia" w:hAnsi="宋体"/>
          <w:color w:val="auto"/>
          <w:highlight w:val="none"/>
        </w:rPr>
        <w:t>。</w:t>
      </w:r>
    </w:p>
    <w:p>
      <w:pPr>
        <w:pStyle w:val="18"/>
        <w:spacing w:line="440" w:lineRule="exact"/>
        <w:ind w:firstLine="360"/>
        <w:rPr>
          <w:rFonts w:hAnsi="宋体"/>
          <w:color w:val="auto"/>
          <w:highlight w:val="none"/>
        </w:rPr>
      </w:pPr>
      <w:r>
        <w:rPr>
          <w:rFonts w:hint="eastAsia" w:hAnsi="宋体"/>
          <w:color w:val="auto"/>
          <w:highlight w:val="none"/>
        </w:rPr>
        <w:t>如采购人无正当理由拒签合同的，给中标供应商造成损失的，中标供应商可追究采购人承担相应的法律责任。</w:t>
      </w:r>
    </w:p>
    <w:p>
      <w:pPr>
        <w:pStyle w:val="18"/>
        <w:spacing w:line="440" w:lineRule="exact"/>
        <w:ind w:firstLine="360"/>
        <w:rPr>
          <w:rFonts w:hAnsi="宋体"/>
          <w:color w:val="auto"/>
          <w:highlight w:val="none"/>
        </w:rPr>
      </w:pPr>
      <w:r>
        <w:rPr>
          <w:rFonts w:hint="eastAsia" w:hAnsi="宋体"/>
          <w:color w:val="auto"/>
          <w:highlight w:val="none"/>
        </w:rPr>
        <w:t xml:space="preserve">26.6  </w:t>
      </w:r>
      <w:r>
        <w:rPr>
          <w:rFonts w:hint="eastAsia" w:hAnsi="宋体"/>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18"/>
        <w:spacing w:line="440" w:lineRule="exact"/>
        <w:ind w:firstLine="360"/>
        <w:rPr>
          <w:rFonts w:hAnsi="宋体"/>
          <w:color w:val="auto"/>
          <w:highlight w:val="none"/>
        </w:rPr>
      </w:pPr>
      <w:r>
        <w:rPr>
          <w:rFonts w:hint="eastAsia" w:hAnsi="宋体"/>
          <w:color w:val="auto"/>
          <w:highlight w:val="none"/>
        </w:rPr>
        <w:t>26.7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26.8　采购人或中标供应商不得单方面向合同另一方提出任何招标文件没有约定的条件或不合理的要求，作为签订合同的条件，也不得协商另行订立背离招标文件和合同实质性内容的协议。</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26.9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26.10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440" w:lineRule="exact"/>
        <w:ind w:firstLine="420"/>
        <w:rPr>
          <w:rFonts w:cs="宋体"/>
          <w:color w:val="auto"/>
          <w:kern w:val="0"/>
          <w:sz w:val="28"/>
          <w:szCs w:val="28"/>
          <w:highlight w:val="none"/>
        </w:rPr>
      </w:pPr>
      <w:r>
        <w:rPr>
          <w:rFonts w:hint="eastAsia" w:cs="宋体"/>
          <w:color w:val="auto"/>
          <w:kern w:val="0"/>
          <w:szCs w:val="28"/>
          <w:highlight w:val="none"/>
        </w:rPr>
        <w:t>26.11　采购人或中标供应商在合同履行过程中存在违反政府采购合同行为的，权益受损当事人应当将有关违约的情况以及拟采取的措施，及时书面报告采购代理机构。</w:t>
      </w:r>
    </w:p>
    <w:p>
      <w:pPr>
        <w:pStyle w:val="18"/>
        <w:spacing w:line="440" w:lineRule="exact"/>
        <w:rPr>
          <w:rFonts w:hAnsi="宋体"/>
          <w:bCs/>
          <w:color w:val="auto"/>
          <w:sz w:val="24"/>
          <w:highlight w:val="none"/>
        </w:rPr>
      </w:pPr>
      <w:r>
        <w:rPr>
          <w:rFonts w:hint="eastAsia" w:hAnsi="宋体"/>
          <w:bCs/>
          <w:color w:val="auto"/>
          <w:sz w:val="24"/>
          <w:highlight w:val="none"/>
        </w:rPr>
        <w:t>27.  履约保证金</w:t>
      </w:r>
    </w:p>
    <w:p>
      <w:pPr>
        <w:pStyle w:val="18"/>
        <w:spacing w:after="165" w:line="440" w:lineRule="exact"/>
        <w:ind w:left="2" w:firstLine="422" w:firstLineChars="201"/>
        <w:rPr>
          <w:rFonts w:hAnsi="宋体"/>
          <w:color w:val="auto"/>
          <w:highlight w:val="none"/>
        </w:rPr>
      </w:pPr>
      <w:r>
        <w:rPr>
          <w:rFonts w:hint="eastAsia" w:hAnsi="宋体"/>
          <w:color w:val="auto"/>
          <w:szCs w:val="28"/>
          <w:highlight w:val="none"/>
        </w:rPr>
        <w:t>本项目不收取履约保证金及质量保证金</w:t>
      </w:r>
    </w:p>
    <w:p>
      <w:pPr>
        <w:pStyle w:val="18"/>
        <w:spacing w:line="440" w:lineRule="exact"/>
        <w:jc w:val="center"/>
        <w:outlineLvl w:val="1"/>
        <w:rPr>
          <w:rFonts w:ascii="Times New Roman" w:hAnsi="Times New Roman"/>
          <w:b/>
          <w:color w:val="auto"/>
          <w:sz w:val="30"/>
          <w:szCs w:val="30"/>
          <w:highlight w:val="none"/>
        </w:rPr>
      </w:pPr>
      <w:bookmarkStart w:id="72" w:name="_Toc401396881"/>
      <w:bookmarkStart w:id="73" w:name="_Toc213326422"/>
      <w:bookmarkStart w:id="74" w:name="_Toc23695"/>
      <w:r>
        <w:rPr>
          <w:rFonts w:hint="eastAsia" w:ascii="Times New Roman" w:hAnsi="Times New Roman"/>
          <w:b/>
          <w:color w:val="auto"/>
          <w:sz w:val="30"/>
          <w:szCs w:val="30"/>
          <w:highlight w:val="none"/>
        </w:rPr>
        <w:t>七    其他事项</w:t>
      </w:r>
      <w:bookmarkEnd w:id="72"/>
      <w:bookmarkEnd w:id="73"/>
      <w:bookmarkEnd w:id="74"/>
    </w:p>
    <w:p>
      <w:pPr>
        <w:pStyle w:val="18"/>
        <w:spacing w:line="440" w:lineRule="exact"/>
        <w:rPr>
          <w:rFonts w:hAnsi="宋体"/>
          <w:bCs/>
          <w:color w:val="auto"/>
          <w:sz w:val="24"/>
          <w:highlight w:val="none"/>
        </w:rPr>
      </w:pPr>
      <w:r>
        <w:rPr>
          <w:rFonts w:hint="eastAsia" w:hAnsi="宋体"/>
          <w:bCs/>
          <w:color w:val="auto"/>
          <w:sz w:val="24"/>
          <w:highlight w:val="none"/>
        </w:rPr>
        <w:t>28.  解释权</w:t>
      </w:r>
    </w:p>
    <w:p>
      <w:pPr>
        <w:pStyle w:val="18"/>
        <w:spacing w:line="440" w:lineRule="exact"/>
        <w:ind w:firstLine="360"/>
        <w:jc w:val="left"/>
        <w:rPr>
          <w:rFonts w:hAnsi="宋体"/>
          <w:color w:val="auto"/>
          <w:highlight w:val="none"/>
        </w:rPr>
      </w:pPr>
      <w:r>
        <w:rPr>
          <w:rFonts w:hint="eastAsia" w:hAnsi="宋体"/>
          <w:color w:val="auto"/>
          <w:highlight w:val="none"/>
        </w:rPr>
        <w:t xml:space="preserve">28.1  </w:t>
      </w:r>
      <w:r>
        <w:rPr>
          <w:rFonts w:hint="eastAsia" w:hAnsi="宋体"/>
          <w:color w:val="auto"/>
          <w:szCs w:val="21"/>
          <w:highlight w:val="none"/>
        </w:rPr>
        <w:t>本招标文件根据《中华人民共和国政府采购法》、《政府采购货物和服务招标投标管理办法》（财政部第18号令）及相关法律法规编制，解释权属采购代理机构。</w:t>
      </w:r>
    </w:p>
    <w:p>
      <w:pPr>
        <w:pStyle w:val="18"/>
        <w:spacing w:line="440" w:lineRule="exact"/>
        <w:jc w:val="left"/>
        <w:rPr>
          <w:rFonts w:hAnsi="宋体"/>
          <w:color w:val="auto"/>
          <w:sz w:val="24"/>
          <w:highlight w:val="none"/>
        </w:rPr>
      </w:pPr>
      <w:r>
        <w:rPr>
          <w:rFonts w:hint="eastAsia" w:hAnsi="宋体"/>
          <w:color w:val="auto"/>
          <w:sz w:val="24"/>
          <w:highlight w:val="none"/>
        </w:rPr>
        <w:t>29.  需要补充的其他内容</w:t>
      </w:r>
    </w:p>
    <w:p>
      <w:pPr>
        <w:pStyle w:val="18"/>
        <w:spacing w:line="440" w:lineRule="exact"/>
        <w:ind w:firstLine="360"/>
        <w:jc w:val="left"/>
        <w:rPr>
          <w:rFonts w:hAnsi="宋体"/>
          <w:color w:val="auto"/>
          <w:highlight w:val="none"/>
        </w:rPr>
      </w:pPr>
      <w:r>
        <w:rPr>
          <w:rFonts w:hint="eastAsia" w:hAnsi="宋体"/>
          <w:color w:val="auto"/>
          <w:highlight w:val="none"/>
        </w:rPr>
        <w:t>29.1  需要补充的其他内容：见投标人须知前附表。</w:t>
      </w:r>
    </w:p>
    <w:p>
      <w:pPr>
        <w:pStyle w:val="18"/>
        <w:snapToGrid w:val="0"/>
        <w:spacing w:line="360" w:lineRule="exact"/>
        <w:ind w:firstLine="420" w:firstLineChars="200"/>
        <w:rPr>
          <w:rFonts w:hAnsi="宋体"/>
          <w:color w:val="auto"/>
          <w:szCs w:val="21"/>
          <w:highlight w:val="none"/>
        </w:rPr>
      </w:pPr>
    </w:p>
    <w:p>
      <w:pPr>
        <w:pStyle w:val="18"/>
        <w:snapToGrid w:val="0"/>
        <w:spacing w:line="360" w:lineRule="exact"/>
        <w:ind w:firstLine="420" w:firstLineChars="200"/>
        <w:rPr>
          <w:rFonts w:hAnsi="宋体"/>
          <w:color w:val="auto"/>
          <w:szCs w:val="21"/>
          <w:highlight w:val="none"/>
        </w:rPr>
      </w:pPr>
    </w:p>
    <w:p>
      <w:pPr>
        <w:pStyle w:val="18"/>
        <w:snapToGrid w:val="0"/>
        <w:spacing w:line="360" w:lineRule="exact"/>
        <w:ind w:firstLine="420" w:firstLineChars="200"/>
        <w:rPr>
          <w:rFonts w:hAnsi="宋体"/>
          <w:color w:val="auto"/>
          <w:szCs w:val="21"/>
          <w:highlight w:val="none"/>
        </w:rPr>
      </w:pPr>
      <w:r>
        <w:rPr>
          <w:rFonts w:hint="eastAsia" w:hAnsi="宋体"/>
          <w:color w:val="auto"/>
          <w:szCs w:val="21"/>
          <w:highlight w:val="none"/>
        </w:rPr>
        <w:t>附件一：</w:t>
      </w:r>
    </w:p>
    <w:p>
      <w:pPr>
        <w:pStyle w:val="18"/>
        <w:snapToGrid w:val="0"/>
        <w:spacing w:line="360" w:lineRule="exact"/>
        <w:ind w:firstLine="420" w:firstLineChars="200"/>
        <w:rPr>
          <w:rFonts w:hAnsi="宋体"/>
          <w:color w:val="auto"/>
          <w:szCs w:val="21"/>
          <w:highlight w:val="none"/>
        </w:rPr>
      </w:pPr>
      <w:r>
        <w:rPr>
          <w:rFonts w:hint="eastAsia" w:hAnsi="宋体"/>
          <w:color w:val="auto"/>
          <w:szCs w:val="21"/>
          <w:highlight w:val="none"/>
        </w:rPr>
        <w:t>代理服务收费标准：</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087"/>
        <w:gridCol w:w="189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Borders>
              <w:tl2br w:val="single" w:color="auto" w:sz="4" w:space="0"/>
            </w:tcBorders>
          </w:tcPr>
          <w:p>
            <w:pPr>
              <w:spacing w:line="360" w:lineRule="exact"/>
              <w:rPr>
                <w:rFonts w:ascii="宋体" w:hAnsi="宋体"/>
                <w:color w:val="auto"/>
                <w:szCs w:val="21"/>
                <w:highlight w:val="none"/>
              </w:rPr>
            </w:pPr>
            <w:r>
              <w:rPr>
                <w:rFonts w:hint="eastAsia" w:ascii="宋体" w:hAnsi="宋体"/>
                <w:color w:val="auto"/>
                <w:szCs w:val="21"/>
                <w:highlight w:val="none"/>
              </w:rPr>
              <w:t xml:space="preserve">                     费率</w:t>
            </w:r>
          </w:p>
          <w:p>
            <w:pPr>
              <w:spacing w:line="360" w:lineRule="exact"/>
              <w:rPr>
                <w:rFonts w:ascii="宋体" w:hAnsi="宋体"/>
                <w:color w:val="auto"/>
                <w:szCs w:val="21"/>
                <w:highlight w:val="none"/>
              </w:rPr>
            </w:pPr>
            <w:r>
              <w:rPr>
                <w:rFonts w:hint="eastAsia" w:ascii="宋体" w:hAnsi="宋体"/>
                <w:color w:val="auto"/>
                <w:szCs w:val="21"/>
                <w:highlight w:val="none"/>
              </w:rPr>
              <w:t>中标金额</w:t>
            </w:r>
          </w:p>
        </w:tc>
        <w:tc>
          <w:tcPr>
            <w:tcW w:w="2087"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货物招标</w:t>
            </w:r>
          </w:p>
        </w:tc>
        <w:tc>
          <w:tcPr>
            <w:tcW w:w="189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服务招标</w:t>
            </w:r>
          </w:p>
        </w:tc>
        <w:tc>
          <w:tcPr>
            <w:tcW w:w="1896"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100万元以下</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1.5%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1.5%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100～500万元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1.1%</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0.8%</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500～1000万元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0.8%</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0.45%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1000～5000万元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0.25%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5000万元～1亿元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0.25%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0.1%</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1～5亿元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5～10亿元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10～50亿元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50～100亿元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100亿以上</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r>
    </w:tbl>
    <w:p>
      <w:pPr>
        <w:pStyle w:val="18"/>
        <w:spacing w:line="360" w:lineRule="auto"/>
        <w:rPr>
          <w:rFonts w:hAnsi="宋体"/>
          <w:color w:val="auto"/>
          <w:highlight w:val="none"/>
        </w:rPr>
      </w:pPr>
    </w:p>
    <w:p>
      <w:pPr>
        <w:pStyle w:val="18"/>
        <w:spacing w:line="360" w:lineRule="auto"/>
        <w:rPr>
          <w:rFonts w:hAnsi="宋体"/>
          <w:color w:val="auto"/>
          <w:highlight w:val="none"/>
        </w:rPr>
      </w:pPr>
    </w:p>
    <w:p>
      <w:pPr>
        <w:pStyle w:val="18"/>
        <w:spacing w:line="360" w:lineRule="auto"/>
        <w:rPr>
          <w:rFonts w:hAnsi="宋体"/>
          <w:color w:val="auto"/>
          <w:highlight w:val="none"/>
        </w:rPr>
      </w:pPr>
    </w:p>
    <w:p>
      <w:pPr>
        <w:pStyle w:val="18"/>
        <w:spacing w:line="360" w:lineRule="auto"/>
        <w:rPr>
          <w:rFonts w:hAnsi="宋体"/>
          <w:color w:val="auto"/>
          <w:highlight w:val="none"/>
        </w:rPr>
      </w:pPr>
      <w:r>
        <w:rPr>
          <w:rFonts w:hAnsi="宋体"/>
          <w:color w:val="auto"/>
          <w:highlight w:val="none"/>
        </w:rPr>
        <w:br w:type="page"/>
      </w:r>
      <w:bookmarkStart w:id="75" w:name="_Toc213325924"/>
      <w:bookmarkStart w:id="76" w:name="_Toc213206175"/>
    </w:p>
    <w:p>
      <w:pPr>
        <w:pStyle w:val="18"/>
        <w:jc w:val="center"/>
        <w:outlineLvl w:val="0"/>
        <w:rPr>
          <w:rFonts w:hAnsi="宋体"/>
          <w:color w:val="auto"/>
          <w:highlight w:val="none"/>
        </w:rPr>
      </w:pPr>
    </w:p>
    <w:p>
      <w:pPr>
        <w:pStyle w:val="18"/>
        <w:jc w:val="center"/>
        <w:outlineLvl w:val="0"/>
        <w:rPr>
          <w:rFonts w:hAnsi="宋体"/>
          <w:color w:val="auto"/>
          <w:highlight w:val="none"/>
        </w:rPr>
      </w:pPr>
      <w:bookmarkStart w:id="77" w:name="_Toc8044"/>
      <w:r>
        <w:rPr>
          <w:rFonts w:hint="eastAsia" w:ascii="Times New Roman" w:hAnsi="Times New Roman"/>
          <w:b/>
          <w:color w:val="auto"/>
          <w:sz w:val="36"/>
          <w:highlight w:val="none"/>
        </w:rPr>
        <w:t>第五章  投标文件格式</w:t>
      </w:r>
      <w:bookmarkEnd w:id="75"/>
      <w:bookmarkEnd w:id="76"/>
      <w:bookmarkEnd w:id="77"/>
      <w:bookmarkStart w:id="78" w:name="_Toc139967211"/>
      <w:bookmarkStart w:id="79" w:name="_Toc139966427"/>
    </w:p>
    <w:bookmarkEnd w:id="78"/>
    <w:bookmarkEnd w:id="79"/>
    <w:p>
      <w:pPr>
        <w:snapToGrid w:val="0"/>
        <w:spacing w:before="165" w:beforeLines="50" w:after="50"/>
        <w:outlineLvl w:val="1"/>
        <w:rPr>
          <w:rFonts w:ascii="宋体" w:hAnsi="宋体"/>
          <w:b/>
          <w:bCs/>
          <w:color w:val="auto"/>
          <w:sz w:val="24"/>
          <w:highlight w:val="none"/>
        </w:rPr>
      </w:pPr>
      <w:bookmarkStart w:id="80" w:name="_Toc495996916"/>
      <w:bookmarkStart w:id="81" w:name="_Toc29175"/>
      <w:bookmarkStart w:id="82" w:name="_Toc2324"/>
      <w:r>
        <w:rPr>
          <w:rFonts w:hint="eastAsia" w:ascii="宋体" w:hAnsi="宋体"/>
          <w:b/>
          <w:bCs/>
          <w:color w:val="auto"/>
          <w:sz w:val="24"/>
          <w:highlight w:val="none"/>
        </w:rPr>
        <w:t>投标文件外层包装封面格式</w:t>
      </w:r>
      <w:bookmarkEnd w:id="80"/>
      <w:r>
        <w:rPr>
          <w:rFonts w:hint="eastAsia" w:ascii="宋体" w:hAnsi="宋体"/>
          <w:b/>
          <w:bCs/>
          <w:color w:val="auto"/>
          <w:sz w:val="24"/>
          <w:highlight w:val="none"/>
        </w:rPr>
        <w:t>：</w:t>
      </w:r>
      <w:bookmarkEnd w:id="81"/>
      <w:bookmarkEnd w:id="82"/>
    </w:p>
    <w:p>
      <w:pPr>
        <w:snapToGrid w:val="0"/>
        <w:spacing w:before="165" w:beforeLines="50" w:after="50"/>
        <w:jc w:val="center"/>
        <w:rPr>
          <w:rFonts w:ascii="宋体" w:hAnsi="宋体"/>
          <w:bCs/>
          <w:color w:val="auto"/>
          <w:sz w:val="32"/>
          <w:szCs w:val="32"/>
          <w:highlight w:val="none"/>
        </w:rPr>
      </w:pPr>
      <w:r>
        <w:rPr>
          <w:rFonts w:hint="eastAsia" w:ascii="宋体" w:hAnsi="宋体"/>
          <w:bCs/>
          <w:color w:val="auto"/>
          <w:sz w:val="32"/>
          <w:szCs w:val="32"/>
          <w:highlight w:val="none"/>
        </w:rPr>
        <w:t>投 标 文 件</w:t>
      </w: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360" w:firstLineChars="1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在  年  月  日  时  分之前不得启封</w:t>
      </w:r>
    </w:p>
    <w:p>
      <w:pPr>
        <w:snapToGrid w:val="0"/>
        <w:spacing w:before="165" w:beforeLines="50" w:after="50"/>
        <w:ind w:firstLine="4080" w:firstLineChars="1700"/>
        <w:rPr>
          <w:rFonts w:ascii="宋体" w:hAnsi="宋体"/>
          <w:bCs/>
          <w:color w:val="auto"/>
          <w:sz w:val="24"/>
          <w:szCs w:val="20"/>
          <w:highlight w:val="none"/>
        </w:rPr>
      </w:pPr>
    </w:p>
    <w:p>
      <w:pPr>
        <w:snapToGrid w:val="0"/>
        <w:spacing w:before="165" w:beforeLines="50" w:after="50"/>
        <w:ind w:firstLine="645"/>
        <w:jc w:val="center"/>
        <w:rPr>
          <w:rFonts w:ascii="宋体" w:hAnsi="宋体"/>
          <w:color w:val="auto"/>
          <w:highlight w:val="none"/>
        </w:rPr>
      </w:pPr>
      <w:r>
        <w:rPr>
          <w:rFonts w:hint="eastAsia" w:ascii="宋体" w:hAnsi="宋体"/>
          <w:bCs/>
          <w:color w:val="auto"/>
          <w:sz w:val="24"/>
          <w:highlight w:val="none"/>
        </w:rPr>
        <w:t xml:space="preserve">                        年    月    日</w:t>
      </w: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adjustRightInd/>
        <w:snapToGrid w:val="0"/>
        <w:spacing w:before="165" w:beforeLines="50" w:after="50" w:line="240" w:lineRule="auto"/>
        <w:jc w:val="left"/>
        <w:textAlignment w:val="auto"/>
        <w:rPr>
          <w:rFonts w:ascii="宋体" w:hAnsi="宋体"/>
          <w:b/>
          <w:color w:val="auto"/>
          <w:sz w:val="24"/>
          <w:szCs w:val="20"/>
          <w:highlight w:val="none"/>
        </w:rPr>
      </w:pPr>
      <w:r>
        <w:rPr>
          <w:rFonts w:hint="eastAsia" w:ascii="宋体" w:hAnsi="宋体"/>
          <w:b/>
          <w:color w:val="auto"/>
          <w:sz w:val="24"/>
          <w:highlight w:val="none"/>
        </w:rPr>
        <w:t>所有投标文件的外包装封面格式：</w:t>
      </w:r>
    </w:p>
    <w:p>
      <w:pPr>
        <w:snapToGrid w:val="0"/>
        <w:spacing w:before="165" w:beforeLines="50" w:after="50"/>
        <w:rPr>
          <w:rFonts w:ascii="宋体" w:hAnsi="宋体"/>
          <w:color w:val="auto"/>
          <w:sz w:val="24"/>
          <w:szCs w:val="20"/>
          <w:highlight w:val="none"/>
        </w:rPr>
      </w:pPr>
    </w:p>
    <w:p>
      <w:pPr>
        <w:snapToGrid w:val="0"/>
        <w:spacing w:before="165" w:beforeLines="50" w:after="50"/>
        <w:jc w:val="center"/>
        <w:rPr>
          <w:rFonts w:ascii="宋体" w:hAnsi="宋体"/>
          <w:bCs/>
          <w:color w:val="auto"/>
          <w:sz w:val="24"/>
          <w:szCs w:val="20"/>
          <w:highlight w:val="none"/>
        </w:rPr>
      </w:pPr>
    </w:p>
    <w:p>
      <w:pPr>
        <w:snapToGrid w:val="0"/>
        <w:spacing w:before="165" w:beforeLines="50" w:after="50"/>
        <w:jc w:val="center"/>
        <w:rPr>
          <w:rFonts w:ascii="宋体" w:hAnsi="宋体"/>
          <w:bCs/>
          <w:color w:val="auto"/>
          <w:sz w:val="32"/>
          <w:szCs w:val="32"/>
          <w:highlight w:val="none"/>
        </w:rPr>
      </w:pPr>
      <w:r>
        <w:rPr>
          <w:rFonts w:hint="eastAsia" w:ascii="宋体" w:hAnsi="宋体"/>
          <w:bCs/>
          <w:color w:val="auto"/>
          <w:sz w:val="32"/>
          <w:szCs w:val="32"/>
          <w:highlight w:val="none"/>
        </w:rPr>
        <w:t>投 标 文 件</w:t>
      </w: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360" w:firstLineChars="1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65" w:beforeLines="50" w:after="50"/>
        <w:ind w:firstLine="360" w:firstLineChars="150"/>
        <w:rPr>
          <w:rFonts w:ascii="宋体" w:hAnsi="宋体"/>
          <w:bCs/>
          <w:color w:val="auto"/>
          <w:sz w:val="24"/>
          <w:szCs w:val="20"/>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投标文件名称：报价文件、资格文件、商务文件、技术文件</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ind w:firstLine="360" w:firstLineChars="150"/>
        <w:rPr>
          <w:rFonts w:ascii="宋体" w:hAnsi="宋体"/>
          <w:bCs/>
          <w:color w:val="auto"/>
          <w:sz w:val="24"/>
          <w:highlight w:val="none"/>
        </w:rPr>
      </w:pPr>
    </w:p>
    <w:p>
      <w:pPr>
        <w:snapToGrid w:val="0"/>
        <w:spacing w:before="165" w:beforeLines="50" w:after="50"/>
        <w:ind w:firstLine="4080" w:firstLineChars="1700"/>
        <w:rPr>
          <w:rFonts w:ascii="宋体" w:hAnsi="宋体"/>
          <w:bCs/>
          <w:color w:val="auto"/>
          <w:sz w:val="24"/>
          <w:szCs w:val="20"/>
          <w:highlight w:val="none"/>
        </w:rPr>
      </w:pPr>
    </w:p>
    <w:p>
      <w:pPr>
        <w:snapToGrid w:val="0"/>
        <w:spacing w:before="165" w:beforeLines="50" w:after="50"/>
        <w:ind w:firstLine="645"/>
        <w:jc w:val="center"/>
        <w:rPr>
          <w:rFonts w:ascii="宋体" w:hAnsi="宋体"/>
          <w:color w:val="auto"/>
          <w:highlight w:val="none"/>
        </w:rPr>
      </w:pPr>
      <w:r>
        <w:rPr>
          <w:rFonts w:hint="eastAsia" w:ascii="宋体" w:hAnsi="宋体"/>
          <w:bCs/>
          <w:color w:val="auto"/>
          <w:sz w:val="24"/>
          <w:highlight w:val="none"/>
        </w:rPr>
        <w:t xml:space="preserve">                        年    月    日</w:t>
      </w:r>
    </w:p>
    <w:p>
      <w:pPr>
        <w:snapToGrid w:val="0"/>
        <w:spacing w:before="165" w:beforeLines="50" w:after="50"/>
        <w:jc w:val="center"/>
        <w:outlineLvl w:val="1"/>
        <w:rPr>
          <w:rFonts w:ascii="宋体" w:hAnsi="宋体"/>
          <w:color w:val="auto"/>
          <w:highlight w:val="none"/>
        </w:rPr>
      </w:pPr>
    </w:p>
    <w:p>
      <w:pPr>
        <w:snapToGrid w:val="0"/>
        <w:spacing w:before="165" w:beforeLines="50" w:after="50"/>
        <w:jc w:val="center"/>
        <w:outlineLvl w:val="1"/>
        <w:rPr>
          <w:rFonts w:ascii="宋体" w:hAnsi="宋体"/>
          <w:color w:val="auto"/>
          <w:highlight w:val="none"/>
        </w:rPr>
      </w:pPr>
    </w:p>
    <w:p>
      <w:pPr>
        <w:pStyle w:val="7"/>
        <w:rPr>
          <w:rFonts w:ascii="宋体" w:hAnsi="宋体" w:eastAsia="宋体"/>
          <w:b w:val="0"/>
          <w:bCs w:val="0"/>
          <w:color w:val="auto"/>
          <w:sz w:val="21"/>
          <w:highlight w:val="none"/>
        </w:rPr>
      </w:pPr>
    </w:p>
    <w:p>
      <w:pPr>
        <w:rPr>
          <w:color w:val="auto"/>
          <w:highlight w:val="none"/>
        </w:rPr>
      </w:pPr>
    </w:p>
    <w:p>
      <w:pPr>
        <w:pStyle w:val="7"/>
        <w:rPr>
          <w:color w:val="auto"/>
          <w:highlight w:val="none"/>
        </w:rPr>
      </w:pPr>
    </w:p>
    <w:p>
      <w:pPr>
        <w:pStyle w:val="18"/>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8"/>
        <w:spacing w:line="500" w:lineRule="exact"/>
        <w:rPr>
          <w:rFonts w:ascii="Times New Roman" w:hAnsi="Times New Roman"/>
          <w:color w:val="auto"/>
          <w:sz w:val="32"/>
          <w:highlight w:val="none"/>
        </w:rPr>
      </w:pPr>
    </w:p>
    <w:p>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pPr>
        <w:pStyle w:val="18"/>
        <w:spacing w:line="440" w:lineRule="exact"/>
        <w:ind w:firstLine="420" w:firstLineChars="200"/>
        <w:rPr>
          <w:rFonts w:ascii="Times New Roman" w:hAnsi="Times New Roman"/>
          <w:color w:val="auto"/>
          <w:highlight w:val="none"/>
        </w:rPr>
      </w:pPr>
      <w:r>
        <w:rPr>
          <w:rFonts w:hint="eastAsia"/>
          <w:color w:val="auto"/>
          <w:highlight w:val="none"/>
        </w:rPr>
        <w:t>我方已仔细阅读了贵方组织的</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 xml:space="preserve">）的招标文件的全部内容，现正式递交下述文件参加贵方组织的本次政府采购活动： </w:t>
      </w:r>
    </w:p>
    <w:p>
      <w:pPr>
        <w:pStyle w:val="18"/>
        <w:spacing w:line="440" w:lineRule="exact"/>
        <w:ind w:firstLine="420" w:firstLineChars="200"/>
        <w:rPr>
          <w:color w:val="auto"/>
          <w:highlight w:val="none"/>
        </w:rPr>
      </w:pPr>
      <w:r>
        <w:rPr>
          <w:rFonts w:hint="eastAsia"/>
          <w:color w:val="auto"/>
          <w:highlight w:val="none"/>
        </w:rPr>
        <w:t>一、报价文件正本一份，副本</w:t>
      </w:r>
      <w:r>
        <w:rPr>
          <w:rFonts w:hint="eastAsia"/>
          <w:color w:val="auto"/>
          <w:highlight w:val="none"/>
          <w:u w:val="single"/>
        </w:rPr>
        <w:t xml:space="preserve">   </w:t>
      </w:r>
      <w:r>
        <w:rPr>
          <w:rFonts w:hint="eastAsia"/>
          <w:color w:val="auto"/>
          <w:highlight w:val="none"/>
        </w:rPr>
        <w:t>份（包含按投标人须知第10.1.1项要求提交的全部文件）；</w:t>
      </w:r>
    </w:p>
    <w:p>
      <w:pPr>
        <w:pStyle w:val="18"/>
        <w:spacing w:line="440" w:lineRule="exact"/>
        <w:ind w:firstLine="482"/>
        <w:rPr>
          <w:color w:val="auto"/>
          <w:highlight w:val="none"/>
        </w:rPr>
      </w:pPr>
      <w:r>
        <w:rPr>
          <w:rFonts w:hint="eastAsia"/>
          <w:color w:val="auto"/>
          <w:highlight w:val="none"/>
        </w:rPr>
        <w:t>二、资格文件正本一份，副本</w:t>
      </w:r>
      <w:r>
        <w:rPr>
          <w:rFonts w:hint="eastAsia"/>
          <w:color w:val="auto"/>
          <w:highlight w:val="none"/>
          <w:u w:val="single"/>
        </w:rPr>
        <w:t xml:space="preserve">   </w:t>
      </w:r>
      <w:r>
        <w:rPr>
          <w:rFonts w:hint="eastAsia"/>
          <w:color w:val="auto"/>
          <w:highlight w:val="none"/>
        </w:rPr>
        <w:t>份（包含按投标人须知第10.1.2项要求提交的全部文件）；</w:t>
      </w:r>
    </w:p>
    <w:p>
      <w:pPr>
        <w:pStyle w:val="18"/>
        <w:spacing w:line="440" w:lineRule="exact"/>
        <w:ind w:firstLine="420" w:firstLineChars="200"/>
        <w:rPr>
          <w:rFonts w:ascii="Times New Roman" w:hAnsi="Times New Roman"/>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w:t>
      </w:r>
      <w:r>
        <w:rPr>
          <w:rFonts w:hint="eastAsia"/>
          <w:color w:val="auto"/>
          <w:highlight w:val="none"/>
          <w:u w:val="single"/>
        </w:rPr>
        <w:t xml:space="preserve">   </w:t>
      </w:r>
      <w:r>
        <w:rPr>
          <w:rFonts w:hint="eastAsia"/>
          <w:color w:val="auto"/>
          <w:highlight w:val="none"/>
        </w:rPr>
        <w:t>份（包含按投标人须知第10.1.3项要求提交的全部文件）；</w:t>
      </w:r>
    </w:p>
    <w:p>
      <w:pPr>
        <w:pStyle w:val="18"/>
        <w:spacing w:line="440" w:lineRule="exact"/>
        <w:ind w:firstLine="420" w:firstLineChars="200"/>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w:t>
      </w:r>
      <w:r>
        <w:rPr>
          <w:rFonts w:hint="eastAsia" w:hAnsi="宋体"/>
          <w:color w:val="auto"/>
          <w:highlight w:val="none"/>
          <w:u w:val="single"/>
        </w:rPr>
        <w:t xml:space="preserve">   </w:t>
      </w:r>
      <w:r>
        <w:rPr>
          <w:rFonts w:hint="eastAsia" w:hAnsi="宋体"/>
          <w:color w:val="auto"/>
          <w:highlight w:val="none"/>
        </w:rPr>
        <w:t>份（包含按投标人须知第10.1.4项要求</w:t>
      </w:r>
      <w:r>
        <w:rPr>
          <w:rFonts w:hint="eastAsia"/>
          <w:color w:val="auto"/>
          <w:highlight w:val="none"/>
        </w:rPr>
        <w:t>提交的全部文件）。</w:t>
      </w:r>
    </w:p>
    <w:p>
      <w:pPr>
        <w:pStyle w:val="18"/>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18"/>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w:t>
      </w:r>
      <w:r>
        <w:rPr>
          <w:rFonts w:hint="eastAsia" w:ascii="宋体" w:hAnsi="宋体" w:eastAsia="宋体" w:cs="宋体"/>
          <w:snapToGrid w:val="0"/>
          <w:color w:val="auto"/>
          <w:spacing w:val="2"/>
          <w:kern w:val="0"/>
          <w:sz w:val="21"/>
          <w:szCs w:val="21"/>
          <w:highlight w:val="none"/>
        </w:rPr>
        <w:t>交货期</w:t>
      </w:r>
      <w:r>
        <w:rPr>
          <w:rFonts w:hint="eastAsia"/>
          <w:color w:val="auto"/>
          <w:highlight w:val="none"/>
        </w:rPr>
        <w:t>（无分标时填写）</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b/>
          <w:color w:val="auto"/>
          <w:highlight w:val="none"/>
        </w:rPr>
        <w:t>项目需求一览表</w:t>
      </w:r>
      <w:r>
        <w:rPr>
          <w:rFonts w:hint="eastAsia"/>
          <w:color w:val="auto"/>
          <w:highlight w:val="none"/>
        </w:rPr>
        <w:t>”中的相应的采购内容。</w:t>
      </w:r>
    </w:p>
    <w:p>
      <w:pPr>
        <w:pStyle w:val="18"/>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pPr>
        <w:pStyle w:val="18"/>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w:t>
      </w:r>
      <w:r>
        <w:rPr>
          <w:rFonts w:hint="eastAsia" w:ascii="宋体" w:hAnsi="宋体" w:eastAsia="宋体" w:cs="宋体"/>
          <w:snapToGrid w:val="0"/>
          <w:color w:val="auto"/>
          <w:spacing w:val="2"/>
          <w:kern w:val="0"/>
          <w:sz w:val="21"/>
          <w:szCs w:val="21"/>
          <w:highlight w:val="none"/>
        </w:rPr>
        <w:t>交货期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w:t>
      </w:r>
      <w:r>
        <w:rPr>
          <w:rFonts w:hint="eastAsia" w:ascii="宋体" w:hAnsi="宋体" w:eastAsia="宋体" w:cs="宋体"/>
          <w:snapToGrid w:val="0"/>
          <w:color w:val="auto"/>
          <w:spacing w:val="2"/>
          <w:kern w:val="0"/>
          <w:sz w:val="21"/>
          <w:szCs w:val="21"/>
          <w:highlight w:val="none"/>
        </w:rPr>
        <w:t>交货期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18"/>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18"/>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13"/>
        </w:numPr>
        <w:adjustRightInd/>
        <w:spacing w:line="440" w:lineRule="exact"/>
        <w:textAlignment w:val="auto"/>
        <w:rPr>
          <w:color w:val="auto"/>
          <w:highlight w:val="none"/>
        </w:rPr>
      </w:pPr>
      <w:r>
        <w:rPr>
          <w:rFonts w:hint="eastAsia"/>
          <w:color w:val="auto"/>
          <w:highlight w:val="none"/>
        </w:rPr>
        <w:t>具有独立承担民事责任的能力；</w:t>
      </w:r>
    </w:p>
    <w:p>
      <w:pPr>
        <w:pStyle w:val="18"/>
        <w:numPr>
          <w:ilvl w:val="0"/>
          <w:numId w:val="13"/>
        </w:numPr>
        <w:adjustRightInd/>
        <w:spacing w:line="440" w:lineRule="exact"/>
        <w:textAlignment w:val="auto"/>
        <w:rPr>
          <w:color w:val="auto"/>
          <w:highlight w:val="none"/>
        </w:rPr>
      </w:pPr>
      <w:r>
        <w:rPr>
          <w:rFonts w:hint="eastAsia"/>
          <w:color w:val="auto"/>
          <w:highlight w:val="none"/>
        </w:rPr>
        <w:t>具有良好的商业信誉和健全的财务会计制度；</w:t>
      </w:r>
    </w:p>
    <w:p>
      <w:pPr>
        <w:pStyle w:val="18"/>
        <w:numPr>
          <w:ilvl w:val="0"/>
          <w:numId w:val="13"/>
        </w:numPr>
        <w:adjustRightInd/>
        <w:spacing w:line="440" w:lineRule="exact"/>
        <w:textAlignment w:val="auto"/>
        <w:rPr>
          <w:color w:val="auto"/>
          <w:highlight w:val="none"/>
        </w:rPr>
      </w:pPr>
      <w:r>
        <w:rPr>
          <w:rFonts w:hint="eastAsia"/>
          <w:color w:val="auto"/>
          <w:highlight w:val="none"/>
        </w:rPr>
        <w:t>具有履行合同所必需的设备和专业技术能力；</w:t>
      </w:r>
    </w:p>
    <w:p>
      <w:pPr>
        <w:pStyle w:val="18"/>
        <w:numPr>
          <w:ilvl w:val="0"/>
          <w:numId w:val="13"/>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有依法缴纳税收和社会保障资金的良好记录；</w:t>
      </w:r>
    </w:p>
    <w:p>
      <w:pPr>
        <w:pStyle w:val="18"/>
        <w:numPr>
          <w:ilvl w:val="0"/>
          <w:numId w:val="13"/>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参加政府采购活动前三年内，在经营活动中没有重大违法记录；</w:t>
      </w:r>
    </w:p>
    <w:p>
      <w:pPr>
        <w:pStyle w:val="18"/>
        <w:numPr>
          <w:ilvl w:val="0"/>
          <w:numId w:val="13"/>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法律、行政法规规定的其他条件。</w:t>
      </w:r>
    </w:p>
    <w:p>
      <w:pPr>
        <w:pStyle w:val="18"/>
        <w:spacing w:line="440" w:lineRule="exact"/>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如本项目采购内容涉及须符合国家强制规定的，我方承诺我方本次投标（包括资格条件和所投产品）均符合国家有关强制规定。</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6、如我方中标，我方承诺在收到中标通知书后，在中标通知书规定的期限内，</w:t>
      </w:r>
      <w:r>
        <w:rPr>
          <w:rFonts w:hint="eastAsia" w:hAnsi="宋体"/>
          <w:color w:val="000000" w:themeColor="text1"/>
          <w:highlight w:val="none"/>
          <w14:textFill>
            <w14:solidFill>
              <w14:schemeClr w14:val="tx1"/>
            </w14:solidFill>
          </w14:textFill>
        </w:rPr>
        <w:t>根据招标文件、我方的投标文件及有关澄清承诺书的要求按第六章“合同条款及格式”与采购人订立书面合同，并按照合同约定</w:t>
      </w:r>
      <w:r>
        <w:rPr>
          <w:rFonts w:hint="eastAsia"/>
          <w:color w:val="000000" w:themeColor="text1"/>
          <w:highlight w:val="none"/>
          <w14:textFill>
            <w14:solidFill>
              <w14:schemeClr w14:val="tx1"/>
            </w14:solidFill>
          </w14:textFill>
        </w:rPr>
        <w:t>承担完成合同的责任和义务。</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7、我方已详细审核招标文件，我方知道必须放弃提出含糊不清或误解问题的权利。</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8、我方同意应贵方要求提供与本投标有关的任何数据或资料。若贵方需要，我方愿意提供我方作出的一切承诺的证明材料。</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9、我方完全理解贵方不一定接受投标报价最低的投标人为中标供应商的行为。</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10、我方将严格遵守《中华人民共和国政府采购法》第七十七条的规定，即供应商有下列情形之一的，处以采购金额千分之五以上千分之十</w:t>
      </w:r>
      <w:r>
        <w:rPr>
          <w:rFonts w:hint="eastAsia" w:hAnsi="宋体"/>
          <w:color w:val="000000" w:themeColor="text1"/>
          <w:highlight w:val="none"/>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4"/>
        </w:numPr>
        <w:adjustRightInd/>
        <w:spacing w:line="440" w:lineRule="exact"/>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提供虚假材料谋取中标、成交的；</w:t>
      </w:r>
    </w:p>
    <w:p>
      <w:pPr>
        <w:pStyle w:val="18"/>
        <w:numPr>
          <w:ilvl w:val="0"/>
          <w:numId w:val="14"/>
        </w:numPr>
        <w:adjustRightInd/>
        <w:spacing w:line="440" w:lineRule="exact"/>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采取不正当手段诋毁、排挤其他供应商的；</w:t>
      </w:r>
    </w:p>
    <w:p>
      <w:pPr>
        <w:pStyle w:val="18"/>
        <w:numPr>
          <w:ilvl w:val="0"/>
          <w:numId w:val="14"/>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与采购人、其他供应商或者采购代理机构恶意串通的；</w:t>
      </w:r>
    </w:p>
    <w:p>
      <w:pPr>
        <w:pStyle w:val="18"/>
        <w:numPr>
          <w:ilvl w:val="0"/>
          <w:numId w:val="14"/>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向采购人、采购代理机构行贿或者提供其他不正当利益的；</w:t>
      </w:r>
    </w:p>
    <w:p>
      <w:pPr>
        <w:pStyle w:val="18"/>
        <w:numPr>
          <w:ilvl w:val="0"/>
          <w:numId w:val="14"/>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在招标采购过程中与采购人进行协商谈判的；</w:t>
      </w:r>
    </w:p>
    <w:p>
      <w:pPr>
        <w:pStyle w:val="18"/>
        <w:numPr>
          <w:ilvl w:val="0"/>
          <w:numId w:val="14"/>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拒绝有关部门监督检查或提供虚假情况的。</w:t>
      </w:r>
    </w:p>
    <w:p>
      <w:pPr>
        <w:pStyle w:val="18"/>
        <w:spacing w:line="44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11、我方及由本人担任法定代表人的其他机构最近三年内被处罚的违法行为有：</w:t>
      </w:r>
      <w:r>
        <w:rPr>
          <w:rFonts w:hint="eastAsia"/>
          <w:color w:val="000000" w:themeColor="text1"/>
          <w:highlight w:val="none"/>
          <w:u w:val="single"/>
          <w14:textFill>
            <w14:solidFill>
              <w14:schemeClr w14:val="tx1"/>
            </w14:solidFill>
          </w14:textFill>
        </w:rPr>
        <w:t xml:space="preserve">                                        </w:t>
      </w:r>
    </w:p>
    <w:p>
      <w:pPr>
        <w:pStyle w:val="18"/>
        <w:spacing w:line="440" w:lineRule="exact"/>
        <w:ind w:left="420"/>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12、以上事项如有虚假或隐瞒，我方愿意承担一切后果，并不再寻求任何旨在减轻或免除法律责任的辩解。</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（盖单位公章）</w:t>
      </w:r>
    </w:p>
    <w:p>
      <w:pPr>
        <w:pStyle w:val="18"/>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（签字或盖章）</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开户名称：</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开户银行：</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银行账号：</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jc w:val="right"/>
        <w:rPr>
          <w:color w:val="000000" w:themeColor="text1"/>
          <w:highlight w:val="none"/>
          <w:u w:val="single"/>
          <w14:textFill>
            <w14:solidFill>
              <w14:schemeClr w14:val="tx1"/>
            </w14:solidFill>
          </w14:textFill>
        </w:rPr>
      </w:pP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年</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月</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日</w:t>
      </w:r>
    </w:p>
    <w:p>
      <w:pPr>
        <w:pStyle w:val="18"/>
        <w:spacing w:line="360" w:lineRule="exact"/>
        <w:ind w:firstLine="420"/>
        <w:rPr>
          <w:color w:val="000000" w:themeColor="text1"/>
          <w:highlight w:val="none"/>
          <w:u w:val="single"/>
          <w14:textFill>
            <w14:solidFill>
              <w14:schemeClr w14:val="tx1"/>
            </w14:solidFill>
          </w14:textFill>
        </w:rPr>
      </w:pPr>
      <w:r>
        <w:rPr>
          <w:rFonts w:ascii="黑体" w:eastAsia="黑体"/>
          <w:b/>
          <w:bCs/>
          <w:color w:val="000000" w:themeColor="text1"/>
          <w:highlight w:val="none"/>
          <w14:textFill>
            <w14:solidFill>
              <w14:schemeClr w14:val="tx1"/>
            </w14:solidFill>
          </w14:textFill>
        </w:rPr>
        <w:br w:type="page"/>
      </w:r>
    </w:p>
    <w:p>
      <w:pPr>
        <w:snapToGrid w:val="0"/>
        <w:spacing w:before="50" w:after="50"/>
        <w:jc w:val="center"/>
        <w:rPr>
          <w:color w:val="000000" w:themeColor="text1"/>
          <w:sz w:val="28"/>
          <w:szCs w:val="28"/>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开标一览表</w:t>
      </w:r>
      <w:r>
        <w:rPr>
          <w:rFonts w:hint="eastAsia"/>
          <w:color w:val="000000" w:themeColor="text1"/>
          <w:sz w:val="28"/>
          <w:szCs w:val="28"/>
          <w:highlight w:val="none"/>
          <w14:textFill>
            <w14:solidFill>
              <w14:schemeClr w14:val="tx1"/>
            </w14:solidFill>
          </w14:textFill>
        </w:rPr>
        <w:t>（格式）</w:t>
      </w:r>
    </w:p>
    <w:p>
      <w:pPr>
        <w:pStyle w:val="18"/>
        <w:spacing w:line="4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pPr>
        <w:pStyle w:val="18"/>
        <w:spacing w:line="4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招标编号：</w:t>
      </w:r>
    </w:p>
    <w:tbl>
      <w:tblPr>
        <w:tblStyle w:val="3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97"/>
        <w:gridCol w:w="2289"/>
        <w:gridCol w:w="1198"/>
        <w:gridCol w:w="1397"/>
        <w:gridCol w:w="168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序号</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服务</w:t>
            </w:r>
            <w:r>
              <w:rPr>
                <w:rFonts w:hint="eastAsia" w:hAnsi="宋体"/>
                <w:color w:val="000000" w:themeColor="text1"/>
                <w:szCs w:val="21"/>
                <w:highlight w:val="none"/>
                <w14:textFill>
                  <w14:solidFill>
                    <w14:schemeClr w14:val="tx1"/>
                  </w14:solidFill>
                </w14:textFill>
              </w:rPr>
              <w:t>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olor w:val="000000" w:themeColor="text1"/>
                <w:szCs w:val="21"/>
                <w:highlight w:val="none"/>
                <w:lang w:val="en-US" w:eastAsia="zh-CN"/>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规格型号、品牌或生产厂家、原产地</w:t>
            </w: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数量及单位①</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单价(元)②</w:t>
            </w: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单项合价（元）</w:t>
            </w:r>
          </w:p>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③＝①×②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报价合计（包含税费等所有费用）：（大写）人民币</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　　</w:t>
            </w:r>
            <w:r>
              <w:rPr>
                <w:rFonts w:hint="eastAsia" w:hAnsi="宋体"/>
                <w:color w:val="000000" w:themeColor="text1"/>
                <w:szCs w:val="21"/>
                <w:highlight w:val="none"/>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法定代表人或其委托代理人（签字或盖章）：</w:t>
            </w:r>
          </w:p>
        </w:tc>
      </w:tr>
    </w:tbl>
    <w:p>
      <w:pPr>
        <w:pStyle w:val="18"/>
        <w:spacing w:line="500" w:lineRule="exact"/>
        <w:rPr>
          <w:rFonts w:ascii="Times New Roman" w:hAnsi="Times New Roman"/>
          <w:b/>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注：表格内容均需按要求填写并盖章，不得留空, 否则按投标无效处理。</w:t>
      </w:r>
    </w:p>
    <w:p>
      <w:pPr>
        <w:pStyle w:val="18"/>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br w:type="page"/>
      </w:r>
      <w:r>
        <w:rPr>
          <w:rFonts w:hint="eastAsia" w:ascii="Times New Roman" w:hAnsi="Times New Roman"/>
          <w:b/>
          <w:color w:val="000000" w:themeColor="text1"/>
          <w:sz w:val="30"/>
          <w:szCs w:val="30"/>
          <w:highlight w:val="none"/>
          <w14:textFill>
            <w14:solidFill>
              <w14:schemeClr w14:val="tx1"/>
            </w14:solidFill>
          </w14:textFill>
        </w:rPr>
        <w:t>中小企业声明函（格式）</w:t>
      </w:r>
    </w:p>
    <w:p>
      <w:pPr>
        <w:pStyle w:val="15"/>
        <w:spacing w:line="240" w:lineRule="auto"/>
        <w:ind w:firstLine="0"/>
        <w:rPr>
          <w:rFonts w:ascii="Times New Roman" w:hAnsi="Times New Roman"/>
          <w:color w:val="000000" w:themeColor="text1"/>
          <w:sz w:val="21"/>
          <w:szCs w:val="21"/>
          <w:highlight w:val="none"/>
          <w14:textFill>
            <w14:solidFill>
              <w14:schemeClr w14:val="tx1"/>
            </w14:solidFill>
          </w14:textFill>
        </w:rPr>
      </w:pPr>
      <w:r>
        <w:rPr>
          <w:rFonts w:hint="eastAsia" w:ascii="Times New Roman" w:hAnsi="宋体"/>
          <w:color w:val="000000" w:themeColor="text1"/>
          <w:sz w:val="21"/>
          <w:szCs w:val="21"/>
          <w:highlight w:val="none"/>
          <w14:textFill>
            <w14:solidFill>
              <w14:schemeClr w14:val="tx1"/>
            </w14:solidFill>
          </w14:textFill>
        </w:rPr>
        <w:t>说明：</w:t>
      </w:r>
    </w:p>
    <w:p>
      <w:pPr>
        <w:pStyle w:val="15"/>
        <w:spacing w:line="240" w:lineRule="auto"/>
        <w:ind w:firstLine="404"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宋体"/>
          <w:color w:val="000000" w:themeColor="text1"/>
          <w:sz w:val="21"/>
          <w:szCs w:val="21"/>
          <w:highlight w:val="none"/>
          <w14:textFill>
            <w14:solidFill>
              <w14:schemeClr w14:val="tx1"/>
            </w14:solidFill>
          </w14:textFill>
        </w:rPr>
        <w:t>、本声明函主要供参加政府采购活动的中小企业填写，非中小企业无需填写。</w:t>
      </w:r>
    </w:p>
    <w:p>
      <w:pPr>
        <w:pStyle w:val="15"/>
        <w:spacing w:line="240" w:lineRule="auto"/>
        <w:ind w:firstLine="404" w:firstLineChars="200"/>
        <w:rPr>
          <w:rFonts w:ascii="Times New Roman" w:hAnsi="宋体"/>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宋体"/>
          <w:color w:val="000000" w:themeColor="text1"/>
          <w:sz w:val="21"/>
          <w:szCs w:val="21"/>
          <w:highlight w:val="none"/>
          <w14:textFill>
            <w14:solidFill>
              <w14:schemeClr w14:val="tx1"/>
            </w14:solidFill>
          </w14:textFill>
        </w:rPr>
        <w:t>、小型、微型企业提供中型企业制造的货物的，视同为中型企业。</w:t>
      </w:r>
    </w:p>
    <w:p>
      <w:pPr>
        <w:pStyle w:val="15"/>
        <w:spacing w:line="360" w:lineRule="auto"/>
        <w:ind w:firstLine="404" w:firstLineChars="200"/>
        <w:rPr>
          <w:rFonts w:ascii="Times New Roman" w:hAnsi="Times New Roman"/>
          <w:color w:val="000000" w:themeColor="text1"/>
          <w:sz w:val="21"/>
          <w:szCs w:val="21"/>
          <w:highlight w:val="none"/>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本公司郑重声明，根据《政府采购促进中小企业发展暂行办法》（财库〔</w:t>
      </w:r>
      <w:r>
        <w:rPr>
          <w:rFonts w:ascii="Times New Roman" w:hAnsi="Times New Roman"/>
          <w:color w:val="000000" w:themeColor="text1"/>
          <w:szCs w:val="21"/>
          <w:highlight w:val="none"/>
          <w14:textFill>
            <w14:solidFill>
              <w14:schemeClr w14:val="tx1"/>
            </w14:solidFill>
          </w14:textFill>
        </w:rPr>
        <w:t>2011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181</w:t>
      </w:r>
      <w:r>
        <w:rPr>
          <w:rFonts w:hint="eastAsia" w:ascii="Times New Roman" w:hAnsi="Times New Roman"/>
          <w:color w:val="000000" w:themeColor="text1"/>
          <w:szCs w:val="21"/>
          <w:highlight w:val="none"/>
          <w14:textFill>
            <w14:solidFill>
              <w14:schemeClr w14:val="tx1"/>
            </w14:solidFill>
          </w14:textFill>
        </w:rPr>
        <w:t>号）的规定，本公司为</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（请填写：中型、小型、微型）企业。即，本公司同时满足以下条件：</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Times New Roman" w:hAnsi="Times New Roman"/>
          <w:color w:val="000000" w:themeColor="text1"/>
          <w:szCs w:val="21"/>
          <w:highlight w:val="none"/>
          <w14:textFill>
            <w14:solidFill>
              <w14:schemeClr w14:val="tx1"/>
            </w14:solidFill>
          </w14:textFill>
        </w:rPr>
        <w:t>2011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300</w:t>
      </w:r>
      <w:r>
        <w:rPr>
          <w:rFonts w:hint="eastAsia" w:ascii="Times New Roman" w:hAnsi="Times New Roman"/>
          <w:color w:val="000000" w:themeColor="text1"/>
          <w:szCs w:val="21"/>
          <w:highlight w:val="none"/>
          <w14:textFill>
            <w14:solidFill>
              <w14:schemeClr w14:val="tx1"/>
            </w14:solidFill>
          </w14:textFill>
        </w:rPr>
        <w:t>号）规定的划分标准，本公司为</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r>
        <w:rPr>
          <w:rFonts w:hint="eastAsia" w:ascii="Times New Roman" w:hAnsi="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本公司参加</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单位的</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项目采购活动提供本企业制造的货物，由本企业承担工程、提供服务，或者提供其他</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（请填写：中型、小型、微型）企业制造的货物。本条所称货物不包括使用大型企业注册商标的货物。</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本公司对上述声明的真实性负责。如有虚假，将依法承担相应责任。</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p>
    <w:p>
      <w:pPr>
        <w:pStyle w:val="18"/>
        <w:spacing w:line="360" w:lineRule="auto"/>
        <w:ind w:firstLine="420" w:firstLineChars="200"/>
        <w:rPr>
          <w:color w:val="000000" w:themeColor="text1"/>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法定代表人或其委托代理人（签字或盖章）：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360" w:lineRule="auto"/>
        <w:jc w:val="center"/>
        <w:rPr>
          <w:b/>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30"/>
          <w:szCs w:val="30"/>
          <w:highlight w:val="none"/>
          <w14:textFill>
            <w14:solidFill>
              <w14:schemeClr w14:val="tx1"/>
            </w14:solidFill>
          </w14:textFill>
        </w:rPr>
        <w:t>残疾人福利性单位声明函（格式）</w:t>
      </w:r>
    </w:p>
    <w:p>
      <w:pPr>
        <w:pStyle w:val="18"/>
        <w:spacing w:line="360" w:lineRule="auto"/>
        <w:jc w:val="center"/>
        <w:rPr>
          <w:b/>
          <w:color w:val="000000" w:themeColor="text1"/>
          <w:sz w:val="30"/>
          <w:szCs w:val="30"/>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本公司对上述声明的真实性负责。如有虚假，将依法承担相应责任。</w:t>
      </w: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投标人（盖单位公章）：                             </w:t>
      </w: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rFonts w:ascii="Times New Roman" w:hAnsi="Times New Roman"/>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法定代表人或其委托代理人（签字或盖章）：         </w:t>
      </w:r>
      <w:r>
        <w:rPr>
          <w:rFonts w:hint="eastAsia"/>
          <w:b/>
          <w:color w:val="000000" w:themeColor="text1"/>
          <w:sz w:val="18"/>
          <w:szCs w:val="18"/>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hAnsi="宋体"/>
          <w:b/>
          <w:color w:val="000000" w:themeColor="text1"/>
          <w:sz w:val="30"/>
          <w:szCs w:val="30"/>
          <w:highlight w:val="none"/>
          <w14:textFill>
            <w14:solidFill>
              <w14:schemeClr w14:val="tx1"/>
            </w14:solidFill>
          </w14:textFill>
        </w:rPr>
        <w:t>广西工业产品声明函</w:t>
      </w:r>
      <w:r>
        <w:rPr>
          <w:rFonts w:hint="eastAsia" w:ascii="Times New Roman" w:hAnsi="Times New Roman"/>
          <w:b/>
          <w:bCs/>
          <w:color w:val="000000" w:themeColor="text1"/>
          <w:sz w:val="30"/>
          <w:szCs w:val="30"/>
          <w:highlight w:val="none"/>
          <w14:textFill>
            <w14:solidFill>
              <w14:schemeClr w14:val="tx1"/>
            </w14:solidFill>
          </w14:textFill>
        </w:rPr>
        <w:t>（格式）</w:t>
      </w:r>
    </w:p>
    <w:p>
      <w:pPr>
        <w:pStyle w:val="18"/>
        <w:rPr>
          <w:rFonts w:ascii="Times New Roman" w:hAnsi="Times New Roman"/>
          <w:b/>
          <w:color w:val="000000" w:themeColor="text1"/>
          <w:sz w:val="24"/>
          <w:highlight w:val="none"/>
          <w14:textFill>
            <w14:solidFill>
              <w14:schemeClr w14:val="tx1"/>
            </w14:solidFill>
          </w14:textFill>
        </w:rPr>
      </w:pPr>
    </w:p>
    <w:p>
      <w:pPr>
        <w:pStyle w:val="15"/>
        <w:spacing w:line="240" w:lineRule="auto"/>
        <w:ind w:firstLine="0"/>
        <w:rPr>
          <w:rFonts w:ascii="Times New Roman" w:hAnsi="Times New Roman"/>
          <w:color w:val="000000" w:themeColor="text1"/>
          <w:sz w:val="21"/>
          <w:szCs w:val="21"/>
          <w:highlight w:val="none"/>
          <w14:textFill>
            <w14:solidFill>
              <w14:schemeClr w14:val="tx1"/>
            </w14:solidFill>
          </w14:textFill>
        </w:rPr>
      </w:pPr>
      <w:r>
        <w:rPr>
          <w:rFonts w:hint="eastAsia" w:ascii="Times New Roman" w:hAnsi="宋体"/>
          <w:color w:val="000000" w:themeColor="text1"/>
          <w:sz w:val="21"/>
          <w:szCs w:val="21"/>
          <w:highlight w:val="none"/>
          <w14:textFill>
            <w14:solidFill>
              <w14:schemeClr w14:val="tx1"/>
            </w14:solidFill>
          </w14:textFill>
        </w:rPr>
        <w:t>说</w:t>
      </w:r>
      <w:r>
        <w:rPr>
          <w:rFonts w:hint="eastAsia" w:ascii="Times New Roman" w:hAnsi="Times New Roman"/>
          <w:color w:val="000000" w:themeColor="text1"/>
          <w:sz w:val="21"/>
          <w:szCs w:val="21"/>
          <w:highlight w:val="none"/>
          <w14:textFill>
            <w14:solidFill>
              <w14:schemeClr w14:val="tx1"/>
            </w14:solidFill>
          </w14:textFill>
        </w:rPr>
        <w:t>明：</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Times New Roman"/>
          <w:color w:val="000000" w:themeColor="text1"/>
          <w:sz w:val="21"/>
          <w:szCs w:val="21"/>
          <w:highlight w:val="none"/>
          <w14:textFill>
            <w14:solidFill>
              <w14:schemeClr w14:val="tx1"/>
            </w14:solidFill>
          </w14:textFill>
        </w:rPr>
        <w:t>、本文件所指广西工业产品，是指广西境内生产的工业产品，具体以生产企业的工商营业执照注册所在地为准。</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、本细则所指使用广西工业产品</w:t>
      </w:r>
      <w:r>
        <w:rPr>
          <w:rFonts w:ascii="Times New Roman" w:hAnsi="Times New Roman"/>
          <w:color w:val="000000" w:themeColor="text1"/>
          <w:sz w:val="21"/>
          <w:szCs w:val="21"/>
          <w:highlight w:val="none"/>
          <w14:textFill>
            <w14:solidFill>
              <w14:schemeClr w14:val="tx1"/>
            </w14:solidFill>
          </w14:textFill>
        </w:rPr>
        <w:t xml:space="preserve"> 80%</w:t>
      </w:r>
      <w:r>
        <w:rPr>
          <w:rFonts w:hint="eastAsia" w:ascii="Times New Roman" w:hAnsi="Times New Roman"/>
          <w:color w:val="000000" w:themeColor="text1"/>
          <w:sz w:val="21"/>
          <w:szCs w:val="21"/>
          <w:highlight w:val="none"/>
          <w14:textFill>
            <w14:solidFill>
              <w14:schemeClr w14:val="tx1"/>
            </w14:solidFill>
          </w14:textFill>
        </w:rPr>
        <w:t>以上，是指参加政府采购项目或招标项目时供货范围中采用广西工业产品的金额占本次投标或竞标总金额的</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以上（含）；或者工程建设使用广西工业产品占工程建设所需产品总金额的</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以上（含）。</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、发现投标人提供虚假材料、采购单位履约过程中中标供应商未按投标文件《广西工业产品声明函》中使用广西工业产品或者使用广西工业产品未达</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以上的，按照有关法律法规追究其相关责任。</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p>
    <w:p>
      <w:pPr>
        <w:pStyle w:val="15"/>
        <w:spacing w:line="240" w:lineRule="auto"/>
        <w:ind w:firstLine="404" w:firstLineChars="20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我方郑重声明，根据《招标采购促进广西工业产品产销对接实施细则》的规定，我方在本次投标∕竞标中或者工程项目中提供的下述产品为广西工业产品，详情如下：</w:t>
      </w:r>
    </w:p>
    <w:p>
      <w:pPr>
        <w:pStyle w:val="18"/>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　　分标（此处有分标时填写具体分标号，无分标时填写“无”）</w:t>
      </w:r>
    </w:p>
    <w:tbl>
      <w:tblPr>
        <w:tblStyle w:val="3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广西工业产品</w:t>
            </w:r>
          </w:p>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bl>
    <w:p>
      <w:pPr>
        <w:pStyle w:val="18"/>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　　分标（此处有分标时填写具体分标号，无分标时填写“无”）</w:t>
      </w:r>
    </w:p>
    <w:p>
      <w:pPr>
        <w:pStyle w:val="18"/>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w:t>
      </w:r>
    </w:p>
    <w:p>
      <w:pPr>
        <w:pStyle w:val="18"/>
        <w:ind w:firstLine="42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我方对上述声明的真实性负责。如有虚假，将依法承担相应责任。</w:t>
      </w:r>
    </w:p>
    <w:p>
      <w:pPr>
        <w:pStyle w:val="18"/>
        <w:rPr>
          <w:rFonts w:hAnsi="宋体" w:cs="Courier New"/>
          <w:color w:val="000000" w:themeColor="text1"/>
          <w:highlight w:val="none"/>
          <w14:textFill>
            <w14:solidFill>
              <w14:schemeClr w14:val="tx1"/>
            </w14:solidFill>
          </w14:textFill>
        </w:rPr>
      </w:pPr>
    </w:p>
    <w:p>
      <w:pPr>
        <w:pStyle w:val="18"/>
        <w:rPr>
          <w:color w:val="000000" w:themeColor="text1"/>
          <w:szCs w:val="24"/>
          <w:highlight w:val="none"/>
          <w14:textFill>
            <w14:solidFill>
              <w14:schemeClr w14:val="tx1"/>
            </w14:solidFill>
          </w14:textFill>
        </w:rPr>
      </w:pPr>
    </w:p>
    <w:p>
      <w:pPr>
        <w:pStyle w:val="18"/>
        <w:rPr>
          <w:color w:val="000000" w:themeColor="text1"/>
          <w:szCs w:val="24"/>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法定代表人或其委托代理人（签字或盖章）：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jc w:val="lef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投标服务技术资料表（格式）</w:t>
      </w:r>
    </w:p>
    <w:p>
      <w:pPr>
        <w:pStyle w:val="18"/>
        <w:spacing w:line="440" w:lineRule="exact"/>
        <w:ind w:firstLine="420" w:firstLineChars="200"/>
        <w:rPr>
          <w:color w:val="000000" w:themeColor="text1"/>
          <w:highlight w:val="none"/>
          <w14:textFill>
            <w14:solidFill>
              <w14:schemeClr w14:val="tx1"/>
            </w14:solidFill>
          </w14:textFill>
        </w:rPr>
      </w:pPr>
    </w:p>
    <w:p>
      <w:pPr>
        <w:pStyle w:val="18"/>
        <w:spacing w:line="6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请根据所投服务的实际技术参数，</w:t>
      </w:r>
      <w:r>
        <w:rPr>
          <w:rFonts w:hint="eastAsia" w:hAnsi="宋体"/>
          <w:b/>
          <w:color w:val="000000" w:themeColor="text1"/>
          <w:sz w:val="28"/>
          <w:szCs w:val="28"/>
          <w:highlight w:val="none"/>
          <w14:textFill>
            <w14:solidFill>
              <w14:schemeClr w14:val="tx1"/>
            </w14:solidFill>
          </w14:textFill>
        </w:rPr>
        <w:t>逐条对应</w:t>
      </w:r>
      <w:r>
        <w:rPr>
          <w:rFonts w:hint="eastAsia" w:hAnsi="宋体"/>
          <w:color w:val="000000" w:themeColor="text1"/>
          <w:sz w:val="24"/>
          <w:szCs w:val="24"/>
          <w:highlight w:val="none"/>
          <w14:textFill>
            <w14:solidFill>
              <w14:schemeClr w14:val="tx1"/>
            </w14:solidFill>
          </w14:textFill>
        </w:rPr>
        <w:t>本项目招标文件第二章</w:t>
      </w:r>
      <w:r>
        <w:rPr>
          <w:rFonts w:hAnsi="宋体"/>
          <w:color w:val="000000" w:themeColor="text1"/>
          <w:sz w:val="24"/>
          <w:szCs w:val="24"/>
          <w:highlight w:val="none"/>
          <w14:textFill>
            <w14:solidFill>
              <w14:schemeClr w14:val="tx1"/>
            </w14:solidFill>
          </w14:textFill>
        </w:rPr>
        <w:t>“</w:t>
      </w:r>
      <w:r>
        <w:rPr>
          <w:rFonts w:hint="eastAsia" w:hAnsi="宋体"/>
          <w:b/>
          <w:color w:val="000000" w:themeColor="text1"/>
          <w:sz w:val="24"/>
          <w:szCs w:val="24"/>
          <w:highlight w:val="none"/>
          <w14:textFill>
            <w14:solidFill>
              <w14:schemeClr w14:val="tx1"/>
            </w14:solidFill>
          </w14:textFill>
        </w:rPr>
        <w:t>项目需求一览表</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中的服务内容及要求</w:t>
      </w:r>
      <w:r>
        <w:rPr>
          <w:rFonts w:hint="eastAsia" w:hAnsi="宋体"/>
          <w:b/>
          <w:color w:val="000000" w:themeColor="text1"/>
          <w:sz w:val="28"/>
          <w:szCs w:val="28"/>
          <w:highlight w:val="none"/>
          <w14:textFill>
            <w14:solidFill>
              <w14:schemeClr w14:val="tx1"/>
            </w14:solidFill>
          </w14:textFill>
        </w:rPr>
        <w:t>详细填写相应的具体内容</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偏离说明</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一栏应当选择</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正偏离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负偏离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或</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无偏离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进行填写。</w:t>
      </w:r>
    </w:p>
    <w:tbl>
      <w:tblPr>
        <w:tblStyle w:val="3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所提供</w:t>
            </w:r>
            <w:r>
              <w:rPr>
                <w:rFonts w:hint="eastAsia" w:ascii="宋体" w:hAnsi="宋体" w:cs="宋体"/>
                <w:color w:val="000000" w:themeColor="text1"/>
                <w:szCs w:val="21"/>
                <w:highlight w:val="none"/>
                <w14:textFill>
                  <w14:solidFill>
                    <w14:schemeClr w14:val="tx1"/>
                  </w14:solidFill>
                </w14:textFill>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分标（此处有分标时填写具体分标号，无分标时填写</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法定代表人或其委托代理人（签字或盖章）：</w:t>
            </w:r>
          </w:p>
        </w:tc>
      </w:tr>
    </w:tbl>
    <w:p>
      <w:pPr>
        <w:pStyle w:val="18"/>
        <w:spacing w:line="4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注：</w:t>
      </w:r>
      <w:r>
        <w:rPr>
          <w:rFonts w:hint="eastAsia" w:hAnsi="宋体" w:cs="宋体"/>
          <w:color w:val="000000" w:themeColor="text1"/>
          <w:szCs w:val="21"/>
          <w:highlight w:val="none"/>
          <w14:textFill>
            <w14:solidFill>
              <w14:schemeClr w14:val="tx1"/>
            </w14:solidFill>
          </w14:textFill>
        </w:rPr>
        <w:t>⑴</w:t>
      </w:r>
      <w:r>
        <w:rPr>
          <w:rFonts w:hint="eastAsia" w:hAnsi="宋体"/>
          <w:color w:val="000000" w:themeColor="text1"/>
          <w:szCs w:val="21"/>
          <w:highlight w:val="none"/>
          <w14:textFill>
            <w14:solidFill>
              <w14:schemeClr w14:val="tx1"/>
            </w14:solidFill>
          </w14:textFill>
        </w:rPr>
        <w:t>表格内容均需按要求填写并盖章，不得留空，</w:t>
      </w:r>
      <w:r>
        <w:rPr>
          <w:rFonts w:hint="eastAsia" w:hAnsi="宋体"/>
          <w:bCs/>
          <w:color w:val="000000" w:themeColor="text1"/>
          <w:szCs w:val="21"/>
          <w:highlight w:val="none"/>
          <w14:textFill>
            <w14:solidFill>
              <w14:schemeClr w14:val="tx1"/>
            </w14:solidFill>
          </w14:textFill>
        </w:rPr>
        <w:t>否则按投标无效处理</w:t>
      </w:r>
      <w:r>
        <w:rPr>
          <w:rFonts w:hint="eastAsia" w:hAnsi="宋体"/>
          <w:color w:val="000000" w:themeColor="text1"/>
          <w:szCs w:val="21"/>
          <w:highlight w:val="none"/>
          <w14:textFill>
            <w14:solidFill>
              <w14:schemeClr w14:val="tx1"/>
            </w14:solidFill>
          </w14:textFill>
        </w:rPr>
        <w:t>。</w:t>
      </w:r>
    </w:p>
    <w:p>
      <w:pPr>
        <w:pStyle w:val="18"/>
        <w:spacing w:line="400" w:lineRule="exact"/>
        <w:ind w:left="689" w:leftChars="228" w:hanging="210" w:hangingChars="100"/>
        <w:rPr>
          <w:rFonts w:hAnsi="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⑵</w:t>
      </w:r>
      <w:r>
        <w:rPr>
          <w:rFonts w:hint="eastAsia" w:hAnsi="宋体"/>
          <w:bCs/>
          <w:color w:val="000000" w:themeColor="text1"/>
          <w:szCs w:val="21"/>
          <w:highlight w:val="none"/>
          <w14:textFill>
            <w14:solidFill>
              <w14:schemeClr w14:val="tx1"/>
            </w14:solidFill>
          </w14:textFill>
        </w:rPr>
        <w:t>当投标文件的服务内容低于招标文件要求时，投标人应当如实写明</w:t>
      </w:r>
      <w:r>
        <w:rPr>
          <w:rFonts w:hAnsi="宋体"/>
          <w:bCs/>
          <w:color w:val="000000" w:themeColor="text1"/>
          <w:szCs w:val="2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负偏离</w:t>
      </w:r>
      <w:r>
        <w:rPr>
          <w:rFonts w:hAnsi="宋体"/>
          <w:bCs/>
          <w:color w:val="000000" w:themeColor="text1"/>
          <w:szCs w:val="2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，否则视为虚假应标。</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br w:type="page"/>
      </w:r>
      <w:r>
        <w:rPr>
          <w:rFonts w:ascii="Times New Roman" w:hAnsi="Times New Roman"/>
          <w:b/>
          <w:color w:val="000000" w:themeColor="text1"/>
          <w:highlight w:val="none"/>
          <w14:textFill>
            <w14:solidFill>
              <w14:schemeClr w14:val="tx1"/>
            </w14:solidFill>
          </w14:textFill>
        </w:rPr>
        <w:t xml:space="preserve"> </w:t>
      </w:r>
    </w:p>
    <w:p>
      <w:pPr>
        <w:pStyle w:val="18"/>
        <w:spacing w:line="6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商务条款偏离表（格式）</w:t>
      </w:r>
    </w:p>
    <w:p>
      <w:pPr>
        <w:pStyle w:val="18"/>
        <w:spacing w:line="440" w:lineRule="exact"/>
        <w:ind w:firstLine="420" w:firstLineChars="200"/>
        <w:rPr>
          <w:rFonts w:hAnsi="宋体"/>
          <w:color w:val="000000" w:themeColor="text1"/>
          <w:highlight w:val="none"/>
          <w14:textFill>
            <w14:solidFill>
              <w14:schemeClr w14:val="tx1"/>
            </w14:solidFill>
          </w14:textFill>
        </w:rPr>
      </w:pPr>
    </w:p>
    <w:p>
      <w:pPr>
        <w:pStyle w:val="18"/>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请</w:t>
      </w:r>
      <w:r>
        <w:rPr>
          <w:rFonts w:hint="eastAsia"/>
          <w:b/>
          <w:color w:val="000000" w:themeColor="text1"/>
          <w:sz w:val="24"/>
          <w:szCs w:val="24"/>
          <w:highlight w:val="none"/>
          <w14:textFill>
            <w14:solidFill>
              <w14:schemeClr w14:val="tx1"/>
            </w14:solidFill>
          </w14:textFill>
        </w:rPr>
        <w:t>逐条对应</w:t>
      </w:r>
      <w:r>
        <w:rPr>
          <w:rFonts w:hint="eastAsia"/>
          <w:color w:val="000000" w:themeColor="text1"/>
          <w:highlight w:val="none"/>
          <w14:textFill>
            <w14:solidFill>
              <w14:schemeClr w14:val="tx1"/>
            </w14:solidFill>
          </w14:textFill>
        </w:rPr>
        <w:t>本项目招标文件第二章“</w:t>
      </w:r>
      <w:r>
        <w:rPr>
          <w:rFonts w:hint="eastAsia"/>
          <w:b/>
          <w:color w:val="000000" w:themeColor="text1"/>
          <w:highlight w:val="none"/>
          <w14:textFill>
            <w14:solidFill>
              <w14:schemeClr w14:val="tx1"/>
            </w14:solidFill>
          </w14:textFill>
        </w:rPr>
        <w:t>项目需求一览表</w:t>
      </w:r>
      <w:r>
        <w:rPr>
          <w:rFonts w:hint="eastAsia"/>
          <w:color w:val="000000" w:themeColor="text1"/>
          <w:highlight w:val="none"/>
          <w14:textFill>
            <w14:solidFill>
              <w14:schemeClr w14:val="tx1"/>
            </w14:solidFill>
          </w14:textFill>
        </w:rPr>
        <w:t>”中“商务条款”的要求，</w:t>
      </w:r>
      <w:r>
        <w:rPr>
          <w:rFonts w:hint="eastAsia"/>
          <w:b/>
          <w:color w:val="000000" w:themeColor="text1"/>
          <w:sz w:val="24"/>
          <w:szCs w:val="24"/>
          <w:highlight w:val="none"/>
          <w14:textFill>
            <w14:solidFill>
              <w14:schemeClr w14:val="tx1"/>
            </w14:solidFill>
          </w14:textFill>
        </w:rPr>
        <w:t>详细填写相应的具体内容</w:t>
      </w:r>
      <w:r>
        <w:rPr>
          <w:rFonts w:hint="eastAsia"/>
          <w:color w:val="000000" w:themeColor="text1"/>
          <w:highlight w:val="none"/>
          <w14:textFill>
            <w14:solidFill>
              <w14:schemeClr w14:val="tx1"/>
            </w14:solidFill>
          </w14:textFill>
        </w:rPr>
        <w:t>。“偏离说明”一栏应当选择“正偏离”、“负偏离”或“无偏离”进行填写。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法定代表人或其委托代理人（签字或盖章）：</w:t>
            </w:r>
          </w:p>
        </w:tc>
      </w:tr>
    </w:tbl>
    <w:p>
      <w:pPr>
        <w:widowControl/>
        <w:jc w:val="left"/>
        <w:rPr>
          <w:color w:val="000000" w:themeColor="text1"/>
          <w:szCs w:val="20"/>
          <w:highlight w:val="none"/>
          <w:u w:val="single"/>
          <w14:textFill>
            <w14:solidFill>
              <w14:schemeClr w14:val="tx1"/>
            </w14:solidFill>
          </w14:textFill>
        </w:rPr>
      </w:pPr>
      <w:r>
        <w:rPr>
          <w:rFonts w:hint="eastAsia"/>
          <w:color w:val="000000" w:themeColor="text1"/>
          <w:szCs w:val="20"/>
          <w:highlight w:val="none"/>
          <w:u w:val="single"/>
          <w14:textFill>
            <w14:solidFill>
              <w14:schemeClr w14:val="tx1"/>
            </w14:solidFill>
          </w14:textFill>
        </w:rPr>
        <w:t>注：⑴表格内容均需按要求填写并盖章，不得留空，否则按投标无效处理。</w:t>
      </w:r>
    </w:p>
    <w:p>
      <w:pPr>
        <w:widowControl/>
        <w:jc w:val="left"/>
        <w:rPr>
          <w:color w:val="000000" w:themeColor="text1"/>
          <w:szCs w:val="20"/>
          <w:highlight w:val="none"/>
          <w:u w:val="single"/>
          <w14:textFill>
            <w14:solidFill>
              <w14:schemeClr w14:val="tx1"/>
            </w14:solidFill>
          </w14:textFill>
        </w:rPr>
      </w:pPr>
      <w:r>
        <w:rPr>
          <w:rFonts w:hint="eastAsia"/>
          <w:color w:val="000000" w:themeColor="text1"/>
          <w:szCs w:val="20"/>
          <w:highlight w:val="none"/>
          <w:u w:val="single"/>
          <w14:textFill>
            <w14:solidFill>
              <w14:schemeClr w14:val="tx1"/>
            </w14:solidFill>
          </w14:textFill>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8"/>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⑶当投标文件的商务内容低于招标文件要求时，投标人应当如实写明“负偏离”，否则视为虚假应标。</w:t>
      </w:r>
    </w:p>
    <w:p>
      <w:pPr>
        <w:pStyle w:val="18"/>
        <w:spacing w:line="600" w:lineRule="exact"/>
        <w:rPr>
          <w:rFonts w:ascii="Times New Roman" w:hAnsi="Times New Roman"/>
          <w:color w:val="000000" w:themeColor="text1"/>
          <w:highlight w:val="none"/>
          <w14:textFill>
            <w14:solidFill>
              <w14:schemeClr w14:val="tx1"/>
            </w14:solidFill>
          </w14:textFill>
        </w:rPr>
      </w:pPr>
    </w:p>
    <w:p>
      <w:pPr>
        <w:pStyle w:val="18"/>
        <w:spacing w:line="6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br w:type="page"/>
      </w:r>
      <w:r>
        <w:rPr>
          <w:rFonts w:hint="eastAsia" w:ascii="Times New Roman" w:hAnsi="Times New Roman"/>
          <w:b/>
          <w:bCs/>
          <w:color w:val="000000" w:themeColor="text1"/>
          <w:sz w:val="30"/>
          <w:szCs w:val="30"/>
          <w:highlight w:val="none"/>
          <w14:textFill>
            <w14:solidFill>
              <w14:schemeClr w14:val="tx1"/>
            </w14:solidFill>
          </w14:textFill>
        </w:rPr>
        <w:t>法定代表人授权委托书（格式）</w:t>
      </w:r>
    </w:p>
    <w:p>
      <w:pPr>
        <w:pStyle w:val="18"/>
        <w:spacing w:line="500" w:lineRule="exact"/>
        <w:ind w:firstLine="420" w:firstLineChars="200"/>
        <w:rPr>
          <w:rFonts w:ascii="Times New Roman" w:hAnsi="Times New Roman"/>
          <w:color w:val="000000" w:themeColor="text1"/>
          <w:highlight w:val="none"/>
          <w:u w:val="single"/>
          <w14:textFill>
            <w14:solidFill>
              <w14:schemeClr w14:val="tx1"/>
            </w14:solidFill>
          </w14:textFill>
        </w:rPr>
      </w:pP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致：</w:t>
      </w:r>
      <w:r>
        <w:rPr>
          <w:rFonts w:hint="eastAsia"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（采购代理机构名称）</w:t>
      </w:r>
    </w:p>
    <w:p>
      <w:pPr>
        <w:pStyle w:val="18"/>
        <w:spacing w:line="360" w:lineRule="auto"/>
        <w:ind w:firstLine="435"/>
        <w:rPr>
          <w:rFonts w:ascii="Times New Roman" w:hAnsi="Times New Roman"/>
          <w:color w:val="000000" w:themeColor="text1"/>
          <w:highlight w:val="none"/>
          <w14:textFill>
            <w14:solidFill>
              <w14:schemeClr w14:val="tx1"/>
            </w14:solidFill>
          </w14:textFill>
        </w:rPr>
      </w:pP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本人</w:t>
      </w:r>
      <w:r>
        <w:rPr>
          <w:rFonts w:hint="eastAsia" w:ascii="Times New Roman" w:hAnsi="Times New Roman"/>
          <w:color w:val="000000" w:themeColor="text1"/>
          <w:highlight w:val="none"/>
          <w:u w:val="single"/>
          <w14:textFill>
            <w14:solidFill>
              <w14:schemeClr w14:val="tx1"/>
            </w14:solidFill>
          </w14:textFill>
        </w:rPr>
        <w:t xml:space="preserve">    （姓名）    </w:t>
      </w:r>
      <w:r>
        <w:rPr>
          <w:rFonts w:hint="eastAsia" w:ascii="Times New Roman" w:hAnsi="Times New Roman"/>
          <w:color w:val="000000" w:themeColor="text1"/>
          <w:highlight w:val="none"/>
          <w14:textFill>
            <w14:solidFill>
              <w14:schemeClr w14:val="tx1"/>
            </w14:solidFill>
          </w14:textFill>
        </w:rPr>
        <w:t>系</w:t>
      </w:r>
      <w:r>
        <w:rPr>
          <w:rFonts w:hint="eastAsia" w:ascii="Times New Roman" w:hAnsi="Times New Roman"/>
          <w:color w:val="000000" w:themeColor="text1"/>
          <w:highlight w:val="none"/>
          <w:u w:val="single"/>
          <w14:textFill>
            <w14:solidFill>
              <w14:schemeClr w14:val="tx1"/>
            </w14:solidFill>
          </w14:textFill>
        </w:rPr>
        <w:t xml:space="preserve">     （投标人名称）     </w:t>
      </w:r>
      <w:r>
        <w:rPr>
          <w:rFonts w:hint="eastAsia" w:ascii="Times New Roman" w:hAnsi="Times New Roman"/>
          <w:color w:val="000000" w:themeColor="text1"/>
          <w:highlight w:val="none"/>
          <w14:textFill>
            <w14:solidFill>
              <w14:schemeClr w14:val="tx1"/>
            </w14:solidFill>
          </w14:textFill>
        </w:rPr>
        <w:t>的法定代表人，现授权我单位在职正式员工</w:t>
      </w:r>
      <w:r>
        <w:rPr>
          <w:rFonts w:hint="eastAsia" w:ascii="Times New Roman" w:hAnsi="Times New Roman"/>
          <w:color w:val="000000" w:themeColor="text1"/>
          <w:highlight w:val="none"/>
          <w:u w:val="single"/>
          <w14:textFill>
            <w14:solidFill>
              <w14:schemeClr w14:val="tx1"/>
            </w14:solidFill>
          </w14:textFill>
        </w:rPr>
        <w:t xml:space="preserve">    （姓名和职务）    </w:t>
      </w:r>
      <w:r>
        <w:rPr>
          <w:rFonts w:hint="eastAsia" w:ascii="Times New Roman" w:hAnsi="Times New Roman"/>
          <w:color w:val="000000" w:themeColor="text1"/>
          <w:highlight w:val="none"/>
          <w14:textFill>
            <w14:solidFill>
              <w14:schemeClr w14:val="tx1"/>
            </w14:solidFill>
          </w14:textFill>
        </w:rPr>
        <w:t>为我方代理人。代理人根据授权，以我方名义签署、澄清、说明、补正、递交、撤回、修改贵方组织的</w:t>
      </w:r>
      <w:r>
        <w:rPr>
          <w:rFonts w:hint="eastAsia" w:ascii="Times New Roman" w:hAnsi="Times New Roman"/>
          <w:color w:val="000000" w:themeColor="text1"/>
          <w:highlight w:val="none"/>
          <w:u w:val="single"/>
          <w14:textFill>
            <w14:solidFill>
              <w14:schemeClr w14:val="tx1"/>
            </w14:solidFill>
          </w14:textFill>
        </w:rPr>
        <w:t xml:space="preserve">   （项目名称）     </w:t>
      </w:r>
      <w:r>
        <w:rPr>
          <w:rFonts w:hint="eastAsia" w:ascii="Times New Roman" w:hAnsi="Times New Roman"/>
          <w:color w:val="000000" w:themeColor="text1"/>
          <w:highlight w:val="none"/>
          <w14:textFill>
            <w14:solidFill>
              <w14:schemeClr w14:val="tx1"/>
            </w14:solidFill>
          </w14:textFill>
        </w:rPr>
        <w:t>（项目编号：</w:t>
      </w:r>
      <w:r>
        <w:rPr>
          <w:rFonts w:hint="eastAsia"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）项目的投标文件、签订合同和处理一切有关事宜，其法律后果由我方承担。</w:t>
      </w: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本授权书于</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年</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月</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日签字生效，委托期限：</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w:t>
      </w:r>
    </w:p>
    <w:p>
      <w:pPr>
        <w:pStyle w:val="18"/>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代理人无转委托权。</w:t>
      </w:r>
    </w:p>
    <w:p>
      <w:pPr>
        <w:pStyle w:val="18"/>
        <w:spacing w:line="360" w:lineRule="auto"/>
        <w:ind w:firstLine="420"/>
        <w:rPr>
          <w:rFonts w:ascii="Times New Roman" w:hAnsi="Times New Roman"/>
          <w:color w:val="000000" w:themeColor="text1"/>
          <w:highlight w:val="none"/>
          <w14:textFill>
            <w14:solidFill>
              <w14:schemeClr w14:val="tx1"/>
            </w14:solidFill>
          </w14:textFill>
        </w:rPr>
      </w:pP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法定代表人（签字）：</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法定代表人身份证号码：</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委托代理人（签字）：</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委托代理人身份证号码：</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jc w:val="center"/>
        <w:rPr>
          <w:rFonts w:ascii="Times New Roman" w:hAnsi="Times New Roman"/>
          <w:b/>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Times New Roman" w:hAnsi="Times New Roman"/>
          <w:b/>
          <w:color w:val="000000" w:themeColor="text1"/>
          <w:sz w:val="30"/>
          <w:szCs w:val="30"/>
          <w:highlight w:val="none"/>
          <w14:textFill>
            <w14:solidFill>
              <w14:schemeClr w14:val="tx1"/>
            </w14:solidFill>
          </w14:textFill>
        </w:rPr>
        <w:t>资格声明函（格式）</w:t>
      </w:r>
    </w:p>
    <w:p>
      <w:pPr>
        <w:pStyle w:val="18"/>
        <w:jc w:val="center"/>
        <w:rPr>
          <w:rFonts w:ascii="Times New Roman" w:hAnsi="Times New Roman"/>
          <w:b/>
          <w:color w:val="000000" w:themeColor="text1"/>
          <w:sz w:val="30"/>
          <w:szCs w:val="30"/>
          <w:highlight w:val="none"/>
          <w14:textFill>
            <w14:solidFill>
              <w14:schemeClr w14:val="tx1"/>
            </w14:solidFill>
          </w14:textFill>
        </w:rPr>
      </w:pPr>
    </w:p>
    <w:p>
      <w:pPr>
        <w:tabs>
          <w:tab w:val="left" w:pos="7200"/>
        </w:tabs>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致：</w:t>
      </w:r>
      <w:r>
        <w:rPr>
          <w:rFonts w:hAnsi="宋体"/>
          <w:color w:val="000000" w:themeColor="text1"/>
          <w:highlight w:val="none"/>
          <w14:textFill>
            <w14:solidFill>
              <w14:schemeClr w14:val="tx1"/>
            </w14:solidFill>
          </w14:textFill>
        </w:rPr>
        <w:t>_</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（采购代理机构名称）</w:t>
      </w:r>
    </w:p>
    <w:p>
      <w:pPr>
        <w:tabs>
          <w:tab w:val="left" w:pos="720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我方愿意参加贵方组织的</w:t>
      </w:r>
      <w:r>
        <w:rPr>
          <w:rFonts w:hAnsi="宋体"/>
          <w:color w:val="000000" w:themeColor="text1"/>
          <w:highlight w:val="none"/>
          <w14:textFill>
            <w14:solidFill>
              <w14:schemeClr w14:val="tx1"/>
            </w14:solidFill>
          </w14:textFill>
        </w:rPr>
        <w:t>_</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项目名称</w:t>
      </w:r>
      <w:r>
        <w:rPr>
          <w:rFonts w:hAnsi="宋体"/>
          <w:color w:val="000000" w:themeColor="text1"/>
          <w:highlight w:val="none"/>
          <w:u w:val="single"/>
          <w14:textFill>
            <w14:solidFill>
              <w14:schemeClr w14:val="tx1"/>
            </w14:solidFill>
          </w14:textFill>
        </w:rPr>
        <w:t xml:space="preserve">)         _    </w:t>
      </w:r>
      <w:r>
        <w:rPr>
          <w:rFonts w:hAnsi="宋体"/>
          <w:color w:val="000000" w:themeColor="text1"/>
          <w:highlight w:val="none"/>
          <w14:textFill>
            <w14:solidFill>
              <w14:schemeClr w14:val="tx1"/>
            </w14:solidFill>
          </w14:textFill>
        </w:rPr>
        <w:t>_</w:t>
      </w:r>
      <w:r>
        <w:rPr>
          <w:rFonts w:hint="eastAsia" w:hAnsi="宋体"/>
          <w:color w:val="000000" w:themeColor="text1"/>
          <w:highlight w:val="none"/>
          <w14:textFill>
            <w14:solidFill>
              <w14:schemeClr w14:val="tx1"/>
            </w14:solidFill>
          </w14:textFill>
        </w:rPr>
        <w:t>（项目编号：</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）项目的投标，为便于贵方公正、择优地确定中标人，我方就本次投标有关事项郑重声明如下：</w:t>
      </w:r>
    </w:p>
    <w:p>
      <w:pPr>
        <w:pStyle w:val="18"/>
        <w:spacing w:line="440" w:lineRule="exact"/>
        <w:ind w:firstLine="48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1.我方承诺已经具备《中华人民共和国政府采购法》中规定的参加政府采购活动的供应商应当具备的条件：</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（1）具有独立承担民事责任的能力；</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（2）具有良好的商业信誉和健全的财务会计制度；</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（3）具有履行合同所必需的设备和专业技术能力；</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（4）有依法缴纳税收和社会保障资金的良好记录；</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（5）参加政府采购活动前三年内，在经营活动中没有重大违法记录；</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（6）法律、行政法规规定的其他条件。</w:t>
      </w:r>
    </w:p>
    <w:p>
      <w:pPr>
        <w:tabs>
          <w:tab w:val="left" w:pos="7200"/>
        </w:tabs>
        <w:spacing w:line="360" w:lineRule="auto"/>
        <w:ind w:firstLine="420" w:firstLineChars="200"/>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 xml:space="preserve">2. </w:t>
      </w:r>
      <w:r>
        <w:rPr>
          <w:rFonts w:hint="eastAsia" w:hAnsi="宋体"/>
          <w:color w:val="000000" w:themeColor="text1"/>
          <w:highlight w:val="none"/>
          <w14:textFill>
            <w14:solidFill>
              <w14:schemeClr w14:val="tx1"/>
            </w14:solidFill>
          </w14:textFill>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000000" w:themeColor="text1"/>
          <w:highlight w:val="none"/>
          <w14:textFill>
            <w14:solidFill>
              <w14:schemeClr w14:val="tx1"/>
            </w14:solidFill>
          </w14:textFill>
        </w:rPr>
      </w:pPr>
    </w:p>
    <w:p>
      <w:pPr>
        <w:tabs>
          <w:tab w:val="left" w:pos="7200"/>
        </w:tabs>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w:t>
      </w:r>
    </w:p>
    <w:p>
      <w:pPr>
        <w:spacing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000000" w:themeColor="text1"/>
          <w:highlight w:val="none"/>
          <w14:textFill>
            <w14:solidFill>
              <w14:schemeClr w14:val="tx1"/>
            </w14:solidFill>
          </w14:textFill>
        </w:rPr>
      </w:pPr>
    </w:p>
    <w:p>
      <w:pPr>
        <w:tabs>
          <w:tab w:val="left" w:pos="7200"/>
        </w:tabs>
        <w:spacing w:line="360" w:lineRule="auto"/>
        <w:ind w:firstLine="839" w:firstLineChars="398"/>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 xml:space="preserve">投标人（盖单位公章）：                     </w:t>
      </w:r>
    </w:p>
    <w:p>
      <w:pPr>
        <w:tabs>
          <w:tab w:val="left" w:pos="7200"/>
        </w:tabs>
        <w:spacing w:line="360" w:lineRule="auto"/>
        <w:ind w:firstLine="2947" w:firstLineChars="13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法定代表人或其委托代理人（签字或盖章）：                  </w:t>
      </w:r>
      <w:r>
        <w:rPr>
          <w:rFonts w:hAnsi="宋体"/>
          <w:b/>
          <w:color w:val="000000" w:themeColor="text1"/>
          <w:highlight w:val="none"/>
          <w14:textFill>
            <w14:solidFill>
              <w14:schemeClr w14:val="tx1"/>
            </w14:solidFill>
          </w14:textFill>
        </w:rPr>
        <w:t xml:space="preserve">               </w:t>
      </w:r>
    </w:p>
    <w:p>
      <w:pPr>
        <w:tabs>
          <w:tab w:val="left" w:pos="7200"/>
        </w:tabs>
        <w:spacing w:line="360" w:lineRule="auto"/>
        <w:ind w:firstLine="839" w:firstLineChars="398"/>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年</w:t>
      </w: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月</w:t>
      </w: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日</w:t>
      </w:r>
    </w:p>
    <w:p>
      <w:pPr>
        <w:spacing w:before="165" w:after="50"/>
        <w:jc w:val="center"/>
        <w:rPr>
          <w:color w:val="000000" w:themeColor="text1"/>
          <w:spacing w:val="20"/>
          <w:highlight w:val="none"/>
          <w14:textFill>
            <w14:solidFill>
              <w14:schemeClr w14:val="tx1"/>
            </w14:solidFill>
          </w14:textFill>
        </w:rPr>
      </w:pPr>
      <w:r>
        <w:rPr>
          <w:rFonts w:hint="eastAsia"/>
          <w:color w:val="000000" w:themeColor="text1"/>
          <w:spacing w:val="20"/>
          <w:highlight w:val="none"/>
          <w14:textFill>
            <w14:solidFill>
              <w14:schemeClr w14:val="tx1"/>
            </w14:solidFill>
          </w14:textFill>
        </w:rPr>
        <w:br w:type="page"/>
      </w: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bookmarkStart w:id="83" w:name="_Toc272"/>
      <w:r>
        <w:rPr>
          <w:rFonts w:hint="eastAsia"/>
          <w:color w:val="000000" w:themeColor="text1"/>
          <w:sz w:val="36"/>
          <w:szCs w:val="36"/>
          <w:highlight w:val="none"/>
          <w14:textFill>
            <w14:solidFill>
              <w14:schemeClr w14:val="tx1"/>
            </w14:solidFill>
          </w14:textFill>
        </w:rPr>
        <w:t>第六章  合同条款及格式</w:t>
      </w:r>
      <w:bookmarkEnd w:id="83"/>
    </w:p>
    <w:p>
      <w:pPr>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tabs>
          <w:tab w:val="left" w:pos="7380"/>
        </w:tabs>
        <w:spacing w:line="360" w:lineRule="auto"/>
        <w:jc w:val="center"/>
        <w:rPr>
          <w:rFonts w:ascii="宋体"/>
          <w:b/>
          <w:bCs/>
          <w:color w:val="000000" w:themeColor="text1"/>
          <w:sz w:val="4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目</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录</w:t>
      </w:r>
    </w:p>
    <w:p>
      <w:pPr>
        <w:tabs>
          <w:tab w:val="left" w:pos="1170"/>
        </w:tabs>
        <w:spacing w:line="360" w:lineRule="auto"/>
        <w:ind w:left="359" w:leftChars="171" w:firstLine="198" w:firstLineChars="71"/>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ab/>
      </w:r>
    </w:p>
    <w:p>
      <w:pP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一、南宁市政府采购合同书</w:t>
      </w:r>
    </w:p>
    <w:p>
      <w:pP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二、合同附件</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1、中标通知书</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2、招标文件服务需求一览表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3、招标文件的</w:t>
      </w:r>
      <w:r>
        <w:rPr>
          <w:rFonts w:hint="eastAsia" w:hAnsi="宋体"/>
          <w:color w:val="000000" w:themeColor="text1"/>
          <w:sz w:val="28"/>
          <w:highlight w:val="none"/>
          <w14:textFill>
            <w14:solidFill>
              <w14:schemeClr w14:val="tx1"/>
            </w14:solidFill>
          </w14:textFill>
        </w:rPr>
        <w:t>更改通知（如有）</w:t>
      </w:r>
    </w:p>
    <w:p>
      <w:pPr>
        <w:ind w:firstLine="560" w:firstLineChars="200"/>
        <w:rPr>
          <w:rFonts w:ascii="宋体" w:hAnsi="宋体"/>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w:t>
      </w:r>
      <w:r>
        <w:rPr>
          <w:rFonts w:hint="eastAsia"/>
          <w:color w:val="000000" w:themeColor="text1"/>
          <w:sz w:val="28"/>
          <w:szCs w:val="28"/>
          <w:highlight w:val="none"/>
          <w14:textFill>
            <w14:solidFill>
              <w14:schemeClr w14:val="tx1"/>
            </w14:solidFill>
          </w14:textFill>
        </w:rPr>
        <w:t>、投标函</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5、报价表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6、投标服务技术资料表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7、商务条款偏离表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8、中标供应商澄清函</w:t>
      </w:r>
      <w:r>
        <w:rPr>
          <w:rFonts w:hint="eastAsia"/>
          <w:color w:val="000000" w:themeColor="text1"/>
          <w:sz w:val="28"/>
          <w:szCs w:val="28"/>
          <w:highlight w:val="none"/>
          <w14:textFill>
            <w14:solidFill>
              <w14:schemeClr w14:val="tx1"/>
            </w14:solidFill>
          </w14:textFill>
        </w:rPr>
        <w:t>（如有请提</w:t>
      </w:r>
      <w:r>
        <w:rPr>
          <w:rFonts w:hint="eastAsia"/>
          <w:color w:val="000000" w:themeColor="text1"/>
          <w:sz w:val="30"/>
          <w:szCs w:val="30"/>
          <w:highlight w:val="none"/>
          <w14:textFill>
            <w14:solidFill>
              <w14:schemeClr w14:val="tx1"/>
            </w14:solidFill>
          </w14:textFill>
        </w:rPr>
        <w:t>供</w:t>
      </w:r>
      <w:r>
        <w:rPr>
          <w:rFonts w:hint="eastAsia"/>
          <w:color w:val="000000" w:themeColor="text1"/>
          <w:sz w:val="28"/>
          <w:szCs w:val="28"/>
          <w:highlight w:val="none"/>
          <w14:textFill>
            <w14:solidFill>
              <w14:schemeClr w14:val="tx1"/>
            </w14:solidFill>
          </w14:textFill>
        </w:rPr>
        <w:t>）</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10、其他与本合同相关的资料</w:t>
      </w:r>
      <w:r>
        <w:rPr>
          <w:rFonts w:hint="eastAsia"/>
          <w:color w:val="000000" w:themeColor="text1"/>
          <w:sz w:val="28"/>
          <w:szCs w:val="28"/>
          <w:highlight w:val="none"/>
          <w14:textFill>
            <w14:solidFill>
              <w14:schemeClr w14:val="tx1"/>
            </w14:solidFill>
          </w14:textFill>
        </w:rPr>
        <w:t>（如有请提</w:t>
      </w:r>
      <w:r>
        <w:rPr>
          <w:rFonts w:hint="eastAsia"/>
          <w:color w:val="000000" w:themeColor="text1"/>
          <w:sz w:val="30"/>
          <w:szCs w:val="30"/>
          <w:highlight w:val="none"/>
          <w14:textFill>
            <w14:solidFill>
              <w14:schemeClr w14:val="tx1"/>
            </w14:solidFill>
          </w14:textFill>
        </w:rPr>
        <w:t>供</w:t>
      </w:r>
      <w:r>
        <w:rPr>
          <w:rFonts w:hint="eastAsia"/>
          <w:color w:val="000000" w:themeColor="text1"/>
          <w:sz w:val="28"/>
          <w:szCs w:val="28"/>
          <w:highlight w:val="none"/>
          <w14:textFill>
            <w14:solidFill>
              <w14:schemeClr w14:val="tx1"/>
            </w14:solidFill>
          </w14:textFill>
        </w:rPr>
        <w:t>）</w:t>
      </w:r>
    </w:p>
    <w:p>
      <w:pPr>
        <w:rPr>
          <w:b/>
          <w:color w:val="000000" w:themeColor="text1"/>
          <w:sz w:val="30"/>
          <w:szCs w:val="30"/>
          <w:highlight w:val="none"/>
          <w14:textFill>
            <w14:solidFill>
              <w14:schemeClr w14:val="tx1"/>
            </w14:solidFill>
          </w14:textFill>
        </w:rPr>
      </w:pPr>
    </w:p>
    <w:p>
      <w:pPr>
        <w:spacing w:line="360" w:lineRule="auto"/>
        <w:jc w:val="center"/>
        <w:rPr>
          <w:rFonts w:ascii="宋体" w:hAnsi="宋体"/>
          <w:b/>
          <w:bCs/>
          <w:color w:val="000000" w:themeColor="text1"/>
          <w:sz w:val="28"/>
          <w:highlight w:val="none"/>
          <w14:textFill>
            <w14:solidFill>
              <w14:schemeClr w14:val="tx1"/>
            </w14:solidFill>
          </w14:textFill>
        </w:rPr>
      </w:pPr>
    </w:p>
    <w:p>
      <w:pPr>
        <w:spacing w:line="360" w:lineRule="auto"/>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br w:type="page"/>
      </w:r>
      <w:r>
        <w:rPr>
          <w:rFonts w:hint="eastAsia"/>
          <w:b/>
          <w:color w:val="000000" w:themeColor="text1"/>
          <w:sz w:val="30"/>
          <w:szCs w:val="30"/>
          <w:highlight w:val="none"/>
          <w14:textFill>
            <w14:solidFill>
              <w14:schemeClr w14:val="tx1"/>
            </w14:solidFill>
          </w14:textFill>
        </w:rPr>
        <w:t>南宁市政府采购合同书</w:t>
      </w:r>
    </w:p>
    <w:p>
      <w:pPr>
        <w:pStyle w:val="18"/>
        <w:spacing w:line="360" w:lineRule="auto"/>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项目编号：</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分标号（有分标时填写）：</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甲方（买方）：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乙方（卖方）：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    </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日南宁市政府采购项目的采购结果，甲方接受乙方对本项目的投标，甲、乙双方同意签署本合同（以下简称合同）。</w:t>
      </w:r>
    </w:p>
    <w:p>
      <w:pPr>
        <w:pStyle w:val="18"/>
        <w:spacing w:line="360" w:lineRule="auto"/>
        <w:rPr>
          <w:rFonts w:hAnsi="宋体"/>
          <w:b/>
          <w:color w:val="000000" w:themeColor="text1"/>
          <w:highlight w:val="none"/>
          <w14:textFill>
            <w14:solidFill>
              <w14:schemeClr w14:val="tx1"/>
            </w14:solidFill>
          </w14:textFill>
        </w:rPr>
      </w:pP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  采购内容</w:t>
      </w:r>
    </w:p>
    <w:p>
      <w:pPr>
        <w:pStyle w:val="18"/>
        <w:tabs>
          <w:tab w:val="left" w:pos="5220"/>
        </w:tabs>
        <w:spacing w:line="360" w:lineRule="auto"/>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1.1 服务名称：</w:t>
      </w:r>
      <w:r>
        <w:rPr>
          <w:rFonts w:hint="eastAsia" w:hAnsi="宋体"/>
          <w:color w:val="000000" w:themeColor="text1"/>
          <w:highlight w:val="none"/>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 数量：</w:t>
      </w:r>
      <w:r>
        <w:rPr>
          <w:rFonts w:hint="eastAsia" w:hAnsi="宋体"/>
          <w:color w:val="000000" w:themeColor="text1"/>
          <w:highlight w:val="none"/>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1.2 </w:t>
      </w:r>
      <w:r>
        <w:rPr>
          <w:rFonts w:hint="eastAsia"/>
          <w:color w:val="000000" w:themeColor="text1"/>
          <w:szCs w:val="21"/>
          <w:highlight w:val="none"/>
          <w14:textFill>
            <w14:solidFill>
              <w14:schemeClr w14:val="tx1"/>
            </w14:solidFill>
          </w14:textFill>
        </w:rPr>
        <w:t>服务内容及要求</w:t>
      </w:r>
      <w:r>
        <w:rPr>
          <w:rFonts w:hint="eastAsia" w:ascii="Times New Roman" w:hAnsi="Times New Roman"/>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详见合同附件中投标服务技术资料表</w:t>
      </w:r>
    </w:p>
    <w:p>
      <w:pPr>
        <w:pStyle w:val="18"/>
        <w:tabs>
          <w:tab w:val="left" w:pos="5145"/>
        </w:tabs>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2.  合同金额</w:t>
      </w:r>
    </w:p>
    <w:p>
      <w:pPr>
        <w:pStyle w:val="18"/>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 本合同金额为（大写）人民币</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元）。（详见报价表）</w:t>
      </w:r>
    </w:p>
    <w:p>
      <w:pPr>
        <w:pStyle w:val="18"/>
        <w:tabs>
          <w:tab w:val="left" w:pos="5940"/>
        </w:tabs>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3.  提交服务成果时间和地点</w:t>
      </w:r>
    </w:p>
    <w:p>
      <w:pPr>
        <w:pStyle w:val="18"/>
        <w:tabs>
          <w:tab w:val="left" w:pos="5250"/>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3.1 </w:t>
      </w:r>
      <w:r>
        <w:rPr>
          <w:rFonts w:hint="eastAsia"/>
          <w:bCs/>
          <w:color w:val="000000" w:themeColor="text1"/>
          <w:highlight w:val="none"/>
          <w14:textFill>
            <w14:solidFill>
              <w14:schemeClr w14:val="tx1"/>
            </w14:solidFill>
          </w14:textFill>
        </w:rPr>
        <w:t>提交服务成果时间</w:t>
      </w:r>
      <w:r>
        <w:rPr>
          <w:rFonts w:hint="eastAsia" w:hAnsi="宋体"/>
          <w:bCs/>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3.2 </w:t>
      </w:r>
      <w:r>
        <w:rPr>
          <w:rFonts w:hint="eastAsia"/>
          <w:bCs/>
          <w:color w:val="000000" w:themeColor="text1"/>
          <w:highlight w:val="none"/>
          <w14:textFill>
            <w14:solidFill>
              <w14:schemeClr w14:val="tx1"/>
            </w14:solidFill>
          </w14:textFill>
        </w:rPr>
        <w:t>提交服务成果</w:t>
      </w:r>
      <w:r>
        <w:rPr>
          <w:rFonts w:hint="eastAsia" w:hAnsi="宋体"/>
          <w:bCs/>
          <w:color w:val="000000" w:themeColor="text1"/>
          <w:highlight w:val="none"/>
          <w14:textFill>
            <w14:solidFill>
              <w14:schemeClr w14:val="tx1"/>
            </w14:solidFill>
          </w14:textFill>
        </w:rPr>
        <w:t>地点：</w:t>
      </w:r>
      <w:r>
        <w:rPr>
          <w:rFonts w:hint="eastAsia" w:hAnsi="宋体"/>
          <w:color w:val="000000" w:themeColor="text1"/>
          <w:highlight w:val="none"/>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3.3 </w:t>
      </w:r>
      <w:r>
        <w:rPr>
          <w:rFonts w:hint="eastAsia" w:hAnsi="宋体"/>
          <w:color w:val="000000" w:themeColor="text1"/>
          <w:highlight w:val="none"/>
          <w14:textFill>
            <w14:solidFill>
              <w14:schemeClr w14:val="tx1"/>
            </w14:solidFill>
          </w14:textFill>
        </w:rPr>
        <w:t>乙方必须按投标文件承诺的服务响应条款向甲方提供服务。</w:t>
      </w:r>
    </w:p>
    <w:p>
      <w:pPr>
        <w:pStyle w:val="18"/>
        <w:spacing w:line="360" w:lineRule="auto"/>
        <w:ind w:left="410" w:hanging="410" w:hangingChars="170"/>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4.  履约保证金</w:t>
      </w:r>
    </w:p>
    <w:p>
      <w:pPr>
        <w:pStyle w:val="18"/>
        <w:spacing w:line="360" w:lineRule="auto"/>
        <w:ind w:left="359" w:hanging="359" w:hangingChars="17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本项目无须交纳履约保证金。</w:t>
      </w:r>
    </w:p>
    <w:p>
      <w:pPr>
        <w:pStyle w:val="18"/>
        <w:spacing w:line="360" w:lineRule="auto"/>
        <w:ind w:left="412" w:hanging="412" w:hangingChars="171"/>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5.  产权</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5.1 </w:t>
      </w:r>
      <w:r>
        <w:rPr>
          <w:rFonts w:hint="eastAsia" w:ascii="Times New Roman" w:hAnsi="Times New Roman"/>
          <w:color w:val="000000" w:themeColor="text1"/>
          <w:highlight w:val="none"/>
          <w14:textFill>
            <w14:solidFill>
              <w14:schemeClr w14:val="tx1"/>
            </w14:solidFill>
          </w14:textFill>
        </w:rPr>
        <w:t>乙方应保证所提供的服务或其任何一部分均不会侵犯任何第三方的专利权、商标权或著作权</w:t>
      </w:r>
      <w:r>
        <w:rPr>
          <w:rFonts w:hint="eastAsia" w:hAnsi="宋体"/>
          <w:bCs/>
          <w:color w:val="000000" w:themeColor="text1"/>
          <w:highlight w:val="none"/>
          <w14:textFill>
            <w14:solidFill>
              <w14:schemeClr w14:val="tx1"/>
            </w14:solidFill>
          </w14:textFill>
        </w:rPr>
        <w:t>。</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6.  技术资料</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 甲方应向乙方提供提交服务成果所必需的有关数据、资料等。</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7.  验收</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7.2 乙方在指定地点提交服务成果后，甲方应在5个工作日内依据招标文件、乙方的投标文件等组织验收，验收完毕后作出书面验收报告。验收时乙方必须在现场。</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7.3 对复杂的服务，甲方可请国家认可的专业机构参与验收，并由其出具验收报告，相关费用由甲方承担。</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cs="宋体"/>
          <w:color w:val="000000" w:themeColor="text1"/>
          <w:szCs w:val="28"/>
          <w:highlight w:val="none"/>
          <w14:textFill>
            <w14:solidFill>
              <w14:schemeClr w14:val="tx1"/>
            </w14:solidFill>
          </w14:textFill>
        </w:rPr>
        <w:t>7.4</w:t>
      </w:r>
      <w:r>
        <w:rPr>
          <w:rFonts w:hint="eastAsia" w:hAnsi="宋体"/>
          <w:color w:val="000000" w:themeColor="text1"/>
          <w:highlight w:val="none"/>
          <w14:textFill>
            <w14:solidFill>
              <w14:schemeClr w14:val="tx1"/>
            </w14:solidFill>
          </w14:textFill>
        </w:rPr>
        <w:t>政府采购合同签订后，采购人和中标（成交）供应商应严格按照相关法律规定和合同要求履约验收。验收完成后应及时出具验收书或验收证明，不得无故拖延或附加额外条件。</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8.  合同款支付</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8.1 付款方式：</w:t>
      </w:r>
      <w:r>
        <w:rPr>
          <w:rFonts w:hint="eastAsia" w:hAnsi="宋体"/>
          <w:bCs/>
          <w:color w:val="000000" w:themeColor="text1"/>
          <w:highlight w:val="none"/>
          <w:u w:val="single"/>
          <w14:textFill>
            <w14:solidFill>
              <w14:schemeClr w14:val="tx1"/>
            </w14:solidFill>
          </w14:textFill>
        </w:rPr>
        <w:t xml:space="preserve">                               </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8.3 </w:t>
      </w:r>
      <w:r>
        <w:rPr>
          <w:rFonts w:hint="eastAsia" w:hAnsi="宋体"/>
          <w:color w:val="000000" w:themeColor="text1"/>
          <w:szCs w:val="21"/>
          <w:highlight w:val="none"/>
          <w14:textFill>
            <w14:solidFill>
              <w14:schemeClr w14:val="tx1"/>
            </w14:solidFill>
          </w14:textFill>
        </w:rPr>
        <w:t>政府采购监督管理部门在处理投诉事项期间，可以视具体情况书面通知采购人暂停采购活动</w:t>
      </w:r>
      <w:r>
        <w:rPr>
          <w:rFonts w:hint="eastAsia" w:hAnsi="宋体"/>
          <w:bCs/>
          <w:color w:val="000000" w:themeColor="text1"/>
          <w:highlight w:val="none"/>
          <w14:textFill>
            <w14:solidFill>
              <w14:schemeClr w14:val="tx1"/>
            </w14:solidFill>
          </w14:textFill>
        </w:rPr>
        <w:t>，并延期支付合同款。</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9.  售后服务要求</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9.1 乙方提供服务的质量保证期为：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（自提交服务验收合格之日起计）</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9.2 在本合同第9.1项约定的质量保证期内，乙方应对服务出现的问题负责处理解决并承担一切费用。</w:t>
      </w:r>
    </w:p>
    <w:p>
      <w:pPr>
        <w:pStyle w:val="18"/>
        <w:tabs>
          <w:tab w:val="left" w:pos="5250"/>
        </w:tabs>
        <w:spacing w:line="360" w:lineRule="auto"/>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9.3其他售后服务要求：</w:t>
      </w:r>
      <w:r>
        <w:rPr>
          <w:rFonts w:hint="eastAsia" w:hAnsi="宋体"/>
          <w:color w:val="000000" w:themeColor="text1"/>
          <w:highlight w:val="none"/>
          <w:u w:val="single"/>
          <w14:textFill>
            <w14:solidFill>
              <w14:schemeClr w14:val="tx1"/>
            </w14:solidFill>
          </w14:textFill>
        </w:rPr>
        <w:t>按投标文件商务条款偏离表内容执行。</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10.  违约责任</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10.1 甲方无正当理由拒收服务的，甲方向乙方偿付拒收服务费总值的百分之五违约金。</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10.2 甲方无故逾期验收或办理合同款支付手续的，甲方应按逾期付款总额每日万分之五向乙方支付违约金。</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11.  不可抗力事件处理</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 在合同有效期内，任何一方因不可抗力事件导致不能履行合同，则合同履行期可延长，其延长期与不可抗力影响期相同。</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 不可抗力事件发生后，应立即通知对方，并寄送有关权威机构出具的证明。</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11.3 不可抗力事件延续120天以上，双方应通过友好协商，确定是否继续履行合同。</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12.  诉讼</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 双方在执行合同中所发生的一切争议，应通过协商解决。如协商不成，可向合同签订地法院起诉，合同签订地在此约定为广西南宁市。</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13.  合同生效及其它</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13.1 合同经双方法定代表人或授权委托代理人签字并加盖单位公章后生效。</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13.2 </w:t>
      </w:r>
      <w:r>
        <w:rPr>
          <w:rFonts w:hint="eastAsia" w:hAnsi="宋体"/>
          <w:color w:val="000000" w:themeColor="text1"/>
          <w:szCs w:val="21"/>
          <w:highlight w:val="none"/>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13.3 下述合同附件为本合同不可分割的部分并与本合同具有同等效力：</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（1）中标通知书；</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（2）招标文件服务需求一览表；</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（3）招标文件的澄清和修改；</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（4）投标函、报价表；</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（5）投标服务技术资料表、商务条款偏离表、售后服务承诺书；</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（6）中标供应商澄清函。</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13.4 本合同未尽事宜，遵照《中华人民共和国合同法》有关条文执行。</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13.5 本合同正本一式两份，具有同等法律效力，甲乙双方各执一份；副本一份。</w:t>
      </w: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甲方：</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乙方：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法定代表人：</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委托代理人：</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电话：</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电话：</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传真：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传真：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邮政编码：</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邮政编码：</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统一社会代码：</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开户银行：</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开户名称：</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银行账号：</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ind w:left="178" w:leftChars="85"/>
        <w:rPr>
          <w:rFonts w:hAnsi="宋体"/>
          <w:color w:val="000000" w:themeColor="text1"/>
          <w:highlight w:val="none"/>
          <w14:textFill>
            <w14:solidFill>
              <w14:schemeClr w14:val="tx1"/>
            </w14:solidFill>
          </w14:textFill>
        </w:rPr>
      </w:pPr>
    </w:p>
    <w:p>
      <w:pPr>
        <w:pStyle w:val="18"/>
        <w:spacing w:line="360" w:lineRule="auto"/>
        <w:ind w:left="178" w:leftChars="85"/>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合同签订地点：广西南宁市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合同签订日期：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pacing w:line="600" w:lineRule="exact"/>
        <w:jc w:val="center"/>
        <w:outlineLvl w:val="0"/>
        <w:rPr>
          <w:rFonts w:hAnsi="宋体"/>
          <w:color w:val="000000" w:themeColor="text1"/>
          <w:sz w:val="24"/>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18"/>
        <w:spacing w:line="360" w:lineRule="auto"/>
        <w:rPr>
          <w:rFonts w:cs="宋体"/>
          <w:color w:val="000000" w:themeColor="text1"/>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bookmarkStart w:id="84" w:name="_Toc22323"/>
      <w:r>
        <w:rPr>
          <w:rFonts w:hint="eastAsia"/>
          <w:color w:val="000000" w:themeColor="text1"/>
          <w:sz w:val="36"/>
          <w:szCs w:val="36"/>
          <w:highlight w:val="none"/>
          <w14:textFill>
            <w14:solidFill>
              <w14:schemeClr w14:val="tx1"/>
            </w14:solidFill>
          </w14:textFill>
        </w:rPr>
        <w:t>第七章  质疑材料格式</w:t>
      </w:r>
      <w:bookmarkEnd w:id="84"/>
    </w:p>
    <w:p>
      <w:pPr>
        <w:pStyle w:val="2"/>
        <w:jc w:val="center"/>
        <w:rPr>
          <w:rFonts w:ascii="宋体" w:hAnsi="宋体" w:eastAsia="宋体"/>
          <w:color w:val="000000" w:themeColor="text1"/>
          <w:sz w:val="30"/>
          <w:szCs w:val="30"/>
          <w:highlight w:val="none"/>
          <w14:textFill>
            <w14:solidFill>
              <w14:schemeClr w14:val="tx1"/>
            </w14:solidFill>
          </w14:textFill>
        </w:rPr>
      </w:pPr>
      <w:bookmarkStart w:id="85" w:name="_Toc17330"/>
      <w:bookmarkStart w:id="86" w:name="_Toc14650"/>
      <w:bookmarkStart w:id="87" w:name="_Toc532545055"/>
      <w:r>
        <w:rPr>
          <w:rFonts w:hint="eastAsia" w:ascii="宋体" w:hAnsi="宋体" w:eastAsia="宋体"/>
          <w:color w:val="000000" w:themeColor="text1"/>
          <w:sz w:val="30"/>
          <w:szCs w:val="30"/>
          <w:highlight w:val="none"/>
          <w14:textFill>
            <w14:solidFill>
              <w14:schemeClr w14:val="tx1"/>
            </w14:solidFill>
          </w14:textFill>
        </w:rPr>
        <w:t xml:space="preserve">一  </w:t>
      </w:r>
      <w:r>
        <w:rPr>
          <w:rFonts w:ascii="宋体" w:hAnsi="宋体" w:eastAsia="宋体"/>
          <w:color w:val="000000" w:themeColor="text1"/>
          <w:sz w:val="30"/>
          <w:szCs w:val="30"/>
          <w:highlight w:val="none"/>
          <w14:textFill>
            <w14:solidFill>
              <w14:schemeClr w14:val="tx1"/>
            </w14:solidFill>
          </w14:textFill>
        </w:rPr>
        <w:t>质疑函（格式）</w:t>
      </w:r>
      <w:bookmarkEnd w:id="85"/>
      <w:bookmarkEnd w:id="86"/>
      <w:bookmarkEnd w:id="87"/>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一、被质疑人：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二、质疑环节：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三、</w:t>
      </w:r>
      <w:r>
        <w:rPr>
          <w:rFonts w:hint="eastAsia" w:ascii="ˎ̥" w:hAnsi="ˎ̥"/>
          <w:color w:val="000000" w:themeColor="text1"/>
          <w:szCs w:val="21"/>
          <w:highlight w:val="none"/>
          <w14:textFill>
            <w14:solidFill>
              <w14:schemeClr w14:val="tx1"/>
            </w14:solidFill>
          </w14:textFill>
        </w:rPr>
        <w:t>质疑供应商基本信息</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bCs/>
          <w:color w:val="000000" w:themeColor="text1"/>
          <w:kern w:val="0"/>
          <w:szCs w:val="21"/>
          <w:highlight w:val="none"/>
          <w14:textFill>
            <w14:solidFill>
              <w14:schemeClr w14:val="tx1"/>
            </w14:solidFill>
          </w14:textFill>
        </w:rPr>
        <w:t>质疑供应商名称：</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u w:val="singl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地址：</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邮政编码：</w:t>
      </w:r>
      <w:r>
        <w:rPr>
          <w:rFonts w:ascii="ˎ̥" w:hAnsi="ˎ̥" w:cs="宋体"/>
          <w:color w:val="000000" w:themeColor="text1"/>
          <w:kern w:val="0"/>
          <w:szCs w:val="21"/>
          <w:highlight w:val="none"/>
          <w:u w:val="single"/>
          <w14:textFill>
            <w14:solidFill>
              <w14:schemeClr w14:val="tx1"/>
            </w14:solidFill>
          </w14:textFill>
        </w:rPr>
        <w:t>                 </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left"/>
        <w:rPr>
          <w:rFonts w:hint="eastAsia" w:ascii="ˎ̥" w:hAnsi="ˎ̥" w:cs="宋体"/>
          <w:bCs/>
          <w:color w:val="000000" w:themeColor="text1"/>
          <w:kern w:val="0"/>
          <w:szCs w:val="21"/>
          <w:highlight w:val="none"/>
          <w14:textFill>
            <w14:solidFill>
              <w14:schemeClr w14:val="tx1"/>
            </w14:solidFill>
          </w14:textFill>
        </w:rPr>
      </w:pPr>
      <w:r>
        <w:rPr>
          <w:rFonts w:hint="eastAsia" w:ascii="ˎ̥" w:hAnsi="ˎ̥" w:cs="宋体"/>
          <w:bCs/>
          <w:color w:val="000000" w:themeColor="text1"/>
          <w:kern w:val="0"/>
          <w:szCs w:val="21"/>
          <w:highlight w:val="none"/>
          <w14:textFill>
            <w14:solidFill>
              <w14:schemeClr w14:val="tx1"/>
            </w14:solidFill>
          </w14:textFill>
        </w:rPr>
        <w:t>联系人：</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u w:val="singl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联系电话：</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ascii="黑体" w:hAnsi="黑体" w:eastAsia="黑体" w:cs="黑体"/>
          <w:color w:val="000000" w:themeColor="text1"/>
          <w:sz w:val="32"/>
          <w:szCs w:val="32"/>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四、质疑项目基本情况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质疑项目的名称</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b/>
          <w:bCs/>
          <w:color w:val="000000" w:themeColor="text1"/>
          <w:kern w:val="0"/>
          <w:szCs w:val="21"/>
          <w:highlight w:val="none"/>
          <w:u w:val="single"/>
          <w14:textFill>
            <w14:solidFill>
              <w14:schemeClr w14:val="tx1"/>
            </w14:solidFill>
          </w14:textFill>
        </w:rPr>
        <w:t>：</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b/>
          <w:bCs/>
          <w:color w:val="000000" w:themeColor="text1"/>
          <w:kern w:val="0"/>
          <w:szCs w:val="21"/>
          <w:highlight w:val="none"/>
          <w:u w:val="singl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质疑项目的编号：</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bCs/>
          <w:color w:val="000000" w:themeColor="text1"/>
          <w:kern w:val="0"/>
          <w:szCs w:val="21"/>
          <w:highlight w:val="none"/>
          <w14:textFill>
            <w14:solidFill>
              <w14:schemeClr w14:val="tx1"/>
            </w14:solidFill>
          </w14:textFill>
        </w:rPr>
        <w:t>3.</w:t>
      </w:r>
      <w:r>
        <w:rPr>
          <w:rFonts w:hint="eastAsia" w:ascii="ˎ̥" w:hAnsi="ˎ̥" w:cs="宋体"/>
          <w:color w:val="000000" w:themeColor="text1"/>
          <w:kern w:val="0"/>
          <w:szCs w:val="21"/>
          <w:highlight w:val="none"/>
          <w14:textFill>
            <w14:solidFill>
              <w14:schemeClr w14:val="tx1"/>
            </w14:solidFill>
          </w14:textFill>
        </w:rPr>
        <w:t>质疑项目的分标号：</w:t>
      </w:r>
      <w:r>
        <w:rPr>
          <w:rFonts w:ascii="ˎ̥" w:hAnsi="ˎ̥" w:cs="宋体"/>
          <w:b/>
          <w:bCs/>
          <w:color w:val="000000" w:themeColor="text1"/>
          <w:kern w:val="0"/>
          <w:szCs w:val="21"/>
          <w:highlight w:val="none"/>
          <w:u w:val="single"/>
          <w14:textFill>
            <w14:solidFill>
              <w14:schemeClr w14:val="tx1"/>
            </w14:solidFill>
          </w14:textFill>
        </w:rPr>
        <w:t>                               </w:t>
      </w:r>
    </w:p>
    <w:p>
      <w:pPr>
        <w:snapToGrid w:val="0"/>
        <w:spacing w:line="260" w:lineRule="exact"/>
        <w:outlineLvl w:val="0"/>
        <w:rPr>
          <w:rFonts w:hint="eastAsia" w:ascii="ˎ̥" w:hAnsi="ˎ̥" w:cs="宋体"/>
          <w:color w:val="000000" w:themeColor="text1"/>
          <w:kern w:val="0"/>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五、质疑事项具体内容</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的事实依据：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的法律依据：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的相关请求：</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的事实依据：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的法律依据：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的相关请求：</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六、授权委托书（原件1份，委托代理时提交，材料附后。）</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质疑供应商（公章）：</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法定代表人或其委托代理人签字：</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885" w:firstLineChars="1850"/>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提起质疑的日期：</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年</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月</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日</w:t>
      </w:r>
    </w:p>
    <w:p>
      <w:pPr>
        <w:widowControl/>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left="630" w:hanging="630" w:hangingChars="300"/>
        <w:rPr>
          <w:rFonts w:ascii="宋体" w:hAnsi="宋体"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说明：</w:t>
      </w:r>
      <w:r>
        <w:rPr>
          <w:rFonts w:hint="eastAsia" w:ascii="宋体" w:hAnsi="宋体" w:cs="宋体"/>
          <w:color w:val="000000" w:themeColor="text1"/>
          <w:kern w:val="0"/>
          <w:szCs w:val="21"/>
          <w:highlight w:val="none"/>
          <w14:textFill>
            <w14:solidFill>
              <w14:schemeClr w14:val="tx1"/>
            </w14:solidFill>
          </w14:textFill>
        </w:rPr>
        <w:t>1.根据质疑环节及内容填写“被质疑人：”。对采购文件中的采购需求（含资格要求、预算金额和评分办法等）、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left="630" w:leftChars="3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2.“质疑环节:”在下列内容中选一项填写：采购文件（采购需求）、采购文件（采购执行程序）、采购过程（资格审查）、采购过程（采购执行程序）、中标或者成交结果。</w:t>
      </w:r>
    </w:p>
    <w:p>
      <w:pPr>
        <w:widowControl/>
        <w:shd w:val="clear" w:color="auto" w:fill="FFFFFF"/>
        <w:spacing w:line="260" w:lineRule="exact"/>
        <w:ind w:left="735" w:hanging="735" w:hangingChars="350"/>
        <w:rPr>
          <w:rFonts w:hint="eastAsia" w:ascii="ˎ̥" w:hAnsi="ˎ̥"/>
          <w:color w:val="000000" w:themeColor="text1"/>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      3.质疑事项的事实依据应</w:t>
      </w:r>
      <w:r>
        <w:rPr>
          <w:rFonts w:hint="eastAsia" w:ascii="ˎ̥" w:hAnsi="ˎ̥"/>
          <w:color w:val="000000" w:themeColor="text1"/>
          <w:szCs w:val="21"/>
          <w:highlight w:val="none"/>
          <w14:textFill>
            <w14:solidFill>
              <w14:schemeClr w14:val="tx1"/>
            </w14:solidFill>
          </w14:textFill>
        </w:rPr>
        <w:t>列明权益受到损害的事实和理由；</w:t>
      </w:r>
    </w:p>
    <w:p>
      <w:pPr>
        <w:widowControl/>
        <w:shd w:val="clear" w:color="auto" w:fill="FFFFFF"/>
        <w:spacing w:line="260" w:lineRule="exact"/>
        <w:ind w:firstLine="630" w:firstLineChars="300"/>
        <w:rPr>
          <w:rFonts w:hint="eastAsia" w:ascii="ˎ̥" w:hAnsi="ˎ̥" w:cs="宋体"/>
          <w:b/>
          <w:bCs/>
          <w:color w:val="000000" w:themeColor="text1"/>
          <w:kern w:val="0"/>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4</w:t>
      </w:r>
      <w:r>
        <w:rPr>
          <w:rFonts w:ascii="ˎ̥" w:hAnsi="ˎ̥"/>
          <w:color w:val="000000" w:themeColor="text1"/>
          <w:szCs w:val="21"/>
          <w:highlight w:val="none"/>
          <w14:textFill>
            <w14:solidFill>
              <w14:schemeClr w14:val="tx1"/>
            </w14:solidFill>
          </w14:textFill>
        </w:rPr>
        <w:t>.</w:t>
      </w:r>
      <w:r>
        <w:rPr>
          <w:rFonts w:hint="eastAsia" w:ascii="ˎ̥" w:hAnsi="ˎ̥" w:cs="宋体"/>
          <w:color w:val="000000" w:themeColor="text1"/>
          <w:kern w:val="0"/>
          <w:szCs w:val="21"/>
          <w:highlight w:val="none"/>
          <w14:textFill>
            <w14:solidFill>
              <w14:schemeClr w14:val="tx1"/>
            </w14:solidFill>
          </w14:textFill>
        </w:rPr>
        <w:t>质疑事项的法律依据应列明质疑事项违反法律法规的具体条款及内容。</w:t>
      </w:r>
    </w:p>
    <w:p>
      <w:pPr>
        <w:pStyle w:val="18"/>
        <w:outlineLvl w:val="1"/>
        <w:rPr>
          <w:rFonts w:hAnsi="宋体"/>
          <w:color w:val="000000" w:themeColor="text1"/>
          <w:highlight w:val="none"/>
          <w14:textFill>
            <w14:solidFill>
              <w14:schemeClr w14:val="tx1"/>
            </w14:solidFill>
          </w14:textFill>
        </w:rPr>
      </w:pPr>
    </w:p>
    <w:p>
      <w:pPr>
        <w:pStyle w:val="2"/>
        <w:jc w:val="center"/>
        <w:rPr>
          <w:rFonts w:ascii="宋体" w:hAnsi="宋体" w:eastAsia="宋体"/>
          <w:color w:val="000000" w:themeColor="text1"/>
          <w:sz w:val="30"/>
          <w:szCs w:val="30"/>
          <w:highlight w:val="none"/>
          <w14:textFill>
            <w14:solidFill>
              <w14:schemeClr w14:val="tx1"/>
            </w14:solidFill>
          </w14:textFill>
        </w:rPr>
      </w:pPr>
      <w:bookmarkStart w:id="88" w:name="_Toc30194"/>
      <w:bookmarkStart w:id="89" w:name="_Toc532545056"/>
      <w:bookmarkStart w:id="90" w:name="_Toc28541"/>
      <w:r>
        <w:rPr>
          <w:rFonts w:hint="eastAsia" w:ascii="宋体" w:hAnsi="宋体" w:eastAsia="宋体"/>
          <w:color w:val="000000" w:themeColor="text1"/>
          <w:sz w:val="30"/>
          <w:szCs w:val="30"/>
          <w:highlight w:val="none"/>
          <w14:textFill>
            <w14:solidFill>
              <w14:schemeClr w14:val="tx1"/>
            </w14:solidFill>
          </w14:textFill>
        </w:rPr>
        <w:t xml:space="preserve">二  </w:t>
      </w:r>
      <w:r>
        <w:rPr>
          <w:rFonts w:ascii="宋体" w:hAnsi="宋体" w:eastAsia="宋体"/>
          <w:color w:val="000000" w:themeColor="text1"/>
          <w:sz w:val="30"/>
          <w:szCs w:val="30"/>
          <w:highlight w:val="none"/>
          <w14:textFill>
            <w14:solidFill>
              <w14:schemeClr w14:val="tx1"/>
            </w14:solidFill>
          </w14:textFill>
        </w:rPr>
        <w:t>质疑证明材料（格式）</w:t>
      </w:r>
      <w:bookmarkEnd w:id="88"/>
      <w:bookmarkEnd w:id="89"/>
      <w:bookmarkEnd w:id="90"/>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质疑项目的名称</w:t>
      </w:r>
      <w:r>
        <w:rPr>
          <w:rFonts w:hint="eastAsia" w:ascii="ˎ̥" w:hAnsi="ˎ̥" w:cs="宋体"/>
          <w:b/>
          <w:bCs/>
          <w:color w:val="000000" w:themeColor="text1"/>
          <w:kern w:val="0"/>
          <w:szCs w:val="21"/>
          <w:highlight w:val="none"/>
          <w:u w:val="single"/>
          <w14:textFill>
            <w14:solidFill>
              <w14:schemeClr w14:val="tx1"/>
            </w14:solidFill>
          </w14:textFill>
        </w:rPr>
        <w:t>：</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项目编号：</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一、质疑事项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证明材料目录（证明材料附后，共</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color w:val="000000" w:themeColor="text1"/>
          <w:kern w:val="0"/>
          <w:szCs w:val="21"/>
          <w:highlight w:val="none"/>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b/>
          <w:bCs/>
          <w:color w:val="000000" w:themeColor="text1"/>
          <w:kern w:val="0"/>
          <w:szCs w:val="21"/>
          <w:highlight w:val="none"/>
          <w14:textFill>
            <w14:solidFill>
              <w14:schemeClr w14:val="tx1"/>
            </w14:solidFill>
          </w14:textFill>
        </w:rPr>
      </w:pP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二、质疑事项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证明材料目录（证明材料附后，共</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color w:val="000000" w:themeColor="text1"/>
          <w:kern w:val="0"/>
          <w:szCs w:val="21"/>
          <w:highlight w:val="none"/>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ascii="ˎ̥" w:hAnsi="ˎ̥" w:cs="宋体"/>
          <w:b/>
          <w:bCs/>
          <w:color w:val="000000" w:themeColor="text1"/>
          <w:kern w:val="0"/>
          <w:szCs w:val="21"/>
          <w:highlight w:val="none"/>
          <w14:textFill>
            <w14:solidFill>
              <w14:schemeClr w14:val="tx1"/>
            </w14:solidFill>
          </w14:textFill>
        </w:rPr>
        <w:t>……</w:t>
      </w:r>
    </w:p>
    <w:p>
      <w:pPr>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p>
    <w:p>
      <w:pPr>
        <w:widowControl/>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质疑供应商（公章）：</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提起质疑的日期：</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年</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月</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日</w:t>
      </w:r>
    </w:p>
    <w:p>
      <w:pPr>
        <w:widowControl/>
        <w:shd w:val="clear" w:color="auto" w:fill="FFFFFF"/>
        <w:spacing w:line="260" w:lineRule="exact"/>
        <w:jc w:val="left"/>
        <w:rPr>
          <w:color w:val="000000" w:themeColor="text1"/>
          <w:highlight w:val="none"/>
          <w14:textFill>
            <w14:solidFill>
              <w14:schemeClr w14:val="tx1"/>
            </w14:solidFill>
          </w14:textFill>
        </w:rPr>
      </w:pPr>
    </w:p>
    <w:p>
      <w:pPr>
        <w:widowControl/>
        <w:shd w:val="clear" w:color="auto" w:fill="FFFFFF"/>
        <w:spacing w:line="26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（后附</w:t>
      </w:r>
      <w:r>
        <w:rPr>
          <w:rFonts w:hint="eastAsia" w:ascii="ˎ̥" w:hAnsi="ˎ̥" w:cs="宋体"/>
          <w:color w:val="000000" w:themeColor="text1"/>
          <w:kern w:val="0"/>
          <w:szCs w:val="21"/>
          <w:highlight w:val="none"/>
          <w14:textFill>
            <w14:solidFill>
              <w14:schemeClr w14:val="tx1"/>
            </w14:solidFill>
          </w14:textFill>
        </w:rPr>
        <w:t>质疑事项</w:t>
      </w:r>
      <w:r>
        <w:rPr>
          <w:rFonts w:hint="eastAsia"/>
          <w:color w:val="000000" w:themeColor="text1"/>
          <w:highlight w:val="none"/>
          <w14:textFill>
            <w14:solidFill>
              <w14:schemeClr w14:val="tx1"/>
            </w14:solidFill>
          </w14:textFill>
        </w:rPr>
        <w:t>证明材料的具体文件）</w:t>
      </w:r>
    </w:p>
    <w:p>
      <w:pPr>
        <w:pStyle w:val="18"/>
        <w:jc w:val="center"/>
        <w:outlineLvl w:val="1"/>
        <w:rPr>
          <w:rFonts w:hAnsi="宋体"/>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sectPr>
      <w:footerReference r:id="rId6" w:type="default"/>
      <w:pgSz w:w="11906" w:h="16838"/>
      <w:pgMar w:top="1134" w:right="1134" w:bottom="851"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52D692-8D52-4434-BE5E-BEAAB626980C}"/>
  </w:font>
  <w:font w:name="Arial">
    <w:panose1 w:val="020B0604020202020204"/>
    <w:charset w:val="01"/>
    <w:family w:val="swiss"/>
    <w:pitch w:val="default"/>
    <w:sig w:usb0="E0002AFF" w:usb1="C0007843" w:usb2="00000009" w:usb3="00000000" w:csb0="400001FF" w:csb1="FFFF0000"/>
    <w:embedRegular r:id="rId2" w:fontKey="{400F2352-D085-4486-B5D1-7C19FEDD116A}"/>
  </w:font>
  <w:font w:name="黑体">
    <w:panose1 w:val="02010609060101010101"/>
    <w:charset w:val="86"/>
    <w:family w:val="auto"/>
    <w:pitch w:val="default"/>
    <w:sig w:usb0="800002BF" w:usb1="38CF7CFA" w:usb2="00000016" w:usb3="00000000" w:csb0="00040001" w:csb1="00000000"/>
    <w:embedRegular r:id="rId3" w:fontKey="{3E90189E-9190-457C-A0DA-8E392A656837}"/>
  </w:font>
  <w:font w:name="Courier New">
    <w:panose1 w:val="02070309020205020404"/>
    <w:charset w:val="01"/>
    <w:family w:val="modern"/>
    <w:pitch w:val="default"/>
    <w:sig w:usb0="E0002AFF" w:usb1="C0007843" w:usb2="00000009" w:usb3="00000000" w:csb0="400001FF" w:csb1="FFFF0000"/>
    <w:embedRegular r:id="rId4" w:fontKey="{7DC891D2-47D5-498D-B1E3-842734A72B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5" w:fontKey="{66540B3A-027A-4FE1-8F10-7ED0BF0F3129}"/>
  </w:font>
  <w:font w:name="仿宋_GB2312">
    <w:altName w:val="仿宋"/>
    <w:panose1 w:val="02010609030101010101"/>
    <w:charset w:val="86"/>
    <w:family w:val="modern"/>
    <w:pitch w:val="default"/>
    <w:sig w:usb0="00000000" w:usb1="00000000" w:usb2="00000000" w:usb3="00000000" w:csb0="00040000" w:csb1="00000000"/>
  </w:font>
  <w:font w:name="金山简黑体">
    <w:altName w:val="黑体"/>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康简魏碑">
    <w:altName w:val="微软雅黑"/>
    <w:panose1 w:val="00000000000000000000"/>
    <w:charset w:val="00"/>
    <w:family w:val="modern"/>
    <w:pitch w:val="default"/>
    <w:sig w:usb0="00000000" w:usb1="00000000" w:usb2="00000010" w:usb3="00000000" w:csb0="00040000" w:csb1="00000000"/>
    <w:embedRegular r:id="rId6" w:fontKey="{C4BD48D8-ACFF-4689-93E4-3805931D7E6F}"/>
  </w:font>
  <w:font w:name="楷体_GB2312">
    <w:altName w:val="楷体"/>
    <w:panose1 w:val="00000000000000000000"/>
    <w:charset w:val="00"/>
    <w:family w:val="modern"/>
    <w:pitch w:val="default"/>
    <w:sig w:usb0="00000000" w:usb1="00000000" w:usb2="00000010" w:usb3="00000000" w:csb0="00040000" w:csb1="00000000"/>
    <w:embedRegular r:id="rId7" w:fontKey="{11A43184-5EBE-4C45-B870-E5BD383E93B6}"/>
  </w:font>
  <w:font w:name="Helvetica">
    <w:panose1 w:val="020B0504020202030204"/>
    <w:charset w:val="00"/>
    <w:family w:val="swiss"/>
    <w:pitch w:val="default"/>
    <w:sig w:usb0="00000007" w:usb1="00000000" w:usb2="00000000" w:usb3="00000000" w:csb0="00000093" w:csb1="00000000"/>
    <w:embedRegular r:id="rId8" w:fontKey="{613732DD-4999-4CDB-99EC-5388AE004C6F}"/>
  </w:font>
  <w:font w:name="文鼎CS楷体">
    <w:altName w:val="微软雅黑"/>
    <w:panose1 w:val="00000000000000000000"/>
    <w:charset w:val="00"/>
    <w:family w:val="modern"/>
    <w:pitch w:val="default"/>
    <w:sig w:usb0="00000000" w:usb1="00000000" w:usb2="00000010" w:usb3="00000000" w:csb0="00040000" w:csb1="00000000"/>
    <w:embedRegular r:id="rId9" w:fontKey="{D81E81AE-1E86-47ED-A70F-C7723705E2BB}"/>
  </w:font>
  <w:font w:name="ˎ̥">
    <w:altName w:val="Times New Roman"/>
    <w:panose1 w:val="00000000000000000000"/>
    <w:charset w:val="00"/>
    <w:family w:val="roman"/>
    <w:pitch w:val="default"/>
    <w:sig w:usb0="00000000" w:usb1="00000000" w:usb2="00000000" w:usb3="00000000" w:csb0="00000000" w:csb1="00000000"/>
    <w:embedRegular r:id="rId10" w:fontKey="{E2E84D9F-AE3B-4649-92AA-1FE6AFD0953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2286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8pt;width:4.55pt;mso-position-horizontal:center;mso-position-horizontal-relative:margin;mso-wrap-style:none;z-index:251658240;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&#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m9Og1AAAAAIBAAAPAAAAAAAAAAEAIAAAACIAAABk&#10;cnMvZG93bnJldi54bWxQSwECFAAUAAAACACHTuJA9olKqtEBAACXAwAADgAAAAAAAAABACAAAAAj&#10;AQAAZHJzL2Uyb0RvYy54bWxQSwUGAAAAAAYABgBZAQAAZgUAAAAA&#10;">
              <v:fill on="f" focussize="0,0"/>
              <v:stroke on="f" weight="1.25pt"/>
              <v:imagedata o:title=""/>
              <o:lock v:ext="edit" aspectratio="f"/>
              <v:textbox inset="0mm,0mm,0mm,0mm" style="mso-fit-shape-to-text:t;">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spacing w:line="240" w:lineRule="exact"/>
      <w:jc w:val="left"/>
      <w:rPr>
        <w:sz w:val="15"/>
        <w:szCs w:val="15"/>
      </w:rPr>
    </w:pPr>
    <w:r>
      <w:rPr>
        <w:rFonts w:hint="eastAsia" w:ascii="宋体" w:hAnsi="宋体"/>
        <w:sz w:val="15"/>
        <w:szCs w:val="15"/>
      </w:rPr>
      <w:t>项目名称：</w:t>
    </w:r>
    <w:r>
      <w:rPr>
        <w:rFonts w:hint="eastAsia" w:ascii="宋体" w:hAnsi="宋体"/>
        <w:sz w:val="15"/>
        <w:szCs w:val="15"/>
        <w:lang w:eastAsia="zh-CN"/>
      </w:rPr>
      <w:t>南宁职业技术学院软件技术专业群2020年度“双高”课程资源建设采购（重）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1">
    <w:nsid w:val="0000000A"/>
    <w:multiLevelType w:val="multilevel"/>
    <w:tmpl w:val="0000000A"/>
    <w:lvl w:ilvl="0" w:tentative="0">
      <w:start w:val="1"/>
      <w:numFmt w:val="decimal"/>
      <w:pStyle w:val="92"/>
      <w:lvlText w:val="（%1）"/>
      <w:lvlJc w:val="left"/>
      <w:pPr>
        <w:tabs>
          <w:tab w:val="left" w:pos="1140"/>
        </w:tabs>
        <w:ind w:left="1140" w:hanging="720"/>
      </w:pPr>
      <w:rPr>
        <w:rFonts w:ascii="宋体" w:hAnsi="宋体" w:eastAsia="宋体" w:cs="Times New Roman"/>
      </w:rPr>
    </w:lvl>
    <w:lvl w:ilvl="1" w:tentative="0">
      <w:start w:val="1"/>
      <w:numFmt w:val="lowerLetter"/>
      <w:pStyle w:val="53"/>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1"/>
      <w:lvlText w:val="%4."/>
      <w:lvlJc w:val="left"/>
      <w:pPr>
        <w:tabs>
          <w:tab w:val="left" w:pos="2100"/>
        </w:tabs>
        <w:ind w:left="2100" w:hanging="420"/>
      </w:pPr>
    </w:lvl>
    <w:lvl w:ilvl="4" w:tentative="0">
      <w:start w:val="1"/>
      <w:numFmt w:val="lowerLetter"/>
      <w:pStyle w:val="50"/>
      <w:lvlText w:val="%5)"/>
      <w:lvlJc w:val="left"/>
      <w:pPr>
        <w:tabs>
          <w:tab w:val="left" w:pos="2520"/>
        </w:tabs>
        <w:ind w:left="2520" w:hanging="420"/>
      </w:pPr>
    </w:lvl>
    <w:lvl w:ilvl="5" w:tentative="0">
      <w:start w:val="1"/>
      <w:numFmt w:val="lowerRoman"/>
      <w:pStyle w:val="68"/>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pStyle w:val="87"/>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C"/>
    <w:multiLevelType w:val="multilevel"/>
    <w:tmpl w:val="0000000C"/>
    <w:lvl w:ilvl="0" w:tentative="0">
      <w:start w:val="1"/>
      <w:numFmt w:val="decimal"/>
      <w:pStyle w:val="66"/>
      <w:lvlText w:val="%1、"/>
      <w:lvlJc w:val="left"/>
      <w:pPr>
        <w:tabs>
          <w:tab w:val="left" w:pos="972"/>
        </w:tabs>
        <w:ind w:left="1320" w:hanging="564"/>
      </w:pPr>
      <w:rPr>
        <w:rFonts w:hint="eastAsia"/>
      </w:rPr>
    </w:lvl>
    <w:lvl w:ilvl="1" w:tentative="0">
      <w:start w:val="1"/>
      <w:numFmt w:val="lowerLetter"/>
      <w:pStyle w:val="64"/>
      <w:lvlText w:val="%2."/>
      <w:lvlJc w:val="left"/>
      <w:pPr>
        <w:tabs>
          <w:tab w:val="left" w:pos="1980"/>
        </w:tabs>
        <w:ind w:left="1980" w:hanging="360"/>
      </w:pPr>
    </w:lvl>
    <w:lvl w:ilvl="2" w:tentative="0">
      <w:start w:val="1"/>
      <w:numFmt w:val="lowerRoman"/>
      <w:pStyle w:val="63"/>
      <w:lvlText w:val="%3."/>
      <w:lvlJc w:val="right"/>
      <w:pPr>
        <w:tabs>
          <w:tab w:val="left" w:pos="2700"/>
        </w:tabs>
        <w:ind w:left="2700" w:hanging="180"/>
      </w:pPr>
    </w:lvl>
    <w:lvl w:ilvl="3" w:tentative="0">
      <w:start w:val="1"/>
      <w:numFmt w:val="decimal"/>
      <w:pStyle w:val="62"/>
      <w:lvlText w:val="%4."/>
      <w:lvlJc w:val="left"/>
      <w:pPr>
        <w:tabs>
          <w:tab w:val="left" w:pos="3420"/>
        </w:tabs>
        <w:ind w:left="3420" w:hanging="360"/>
      </w:pPr>
    </w:lvl>
    <w:lvl w:ilvl="4" w:tentative="0">
      <w:start w:val="1"/>
      <w:numFmt w:val="lowerLetter"/>
      <w:pStyle w:val="61"/>
      <w:lvlText w:val="%5."/>
      <w:lvlJc w:val="left"/>
      <w:pPr>
        <w:tabs>
          <w:tab w:val="left" w:pos="4140"/>
        </w:tabs>
        <w:ind w:left="4140" w:hanging="360"/>
      </w:pPr>
    </w:lvl>
    <w:lvl w:ilvl="5" w:tentative="0">
      <w:start w:val="1"/>
      <w:numFmt w:val="lowerRoman"/>
      <w:pStyle w:val="60"/>
      <w:lvlText w:val="%6."/>
      <w:lvlJc w:val="right"/>
      <w:pPr>
        <w:tabs>
          <w:tab w:val="left" w:pos="4860"/>
        </w:tabs>
        <w:ind w:left="4860" w:hanging="180"/>
      </w:pPr>
    </w:lvl>
    <w:lvl w:ilvl="6" w:tentative="0">
      <w:start w:val="1"/>
      <w:numFmt w:val="decimal"/>
      <w:pStyle w:val="104"/>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
    <w:nsid w:val="14CF7821"/>
    <w:multiLevelType w:val="multilevel"/>
    <w:tmpl w:val="14CF7821"/>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3813970"/>
    <w:multiLevelType w:val="multilevel"/>
    <w:tmpl w:val="23813970"/>
    <w:lvl w:ilvl="0" w:tentative="0">
      <w:start w:val="1"/>
      <w:numFmt w:val="decimal"/>
      <w:pStyle w:val="70"/>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1551737"/>
    <w:multiLevelType w:val="multilevel"/>
    <w:tmpl w:val="41551737"/>
    <w:lvl w:ilvl="0" w:tentative="0">
      <w:start w:val="1"/>
      <w:numFmt w:val="japaneseCounting"/>
      <w:pStyle w:val="10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C26843"/>
    <w:multiLevelType w:val="multilevel"/>
    <w:tmpl w:val="4CC26843"/>
    <w:lvl w:ilvl="0" w:tentative="0">
      <w:start w:val="10"/>
      <w:numFmt w:val="decimal"/>
      <w:pStyle w:val="120"/>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03A0AE7"/>
    <w:multiLevelType w:val="multilevel"/>
    <w:tmpl w:val="503A0AE7"/>
    <w:lvl w:ilvl="0" w:tentative="0">
      <w:start w:val="2"/>
      <w:numFmt w:val="decimal"/>
      <w:pStyle w:val="1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67656C"/>
    <w:multiLevelType w:val="multilevel"/>
    <w:tmpl w:val="5767656C"/>
    <w:lvl w:ilvl="0" w:tentative="0">
      <w:start w:val="1"/>
      <w:numFmt w:val="decimal"/>
      <w:pStyle w:val="9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1CA2E6C"/>
    <w:multiLevelType w:val="multilevel"/>
    <w:tmpl w:val="71CA2E6C"/>
    <w:lvl w:ilvl="0" w:tentative="0">
      <w:start w:val="1"/>
      <w:numFmt w:val="decimal"/>
      <w:lvlText w:val="（%1）......ꌜ"/>
      <w:lvlJc w:val="left"/>
      <w:pPr>
        <w:ind w:left="2160" w:hanging="21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ind w:left="3448" w:hanging="1800"/>
      </w:pPr>
      <w:rPr>
        <w:rFonts w:hint="default"/>
      </w:rPr>
    </w:lvl>
  </w:abstractNum>
  <w:abstractNum w:abstractNumId="13">
    <w:nsid w:val="732D5169"/>
    <w:multiLevelType w:val="multilevel"/>
    <w:tmpl w:val="732D5169"/>
    <w:lvl w:ilvl="0" w:tentative="0">
      <w:start w:val="1"/>
      <w:numFmt w:val="decimal"/>
      <w:pStyle w:val="76"/>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0"/>
  <w:drawingGridHorizontalSpacing w:val="105"/>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C6"/>
    <w:rsid w:val="00001337"/>
    <w:rsid w:val="000013B7"/>
    <w:rsid w:val="000018B6"/>
    <w:rsid w:val="00002DFE"/>
    <w:rsid w:val="00003EDF"/>
    <w:rsid w:val="000044CD"/>
    <w:rsid w:val="00004A95"/>
    <w:rsid w:val="00005B70"/>
    <w:rsid w:val="00007F46"/>
    <w:rsid w:val="000101DB"/>
    <w:rsid w:val="00010919"/>
    <w:rsid w:val="00010B94"/>
    <w:rsid w:val="00011A0B"/>
    <w:rsid w:val="00011DE5"/>
    <w:rsid w:val="000129F1"/>
    <w:rsid w:val="00012D92"/>
    <w:rsid w:val="00012F89"/>
    <w:rsid w:val="0001387D"/>
    <w:rsid w:val="000141B5"/>
    <w:rsid w:val="0001441D"/>
    <w:rsid w:val="00014556"/>
    <w:rsid w:val="00014BD0"/>
    <w:rsid w:val="00015966"/>
    <w:rsid w:val="000159B2"/>
    <w:rsid w:val="00015DA0"/>
    <w:rsid w:val="00016269"/>
    <w:rsid w:val="0001672C"/>
    <w:rsid w:val="000168BB"/>
    <w:rsid w:val="000172AD"/>
    <w:rsid w:val="00017704"/>
    <w:rsid w:val="00020DE9"/>
    <w:rsid w:val="000213CB"/>
    <w:rsid w:val="00021874"/>
    <w:rsid w:val="000223D4"/>
    <w:rsid w:val="00023890"/>
    <w:rsid w:val="00023F78"/>
    <w:rsid w:val="00025312"/>
    <w:rsid w:val="00025D36"/>
    <w:rsid w:val="000262D5"/>
    <w:rsid w:val="000263F7"/>
    <w:rsid w:val="00026A1C"/>
    <w:rsid w:val="00026B06"/>
    <w:rsid w:val="00026D67"/>
    <w:rsid w:val="00027219"/>
    <w:rsid w:val="0002780C"/>
    <w:rsid w:val="0002783E"/>
    <w:rsid w:val="00027DB0"/>
    <w:rsid w:val="00027F18"/>
    <w:rsid w:val="00031CC2"/>
    <w:rsid w:val="00032799"/>
    <w:rsid w:val="0003289C"/>
    <w:rsid w:val="00032B3C"/>
    <w:rsid w:val="00033223"/>
    <w:rsid w:val="00033326"/>
    <w:rsid w:val="000347EB"/>
    <w:rsid w:val="000348F6"/>
    <w:rsid w:val="000351EA"/>
    <w:rsid w:val="00035299"/>
    <w:rsid w:val="00035429"/>
    <w:rsid w:val="00035F4B"/>
    <w:rsid w:val="0003699E"/>
    <w:rsid w:val="00037635"/>
    <w:rsid w:val="00037BA4"/>
    <w:rsid w:val="0004011B"/>
    <w:rsid w:val="0004063A"/>
    <w:rsid w:val="00041153"/>
    <w:rsid w:val="00042879"/>
    <w:rsid w:val="00042EF1"/>
    <w:rsid w:val="000437E9"/>
    <w:rsid w:val="00044929"/>
    <w:rsid w:val="00044B38"/>
    <w:rsid w:val="00044CE5"/>
    <w:rsid w:val="000450D9"/>
    <w:rsid w:val="000453BE"/>
    <w:rsid w:val="00046197"/>
    <w:rsid w:val="00046AF6"/>
    <w:rsid w:val="00047469"/>
    <w:rsid w:val="000475E7"/>
    <w:rsid w:val="000477D8"/>
    <w:rsid w:val="000479CE"/>
    <w:rsid w:val="00051154"/>
    <w:rsid w:val="00051EEB"/>
    <w:rsid w:val="00052196"/>
    <w:rsid w:val="00052223"/>
    <w:rsid w:val="00052760"/>
    <w:rsid w:val="00053534"/>
    <w:rsid w:val="000537AD"/>
    <w:rsid w:val="0005392D"/>
    <w:rsid w:val="00054898"/>
    <w:rsid w:val="000548CF"/>
    <w:rsid w:val="00054B73"/>
    <w:rsid w:val="00054F3A"/>
    <w:rsid w:val="00055C4B"/>
    <w:rsid w:val="00055CC5"/>
    <w:rsid w:val="0005658A"/>
    <w:rsid w:val="000565EA"/>
    <w:rsid w:val="000566E1"/>
    <w:rsid w:val="00056E07"/>
    <w:rsid w:val="000576D6"/>
    <w:rsid w:val="0006007A"/>
    <w:rsid w:val="0006032D"/>
    <w:rsid w:val="00060601"/>
    <w:rsid w:val="00060AD7"/>
    <w:rsid w:val="00060C6D"/>
    <w:rsid w:val="00060E23"/>
    <w:rsid w:val="00060F20"/>
    <w:rsid w:val="0006125A"/>
    <w:rsid w:val="00061670"/>
    <w:rsid w:val="00061804"/>
    <w:rsid w:val="00062015"/>
    <w:rsid w:val="00062389"/>
    <w:rsid w:val="000624A6"/>
    <w:rsid w:val="00065160"/>
    <w:rsid w:val="0006567D"/>
    <w:rsid w:val="00066BD9"/>
    <w:rsid w:val="0006727F"/>
    <w:rsid w:val="000676ED"/>
    <w:rsid w:val="00067BAC"/>
    <w:rsid w:val="00067F20"/>
    <w:rsid w:val="00070924"/>
    <w:rsid w:val="00070B43"/>
    <w:rsid w:val="00070B9E"/>
    <w:rsid w:val="00071167"/>
    <w:rsid w:val="000718CC"/>
    <w:rsid w:val="00071C8B"/>
    <w:rsid w:val="000729CC"/>
    <w:rsid w:val="00072F77"/>
    <w:rsid w:val="00073761"/>
    <w:rsid w:val="00073D3F"/>
    <w:rsid w:val="00074225"/>
    <w:rsid w:val="0007428A"/>
    <w:rsid w:val="0007579D"/>
    <w:rsid w:val="00075BF0"/>
    <w:rsid w:val="00076CCB"/>
    <w:rsid w:val="0008194C"/>
    <w:rsid w:val="00082875"/>
    <w:rsid w:val="00082D23"/>
    <w:rsid w:val="00082D8D"/>
    <w:rsid w:val="000833C7"/>
    <w:rsid w:val="00083515"/>
    <w:rsid w:val="0008405F"/>
    <w:rsid w:val="000846EF"/>
    <w:rsid w:val="0008517A"/>
    <w:rsid w:val="0008557B"/>
    <w:rsid w:val="000857B8"/>
    <w:rsid w:val="00085847"/>
    <w:rsid w:val="00085F22"/>
    <w:rsid w:val="00087225"/>
    <w:rsid w:val="000874E4"/>
    <w:rsid w:val="000875D3"/>
    <w:rsid w:val="00087C5C"/>
    <w:rsid w:val="00087F83"/>
    <w:rsid w:val="0009032F"/>
    <w:rsid w:val="00090751"/>
    <w:rsid w:val="00091ED5"/>
    <w:rsid w:val="00092A03"/>
    <w:rsid w:val="00093A4F"/>
    <w:rsid w:val="000948FA"/>
    <w:rsid w:val="00094E6F"/>
    <w:rsid w:val="0009514D"/>
    <w:rsid w:val="000954C3"/>
    <w:rsid w:val="000963D1"/>
    <w:rsid w:val="0009656D"/>
    <w:rsid w:val="00097AE5"/>
    <w:rsid w:val="00097C86"/>
    <w:rsid w:val="000A11B3"/>
    <w:rsid w:val="000A1412"/>
    <w:rsid w:val="000A15B2"/>
    <w:rsid w:val="000A1CAE"/>
    <w:rsid w:val="000A2779"/>
    <w:rsid w:val="000A3ADC"/>
    <w:rsid w:val="000A41F6"/>
    <w:rsid w:val="000A433E"/>
    <w:rsid w:val="000A46C1"/>
    <w:rsid w:val="000A5613"/>
    <w:rsid w:val="000A572F"/>
    <w:rsid w:val="000A5E58"/>
    <w:rsid w:val="000A6119"/>
    <w:rsid w:val="000A75A9"/>
    <w:rsid w:val="000A7F90"/>
    <w:rsid w:val="000A7FE5"/>
    <w:rsid w:val="000B0ECF"/>
    <w:rsid w:val="000B1A5B"/>
    <w:rsid w:val="000B1C5D"/>
    <w:rsid w:val="000B2558"/>
    <w:rsid w:val="000B2757"/>
    <w:rsid w:val="000B2D68"/>
    <w:rsid w:val="000B374E"/>
    <w:rsid w:val="000B413E"/>
    <w:rsid w:val="000B4529"/>
    <w:rsid w:val="000B47CC"/>
    <w:rsid w:val="000B4879"/>
    <w:rsid w:val="000B4F6D"/>
    <w:rsid w:val="000B507F"/>
    <w:rsid w:val="000B5537"/>
    <w:rsid w:val="000B5721"/>
    <w:rsid w:val="000B58E8"/>
    <w:rsid w:val="000B5CC8"/>
    <w:rsid w:val="000B696D"/>
    <w:rsid w:val="000B71F6"/>
    <w:rsid w:val="000B73A2"/>
    <w:rsid w:val="000B78CB"/>
    <w:rsid w:val="000C0540"/>
    <w:rsid w:val="000C0C34"/>
    <w:rsid w:val="000C1117"/>
    <w:rsid w:val="000C1F6B"/>
    <w:rsid w:val="000C2495"/>
    <w:rsid w:val="000C28E0"/>
    <w:rsid w:val="000C2C8A"/>
    <w:rsid w:val="000C2ECC"/>
    <w:rsid w:val="000C3E78"/>
    <w:rsid w:val="000C3EF8"/>
    <w:rsid w:val="000C420D"/>
    <w:rsid w:val="000C44A5"/>
    <w:rsid w:val="000C536C"/>
    <w:rsid w:val="000C57EC"/>
    <w:rsid w:val="000C5F19"/>
    <w:rsid w:val="000C6008"/>
    <w:rsid w:val="000C66DB"/>
    <w:rsid w:val="000C6A0B"/>
    <w:rsid w:val="000C7066"/>
    <w:rsid w:val="000C7558"/>
    <w:rsid w:val="000D0C1B"/>
    <w:rsid w:val="000D0C43"/>
    <w:rsid w:val="000D0EE3"/>
    <w:rsid w:val="000D25A3"/>
    <w:rsid w:val="000D25FF"/>
    <w:rsid w:val="000D277E"/>
    <w:rsid w:val="000D2BFC"/>
    <w:rsid w:val="000D2E21"/>
    <w:rsid w:val="000D3976"/>
    <w:rsid w:val="000D4F6B"/>
    <w:rsid w:val="000D5121"/>
    <w:rsid w:val="000D62C6"/>
    <w:rsid w:val="000D75A9"/>
    <w:rsid w:val="000D7A0B"/>
    <w:rsid w:val="000D7C07"/>
    <w:rsid w:val="000E0B96"/>
    <w:rsid w:val="000E0D40"/>
    <w:rsid w:val="000E15E8"/>
    <w:rsid w:val="000E177D"/>
    <w:rsid w:val="000E2879"/>
    <w:rsid w:val="000E305D"/>
    <w:rsid w:val="000E3DD4"/>
    <w:rsid w:val="000E576C"/>
    <w:rsid w:val="000E6255"/>
    <w:rsid w:val="000E6DB6"/>
    <w:rsid w:val="000E7614"/>
    <w:rsid w:val="000E7968"/>
    <w:rsid w:val="000E7FEB"/>
    <w:rsid w:val="000F04CA"/>
    <w:rsid w:val="000F11F8"/>
    <w:rsid w:val="000F1B73"/>
    <w:rsid w:val="000F1C1A"/>
    <w:rsid w:val="000F23E5"/>
    <w:rsid w:val="000F29C5"/>
    <w:rsid w:val="000F2DA3"/>
    <w:rsid w:val="000F2E9B"/>
    <w:rsid w:val="000F2F07"/>
    <w:rsid w:val="000F2F7A"/>
    <w:rsid w:val="000F3ACE"/>
    <w:rsid w:val="000F43EB"/>
    <w:rsid w:val="000F4B46"/>
    <w:rsid w:val="000F61AE"/>
    <w:rsid w:val="000F61EC"/>
    <w:rsid w:val="000F73F9"/>
    <w:rsid w:val="000F788E"/>
    <w:rsid w:val="001005DB"/>
    <w:rsid w:val="00100DA8"/>
    <w:rsid w:val="0010113D"/>
    <w:rsid w:val="001014B3"/>
    <w:rsid w:val="00102B28"/>
    <w:rsid w:val="001032A8"/>
    <w:rsid w:val="001038BF"/>
    <w:rsid w:val="00103C96"/>
    <w:rsid w:val="0010431C"/>
    <w:rsid w:val="00105815"/>
    <w:rsid w:val="00110003"/>
    <w:rsid w:val="00110205"/>
    <w:rsid w:val="001107BB"/>
    <w:rsid w:val="00110A48"/>
    <w:rsid w:val="00110D20"/>
    <w:rsid w:val="00110D65"/>
    <w:rsid w:val="00111E6E"/>
    <w:rsid w:val="00113592"/>
    <w:rsid w:val="00113AB4"/>
    <w:rsid w:val="00113B89"/>
    <w:rsid w:val="001144B5"/>
    <w:rsid w:val="00116434"/>
    <w:rsid w:val="00116D9A"/>
    <w:rsid w:val="00116F77"/>
    <w:rsid w:val="0011762B"/>
    <w:rsid w:val="00117941"/>
    <w:rsid w:val="00120585"/>
    <w:rsid w:val="00120F2C"/>
    <w:rsid w:val="0012153E"/>
    <w:rsid w:val="00121F93"/>
    <w:rsid w:val="0012277F"/>
    <w:rsid w:val="00122D79"/>
    <w:rsid w:val="001231FC"/>
    <w:rsid w:val="001235FB"/>
    <w:rsid w:val="00123765"/>
    <w:rsid w:val="00124C95"/>
    <w:rsid w:val="001263BA"/>
    <w:rsid w:val="001266EB"/>
    <w:rsid w:val="00126FE5"/>
    <w:rsid w:val="00127370"/>
    <w:rsid w:val="00127D28"/>
    <w:rsid w:val="00130558"/>
    <w:rsid w:val="00130CF3"/>
    <w:rsid w:val="00130ED4"/>
    <w:rsid w:val="001311B3"/>
    <w:rsid w:val="001314F6"/>
    <w:rsid w:val="001322F0"/>
    <w:rsid w:val="00132834"/>
    <w:rsid w:val="00132DB9"/>
    <w:rsid w:val="0013310F"/>
    <w:rsid w:val="00134470"/>
    <w:rsid w:val="00135D45"/>
    <w:rsid w:val="001362C4"/>
    <w:rsid w:val="00136313"/>
    <w:rsid w:val="00137E7E"/>
    <w:rsid w:val="00140143"/>
    <w:rsid w:val="00140ACA"/>
    <w:rsid w:val="00141335"/>
    <w:rsid w:val="001416E8"/>
    <w:rsid w:val="00141E6D"/>
    <w:rsid w:val="00142438"/>
    <w:rsid w:val="001425A1"/>
    <w:rsid w:val="001435AC"/>
    <w:rsid w:val="00143D59"/>
    <w:rsid w:val="0014516D"/>
    <w:rsid w:val="00145FB0"/>
    <w:rsid w:val="001469CA"/>
    <w:rsid w:val="00146B82"/>
    <w:rsid w:val="001471F2"/>
    <w:rsid w:val="00147B8A"/>
    <w:rsid w:val="00147BE5"/>
    <w:rsid w:val="00150525"/>
    <w:rsid w:val="0015094A"/>
    <w:rsid w:val="00150DF7"/>
    <w:rsid w:val="001510D1"/>
    <w:rsid w:val="001516C3"/>
    <w:rsid w:val="00151D2D"/>
    <w:rsid w:val="00152D96"/>
    <w:rsid w:val="00153C79"/>
    <w:rsid w:val="001542F8"/>
    <w:rsid w:val="0015455A"/>
    <w:rsid w:val="00155066"/>
    <w:rsid w:val="00155D38"/>
    <w:rsid w:val="00156396"/>
    <w:rsid w:val="0015671F"/>
    <w:rsid w:val="0015681B"/>
    <w:rsid w:val="001570D0"/>
    <w:rsid w:val="00157924"/>
    <w:rsid w:val="00157B76"/>
    <w:rsid w:val="00157E18"/>
    <w:rsid w:val="001602B0"/>
    <w:rsid w:val="00160C6A"/>
    <w:rsid w:val="00161707"/>
    <w:rsid w:val="0016248D"/>
    <w:rsid w:val="00162566"/>
    <w:rsid w:val="00162B46"/>
    <w:rsid w:val="00163DC1"/>
    <w:rsid w:val="00163E28"/>
    <w:rsid w:val="001645D1"/>
    <w:rsid w:val="001646BE"/>
    <w:rsid w:val="00164773"/>
    <w:rsid w:val="00165766"/>
    <w:rsid w:val="00165878"/>
    <w:rsid w:val="00166002"/>
    <w:rsid w:val="00166373"/>
    <w:rsid w:val="00166F4E"/>
    <w:rsid w:val="0016726A"/>
    <w:rsid w:val="001674CC"/>
    <w:rsid w:val="00167668"/>
    <w:rsid w:val="00167E54"/>
    <w:rsid w:val="00171117"/>
    <w:rsid w:val="00171480"/>
    <w:rsid w:val="0017165F"/>
    <w:rsid w:val="00171C74"/>
    <w:rsid w:val="00172A27"/>
    <w:rsid w:val="00172A6B"/>
    <w:rsid w:val="00173107"/>
    <w:rsid w:val="00173A8C"/>
    <w:rsid w:val="001744D1"/>
    <w:rsid w:val="001744E5"/>
    <w:rsid w:val="00175F34"/>
    <w:rsid w:val="001769D7"/>
    <w:rsid w:val="00176D4F"/>
    <w:rsid w:val="001778D0"/>
    <w:rsid w:val="001802D3"/>
    <w:rsid w:val="00182485"/>
    <w:rsid w:val="00182EA9"/>
    <w:rsid w:val="00183173"/>
    <w:rsid w:val="001835A1"/>
    <w:rsid w:val="00183711"/>
    <w:rsid w:val="00183E10"/>
    <w:rsid w:val="00184E96"/>
    <w:rsid w:val="00185DC2"/>
    <w:rsid w:val="0018691E"/>
    <w:rsid w:val="00186A11"/>
    <w:rsid w:val="00187C2D"/>
    <w:rsid w:val="00187DDD"/>
    <w:rsid w:val="00190852"/>
    <w:rsid w:val="001915EF"/>
    <w:rsid w:val="0019191E"/>
    <w:rsid w:val="00192145"/>
    <w:rsid w:val="00192CAD"/>
    <w:rsid w:val="00193759"/>
    <w:rsid w:val="001940C1"/>
    <w:rsid w:val="0019499B"/>
    <w:rsid w:val="00195599"/>
    <w:rsid w:val="0019638D"/>
    <w:rsid w:val="00197536"/>
    <w:rsid w:val="00197DBA"/>
    <w:rsid w:val="001A0305"/>
    <w:rsid w:val="001A0655"/>
    <w:rsid w:val="001A0C7C"/>
    <w:rsid w:val="001A2AF4"/>
    <w:rsid w:val="001A2B0E"/>
    <w:rsid w:val="001A4DFB"/>
    <w:rsid w:val="001A5601"/>
    <w:rsid w:val="001A618D"/>
    <w:rsid w:val="001A6194"/>
    <w:rsid w:val="001A730C"/>
    <w:rsid w:val="001A753D"/>
    <w:rsid w:val="001A7793"/>
    <w:rsid w:val="001B05FD"/>
    <w:rsid w:val="001B075E"/>
    <w:rsid w:val="001B0BFB"/>
    <w:rsid w:val="001B0E17"/>
    <w:rsid w:val="001B2088"/>
    <w:rsid w:val="001B2486"/>
    <w:rsid w:val="001B27AA"/>
    <w:rsid w:val="001B31A8"/>
    <w:rsid w:val="001B3929"/>
    <w:rsid w:val="001B3D9D"/>
    <w:rsid w:val="001B4228"/>
    <w:rsid w:val="001B430D"/>
    <w:rsid w:val="001B491B"/>
    <w:rsid w:val="001B4B63"/>
    <w:rsid w:val="001B4E72"/>
    <w:rsid w:val="001B50ED"/>
    <w:rsid w:val="001B58DA"/>
    <w:rsid w:val="001C00E9"/>
    <w:rsid w:val="001C08F0"/>
    <w:rsid w:val="001C155B"/>
    <w:rsid w:val="001C15EA"/>
    <w:rsid w:val="001C1789"/>
    <w:rsid w:val="001C1DFF"/>
    <w:rsid w:val="001C2376"/>
    <w:rsid w:val="001C2DE2"/>
    <w:rsid w:val="001C36AD"/>
    <w:rsid w:val="001C3A5B"/>
    <w:rsid w:val="001C3F2D"/>
    <w:rsid w:val="001C445D"/>
    <w:rsid w:val="001C4E38"/>
    <w:rsid w:val="001C5864"/>
    <w:rsid w:val="001C5B56"/>
    <w:rsid w:val="001C5DA3"/>
    <w:rsid w:val="001C60E8"/>
    <w:rsid w:val="001C6E61"/>
    <w:rsid w:val="001C7716"/>
    <w:rsid w:val="001D0A40"/>
    <w:rsid w:val="001D10F9"/>
    <w:rsid w:val="001D197C"/>
    <w:rsid w:val="001D1A98"/>
    <w:rsid w:val="001D1ED0"/>
    <w:rsid w:val="001D1ED4"/>
    <w:rsid w:val="001D1EDB"/>
    <w:rsid w:val="001D34F8"/>
    <w:rsid w:val="001D36DD"/>
    <w:rsid w:val="001D4CC4"/>
    <w:rsid w:val="001D4D59"/>
    <w:rsid w:val="001D4F38"/>
    <w:rsid w:val="001D53A1"/>
    <w:rsid w:val="001D5991"/>
    <w:rsid w:val="001D5B5B"/>
    <w:rsid w:val="001D69FF"/>
    <w:rsid w:val="001D7AD4"/>
    <w:rsid w:val="001E063D"/>
    <w:rsid w:val="001E0AF7"/>
    <w:rsid w:val="001E0E8A"/>
    <w:rsid w:val="001E12DF"/>
    <w:rsid w:val="001E1667"/>
    <w:rsid w:val="001E17B0"/>
    <w:rsid w:val="001E1912"/>
    <w:rsid w:val="001E23C5"/>
    <w:rsid w:val="001E2BFA"/>
    <w:rsid w:val="001E2C7D"/>
    <w:rsid w:val="001E2E48"/>
    <w:rsid w:val="001E39CE"/>
    <w:rsid w:val="001E4437"/>
    <w:rsid w:val="001E4CB8"/>
    <w:rsid w:val="001E5AEF"/>
    <w:rsid w:val="001E5F56"/>
    <w:rsid w:val="001E658D"/>
    <w:rsid w:val="001E68BD"/>
    <w:rsid w:val="001F0448"/>
    <w:rsid w:val="001F0697"/>
    <w:rsid w:val="001F0885"/>
    <w:rsid w:val="001F09C1"/>
    <w:rsid w:val="001F0ECA"/>
    <w:rsid w:val="001F1F51"/>
    <w:rsid w:val="001F212E"/>
    <w:rsid w:val="001F225A"/>
    <w:rsid w:val="001F227A"/>
    <w:rsid w:val="001F2FD9"/>
    <w:rsid w:val="001F32B8"/>
    <w:rsid w:val="001F3672"/>
    <w:rsid w:val="001F488F"/>
    <w:rsid w:val="001F549B"/>
    <w:rsid w:val="001F561F"/>
    <w:rsid w:val="001F5AAC"/>
    <w:rsid w:val="001F6A66"/>
    <w:rsid w:val="001F7361"/>
    <w:rsid w:val="001F753B"/>
    <w:rsid w:val="00200261"/>
    <w:rsid w:val="00200714"/>
    <w:rsid w:val="00201F27"/>
    <w:rsid w:val="00201F3E"/>
    <w:rsid w:val="00201F42"/>
    <w:rsid w:val="00204AE2"/>
    <w:rsid w:val="00204C17"/>
    <w:rsid w:val="00204F22"/>
    <w:rsid w:val="0020523F"/>
    <w:rsid w:val="00205296"/>
    <w:rsid w:val="00205869"/>
    <w:rsid w:val="00206F16"/>
    <w:rsid w:val="00207832"/>
    <w:rsid w:val="00207E05"/>
    <w:rsid w:val="002104D4"/>
    <w:rsid w:val="0021053B"/>
    <w:rsid w:val="00211E83"/>
    <w:rsid w:val="002120CB"/>
    <w:rsid w:val="002123D9"/>
    <w:rsid w:val="00214A1E"/>
    <w:rsid w:val="00214F53"/>
    <w:rsid w:val="00214F55"/>
    <w:rsid w:val="00214F5D"/>
    <w:rsid w:val="00215415"/>
    <w:rsid w:val="002157B0"/>
    <w:rsid w:val="00215924"/>
    <w:rsid w:val="00216BAD"/>
    <w:rsid w:val="00220644"/>
    <w:rsid w:val="00220760"/>
    <w:rsid w:val="002208D5"/>
    <w:rsid w:val="00221957"/>
    <w:rsid w:val="0022251B"/>
    <w:rsid w:val="002232F0"/>
    <w:rsid w:val="00223EFA"/>
    <w:rsid w:val="002242D1"/>
    <w:rsid w:val="00224ADC"/>
    <w:rsid w:val="00224D1C"/>
    <w:rsid w:val="00225003"/>
    <w:rsid w:val="00225A75"/>
    <w:rsid w:val="00225F3D"/>
    <w:rsid w:val="0022623E"/>
    <w:rsid w:val="00226C52"/>
    <w:rsid w:val="00226D59"/>
    <w:rsid w:val="00227037"/>
    <w:rsid w:val="00227130"/>
    <w:rsid w:val="00227253"/>
    <w:rsid w:val="0022747E"/>
    <w:rsid w:val="00227C4F"/>
    <w:rsid w:val="00230A93"/>
    <w:rsid w:val="002319A7"/>
    <w:rsid w:val="00231C28"/>
    <w:rsid w:val="0023222B"/>
    <w:rsid w:val="00232580"/>
    <w:rsid w:val="002328D0"/>
    <w:rsid w:val="00233005"/>
    <w:rsid w:val="0023399F"/>
    <w:rsid w:val="00233DDE"/>
    <w:rsid w:val="00233EBD"/>
    <w:rsid w:val="00235600"/>
    <w:rsid w:val="002357CC"/>
    <w:rsid w:val="00235D04"/>
    <w:rsid w:val="00235E96"/>
    <w:rsid w:val="00236046"/>
    <w:rsid w:val="002367BD"/>
    <w:rsid w:val="00236842"/>
    <w:rsid w:val="0023698E"/>
    <w:rsid w:val="002375CA"/>
    <w:rsid w:val="0023796E"/>
    <w:rsid w:val="00237FCB"/>
    <w:rsid w:val="0024035D"/>
    <w:rsid w:val="00240D3C"/>
    <w:rsid w:val="00241081"/>
    <w:rsid w:val="002412FE"/>
    <w:rsid w:val="00241589"/>
    <w:rsid w:val="00241F1B"/>
    <w:rsid w:val="002431C1"/>
    <w:rsid w:val="00243B00"/>
    <w:rsid w:val="00243C55"/>
    <w:rsid w:val="00243FF3"/>
    <w:rsid w:val="00244362"/>
    <w:rsid w:val="00244DCF"/>
    <w:rsid w:val="00245966"/>
    <w:rsid w:val="00247462"/>
    <w:rsid w:val="00247BB2"/>
    <w:rsid w:val="00247BBB"/>
    <w:rsid w:val="002505BF"/>
    <w:rsid w:val="00250A84"/>
    <w:rsid w:val="00250E32"/>
    <w:rsid w:val="00251CEE"/>
    <w:rsid w:val="00251F00"/>
    <w:rsid w:val="00252568"/>
    <w:rsid w:val="002526A7"/>
    <w:rsid w:val="00252CDE"/>
    <w:rsid w:val="00252F54"/>
    <w:rsid w:val="00253F18"/>
    <w:rsid w:val="002541B3"/>
    <w:rsid w:val="00254A0B"/>
    <w:rsid w:val="00254EAE"/>
    <w:rsid w:val="00255867"/>
    <w:rsid w:val="00256919"/>
    <w:rsid w:val="00256BC0"/>
    <w:rsid w:val="00256D99"/>
    <w:rsid w:val="00257249"/>
    <w:rsid w:val="00257D12"/>
    <w:rsid w:val="00260D72"/>
    <w:rsid w:val="00261571"/>
    <w:rsid w:val="002618EE"/>
    <w:rsid w:val="002622FF"/>
    <w:rsid w:val="0026235F"/>
    <w:rsid w:val="00262483"/>
    <w:rsid w:val="0026252E"/>
    <w:rsid w:val="00262D17"/>
    <w:rsid w:val="00262D8E"/>
    <w:rsid w:val="00263EBA"/>
    <w:rsid w:val="0026435E"/>
    <w:rsid w:val="002645C6"/>
    <w:rsid w:val="002646C8"/>
    <w:rsid w:val="00264AC3"/>
    <w:rsid w:val="00264D0E"/>
    <w:rsid w:val="0026593A"/>
    <w:rsid w:val="002667F5"/>
    <w:rsid w:val="002670BA"/>
    <w:rsid w:val="00270A3B"/>
    <w:rsid w:val="00270E2C"/>
    <w:rsid w:val="00271214"/>
    <w:rsid w:val="002712B8"/>
    <w:rsid w:val="00271811"/>
    <w:rsid w:val="00271E79"/>
    <w:rsid w:val="002723BE"/>
    <w:rsid w:val="00272BD6"/>
    <w:rsid w:val="00274915"/>
    <w:rsid w:val="00274931"/>
    <w:rsid w:val="00275040"/>
    <w:rsid w:val="002752BF"/>
    <w:rsid w:val="002753DE"/>
    <w:rsid w:val="002756E5"/>
    <w:rsid w:val="00276026"/>
    <w:rsid w:val="0027678A"/>
    <w:rsid w:val="00276E00"/>
    <w:rsid w:val="00276FA7"/>
    <w:rsid w:val="00277A10"/>
    <w:rsid w:val="002804E0"/>
    <w:rsid w:val="0028080B"/>
    <w:rsid w:val="00280C3A"/>
    <w:rsid w:val="00280C83"/>
    <w:rsid w:val="00282328"/>
    <w:rsid w:val="00282C09"/>
    <w:rsid w:val="00282F8A"/>
    <w:rsid w:val="00283148"/>
    <w:rsid w:val="002838FC"/>
    <w:rsid w:val="00284129"/>
    <w:rsid w:val="00284B97"/>
    <w:rsid w:val="00285335"/>
    <w:rsid w:val="002867C3"/>
    <w:rsid w:val="0028690A"/>
    <w:rsid w:val="002876C2"/>
    <w:rsid w:val="002877A9"/>
    <w:rsid w:val="002877D8"/>
    <w:rsid w:val="00287C40"/>
    <w:rsid w:val="00290D88"/>
    <w:rsid w:val="00291055"/>
    <w:rsid w:val="0029107F"/>
    <w:rsid w:val="002925E9"/>
    <w:rsid w:val="0029273C"/>
    <w:rsid w:val="00293049"/>
    <w:rsid w:val="0029344E"/>
    <w:rsid w:val="00294E2B"/>
    <w:rsid w:val="00295FD3"/>
    <w:rsid w:val="00296106"/>
    <w:rsid w:val="00296D24"/>
    <w:rsid w:val="0029723E"/>
    <w:rsid w:val="0029750A"/>
    <w:rsid w:val="002975D9"/>
    <w:rsid w:val="0029775F"/>
    <w:rsid w:val="0029782B"/>
    <w:rsid w:val="00297DFB"/>
    <w:rsid w:val="002A02C3"/>
    <w:rsid w:val="002A03C3"/>
    <w:rsid w:val="002A0E23"/>
    <w:rsid w:val="002A139B"/>
    <w:rsid w:val="002A1884"/>
    <w:rsid w:val="002A2818"/>
    <w:rsid w:val="002A354A"/>
    <w:rsid w:val="002A386E"/>
    <w:rsid w:val="002A39C0"/>
    <w:rsid w:val="002A4859"/>
    <w:rsid w:val="002A51BC"/>
    <w:rsid w:val="002A56EE"/>
    <w:rsid w:val="002A594B"/>
    <w:rsid w:val="002A5D3D"/>
    <w:rsid w:val="002A63AF"/>
    <w:rsid w:val="002A76D5"/>
    <w:rsid w:val="002B006B"/>
    <w:rsid w:val="002B065B"/>
    <w:rsid w:val="002B06E4"/>
    <w:rsid w:val="002B0DC9"/>
    <w:rsid w:val="002B0FA1"/>
    <w:rsid w:val="002B23DA"/>
    <w:rsid w:val="002B24ED"/>
    <w:rsid w:val="002B2508"/>
    <w:rsid w:val="002B33CB"/>
    <w:rsid w:val="002B37B2"/>
    <w:rsid w:val="002B384D"/>
    <w:rsid w:val="002B414D"/>
    <w:rsid w:val="002B5325"/>
    <w:rsid w:val="002B5EF7"/>
    <w:rsid w:val="002B6522"/>
    <w:rsid w:val="002B6B8E"/>
    <w:rsid w:val="002B786C"/>
    <w:rsid w:val="002C0072"/>
    <w:rsid w:val="002C0DB1"/>
    <w:rsid w:val="002C17B1"/>
    <w:rsid w:val="002C1F1A"/>
    <w:rsid w:val="002C2C8C"/>
    <w:rsid w:val="002C33CF"/>
    <w:rsid w:val="002C3CF8"/>
    <w:rsid w:val="002C4464"/>
    <w:rsid w:val="002C469D"/>
    <w:rsid w:val="002C48C1"/>
    <w:rsid w:val="002C5442"/>
    <w:rsid w:val="002C6385"/>
    <w:rsid w:val="002C6C63"/>
    <w:rsid w:val="002D0BB7"/>
    <w:rsid w:val="002D0FD8"/>
    <w:rsid w:val="002D2775"/>
    <w:rsid w:val="002D3364"/>
    <w:rsid w:val="002D3446"/>
    <w:rsid w:val="002D363F"/>
    <w:rsid w:val="002D3B24"/>
    <w:rsid w:val="002D409E"/>
    <w:rsid w:val="002D494E"/>
    <w:rsid w:val="002D4A59"/>
    <w:rsid w:val="002D4B89"/>
    <w:rsid w:val="002D54AD"/>
    <w:rsid w:val="002D55C0"/>
    <w:rsid w:val="002D634B"/>
    <w:rsid w:val="002D6EA7"/>
    <w:rsid w:val="002E0157"/>
    <w:rsid w:val="002E02CC"/>
    <w:rsid w:val="002E0E5C"/>
    <w:rsid w:val="002E0F20"/>
    <w:rsid w:val="002E0F78"/>
    <w:rsid w:val="002E140B"/>
    <w:rsid w:val="002E18BB"/>
    <w:rsid w:val="002E24DF"/>
    <w:rsid w:val="002E25CC"/>
    <w:rsid w:val="002E2695"/>
    <w:rsid w:val="002E30FC"/>
    <w:rsid w:val="002E341F"/>
    <w:rsid w:val="002E3506"/>
    <w:rsid w:val="002E37D8"/>
    <w:rsid w:val="002E3D47"/>
    <w:rsid w:val="002E4593"/>
    <w:rsid w:val="002E464A"/>
    <w:rsid w:val="002E4AB6"/>
    <w:rsid w:val="002E5526"/>
    <w:rsid w:val="002E633E"/>
    <w:rsid w:val="002E64C5"/>
    <w:rsid w:val="002E66FF"/>
    <w:rsid w:val="002E7160"/>
    <w:rsid w:val="002E7200"/>
    <w:rsid w:val="002F0763"/>
    <w:rsid w:val="002F131E"/>
    <w:rsid w:val="002F22DF"/>
    <w:rsid w:val="002F31F7"/>
    <w:rsid w:val="002F3850"/>
    <w:rsid w:val="002F3F27"/>
    <w:rsid w:val="002F425E"/>
    <w:rsid w:val="002F5B55"/>
    <w:rsid w:val="002F5D9E"/>
    <w:rsid w:val="002F5FCC"/>
    <w:rsid w:val="002F61B9"/>
    <w:rsid w:val="002F642B"/>
    <w:rsid w:val="002F65D8"/>
    <w:rsid w:val="002F6B58"/>
    <w:rsid w:val="002F6CFA"/>
    <w:rsid w:val="002F710B"/>
    <w:rsid w:val="002F7585"/>
    <w:rsid w:val="002F7811"/>
    <w:rsid w:val="002F79A9"/>
    <w:rsid w:val="002F7C2D"/>
    <w:rsid w:val="00300AA6"/>
    <w:rsid w:val="00300EAC"/>
    <w:rsid w:val="00301313"/>
    <w:rsid w:val="00301E6D"/>
    <w:rsid w:val="00302CA2"/>
    <w:rsid w:val="00302FE1"/>
    <w:rsid w:val="00303505"/>
    <w:rsid w:val="0030368F"/>
    <w:rsid w:val="0030426C"/>
    <w:rsid w:val="00305D6F"/>
    <w:rsid w:val="00305E4F"/>
    <w:rsid w:val="0030677B"/>
    <w:rsid w:val="00306850"/>
    <w:rsid w:val="003069F3"/>
    <w:rsid w:val="003075AB"/>
    <w:rsid w:val="00307C2D"/>
    <w:rsid w:val="00307EC5"/>
    <w:rsid w:val="0031071F"/>
    <w:rsid w:val="00311747"/>
    <w:rsid w:val="0031186C"/>
    <w:rsid w:val="00312481"/>
    <w:rsid w:val="00312600"/>
    <w:rsid w:val="003133DF"/>
    <w:rsid w:val="003135E7"/>
    <w:rsid w:val="003139AD"/>
    <w:rsid w:val="00314524"/>
    <w:rsid w:val="00315260"/>
    <w:rsid w:val="003159D2"/>
    <w:rsid w:val="00316D17"/>
    <w:rsid w:val="00317284"/>
    <w:rsid w:val="003224B8"/>
    <w:rsid w:val="00322829"/>
    <w:rsid w:val="00322973"/>
    <w:rsid w:val="00322AFB"/>
    <w:rsid w:val="0032519A"/>
    <w:rsid w:val="003257DD"/>
    <w:rsid w:val="00325888"/>
    <w:rsid w:val="00325A26"/>
    <w:rsid w:val="00326D5D"/>
    <w:rsid w:val="00326FAC"/>
    <w:rsid w:val="00330B1C"/>
    <w:rsid w:val="0033149C"/>
    <w:rsid w:val="003318B6"/>
    <w:rsid w:val="00331C1D"/>
    <w:rsid w:val="0033215C"/>
    <w:rsid w:val="0033279C"/>
    <w:rsid w:val="00332956"/>
    <w:rsid w:val="003332F1"/>
    <w:rsid w:val="00333B85"/>
    <w:rsid w:val="003349C9"/>
    <w:rsid w:val="0033500D"/>
    <w:rsid w:val="003355F5"/>
    <w:rsid w:val="00336A25"/>
    <w:rsid w:val="00337218"/>
    <w:rsid w:val="0033753E"/>
    <w:rsid w:val="00337694"/>
    <w:rsid w:val="0034067E"/>
    <w:rsid w:val="00340D00"/>
    <w:rsid w:val="00340D9C"/>
    <w:rsid w:val="003415C5"/>
    <w:rsid w:val="00341AC4"/>
    <w:rsid w:val="0034287D"/>
    <w:rsid w:val="00342B21"/>
    <w:rsid w:val="00343472"/>
    <w:rsid w:val="003443B3"/>
    <w:rsid w:val="00344471"/>
    <w:rsid w:val="00344592"/>
    <w:rsid w:val="00344B2A"/>
    <w:rsid w:val="003452AE"/>
    <w:rsid w:val="00345549"/>
    <w:rsid w:val="003463F2"/>
    <w:rsid w:val="00346460"/>
    <w:rsid w:val="00346821"/>
    <w:rsid w:val="00346F61"/>
    <w:rsid w:val="003470B5"/>
    <w:rsid w:val="0034753D"/>
    <w:rsid w:val="003521FC"/>
    <w:rsid w:val="00352217"/>
    <w:rsid w:val="003531D2"/>
    <w:rsid w:val="003538F1"/>
    <w:rsid w:val="00353CE1"/>
    <w:rsid w:val="00353D7D"/>
    <w:rsid w:val="00353DCF"/>
    <w:rsid w:val="00354149"/>
    <w:rsid w:val="003542AA"/>
    <w:rsid w:val="00355277"/>
    <w:rsid w:val="003552AB"/>
    <w:rsid w:val="003553F2"/>
    <w:rsid w:val="00355596"/>
    <w:rsid w:val="00355677"/>
    <w:rsid w:val="0035569F"/>
    <w:rsid w:val="00355AA8"/>
    <w:rsid w:val="00355F5B"/>
    <w:rsid w:val="00356832"/>
    <w:rsid w:val="00356DF3"/>
    <w:rsid w:val="00357417"/>
    <w:rsid w:val="00360858"/>
    <w:rsid w:val="003608FB"/>
    <w:rsid w:val="003609AF"/>
    <w:rsid w:val="003623AE"/>
    <w:rsid w:val="00364466"/>
    <w:rsid w:val="00365501"/>
    <w:rsid w:val="00365E4E"/>
    <w:rsid w:val="00365ED8"/>
    <w:rsid w:val="00366486"/>
    <w:rsid w:val="00366B47"/>
    <w:rsid w:val="003670F7"/>
    <w:rsid w:val="00367890"/>
    <w:rsid w:val="00367DFB"/>
    <w:rsid w:val="0037000D"/>
    <w:rsid w:val="00370D7D"/>
    <w:rsid w:val="003710AD"/>
    <w:rsid w:val="0037304B"/>
    <w:rsid w:val="00373984"/>
    <w:rsid w:val="00373DDB"/>
    <w:rsid w:val="0037414F"/>
    <w:rsid w:val="00375CA0"/>
    <w:rsid w:val="00376755"/>
    <w:rsid w:val="0037754E"/>
    <w:rsid w:val="00377A8D"/>
    <w:rsid w:val="003802B3"/>
    <w:rsid w:val="003806E5"/>
    <w:rsid w:val="0038228C"/>
    <w:rsid w:val="00382A8A"/>
    <w:rsid w:val="003830DA"/>
    <w:rsid w:val="003855A5"/>
    <w:rsid w:val="00385DBE"/>
    <w:rsid w:val="0038603B"/>
    <w:rsid w:val="003862AA"/>
    <w:rsid w:val="003875CA"/>
    <w:rsid w:val="00387761"/>
    <w:rsid w:val="003878F7"/>
    <w:rsid w:val="00387F5A"/>
    <w:rsid w:val="00390130"/>
    <w:rsid w:val="00391016"/>
    <w:rsid w:val="00391368"/>
    <w:rsid w:val="0039142E"/>
    <w:rsid w:val="00391BBF"/>
    <w:rsid w:val="003921C5"/>
    <w:rsid w:val="00393FE0"/>
    <w:rsid w:val="003943E0"/>
    <w:rsid w:val="0039446C"/>
    <w:rsid w:val="00395998"/>
    <w:rsid w:val="0039660D"/>
    <w:rsid w:val="00396995"/>
    <w:rsid w:val="00396C01"/>
    <w:rsid w:val="00396FD8"/>
    <w:rsid w:val="0039794D"/>
    <w:rsid w:val="00397A67"/>
    <w:rsid w:val="00397BAD"/>
    <w:rsid w:val="00397D00"/>
    <w:rsid w:val="003A10A8"/>
    <w:rsid w:val="003A1DF5"/>
    <w:rsid w:val="003A2027"/>
    <w:rsid w:val="003A385A"/>
    <w:rsid w:val="003A3AAC"/>
    <w:rsid w:val="003A4681"/>
    <w:rsid w:val="003A46F7"/>
    <w:rsid w:val="003A4C9B"/>
    <w:rsid w:val="003A55C4"/>
    <w:rsid w:val="003A57B4"/>
    <w:rsid w:val="003A5874"/>
    <w:rsid w:val="003A61BA"/>
    <w:rsid w:val="003A62E2"/>
    <w:rsid w:val="003A641E"/>
    <w:rsid w:val="003A682A"/>
    <w:rsid w:val="003A6BE5"/>
    <w:rsid w:val="003A6E33"/>
    <w:rsid w:val="003A7D94"/>
    <w:rsid w:val="003B0372"/>
    <w:rsid w:val="003B077C"/>
    <w:rsid w:val="003B084C"/>
    <w:rsid w:val="003B0C88"/>
    <w:rsid w:val="003B0E73"/>
    <w:rsid w:val="003B2A22"/>
    <w:rsid w:val="003B2C5F"/>
    <w:rsid w:val="003B2EA4"/>
    <w:rsid w:val="003B32E0"/>
    <w:rsid w:val="003B3E15"/>
    <w:rsid w:val="003B421B"/>
    <w:rsid w:val="003B46D9"/>
    <w:rsid w:val="003B4E76"/>
    <w:rsid w:val="003B50DF"/>
    <w:rsid w:val="003B5B6C"/>
    <w:rsid w:val="003B5CE7"/>
    <w:rsid w:val="003B5CFB"/>
    <w:rsid w:val="003B6177"/>
    <w:rsid w:val="003B63E1"/>
    <w:rsid w:val="003B670B"/>
    <w:rsid w:val="003B6CDA"/>
    <w:rsid w:val="003C0F17"/>
    <w:rsid w:val="003C114A"/>
    <w:rsid w:val="003C13E1"/>
    <w:rsid w:val="003C2235"/>
    <w:rsid w:val="003C2FB0"/>
    <w:rsid w:val="003C48AB"/>
    <w:rsid w:val="003C53E5"/>
    <w:rsid w:val="003C54CB"/>
    <w:rsid w:val="003C65A9"/>
    <w:rsid w:val="003C6A2D"/>
    <w:rsid w:val="003C7666"/>
    <w:rsid w:val="003D009C"/>
    <w:rsid w:val="003D00CA"/>
    <w:rsid w:val="003D0655"/>
    <w:rsid w:val="003D0D38"/>
    <w:rsid w:val="003D25F8"/>
    <w:rsid w:val="003D2A67"/>
    <w:rsid w:val="003D2C97"/>
    <w:rsid w:val="003D2DEA"/>
    <w:rsid w:val="003D31BA"/>
    <w:rsid w:val="003D4F0B"/>
    <w:rsid w:val="003D52BF"/>
    <w:rsid w:val="003D7211"/>
    <w:rsid w:val="003D74FF"/>
    <w:rsid w:val="003D7B1E"/>
    <w:rsid w:val="003D7CDD"/>
    <w:rsid w:val="003D7E5B"/>
    <w:rsid w:val="003E02A5"/>
    <w:rsid w:val="003E0BE7"/>
    <w:rsid w:val="003E0C4B"/>
    <w:rsid w:val="003E1568"/>
    <w:rsid w:val="003E18DA"/>
    <w:rsid w:val="003E1C40"/>
    <w:rsid w:val="003E2125"/>
    <w:rsid w:val="003E21D9"/>
    <w:rsid w:val="003E2307"/>
    <w:rsid w:val="003E2D43"/>
    <w:rsid w:val="003E32C7"/>
    <w:rsid w:val="003E3314"/>
    <w:rsid w:val="003E3C54"/>
    <w:rsid w:val="003E4503"/>
    <w:rsid w:val="003E4DAC"/>
    <w:rsid w:val="003E51FA"/>
    <w:rsid w:val="003E7662"/>
    <w:rsid w:val="003E7883"/>
    <w:rsid w:val="003F017D"/>
    <w:rsid w:val="003F01FA"/>
    <w:rsid w:val="003F11FF"/>
    <w:rsid w:val="003F2063"/>
    <w:rsid w:val="003F215E"/>
    <w:rsid w:val="003F237B"/>
    <w:rsid w:val="003F2D71"/>
    <w:rsid w:val="003F51A0"/>
    <w:rsid w:val="003F51CC"/>
    <w:rsid w:val="003F60BA"/>
    <w:rsid w:val="003F683C"/>
    <w:rsid w:val="003F6F84"/>
    <w:rsid w:val="003F723A"/>
    <w:rsid w:val="003F7460"/>
    <w:rsid w:val="003F7792"/>
    <w:rsid w:val="003F7927"/>
    <w:rsid w:val="003F7F9D"/>
    <w:rsid w:val="003F7FCA"/>
    <w:rsid w:val="004001A1"/>
    <w:rsid w:val="00401638"/>
    <w:rsid w:val="00402738"/>
    <w:rsid w:val="00402A9A"/>
    <w:rsid w:val="00402C3C"/>
    <w:rsid w:val="004032B9"/>
    <w:rsid w:val="00403925"/>
    <w:rsid w:val="00403B4A"/>
    <w:rsid w:val="00404F1A"/>
    <w:rsid w:val="00405414"/>
    <w:rsid w:val="004057D6"/>
    <w:rsid w:val="00405D1E"/>
    <w:rsid w:val="00406442"/>
    <w:rsid w:val="00406728"/>
    <w:rsid w:val="00406DDE"/>
    <w:rsid w:val="00406F4F"/>
    <w:rsid w:val="00407253"/>
    <w:rsid w:val="00410650"/>
    <w:rsid w:val="00410EAB"/>
    <w:rsid w:val="0041154F"/>
    <w:rsid w:val="00411DC2"/>
    <w:rsid w:val="00411DCE"/>
    <w:rsid w:val="00412B70"/>
    <w:rsid w:val="00412BFF"/>
    <w:rsid w:val="00413600"/>
    <w:rsid w:val="00413D9F"/>
    <w:rsid w:val="004146E9"/>
    <w:rsid w:val="00414DE8"/>
    <w:rsid w:val="0041577C"/>
    <w:rsid w:val="00415990"/>
    <w:rsid w:val="004159FF"/>
    <w:rsid w:val="00416203"/>
    <w:rsid w:val="004200A1"/>
    <w:rsid w:val="0042031A"/>
    <w:rsid w:val="00420588"/>
    <w:rsid w:val="0042058D"/>
    <w:rsid w:val="00420B80"/>
    <w:rsid w:val="004214E1"/>
    <w:rsid w:val="00421BC0"/>
    <w:rsid w:val="00422126"/>
    <w:rsid w:val="00422528"/>
    <w:rsid w:val="00423C0C"/>
    <w:rsid w:val="00424326"/>
    <w:rsid w:val="004243B9"/>
    <w:rsid w:val="00425319"/>
    <w:rsid w:val="0042539B"/>
    <w:rsid w:val="004254F0"/>
    <w:rsid w:val="00426694"/>
    <w:rsid w:val="00426A46"/>
    <w:rsid w:val="00426D73"/>
    <w:rsid w:val="00426EB3"/>
    <w:rsid w:val="00426F1F"/>
    <w:rsid w:val="004278D2"/>
    <w:rsid w:val="004306E4"/>
    <w:rsid w:val="00430733"/>
    <w:rsid w:val="00430916"/>
    <w:rsid w:val="004321C1"/>
    <w:rsid w:val="00432726"/>
    <w:rsid w:val="004332AF"/>
    <w:rsid w:val="00433FBA"/>
    <w:rsid w:val="0043432A"/>
    <w:rsid w:val="004356C0"/>
    <w:rsid w:val="00435950"/>
    <w:rsid w:val="00435C5B"/>
    <w:rsid w:val="0043621C"/>
    <w:rsid w:val="00436516"/>
    <w:rsid w:val="00437335"/>
    <w:rsid w:val="0043753A"/>
    <w:rsid w:val="00437CD0"/>
    <w:rsid w:val="0044050E"/>
    <w:rsid w:val="00440A59"/>
    <w:rsid w:val="004413FC"/>
    <w:rsid w:val="00441A84"/>
    <w:rsid w:val="00442AFB"/>
    <w:rsid w:val="00442B1F"/>
    <w:rsid w:val="00442EE8"/>
    <w:rsid w:val="004433A0"/>
    <w:rsid w:val="00443A71"/>
    <w:rsid w:val="00443D43"/>
    <w:rsid w:val="00443EB1"/>
    <w:rsid w:val="00444FB2"/>
    <w:rsid w:val="0044508E"/>
    <w:rsid w:val="004451CB"/>
    <w:rsid w:val="00445C11"/>
    <w:rsid w:val="004462AA"/>
    <w:rsid w:val="004462ED"/>
    <w:rsid w:val="00446334"/>
    <w:rsid w:val="004469F8"/>
    <w:rsid w:val="00446B08"/>
    <w:rsid w:val="00447009"/>
    <w:rsid w:val="004479B4"/>
    <w:rsid w:val="00450563"/>
    <w:rsid w:val="00450EAE"/>
    <w:rsid w:val="0045112B"/>
    <w:rsid w:val="0045202C"/>
    <w:rsid w:val="004521C7"/>
    <w:rsid w:val="0045236B"/>
    <w:rsid w:val="00452EA3"/>
    <w:rsid w:val="00454748"/>
    <w:rsid w:val="004550D3"/>
    <w:rsid w:val="0045579F"/>
    <w:rsid w:val="00455830"/>
    <w:rsid w:val="00456A93"/>
    <w:rsid w:val="00456CB1"/>
    <w:rsid w:val="004571F0"/>
    <w:rsid w:val="004578B8"/>
    <w:rsid w:val="00457F4C"/>
    <w:rsid w:val="004600C3"/>
    <w:rsid w:val="004603F8"/>
    <w:rsid w:val="0046099B"/>
    <w:rsid w:val="004619F8"/>
    <w:rsid w:val="00462822"/>
    <w:rsid w:val="00462972"/>
    <w:rsid w:val="00462E0A"/>
    <w:rsid w:val="00462E40"/>
    <w:rsid w:val="00462F33"/>
    <w:rsid w:val="0046305F"/>
    <w:rsid w:val="004637C8"/>
    <w:rsid w:val="00464087"/>
    <w:rsid w:val="0046431A"/>
    <w:rsid w:val="004657FB"/>
    <w:rsid w:val="004667F4"/>
    <w:rsid w:val="004670CF"/>
    <w:rsid w:val="00467129"/>
    <w:rsid w:val="00467DCB"/>
    <w:rsid w:val="00467F1F"/>
    <w:rsid w:val="00471B20"/>
    <w:rsid w:val="004727D6"/>
    <w:rsid w:val="00472867"/>
    <w:rsid w:val="004731F1"/>
    <w:rsid w:val="00473AC5"/>
    <w:rsid w:val="00473C26"/>
    <w:rsid w:val="004744D5"/>
    <w:rsid w:val="004745EC"/>
    <w:rsid w:val="004759C2"/>
    <w:rsid w:val="00475D2A"/>
    <w:rsid w:val="00475EC4"/>
    <w:rsid w:val="00476547"/>
    <w:rsid w:val="004772B4"/>
    <w:rsid w:val="00477361"/>
    <w:rsid w:val="00480EEA"/>
    <w:rsid w:val="00481AC9"/>
    <w:rsid w:val="004820AA"/>
    <w:rsid w:val="0048394B"/>
    <w:rsid w:val="00483CE6"/>
    <w:rsid w:val="00484AFC"/>
    <w:rsid w:val="00484CB5"/>
    <w:rsid w:val="00484FA1"/>
    <w:rsid w:val="00485352"/>
    <w:rsid w:val="00485C19"/>
    <w:rsid w:val="00486183"/>
    <w:rsid w:val="004903EB"/>
    <w:rsid w:val="004911D3"/>
    <w:rsid w:val="0049202E"/>
    <w:rsid w:val="00492DF2"/>
    <w:rsid w:val="00492E60"/>
    <w:rsid w:val="00493224"/>
    <w:rsid w:val="004932A7"/>
    <w:rsid w:val="0049384A"/>
    <w:rsid w:val="00493948"/>
    <w:rsid w:val="00494013"/>
    <w:rsid w:val="0049434C"/>
    <w:rsid w:val="0049469B"/>
    <w:rsid w:val="00494990"/>
    <w:rsid w:val="0049537D"/>
    <w:rsid w:val="0049625F"/>
    <w:rsid w:val="00496AFA"/>
    <w:rsid w:val="004A039C"/>
    <w:rsid w:val="004A1290"/>
    <w:rsid w:val="004A19BE"/>
    <w:rsid w:val="004A1EFF"/>
    <w:rsid w:val="004A27C1"/>
    <w:rsid w:val="004A2BC1"/>
    <w:rsid w:val="004A33EE"/>
    <w:rsid w:val="004A3580"/>
    <w:rsid w:val="004A3FD6"/>
    <w:rsid w:val="004A4208"/>
    <w:rsid w:val="004A4597"/>
    <w:rsid w:val="004A5911"/>
    <w:rsid w:val="004A59D3"/>
    <w:rsid w:val="004A62EC"/>
    <w:rsid w:val="004A671F"/>
    <w:rsid w:val="004B1061"/>
    <w:rsid w:val="004B1516"/>
    <w:rsid w:val="004B22D7"/>
    <w:rsid w:val="004B2755"/>
    <w:rsid w:val="004B286A"/>
    <w:rsid w:val="004B2EA9"/>
    <w:rsid w:val="004B3F00"/>
    <w:rsid w:val="004B432E"/>
    <w:rsid w:val="004B53C1"/>
    <w:rsid w:val="004B62AA"/>
    <w:rsid w:val="004B633F"/>
    <w:rsid w:val="004B6383"/>
    <w:rsid w:val="004B67E4"/>
    <w:rsid w:val="004B727A"/>
    <w:rsid w:val="004B76B1"/>
    <w:rsid w:val="004B7760"/>
    <w:rsid w:val="004B790B"/>
    <w:rsid w:val="004B7C65"/>
    <w:rsid w:val="004B7F71"/>
    <w:rsid w:val="004C0B43"/>
    <w:rsid w:val="004C1B0B"/>
    <w:rsid w:val="004C2A53"/>
    <w:rsid w:val="004C2F6E"/>
    <w:rsid w:val="004C38A0"/>
    <w:rsid w:val="004C4A5F"/>
    <w:rsid w:val="004C5395"/>
    <w:rsid w:val="004C6C13"/>
    <w:rsid w:val="004C7C0A"/>
    <w:rsid w:val="004C7C1A"/>
    <w:rsid w:val="004C7C3F"/>
    <w:rsid w:val="004C7C94"/>
    <w:rsid w:val="004D0501"/>
    <w:rsid w:val="004D1B10"/>
    <w:rsid w:val="004D1B33"/>
    <w:rsid w:val="004D1DBF"/>
    <w:rsid w:val="004D1E85"/>
    <w:rsid w:val="004D1FB7"/>
    <w:rsid w:val="004D2190"/>
    <w:rsid w:val="004D2F43"/>
    <w:rsid w:val="004D3FC3"/>
    <w:rsid w:val="004D6A0C"/>
    <w:rsid w:val="004D72D3"/>
    <w:rsid w:val="004D74AF"/>
    <w:rsid w:val="004D7636"/>
    <w:rsid w:val="004E00C5"/>
    <w:rsid w:val="004E08E9"/>
    <w:rsid w:val="004E0DD3"/>
    <w:rsid w:val="004E0E34"/>
    <w:rsid w:val="004E10B5"/>
    <w:rsid w:val="004E1207"/>
    <w:rsid w:val="004E180D"/>
    <w:rsid w:val="004E1CF7"/>
    <w:rsid w:val="004E38B2"/>
    <w:rsid w:val="004E397D"/>
    <w:rsid w:val="004E39DF"/>
    <w:rsid w:val="004E3A51"/>
    <w:rsid w:val="004E5334"/>
    <w:rsid w:val="004E65BF"/>
    <w:rsid w:val="004E674F"/>
    <w:rsid w:val="004E680E"/>
    <w:rsid w:val="004E7559"/>
    <w:rsid w:val="004E7F67"/>
    <w:rsid w:val="004F03B0"/>
    <w:rsid w:val="004F0740"/>
    <w:rsid w:val="004F0881"/>
    <w:rsid w:val="004F1010"/>
    <w:rsid w:val="004F18E0"/>
    <w:rsid w:val="004F3776"/>
    <w:rsid w:val="004F48F5"/>
    <w:rsid w:val="004F4E81"/>
    <w:rsid w:val="004F50C1"/>
    <w:rsid w:val="004F54ED"/>
    <w:rsid w:val="004F56C9"/>
    <w:rsid w:val="004F65E9"/>
    <w:rsid w:val="004F700A"/>
    <w:rsid w:val="004F743C"/>
    <w:rsid w:val="004F7D9C"/>
    <w:rsid w:val="005007EB"/>
    <w:rsid w:val="00501530"/>
    <w:rsid w:val="00501553"/>
    <w:rsid w:val="00501569"/>
    <w:rsid w:val="00502CCE"/>
    <w:rsid w:val="0050451A"/>
    <w:rsid w:val="00505491"/>
    <w:rsid w:val="00505985"/>
    <w:rsid w:val="00505FC6"/>
    <w:rsid w:val="00506402"/>
    <w:rsid w:val="00506721"/>
    <w:rsid w:val="005072C2"/>
    <w:rsid w:val="005077C0"/>
    <w:rsid w:val="005102DE"/>
    <w:rsid w:val="0051046F"/>
    <w:rsid w:val="00510CF8"/>
    <w:rsid w:val="00510DEF"/>
    <w:rsid w:val="005110D0"/>
    <w:rsid w:val="00511529"/>
    <w:rsid w:val="0051162F"/>
    <w:rsid w:val="00511C27"/>
    <w:rsid w:val="005125BF"/>
    <w:rsid w:val="00512ABC"/>
    <w:rsid w:val="00512C7A"/>
    <w:rsid w:val="005140C1"/>
    <w:rsid w:val="0051437D"/>
    <w:rsid w:val="00514759"/>
    <w:rsid w:val="00516517"/>
    <w:rsid w:val="005166B9"/>
    <w:rsid w:val="00517F73"/>
    <w:rsid w:val="00521AD4"/>
    <w:rsid w:val="00521DD5"/>
    <w:rsid w:val="005221FA"/>
    <w:rsid w:val="00522773"/>
    <w:rsid w:val="00522B29"/>
    <w:rsid w:val="00522C1F"/>
    <w:rsid w:val="00523060"/>
    <w:rsid w:val="00523564"/>
    <w:rsid w:val="00524039"/>
    <w:rsid w:val="00524332"/>
    <w:rsid w:val="00524FB0"/>
    <w:rsid w:val="00525094"/>
    <w:rsid w:val="00525CAA"/>
    <w:rsid w:val="005263C1"/>
    <w:rsid w:val="005266D2"/>
    <w:rsid w:val="00526815"/>
    <w:rsid w:val="00526EA9"/>
    <w:rsid w:val="005275AD"/>
    <w:rsid w:val="005279B2"/>
    <w:rsid w:val="00527D45"/>
    <w:rsid w:val="00527F4E"/>
    <w:rsid w:val="00530652"/>
    <w:rsid w:val="00530939"/>
    <w:rsid w:val="00530C49"/>
    <w:rsid w:val="00531B68"/>
    <w:rsid w:val="00532216"/>
    <w:rsid w:val="00534279"/>
    <w:rsid w:val="00535FDF"/>
    <w:rsid w:val="0053659A"/>
    <w:rsid w:val="00537686"/>
    <w:rsid w:val="00537D11"/>
    <w:rsid w:val="00540836"/>
    <w:rsid w:val="0054138B"/>
    <w:rsid w:val="00541726"/>
    <w:rsid w:val="005417B4"/>
    <w:rsid w:val="00542130"/>
    <w:rsid w:val="00543506"/>
    <w:rsid w:val="005435CF"/>
    <w:rsid w:val="00543E74"/>
    <w:rsid w:val="00543F55"/>
    <w:rsid w:val="00544B47"/>
    <w:rsid w:val="005450E5"/>
    <w:rsid w:val="00545883"/>
    <w:rsid w:val="00545EE1"/>
    <w:rsid w:val="0054644C"/>
    <w:rsid w:val="00547087"/>
    <w:rsid w:val="0054785F"/>
    <w:rsid w:val="00547B08"/>
    <w:rsid w:val="00550FB6"/>
    <w:rsid w:val="00551027"/>
    <w:rsid w:val="00551605"/>
    <w:rsid w:val="005526AE"/>
    <w:rsid w:val="00553E6B"/>
    <w:rsid w:val="005543BF"/>
    <w:rsid w:val="005544C4"/>
    <w:rsid w:val="00554B0D"/>
    <w:rsid w:val="005555FA"/>
    <w:rsid w:val="00555642"/>
    <w:rsid w:val="00555BF0"/>
    <w:rsid w:val="00557468"/>
    <w:rsid w:val="0055758C"/>
    <w:rsid w:val="00561589"/>
    <w:rsid w:val="005616D4"/>
    <w:rsid w:val="00562194"/>
    <w:rsid w:val="00562B22"/>
    <w:rsid w:val="0056324E"/>
    <w:rsid w:val="005635DA"/>
    <w:rsid w:val="00563783"/>
    <w:rsid w:val="00563B5F"/>
    <w:rsid w:val="005651B3"/>
    <w:rsid w:val="005657B9"/>
    <w:rsid w:val="00565DBC"/>
    <w:rsid w:val="005672CF"/>
    <w:rsid w:val="005677B9"/>
    <w:rsid w:val="00567FA9"/>
    <w:rsid w:val="00570532"/>
    <w:rsid w:val="00570F5C"/>
    <w:rsid w:val="005718E9"/>
    <w:rsid w:val="00571CE3"/>
    <w:rsid w:val="00571EDE"/>
    <w:rsid w:val="00573248"/>
    <w:rsid w:val="005733F0"/>
    <w:rsid w:val="00573CD8"/>
    <w:rsid w:val="00573E9B"/>
    <w:rsid w:val="00574806"/>
    <w:rsid w:val="005748A2"/>
    <w:rsid w:val="0057509A"/>
    <w:rsid w:val="00575D43"/>
    <w:rsid w:val="0057726F"/>
    <w:rsid w:val="00577D31"/>
    <w:rsid w:val="0058085F"/>
    <w:rsid w:val="005809F9"/>
    <w:rsid w:val="00580D67"/>
    <w:rsid w:val="00581048"/>
    <w:rsid w:val="0058135D"/>
    <w:rsid w:val="0058170C"/>
    <w:rsid w:val="00581882"/>
    <w:rsid w:val="0058276F"/>
    <w:rsid w:val="00584977"/>
    <w:rsid w:val="0058502B"/>
    <w:rsid w:val="005855A0"/>
    <w:rsid w:val="005858AD"/>
    <w:rsid w:val="005865A2"/>
    <w:rsid w:val="005866D3"/>
    <w:rsid w:val="00586AAD"/>
    <w:rsid w:val="0058732F"/>
    <w:rsid w:val="005875D4"/>
    <w:rsid w:val="00587748"/>
    <w:rsid w:val="00587B7D"/>
    <w:rsid w:val="00590348"/>
    <w:rsid w:val="00590362"/>
    <w:rsid w:val="0059082D"/>
    <w:rsid w:val="00590A1C"/>
    <w:rsid w:val="00590F29"/>
    <w:rsid w:val="0059181E"/>
    <w:rsid w:val="00591B53"/>
    <w:rsid w:val="00591FD9"/>
    <w:rsid w:val="0059218C"/>
    <w:rsid w:val="0059232E"/>
    <w:rsid w:val="005923E2"/>
    <w:rsid w:val="00592DCA"/>
    <w:rsid w:val="00593E5E"/>
    <w:rsid w:val="0059506C"/>
    <w:rsid w:val="00596057"/>
    <w:rsid w:val="00596BC7"/>
    <w:rsid w:val="00597198"/>
    <w:rsid w:val="0059730A"/>
    <w:rsid w:val="005976BC"/>
    <w:rsid w:val="005A0AFB"/>
    <w:rsid w:val="005A0FDF"/>
    <w:rsid w:val="005A1155"/>
    <w:rsid w:val="005A158F"/>
    <w:rsid w:val="005A2697"/>
    <w:rsid w:val="005A26B4"/>
    <w:rsid w:val="005A36A7"/>
    <w:rsid w:val="005A40D2"/>
    <w:rsid w:val="005A48FF"/>
    <w:rsid w:val="005A499C"/>
    <w:rsid w:val="005A4EEF"/>
    <w:rsid w:val="005A6AF7"/>
    <w:rsid w:val="005A6D16"/>
    <w:rsid w:val="005A7207"/>
    <w:rsid w:val="005A7506"/>
    <w:rsid w:val="005B04D7"/>
    <w:rsid w:val="005B1172"/>
    <w:rsid w:val="005B3024"/>
    <w:rsid w:val="005B46BC"/>
    <w:rsid w:val="005B4B4C"/>
    <w:rsid w:val="005B4B4D"/>
    <w:rsid w:val="005B5198"/>
    <w:rsid w:val="005B5380"/>
    <w:rsid w:val="005B65E3"/>
    <w:rsid w:val="005B6966"/>
    <w:rsid w:val="005B69DB"/>
    <w:rsid w:val="005C2019"/>
    <w:rsid w:val="005C2117"/>
    <w:rsid w:val="005C24B5"/>
    <w:rsid w:val="005C27CC"/>
    <w:rsid w:val="005C280A"/>
    <w:rsid w:val="005C41E1"/>
    <w:rsid w:val="005C4F5C"/>
    <w:rsid w:val="005C635C"/>
    <w:rsid w:val="005C727D"/>
    <w:rsid w:val="005C7641"/>
    <w:rsid w:val="005C7AD2"/>
    <w:rsid w:val="005C7B74"/>
    <w:rsid w:val="005D0051"/>
    <w:rsid w:val="005D03AB"/>
    <w:rsid w:val="005D0A37"/>
    <w:rsid w:val="005D0C6B"/>
    <w:rsid w:val="005D1DB1"/>
    <w:rsid w:val="005D3010"/>
    <w:rsid w:val="005D348E"/>
    <w:rsid w:val="005D3E91"/>
    <w:rsid w:val="005D4311"/>
    <w:rsid w:val="005D479C"/>
    <w:rsid w:val="005D4BF5"/>
    <w:rsid w:val="005D4F64"/>
    <w:rsid w:val="005D5CA5"/>
    <w:rsid w:val="005D63B3"/>
    <w:rsid w:val="005D652F"/>
    <w:rsid w:val="005D695D"/>
    <w:rsid w:val="005D7080"/>
    <w:rsid w:val="005D7A2F"/>
    <w:rsid w:val="005E0774"/>
    <w:rsid w:val="005E0D57"/>
    <w:rsid w:val="005E1332"/>
    <w:rsid w:val="005E1931"/>
    <w:rsid w:val="005E237E"/>
    <w:rsid w:val="005E299E"/>
    <w:rsid w:val="005E3589"/>
    <w:rsid w:val="005E37AB"/>
    <w:rsid w:val="005E3A99"/>
    <w:rsid w:val="005E400A"/>
    <w:rsid w:val="005E4853"/>
    <w:rsid w:val="005E498A"/>
    <w:rsid w:val="005E49D3"/>
    <w:rsid w:val="005E4C25"/>
    <w:rsid w:val="005E4CA8"/>
    <w:rsid w:val="005E5990"/>
    <w:rsid w:val="005E7279"/>
    <w:rsid w:val="005E7410"/>
    <w:rsid w:val="005E7655"/>
    <w:rsid w:val="005E76BE"/>
    <w:rsid w:val="005F0F7D"/>
    <w:rsid w:val="005F189A"/>
    <w:rsid w:val="005F1974"/>
    <w:rsid w:val="005F21F3"/>
    <w:rsid w:val="005F3278"/>
    <w:rsid w:val="005F3281"/>
    <w:rsid w:val="005F38EF"/>
    <w:rsid w:val="005F3A45"/>
    <w:rsid w:val="005F4432"/>
    <w:rsid w:val="005F4DBF"/>
    <w:rsid w:val="005F6ACC"/>
    <w:rsid w:val="005F7A4B"/>
    <w:rsid w:val="006002E4"/>
    <w:rsid w:val="0060056C"/>
    <w:rsid w:val="006009D0"/>
    <w:rsid w:val="006010F9"/>
    <w:rsid w:val="00601760"/>
    <w:rsid w:val="00601AF6"/>
    <w:rsid w:val="00601CC8"/>
    <w:rsid w:val="00602349"/>
    <w:rsid w:val="00602485"/>
    <w:rsid w:val="006031CD"/>
    <w:rsid w:val="006037A4"/>
    <w:rsid w:val="006039AF"/>
    <w:rsid w:val="00603FCB"/>
    <w:rsid w:val="0060440C"/>
    <w:rsid w:val="00604E93"/>
    <w:rsid w:val="006055ED"/>
    <w:rsid w:val="0060670F"/>
    <w:rsid w:val="00606788"/>
    <w:rsid w:val="00606867"/>
    <w:rsid w:val="00606CCA"/>
    <w:rsid w:val="0060748E"/>
    <w:rsid w:val="006077B7"/>
    <w:rsid w:val="00607B89"/>
    <w:rsid w:val="0061105C"/>
    <w:rsid w:val="00611B70"/>
    <w:rsid w:val="00612872"/>
    <w:rsid w:val="006129D3"/>
    <w:rsid w:val="006132BA"/>
    <w:rsid w:val="00613A0B"/>
    <w:rsid w:val="00613C2B"/>
    <w:rsid w:val="00614117"/>
    <w:rsid w:val="0061594B"/>
    <w:rsid w:val="00615E5D"/>
    <w:rsid w:val="00616400"/>
    <w:rsid w:val="0061669B"/>
    <w:rsid w:val="006166D0"/>
    <w:rsid w:val="006168E8"/>
    <w:rsid w:val="0061733A"/>
    <w:rsid w:val="00617BDF"/>
    <w:rsid w:val="00620404"/>
    <w:rsid w:val="006204D6"/>
    <w:rsid w:val="00620E29"/>
    <w:rsid w:val="0062123A"/>
    <w:rsid w:val="0062178D"/>
    <w:rsid w:val="00621D4F"/>
    <w:rsid w:val="006220F4"/>
    <w:rsid w:val="00622219"/>
    <w:rsid w:val="006223D0"/>
    <w:rsid w:val="006226BD"/>
    <w:rsid w:val="00622C1F"/>
    <w:rsid w:val="006231F6"/>
    <w:rsid w:val="0062333E"/>
    <w:rsid w:val="0062374C"/>
    <w:rsid w:val="006242F5"/>
    <w:rsid w:val="006245AF"/>
    <w:rsid w:val="00627072"/>
    <w:rsid w:val="006271C4"/>
    <w:rsid w:val="006302D2"/>
    <w:rsid w:val="006306E2"/>
    <w:rsid w:val="00630E4A"/>
    <w:rsid w:val="00631469"/>
    <w:rsid w:val="006319FB"/>
    <w:rsid w:val="00632534"/>
    <w:rsid w:val="006333D4"/>
    <w:rsid w:val="00633827"/>
    <w:rsid w:val="00634302"/>
    <w:rsid w:val="00634EC5"/>
    <w:rsid w:val="006355AF"/>
    <w:rsid w:val="006363AF"/>
    <w:rsid w:val="006365DD"/>
    <w:rsid w:val="00636BA1"/>
    <w:rsid w:val="00636D9A"/>
    <w:rsid w:val="0063745B"/>
    <w:rsid w:val="00640D52"/>
    <w:rsid w:val="006411A0"/>
    <w:rsid w:val="006412D7"/>
    <w:rsid w:val="006415A6"/>
    <w:rsid w:val="0064185F"/>
    <w:rsid w:val="00642A5A"/>
    <w:rsid w:val="006439A6"/>
    <w:rsid w:val="00645287"/>
    <w:rsid w:val="00645EE1"/>
    <w:rsid w:val="00646823"/>
    <w:rsid w:val="006473D9"/>
    <w:rsid w:val="00650340"/>
    <w:rsid w:val="0065157D"/>
    <w:rsid w:val="00651645"/>
    <w:rsid w:val="00651EB2"/>
    <w:rsid w:val="0065215A"/>
    <w:rsid w:val="006524B7"/>
    <w:rsid w:val="006525DE"/>
    <w:rsid w:val="006526FC"/>
    <w:rsid w:val="0065275C"/>
    <w:rsid w:val="00652CB9"/>
    <w:rsid w:val="006533C2"/>
    <w:rsid w:val="00653DFD"/>
    <w:rsid w:val="006543A1"/>
    <w:rsid w:val="00654502"/>
    <w:rsid w:val="00655F9C"/>
    <w:rsid w:val="00655FF1"/>
    <w:rsid w:val="00656126"/>
    <w:rsid w:val="00656416"/>
    <w:rsid w:val="00656779"/>
    <w:rsid w:val="00656FC5"/>
    <w:rsid w:val="00657217"/>
    <w:rsid w:val="0066006D"/>
    <w:rsid w:val="00660E47"/>
    <w:rsid w:val="00661FC7"/>
    <w:rsid w:val="006620F8"/>
    <w:rsid w:val="0066218A"/>
    <w:rsid w:val="00662659"/>
    <w:rsid w:val="00663064"/>
    <w:rsid w:val="0066349C"/>
    <w:rsid w:val="00663B29"/>
    <w:rsid w:val="00664D3B"/>
    <w:rsid w:val="00665D81"/>
    <w:rsid w:val="00667339"/>
    <w:rsid w:val="00667586"/>
    <w:rsid w:val="006676C3"/>
    <w:rsid w:val="00667D90"/>
    <w:rsid w:val="00670D22"/>
    <w:rsid w:val="00670FA0"/>
    <w:rsid w:val="0067163F"/>
    <w:rsid w:val="006738A7"/>
    <w:rsid w:val="00673E60"/>
    <w:rsid w:val="00674430"/>
    <w:rsid w:val="0067495E"/>
    <w:rsid w:val="006754D8"/>
    <w:rsid w:val="006758E0"/>
    <w:rsid w:val="0067592D"/>
    <w:rsid w:val="00675B18"/>
    <w:rsid w:val="00676901"/>
    <w:rsid w:val="006769B3"/>
    <w:rsid w:val="00677D65"/>
    <w:rsid w:val="006802A7"/>
    <w:rsid w:val="006803E6"/>
    <w:rsid w:val="00680804"/>
    <w:rsid w:val="00680AAE"/>
    <w:rsid w:val="00680C42"/>
    <w:rsid w:val="0068122A"/>
    <w:rsid w:val="00682BA7"/>
    <w:rsid w:val="006837B8"/>
    <w:rsid w:val="0068403F"/>
    <w:rsid w:val="006840E2"/>
    <w:rsid w:val="006845C2"/>
    <w:rsid w:val="00684790"/>
    <w:rsid w:val="00684E6B"/>
    <w:rsid w:val="00685114"/>
    <w:rsid w:val="00686391"/>
    <w:rsid w:val="00686BEC"/>
    <w:rsid w:val="006913DE"/>
    <w:rsid w:val="00692021"/>
    <w:rsid w:val="00692DBF"/>
    <w:rsid w:val="00693A9C"/>
    <w:rsid w:val="00694B4A"/>
    <w:rsid w:val="006953E3"/>
    <w:rsid w:val="00695552"/>
    <w:rsid w:val="006958B0"/>
    <w:rsid w:val="00695BEA"/>
    <w:rsid w:val="006967F3"/>
    <w:rsid w:val="00697519"/>
    <w:rsid w:val="0069788E"/>
    <w:rsid w:val="006A07DF"/>
    <w:rsid w:val="006A0DD8"/>
    <w:rsid w:val="006A0E95"/>
    <w:rsid w:val="006A13DB"/>
    <w:rsid w:val="006A183F"/>
    <w:rsid w:val="006A19A8"/>
    <w:rsid w:val="006A1DC1"/>
    <w:rsid w:val="006A2AF8"/>
    <w:rsid w:val="006A2B4F"/>
    <w:rsid w:val="006A3365"/>
    <w:rsid w:val="006A37B6"/>
    <w:rsid w:val="006A3DA5"/>
    <w:rsid w:val="006A3DB6"/>
    <w:rsid w:val="006A536C"/>
    <w:rsid w:val="006A5ECC"/>
    <w:rsid w:val="006A60D2"/>
    <w:rsid w:val="006A634C"/>
    <w:rsid w:val="006A640F"/>
    <w:rsid w:val="006A643C"/>
    <w:rsid w:val="006A6862"/>
    <w:rsid w:val="006A6F84"/>
    <w:rsid w:val="006A73DF"/>
    <w:rsid w:val="006A7811"/>
    <w:rsid w:val="006A7924"/>
    <w:rsid w:val="006A7EFE"/>
    <w:rsid w:val="006B028B"/>
    <w:rsid w:val="006B2B98"/>
    <w:rsid w:val="006B3BD6"/>
    <w:rsid w:val="006B3BDA"/>
    <w:rsid w:val="006B48D0"/>
    <w:rsid w:val="006B6A2B"/>
    <w:rsid w:val="006B6C49"/>
    <w:rsid w:val="006B6E00"/>
    <w:rsid w:val="006B70B9"/>
    <w:rsid w:val="006C0B5C"/>
    <w:rsid w:val="006C157C"/>
    <w:rsid w:val="006C1CD5"/>
    <w:rsid w:val="006C2BBD"/>
    <w:rsid w:val="006C2EEB"/>
    <w:rsid w:val="006C3E47"/>
    <w:rsid w:val="006C434D"/>
    <w:rsid w:val="006C586B"/>
    <w:rsid w:val="006C6682"/>
    <w:rsid w:val="006C6A9E"/>
    <w:rsid w:val="006C6E87"/>
    <w:rsid w:val="006C7716"/>
    <w:rsid w:val="006D01FA"/>
    <w:rsid w:val="006D032D"/>
    <w:rsid w:val="006D0BE9"/>
    <w:rsid w:val="006D12FC"/>
    <w:rsid w:val="006D163D"/>
    <w:rsid w:val="006D17E6"/>
    <w:rsid w:val="006D1DFB"/>
    <w:rsid w:val="006D26B8"/>
    <w:rsid w:val="006D26BC"/>
    <w:rsid w:val="006D2D06"/>
    <w:rsid w:val="006D2F56"/>
    <w:rsid w:val="006D316E"/>
    <w:rsid w:val="006D336D"/>
    <w:rsid w:val="006D3C20"/>
    <w:rsid w:val="006D48CD"/>
    <w:rsid w:val="006D5C6B"/>
    <w:rsid w:val="006D5D64"/>
    <w:rsid w:val="006D72FF"/>
    <w:rsid w:val="006D75EF"/>
    <w:rsid w:val="006D7BBA"/>
    <w:rsid w:val="006D7E0F"/>
    <w:rsid w:val="006E0305"/>
    <w:rsid w:val="006E0416"/>
    <w:rsid w:val="006E1234"/>
    <w:rsid w:val="006E1380"/>
    <w:rsid w:val="006E1CCD"/>
    <w:rsid w:val="006E2B28"/>
    <w:rsid w:val="006E3312"/>
    <w:rsid w:val="006E33E4"/>
    <w:rsid w:val="006E437F"/>
    <w:rsid w:val="006E535A"/>
    <w:rsid w:val="006E57D5"/>
    <w:rsid w:val="006E5B39"/>
    <w:rsid w:val="006E5C20"/>
    <w:rsid w:val="006E71C0"/>
    <w:rsid w:val="006E738E"/>
    <w:rsid w:val="006E76CA"/>
    <w:rsid w:val="006E77ED"/>
    <w:rsid w:val="006F127C"/>
    <w:rsid w:val="006F13DA"/>
    <w:rsid w:val="006F199D"/>
    <w:rsid w:val="006F20D8"/>
    <w:rsid w:val="006F3D86"/>
    <w:rsid w:val="006F3EBE"/>
    <w:rsid w:val="006F4314"/>
    <w:rsid w:val="006F43BD"/>
    <w:rsid w:val="006F54F7"/>
    <w:rsid w:val="006F642C"/>
    <w:rsid w:val="0070000B"/>
    <w:rsid w:val="00700F61"/>
    <w:rsid w:val="00701215"/>
    <w:rsid w:val="00701631"/>
    <w:rsid w:val="00702193"/>
    <w:rsid w:val="007022E4"/>
    <w:rsid w:val="00702579"/>
    <w:rsid w:val="007025F7"/>
    <w:rsid w:val="00702D0C"/>
    <w:rsid w:val="0070353D"/>
    <w:rsid w:val="00704302"/>
    <w:rsid w:val="0070456D"/>
    <w:rsid w:val="00705C7E"/>
    <w:rsid w:val="00707D76"/>
    <w:rsid w:val="007109B1"/>
    <w:rsid w:val="00710A76"/>
    <w:rsid w:val="007115EE"/>
    <w:rsid w:val="0071162D"/>
    <w:rsid w:val="007118FC"/>
    <w:rsid w:val="00711DB8"/>
    <w:rsid w:val="007123AB"/>
    <w:rsid w:val="00712F02"/>
    <w:rsid w:val="0071587D"/>
    <w:rsid w:val="00715CDE"/>
    <w:rsid w:val="007164CD"/>
    <w:rsid w:val="00716713"/>
    <w:rsid w:val="00716869"/>
    <w:rsid w:val="00717443"/>
    <w:rsid w:val="00717547"/>
    <w:rsid w:val="00717CB2"/>
    <w:rsid w:val="00721BEF"/>
    <w:rsid w:val="00722BC6"/>
    <w:rsid w:val="00723231"/>
    <w:rsid w:val="007235C5"/>
    <w:rsid w:val="0072367F"/>
    <w:rsid w:val="007236CC"/>
    <w:rsid w:val="0072380E"/>
    <w:rsid w:val="00723BB8"/>
    <w:rsid w:val="00724595"/>
    <w:rsid w:val="00724873"/>
    <w:rsid w:val="00726224"/>
    <w:rsid w:val="0072666A"/>
    <w:rsid w:val="00727516"/>
    <w:rsid w:val="00727922"/>
    <w:rsid w:val="007301FE"/>
    <w:rsid w:val="007305EB"/>
    <w:rsid w:val="00730AD0"/>
    <w:rsid w:val="00730BDF"/>
    <w:rsid w:val="00731140"/>
    <w:rsid w:val="007311D5"/>
    <w:rsid w:val="007313D9"/>
    <w:rsid w:val="00731BA6"/>
    <w:rsid w:val="00731EAC"/>
    <w:rsid w:val="00732A60"/>
    <w:rsid w:val="00732D07"/>
    <w:rsid w:val="007332AE"/>
    <w:rsid w:val="0073340B"/>
    <w:rsid w:val="00733873"/>
    <w:rsid w:val="00733958"/>
    <w:rsid w:val="00733F41"/>
    <w:rsid w:val="00733FFA"/>
    <w:rsid w:val="0073514F"/>
    <w:rsid w:val="007351BC"/>
    <w:rsid w:val="00735DC0"/>
    <w:rsid w:val="0073657C"/>
    <w:rsid w:val="007369E0"/>
    <w:rsid w:val="00736C06"/>
    <w:rsid w:val="00736D0B"/>
    <w:rsid w:val="007370DF"/>
    <w:rsid w:val="007403BF"/>
    <w:rsid w:val="007421C2"/>
    <w:rsid w:val="00742355"/>
    <w:rsid w:val="00743A4C"/>
    <w:rsid w:val="007442B7"/>
    <w:rsid w:val="00744C5A"/>
    <w:rsid w:val="007453B1"/>
    <w:rsid w:val="007464BB"/>
    <w:rsid w:val="00746ACC"/>
    <w:rsid w:val="007501F0"/>
    <w:rsid w:val="00750945"/>
    <w:rsid w:val="007513CD"/>
    <w:rsid w:val="00751570"/>
    <w:rsid w:val="00751B75"/>
    <w:rsid w:val="00751B99"/>
    <w:rsid w:val="007523E1"/>
    <w:rsid w:val="0075341A"/>
    <w:rsid w:val="00753674"/>
    <w:rsid w:val="0075372E"/>
    <w:rsid w:val="007539C0"/>
    <w:rsid w:val="00754577"/>
    <w:rsid w:val="007547C7"/>
    <w:rsid w:val="00755080"/>
    <w:rsid w:val="00756098"/>
    <w:rsid w:val="007569E1"/>
    <w:rsid w:val="00756E6B"/>
    <w:rsid w:val="0076061B"/>
    <w:rsid w:val="00760B4D"/>
    <w:rsid w:val="00760D3F"/>
    <w:rsid w:val="00761792"/>
    <w:rsid w:val="007620FC"/>
    <w:rsid w:val="0076235F"/>
    <w:rsid w:val="00763AA0"/>
    <w:rsid w:val="00763B19"/>
    <w:rsid w:val="00763B57"/>
    <w:rsid w:val="00763D6C"/>
    <w:rsid w:val="00764C5D"/>
    <w:rsid w:val="007652C0"/>
    <w:rsid w:val="007655A0"/>
    <w:rsid w:val="00765CB9"/>
    <w:rsid w:val="00766625"/>
    <w:rsid w:val="0076689F"/>
    <w:rsid w:val="00766E26"/>
    <w:rsid w:val="00767465"/>
    <w:rsid w:val="00770FBA"/>
    <w:rsid w:val="00773476"/>
    <w:rsid w:val="007736A9"/>
    <w:rsid w:val="00775C27"/>
    <w:rsid w:val="00775ED4"/>
    <w:rsid w:val="007767BC"/>
    <w:rsid w:val="00776EB4"/>
    <w:rsid w:val="00777694"/>
    <w:rsid w:val="0077776B"/>
    <w:rsid w:val="00780693"/>
    <w:rsid w:val="007807CC"/>
    <w:rsid w:val="00780E57"/>
    <w:rsid w:val="00780F7A"/>
    <w:rsid w:val="007816A3"/>
    <w:rsid w:val="00781BB6"/>
    <w:rsid w:val="00783789"/>
    <w:rsid w:val="00784526"/>
    <w:rsid w:val="007849E8"/>
    <w:rsid w:val="00784D41"/>
    <w:rsid w:val="007853C8"/>
    <w:rsid w:val="007854E2"/>
    <w:rsid w:val="00785999"/>
    <w:rsid w:val="00786D79"/>
    <w:rsid w:val="00786EE9"/>
    <w:rsid w:val="007875FF"/>
    <w:rsid w:val="00787EC7"/>
    <w:rsid w:val="00791836"/>
    <w:rsid w:val="00792786"/>
    <w:rsid w:val="00792A3A"/>
    <w:rsid w:val="007931F1"/>
    <w:rsid w:val="007932A7"/>
    <w:rsid w:val="007932F2"/>
    <w:rsid w:val="0079340B"/>
    <w:rsid w:val="007936C3"/>
    <w:rsid w:val="00793E30"/>
    <w:rsid w:val="00794165"/>
    <w:rsid w:val="00794333"/>
    <w:rsid w:val="00794EC6"/>
    <w:rsid w:val="00795582"/>
    <w:rsid w:val="00795BAC"/>
    <w:rsid w:val="00795FC3"/>
    <w:rsid w:val="007961D1"/>
    <w:rsid w:val="00796CE0"/>
    <w:rsid w:val="00797035"/>
    <w:rsid w:val="00797076"/>
    <w:rsid w:val="00797A6F"/>
    <w:rsid w:val="007A13A7"/>
    <w:rsid w:val="007A1AF8"/>
    <w:rsid w:val="007A2102"/>
    <w:rsid w:val="007A391F"/>
    <w:rsid w:val="007A4342"/>
    <w:rsid w:val="007A44BE"/>
    <w:rsid w:val="007A4510"/>
    <w:rsid w:val="007A4B97"/>
    <w:rsid w:val="007A4F3A"/>
    <w:rsid w:val="007A7621"/>
    <w:rsid w:val="007A7898"/>
    <w:rsid w:val="007A7F64"/>
    <w:rsid w:val="007B011E"/>
    <w:rsid w:val="007B0991"/>
    <w:rsid w:val="007B0A17"/>
    <w:rsid w:val="007B1752"/>
    <w:rsid w:val="007B1D3E"/>
    <w:rsid w:val="007B1ED6"/>
    <w:rsid w:val="007B2240"/>
    <w:rsid w:val="007B2815"/>
    <w:rsid w:val="007B2EEA"/>
    <w:rsid w:val="007B3720"/>
    <w:rsid w:val="007B44B7"/>
    <w:rsid w:val="007B54F1"/>
    <w:rsid w:val="007B586A"/>
    <w:rsid w:val="007B7B69"/>
    <w:rsid w:val="007B7BFE"/>
    <w:rsid w:val="007C0252"/>
    <w:rsid w:val="007C062A"/>
    <w:rsid w:val="007C0EF3"/>
    <w:rsid w:val="007C25F6"/>
    <w:rsid w:val="007C2B4F"/>
    <w:rsid w:val="007C2FB4"/>
    <w:rsid w:val="007C35AA"/>
    <w:rsid w:val="007C360F"/>
    <w:rsid w:val="007C391C"/>
    <w:rsid w:val="007C3A15"/>
    <w:rsid w:val="007C4F85"/>
    <w:rsid w:val="007C4FB2"/>
    <w:rsid w:val="007C50FA"/>
    <w:rsid w:val="007C5400"/>
    <w:rsid w:val="007C5E93"/>
    <w:rsid w:val="007C5FDB"/>
    <w:rsid w:val="007C60B6"/>
    <w:rsid w:val="007C60CF"/>
    <w:rsid w:val="007C612E"/>
    <w:rsid w:val="007C61A9"/>
    <w:rsid w:val="007C69D4"/>
    <w:rsid w:val="007C7658"/>
    <w:rsid w:val="007C7796"/>
    <w:rsid w:val="007D0157"/>
    <w:rsid w:val="007D01D2"/>
    <w:rsid w:val="007D04F6"/>
    <w:rsid w:val="007D09B7"/>
    <w:rsid w:val="007D0C3B"/>
    <w:rsid w:val="007D0DA4"/>
    <w:rsid w:val="007D1240"/>
    <w:rsid w:val="007D19E5"/>
    <w:rsid w:val="007D238D"/>
    <w:rsid w:val="007D2F2D"/>
    <w:rsid w:val="007D32BE"/>
    <w:rsid w:val="007D37F8"/>
    <w:rsid w:val="007D394D"/>
    <w:rsid w:val="007D499E"/>
    <w:rsid w:val="007D4EA8"/>
    <w:rsid w:val="007D505C"/>
    <w:rsid w:val="007D57F6"/>
    <w:rsid w:val="007D682E"/>
    <w:rsid w:val="007D68E7"/>
    <w:rsid w:val="007D74BD"/>
    <w:rsid w:val="007E0017"/>
    <w:rsid w:val="007E02C5"/>
    <w:rsid w:val="007E0583"/>
    <w:rsid w:val="007E0C6B"/>
    <w:rsid w:val="007E0D7D"/>
    <w:rsid w:val="007E2E4E"/>
    <w:rsid w:val="007E4057"/>
    <w:rsid w:val="007E4B8C"/>
    <w:rsid w:val="007E4E7A"/>
    <w:rsid w:val="007E54E3"/>
    <w:rsid w:val="007E5640"/>
    <w:rsid w:val="007E6605"/>
    <w:rsid w:val="007E6E64"/>
    <w:rsid w:val="007E7C32"/>
    <w:rsid w:val="007E7FBF"/>
    <w:rsid w:val="007E7FC3"/>
    <w:rsid w:val="007F03F8"/>
    <w:rsid w:val="007F12A1"/>
    <w:rsid w:val="007F1B66"/>
    <w:rsid w:val="007F29CB"/>
    <w:rsid w:val="007F3B8B"/>
    <w:rsid w:val="007F4C8C"/>
    <w:rsid w:val="007F521F"/>
    <w:rsid w:val="007F5AE5"/>
    <w:rsid w:val="007F614B"/>
    <w:rsid w:val="007F65AD"/>
    <w:rsid w:val="007F68AE"/>
    <w:rsid w:val="008016E7"/>
    <w:rsid w:val="008022A3"/>
    <w:rsid w:val="008033A6"/>
    <w:rsid w:val="00803469"/>
    <w:rsid w:val="0080365E"/>
    <w:rsid w:val="00803A31"/>
    <w:rsid w:val="008040C7"/>
    <w:rsid w:val="008041A5"/>
    <w:rsid w:val="00804DF2"/>
    <w:rsid w:val="00805377"/>
    <w:rsid w:val="008055B1"/>
    <w:rsid w:val="008057F4"/>
    <w:rsid w:val="00805A50"/>
    <w:rsid w:val="00805E65"/>
    <w:rsid w:val="00805F8F"/>
    <w:rsid w:val="008060C7"/>
    <w:rsid w:val="0080655B"/>
    <w:rsid w:val="00807EF5"/>
    <w:rsid w:val="00810A81"/>
    <w:rsid w:val="00810D59"/>
    <w:rsid w:val="0081115D"/>
    <w:rsid w:val="008111A0"/>
    <w:rsid w:val="0081164D"/>
    <w:rsid w:val="00811CB7"/>
    <w:rsid w:val="00811DA0"/>
    <w:rsid w:val="008125C1"/>
    <w:rsid w:val="008145C2"/>
    <w:rsid w:val="0081488A"/>
    <w:rsid w:val="00814AA8"/>
    <w:rsid w:val="008156AF"/>
    <w:rsid w:val="008161AD"/>
    <w:rsid w:val="00816C77"/>
    <w:rsid w:val="00816E09"/>
    <w:rsid w:val="008178BD"/>
    <w:rsid w:val="008178CC"/>
    <w:rsid w:val="00820099"/>
    <w:rsid w:val="00820DE6"/>
    <w:rsid w:val="00821198"/>
    <w:rsid w:val="00821A93"/>
    <w:rsid w:val="00821E9F"/>
    <w:rsid w:val="008222D2"/>
    <w:rsid w:val="008223A8"/>
    <w:rsid w:val="008234A5"/>
    <w:rsid w:val="008237C6"/>
    <w:rsid w:val="00825FA7"/>
    <w:rsid w:val="008260E0"/>
    <w:rsid w:val="00826BC4"/>
    <w:rsid w:val="0082718B"/>
    <w:rsid w:val="00827443"/>
    <w:rsid w:val="00827752"/>
    <w:rsid w:val="008305A1"/>
    <w:rsid w:val="00831493"/>
    <w:rsid w:val="00831642"/>
    <w:rsid w:val="00831749"/>
    <w:rsid w:val="008322BF"/>
    <w:rsid w:val="008323E5"/>
    <w:rsid w:val="008326B2"/>
    <w:rsid w:val="008331AD"/>
    <w:rsid w:val="00833313"/>
    <w:rsid w:val="00834718"/>
    <w:rsid w:val="00835A07"/>
    <w:rsid w:val="00836353"/>
    <w:rsid w:val="008364B6"/>
    <w:rsid w:val="0083673A"/>
    <w:rsid w:val="00837879"/>
    <w:rsid w:val="008434EE"/>
    <w:rsid w:val="00843578"/>
    <w:rsid w:val="0084357A"/>
    <w:rsid w:val="00845033"/>
    <w:rsid w:val="008450C5"/>
    <w:rsid w:val="0084519A"/>
    <w:rsid w:val="00845CFE"/>
    <w:rsid w:val="00845F86"/>
    <w:rsid w:val="008462EB"/>
    <w:rsid w:val="00846C20"/>
    <w:rsid w:val="00846FD3"/>
    <w:rsid w:val="00847B14"/>
    <w:rsid w:val="00850DC3"/>
    <w:rsid w:val="0085157D"/>
    <w:rsid w:val="0085208D"/>
    <w:rsid w:val="008521D2"/>
    <w:rsid w:val="00852C97"/>
    <w:rsid w:val="00853614"/>
    <w:rsid w:val="0085372E"/>
    <w:rsid w:val="008543BE"/>
    <w:rsid w:val="00854748"/>
    <w:rsid w:val="0085521C"/>
    <w:rsid w:val="00855B37"/>
    <w:rsid w:val="00856372"/>
    <w:rsid w:val="00856AE8"/>
    <w:rsid w:val="0085703E"/>
    <w:rsid w:val="0085790F"/>
    <w:rsid w:val="00857C31"/>
    <w:rsid w:val="00857F9E"/>
    <w:rsid w:val="008600D1"/>
    <w:rsid w:val="008601B1"/>
    <w:rsid w:val="0086123E"/>
    <w:rsid w:val="00861593"/>
    <w:rsid w:val="00861CEA"/>
    <w:rsid w:val="00861F43"/>
    <w:rsid w:val="0086262F"/>
    <w:rsid w:val="00862CCB"/>
    <w:rsid w:val="00863215"/>
    <w:rsid w:val="00863377"/>
    <w:rsid w:val="008645A6"/>
    <w:rsid w:val="008647B0"/>
    <w:rsid w:val="008663B5"/>
    <w:rsid w:val="008665EA"/>
    <w:rsid w:val="0086666B"/>
    <w:rsid w:val="00870484"/>
    <w:rsid w:val="00872696"/>
    <w:rsid w:val="00872902"/>
    <w:rsid w:val="0087291A"/>
    <w:rsid w:val="00873613"/>
    <w:rsid w:val="00873CE2"/>
    <w:rsid w:val="00873EC8"/>
    <w:rsid w:val="008757C4"/>
    <w:rsid w:val="00875831"/>
    <w:rsid w:val="00875CE2"/>
    <w:rsid w:val="00875E2A"/>
    <w:rsid w:val="00875F29"/>
    <w:rsid w:val="00876302"/>
    <w:rsid w:val="00876A5B"/>
    <w:rsid w:val="00877B3B"/>
    <w:rsid w:val="00877E7D"/>
    <w:rsid w:val="00877ED4"/>
    <w:rsid w:val="008811DC"/>
    <w:rsid w:val="00881619"/>
    <w:rsid w:val="008816E6"/>
    <w:rsid w:val="00881D4A"/>
    <w:rsid w:val="00882341"/>
    <w:rsid w:val="008824F5"/>
    <w:rsid w:val="0088328F"/>
    <w:rsid w:val="0088446B"/>
    <w:rsid w:val="00884783"/>
    <w:rsid w:val="00884AF3"/>
    <w:rsid w:val="00884EC1"/>
    <w:rsid w:val="008851AE"/>
    <w:rsid w:val="008865DF"/>
    <w:rsid w:val="00886681"/>
    <w:rsid w:val="00886EE9"/>
    <w:rsid w:val="00887544"/>
    <w:rsid w:val="008875AE"/>
    <w:rsid w:val="00887924"/>
    <w:rsid w:val="00887C10"/>
    <w:rsid w:val="0089048C"/>
    <w:rsid w:val="00891628"/>
    <w:rsid w:val="00891C29"/>
    <w:rsid w:val="00892625"/>
    <w:rsid w:val="00892E8B"/>
    <w:rsid w:val="00893D18"/>
    <w:rsid w:val="00894696"/>
    <w:rsid w:val="008946D6"/>
    <w:rsid w:val="00894CC0"/>
    <w:rsid w:val="00895048"/>
    <w:rsid w:val="008954E6"/>
    <w:rsid w:val="00895984"/>
    <w:rsid w:val="00895DC2"/>
    <w:rsid w:val="00896112"/>
    <w:rsid w:val="008961E3"/>
    <w:rsid w:val="00896772"/>
    <w:rsid w:val="00896EFA"/>
    <w:rsid w:val="0089728E"/>
    <w:rsid w:val="0089763F"/>
    <w:rsid w:val="008976AC"/>
    <w:rsid w:val="00897A7D"/>
    <w:rsid w:val="008A009A"/>
    <w:rsid w:val="008A027C"/>
    <w:rsid w:val="008A0356"/>
    <w:rsid w:val="008A156D"/>
    <w:rsid w:val="008A1B30"/>
    <w:rsid w:val="008A1FD3"/>
    <w:rsid w:val="008A2268"/>
    <w:rsid w:val="008A2437"/>
    <w:rsid w:val="008A2649"/>
    <w:rsid w:val="008A3BF6"/>
    <w:rsid w:val="008A3E3F"/>
    <w:rsid w:val="008A4427"/>
    <w:rsid w:val="008A5CA5"/>
    <w:rsid w:val="008A5DF7"/>
    <w:rsid w:val="008A66C1"/>
    <w:rsid w:val="008A6732"/>
    <w:rsid w:val="008A6CF2"/>
    <w:rsid w:val="008A7446"/>
    <w:rsid w:val="008A79FF"/>
    <w:rsid w:val="008A7ED4"/>
    <w:rsid w:val="008B00A8"/>
    <w:rsid w:val="008B0398"/>
    <w:rsid w:val="008B03BB"/>
    <w:rsid w:val="008B0798"/>
    <w:rsid w:val="008B0806"/>
    <w:rsid w:val="008B09EC"/>
    <w:rsid w:val="008B0BAD"/>
    <w:rsid w:val="008B14A9"/>
    <w:rsid w:val="008B2D9D"/>
    <w:rsid w:val="008B324E"/>
    <w:rsid w:val="008B421D"/>
    <w:rsid w:val="008B4B09"/>
    <w:rsid w:val="008B50F9"/>
    <w:rsid w:val="008B51C4"/>
    <w:rsid w:val="008B5342"/>
    <w:rsid w:val="008B5A6C"/>
    <w:rsid w:val="008B5CCD"/>
    <w:rsid w:val="008B5EDD"/>
    <w:rsid w:val="008B6286"/>
    <w:rsid w:val="008B6CB7"/>
    <w:rsid w:val="008B713D"/>
    <w:rsid w:val="008B7B01"/>
    <w:rsid w:val="008B7FA2"/>
    <w:rsid w:val="008C010E"/>
    <w:rsid w:val="008C0E2F"/>
    <w:rsid w:val="008C287D"/>
    <w:rsid w:val="008C38C2"/>
    <w:rsid w:val="008C3DA8"/>
    <w:rsid w:val="008C50CE"/>
    <w:rsid w:val="008C560F"/>
    <w:rsid w:val="008C5EF3"/>
    <w:rsid w:val="008C6226"/>
    <w:rsid w:val="008C6645"/>
    <w:rsid w:val="008C683A"/>
    <w:rsid w:val="008C7020"/>
    <w:rsid w:val="008D078C"/>
    <w:rsid w:val="008D086C"/>
    <w:rsid w:val="008D261F"/>
    <w:rsid w:val="008D2E0E"/>
    <w:rsid w:val="008D2FA5"/>
    <w:rsid w:val="008D3497"/>
    <w:rsid w:val="008D4B36"/>
    <w:rsid w:val="008D4C28"/>
    <w:rsid w:val="008D5A43"/>
    <w:rsid w:val="008D5C60"/>
    <w:rsid w:val="008D5C6C"/>
    <w:rsid w:val="008D6BAD"/>
    <w:rsid w:val="008D6FB1"/>
    <w:rsid w:val="008E0707"/>
    <w:rsid w:val="008E0F5C"/>
    <w:rsid w:val="008E14F5"/>
    <w:rsid w:val="008E16E9"/>
    <w:rsid w:val="008E20E5"/>
    <w:rsid w:val="008E2FA6"/>
    <w:rsid w:val="008E381A"/>
    <w:rsid w:val="008E5688"/>
    <w:rsid w:val="008E63EF"/>
    <w:rsid w:val="008E6902"/>
    <w:rsid w:val="008E75E4"/>
    <w:rsid w:val="008E7745"/>
    <w:rsid w:val="008E798A"/>
    <w:rsid w:val="008E7F0F"/>
    <w:rsid w:val="008F0D5B"/>
    <w:rsid w:val="008F186E"/>
    <w:rsid w:val="008F234C"/>
    <w:rsid w:val="008F26A2"/>
    <w:rsid w:val="008F2B3E"/>
    <w:rsid w:val="008F2EDC"/>
    <w:rsid w:val="008F330F"/>
    <w:rsid w:val="008F39BC"/>
    <w:rsid w:val="008F3A5F"/>
    <w:rsid w:val="008F3EE5"/>
    <w:rsid w:val="008F41EE"/>
    <w:rsid w:val="008F4309"/>
    <w:rsid w:val="008F58A9"/>
    <w:rsid w:val="008F5C15"/>
    <w:rsid w:val="008F5EB4"/>
    <w:rsid w:val="008F657D"/>
    <w:rsid w:val="008F6BF7"/>
    <w:rsid w:val="008F7259"/>
    <w:rsid w:val="008F74EA"/>
    <w:rsid w:val="008F7D4E"/>
    <w:rsid w:val="009013AB"/>
    <w:rsid w:val="00901FA0"/>
    <w:rsid w:val="00902506"/>
    <w:rsid w:val="00902571"/>
    <w:rsid w:val="00904552"/>
    <w:rsid w:val="00905BF7"/>
    <w:rsid w:val="00905E64"/>
    <w:rsid w:val="00906342"/>
    <w:rsid w:val="00906823"/>
    <w:rsid w:val="00906A6F"/>
    <w:rsid w:val="00907422"/>
    <w:rsid w:val="009075A4"/>
    <w:rsid w:val="0091036A"/>
    <w:rsid w:val="009105E2"/>
    <w:rsid w:val="00911206"/>
    <w:rsid w:val="009116B8"/>
    <w:rsid w:val="00911AB1"/>
    <w:rsid w:val="00912F6B"/>
    <w:rsid w:val="00913436"/>
    <w:rsid w:val="0091361C"/>
    <w:rsid w:val="009142C7"/>
    <w:rsid w:val="00915354"/>
    <w:rsid w:val="009159D9"/>
    <w:rsid w:val="00915B49"/>
    <w:rsid w:val="009163A7"/>
    <w:rsid w:val="0091682D"/>
    <w:rsid w:val="009168F4"/>
    <w:rsid w:val="00916CD8"/>
    <w:rsid w:val="00916F7B"/>
    <w:rsid w:val="0091723C"/>
    <w:rsid w:val="00917829"/>
    <w:rsid w:val="00917B6E"/>
    <w:rsid w:val="009205AA"/>
    <w:rsid w:val="00920869"/>
    <w:rsid w:val="00920D6B"/>
    <w:rsid w:val="009212CE"/>
    <w:rsid w:val="00922AF8"/>
    <w:rsid w:val="00922B60"/>
    <w:rsid w:val="00922E07"/>
    <w:rsid w:val="00922EBB"/>
    <w:rsid w:val="00923473"/>
    <w:rsid w:val="00923FF6"/>
    <w:rsid w:val="009258ED"/>
    <w:rsid w:val="00926250"/>
    <w:rsid w:val="0092695E"/>
    <w:rsid w:val="00926BC6"/>
    <w:rsid w:val="009307FC"/>
    <w:rsid w:val="009308C2"/>
    <w:rsid w:val="0093206E"/>
    <w:rsid w:val="00932F28"/>
    <w:rsid w:val="00933F2B"/>
    <w:rsid w:val="00933FB5"/>
    <w:rsid w:val="0093491D"/>
    <w:rsid w:val="00934ED1"/>
    <w:rsid w:val="00934F77"/>
    <w:rsid w:val="00935A59"/>
    <w:rsid w:val="0093614C"/>
    <w:rsid w:val="009374DB"/>
    <w:rsid w:val="00937DA0"/>
    <w:rsid w:val="00940B75"/>
    <w:rsid w:val="00941684"/>
    <w:rsid w:val="00943016"/>
    <w:rsid w:val="0094396E"/>
    <w:rsid w:val="00943FC9"/>
    <w:rsid w:val="00945746"/>
    <w:rsid w:val="00945B87"/>
    <w:rsid w:val="009463C2"/>
    <w:rsid w:val="0094645B"/>
    <w:rsid w:val="0094653C"/>
    <w:rsid w:val="009467C6"/>
    <w:rsid w:val="00946B7C"/>
    <w:rsid w:val="00947EC9"/>
    <w:rsid w:val="00950066"/>
    <w:rsid w:val="00950620"/>
    <w:rsid w:val="00950FD9"/>
    <w:rsid w:val="009512A8"/>
    <w:rsid w:val="00951C95"/>
    <w:rsid w:val="009526CC"/>
    <w:rsid w:val="00952C4C"/>
    <w:rsid w:val="00953316"/>
    <w:rsid w:val="00953750"/>
    <w:rsid w:val="00953CB2"/>
    <w:rsid w:val="00953CFA"/>
    <w:rsid w:val="0095452F"/>
    <w:rsid w:val="0095472E"/>
    <w:rsid w:val="00954894"/>
    <w:rsid w:val="00955214"/>
    <w:rsid w:val="00955B1D"/>
    <w:rsid w:val="009561D2"/>
    <w:rsid w:val="009565D9"/>
    <w:rsid w:val="00957712"/>
    <w:rsid w:val="009577A0"/>
    <w:rsid w:val="00957F7B"/>
    <w:rsid w:val="009603DA"/>
    <w:rsid w:val="009604FF"/>
    <w:rsid w:val="00961392"/>
    <w:rsid w:val="00961C7F"/>
    <w:rsid w:val="00961D40"/>
    <w:rsid w:val="009620A5"/>
    <w:rsid w:val="00962758"/>
    <w:rsid w:val="0096446D"/>
    <w:rsid w:val="00964516"/>
    <w:rsid w:val="009647B1"/>
    <w:rsid w:val="00964BBB"/>
    <w:rsid w:val="00965544"/>
    <w:rsid w:val="00965826"/>
    <w:rsid w:val="00965B72"/>
    <w:rsid w:val="00965CA2"/>
    <w:rsid w:val="00965CBB"/>
    <w:rsid w:val="0096766A"/>
    <w:rsid w:val="009705E8"/>
    <w:rsid w:val="009729D0"/>
    <w:rsid w:val="0097388C"/>
    <w:rsid w:val="00974115"/>
    <w:rsid w:val="009745B8"/>
    <w:rsid w:val="00974810"/>
    <w:rsid w:val="00974AE6"/>
    <w:rsid w:val="009753A5"/>
    <w:rsid w:val="009760AD"/>
    <w:rsid w:val="009760B3"/>
    <w:rsid w:val="00977106"/>
    <w:rsid w:val="009777D6"/>
    <w:rsid w:val="0097783E"/>
    <w:rsid w:val="00977EA1"/>
    <w:rsid w:val="00980252"/>
    <w:rsid w:val="0098161A"/>
    <w:rsid w:val="0098179E"/>
    <w:rsid w:val="00981A3A"/>
    <w:rsid w:val="00981B11"/>
    <w:rsid w:val="00982C35"/>
    <w:rsid w:val="00982F08"/>
    <w:rsid w:val="0098307E"/>
    <w:rsid w:val="0098407A"/>
    <w:rsid w:val="00984E14"/>
    <w:rsid w:val="00985B8D"/>
    <w:rsid w:val="00987DAE"/>
    <w:rsid w:val="0099037D"/>
    <w:rsid w:val="00990C73"/>
    <w:rsid w:val="009924E2"/>
    <w:rsid w:val="009929CD"/>
    <w:rsid w:val="00992F13"/>
    <w:rsid w:val="00994C28"/>
    <w:rsid w:val="00994DFD"/>
    <w:rsid w:val="009953B1"/>
    <w:rsid w:val="009953CC"/>
    <w:rsid w:val="00995BE9"/>
    <w:rsid w:val="009963C5"/>
    <w:rsid w:val="0099695D"/>
    <w:rsid w:val="00996BA5"/>
    <w:rsid w:val="0099736E"/>
    <w:rsid w:val="009975E9"/>
    <w:rsid w:val="009A1801"/>
    <w:rsid w:val="009A3323"/>
    <w:rsid w:val="009A39E5"/>
    <w:rsid w:val="009A39F0"/>
    <w:rsid w:val="009A3D70"/>
    <w:rsid w:val="009A4FB8"/>
    <w:rsid w:val="009A54EF"/>
    <w:rsid w:val="009A6247"/>
    <w:rsid w:val="009A6409"/>
    <w:rsid w:val="009B04FE"/>
    <w:rsid w:val="009B0AF1"/>
    <w:rsid w:val="009B12AB"/>
    <w:rsid w:val="009B22D2"/>
    <w:rsid w:val="009B2B14"/>
    <w:rsid w:val="009B2FE4"/>
    <w:rsid w:val="009B32D1"/>
    <w:rsid w:val="009B33EB"/>
    <w:rsid w:val="009B3AB0"/>
    <w:rsid w:val="009B3C9A"/>
    <w:rsid w:val="009B4C27"/>
    <w:rsid w:val="009B583D"/>
    <w:rsid w:val="009B60C9"/>
    <w:rsid w:val="009B6CEF"/>
    <w:rsid w:val="009B7C74"/>
    <w:rsid w:val="009C15E0"/>
    <w:rsid w:val="009C2004"/>
    <w:rsid w:val="009C22EF"/>
    <w:rsid w:val="009C2B50"/>
    <w:rsid w:val="009C2C4A"/>
    <w:rsid w:val="009C2FEF"/>
    <w:rsid w:val="009C3558"/>
    <w:rsid w:val="009C4585"/>
    <w:rsid w:val="009C5348"/>
    <w:rsid w:val="009C56F8"/>
    <w:rsid w:val="009C57C9"/>
    <w:rsid w:val="009C62C1"/>
    <w:rsid w:val="009C693D"/>
    <w:rsid w:val="009C6D55"/>
    <w:rsid w:val="009C7A8E"/>
    <w:rsid w:val="009C7FD2"/>
    <w:rsid w:val="009D0E35"/>
    <w:rsid w:val="009D1089"/>
    <w:rsid w:val="009D134F"/>
    <w:rsid w:val="009D1530"/>
    <w:rsid w:val="009D320F"/>
    <w:rsid w:val="009D54AA"/>
    <w:rsid w:val="009D5AD4"/>
    <w:rsid w:val="009D6EC4"/>
    <w:rsid w:val="009D7334"/>
    <w:rsid w:val="009D73CE"/>
    <w:rsid w:val="009D7B46"/>
    <w:rsid w:val="009E0C68"/>
    <w:rsid w:val="009E0D7B"/>
    <w:rsid w:val="009E29AE"/>
    <w:rsid w:val="009E29C7"/>
    <w:rsid w:val="009E2BA0"/>
    <w:rsid w:val="009E306F"/>
    <w:rsid w:val="009E3231"/>
    <w:rsid w:val="009E334C"/>
    <w:rsid w:val="009E3615"/>
    <w:rsid w:val="009E38B1"/>
    <w:rsid w:val="009E4CFF"/>
    <w:rsid w:val="009E4D84"/>
    <w:rsid w:val="009E5562"/>
    <w:rsid w:val="009E5766"/>
    <w:rsid w:val="009E5C0D"/>
    <w:rsid w:val="009E5EF2"/>
    <w:rsid w:val="009E614C"/>
    <w:rsid w:val="009E6893"/>
    <w:rsid w:val="009E784D"/>
    <w:rsid w:val="009F0353"/>
    <w:rsid w:val="009F0CFC"/>
    <w:rsid w:val="009F1113"/>
    <w:rsid w:val="009F1A91"/>
    <w:rsid w:val="009F1CEC"/>
    <w:rsid w:val="009F3156"/>
    <w:rsid w:val="009F36CD"/>
    <w:rsid w:val="009F3A3A"/>
    <w:rsid w:val="009F3B91"/>
    <w:rsid w:val="009F4D8A"/>
    <w:rsid w:val="009F4F56"/>
    <w:rsid w:val="009F50A7"/>
    <w:rsid w:val="009F5713"/>
    <w:rsid w:val="009F6144"/>
    <w:rsid w:val="009F6CF2"/>
    <w:rsid w:val="009F70F1"/>
    <w:rsid w:val="009F7390"/>
    <w:rsid w:val="009F77F2"/>
    <w:rsid w:val="009F7945"/>
    <w:rsid w:val="009F7DF4"/>
    <w:rsid w:val="00A0033C"/>
    <w:rsid w:val="00A00666"/>
    <w:rsid w:val="00A00AE9"/>
    <w:rsid w:val="00A00CFC"/>
    <w:rsid w:val="00A00D14"/>
    <w:rsid w:val="00A00DAE"/>
    <w:rsid w:val="00A03CD7"/>
    <w:rsid w:val="00A03EFA"/>
    <w:rsid w:val="00A04835"/>
    <w:rsid w:val="00A04AAF"/>
    <w:rsid w:val="00A04B39"/>
    <w:rsid w:val="00A06ADD"/>
    <w:rsid w:val="00A07087"/>
    <w:rsid w:val="00A07863"/>
    <w:rsid w:val="00A11022"/>
    <w:rsid w:val="00A1199B"/>
    <w:rsid w:val="00A123D8"/>
    <w:rsid w:val="00A12B1D"/>
    <w:rsid w:val="00A12D9A"/>
    <w:rsid w:val="00A1315A"/>
    <w:rsid w:val="00A1345C"/>
    <w:rsid w:val="00A13F1B"/>
    <w:rsid w:val="00A149E7"/>
    <w:rsid w:val="00A1615E"/>
    <w:rsid w:val="00A17385"/>
    <w:rsid w:val="00A213C6"/>
    <w:rsid w:val="00A21B91"/>
    <w:rsid w:val="00A22175"/>
    <w:rsid w:val="00A225C0"/>
    <w:rsid w:val="00A2263D"/>
    <w:rsid w:val="00A22C49"/>
    <w:rsid w:val="00A22C52"/>
    <w:rsid w:val="00A237AC"/>
    <w:rsid w:val="00A23A8D"/>
    <w:rsid w:val="00A23EBE"/>
    <w:rsid w:val="00A24294"/>
    <w:rsid w:val="00A24689"/>
    <w:rsid w:val="00A24825"/>
    <w:rsid w:val="00A25103"/>
    <w:rsid w:val="00A257C2"/>
    <w:rsid w:val="00A26016"/>
    <w:rsid w:val="00A26491"/>
    <w:rsid w:val="00A2654E"/>
    <w:rsid w:val="00A276D4"/>
    <w:rsid w:val="00A277E3"/>
    <w:rsid w:val="00A27A44"/>
    <w:rsid w:val="00A31337"/>
    <w:rsid w:val="00A314A2"/>
    <w:rsid w:val="00A326C9"/>
    <w:rsid w:val="00A32C91"/>
    <w:rsid w:val="00A366F4"/>
    <w:rsid w:val="00A36967"/>
    <w:rsid w:val="00A372CC"/>
    <w:rsid w:val="00A3761A"/>
    <w:rsid w:val="00A40762"/>
    <w:rsid w:val="00A41A26"/>
    <w:rsid w:val="00A41CF0"/>
    <w:rsid w:val="00A42356"/>
    <w:rsid w:val="00A431E9"/>
    <w:rsid w:val="00A43774"/>
    <w:rsid w:val="00A43E25"/>
    <w:rsid w:val="00A44B44"/>
    <w:rsid w:val="00A44C61"/>
    <w:rsid w:val="00A45266"/>
    <w:rsid w:val="00A467A7"/>
    <w:rsid w:val="00A467D1"/>
    <w:rsid w:val="00A46830"/>
    <w:rsid w:val="00A47269"/>
    <w:rsid w:val="00A47776"/>
    <w:rsid w:val="00A47832"/>
    <w:rsid w:val="00A5003A"/>
    <w:rsid w:val="00A50F7A"/>
    <w:rsid w:val="00A518A3"/>
    <w:rsid w:val="00A52045"/>
    <w:rsid w:val="00A5225F"/>
    <w:rsid w:val="00A52D2F"/>
    <w:rsid w:val="00A53302"/>
    <w:rsid w:val="00A54149"/>
    <w:rsid w:val="00A544F1"/>
    <w:rsid w:val="00A54E46"/>
    <w:rsid w:val="00A553FE"/>
    <w:rsid w:val="00A5572F"/>
    <w:rsid w:val="00A55877"/>
    <w:rsid w:val="00A55E7A"/>
    <w:rsid w:val="00A567AB"/>
    <w:rsid w:val="00A56C2A"/>
    <w:rsid w:val="00A6021C"/>
    <w:rsid w:val="00A60272"/>
    <w:rsid w:val="00A60688"/>
    <w:rsid w:val="00A6076E"/>
    <w:rsid w:val="00A60C94"/>
    <w:rsid w:val="00A60D9F"/>
    <w:rsid w:val="00A6125C"/>
    <w:rsid w:val="00A61912"/>
    <w:rsid w:val="00A61AC4"/>
    <w:rsid w:val="00A62229"/>
    <w:rsid w:val="00A62304"/>
    <w:rsid w:val="00A62A68"/>
    <w:rsid w:val="00A62E0C"/>
    <w:rsid w:val="00A6305A"/>
    <w:rsid w:val="00A635F8"/>
    <w:rsid w:val="00A63848"/>
    <w:rsid w:val="00A63CD9"/>
    <w:rsid w:val="00A640D9"/>
    <w:rsid w:val="00A6440C"/>
    <w:rsid w:val="00A64F64"/>
    <w:rsid w:val="00A652DE"/>
    <w:rsid w:val="00A65567"/>
    <w:rsid w:val="00A656CF"/>
    <w:rsid w:val="00A6615A"/>
    <w:rsid w:val="00A70997"/>
    <w:rsid w:val="00A709A8"/>
    <w:rsid w:val="00A70A8B"/>
    <w:rsid w:val="00A70E3F"/>
    <w:rsid w:val="00A714A8"/>
    <w:rsid w:val="00A71F4E"/>
    <w:rsid w:val="00A725B1"/>
    <w:rsid w:val="00A72C45"/>
    <w:rsid w:val="00A733B5"/>
    <w:rsid w:val="00A733F1"/>
    <w:rsid w:val="00A736AC"/>
    <w:rsid w:val="00A746B1"/>
    <w:rsid w:val="00A74BB9"/>
    <w:rsid w:val="00A74D31"/>
    <w:rsid w:val="00A755B6"/>
    <w:rsid w:val="00A75C8F"/>
    <w:rsid w:val="00A75F57"/>
    <w:rsid w:val="00A7699B"/>
    <w:rsid w:val="00A801AD"/>
    <w:rsid w:val="00A808B7"/>
    <w:rsid w:val="00A80B2E"/>
    <w:rsid w:val="00A80B54"/>
    <w:rsid w:val="00A810C9"/>
    <w:rsid w:val="00A8153A"/>
    <w:rsid w:val="00A8177B"/>
    <w:rsid w:val="00A82AF5"/>
    <w:rsid w:val="00A83B7C"/>
    <w:rsid w:val="00A84353"/>
    <w:rsid w:val="00A84453"/>
    <w:rsid w:val="00A844CF"/>
    <w:rsid w:val="00A864C5"/>
    <w:rsid w:val="00A86735"/>
    <w:rsid w:val="00A86771"/>
    <w:rsid w:val="00A870D7"/>
    <w:rsid w:val="00A87994"/>
    <w:rsid w:val="00A87CCB"/>
    <w:rsid w:val="00A90497"/>
    <w:rsid w:val="00A90A23"/>
    <w:rsid w:val="00A91722"/>
    <w:rsid w:val="00A9198A"/>
    <w:rsid w:val="00A923FE"/>
    <w:rsid w:val="00A92722"/>
    <w:rsid w:val="00A92746"/>
    <w:rsid w:val="00A9284F"/>
    <w:rsid w:val="00A93933"/>
    <w:rsid w:val="00A939FC"/>
    <w:rsid w:val="00A953D5"/>
    <w:rsid w:val="00A95AC3"/>
    <w:rsid w:val="00A960E8"/>
    <w:rsid w:val="00A966E6"/>
    <w:rsid w:val="00A96741"/>
    <w:rsid w:val="00A968F4"/>
    <w:rsid w:val="00A96C19"/>
    <w:rsid w:val="00AA04CD"/>
    <w:rsid w:val="00AA0A30"/>
    <w:rsid w:val="00AA1C40"/>
    <w:rsid w:val="00AA20DC"/>
    <w:rsid w:val="00AA2258"/>
    <w:rsid w:val="00AA2B5C"/>
    <w:rsid w:val="00AA3D9B"/>
    <w:rsid w:val="00AA4CCE"/>
    <w:rsid w:val="00AA4F57"/>
    <w:rsid w:val="00AA56E6"/>
    <w:rsid w:val="00AA5B75"/>
    <w:rsid w:val="00AA71CF"/>
    <w:rsid w:val="00AA7AF0"/>
    <w:rsid w:val="00AA7CCE"/>
    <w:rsid w:val="00AB005B"/>
    <w:rsid w:val="00AB0359"/>
    <w:rsid w:val="00AB0553"/>
    <w:rsid w:val="00AB06C7"/>
    <w:rsid w:val="00AB098D"/>
    <w:rsid w:val="00AB0FE8"/>
    <w:rsid w:val="00AB171E"/>
    <w:rsid w:val="00AB2495"/>
    <w:rsid w:val="00AB249D"/>
    <w:rsid w:val="00AB2A56"/>
    <w:rsid w:val="00AB2B6A"/>
    <w:rsid w:val="00AB2BCF"/>
    <w:rsid w:val="00AB303C"/>
    <w:rsid w:val="00AB3341"/>
    <w:rsid w:val="00AB3C60"/>
    <w:rsid w:val="00AB54B8"/>
    <w:rsid w:val="00AB5878"/>
    <w:rsid w:val="00AB59CC"/>
    <w:rsid w:val="00AB5FDA"/>
    <w:rsid w:val="00AB69A9"/>
    <w:rsid w:val="00AB6B9D"/>
    <w:rsid w:val="00AB70A8"/>
    <w:rsid w:val="00AB7895"/>
    <w:rsid w:val="00AB7BA3"/>
    <w:rsid w:val="00AB7FF3"/>
    <w:rsid w:val="00AC023D"/>
    <w:rsid w:val="00AC046D"/>
    <w:rsid w:val="00AC0953"/>
    <w:rsid w:val="00AC1066"/>
    <w:rsid w:val="00AC1D3E"/>
    <w:rsid w:val="00AC2E52"/>
    <w:rsid w:val="00AC577B"/>
    <w:rsid w:val="00AC6DE9"/>
    <w:rsid w:val="00AC73B9"/>
    <w:rsid w:val="00AC7507"/>
    <w:rsid w:val="00AD17C0"/>
    <w:rsid w:val="00AD1BBB"/>
    <w:rsid w:val="00AD1E11"/>
    <w:rsid w:val="00AD2D0E"/>
    <w:rsid w:val="00AD37BA"/>
    <w:rsid w:val="00AD4454"/>
    <w:rsid w:val="00AD51AA"/>
    <w:rsid w:val="00AD5940"/>
    <w:rsid w:val="00AD5ADD"/>
    <w:rsid w:val="00AD5AE2"/>
    <w:rsid w:val="00AD5CBE"/>
    <w:rsid w:val="00AD5DFB"/>
    <w:rsid w:val="00AD6651"/>
    <w:rsid w:val="00AD677E"/>
    <w:rsid w:val="00AD6E55"/>
    <w:rsid w:val="00AD78A7"/>
    <w:rsid w:val="00AD7E0F"/>
    <w:rsid w:val="00AE0003"/>
    <w:rsid w:val="00AE051E"/>
    <w:rsid w:val="00AE1514"/>
    <w:rsid w:val="00AE2CF5"/>
    <w:rsid w:val="00AE2DC4"/>
    <w:rsid w:val="00AE3CF7"/>
    <w:rsid w:val="00AE419E"/>
    <w:rsid w:val="00AE4640"/>
    <w:rsid w:val="00AE46E1"/>
    <w:rsid w:val="00AE5300"/>
    <w:rsid w:val="00AE7624"/>
    <w:rsid w:val="00AE7E11"/>
    <w:rsid w:val="00AF028E"/>
    <w:rsid w:val="00AF113B"/>
    <w:rsid w:val="00AF1313"/>
    <w:rsid w:val="00AF1C77"/>
    <w:rsid w:val="00AF2630"/>
    <w:rsid w:val="00AF271A"/>
    <w:rsid w:val="00AF29B0"/>
    <w:rsid w:val="00AF327C"/>
    <w:rsid w:val="00AF3F76"/>
    <w:rsid w:val="00AF4CC4"/>
    <w:rsid w:val="00AF4DB2"/>
    <w:rsid w:val="00AF4E04"/>
    <w:rsid w:val="00AF5219"/>
    <w:rsid w:val="00AF536D"/>
    <w:rsid w:val="00AF543F"/>
    <w:rsid w:val="00AF5FDD"/>
    <w:rsid w:val="00AF6E06"/>
    <w:rsid w:val="00AF734E"/>
    <w:rsid w:val="00B001A7"/>
    <w:rsid w:val="00B007C7"/>
    <w:rsid w:val="00B01879"/>
    <w:rsid w:val="00B01B1A"/>
    <w:rsid w:val="00B03430"/>
    <w:rsid w:val="00B03F5A"/>
    <w:rsid w:val="00B04788"/>
    <w:rsid w:val="00B04D91"/>
    <w:rsid w:val="00B06276"/>
    <w:rsid w:val="00B06D81"/>
    <w:rsid w:val="00B0764E"/>
    <w:rsid w:val="00B07C47"/>
    <w:rsid w:val="00B10932"/>
    <w:rsid w:val="00B10ED5"/>
    <w:rsid w:val="00B10F55"/>
    <w:rsid w:val="00B11B2B"/>
    <w:rsid w:val="00B11C8D"/>
    <w:rsid w:val="00B11DDB"/>
    <w:rsid w:val="00B12540"/>
    <w:rsid w:val="00B127EF"/>
    <w:rsid w:val="00B1288A"/>
    <w:rsid w:val="00B12B40"/>
    <w:rsid w:val="00B12C45"/>
    <w:rsid w:val="00B14DAF"/>
    <w:rsid w:val="00B14F1B"/>
    <w:rsid w:val="00B152EA"/>
    <w:rsid w:val="00B15AC4"/>
    <w:rsid w:val="00B16F60"/>
    <w:rsid w:val="00B1728C"/>
    <w:rsid w:val="00B172ED"/>
    <w:rsid w:val="00B17398"/>
    <w:rsid w:val="00B17B7E"/>
    <w:rsid w:val="00B20467"/>
    <w:rsid w:val="00B20688"/>
    <w:rsid w:val="00B20A44"/>
    <w:rsid w:val="00B221BD"/>
    <w:rsid w:val="00B2297F"/>
    <w:rsid w:val="00B23652"/>
    <w:rsid w:val="00B23B09"/>
    <w:rsid w:val="00B23BB8"/>
    <w:rsid w:val="00B240DA"/>
    <w:rsid w:val="00B241B4"/>
    <w:rsid w:val="00B24728"/>
    <w:rsid w:val="00B24F5A"/>
    <w:rsid w:val="00B259B5"/>
    <w:rsid w:val="00B26002"/>
    <w:rsid w:val="00B266D1"/>
    <w:rsid w:val="00B269B6"/>
    <w:rsid w:val="00B26F5D"/>
    <w:rsid w:val="00B27124"/>
    <w:rsid w:val="00B27293"/>
    <w:rsid w:val="00B30C33"/>
    <w:rsid w:val="00B31BB3"/>
    <w:rsid w:val="00B3276E"/>
    <w:rsid w:val="00B3365F"/>
    <w:rsid w:val="00B33FD1"/>
    <w:rsid w:val="00B34119"/>
    <w:rsid w:val="00B350EA"/>
    <w:rsid w:val="00B35D0D"/>
    <w:rsid w:val="00B35F58"/>
    <w:rsid w:val="00B36A03"/>
    <w:rsid w:val="00B36B5E"/>
    <w:rsid w:val="00B3795E"/>
    <w:rsid w:val="00B40145"/>
    <w:rsid w:val="00B40A86"/>
    <w:rsid w:val="00B40F1E"/>
    <w:rsid w:val="00B40F49"/>
    <w:rsid w:val="00B418E2"/>
    <w:rsid w:val="00B41BC8"/>
    <w:rsid w:val="00B42AEF"/>
    <w:rsid w:val="00B43CD6"/>
    <w:rsid w:val="00B44A92"/>
    <w:rsid w:val="00B44AFE"/>
    <w:rsid w:val="00B44C60"/>
    <w:rsid w:val="00B45DD9"/>
    <w:rsid w:val="00B465F2"/>
    <w:rsid w:val="00B46DA8"/>
    <w:rsid w:val="00B46F53"/>
    <w:rsid w:val="00B47AAA"/>
    <w:rsid w:val="00B47BE8"/>
    <w:rsid w:val="00B50235"/>
    <w:rsid w:val="00B50440"/>
    <w:rsid w:val="00B504BD"/>
    <w:rsid w:val="00B50B2C"/>
    <w:rsid w:val="00B52809"/>
    <w:rsid w:val="00B5380B"/>
    <w:rsid w:val="00B53856"/>
    <w:rsid w:val="00B53B0F"/>
    <w:rsid w:val="00B54EFB"/>
    <w:rsid w:val="00B55037"/>
    <w:rsid w:val="00B56BB1"/>
    <w:rsid w:val="00B572C9"/>
    <w:rsid w:val="00B57E7F"/>
    <w:rsid w:val="00B600AA"/>
    <w:rsid w:val="00B602C4"/>
    <w:rsid w:val="00B606C9"/>
    <w:rsid w:val="00B61A37"/>
    <w:rsid w:val="00B61DA9"/>
    <w:rsid w:val="00B623F3"/>
    <w:rsid w:val="00B6307F"/>
    <w:rsid w:val="00B639C1"/>
    <w:rsid w:val="00B64BE4"/>
    <w:rsid w:val="00B64F7A"/>
    <w:rsid w:val="00B65DBC"/>
    <w:rsid w:val="00B66E83"/>
    <w:rsid w:val="00B6710E"/>
    <w:rsid w:val="00B67B23"/>
    <w:rsid w:val="00B67BED"/>
    <w:rsid w:val="00B67F02"/>
    <w:rsid w:val="00B7073E"/>
    <w:rsid w:val="00B709C1"/>
    <w:rsid w:val="00B732A9"/>
    <w:rsid w:val="00B74240"/>
    <w:rsid w:val="00B7433A"/>
    <w:rsid w:val="00B7588F"/>
    <w:rsid w:val="00B76BA0"/>
    <w:rsid w:val="00B778F8"/>
    <w:rsid w:val="00B77F4E"/>
    <w:rsid w:val="00B80CE8"/>
    <w:rsid w:val="00B81B73"/>
    <w:rsid w:val="00B82797"/>
    <w:rsid w:val="00B8342B"/>
    <w:rsid w:val="00B83AF5"/>
    <w:rsid w:val="00B83ED6"/>
    <w:rsid w:val="00B849F0"/>
    <w:rsid w:val="00B85D6E"/>
    <w:rsid w:val="00B85F0A"/>
    <w:rsid w:val="00B862DF"/>
    <w:rsid w:val="00B867A3"/>
    <w:rsid w:val="00B87E3B"/>
    <w:rsid w:val="00B902FB"/>
    <w:rsid w:val="00B90B28"/>
    <w:rsid w:val="00B9149C"/>
    <w:rsid w:val="00B91E5B"/>
    <w:rsid w:val="00B92FAD"/>
    <w:rsid w:val="00B9325D"/>
    <w:rsid w:val="00B93297"/>
    <w:rsid w:val="00B9373D"/>
    <w:rsid w:val="00B93FC6"/>
    <w:rsid w:val="00B9418E"/>
    <w:rsid w:val="00B9459E"/>
    <w:rsid w:val="00B94D94"/>
    <w:rsid w:val="00B95DD5"/>
    <w:rsid w:val="00B9684B"/>
    <w:rsid w:val="00B96F09"/>
    <w:rsid w:val="00B96FDD"/>
    <w:rsid w:val="00B97265"/>
    <w:rsid w:val="00B97537"/>
    <w:rsid w:val="00B97890"/>
    <w:rsid w:val="00B9791D"/>
    <w:rsid w:val="00B97B5B"/>
    <w:rsid w:val="00BA1409"/>
    <w:rsid w:val="00BA1562"/>
    <w:rsid w:val="00BA1760"/>
    <w:rsid w:val="00BA176B"/>
    <w:rsid w:val="00BA247C"/>
    <w:rsid w:val="00BA2B1E"/>
    <w:rsid w:val="00BA33A7"/>
    <w:rsid w:val="00BA3C96"/>
    <w:rsid w:val="00BA3F8D"/>
    <w:rsid w:val="00BA4751"/>
    <w:rsid w:val="00BA48B7"/>
    <w:rsid w:val="00BA52EC"/>
    <w:rsid w:val="00BA5EFA"/>
    <w:rsid w:val="00BA6527"/>
    <w:rsid w:val="00BA67B9"/>
    <w:rsid w:val="00BA6F03"/>
    <w:rsid w:val="00BA7096"/>
    <w:rsid w:val="00BA7152"/>
    <w:rsid w:val="00BA7788"/>
    <w:rsid w:val="00BB0039"/>
    <w:rsid w:val="00BB0578"/>
    <w:rsid w:val="00BB0B92"/>
    <w:rsid w:val="00BB133E"/>
    <w:rsid w:val="00BB1569"/>
    <w:rsid w:val="00BB1B6A"/>
    <w:rsid w:val="00BB1D7D"/>
    <w:rsid w:val="00BB242A"/>
    <w:rsid w:val="00BB35D3"/>
    <w:rsid w:val="00BB36A2"/>
    <w:rsid w:val="00BB3C9C"/>
    <w:rsid w:val="00BB472B"/>
    <w:rsid w:val="00BB4B8D"/>
    <w:rsid w:val="00BB62C5"/>
    <w:rsid w:val="00BB68B7"/>
    <w:rsid w:val="00BB6EFE"/>
    <w:rsid w:val="00BB6F5E"/>
    <w:rsid w:val="00BC0D4B"/>
    <w:rsid w:val="00BC0D84"/>
    <w:rsid w:val="00BC26C4"/>
    <w:rsid w:val="00BC2C18"/>
    <w:rsid w:val="00BC2C3D"/>
    <w:rsid w:val="00BC3095"/>
    <w:rsid w:val="00BC446F"/>
    <w:rsid w:val="00BC4847"/>
    <w:rsid w:val="00BC4C47"/>
    <w:rsid w:val="00BC57DB"/>
    <w:rsid w:val="00BC5A0C"/>
    <w:rsid w:val="00BC5E3B"/>
    <w:rsid w:val="00BC6115"/>
    <w:rsid w:val="00BC6258"/>
    <w:rsid w:val="00BC65D6"/>
    <w:rsid w:val="00BC6788"/>
    <w:rsid w:val="00BC6CD2"/>
    <w:rsid w:val="00BC782A"/>
    <w:rsid w:val="00BD0157"/>
    <w:rsid w:val="00BD09BC"/>
    <w:rsid w:val="00BD0ECD"/>
    <w:rsid w:val="00BD0F6D"/>
    <w:rsid w:val="00BD0F8C"/>
    <w:rsid w:val="00BD1450"/>
    <w:rsid w:val="00BD1641"/>
    <w:rsid w:val="00BD1D2B"/>
    <w:rsid w:val="00BD24F1"/>
    <w:rsid w:val="00BD2C1B"/>
    <w:rsid w:val="00BD2C9D"/>
    <w:rsid w:val="00BD3790"/>
    <w:rsid w:val="00BD39D8"/>
    <w:rsid w:val="00BD4DF1"/>
    <w:rsid w:val="00BD717B"/>
    <w:rsid w:val="00BE041C"/>
    <w:rsid w:val="00BE061C"/>
    <w:rsid w:val="00BE08A8"/>
    <w:rsid w:val="00BE1870"/>
    <w:rsid w:val="00BE1AC4"/>
    <w:rsid w:val="00BE26D8"/>
    <w:rsid w:val="00BE3126"/>
    <w:rsid w:val="00BE3D71"/>
    <w:rsid w:val="00BE4899"/>
    <w:rsid w:val="00BE503A"/>
    <w:rsid w:val="00BE5430"/>
    <w:rsid w:val="00BE5A24"/>
    <w:rsid w:val="00BE5B5A"/>
    <w:rsid w:val="00BE600D"/>
    <w:rsid w:val="00BE612D"/>
    <w:rsid w:val="00BE6446"/>
    <w:rsid w:val="00BF0C2F"/>
    <w:rsid w:val="00BF12D0"/>
    <w:rsid w:val="00BF1E6C"/>
    <w:rsid w:val="00BF227F"/>
    <w:rsid w:val="00BF2331"/>
    <w:rsid w:val="00BF2697"/>
    <w:rsid w:val="00BF333E"/>
    <w:rsid w:val="00BF3465"/>
    <w:rsid w:val="00BF359D"/>
    <w:rsid w:val="00BF3664"/>
    <w:rsid w:val="00BF4CF8"/>
    <w:rsid w:val="00BF5025"/>
    <w:rsid w:val="00BF6555"/>
    <w:rsid w:val="00BF681B"/>
    <w:rsid w:val="00BF6870"/>
    <w:rsid w:val="00BF705E"/>
    <w:rsid w:val="00BF77CE"/>
    <w:rsid w:val="00C000D5"/>
    <w:rsid w:val="00C0084C"/>
    <w:rsid w:val="00C00A0F"/>
    <w:rsid w:val="00C01419"/>
    <w:rsid w:val="00C0149C"/>
    <w:rsid w:val="00C0154D"/>
    <w:rsid w:val="00C015B9"/>
    <w:rsid w:val="00C02809"/>
    <w:rsid w:val="00C02A7D"/>
    <w:rsid w:val="00C02F2A"/>
    <w:rsid w:val="00C0345D"/>
    <w:rsid w:val="00C035B7"/>
    <w:rsid w:val="00C035F1"/>
    <w:rsid w:val="00C0362E"/>
    <w:rsid w:val="00C03D8C"/>
    <w:rsid w:val="00C04011"/>
    <w:rsid w:val="00C040F0"/>
    <w:rsid w:val="00C0443B"/>
    <w:rsid w:val="00C04463"/>
    <w:rsid w:val="00C047BA"/>
    <w:rsid w:val="00C0543D"/>
    <w:rsid w:val="00C05C9F"/>
    <w:rsid w:val="00C05E37"/>
    <w:rsid w:val="00C060E5"/>
    <w:rsid w:val="00C06AC6"/>
    <w:rsid w:val="00C07F72"/>
    <w:rsid w:val="00C10438"/>
    <w:rsid w:val="00C10AA5"/>
    <w:rsid w:val="00C10C81"/>
    <w:rsid w:val="00C11146"/>
    <w:rsid w:val="00C11369"/>
    <w:rsid w:val="00C118DB"/>
    <w:rsid w:val="00C11F30"/>
    <w:rsid w:val="00C12EDC"/>
    <w:rsid w:val="00C12F33"/>
    <w:rsid w:val="00C140FE"/>
    <w:rsid w:val="00C14E07"/>
    <w:rsid w:val="00C14E9C"/>
    <w:rsid w:val="00C15284"/>
    <w:rsid w:val="00C1603B"/>
    <w:rsid w:val="00C16BD1"/>
    <w:rsid w:val="00C16D9A"/>
    <w:rsid w:val="00C173FC"/>
    <w:rsid w:val="00C17454"/>
    <w:rsid w:val="00C1761C"/>
    <w:rsid w:val="00C21105"/>
    <w:rsid w:val="00C2130B"/>
    <w:rsid w:val="00C21690"/>
    <w:rsid w:val="00C218B1"/>
    <w:rsid w:val="00C21DFB"/>
    <w:rsid w:val="00C224FB"/>
    <w:rsid w:val="00C22640"/>
    <w:rsid w:val="00C227B4"/>
    <w:rsid w:val="00C22B6A"/>
    <w:rsid w:val="00C23083"/>
    <w:rsid w:val="00C23260"/>
    <w:rsid w:val="00C23F8E"/>
    <w:rsid w:val="00C24029"/>
    <w:rsid w:val="00C241A8"/>
    <w:rsid w:val="00C24396"/>
    <w:rsid w:val="00C24742"/>
    <w:rsid w:val="00C25096"/>
    <w:rsid w:val="00C250AA"/>
    <w:rsid w:val="00C257F5"/>
    <w:rsid w:val="00C260E3"/>
    <w:rsid w:val="00C2637D"/>
    <w:rsid w:val="00C302F6"/>
    <w:rsid w:val="00C3084E"/>
    <w:rsid w:val="00C314C5"/>
    <w:rsid w:val="00C31B4D"/>
    <w:rsid w:val="00C31FEB"/>
    <w:rsid w:val="00C32DCF"/>
    <w:rsid w:val="00C33098"/>
    <w:rsid w:val="00C334E1"/>
    <w:rsid w:val="00C33B2D"/>
    <w:rsid w:val="00C341D9"/>
    <w:rsid w:val="00C342B5"/>
    <w:rsid w:val="00C34447"/>
    <w:rsid w:val="00C34547"/>
    <w:rsid w:val="00C3532B"/>
    <w:rsid w:val="00C354AC"/>
    <w:rsid w:val="00C36ACD"/>
    <w:rsid w:val="00C36CC0"/>
    <w:rsid w:val="00C37083"/>
    <w:rsid w:val="00C372FE"/>
    <w:rsid w:val="00C407EA"/>
    <w:rsid w:val="00C408F6"/>
    <w:rsid w:val="00C40F2A"/>
    <w:rsid w:val="00C41480"/>
    <w:rsid w:val="00C4182A"/>
    <w:rsid w:val="00C41D9E"/>
    <w:rsid w:val="00C41FE2"/>
    <w:rsid w:val="00C42B8A"/>
    <w:rsid w:val="00C42E96"/>
    <w:rsid w:val="00C4345D"/>
    <w:rsid w:val="00C43ACA"/>
    <w:rsid w:val="00C44134"/>
    <w:rsid w:val="00C444D3"/>
    <w:rsid w:val="00C445E4"/>
    <w:rsid w:val="00C448D1"/>
    <w:rsid w:val="00C452EF"/>
    <w:rsid w:val="00C46912"/>
    <w:rsid w:val="00C46A84"/>
    <w:rsid w:val="00C46C2E"/>
    <w:rsid w:val="00C46E55"/>
    <w:rsid w:val="00C471B5"/>
    <w:rsid w:val="00C472E9"/>
    <w:rsid w:val="00C47A79"/>
    <w:rsid w:val="00C50833"/>
    <w:rsid w:val="00C517A4"/>
    <w:rsid w:val="00C51E41"/>
    <w:rsid w:val="00C523E0"/>
    <w:rsid w:val="00C53AF7"/>
    <w:rsid w:val="00C54353"/>
    <w:rsid w:val="00C54A7A"/>
    <w:rsid w:val="00C54D2F"/>
    <w:rsid w:val="00C55212"/>
    <w:rsid w:val="00C5546E"/>
    <w:rsid w:val="00C556DF"/>
    <w:rsid w:val="00C55E9D"/>
    <w:rsid w:val="00C56CE3"/>
    <w:rsid w:val="00C5782D"/>
    <w:rsid w:val="00C604DF"/>
    <w:rsid w:val="00C6057E"/>
    <w:rsid w:val="00C60626"/>
    <w:rsid w:val="00C6063F"/>
    <w:rsid w:val="00C60B7D"/>
    <w:rsid w:val="00C6180B"/>
    <w:rsid w:val="00C62583"/>
    <w:rsid w:val="00C64566"/>
    <w:rsid w:val="00C64E8B"/>
    <w:rsid w:val="00C6538F"/>
    <w:rsid w:val="00C655B9"/>
    <w:rsid w:val="00C661AD"/>
    <w:rsid w:val="00C66828"/>
    <w:rsid w:val="00C66871"/>
    <w:rsid w:val="00C669CA"/>
    <w:rsid w:val="00C66DB1"/>
    <w:rsid w:val="00C671A3"/>
    <w:rsid w:val="00C67FD4"/>
    <w:rsid w:val="00C7015D"/>
    <w:rsid w:val="00C701F0"/>
    <w:rsid w:val="00C7063B"/>
    <w:rsid w:val="00C71F8F"/>
    <w:rsid w:val="00C72F45"/>
    <w:rsid w:val="00C74E08"/>
    <w:rsid w:val="00C75C1A"/>
    <w:rsid w:val="00C7616C"/>
    <w:rsid w:val="00C7665A"/>
    <w:rsid w:val="00C76B5A"/>
    <w:rsid w:val="00C76F43"/>
    <w:rsid w:val="00C77BE2"/>
    <w:rsid w:val="00C80BFF"/>
    <w:rsid w:val="00C81846"/>
    <w:rsid w:val="00C81849"/>
    <w:rsid w:val="00C81BD5"/>
    <w:rsid w:val="00C82BCF"/>
    <w:rsid w:val="00C84042"/>
    <w:rsid w:val="00C841FE"/>
    <w:rsid w:val="00C842F0"/>
    <w:rsid w:val="00C8494D"/>
    <w:rsid w:val="00C84A04"/>
    <w:rsid w:val="00C855A9"/>
    <w:rsid w:val="00C85E3A"/>
    <w:rsid w:val="00C8621E"/>
    <w:rsid w:val="00C878B7"/>
    <w:rsid w:val="00C90E34"/>
    <w:rsid w:val="00C9114E"/>
    <w:rsid w:val="00C91DEF"/>
    <w:rsid w:val="00C91FAC"/>
    <w:rsid w:val="00C91FFE"/>
    <w:rsid w:val="00C92AB1"/>
    <w:rsid w:val="00C92B9A"/>
    <w:rsid w:val="00C92BC1"/>
    <w:rsid w:val="00C9378E"/>
    <w:rsid w:val="00C93D5C"/>
    <w:rsid w:val="00C93FC4"/>
    <w:rsid w:val="00C940A9"/>
    <w:rsid w:val="00C9418A"/>
    <w:rsid w:val="00C951F2"/>
    <w:rsid w:val="00C95272"/>
    <w:rsid w:val="00C95341"/>
    <w:rsid w:val="00C9623F"/>
    <w:rsid w:val="00C96717"/>
    <w:rsid w:val="00C96DAD"/>
    <w:rsid w:val="00C9762C"/>
    <w:rsid w:val="00C97AC0"/>
    <w:rsid w:val="00C97BB4"/>
    <w:rsid w:val="00C97CB1"/>
    <w:rsid w:val="00CA05E7"/>
    <w:rsid w:val="00CA2553"/>
    <w:rsid w:val="00CA329A"/>
    <w:rsid w:val="00CA32B3"/>
    <w:rsid w:val="00CA3B7D"/>
    <w:rsid w:val="00CA4165"/>
    <w:rsid w:val="00CA485F"/>
    <w:rsid w:val="00CA494C"/>
    <w:rsid w:val="00CA4B58"/>
    <w:rsid w:val="00CA4F7C"/>
    <w:rsid w:val="00CA57BB"/>
    <w:rsid w:val="00CA5E3F"/>
    <w:rsid w:val="00CA5EBD"/>
    <w:rsid w:val="00CA5EBF"/>
    <w:rsid w:val="00CA693C"/>
    <w:rsid w:val="00CA7274"/>
    <w:rsid w:val="00CB0553"/>
    <w:rsid w:val="00CB099A"/>
    <w:rsid w:val="00CB0B4A"/>
    <w:rsid w:val="00CB151A"/>
    <w:rsid w:val="00CB1DCB"/>
    <w:rsid w:val="00CB1ECC"/>
    <w:rsid w:val="00CB23C1"/>
    <w:rsid w:val="00CB2814"/>
    <w:rsid w:val="00CB2F2F"/>
    <w:rsid w:val="00CB35D1"/>
    <w:rsid w:val="00CB3FA8"/>
    <w:rsid w:val="00CB4609"/>
    <w:rsid w:val="00CB4D69"/>
    <w:rsid w:val="00CB661B"/>
    <w:rsid w:val="00CB68D8"/>
    <w:rsid w:val="00CB6A6C"/>
    <w:rsid w:val="00CB6E0A"/>
    <w:rsid w:val="00CB7D13"/>
    <w:rsid w:val="00CC05C3"/>
    <w:rsid w:val="00CC18A4"/>
    <w:rsid w:val="00CC1C08"/>
    <w:rsid w:val="00CC1D87"/>
    <w:rsid w:val="00CC22B7"/>
    <w:rsid w:val="00CC26A2"/>
    <w:rsid w:val="00CC2C14"/>
    <w:rsid w:val="00CC41AC"/>
    <w:rsid w:val="00CC49A4"/>
    <w:rsid w:val="00CC72EB"/>
    <w:rsid w:val="00CC783F"/>
    <w:rsid w:val="00CC7D27"/>
    <w:rsid w:val="00CD09B7"/>
    <w:rsid w:val="00CD0E19"/>
    <w:rsid w:val="00CD1BE0"/>
    <w:rsid w:val="00CD28F4"/>
    <w:rsid w:val="00CD2B27"/>
    <w:rsid w:val="00CD3DF8"/>
    <w:rsid w:val="00CD666B"/>
    <w:rsid w:val="00CD6EF5"/>
    <w:rsid w:val="00CD7695"/>
    <w:rsid w:val="00CE0D79"/>
    <w:rsid w:val="00CE0DCA"/>
    <w:rsid w:val="00CE169A"/>
    <w:rsid w:val="00CE16F6"/>
    <w:rsid w:val="00CE1D93"/>
    <w:rsid w:val="00CE2655"/>
    <w:rsid w:val="00CE2EDE"/>
    <w:rsid w:val="00CE368E"/>
    <w:rsid w:val="00CE3722"/>
    <w:rsid w:val="00CE3946"/>
    <w:rsid w:val="00CE4794"/>
    <w:rsid w:val="00CE4D58"/>
    <w:rsid w:val="00CE604D"/>
    <w:rsid w:val="00CE64D7"/>
    <w:rsid w:val="00CE69AD"/>
    <w:rsid w:val="00CE73D0"/>
    <w:rsid w:val="00CF008A"/>
    <w:rsid w:val="00CF106F"/>
    <w:rsid w:val="00CF1254"/>
    <w:rsid w:val="00CF2CBF"/>
    <w:rsid w:val="00CF342B"/>
    <w:rsid w:val="00CF4184"/>
    <w:rsid w:val="00CF4656"/>
    <w:rsid w:val="00CF4A0D"/>
    <w:rsid w:val="00CF5109"/>
    <w:rsid w:val="00CF5560"/>
    <w:rsid w:val="00CF577D"/>
    <w:rsid w:val="00CF633D"/>
    <w:rsid w:val="00CF6937"/>
    <w:rsid w:val="00CF71D4"/>
    <w:rsid w:val="00CF7304"/>
    <w:rsid w:val="00CF74BA"/>
    <w:rsid w:val="00CF7C86"/>
    <w:rsid w:val="00D005D9"/>
    <w:rsid w:val="00D00CBB"/>
    <w:rsid w:val="00D00E29"/>
    <w:rsid w:val="00D011F5"/>
    <w:rsid w:val="00D015EF"/>
    <w:rsid w:val="00D0181E"/>
    <w:rsid w:val="00D0192E"/>
    <w:rsid w:val="00D019E3"/>
    <w:rsid w:val="00D01AB7"/>
    <w:rsid w:val="00D02B47"/>
    <w:rsid w:val="00D02B8D"/>
    <w:rsid w:val="00D02E21"/>
    <w:rsid w:val="00D039E8"/>
    <w:rsid w:val="00D03BFD"/>
    <w:rsid w:val="00D03F72"/>
    <w:rsid w:val="00D0431B"/>
    <w:rsid w:val="00D04AB6"/>
    <w:rsid w:val="00D06534"/>
    <w:rsid w:val="00D07C1F"/>
    <w:rsid w:val="00D07E9B"/>
    <w:rsid w:val="00D10401"/>
    <w:rsid w:val="00D1095C"/>
    <w:rsid w:val="00D11278"/>
    <w:rsid w:val="00D11A09"/>
    <w:rsid w:val="00D12974"/>
    <w:rsid w:val="00D12D67"/>
    <w:rsid w:val="00D1313E"/>
    <w:rsid w:val="00D1355E"/>
    <w:rsid w:val="00D1361E"/>
    <w:rsid w:val="00D138D3"/>
    <w:rsid w:val="00D1396F"/>
    <w:rsid w:val="00D14AE5"/>
    <w:rsid w:val="00D1520B"/>
    <w:rsid w:val="00D165FD"/>
    <w:rsid w:val="00D16B6A"/>
    <w:rsid w:val="00D16E12"/>
    <w:rsid w:val="00D175B3"/>
    <w:rsid w:val="00D17847"/>
    <w:rsid w:val="00D2023C"/>
    <w:rsid w:val="00D20E5F"/>
    <w:rsid w:val="00D210FF"/>
    <w:rsid w:val="00D215BA"/>
    <w:rsid w:val="00D228DC"/>
    <w:rsid w:val="00D24812"/>
    <w:rsid w:val="00D24C01"/>
    <w:rsid w:val="00D2570E"/>
    <w:rsid w:val="00D2598B"/>
    <w:rsid w:val="00D25C87"/>
    <w:rsid w:val="00D26106"/>
    <w:rsid w:val="00D2610A"/>
    <w:rsid w:val="00D26399"/>
    <w:rsid w:val="00D26417"/>
    <w:rsid w:val="00D269A2"/>
    <w:rsid w:val="00D26DAD"/>
    <w:rsid w:val="00D26EEE"/>
    <w:rsid w:val="00D27594"/>
    <w:rsid w:val="00D27A49"/>
    <w:rsid w:val="00D27CFB"/>
    <w:rsid w:val="00D27D66"/>
    <w:rsid w:val="00D30A8B"/>
    <w:rsid w:val="00D30F74"/>
    <w:rsid w:val="00D30F81"/>
    <w:rsid w:val="00D3138F"/>
    <w:rsid w:val="00D31B2A"/>
    <w:rsid w:val="00D3203A"/>
    <w:rsid w:val="00D32846"/>
    <w:rsid w:val="00D3423A"/>
    <w:rsid w:val="00D3423E"/>
    <w:rsid w:val="00D34367"/>
    <w:rsid w:val="00D345B4"/>
    <w:rsid w:val="00D34771"/>
    <w:rsid w:val="00D365D5"/>
    <w:rsid w:val="00D369FC"/>
    <w:rsid w:val="00D36B27"/>
    <w:rsid w:val="00D36C8F"/>
    <w:rsid w:val="00D37321"/>
    <w:rsid w:val="00D37497"/>
    <w:rsid w:val="00D40663"/>
    <w:rsid w:val="00D4081E"/>
    <w:rsid w:val="00D41914"/>
    <w:rsid w:val="00D421E4"/>
    <w:rsid w:val="00D43464"/>
    <w:rsid w:val="00D440EA"/>
    <w:rsid w:val="00D44DDA"/>
    <w:rsid w:val="00D44FCD"/>
    <w:rsid w:val="00D4500F"/>
    <w:rsid w:val="00D45765"/>
    <w:rsid w:val="00D458A7"/>
    <w:rsid w:val="00D46DDE"/>
    <w:rsid w:val="00D50C24"/>
    <w:rsid w:val="00D52D4D"/>
    <w:rsid w:val="00D52E6D"/>
    <w:rsid w:val="00D534DD"/>
    <w:rsid w:val="00D535CE"/>
    <w:rsid w:val="00D54D1C"/>
    <w:rsid w:val="00D54E64"/>
    <w:rsid w:val="00D55545"/>
    <w:rsid w:val="00D56059"/>
    <w:rsid w:val="00D5654C"/>
    <w:rsid w:val="00D56E07"/>
    <w:rsid w:val="00D60188"/>
    <w:rsid w:val="00D606D5"/>
    <w:rsid w:val="00D61F07"/>
    <w:rsid w:val="00D61F43"/>
    <w:rsid w:val="00D623C9"/>
    <w:rsid w:val="00D625C0"/>
    <w:rsid w:val="00D63C64"/>
    <w:rsid w:val="00D646D1"/>
    <w:rsid w:val="00D65246"/>
    <w:rsid w:val="00D65DD1"/>
    <w:rsid w:val="00D662C6"/>
    <w:rsid w:val="00D6633E"/>
    <w:rsid w:val="00D67332"/>
    <w:rsid w:val="00D67A10"/>
    <w:rsid w:val="00D67A59"/>
    <w:rsid w:val="00D70658"/>
    <w:rsid w:val="00D707E8"/>
    <w:rsid w:val="00D71965"/>
    <w:rsid w:val="00D71A7C"/>
    <w:rsid w:val="00D71D25"/>
    <w:rsid w:val="00D72960"/>
    <w:rsid w:val="00D72E84"/>
    <w:rsid w:val="00D73301"/>
    <w:rsid w:val="00D734A0"/>
    <w:rsid w:val="00D73D4A"/>
    <w:rsid w:val="00D73F68"/>
    <w:rsid w:val="00D741A7"/>
    <w:rsid w:val="00D75456"/>
    <w:rsid w:val="00D75467"/>
    <w:rsid w:val="00D765FA"/>
    <w:rsid w:val="00D7696A"/>
    <w:rsid w:val="00D777DB"/>
    <w:rsid w:val="00D77E23"/>
    <w:rsid w:val="00D80A5E"/>
    <w:rsid w:val="00D8172D"/>
    <w:rsid w:val="00D81BC0"/>
    <w:rsid w:val="00D81C50"/>
    <w:rsid w:val="00D82117"/>
    <w:rsid w:val="00D82316"/>
    <w:rsid w:val="00D82A05"/>
    <w:rsid w:val="00D830F2"/>
    <w:rsid w:val="00D836C9"/>
    <w:rsid w:val="00D83906"/>
    <w:rsid w:val="00D8393C"/>
    <w:rsid w:val="00D83DB6"/>
    <w:rsid w:val="00D851B8"/>
    <w:rsid w:val="00D86369"/>
    <w:rsid w:val="00D86AE6"/>
    <w:rsid w:val="00D872FB"/>
    <w:rsid w:val="00D8780D"/>
    <w:rsid w:val="00D9054F"/>
    <w:rsid w:val="00D91E0C"/>
    <w:rsid w:val="00D922AF"/>
    <w:rsid w:val="00D92471"/>
    <w:rsid w:val="00D92A44"/>
    <w:rsid w:val="00D93121"/>
    <w:rsid w:val="00D93401"/>
    <w:rsid w:val="00D93974"/>
    <w:rsid w:val="00D941DC"/>
    <w:rsid w:val="00D9442F"/>
    <w:rsid w:val="00D944E6"/>
    <w:rsid w:val="00D94BAE"/>
    <w:rsid w:val="00D958A7"/>
    <w:rsid w:val="00D968B1"/>
    <w:rsid w:val="00D977F5"/>
    <w:rsid w:val="00D97885"/>
    <w:rsid w:val="00D9788B"/>
    <w:rsid w:val="00DA1A81"/>
    <w:rsid w:val="00DA4312"/>
    <w:rsid w:val="00DA46CA"/>
    <w:rsid w:val="00DA54FA"/>
    <w:rsid w:val="00DA6548"/>
    <w:rsid w:val="00DA65CB"/>
    <w:rsid w:val="00DA6C37"/>
    <w:rsid w:val="00DA6CBD"/>
    <w:rsid w:val="00DA6F3F"/>
    <w:rsid w:val="00DA70F0"/>
    <w:rsid w:val="00DA715F"/>
    <w:rsid w:val="00DA75D8"/>
    <w:rsid w:val="00DB0AD1"/>
    <w:rsid w:val="00DB10A7"/>
    <w:rsid w:val="00DB17FA"/>
    <w:rsid w:val="00DB189B"/>
    <w:rsid w:val="00DB2AD6"/>
    <w:rsid w:val="00DB2E09"/>
    <w:rsid w:val="00DB4683"/>
    <w:rsid w:val="00DB4DAB"/>
    <w:rsid w:val="00DB5F09"/>
    <w:rsid w:val="00DC008D"/>
    <w:rsid w:val="00DC031E"/>
    <w:rsid w:val="00DC0581"/>
    <w:rsid w:val="00DC0C7B"/>
    <w:rsid w:val="00DC1655"/>
    <w:rsid w:val="00DC1B5C"/>
    <w:rsid w:val="00DC1CC0"/>
    <w:rsid w:val="00DC2191"/>
    <w:rsid w:val="00DC2270"/>
    <w:rsid w:val="00DC2353"/>
    <w:rsid w:val="00DC28AC"/>
    <w:rsid w:val="00DC2D6D"/>
    <w:rsid w:val="00DC3423"/>
    <w:rsid w:val="00DC3A5B"/>
    <w:rsid w:val="00DC3D01"/>
    <w:rsid w:val="00DC413C"/>
    <w:rsid w:val="00DC475C"/>
    <w:rsid w:val="00DC497D"/>
    <w:rsid w:val="00DC4CBF"/>
    <w:rsid w:val="00DC5141"/>
    <w:rsid w:val="00DC5239"/>
    <w:rsid w:val="00DC5C3B"/>
    <w:rsid w:val="00DC7287"/>
    <w:rsid w:val="00DC7566"/>
    <w:rsid w:val="00DC78AA"/>
    <w:rsid w:val="00DC78AD"/>
    <w:rsid w:val="00DD00CE"/>
    <w:rsid w:val="00DD1ACB"/>
    <w:rsid w:val="00DD1C8F"/>
    <w:rsid w:val="00DD1CE5"/>
    <w:rsid w:val="00DD2760"/>
    <w:rsid w:val="00DD3453"/>
    <w:rsid w:val="00DD5006"/>
    <w:rsid w:val="00DD5D28"/>
    <w:rsid w:val="00DD623D"/>
    <w:rsid w:val="00DD6A32"/>
    <w:rsid w:val="00DE0393"/>
    <w:rsid w:val="00DE08B6"/>
    <w:rsid w:val="00DE1999"/>
    <w:rsid w:val="00DE270A"/>
    <w:rsid w:val="00DE2A2C"/>
    <w:rsid w:val="00DE3626"/>
    <w:rsid w:val="00DE3F8C"/>
    <w:rsid w:val="00DE4E2D"/>
    <w:rsid w:val="00DE4F5D"/>
    <w:rsid w:val="00DE5CA3"/>
    <w:rsid w:val="00DE6571"/>
    <w:rsid w:val="00DE6821"/>
    <w:rsid w:val="00DE6F84"/>
    <w:rsid w:val="00DE7049"/>
    <w:rsid w:val="00DE7553"/>
    <w:rsid w:val="00DE78BB"/>
    <w:rsid w:val="00DF03C6"/>
    <w:rsid w:val="00DF04E9"/>
    <w:rsid w:val="00DF09D5"/>
    <w:rsid w:val="00DF0CEE"/>
    <w:rsid w:val="00DF12A5"/>
    <w:rsid w:val="00DF1BDA"/>
    <w:rsid w:val="00DF2A4B"/>
    <w:rsid w:val="00DF2E57"/>
    <w:rsid w:val="00DF4270"/>
    <w:rsid w:val="00DF45D3"/>
    <w:rsid w:val="00DF463A"/>
    <w:rsid w:val="00DF52CE"/>
    <w:rsid w:val="00DF543E"/>
    <w:rsid w:val="00DF566D"/>
    <w:rsid w:val="00DF5EE7"/>
    <w:rsid w:val="00DF6A8E"/>
    <w:rsid w:val="00DF7062"/>
    <w:rsid w:val="00E00358"/>
    <w:rsid w:val="00E005F0"/>
    <w:rsid w:val="00E0064E"/>
    <w:rsid w:val="00E00BBF"/>
    <w:rsid w:val="00E01EB3"/>
    <w:rsid w:val="00E02788"/>
    <w:rsid w:val="00E028D6"/>
    <w:rsid w:val="00E0318A"/>
    <w:rsid w:val="00E03422"/>
    <w:rsid w:val="00E0461E"/>
    <w:rsid w:val="00E04EFB"/>
    <w:rsid w:val="00E06418"/>
    <w:rsid w:val="00E06A34"/>
    <w:rsid w:val="00E079F4"/>
    <w:rsid w:val="00E1059B"/>
    <w:rsid w:val="00E1066C"/>
    <w:rsid w:val="00E10DD6"/>
    <w:rsid w:val="00E10DF9"/>
    <w:rsid w:val="00E11AF0"/>
    <w:rsid w:val="00E12362"/>
    <w:rsid w:val="00E13088"/>
    <w:rsid w:val="00E13134"/>
    <w:rsid w:val="00E1372C"/>
    <w:rsid w:val="00E13AFD"/>
    <w:rsid w:val="00E13D3D"/>
    <w:rsid w:val="00E13ED5"/>
    <w:rsid w:val="00E14432"/>
    <w:rsid w:val="00E148ED"/>
    <w:rsid w:val="00E155A4"/>
    <w:rsid w:val="00E164F6"/>
    <w:rsid w:val="00E16F63"/>
    <w:rsid w:val="00E17271"/>
    <w:rsid w:val="00E211C1"/>
    <w:rsid w:val="00E21BFC"/>
    <w:rsid w:val="00E22FD1"/>
    <w:rsid w:val="00E2359B"/>
    <w:rsid w:val="00E2359E"/>
    <w:rsid w:val="00E23607"/>
    <w:rsid w:val="00E24CDE"/>
    <w:rsid w:val="00E252E5"/>
    <w:rsid w:val="00E25A55"/>
    <w:rsid w:val="00E25B46"/>
    <w:rsid w:val="00E25D92"/>
    <w:rsid w:val="00E271D8"/>
    <w:rsid w:val="00E2747B"/>
    <w:rsid w:val="00E27617"/>
    <w:rsid w:val="00E2768D"/>
    <w:rsid w:val="00E30994"/>
    <w:rsid w:val="00E30E8A"/>
    <w:rsid w:val="00E3118A"/>
    <w:rsid w:val="00E32532"/>
    <w:rsid w:val="00E33525"/>
    <w:rsid w:val="00E33855"/>
    <w:rsid w:val="00E33978"/>
    <w:rsid w:val="00E33A50"/>
    <w:rsid w:val="00E34638"/>
    <w:rsid w:val="00E34EDD"/>
    <w:rsid w:val="00E3576A"/>
    <w:rsid w:val="00E373D4"/>
    <w:rsid w:val="00E3777E"/>
    <w:rsid w:val="00E379CD"/>
    <w:rsid w:val="00E37B38"/>
    <w:rsid w:val="00E37BF6"/>
    <w:rsid w:val="00E41541"/>
    <w:rsid w:val="00E41A56"/>
    <w:rsid w:val="00E4371B"/>
    <w:rsid w:val="00E4401B"/>
    <w:rsid w:val="00E447F7"/>
    <w:rsid w:val="00E46BF4"/>
    <w:rsid w:val="00E46E9E"/>
    <w:rsid w:val="00E50CDF"/>
    <w:rsid w:val="00E510E6"/>
    <w:rsid w:val="00E527F2"/>
    <w:rsid w:val="00E53126"/>
    <w:rsid w:val="00E5359A"/>
    <w:rsid w:val="00E5385C"/>
    <w:rsid w:val="00E53D83"/>
    <w:rsid w:val="00E545AE"/>
    <w:rsid w:val="00E54ACC"/>
    <w:rsid w:val="00E54B1E"/>
    <w:rsid w:val="00E54EF6"/>
    <w:rsid w:val="00E5618A"/>
    <w:rsid w:val="00E561CF"/>
    <w:rsid w:val="00E56851"/>
    <w:rsid w:val="00E56A52"/>
    <w:rsid w:val="00E57128"/>
    <w:rsid w:val="00E57163"/>
    <w:rsid w:val="00E57186"/>
    <w:rsid w:val="00E573FD"/>
    <w:rsid w:val="00E57479"/>
    <w:rsid w:val="00E57495"/>
    <w:rsid w:val="00E606A6"/>
    <w:rsid w:val="00E60848"/>
    <w:rsid w:val="00E60A4B"/>
    <w:rsid w:val="00E615FB"/>
    <w:rsid w:val="00E62302"/>
    <w:rsid w:val="00E630D9"/>
    <w:rsid w:val="00E639B0"/>
    <w:rsid w:val="00E63B37"/>
    <w:rsid w:val="00E63BE4"/>
    <w:rsid w:val="00E63DBA"/>
    <w:rsid w:val="00E64119"/>
    <w:rsid w:val="00E64C5B"/>
    <w:rsid w:val="00E65045"/>
    <w:rsid w:val="00E664AC"/>
    <w:rsid w:val="00E669DA"/>
    <w:rsid w:val="00E66BF2"/>
    <w:rsid w:val="00E670ED"/>
    <w:rsid w:val="00E677E0"/>
    <w:rsid w:val="00E67A2B"/>
    <w:rsid w:val="00E67B19"/>
    <w:rsid w:val="00E67DD5"/>
    <w:rsid w:val="00E7000C"/>
    <w:rsid w:val="00E700EB"/>
    <w:rsid w:val="00E70B00"/>
    <w:rsid w:val="00E70B2F"/>
    <w:rsid w:val="00E70B3B"/>
    <w:rsid w:val="00E70DE1"/>
    <w:rsid w:val="00E71925"/>
    <w:rsid w:val="00E71E27"/>
    <w:rsid w:val="00E72AE4"/>
    <w:rsid w:val="00E73C98"/>
    <w:rsid w:val="00E74030"/>
    <w:rsid w:val="00E757D9"/>
    <w:rsid w:val="00E75DFA"/>
    <w:rsid w:val="00E7655D"/>
    <w:rsid w:val="00E769CB"/>
    <w:rsid w:val="00E76DE0"/>
    <w:rsid w:val="00E774E4"/>
    <w:rsid w:val="00E77D66"/>
    <w:rsid w:val="00E77F96"/>
    <w:rsid w:val="00E77FE6"/>
    <w:rsid w:val="00E80EBA"/>
    <w:rsid w:val="00E81527"/>
    <w:rsid w:val="00E81ADA"/>
    <w:rsid w:val="00E82E34"/>
    <w:rsid w:val="00E84140"/>
    <w:rsid w:val="00E841C7"/>
    <w:rsid w:val="00E84D2D"/>
    <w:rsid w:val="00E85BEA"/>
    <w:rsid w:val="00E85F7C"/>
    <w:rsid w:val="00E864CC"/>
    <w:rsid w:val="00E8729C"/>
    <w:rsid w:val="00E873A5"/>
    <w:rsid w:val="00E90F01"/>
    <w:rsid w:val="00E92371"/>
    <w:rsid w:val="00E92404"/>
    <w:rsid w:val="00E92929"/>
    <w:rsid w:val="00E929AA"/>
    <w:rsid w:val="00E92C24"/>
    <w:rsid w:val="00E932E5"/>
    <w:rsid w:val="00E950B5"/>
    <w:rsid w:val="00E95CA4"/>
    <w:rsid w:val="00E95E22"/>
    <w:rsid w:val="00E96514"/>
    <w:rsid w:val="00E96634"/>
    <w:rsid w:val="00E96B57"/>
    <w:rsid w:val="00E96B5A"/>
    <w:rsid w:val="00E97346"/>
    <w:rsid w:val="00E975D6"/>
    <w:rsid w:val="00E97B10"/>
    <w:rsid w:val="00E97B8D"/>
    <w:rsid w:val="00E97DD0"/>
    <w:rsid w:val="00EA07EC"/>
    <w:rsid w:val="00EA0F34"/>
    <w:rsid w:val="00EA145A"/>
    <w:rsid w:val="00EA17D5"/>
    <w:rsid w:val="00EA1A64"/>
    <w:rsid w:val="00EA2558"/>
    <w:rsid w:val="00EA2891"/>
    <w:rsid w:val="00EA2A89"/>
    <w:rsid w:val="00EA2C63"/>
    <w:rsid w:val="00EA3789"/>
    <w:rsid w:val="00EA4B07"/>
    <w:rsid w:val="00EA6621"/>
    <w:rsid w:val="00EA7151"/>
    <w:rsid w:val="00EA7389"/>
    <w:rsid w:val="00EB3E29"/>
    <w:rsid w:val="00EB548A"/>
    <w:rsid w:val="00EB5EB4"/>
    <w:rsid w:val="00EB6752"/>
    <w:rsid w:val="00EB67E5"/>
    <w:rsid w:val="00EB791A"/>
    <w:rsid w:val="00EB7F35"/>
    <w:rsid w:val="00EC07CE"/>
    <w:rsid w:val="00EC0D0A"/>
    <w:rsid w:val="00EC251F"/>
    <w:rsid w:val="00EC304D"/>
    <w:rsid w:val="00EC470D"/>
    <w:rsid w:val="00EC4F83"/>
    <w:rsid w:val="00EC5C6B"/>
    <w:rsid w:val="00EC5D5D"/>
    <w:rsid w:val="00EC712B"/>
    <w:rsid w:val="00ED01B3"/>
    <w:rsid w:val="00ED0BE4"/>
    <w:rsid w:val="00ED19A7"/>
    <w:rsid w:val="00ED230E"/>
    <w:rsid w:val="00ED23D7"/>
    <w:rsid w:val="00ED2567"/>
    <w:rsid w:val="00ED2E0C"/>
    <w:rsid w:val="00ED3195"/>
    <w:rsid w:val="00ED4525"/>
    <w:rsid w:val="00ED582D"/>
    <w:rsid w:val="00ED5834"/>
    <w:rsid w:val="00ED5AD5"/>
    <w:rsid w:val="00ED60D4"/>
    <w:rsid w:val="00ED6BD7"/>
    <w:rsid w:val="00ED7347"/>
    <w:rsid w:val="00ED7B2B"/>
    <w:rsid w:val="00EE19E9"/>
    <w:rsid w:val="00EE1DAA"/>
    <w:rsid w:val="00EE1F35"/>
    <w:rsid w:val="00EE2C42"/>
    <w:rsid w:val="00EE2CFD"/>
    <w:rsid w:val="00EE3241"/>
    <w:rsid w:val="00EE404D"/>
    <w:rsid w:val="00EE4756"/>
    <w:rsid w:val="00EE5455"/>
    <w:rsid w:val="00EE58B7"/>
    <w:rsid w:val="00EE5F04"/>
    <w:rsid w:val="00EE6912"/>
    <w:rsid w:val="00EE6B49"/>
    <w:rsid w:val="00EE6ECA"/>
    <w:rsid w:val="00EE7EE2"/>
    <w:rsid w:val="00EF017B"/>
    <w:rsid w:val="00EF01C7"/>
    <w:rsid w:val="00EF07A0"/>
    <w:rsid w:val="00EF07B8"/>
    <w:rsid w:val="00EF0D05"/>
    <w:rsid w:val="00EF1C1F"/>
    <w:rsid w:val="00EF1FF5"/>
    <w:rsid w:val="00EF2714"/>
    <w:rsid w:val="00EF4423"/>
    <w:rsid w:val="00EF483B"/>
    <w:rsid w:val="00EF52BD"/>
    <w:rsid w:val="00EF5738"/>
    <w:rsid w:val="00EF5EA7"/>
    <w:rsid w:val="00EF5EDC"/>
    <w:rsid w:val="00EF644C"/>
    <w:rsid w:val="00EF6461"/>
    <w:rsid w:val="00EF73EB"/>
    <w:rsid w:val="00F006FF"/>
    <w:rsid w:val="00F01DFF"/>
    <w:rsid w:val="00F02044"/>
    <w:rsid w:val="00F023E9"/>
    <w:rsid w:val="00F02407"/>
    <w:rsid w:val="00F02B0A"/>
    <w:rsid w:val="00F0346B"/>
    <w:rsid w:val="00F03C0B"/>
    <w:rsid w:val="00F04088"/>
    <w:rsid w:val="00F04CA1"/>
    <w:rsid w:val="00F059FF"/>
    <w:rsid w:val="00F069E0"/>
    <w:rsid w:val="00F06B3F"/>
    <w:rsid w:val="00F07240"/>
    <w:rsid w:val="00F073CB"/>
    <w:rsid w:val="00F07488"/>
    <w:rsid w:val="00F07645"/>
    <w:rsid w:val="00F077BD"/>
    <w:rsid w:val="00F11062"/>
    <w:rsid w:val="00F122AA"/>
    <w:rsid w:val="00F1313B"/>
    <w:rsid w:val="00F13277"/>
    <w:rsid w:val="00F139C4"/>
    <w:rsid w:val="00F14080"/>
    <w:rsid w:val="00F144AC"/>
    <w:rsid w:val="00F15068"/>
    <w:rsid w:val="00F155C1"/>
    <w:rsid w:val="00F16525"/>
    <w:rsid w:val="00F17995"/>
    <w:rsid w:val="00F20073"/>
    <w:rsid w:val="00F20976"/>
    <w:rsid w:val="00F20B98"/>
    <w:rsid w:val="00F20D4C"/>
    <w:rsid w:val="00F20D68"/>
    <w:rsid w:val="00F232FE"/>
    <w:rsid w:val="00F237FC"/>
    <w:rsid w:val="00F247D7"/>
    <w:rsid w:val="00F24884"/>
    <w:rsid w:val="00F255F6"/>
    <w:rsid w:val="00F27EC2"/>
    <w:rsid w:val="00F3074F"/>
    <w:rsid w:val="00F30782"/>
    <w:rsid w:val="00F30967"/>
    <w:rsid w:val="00F3165C"/>
    <w:rsid w:val="00F31E8B"/>
    <w:rsid w:val="00F323ED"/>
    <w:rsid w:val="00F3247B"/>
    <w:rsid w:val="00F32507"/>
    <w:rsid w:val="00F3254D"/>
    <w:rsid w:val="00F32C0E"/>
    <w:rsid w:val="00F32DA9"/>
    <w:rsid w:val="00F32EC4"/>
    <w:rsid w:val="00F341E9"/>
    <w:rsid w:val="00F3426D"/>
    <w:rsid w:val="00F34849"/>
    <w:rsid w:val="00F34BB2"/>
    <w:rsid w:val="00F34FFE"/>
    <w:rsid w:val="00F35499"/>
    <w:rsid w:val="00F35C73"/>
    <w:rsid w:val="00F36184"/>
    <w:rsid w:val="00F36261"/>
    <w:rsid w:val="00F36F1E"/>
    <w:rsid w:val="00F36FEC"/>
    <w:rsid w:val="00F37648"/>
    <w:rsid w:val="00F37A05"/>
    <w:rsid w:val="00F40130"/>
    <w:rsid w:val="00F40DAA"/>
    <w:rsid w:val="00F40DF7"/>
    <w:rsid w:val="00F412AB"/>
    <w:rsid w:val="00F41C50"/>
    <w:rsid w:val="00F41CDF"/>
    <w:rsid w:val="00F4338C"/>
    <w:rsid w:val="00F436AB"/>
    <w:rsid w:val="00F44125"/>
    <w:rsid w:val="00F4459C"/>
    <w:rsid w:val="00F44B35"/>
    <w:rsid w:val="00F44CBC"/>
    <w:rsid w:val="00F44D72"/>
    <w:rsid w:val="00F44D82"/>
    <w:rsid w:val="00F45A58"/>
    <w:rsid w:val="00F4761B"/>
    <w:rsid w:val="00F47BD3"/>
    <w:rsid w:val="00F5058E"/>
    <w:rsid w:val="00F5165A"/>
    <w:rsid w:val="00F5213F"/>
    <w:rsid w:val="00F52943"/>
    <w:rsid w:val="00F53981"/>
    <w:rsid w:val="00F54A64"/>
    <w:rsid w:val="00F557EF"/>
    <w:rsid w:val="00F559B6"/>
    <w:rsid w:val="00F559E6"/>
    <w:rsid w:val="00F55D58"/>
    <w:rsid w:val="00F56B83"/>
    <w:rsid w:val="00F577AC"/>
    <w:rsid w:val="00F6021D"/>
    <w:rsid w:val="00F60438"/>
    <w:rsid w:val="00F60B97"/>
    <w:rsid w:val="00F60C7F"/>
    <w:rsid w:val="00F6181C"/>
    <w:rsid w:val="00F61CB2"/>
    <w:rsid w:val="00F61D43"/>
    <w:rsid w:val="00F624E9"/>
    <w:rsid w:val="00F6296C"/>
    <w:rsid w:val="00F62BB4"/>
    <w:rsid w:val="00F64159"/>
    <w:rsid w:val="00F64F77"/>
    <w:rsid w:val="00F6552D"/>
    <w:rsid w:val="00F6555D"/>
    <w:rsid w:val="00F65D49"/>
    <w:rsid w:val="00F65D55"/>
    <w:rsid w:val="00F669C0"/>
    <w:rsid w:val="00F70C51"/>
    <w:rsid w:val="00F70C5C"/>
    <w:rsid w:val="00F70DE5"/>
    <w:rsid w:val="00F733F1"/>
    <w:rsid w:val="00F73CBE"/>
    <w:rsid w:val="00F74C63"/>
    <w:rsid w:val="00F7566E"/>
    <w:rsid w:val="00F756F3"/>
    <w:rsid w:val="00F75D25"/>
    <w:rsid w:val="00F75F2C"/>
    <w:rsid w:val="00F75FAA"/>
    <w:rsid w:val="00F765D4"/>
    <w:rsid w:val="00F76D0C"/>
    <w:rsid w:val="00F76E18"/>
    <w:rsid w:val="00F8052F"/>
    <w:rsid w:val="00F80B3C"/>
    <w:rsid w:val="00F80B6B"/>
    <w:rsid w:val="00F80BD2"/>
    <w:rsid w:val="00F80E1E"/>
    <w:rsid w:val="00F81661"/>
    <w:rsid w:val="00F81C66"/>
    <w:rsid w:val="00F81D0B"/>
    <w:rsid w:val="00F82104"/>
    <w:rsid w:val="00F82CFA"/>
    <w:rsid w:val="00F83259"/>
    <w:rsid w:val="00F84200"/>
    <w:rsid w:val="00F84CEE"/>
    <w:rsid w:val="00F860C8"/>
    <w:rsid w:val="00F8644B"/>
    <w:rsid w:val="00F86B7F"/>
    <w:rsid w:val="00F86C5F"/>
    <w:rsid w:val="00F90773"/>
    <w:rsid w:val="00F914CE"/>
    <w:rsid w:val="00F91AF1"/>
    <w:rsid w:val="00F91D05"/>
    <w:rsid w:val="00F91F61"/>
    <w:rsid w:val="00F921CE"/>
    <w:rsid w:val="00F930B9"/>
    <w:rsid w:val="00F93329"/>
    <w:rsid w:val="00F93B58"/>
    <w:rsid w:val="00F93E45"/>
    <w:rsid w:val="00F9457C"/>
    <w:rsid w:val="00F94D32"/>
    <w:rsid w:val="00F95023"/>
    <w:rsid w:val="00F9522A"/>
    <w:rsid w:val="00F955C1"/>
    <w:rsid w:val="00F95A31"/>
    <w:rsid w:val="00F95A7B"/>
    <w:rsid w:val="00F95DCE"/>
    <w:rsid w:val="00F962BF"/>
    <w:rsid w:val="00F96740"/>
    <w:rsid w:val="00F96932"/>
    <w:rsid w:val="00F96D81"/>
    <w:rsid w:val="00F96E7E"/>
    <w:rsid w:val="00F97725"/>
    <w:rsid w:val="00F97842"/>
    <w:rsid w:val="00FA006E"/>
    <w:rsid w:val="00FA0B17"/>
    <w:rsid w:val="00FA1717"/>
    <w:rsid w:val="00FA1BE3"/>
    <w:rsid w:val="00FA1E26"/>
    <w:rsid w:val="00FA2D6E"/>
    <w:rsid w:val="00FA2E69"/>
    <w:rsid w:val="00FA3189"/>
    <w:rsid w:val="00FA34BD"/>
    <w:rsid w:val="00FA386D"/>
    <w:rsid w:val="00FA4D0B"/>
    <w:rsid w:val="00FA4FD0"/>
    <w:rsid w:val="00FA57C1"/>
    <w:rsid w:val="00FA68AA"/>
    <w:rsid w:val="00FA7AA4"/>
    <w:rsid w:val="00FB00D5"/>
    <w:rsid w:val="00FB03CB"/>
    <w:rsid w:val="00FB149D"/>
    <w:rsid w:val="00FB206D"/>
    <w:rsid w:val="00FB22F9"/>
    <w:rsid w:val="00FB26FC"/>
    <w:rsid w:val="00FB36CC"/>
    <w:rsid w:val="00FB4F3F"/>
    <w:rsid w:val="00FB53F8"/>
    <w:rsid w:val="00FB5A88"/>
    <w:rsid w:val="00FB5F40"/>
    <w:rsid w:val="00FB66AC"/>
    <w:rsid w:val="00FB6B78"/>
    <w:rsid w:val="00FB78EF"/>
    <w:rsid w:val="00FB79E6"/>
    <w:rsid w:val="00FB7C8A"/>
    <w:rsid w:val="00FC00B5"/>
    <w:rsid w:val="00FC0B28"/>
    <w:rsid w:val="00FC0BE3"/>
    <w:rsid w:val="00FC0C5C"/>
    <w:rsid w:val="00FC1365"/>
    <w:rsid w:val="00FC1944"/>
    <w:rsid w:val="00FC1C68"/>
    <w:rsid w:val="00FC2E21"/>
    <w:rsid w:val="00FC328A"/>
    <w:rsid w:val="00FC4941"/>
    <w:rsid w:val="00FC639D"/>
    <w:rsid w:val="00FC713E"/>
    <w:rsid w:val="00FC760C"/>
    <w:rsid w:val="00FC79C9"/>
    <w:rsid w:val="00FD00B2"/>
    <w:rsid w:val="00FD087D"/>
    <w:rsid w:val="00FD0F42"/>
    <w:rsid w:val="00FD1A3F"/>
    <w:rsid w:val="00FD1B6F"/>
    <w:rsid w:val="00FD1B8A"/>
    <w:rsid w:val="00FD2716"/>
    <w:rsid w:val="00FD2A10"/>
    <w:rsid w:val="00FD3AFB"/>
    <w:rsid w:val="00FD4462"/>
    <w:rsid w:val="00FD4551"/>
    <w:rsid w:val="00FD4C92"/>
    <w:rsid w:val="00FD5860"/>
    <w:rsid w:val="00FD6173"/>
    <w:rsid w:val="00FD65D6"/>
    <w:rsid w:val="00FD6DC3"/>
    <w:rsid w:val="00FD7C4A"/>
    <w:rsid w:val="00FE0B39"/>
    <w:rsid w:val="00FE0DE0"/>
    <w:rsid w:val="00FE0F55"/>
    <w:rsid w:val="00FE1027"/>
    <w:rsid w:val="00FE197F"/>
    <w:rsid w:val="00FE1F3B"/>
    <w:rsid w:val="00FE2185"/>
    <w:rsid w:val="00FE2DF4"/>
    <w:rsid w:val="00FE36E3"/>
    <w:rsid w:val="00FE3AE1"/>
    <w:rsid w:val="00FE4C54"/>
    <w:rsid w:val="00FE4DF1"/>
    <w:rsid w:val="00FE57E0"/>
    <w:rsid w:val="00FE6286"/>
    <w:rsid w:val="00FE7356"/>
    <w:rsid w:val="00FE73A7"/>
    <w:rsid w:val="00FF0198"/>
    <w:rsid w:val="00FF0FFC"/>
    <w:rsid w:val="00FF14E7"/>
    <w:rsid w:val="00FF1811"/>
    <w:rsid w:val="00FF18B0"/>
    <w:rsid w:val="00FF2BB6"/>
    <w:rsid w:val="00FF2EED"/>
    <w:rsid w:val="00FF3C19"/>
    <w:rsid w:val="00FF46AE"/>
    <w:rsid w:val="00FF5A4D"/>
    <w:rsid w:val="00FF5FD7"/>
    <w:rsid w:val="00FF6B02"/>
    <w:rsid w:val="00FF704E"/>
    <w:rsid w:val="00FF7D9E"/>
    <w:rsid w:val="027225A0"/>
    <w:rsid w:val="030D36B5"/>
    <w:rsid w:val="03FE5F76"/>
    <w:rsid w:val="040F7D06"/>
    <w:rsid w:val="052C409D"/>
    <w:rsid w:val="05584712"/>
    <w:rsid w:val="05971D90"/>
    <w:rsid w:val="05C315E7"/>
    <w:rsid w:val="066A75F6"/>
    <w:rsid w:val="069E7DCE"/>
    <w:rsid w:val="06B31EC9"/>
    <w:rsid w:val="078C4B9F"/>
    <w:rsid w:val="07F46A83"/>
    <w:rsid w:val="080E1430"/>
    <w:rsid w:val="08661C68"/>
    <w:rsid w:val="087153AF"/>
    <w:rsid w:val="09A54DE7"/>
    <w:rsid w:val="09E52067"/>
    <w:rsid w:val="0A3D4238"/>
    <w:rsid w:val="0A785F94"/>
    <w:rsid w:val="0B242D6F"/>
    <w:rsid w:val="0B766B97"/>
    <w:rsid w:val="0B7E5480"/>
    <w:rsid w:val="0CAA3EE0"/>
    <w:rsid w:val="0CE64125"/>
    <w:rsid w:val="0D0B5724"/>
    <w:rsid w:val="0D145C26"/>
    <w:rsid w:val="0D7B3CC8"/>
    <w:rsid w:val="0D874655"/>
    <w:rsid w:val="0D874FEE"/>
    <w:rsid w:val="0DCB17F7"/>
    <w:rsid w:val="0DE251C7"/>
    <w:rsid w:val="0E6201DB"/>
    <w:rsid w:val="0ED362D5"/>
    <w:rsid w:val="0F2C747D"/>
    <w:rsid w:val="0FB71D20"/>
    <w:rsid w:val="0FC93710"/>
    <w:rsid w:val="0FE44761"/>
    <w:rsid w:val="103C7916"/>
    <w:rsid w:val="108D4BAA"/>
    <w:rsid w:val="10F851DA"/>
    <w:rsid w:val="113D5F31"/>
    <w:rsid w:val="117250F5"/>
    <w:rsid w:val="12014F45"/>
    <w:rsid w:val="12256FFB"/>
    <w:rsid w:val="122E6BA3"/>
    <w:rsid w:val="127D7D91"/>
    <w:rsid w:val="12D24854"/>
    <w:rsid w:val="130229B8"/>
    <w:rsid w:val="149E4804"/>
    <w:rsid w:val="1540318B"/>
    <w:rsid w:val="15995C59"/>
    <w:rsid w:val="16D46AEB"/>
    <w:rsid w:val="170B3820"/>
    <w:rsid w:val="1741003C"/>
    <w:rsid w:val="18310182"/>
    <w:rsid w:val="18337DE2"/>
    <w:rsid w:val="190637E4"/>
    <w:rsid w:val="19476DAA"/>
    <w:rsid w:val="1A3561A7"/>
    <w:rsid w:val="1A526ACC"/>
    <w:rsid w:val="1B2C04A0"/>
    <w:rsid w:val="1B2F295A"/>
    <w:rsid w:val="1B770253"/>
    <w:rsid w:val="1BAD577C"/>
    <w:rsid w:val="1CA74200"/>
    <w:rsid w:val="1CAC1052"/>
    <w:rsid w:val="1CEC4F21"/>
    <w:rsid w:val="1D1161AB"/>
    <w:rsid w:val="1D44777D"/>
    <w:rsid w:val="1DF33B06"/>
    <w:rsid w:val="1DFB31D0"/>
    <w:rsid w:val="1EE7257E"/>
    <w:rsid w:val="1F005A03"/>
    <w:rsid w:val="1F171669"/>
    <w:rsid w:val="1F2E0EA6"/>
    <w:rsid w:val="20020175"/>
    <w:rsid w:val="208B3EBB"/>
    <w:rsid w:val="209A73B5"/>
    <w:rsid w:val="209F7D83"/>
    <w:rsid w:val="218F58A4"/>
    <w:rsid w:val="21962D28"/>
    <w:rsid w:val="21A73748"/>
    <w:rsid w:val="21C42C58"/>
    <w:rsid w:val="21E33B04"/>
    <w:rsid w:val="223D45EE"/>
    <w:rsid w:val="22906F5A"/>
    <w:rsid w:val="229211C8"/>
    <w:rsid w:val="22FF3DB9"/>
    <w:rsid w:val="23BD674A"/>
    <w:rsid w:val="23E347D8"/>
    <w:rsid w:val="24167631"/>
    <w:rsid w:val="242327F8"/>
    <w:rsid w:val="242A0CA5"/>
    <w:rsid w:val="246B1BCA"/>
    <w:rsid w:val="24D714EC"/>
    <w:rsid w:val="251E6199"/>
    <w:rsid w:val="252B3ACB"/>
    <w:rsid w:val="256477DC"/>
    <w:rsid w:val="25CA0DE4"/>
    <w:rsid w:val="25D6487C"/>
    <w:rsid w:val="26F10791"/>
    <w:rsid w:val="27036A0B"/>
    <w:rsid w:val="271035EA"/>
    <w:rsid w:val="27765C85"/>
    <w:rsid w:val="27ED7AC8"/>
    <w:rsid w:val="28123E8D"/>
    <w:rsid w:val="28150CD2"/>
    <w:rsid w:val="283E36F6"/>
    <w:rsid w:val="28582F41"/>
    <w:rsid w:val="29665CCE"/>
    <w:rsid w:val="2A2D312B"/>
    <w:rsid w:val="2A366D0A"/>
    <w:rsid w:val="2A38416F"/>
    <w:rsid w:val="2A8156D7"/>
    <w:rsid w:val="2A9D5160"/>
    <w:rsid w:val="2B0F2FCD"/>
    <w:rsid w:val="2B265CB7"/>
    <w:rsid w:val="2C1F7C90"/>
    <w:rsid w:val="2C2A720D"/>
    <w:rsid w:val="2CE136A1"/>
    <w:rsid w:val="2D5D7080"/>
    <w:rsid w:val="2D676279"/>
    <w:rsid w:val="2D923D71"/>
    <w:rsid w:val="2DA74197"/>
    <w:rsid w:val="2DFC7C3E"/>
    <w:rsid w:val="2E19094C"/>
    <w:rsid w:val="2E204C08"/>
    <w:rsid w:val="2E4F63A5"/>
    <w:rsid w:val="2E591FDB"/>
    <w:rsid w:val="2E5F24EA"/>
    <w:rsid w:val="2ECE0649"/>
    <w:rsid w:val="30C2254E"/>
    <w:rsid w:val="31213558"/>
    <w:rsid w:val="31832E75"/>
    <w:rsid w:val="31F908B4"/>
    <w:rsid w:val="327A26FE"/>
    <w:rsid w:val="32C57F37"/>
    <w:rsid w:val="32F8638C"/>
    <w:rsid w:val="35592974"/>
    <w:rsid w:val="35937723"/>
    <w:rsid w:val="35974266"/>
    <w:rsid w:val="35994580"/>
    <w:rsid w:val="360405FC"/>
    <w:rsid w:val="3643670E"/>
    <w:rsid w:val="36A54F92"/>
    <w:rsid w:val="37025D58"/>
    <w:rsid w:val="370774AD"/>
    <w:rsid w:val="371D7D53"/>
    <w:rsid w:val="37210C6C"/>
    <w:rsid w:val="375440B4"/>
    <w:rsid w:val="376B7F8B"/>
    <w:rsid w:val="381B1946"/>
    <w:rsid w:val="38C215E0"/>
    <w:rsid w:val="38CC622C"/>
    <w:rsid w:val="38D83976"/>
    <w:rsid w:val="38FF5EFE"/>
    <w:rsid w:val="390B36C8"/>
    <w:rsid w:val="395B1785"/>
    <w:rsid w:val="398462E7"/>
    <w:rsid w:val="398A318B"/>
    <w:rsid w:val="39BA6D16"/>
    <w:rsid w:val="3A115002"/>
    <w:rsid w:val="3A4956EE"/>
    <w:rsid w:val="3B6D671B"/>
    <w:rsid w:val="3BB03DD9"/>
    <w:rsid w:val="3D165BDF"/>
    <w:rsid w:val="3DA833E2"/>
    <w:rsid w:val="3DE541D5"/>
    <w:rsid w:val="3DF240BC"/>
    <w:rsid w:val="3E074F1F"/>
    <w:rsid w:val="3E282555"/>
    <w:rsid w:val="3E740F54"/>
    <w:rsid w:val="3E851C92"/>
    <w:rsid w:val="3ED75244"/>
    <w:rsid w:val="3F27401E"/>
    <w:rsid w:val="3FB767BC"/>
    <w:rsid w:val="40BE16E6"/>
    <w:rsid w:val="41372A89"/>
    <w:rsid w:val="422E3F7B"/>
    <w:rsid w:val="42F42FA2"/>
    <w:rsid w:val="43DA6D5A"/>
    <w:rsid w:val="4618095C"/>
    <w:rsid w:val="4649370A"/>
    <w:rsid w:val="46F36DA0"/>
    <w:rsid w:val="470F1A40"/>
    <w:rsid w:val="47243AD3"/>
    <w:rsid w:val="473B3601"/>
    <w:rsid w:val="47874501"/>
    <w:rsid w:val="47A23A54"/>
    <w:rsid w:val="47CD68E2"/>
    <w:rsid w:val="486B47C1"/>
    <w:rsid w:val="48D94DD8"/>
    <w:rsid w:val="49610290"/>
    <w:rsid w:val="49A12FFD"/>
    <w:rsid w:val="4A2E3A7F"/>
    <w:rsid w:val="4A415D2F"/>
    <w:rsid w:val="4A4F2044"/>
    <w:rsid w:val="4A7E1BD3"/>
    <w:rsid w:val="4AAF27BD"/>
    <w:rsid w:val="4AAF27F9"/>
    <w:rsid w:val="4AD53A7C"/>
    <w:rsid w:val="4B4705A8"/>
    <w:rsid w:val="4B9C21A7"/>
    <w:rsid w:val="4BFB2DD7"/>
    <w:rsid w:val="4C2740F6"/>
    <w:rsid w:val="4C946B2A"/>
    <w:rsid w:val="4C97250C"/>
    <w:rsid w:val="4D026468"/>
    <w:rsid w:val="4DC0067A"/>
    <w:rsid w:val="4E812CDB"/>
    <w:rsid w:val="4F1231F5"/>
    <w:rsid w:val="4FF57994"/>
    <w:rsid w:val="506E5B35"/>
    <w:rsid w:val="50783A04"/>
    <w:rsid w:val="50A17192"/>
    <w:rsid w:val="50C432FA"/>
    <w:rsid w:val="50EF373E"/>
    <w:rsid w:val="528746C5"/>
    <w:rsid w:val="52BB0E80"/>
    <w:rsid w:val="531B167D"/>
    <w:rsid w:val="534F7755"/>
    <w:rsid w:val="53A846D4"/>
    <w:rsid w:val="53EA0CAA"/>
    <w:rsid w:val="542268B5"/>
    <w:rsid w:val="54434881"/>
    <w:rsid w:val="54AB3C58"/>
    <w:rsid w:val="54D57811"/>
    <w:rsid w:val="55624D2C"/>
    <w:rsid w:val="559176BF"/>
    <w:rsid w:val="5611060F"/>
    <w:rsid w:val="57976D25"/>
    <w:rsid w:val="57A40682"/>
    <w:rsid w:val="58461AA1"/>
    <w:rsid w:val="587535CA"/>
    <w:rsid w:val="587C5656"/>
    <w:rsid w:val="58E84452"/>
    <w:rsid w:val="59E50895"/>
    <w:rsid w:val="5A207761"/>
    <w:rsid w:val="5A5C1E19"/>
    <w:rsid w:val="5A8460C5"/>
    <w:rsid w:val="5B28282A"/>
    <w:rsid w:val="5BF36EEB"/>
    <w:rsid w:val="5C376650"/>
    <w:rsid w:val="5C8541BD"/>
    <w:rsid w:val="5D3443FE"/>
    <w:rsid w:val="5D9E5BBA"/>
    <w:rsid w:val="5DA730E4"/>
    <w:rsid w:val="5DB76889"/>
    <w:rsid w:val="5DEF0460"/>
    <w:rsid w:val="5DF35C30"/>
    <w:rsid w:val="5DFF1BEB"/>
    <w:rsid w:val="5EEB2157"/>
    <w:rsid w:val="5F0F7504"/>
    <w:rsid w:val="5F6B5B0B"/>
    <w:rsid w:val="5F87057A"/>
    <w:rsid w:val="5FAF440D"/>
    <w:rsid w:val="5FC17F16"/>
    <w:rsid w:val="5FC6267F"/>
    <w:rsid w:val="61597DFD"/>
    <w:rsid w:val="63111A3E"/>
    <w:rsid w:val="63617407"/>
    <w:rsid w:val="63EB60C9"/>
    <w:rsid w:val="646C0022"/>
    <w:rsid w:val="64A913E6"/>
    <w:rsid w:val="64B62EC8"/>
    <w:rsid w:val="64CE77F5"/>
    <w:rsid w:val="65303A44"/>
    <w:rsid w:val="65347CB0"/>
    <w:rsid w:val="65535135"/>
    <w:rsid w:val="65967A6D"/>
    <w:rsid w:val="65C7133C"/>
    <w:rsid w:val="66514C6C"/>
    <w:rsid w:val="66A652E7"/>
    <w:rsid w:val="66C06D6D"/>
    <w:rsid w:val="6769673B"/>
    <w:rsid w:val="67F56373"/>
    <w:rsid w:val="67FD1AB8"/>
    <w:rsid w:val="68190848"/>
    <w:rsid w:val="68A84FEB"/>
    <w:rsid w:val="68CF25BE"/>
    <w:rsid w:val="69642A5F"/>
    <w:rsid w:val="69687D90"/>
    <w:rsid w:val="69CB25B9"/>
    <w:rsid w:val="6A4A7EC9"/>
    <w:rsid w:val="6A7D1B74"/>
    <w:rsid w:val="6A986670"/>
    <w:rsid w:val="6B4F0661"/>
    <w:rsid w:val="6C5A17EE"/>
    <w:rsid w:val="6CA35CAD"/>
    <w:rsid w:val="6CE02708"/>
    <w:rsid w:val="6D1628C5"/>
    <w:rsid w:val="6DA45032"/>
    <w:rsid w:val="6DB65872"/>
    <w:rsid w:val="6DC56614"/>
    <w:rsid w:val="6E2B34C4"/>
    <w:rsid w:val="6E34225B"/>
    <w:rsid w:val="6E877FAE"/>
    <w:rsid w:val="6EE25D3A"/>
    <w:rsid w:val="6F0A4A75"/>
    <w:rsid w:val="6F2140C4"/>
    <w:rsid w:val="6F396939"/>
    <w:rsid w:val="701C1DC5"/>
    <w:rsid w:val="706311DA"/>
    <w:rsid w:val="70C91BA1"/>
    <w:rsid w:val="70ED0083"/>
    <w:rsid w:val="71954437"/>
    <w:rsid w:val="719B56EF"/>
    <w:rsid w:val="71EC55F8"/>
    <w:rsid w:val="722C5153"/>
    <w:rsid w:val="72974DA1"/>
    <w:rsid w:val="72A96D3F"/>
    <w:rsid w:val="72AB3117"/>
    <w:rsid w:val="730557B9"/>
    <w:rsid w:val="730A171B"/>
    <w:rsid w:val="7380143D"/>
    <w:rsid w:val="73AB13BC"/>
    <w:rsid w:val="73B94C4B"/>
    <w:rsid w:val="73C05431"/>
    <w:rsid w:val="74874674"/>
    <w:rsid w:val="74D84D1E"/>
    <w:rsid w:val="75140886"/>
    <w:rsid w:val="75F53B5C"/>
    <w:rsid w:val="76530AF9"/>
    <w:rsid w:val="76D0273C"/>
    <w:rsid w:val="76F07BC6"/>
    <w:rsid w:val="77432F12"/>
    <w:rsid w:val="7833678A"/>
    <w:rsid w:val="785023D2"/>
    <w:rsid w:val="78A41B79"/>
    <w:rsid w:val="78C96A89"/>
    <w:rsid w:val="78D36762"/>
    <w:rsid w:val="791512D9"/>
    <w:rsid w:val="797C574D"/>
    <w:rsid w:val="7A366F71"/>
    <w:rsid w:val="7AA314D5"/>
    <w:rsid w:val="7AB15D4A"/>
    <w:rsid w:val="7AB55CBB"/>
    <w:rsid w:val="7AC86EEC"/>
    <w:rsid w:val="7B5A14C4"/>
    <w:rsid w:val="7B8C052F"/>
    <w:rsid w:val="7BEA6F4F"/>
    <w:rsid w:val="7C25350C"/>
    <w:rsid w:val="7C9C232E"/>
    <w:rsid w:val="7CB46847"/>
    <w:rsid w:val="7CBC20B9"/>
    <w:rsid w:val="7CC037EF"/>
    <w:rsid w:val="7CD74C0B"/>
    <w:rsid w:val="7D8913E9"/>
    <w:rsid w:val="7E0E2CDC"/>
    <w:rsid w:val="7E760EB0"/>
    <w:rsid w:val="7E8248EF"/>
    <w:rsid w:val="7EF77135"/>
    <w:rsid w:val="7F43216B"/>
    <w:rsid w:val="7F5409EE"/>
    <w:rsid w:val="DCF7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13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184"/>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6">
    <w:name w:val="heading 5"/>
    <w:basedOn w:val="1"/>
    <w:next w:val="1"/>
    <w:link w:val="157"/>
    <w:qFormat/>
    <w:uiPriority w:val="0"/>
    <w:pPr>
      <w:keepNext/>
      <w:keepLines/>
      <w:spacing w:before="280" w:after="290" w:line="372" w:lineRule="auto"/>
      <w:outlineLvl w:val="4"/>
    </w:pPr>
    <w:rPr>
      <w:b/>
      <w:bCs/>
      <w:sz w:val="28"/>
      <w:szCs w:val="28"/>
    </w:rPr>
  </w:style>
  <w:style w:type="paragraph" w:styleId="7">
    <w:name w:val="heading 6"/>
    <w:basedOn w:val="1"/>
    <w:next w:val="1"/>
    <w:link w:val="158"/>
    <w:qFormat/>
    <w:uiPriority w:val="0"/>
    <w:pPr>
      <w:keepNext/>
      <w:keepLines/>
      <w:adjustRightInd/>
      <w:spacing w:before="240" w:after="64" w:line="316" w:lineRule="auto"/>
      <w:textAlignment w:val="auto"/>
      <w:outlineLvl w:val="5"/>
    </w:pPr>
    <w:rPr>
      <w:rFonts w:ascii="Arial" w:hAnsi="Arial" w:eastAsia="黑体"/>
      <w:b/>
      <w:bCs/>
      <w:sz w:val="24"/>
    </w:rPr>
  </w:style>
  <w:style w:type="paragraph" w:styleId="8">
    <w:name w:val="heading 7"/>
    <w:basedOn w:val="1"/>
    <w:next w:val="1"/>
    <w:link w:val="195"/>
    <w:qFormat/>
    <w:uiPriority w:val="0"/>
    <w:pPr>
      <w:keepNext/>
      <w:keepLines/>
      <w:adjustRightInd/>
      <w:spacing w:before="240" w:after="64" w:line="316" w:lineRule="auto"/>
      <w:textAlignment w:val="auto"/>
      <w:outlineLvl w:val="6"/>
    </w:pPr>
    <w:rPr>
      <w:b/>
      <w:bCs/>
      <w:sz w:val="24"/>
    </w:rPr>
  </w:style>
  <w:style w:type="paragraph" w:styleId="9">
    <w:name w:val="heading 8"/>
    <w:basedOn w:val="1"/>
    <w:next w:val="1"/>
    <w:link w:val="175"/>
    <w:qFormat/>
    <w:uiPriority w:val="0"/>
    <w:pPr>
      <w:keepNext/>
      <w:keepLines/>
      <w:adjustRightInd/>
      <w:spacing w:before="240" w:after="64" w:line="316" w:lineRule="auto"/>
      <w:textAlignment w:val="auto"/>
      <w:outlineLvl w:val="7"/>
    </w:pPr>
    <w:rPr>
      <w:rFonts w:ascii="Arial" w:hAnsi="Arial" w:eastAsia="黑体"/>
      <w:sz w:val="24"/>
    </w:rPr>
  </w:style>
  <w:style w:type="paragraph" w:styleId="10">
    <w:name w:val="heading 9"/>
    <w:basedOn w:val="1"/>
    <w:next w:val="1"/>
    <w:link w:val="156"/>
    <w:qFormat/>
    <w:uiPriority w:val="0"/>
    <w:pPr>
      <w:keepNext/>
      <w:keepLines/>
      <w:adjustRightInd/>
      <w:spacing w:before="240" w:after="64" w:line="316" w:lineRule="auto"/>
      <w:textAlignment w:val="auto"/>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70"/>
    <w:semiHidden/>
    <w:qFormat/>
    <w:uiPriority w:val="0"/>
    <w:pPr>
      <w:shd w:val="clear" w:color="auto" w:fill="000080"/>
    </w:pPr>
  </w:style>
  <w:style w:type="paragraph" w:styleId="12">
    <w:name w:val="annotation text"/>
    <w:basedOn w:val="1"/>
    <w:link w:val="145"/>
    <w:qFormat/>
    <w:uiPriority w:val="0"/>
    <w:pPr>
      <w:jc w:val="left"/>
    </w:pPr>
  </w:style>
  <w:style w:type="paragraph" w:styleId="13">
    <w:name w:val="Body Text 3"/>
    <w:basedOn w:val="1"/>
    <w:link w:val="152"/>
    <w:unhideWhenUsed/>
    <w:qFormat/>
    <w:uiPriority w:val="0"/>
    <w:pPr>
      <w:spacing w:line="500" w:lineRule="exact"/>
    </w:pPr>
    <w:rPr>
      <w:rFonts w:eastAsia="仿宋_GB2312"/>
      <w:kern w:val="0"/>
      <w:sz w:val="28"/>
      <w:szCs w:val="20"/>
    </w:rPr>
  </w:style>
  <w:style w:type="paragraph" w:styleId="14">
    <w:name w:val="Body Text"/>
    <w:basedOn w:val="1"/>
    <w:link w:val="159"/>
    <w:unhideWhenUsed/>
    <w:qFormat/>
    <w:uiPriority w:val="0"/>
    <w:rPr>
      <w:rFonts w:ascii="金山简黑体" w:hAnsi="Courier New" w:eastAsia="金山简黑体"/>
      <w:b/>
      <w:spacing w:val="-8"/>
      <w:kern w:val="0"/>
      <w:sz w:val="44"/>
      <w:szCs w:val="20"/>
    </w:rPr>
  </w:style>
  <w:style w:type="paragraph" w:styleId="15">
    <w:name w:val="Body Text Indent"/>
    <w:basedOn w:val="1"/>
    <w:link w:val="201"/>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rPr>
      <w:sz w:val="28"/>
    </w:rPr>
  </w:style>
  <w:style w:type="paragraph" w:styleId="17">
    <w:name w:val="HTML Address"/>
    <w:basedOn w:val="1"/>
    <w:link w:val="185"/>
    <w:qFormat/>
    <w:uiPriority w:val="0"/>
    <w:pPr>
      <w:adjustRightInd/>
      <w:spacing w:line="240" w:lineRule="auto"/>
      <w:textAlignment w:val="auto"/>
    </w:pPr>
    <w:rPr>
      <w:rFonts w:ascii="宋体" w:hAnsi="宋体"/>
      <w:i/>
      <w:iCs/>
    </w:rPr>
  </w:style>
  <w:style w:type="paragraph" w:styleId="18">
    <w:name w:val="Plain Text"/>
    <w:basedOn w:val="1"/>
    <w:link w:val="197"/>
    <w:qFormat/>
    <w:uiPriority w:val="0"/>
    <w:rPr>
      <w:rFonts w:ascii="宋体" w:hAnsi="Courier New"/>
      <w:szCs w:val="20"/>
    </w:rPr>
  </w:style>
  <w:style w:type="paragraph" w:styleId="19">
    <w:name w:val="Date"/>
    <w:basedOn w:val="1"/>
    <w:next w:val="1"/>
    <w:link w:val="161"/>
    <w:qFormat/>
    <w:uiPriority w:val="0"/>
    <w:pPr>
      <w:ind w:left="100" w:leftChars="2500"/>
    </w:pPr>
  </w:style>
  <w:style w:type="paragraph" w:styleId="20">
    <w:name w:val="Body Text Indent 2"/>
    <w:basedOn w:val="1"/>
    <w:link w:val="183"/>
    <w:qFormat/>
    <w:uiPriority w:val="0"/>
    <w:pPr>
      <w:spacing w:after="120" w:line="480" w:lineRule="auto"/>
      <w:ind w:left="420" w:leftChars="200"/>
    </w:pPr>
  </w:style>
  <w:style w:type="paragraph" w:styleId="21">
    <w:name w:val="Balloon Text"/>
    <w:basedOn w:val="1"/>
    <w:link w:val="141"/>
    <w:qFormat/>
    <w:uiPriority w:val="0"/>
    <w:rPr>
      <w:sz w:val="18"/>
      <w:szCs w:val="18"/>
    </w:rPr>
  </w:style>
  <w:style w:type="paragraph" w:styleId="22">
    <w:name w:val="footer"/>
    <w:basedOn w:val="1"/>
    <w:link w:val="172"/>
    <w:qFormat/>
    <w:uiPriority w:val="99"/>
    <w:pPr>
      <w:tabs>
        <w:tab w:val="center" w:pos="4153"/>
        <w:tab w:val="right" w:pos="8306"/>
      </w:tabs>
      <w:snapToGrid w:val="0"/>
      <w:jc w:val="left"/>
    </w:pPr>
    <w:rPr>
      <w:sz w:val="18"/>
      <w:szCs w:val="18"/>
    </w:rPr>
  </w:style>
  <w:style w:type="paragraph" w:styleId="23">
    <w:name w:val="header"/>
    <w:basedOn w:val="1"/>
    <w:link w:val="19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Subtitle"/>
    <w:basedOn w:val="1"/>
    <w:next w:val="1"/>
    <w:link w:val="154"/>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191"/>
    <w:semiHidden/>
    <w:qFormat/>
    <w:uiPriority w:val="0"/>
    <w:pPr>
      <w:snapToGrid w:val="0"/>
      <w:jc w:val="left"/>
    </w:pPr>
    <w:rPr>
      <w:sz w:val="18"/>
      <w:szCs w:val="18"/>
    </w:rPr>
  </w:style>
  <w:style w:type="paragraph" w:styleId="27">
    <w:name w:val="toc 2"/>
    <w:basedOn w:val="1"/>
    <w:next w:val="1"/>
    <w:qFormat/>
    <w:uiPriority w:val="39"/>
    <w:pPr>
      <w:tabs>
        <w:tab w:val="right" w:leader="dot" w:pos="9628"/>
      </w:tabs>
      <w:ind w:left="420" w:firstLine="120"/>
      <w:jc w:val="left"/>
    </w:pPr>
    <w:rPr>
      <w:smallCaps/>
      <w:sz w:val="20"/>
      <w:szCs w:val="20"/>
    </w:rPr>
  </w:style>
  <w:style w:type="paragraph" w:styleId="28">
    <w:name w:val="Body Text 2"/>
    <w:basedOn w:val="1"/>
    <w:link w:val="193"/>
    <w:unhideWhenUsed/>
    <w:qFormat/>
    <w:uiPriority w:val="0"/>
    <w:pPr>
      <w:jc w:val="center"/>
    </w:pPr>
    <w:rPr>
      <w:rFonts w:hAnsi="宋体"/>
      <w:kern w:val="0"/>
      <w:sz w:val="20"/>
    </w:rPr>
  </w:style>
  <w:style w:type="paragraph" w:styleId="29">
    <w:name w:val="HTML Preformatted"/>
    <w:basedOn w:val="1"/>
    <w:link w:val="1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190"/>
    <w:qFormat/>
    <w:uiPriority w:val="0"/>
    <w:pPr>
      <w:adjustRightInd/>
      <w:spacing w:before="240" w:after="60" w:line="240" w:lineRule="auto"/>
      <w:jc w:val="center"/>
      <w:textAlignment w:val="auto"/>
      <w:outlineLvl w:val="0"/>
    </w:pPr>
    <w:rPr>
      <w:rFonts w:ascii="Arial" w:hAnsi="Arial" w:cs="Arial"/>
      <w:b/>
      <w:bCs/>
      <w:sz w:val="32"/>
      <w:szCs w:val="32"/>
    </w:rPr>
  </w:style>
  <w:style w:type="paragraph" w:styleId="32">
    <w:name w:val="annotation subject"/>
    <w:basedOn w:val="12"/>
    <w:next w:val="12"/>
    <w:link w:val="179"/>
    <w:qFormat/>
    <w:uiPriority w:val="0"/>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basedOn w:val="35"/>
    <w:qFormat/>
    <w:uiPriority w:val="20"/>
  </w:style>
  <w:style w:type="character" w:styleId="39">
    <w:name w:val="HTML Typewriter"/>
    <w:basedOn w:val="35"/>
    <w:qFormat/>
    <w:uiPriority w:val="0"/>
    <w:rPr>
      <w:rFonts w:hint="default" w:ascii="Courier New" w:hAnsi="Courier New" w:eastAsia="Times New Roman" w:cs="Times New Roman"/>
      <w:sz w:val="24"/>
      <w:szCs w:val="24"/>
    </w:rPr>
  </w:style>
  <w:style w:type="character" w:styleId="40">
    <w:name w:val="Hyperlink"/>
    <w:qFormat/>
    <w:uiPriority w:val="99"/>
    <w:rPr>
      <w:color w:val="0000FF"/>
      <w:u w:val="single"/>
    </w:rPr>
  </w:style>
  <w:style w:type="character" w:styleId="41">
    <w:name w:val="HTML Code"/>
    <w:basedOn w:val="35"/>
    <w:qFormat/>
    <w:uiPriority w:val="0"/>
    <w:rPr>
      <w:rFonts w:hint="default" w:ascii="Courier New" w:hAnsi="Courier New" w:eastAsia="Times New Roman" w:cs="Times New Roman"/>
      <w:sz w:val="24"/>
      <w:szCs w:val="24"/>
    </w:rPr>
  </w:style>
  <w:style w:type="character" w:styleId="42">
    <w:name w:val="annotation reference"/>
    <w:qFormat/>
    <w:uiPriority w:val="0"/>
    <w:rPr>
      <w:sz w:val="21"/>
      <w:szCs w:val="21"/>
    </w:rPr>
  </w:style>
  <w:style w:type="character" w:styleId="43">
    <w:name w:val="HTML Keyboard"/>
    <w:basedOn w:val="35"/>
    <w:qFormat/>
    <w:uiPriority w:val="0"/>
    <w:rPr>
      <w:rFonts w:hint="default" w:ascii="Courier New" w:hAnsi="Courier New" w:eastAsia="Times New Roman" w:cs="Times New Roman"/>
      <w:sz w:val="24"/>
      <w:szCs w:val="24"/>
    </w:rPr>
  </w:style>
  <w:style w:type="character" w:styleId="44">
    <w:name w:val="HTML Sample"/>
    <w:basedOn w:val="35"/>
    <w:qFormat/>
    <w:uiPriority w:val="0"/>
    <w:rPr>
      <w:rFonts w:hint="default" w:ascii="Courier New" w:hAnsi="Courier New" w:eastAsia="Times New Roman" w:cs="Times New Roman"/>
    </w:rPr>
  </w:style>
  <w:style w:type="character" w:customStyle="1" w:styleId="45">
    <w:name w:val="标题 1 字符"/>
    <w:link w:val="3"/>
    <w:qFormat/>
    <w:uiPriority w:val="0"/>
    <w:rPr>
      <w:rFonts w:eastAsia="宋体"/>
      <w:b/>
      <w:bCs/>
      <w:kern w:val="44"/>
      <w:sz w:val="44"/>
      <w:szCs w:val="44"/>
      <w:lang w:val="en-US" w:eastAsia="zh-CN" w:bidi="ar-SA"/>
    </w:rPr>
  </w:style>
  <w:style w:type="character" w:customStyle="1" w:styleId="46">
    <w:name w:val="标题 3 字符"/>
    <w:link w:val="4"/>
    <w:qFormat/>
    <w:uiPriority w:val="0"/>
    <w:rPr>
      <w:rFonts w:eastAsia="宋体"/>
      <w:b/>
      <w:bCs/>
      <w:kern w:val="2"/>
      <w:sz w:val="32"/>
      <w:szCs w:val="32"/>
      <w:lang w:val="en-US" w:eastAsia="zh-CN" w:bidi="ar-SA"/>
    </w:rPr>
  </w:style>
  <w:style w:type="paragraph" w:customStyle="1" w:styleId="47">
    <w:name w:val="封面标准代替信息"/>
    <w:basedOn w:val="48"/>
    <w:qFormat/>
    <w:uiPriority w:val="0"/>
    <w:pPr>
      <w:spacing w:before="57"/>
    </w:pPr>
    <w:rPr>
      <w:rFonts w:ascii="宋体"/>
      <w:sz w:val="21"/>
    </w:rPr>
  </w:style>
  <w:style w:type="paragraph" w:customStyle="1" w:styleId="48">
    <w:name w:val="封面标准号2"/>
    <w:basedOn w:val="49"/>
    <w:qFormat/>
    <w:uiPriority w:val="0"/>
    <w:pPr>
      <w:framePr w:w="9138" w:h="1244" w:wrap="around" w:vAnchor="page" w:hAnchor="margin" w:y="2908" w:anchorLock="1"/>
      <w:adjustRightInd w:val="0"/>
      <w:spacing w:before="357" w:line="280" w:lineRule="exact"/>
    </w:pPr>
  </w:style>
  <w:style w:type="paragraph" w:customStyle="1" w:styleId="49">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50">
    <w:name w:val="附录三级条标题"/>
    <w:basedOn w:val="51"/>
    <w:next w:val="54"/>
    <w:qFormat/>
    <w:uiPriority w:val="0"/>
    <w:pPr>
      <w:numPr>
        <w:ilvl w:val="4"/>
      </w:numPr>
      <w:tabs>
        <w:tab w:val="left" w:pos="1260"/>
      </w:tabs>
      <w:outlineLvl w:val="4"/>
    </w:pPr>
  </w:style>
  <w:style w:type="paragraph" w:customStyle="1" w:styleId="51">
    <w:name w:val="附录二级条标题"/>
    <w:basedOn w:val="52"/>
    <w:next w:val="54"/>
    <w:qFormat/>
    <w:uiPriority w:val="0"/>
    <w:pPr>
      <w:numPr>
        <w:ilvl w:val="3"/>
      </w:numPr>
      <w:tabs>
        <w:tab w:val="left" w:pos="1260"/>
      </w:tabs>
      <w:autoSpaceDN w:val="0"/>
      <w:spacing w:beforeLines="0"/>
      <w:outlineLvl w:val="3"/>
    </w:pPr>
  </w:style>
  <w:style w:type="paragraph" w:customStyle="1" w:styleId="52">
    <w:name w:val="附录一级条标题"/>
    <w:basedOn w:val="53"/>
    <w:next w:val="54"/>
    <w:qFormat/>
    <w:uiPriority w:val="0"/>
    <w:pPr>
      <w:tabs>
        <w:tab w:val="left" w:pos="1260"/>
      </w:tabs>
    </w:pPr>
  </w:style>
  <w:style w:type="paragraph" w:customStyle="1" w:styleId="53">
    <w:name w:val="附录章标题"/>
    <w:next w:val="54"/>
    <w:qFormat/>
    <w:uiPriority w:val="0"/>
    <w:pPr>
      <w:numPr>
        <w:ilvl w:val="1"/>
        <w:numId w:val="1"/>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Formatvorlage layout_standard + 10 pt Zentriert"/>
    <w:basedOn w:val="57"/>
    <w:qFormat/>
    <w:uiPriority w:val="0"/>
    <w:pPr>
      <w:jc w:val="center"/>
    </w:pPr>
    <w:rPr>
      <w:rFonts w:eastAsia="Times New Roman"/>
      <w:bCs/>
      <w:sz w:val="22"/>
    </w:rPr>
  </w:style>
  <w:style w:type="paragraph" w:customStyle="1" w:styleId="57">
    <w:name w:val="layout_standard"/>
    <w:basedOn w:val="26"/>
    <w:qFormat/>
    <w:uiPriority w:val="0"/>
    <w:pPr>
      <w:widowControl/>
      <w:snapToGrid/>
    </w:pPr>
    <w:rPr>
      <w:rFonts w:ascii="Arial" w:hAnsi="Arial"/>
      <w:b/>
      <w:kern w:val="0"/>
      <w:sz w:val="36"/>
      <w:szCs w:val="20"/>
      <w:lang w:val="en-GB" w:eastAsia="de-DE"/>
    </w:rPr>
  </w:style>
  <w:style w:type="paragraph" w:customStyle="1" w:styleId="58">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59">
    <w:name w:val="p0"/>
    <w:basedOn w:val="1"/>
    <w:qFormat/>
    <w:uiPriority w:val="0"/>
    <w:pPr>
      <w:widowControl/>
    </w:pPr>
    <w:rPr>
      <w:kern w:val="0"/>
      <w:szCs w:val="21"/>
    </w:rPr>
  </w:style>
  <w:style w:type="paragraph" w:customStyle="1" w:styleId="60">
    <w:name w:val="四级条标题"/>
    <w:basedOn w:val="61"/>
    <w:next w:val="54"/>
    <w:qFormat/>
    <w:uiPriority w:val="0"/>
    <w:pPr>
      <w:numPr>
        <w:ilvl w:val="5"/>
      </w:numPr>
      <w:tabs>
        <w:tab w:val="left" w:pos="1980"/>
      </w:tabs>
      <w:outlineLvl w:val="5"/>
    </w:pPr>
  </w:style>
  <w:style w:type="paragraph" w:customStyle="1" w:styleId="61">
    <w:name w:val="三级条标题"/>
    <w:basedOn w:val="62"/>
    <w:next w:val="54"/>
    <w:qFormat/>
    <w:uiPriority w:val="0"/>
    <w:pPr>
      <w:numPr>
        <w:ilvl w:val="4"/>
      </w:numPr>
      <w:tabs>
        <w:tab w:val="left" w:pos="1980"/>
      </w:tabs>
      <w:outlineLvl w:val="4"/>
    </w:pPr>
  </w:style>
  <w:style w:type="paragraph" w:customStyle="1" w:styleId="62">
    <w:name w:val="二级条标题"/>
    <w:basedOn w:val="63"/>
    <w:next w:val="54"/>
    <w:qFormat/>
    <w:uiPriority w:val="0"/>
    <w:pPr>
      <w:numPr>
        <w:ilvl w:val="3"/>
      </w:numPr>
      <w:tabs>
        <w:tab w:val="left" w:pos="1980"/>
      </w:tabs>
      <w:outlineLvl w:val="3"/>
    </w:pPr>
  </w:style>
  <w:style w:type="paragraph" w:customStyle="1" w:styleId="63">
    <w:name w:val="一级条标题"/>
    <w:basedOn w:val="64"/>
    <w:next w:val="54"/>
    <w:qFormat/>
    <w:uiPriority w:val="0"/>
    <w:pPr>
      <w:numPr>
        <w:ilvl w:val="2"/>
      </w:numPr>
      <w:tabs>
        <w:tab w:val="left" w:pos="1980"/>
      </w:tabs>
      <w:spacing w:beforeLines="0"/>
      <w:outlineLvl w:val="2"/>
    </w:pPr>
  </w:style>
  <w:style w:type="paragraph" w:customStyle="1" w:styleId="64">
    <w:name w:val="章标题"/>
    <w:next w:val="54"/>
    <w:qFormat/>
    <w:uiPriority w:val="0"/>
    <w:pPr>
      <w:numPr>
        <w:ilvl w:val="1"/>
        <w:numId w:val="2"/>
      </w:numPr>
      <w:spacing w:beforeLines="50"/>
      <w:jc w:val="both"/>
      <w:outlineLvl w:val="1"/>
    </w:pPr>
    <w:rPr>
      <w:rFonts w:ascii="黑体" w:hAnsi="Times New Roman" w:eastAsia="黑体" w:cs="Times New Roman"/>
      <w:sz w:val="21"/>
      <w:lang w:val="en-US" w:eastAsia="zh-CN" w:bidi="ar-SA"/>
    </w:rPr>
  </w:style>
  <w:style w:type="paragraph" w:customStyle="1" w:styleId="65">
    <w:name w:val="Char Char Char1 Char Char Char Char Char Char Char"/>
    <w:basedOn w:val="1"/>
    <w:qFormat/>
    <w:uiPriority w:val="0"/>
    <w:pPr>
      <w:adjustRightInd/>
      <w:spacing w:line="240" w:lineRule="auto"/>
      <w:textAlignment w:val="auto"/>
    </w:pPr>
  </w:style>
  <w:style w:type="paragraph" w:customStyle="1" w:styleId="66">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68">
    <w:name w:val="附录四级条标题"/>
    <w:basedOn w:val="50"/>
    <w:next w:val="54"/>
    <w:qFormat/>
    <w:uiPriority w:val="0"/>
    <w:pPr>
      <w:numPr>
        <w:ilvl w:val="5"/>
      </w:numPr>
      <w:outlineLvl w:val="5"/>
    </w:pPr>
  </w:style>
  <w:style w:type="paragraph" w:customStyle="1" w:styleId="69">
    <w:name w:val="Char"/>
    <w:basedOn w:val="1"/>
    <w:qFormat/>
    <w:uiPriority w:val="0"/>
    <w:pPr>
      <w:adjustRightInd/>
      <w:spacing w:line="240" w:lineRule="auto"/>
      <w:textAlignment w:val="auto"/>
    </w:pPr>
    <w:rPr>
      <w:rFonts w:ascii="Tahoma" w:hAnsi="Tahoma"/>
      <w:sz w:val="24"/>
      <w:szCs w:val="20"/>
    </w:rPr>
  </w:style>
  <w:style w:type="paragraph" w:customStyle="1" w:styleId="70">
    <w:name w:val="列项——"/>
    <w:qFormat/>
    <w:uiPriority w:val="0"/>
    <w:pPr>
      <w:widowControl w:val="0"/>
      <w:numPr>
        <w:ilvl w:val="0"/>
        <w:numId w:val="3"/>
      </w:numPr>
      <w:tabs>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2">
    <w:name w:val="五级无标题条"/>
    <w:basedOn w:val="1"/>
    <w:qFormat/>
    <w:uiPriority w:val="0"/>
    <w:pPr>
      <w:numPr>
        <w:ilvl w:val="6"/>
        <w:numId w:val="4"/>
      </w:numPr>
      <w:tabs>
        <w:tab w:val="left" w:pos="360"/>
      </w:tabs>
      <w:adjustRightInd/>
      <w:spacing w:line="240" w:lineRule="auto"/>
      <w:textAlignment w:val="auto"/>
    </w:pPr>
  </w:style>
  <w:style w:type="paragraph" w:customStyle="1" w:styleId="73">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74">
    <w:name w:val="四级无标题条"/>
    <w:basedOn w:val="1"/>
    <w:qFormat/>
    <w:uiPriority w:val="0"/>
    <w:pPr>
      <w:numPr>
        <w:ilvl w:val="5"/>
        <w:numId w:val="4"/>
      </w:numPr>
      <w:tabs>
        <w:tab w:val="left" w:pos="360"/>
      </w:tabs>
      <w:adjustRightInd/>
      <w:spacing w:line="240" w:lineRule="auto"/>
      <w:textAlignment w:val="auto"/>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正文表标题"/>
    <w:next w:val="54"/>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77">
    <w:name w:val="标准书眉_偶数页"/>
    <w:basedOn w:val="78"/>
    <w:next w:val="1"/>
    <w:qFormat/>
    <w:uiPriority w:val="0"/>
    <w:pPr>
      <w:tabs>
        <w:tab w:val="center" w:pos="4154"/>
        <w:tab w:val="right" w:pos="8306"/>
      </w:tabs>
      <w:jc w:val="left"/>
    </w:pPr>
  </w:style>
  <w:style w:type="paragraph" w:customStyle="1" w:styleId="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
    <w:name w:val="font5"/>
    <w:basedOn w:val="1"/>
    <w:qFormat/>
    <w:uiPriority w:val="0"/>
    <w:pPr>
      <w:widowControl/>
      <w:tabs>
        <w:tab w:val="left" w:pos="360"/>
      </w:tabs>
      <w:spacing w:before="100" w:beforeAutospacing="1" w:after="100" w:afterAutospacing="1"/>
      <w:jc w:val="left"/>
    </w:pPr>
    <w:rPr>
      <w:rFonts w:ascii="宋体" w:hAnsi="宋体" w:cs="Arial Unicode MS"/>
      <w:kern w:val="0"/>
      <w:sz w:val="20"/>
      <w:szCs w:val="20"/>
    </w:rPr>
  </w:style>
  <w:style w:type="paragraph" w:customStyle="1" w:styleId="80">
    <w:name w:val="发布部门"/>
    <w:next w:val="54"/>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1">
    <w:name w:val="附录五级条标题"/>
    <w:basedOn w:val="68"/>
    <w:next w:val="54"/>
    <w:qFormat/>
    <w:uiPriority w:val="0"/>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样式 标题 2 + 非加粗 首行缩进:  2 字符"/>
    <w:basedOn w:val="2"/>
    <w:qFormat/>
    <w:uiPriority w:val="0"/>
    <w:pPr>
      <w:spacing w:before="0" w:after="0" w:line="600" w:lineRule="exact"/>
      <w:ind w:firstLine="640" w:firstLineChars="200"/>
      <w:jc w:val="left"/>
    </w:pPr>
    <w:rPr>
      <w:rFonts w:cs="宋体"/>
      <w:b w:val="0"/>
      <w:bCs w:val="0"/>
      <w:szCs w:val="20"/>
    </w:rPr>
  </w:style>
  <w:style w:type="paragraph" w:customStyle="1" w:styleId="86">
    <w:name w:val="附录表标题"/>
    <w:next w:val="54"/>
    <w:qFormat/>
    <w:uiPriority w:val="0"/>
    <w:pPr>
      <w:jc w:val="center"/>
    </w:pPr>
    <w:rPr>
      <w:rFonts w:ascii="黑体" w:hAnsi="Times New Roman" w:eastAsia="黑体" w:cs="Times New Roman"/>
      <w:kern w:val="21"/>
      <w:sz w:val="21"/>
      <w:lang w:val="en-US" w:eastAsia="zh-CN" w:bidi="ar-SA"/>
    </w:rPr>
  </w:style>
  <w:style w:type="paragraph" w:customStyle="1" w:styleId="87">
    <w:name w:val="注："/>
    <w:next w:val="54"/>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88">
    <w:name w:val="实施日期"/>
    <w:basedOn w:val="89"/>
    <w:qFormat/>
    <w:uiPriority w:val="0"/>
    <w:pPr>
      <w:framePr w:hSpace="0" w:xAlign="right"/>
      <w:jc w:val="right"/>
    </w:pPr>
  </w:style>
  <w:style w:type="paragraph" w:customStyle="1" w:styleId="89">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91">
    <w:name w:val="Char Char Char Char Char Char Char Char Char Char Char Char"/>
    <w:basedOn w:val="1"/>
    <w:qFormat/>
    <w:uiPriority w:val="0"/>
    <w:pPr>
      <w:widowControl/>
      <w:spacing w:after="160" w:line="240" w:lineRule="exact"/>
      <w:jc w:val="left"/>
    </w:pPr>
  </w:style>
  <w:style w:type="paragraph" w:customStyle="1" w:styleId="92">
    <w:name w:val="附录标识"/>
    <w:basedOn w:val="66"/>
    <w:qFormat/>
    <w:uiPriority w:val="0"/>
    <w:pPr>
      <w:numPr>
        <w:ilvl w:val="0"/>
        <w:numId w:val="1"/>
      </w:numPr>
      <w:tabs>
        <w:tab w:val="left" w:pos="6405"/>
      </w:tabs>
      <w:spacing w:after="200"/>
    </w:pPr>
    <w:rPr>
      <w:sz w:val="21"/>
    </w:rPr>
  </w:style>
  <w:style w:type="paragraph" w:customStyle="1" w:styleId="9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paragraph" w:customStyle="1" w:styleId="95">
    <w:name w:val="正文图标题"/>
    <w:next w:val="54"/>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6">
    <w:name w:val="Formatvorlage layout_standard + 10 pt"/>
    <w:basedOn w:val="57"/>
    <w:qFormat/>
    <w:uiPriority w:val="0"/>
    <w:rPr>
      <w:bCs/>
      <w:sz w:val="22"/>
    </w:rPr>
  </w:style>
  <w:style w:type="paragraph" w:customStyle="1" w:styleId="97">
    <w:name w:val="二级无标题条"/>
    <w:basedOn w:val="1"/>
    <w:qFormat/>
    <w:uiPriority w:val="0"/>
    <w:pPr>
      <w:numPr>
        <w:ilvl w:val="3"/>
        <w:numId w:val="4"/>
      </w:numPr>
      <w:tabs>
        <w:tab w:val="left" w:pos="360"/>
      </w:tabs>
      <w:adjustRightInd/>
      <w:spacing w:line="240" w:lineRule="auto"/>
      <w:textAlignment w:val="auto"/>
    </w:pPr>
  </w:style>
  <w:style w:type="paragraph" w:customStyle="1" w:styleId="98">
    <w:name w:val="参考文献、索引标题"/>
    <w:basedOn w:val="66"/>
    <w:next w:val="1"/>
    <w:qFormat/>
    <w:uiPriority w:val="0"/>
    <w:pPr>
      <w:numPr>
        <w:numId w:val="0"/>
      </w:numPr>
      <w:spacing w:after="200"/>
    </w:pPr>
    <w:rPr>
      <w:sz w:val="21"/>
    </w:rPr>
  </w:style>
  <w:style w:type="paragraph" w:customStyle="1" w:styleId="99">
    <w:name w:val="Style16"/>
    <w:basedOn w:val="1"/>
    <w:qFormat/>
    <w:uiPriority w:val="0"/>
    <w:pPr>
      <w:spacing w:line="630" w:lineRule="exact"/>
      <w:ind w:firstLine="643"/>
      <w:textAlignment w:val="auto"/>
    </w:pPr>
    <w:rPr>
      <w:rFonts w:ascii="宋体"/>
      <w:kern w:val="0"/>
      <w:sz w:val="24"/>
    </w:rPr>
  </w:style>
  <w:style w:type="paragraph" w:customStyle="1" w:styleId="100">
    <w:name w:val="图表脚注"/>
    <w:next w:val="54"/>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02">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103">
    <w:name w:val="目次、标准名称标题"/>
    <w:basedOn w:val="66"/>
    <w:next w:val="54"/>
    <w:qFormat/>
    <w:uiPriority w:val="0"/>
    <w:pPr>
      <w:numPr>
        <w:numId w:val="0"/>
      </w:numPr>
      <w:spacing w:line="460" w:lineRule="exact"/>
    </w:pPr>
  </w:style>
  <w:style w:type="paragraph" w:customStyle="1" w:styleId="104">
    <w:name w:val="五级条标题"/>
    <w:basedOn w:val="60"/>
    <w:next w:val="54"/>
    <w:qFormat/>
    <w:uiPriority w:val="0"/>
    <w:pPr>
      <w:numPr>
        <w:ilvl w:val="6"/>
      </w:numPr>
      <w:outlineLvl w:val="6"/>
    </w:pPr>
  </w:style>
  <w:style w:type="paragraph" w:customStyle="1" w:styleId="105">
    <w:name w:val="_Style 101"/>
    <w:basedOn w:val="1"/>
    <w:qFormat/>
    <w:uiPriority w:val="34"/>
    <w:pPr>
      <w:ind w:firstLine="420" w:firstLineChars="200"/>
    </w:pPr>
    <w:rPr>
      <w:rFonts w:ascii="Calibri" w:hAnsi="Calibri"/>
      <w:szCs w:val="22"/>
    </w:rPr>
  </w:style>
  <w:style w:type="paragraph" w:customStyle="1" w:styleId="106">
    <w:name w:val="示例"/>
    <w:next w:val="54"/>
    <w:qFormat/>
    <w:uiPriority w:val="0"/>
    <w:pPr>
      <w:numPr>
        <w:ilvl w:val="0"/>
        <w:numId w:val="8"/>
      </w:numPr>
      <w:tabs>
        <w:tab w:val="left" w:pos="816"/>
        <w:tab w:val="left" w:pos="1120"/>
      </w:tabs>
      <w:ind w:firstLine="419" w:firstLineChars="233"/>
      <w:jc w:val="both"/>
    </w:pPr>
    <w:rPr>
      <w:rFonts w:ascii="宋体" w:hAnsi="Times New Roman" w:eastAsia="宋体" w:cs="Times New Roman"/>
      <w:sz w:val="18"/>
      <w:lang w:val="en-US" w:eastAsia="zh-CN" w:bidi="ar-SA"/>
    </w:rPr>
  </w:style>
  <w:style w:type="paragraph" w:customStyle="1" w:styleId="107">
    <w:name w:val="表右齐"/>
    <w:basedOn w:val="1"/>
    <w:qFormat/>
    <w:uiPriority w:val="0"/>
    <w:pPr>
      <w:autoSpaceDE w:val="0"/>
      <w:autoSpaceDN w:val="0"/>
      <w:ind w:left="720" w:right="332"/>
      <w:jc w:val="right"/>
    </w:pPr>
    <w:rPr>
      <w:rFonts w:hAnsi="Arial"/>
      <w:kern w:val="0"/>
      <w:szCs w:val="20"/>
    </w:rPr>
  </w:style>
  <w:style w:type="paragraph" w:customStyle="1" w:styleId="108">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1">
    <w:name w:val="Char1"/>
    <w:basedOn w:val="1"/>
    <w:qFormat/>
    <w:uiPriority w:val="0"/>
    <w:pPr>
      <w:adjustRightInd/>
      <w:spacing w:line="240" w:lineRule="auto"/>
      <w:textAlignment w:val="auto"/>
    </w:pPr>
    <w:rPr>
      <w:szCs w:val="21"/>
    </w:rPr>
  </w:style>
  <w:style w:type="paragraph" w:customStyle="1" w:styleId="112">
    <w:name w:val="Char Char Char Char Char Char Char"/>
    <w:basedOn w:val="1"/>
    <w:qFormat/>
    <w:uiPriority w:val="0"/>
    <w:pPr>
      <w:adjustRightInd/>
      <w:spacing w:line="240" w:lineRule="auto"/>
      <w:textAlignment w:val="auto"/>
    </w:pPr>
  </w:style>
  <w:style w:type="paragraph" w:customStyle="1" w:styleId="113">
    <w:name w:val="表格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114">
    <w:name w:val="字母编号列项（一级）"/>
    <w:qFormat/>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115">
    <w:name w:val="条文脚注"/>
    <w:basedOn w:val="26"/>
    <w:qFormat/>
    <w:uiPriority w:val="0"/>
    <w:pPr>
      <w:adjustRightInd/>
      <w:spacing w:line="240" w:lineRule="auto"/>
      <w:ind w:left="200" w:leftChars="200" w:hanging="360" w:hangingChars="200"/>
      <w:jc w:val="both"/>
      <w:textAlignment w:val="auto"/>
    </w:pPr>
    <w:rPr>
      <w:rFonts w:ascii="宋体" w:hAnsi="宋体"/>
    </w:rPr>
  </w:style>
  <w:style w:type="paragraph" w:customStyle="1" w:styleId="116">
    <w:name w:val="Char Char Char"/>
    <w:basedOn w:val="1"/>
    <w:qFormat/>
    <w:uiPriority w:val="0"/>
    <w:pPr>
      <w:adjustRightInd/>
      <w:spacing w:line="240" w:lineRule="auto"/>
      <w:textAlignment w:val="auto"/>
    </w:pPr>
    <w:rPr>
      <w:szCs w:val="20"/>
    </w:rPr>
  </w:style>
  <w:style w:type="paragraph" w:customStyle="1" w:styleId="117">
    <w:name w:val="Char Char Char Char Char Char Char1"/>
    <w:basedOn w:val="1"/>
    <w:qFormat/>
    <w:uiPriority w:val="0"/>
  </w:style>
  <w:style w:type="paragraph" w:customStyle="1" w:styleId="1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9">
    <w:name w:val="列项·"/>
    <w:qFormat/>
    <w:uiPriority w:val="0"/>
    <w:pPr>
      <w:numPr>
        <w:ilvl w:val="0"/>
        <w:numId w:val="9"/>
      </w:numPr>
      <w:tabs>
        <w:tab w:val="left" w:pos="840"/>
        <w:tab w:val="left" w:pos="1140"/>
      </w:tabs>
      <w:ind w:left="200" w:leftChars="200" w:hanging="420" w:hangingChars="200"/>
      <w:jc w:val="both"/>
    </w:pPr>
    <w:rPr>
      <w:rFonts w:ascii="宋体" w:hAnsi="Times New Roman" w:eastAsia="宋体" w:cs="Times New Roman"/>
      <w:sz w:val="21"/>
      <w:lang w:val="en-US" w:eastAsia="zh-CN" w:bidi="ar-SA"/>
    </w:rPr>
  </w:style>
  <w:style w:type="paragraph" w:customStyle="1" w:styleId="120">
    <w:name w:val="注×："/>
    <w:qFormat/>
    <w:uiPriority w:val="0"/>
    <w:pPr>
      <w:widowControl w:val="0"/>
      <w:numPr>
        <w:ilvl w:val="0"/>
        <w:numId w:val="10"/>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121">
    <w:name w:val="其他发布部门"/>
    <w:basedOn w:val="80"/>
    <w:qFormat/>
    <w:uiPriority w:val="0"/>
    <w:pPr>
      <w:spacing w:line="0" w:lineRule="atLeast"/>
    </w:pPr>
    <w:rPr>
      <w:rFonts w:ascii="黑体" w:eastAsia="黑体"/>
      <w:b w:val="0"/>
    </w:rPr>
  </w:style>
  <w:style w:type="paragraph" w:customStyle="1" w:styleId="122">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3">
    <w:name w:val="一级无标题条"/>
    <w:basedOn w:val="1"/>
    <w:qFormat/>
    <w:uiPriority w:val="0"/>
    <w:pPr>
      <w:numPr>
        <w:ilvl w:val="2"/>
        <w:numId w:val="4"/>
      </w:numPr>
      <w:tabs>
        <w:tab w:val="left" w:pos="360"/>
      </w:tabs>
      <w:adjustRightInd/>
      <w:spacing w:line="240" w:lineRule="auto"/>
      <w:textAlignment w:val="auto"/>
    </w:pPr>
  </w:style>
  <w:style w:type="paragraph" w:customStyle="1" w:styleId="124">
    <w:name w:val="数字编号列项（二级）"/>
    <w:qFormat/>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125">
    <w:name w:val="图表 标题"/>
    <w:basedOn w:val="1"/>
    <w:link w:val="200"/>
    <w:qFormat/>
    <w:uiPriority w:val="0"/>
    <w:pPr>
      <w:autoSpaceDN w:val="0"/>
      <w:adjustRightInd/>
      <w:spacing w:line="360" w:lineRule="auto"/>
      <w:jc w:val="center"/>
      <w:textAlignment w:val="auto"/>
    </w:pPr>
    <w:rPr>
      <w:sz w:val="24"/>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
    <w:name w:val="三级无标题条"/>
    <w:basedOn w:val="1"/>
    <w:qFormat/>
    <w:uiPriority w:val="0"/>
    <w:pPr>
      <w:numPr>
        <w:ilvl w:val="4"/>
        <w:numId w:val="4"/>
      </w:numPr>
      <w:tabs>
        <w:tab w:val="left" w:pos="360"/>
      </w:tabs>
      <w:adjustRightInd/>
      <w:spacing w:line="240" w:lineRule="auto"/>
      <w:textAlignment w:val="auto"/>
    </w:pPr>
  </w:style>
  <w:style w:type="paragraph" w:customStyle="1" w:styleId="129">
    <w:name w:val="Char Char Char Char"/>
    <w:basedOn w:val="1"/>
    <w:qFormat/>
    <w:uiPriority w:val="0"/>
    <w:pPr>
      <w:widowControl/>
      <w:adjustRightInd/>
      <w:spacing w:after="160" w:line="240" w:lineRule="exact"/>
      <w:jc w:val="left"/>
      <w:textAlignment w:val="auto"/>
    </w:pPr>
  </w:style>
  <w:style w:type="paragraph" w:customStyle="1" w:styleId="130">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1">
    <w:name w:val="Default"/>
    <w:qFormat/>
    <w:uiPriority w:val="0"/>
    <w:pPr>
      <w:widowControl w:val="0"/>
      <w:autoSpaceDE w:val="0"/>
      <w:autoSpaceDN w:val="0"/>
      <w:adjustRightInd w:val="0"/>
      <w:spacing w:line="360" w:lineRule="exact"/>
      <w:jc w:val="center"/>
    </w:pPr>
    <w:rPr>
      <w:rFonts w:ascii="宋体" w:hAnsi="宋体" w:eastAsia="宋体" w:cs="宋体"/>
      <w:color w:val="000000"/>
      <w:sz w:val="24"/>
      <w:szCs w:val="24"/>
      <w:lang w:val="en-US" w:eastAsia="zh-CN" w:bidi="ar-SA"/>
    </w:rPr>
  </w:style>
  <w:style w:type="paragraph" w:customStyle="1" w:styleId="132">
    <w:name w:val="Char Char Char Char Char Char Char Char Char Char Char Char1"/>
    <w:basedOn w:val="1"/>
    <w:qFormat/>
    <w:uiPriority w:val="0"/>
    <w:pPr>
      <w:widowControl/>
      <w:adjustRightInd/>
      <w:spacing w:after="160" w:line="240" w:lineRule="exact"/>
      <w:jc w:val="left"/>
      <w:textAlignment w:val="auto"/>
    </w:pPr>
  </w:style>
  <w:style w:type="paragraph" w:customStyle="1" w:styleId="133">
    <w:name w:val="列出段落1"/>
    <w:basedOn w:val="1"/>
    <w:qFormat/>
    <w:uiPriority w:val="0"/>
    <w:pPr>
      <w:ind w:firstLine="420" w:firstLineChars="200"/>
    </w:pPr>
    <w:rPr>
      <w:rFonts w:ascii="Calibri" w:hAnsi="Calibri"/>
      <w:szCs w:val="22"/>
    </w:rPr>
  </w:style>
  <w:style w:type="character" w:customStyle="1" w:styleId="134">
    <w:name w:val="Font Style71"/>
    <w:qFormat/>
    <w:uiPriority w:val="0"/>
    <w:rPr>
      <w:rFonts w:ascii="宋体" w:eastAsia="宋体" w:cs="宋体"/>
      <w:b/>
      <w:bCs/>
      <w:spacing w:val="20"/>
      <w:sz w:val="28"/>
      <w:szCs w:val="28"/>
    </w:rPr>
  </w:style>
  <w:style w:type="character" w:customStyle="1" w:styleId="135">
    <w:name w:val="批注文字 Char2"/>
    <w:basedOn w:val="35"/>
    <w:semiHidden/>
    <w:qFormat/>
    <w:uiPriority w:val="0"/>
    <w:rPr>
      <w:kern w:val="2"/>
      <w:sz w:val="21"/>
      <w:szCs w:val="24"/>
    </w:rPr>
  </w:style>
  <w:style w:type="character" w:customStyle="1" w:styleId="136">
    <w:name w:val="纯文本 Char2"/>
    <w:basedOn w:val="35"/>
    <w:qFormat/>
    <w:uiPriority w:val="0"/>
    <w:rPr>
      <w:rFonts w:ascii="宋体" w:hAnsi="Courier New" w:cs="Courier New"/>
      <w:kern w:val="2"/>
      <w:sz w:val="21"/>
      <w:szCs w:val="21"/>
    </w:rPr>
  </w:style>
  <w:style w:type="character" w:customStyle="1" w:styleId="137">
    <w:name w:val="标题 2 字符"/>
    <w:link w:val="2"/>
    <w:qFormat/>
    <w:uiPriority w:val="0"/>
    <w:rPr>
      <w:rFonts w:ascii="Arial" w:hAnsi="Arial" w:eastAsia="黑体"/>
      <w:b/>
      <w:bCs/>
      <w:kern w:val="2"/>
      <w:sz w:val="32"/>
      <w:szCs w:val="32"/>
      <w:lang w:val="en-US" w:eastAsia="zh-CN" w:bidi="ar-SA"/>
    </w:rPr>
  </w:style>
  <w:style w:type="character" w:customStyle="1" w:styleId="138">
    <w:name w:val="发布"/>
    <w:basedOn w:val="35"/>
    <w:qFormat/>
    <w:uiPriority w:val="0"/>
    <w:rPr>
      <w:rFonts w:hint="eastAsia" w:ascii="黑体" w:hAnsi="黑体" w:eastAsia="黑体"/>
      <w:spacing w:val="22"/>
      <w:w w:val="100"/>
      <w:position w:val="3"/>
      <w:sz w:val="28"/>
    </w:rPr>
  </w:style>
  <w:style w:type="character" w:customStyle="1" w:styleId="139">
    <w:name w:val="纯文本 Char1"/>
    <w:qFormat/>
    <w:uiPriority w:val="0"/>
    <w:rPr>
      <w:rFonts w:ascii="宋体" w:hAnsi="Courier New" w:eastAsia="宋体"/>
      <w:kern w:val="2"/>
      <w:sz w:val="21"/>
      <w:lang w:val="en-US" w:eastAsia="zh-CN" w:bidi="ar-SA"/>
    </w:rPr>
  </w:style>
  <w:style w:type="character" w:customStyle="1" w:styleId="140">
    <w:name w:val="HTML 地址 Char1"/>
    <w:basedOn w:val="35"/>
    <w:semiHidden/>
    <w:qFormat/>
    <w:uiPriority w:val="99"/>
    <w:rPr>
      <w:i/>
      <w:iCs/>
      <w:kern w:val="2"/>
      <w:sz w:val="21"/>
      <w:szCs w:val="24"/>
    </w:rPr>
  </w:style>
  <w:style w:type="character" w:customStyle="1" w:styleId="141">
    <w:name w:val="批注框文本 字符"/>
    <w:basedOn w:val="35"/>
    <w:link w:val="21"/>
    <w:qFormat/>
    <w:locked/>
    <w:uiPriority w:val="0"/>
    <w:rPr>
      <w:kern w:val="2"/>
      <w:sz w:val="18"/>
      <w:szCs w:val="18"/>
    </w:rPr>
  </w:style>
  <w:style w:type="character" w:customStyle="1" w:styleId="142">
    <w:name w:val="Char Char2"/>
    <w:basedOn w:val="35"/>
    <w:qFormat/>
    <w:locked/>
    <w:uiPriority w:val="0"/>
    <w:rPr>
      <w:rFonts w:ascii="Courier New" w:hAnsi="Courier New" w:eastAsia="宋体" w:cs="Courier New"/>
      <w:kern w:val="2"/>
      <w:lang w:val="en-US" w:eastAsia="zh-CN" w:bidi="ar-SA"/>
    </w:rPr>
  </w:style>
  <w:style w:type="character" w:customStyle="1" w:styleId="143">
    <w:name w:val="批注主题 Char1"/>
    <w:basedOn w:val="135"/>
    <w:semiHidden/>
    <w:qFormat/>
    <w:uiPriority w:val="99"/>
    <w:rPr>
      <w:b/>
      <w:bCs/>
      <w:kern w:val="2"/>
      <w:sz w:val="21"/>
      <w:szCs w:val="24"/>
    </w:rPr>
  </w:style>
  <w:style w:type="character" w:customStyle="1" w:styleId="144">
    <w:name w:val="Char Char11"/>
    <w:basedOn w:val="35"/>
    <w:qFormat/>
    <w:locked/>
    <w:uiPriority w:val="0"/>
    <w:rPr>
      <w:rFonts w:ascii="宋体" w:hAnsi="宋体" w:eastAsia="宋体"/>
      <w:kern w:val="2"/>
      <w:sz w:val="21"/>
      <w:szCs w:val="24"/>
      <w:lang w:val="en-US" w:eastAsia="zh-CN" w:bidi="ar-SA"/>
    </w:rPr>
  </w:style>
  <w:style w:type="character" w:customStyle="1" w:styleId="145">
    <w:name w:val="批注文字 字符"/>
    <w:link w:val="12"/>
    <w:qFormat/>
    <w:uiPriority w:val="0"/>
    <w:rPr>
      <w:kern w:val="2"/>
      <w:sz w:val="21"/>
      <w:szCs w:val="24"/>
    </w:rPr>
  </w:style>
  <w:style w:type="character" w:customStyle="1" w:styleId="146">
    <w:name w:val="页脚 Char1"/>
    <w:basedOn w:val="35"/>
    <w:semiHidden/>
    <w:qFormat/>
    <w:uiPriority w:val="99"/>
    <w:rPr>
      <w:kern w:val="2"/>
      <w:sz w:val="18"/>
      <w:szCs w:val="18"/>
    </w:rPr>
  </w:style>
  <w:style w:type="character" w:customStyle="1" w:styleId="147">
    <w:name w:val="正文文本 Char1"/>
    <w:basedOn w:val="35"/>
    <w:semiHidden/>
    <w:qFormat/>
    <w:uiPriority w:val="99"/>
    <w:rPr>
      <w:kern w:val="2"/>
      <w:sz w:val="21"/>
      <w:szCs w:val="24"/>
    </w:rPr>
  </w:style>
  <w:style w:type="character" w:customStyle="1" w:styleId="148">
    <w:name w:val="Char Char20"/>
    <w:basedOn w:val="35"/>
    <w:qFormat/>
    <w:locked/>
    <w:uiPriority w:val="0"/>
    <w:rPr>
      <w:rFonts w:ascii="Arial" w:hAnsi="Arial" w:eastAsia="黑体"/>
      <w:b/>
      <w:bCs/>
      <w:kern w:val="2"/>
      <w:sz w:val="32"/>
      <w:szCs w:val="32"/>
      <w:lang w:val="en-US" w:eastAsia="zh-CN" w:bidi="ar-SA"/>
    </w:rPr>
  </w:style>
  <w:style w:type="character" w:customStyle="1" w:styleId="149">
    <w:name w:val="Char Char8"/>
    <w:qFormat/>
    <w:locked/>
    <w:uiPriority w:val="0"/>
    <w:rPr>
      <w:rFonts w:ascii="宋体" w:hAnsi="Courier New" w:eastAsia="宋体"/>
      <w:spacing w:val="-4"/>
      <w:kern w:val="2"/>
      <w:sz w:val="18"/>
      <w:lang w:val="en-US" w:eastAsia="zh-CN" w:bidi="ar-SA"/>
    </w:rPr>
  </w:style>
  <w:style w:type="character" w:customStyle="1" w:styleId="150">
    <w:name w:val="fo Char"/>
    <w:qFormat/>
    <w:uiPriority w:val="0"/>
    <w:rPr>
      <w:sz w:val="18"/>
      <w:szCs w:val="18"/>
    </w:rPr>
  </w:style>
  <w:style w:type="character" w:customStyle="1" w:styleId="151">
    <w:name w:val="Char Char19"/>
    <w:basedOn w:val="35"/>
    <w:qFormat/>
    <w:locked/>
    <w:uiPriority w:val="0"/>
    <w:rPr>
      <w:rFonts w:eastAsia="宋体"/>
      <w:b/>
      <w:bCs/>
      <w:kern w:val="2"/>
      <w:sz w:val="32"/>
      <w:szCs w:val="32"/>
      <w:lang w:val="en-US" w:eastAsia="zh-CN" w:bidi="ar-SA"/>
    </w:rPr>
  </w:style>
  <w:style w:type="character" w:customStyle="1" w:styleId="152">
    <w:name w:val="正文文本 3 字符"/>
    <w:link w:val="13"/>
    <w:qFormat/>
    <w:uiPriority w:val="0"/>
    <w:rPr>
      <w:rFonts w:eastAsia="仿宋_GB2312"/>
      <w:sz w:val="28"/>
      <w:lang w:bidi="ar-SA"/>
    </w:rPr>
  </w:style>
  <w:style w:type="character" w:customStyle="1" w:styleId="153">
    <w:name w:val="HTML 预设格式 Char1"/>
    <w:basedOn w:val="35"/>
    <w:semiHidden/>
    <w:qFormat/>
    <w:uiPriority w:val="99"/>
    <w:rPr>
      <w:rFonts w:ascii="Courier New" w:hAnsi="Courier New" w:cs="Courier New"/>
      <w:kern w:val="2"/>
    </w:rPr>
  </w:style>
  <w:style w:type="character" w:customStyle="1" w:styleId="154">
    <w:name w:val="副标题 字符"/>
    <w:link w:val="25"/>
    <w:qFormat/>
    <w:uiPriority w:val="0"/>
    <w:rPr>
      <w:rFonts w:ascii="Cambria" w:hAnsi="Cambria" w:eastAsia="宋体"/>
      <w:b/>
      <w:bCs/>
      <w:kern w:val="28"/>
      <w:sz w:val="32"/>
      <w:szCs w:val="32"/>
      <w:lang w:val="en-US" w:eastAsia="zh-CN" w:bidi="ar-SA"/>
    </w:rPr>
  </w:style>
  <w:style w:type="character" w:customStyle="1" w:styleId="155">
    <w:name w:val="页眉 Char1"/>
    <w:basedOn w:val="35"/>
    <w:semiHidden/>
    <w:qFormat/>
    <w:uiPriority w:val="99"/>
    <w:rPr>
      <w:kern w:val="2"/>
      <w:sz w:val="18"/>
      <w:szCs w:val="18"/>
    </w:rPr>
  </w:style>
  <w:style w:type="character" w:customStyle="1" w:styleId="156">
    <w:name w:val="标题 9 字符"/>
    <w:basedOn w:val="35"/>
    <w:link w:val="10"/>
    <w:qFormat/>
    <w:uiPriority w:val="0"/>
    <w:rPr>
      <w:rFonts w:ascii="Arial" w:hAnsi="Arial" w:eastAsia="黑体"/>
      <w:kern w:val="2"/>
      <w:sz w:val="21"/>
      <w:szCs w:val="21"/>
    </w:rPr>
  </w:style>
  <w:style w:type="character" w:customStyle="1" w:styleId="157">
    <w:name w:val="标题 5 字符"/>
    <w:link w:val="6"/>
    <w:qFormat/>
    <w:uiPriority w:val="0"/>
    <w:rPr>
      <w:rFonts w:eastAsia="宋体"/>
      <w:b/>
      <w:bCs/>
      <w:kern w:val="2"/>
      <w:sz w:val="28"/>
      <w:szCs w:val="28"/>
      <w:lang w:val="en-US" w:eastAsia="zh-CN" w:bidi="ar-SA"/>
    </w:rPr>
  </w:style>
  <w:style w:type="character" w:customStyle="1" w:styleId="158">
    <w:name w:val="标题 6 字符"/>
    <w:basedOn w:val="35"/>
    <w:link w:val="7"/>
    <w:qFormat/>
    <w:uiPriority w:val="0"/>
    <w:rPr>
      <w:rFonts w:ascii="Arial" w:hAnsi="Arial" w:eastAsia="黑体"/>
      <w:b/>
      <w:bCs/>
      <w:kern w:val="2"/>
      <w:sz w:val="24"/>
      <w:szCs w:val="24"/>
    </w:rPr>
  </w:style>
  <w:style w:type="character" w:customStyle="1" w:styleId="159">
    <w:name w:val="正文文本 字符"/>
    <w:link w:val="14"/>
    <w:qFormat/>
    <w:uiPriority w:val="0"/>
    <w:rPr>
      <w:rFonts w:ascii="金山简黑体" w:hAnsi="Courier New" w:eastAsia="金山简黑体"/>
      <w:b/>
      <w:spacing w:val="-8"/>
      <w:sz w:val="44"/>
      <w:lang w:bidi="ar-SA"/>
    </w:rPr>
  </w:style>
  <w:style w:type="character" w:customStyle="1" w:styleId="160">
    <w:name w:val="标题1"/>
    <w:basedOn w:val="35"/>
    <w:qFormat/>
    <w:uiPriority w:val="0"/>
  </w:style>
  <w:style w:type="character" w:customStyle="1" w:styleId="161">
    <w:name w:val="日期 字符"/>
    <w:link w:val="19"/>
    <w:qFormat/>
    <w:uiPriority w:val="0"/>
    <w:rPr>
      <w:rFonts w:eastAsia="宋体"/>
      <w:kern w:val="2"/>
      <w:sz w:val="21"/>
      <w:szCs w:val="24"/>
      <w:lang w:val="en-US" w:eastAsia="zh-CN" w:bidi="ar-SA"/>
    </w:rPr>
  </w:style>
  <w:style w:type="character" w:customStyle="1" w:styleId="162">
    <w:name w:val="Font Style73"/>
    <w:qFormat/>
    <w:uiPriority w:val="0"/>
    <w:rPr>
      <w:rFonts w:ascii="宋体" w:eastAsia="宋体" w:cs="宋体"/>
      <w:b/>
      <w:bCs/>
      <w:spacing w:val="10"/>
      <w:sz w:val="28"/>
      <w:szCs w:val="28"/>
    </w:rPr>
  </w:style>
  <w:style w:type="character" w:customStyle="1" w:styleId="163">
    <w:name w:val="批注框文本 Char1"/>
    <w:basedOn w:val="35"/>
    <w:semiHidden/>
    <w:qFormat/>
    <w:uiPriority w:val="99"/>
    <w:rPr>
      <w:kern w:val="2"/>
      <w:sz w:val="18"/>
      <w:szCs w:val="18"/>
    </w:rPr>
  </w:style>
  <w:style w:type="character" w:customStyle="1" w:styleId="164">
    <w:name w:val="日期 Char1"/>
    <w:basedOn w:val="35"/>
    <w:semiHidden/>
    <w:qFormat/>
    <w:uiPriority w:val="99"/>
    <w:rPr>
      <w:kern w:val="2"/>
      <w:sz w:val="21"/>
      <w:szCs w:val="24"/>
    </w:rPr>
  </w:style>
  <w:style w:type="character" w:customStyle="1" w:styleId="165">
    <w:name w:val="Char Char17"/>
    <w:basedOn w:val="35"/>
    <w:qFormat/>
    <w:locked/>
    <w:uiPriority w:val="0"/>
    <w:rPr>
      <w:rFonts w:eastAsia="宋体"/>
      <w:b/>
      <w:bCs/>
      <w:kern w:val="2"/>
      <w:sz w:val="28"/>
      <w:szCs w:val="28"/>
      <w:lang w:val="en-US" w:eastAsia="zh-CN" w:bidi="ar-SA"/>
    </w:rPr>
  </w:style>
  <w:style w:type="character" w:customStyle="1" w:styleId="166">
    <w:name w:val="正文文本 2 Char1"/>
    <w:basedOn w:val="35"/>
    <w:semiHidden/>
    <w:qFormat/>
    <w:uiPriority w:val="99"/>
    <w:rPr>
      <w:kern w:val="2"/>
      <w:sz w:val="21"/>
      <w:szCs w:val="24"/>
    </w:rPr>
  </w:style>
  <w:style w:type="character" w:customStyle="1" w:styleId="167">
    <w:name w:val="正文文本 3 Char1"/>
    <w:basedOn w:val="35"/>
    <w:semiHidden/>
    <w:qFormat/>
    <w:uiPriority w:val="99"/>
    <w:rPr>
      <w:kern w:val="2"/>
      <w:sz w:val="16"/>
      <w:szCs w:val="16"/>
    </w:rPr>
  </w:style>
  <w:style w:type="character" w:customStyle="1" w:styleId="168">
    <w:name w:val="apple-style-span"/>
    <w:basedOn w:val="35"/>
    <w:qFormat/>
    <w:uiPriority w:val="0"/>
  </w:style>
  <w:style w:type="character" w:customStyle="1" w:styleId="169">
    <w:name w:val="正文文本缩进 Char1"/>
    <w:basedOn w:val="35"/>
    <w:semiHidden/>
    <w:qFormat/>
    <w:uiPriority w:val="99"/>
    <w:rPr>
      <w:kern w:val="2"/>
      <w:sz w:val="21"/>
      <w:szCs w:val="24"/>
    </w:rPr>
  </w:style>
  <w:style w:type="character" w:customStyle="1" w:styleId="170">
    <w:name w:val="文档结构图 字符"/>
    <w:basedOn w:val="35"/>
    <w:link w:val="11"/>
    <w:semiHidden/>
    <w:qFormat/>
    <w:locked/>
    <w:uiPriority w:val="0"/>
    <w:rPr>
      <w:kern w:val="2"/>
      <w:sz w:val="21"/>
      <w:szCs w:val="24"/>
      <w:shd w:val="clear" w:color="auto" w:fill="000080"/>
    </w:rPr>
  </w:style>
  <w:style w:type="character" w:customStyle="1" w:styleId="171">
    <w:name w:val="普通文字 Char Char1"/>
    <w:qFormat/>
    <w:uiPriority w:val="0"/>
    <w:rPr>
      <w:rFonts w:ascii="宋体" w:hAnsi="Courier New" w:eastAsia="宋体"/>
      <w:kern w:val="2"/>
      <w:sz w:val="21"/>
      <w:lang w:val="en-US" w:eastAsia="zh-CN" w:bidi="ar-SA"/>
    </w:rPr>
  </w:style>
  <w:style w:type="character" w:customStyle="1" w:styleId="172">
    <w:name w:val="页脚 字符"/>
    <w:link w:val="22"/>
    <w:qFormat/>
    <w:uiPriority w:val="99"/>
    <w:rPr>
      <w:rFonts w:eastAsia="宋体"/>
      <w:kern w:val="2"/>
      <w:sz w:val="18"/>
      <w:szCs w:val="18"/>
      <w:lang w:val="en-US" w:eastAsia="zh-CN" w:bidi="ar-SA"/>
    </w:rPr>
  </w:style>
  <w:style w:type="character" w:customStyle="1" w:styleId="173">
    <w:name w:val="Char Char18"/>
    <w:basedOn w:val="35"/>
    <w:qFormat/>
    <w:locked/>
    <w:uiPriority w:val="0"/>
    <w:rPr>
      <w:rFonts w:ascii="Arial" w:eastAsia="黑体"/>
      <w:sz w:val="28"/>
      <w:lang w:val="en-US" w:eastAsia="zh-CN" w:bidi="ar-SA"/>
    </w:rPr>
  </w:style>
  <w:style w:type="character" w:customStyle="1" w:styleId="174">
    <w:name w:val="HTML 预设格式 字符"/>
    <w:link w:val="29"/>
    <w:qFormat/>
    <w:uiPriority w:val="0"/>
    <w:rPr>
      <w:rFonts w:ascii="宋体" w:hAnsi="宋体" w:eastAsia="宋体"/>
      <w:sz w:val="24"/>
      <w:szCs w:val="24"/>
      <w:lang w:bidi="ar-SA"/>
    </w:rPr>
  </w:style>
  <w:style w:type="character" w:customStyle="1" w:styleId="175">
    <w:name w:val="标题 8 字符"/>
    <w:basedOn w:val="35"/>
    <w:link w:val="9"/>
    <w:qFormat/>
    <w:uiPriority w:val="0"/>
    <w:rPr>
      <w:rFonts w:ascii="Arial" w:hAnsi="Arial" w:eastAsia="黑体"/>
      <w:kern w:val="2"/>
      <w:sz w:val="24"/>
      <w:szCs w:val="24"/>
    </w:rPr>
  </w:style>
  <w:style w:type="character" w:customStyle="1" w:styleId="176">
    <w:name w:val="标题 Char1"/>
    <w:basedOn w:val="35"/>
    <w:qFormat/>
    <w:uiPriority w:val="10"/>
    <w:rPr>
      <w:rFonts w:ascii="Cambria" w:hAnsi="Cambria" w:cs="Times New Roman"/>
      <w:b/>
      <w:bCs/>
      <w:kern w:val="2"/>
      <w:sz w:val="32"/>
      <w:szCs w:val="32"/>
    </w:rPr>
  </w:style>
  <w:style w:type="character" w:customStyle="1" w:styleId="177">
    <w:name w:val="Char Char12"/>
    <w:basedOn w:val="35"/>
    <w:qFormat/>
    <w:locked/>
    <w:uiPriority w:val="0"/>
    <w:rPr>
      <w:rFonts w:ascii="宋体" w:hAnsi="宋体" w:eastAsia="宋体"/>
      <w:kern w:val="2"/>
      <w:sz w:val="18"/>
      <w:szCs w:val="18"/>
      <w:lang w:val="en-US" w:eastAsia="zh-CN" w:bidi="ar-SA"/>
    </w:rPr>
  </w:style>
  <w:style w:type="character" w:customStyle="1" w:styleId="178">
    <w:name w:val="正文文本缩进 2 Char1"/>
    <w:basedOn w:val="35"/>
    <w:semiHidden/>
    <w:qFormat/>
    <w:uiPriority w:val="99"/>
    <w:rPr>
      <w:kern w:val="2"/>
      <w:sz w:val="21"/>
      <w:szCs w:val="24"/>
    </w:rPr>
  </w:style>
  <w:style w:type="character" w:customStyle="1" w:styleId="179">
    <w:name w:val="批注主题 字符"/>
    <w:basedOn w:val="145"/>
    <w:link w:val="32"/>
    <w:qFormat/>
    <w:uiPriority w:val="0"/>
    <w:rPr>
      <w:kern w:val="2"/>
      <w:sz w:val="21"/>
      <w:szCs w:val="24"/>
    </w:rPr>
  </w:style>
  <w:style w:type="character" w:customStyle="1" w:styleId="180">
    <w:name w:val="Char Char6"/>
    <w:basedOn w:val="35"/>
    <w:qFormat/>
    <w:locked/>
    <w:uiPriority w:val="0"/>
    <w:rPr>
      <w:rFonts w:ascii="宋体" w:hAnsi="宋体" w:eastAsia="宋体"/>
      <w:kern w:val="2"/>
      <w:sz w:val="18"/>
      <w:szCs w:val="18"/>
      <w:lang w:val="en-US" w:eastAsia="zh-CN" w:bidi="ar-SA"/>
    </w:rPr>
  </w:style>
  <w:style w:type="character" w:customStyle="1" w:styleId="181">
    <w:name w:val="h Char"/>
    <w:qFormat/>
    <w:uiPriority w:val="0"/>
    <w:rPr>
      <w:rFonts w:ascii="Times New Roman" w:hAnsi="Times New Roman"/>
      <w:kern w:val="2"/>
      <w:sz w:val="18"/>
      <w:szCs w:val="18"/>
    </w:rPr>
  </w:style>
  <w:style w:type="character" w:customStyle="1" w:styleId="182">
    <w:name w:val="Char Char21"/>
    <w:basedOn w:val="35"/>
    <w:qFormat/>
    <w:locked/>
    <w:uiPriority w:val="0"/>
    <w:rPr>
      <w:rFonts w:eastAsia="宋体"/>
      <w:b/>
      <w:bCs/>
      <w:kern w:val="44"/>
      <w:sz w:val="44"/>
      <w:szCs w:val="44"/>
      <w:lang w:val="en-US" w:eastAsia="zh-CN" w:bidi="ar-SA"/>
    </w:rPr>
  </w:style>
  <w:style w:type="character" w:customStyle="1" w:styleId="183">
    <w:name w:val="正文文本缩进 2 字符"/>
    <w:link w:val="20"/>
    <w:qFormat/>
    <w:uiPriority w:val="0"/>
    <w:rPr>
      <w:rFonts w:eastAsia="宋体"/>
      <w:kern w:val="2"/>
      <w:sz w:val="21"/>
      <w:szCs w:val="24"/>
      <w:lang w:val="en-US" w:eastAsia="zh-CN" w:bidi="ar-SA"/>
    </w:rPr>
  </w:style>
  <w:style w:type="character" w:customStyle="1" w:styleId="184">
    <w:name w:val="标题 4 字符"/>
    <w:link w:val="5"/>
    <w:qFormat/>
    <w:uiPriority w:val="0"/>
    <w:rPr>
      <w:rFonts w:ascii="Arial" w:eastAsia="黑体"/>
      <w:sz w:val="28"/>
      <w:lang w:val="en-US" w:eastAsia="zh-CN" w:bidi="ar-SA"/>
    </w:rPr>
  </w:style>
  <w:style w:type="character" w:customStyle="1" w:styleId="185">
    <w:name w:val="HTML 地址 字符"/>
    <w:basedOn w:val="35"/>
    <w:link w:val="17"/>
    <w:qFormat/>
    <w:locked/>
    <w:uiPriority w:val="0"/>
    <w:rPr>
      <w:rFonts w:ascii="宋体" w:hAnsi="宋体"/>
      <w:i/>
      <w:iCs/>
      <w:kern w:val="2"/>
      <w:sz w:val="21"/>
      <w:szCs w:val="24"/>
    </w:rPr>
  </w:style>
  <w:style w:type="character" w:customStyle="1" w:styleId="186">
    <w:name w:val="脚注文本 Char1"/>
    <w:basedOn w:val="35"/>
    <w:semiHidden/>
    <w:qFormat/>
    <w:uiPriority w:val="99"/>
    <w:rPr>
      <w:kern w:val="2"/>
      <w:sz w:val="18"/>
      <w:szCs w:val="18"/>
    </w:rPr>
  </w:style>
  <w:style w:type="character" w:customStyle="1" w:styleId="187">
    <w:name w:val="Char Char7"/>
    <w:basedOn w:val="35"/>
    <w:qFormat/>
    <w:locked/>
    <w:uiPriority w:val="0"/>
    <w:rPr>
      <w:rFonts w:ascii="宋体" w:hAnsi="宋体" w:eastAsia="宋体"/>
      <w:kern w:val="2"/>
      <w:sz w:val="21"/>
      <w:szCs w:val="24"/>
      <w:lang w:val="en-US" w:eastAsia="zh-CN" w:bidi="ar-SA"/>
    </w:rPr>
  </w:style>
  <w:style w:type="character" w:customStyle="1" w:styleId="188">
    <w:name w:val="textcontents"/>
    <w:basedOn w:val="35"/>
    <w:qFormat/>
    <w:uiPriority w:val="0"/>
  </w:style>
  <w:style w:type="character" w:customStyle="1" w:styleId="189">
    <w:name w:val="Char Char10"/>
    <w:basedOn w:val="35"/>
    <w:qFormat/>
    <w:locked/>
    <w:uiPriority w:val="0"/>
    <w:rPr>
      <w:rFonts w:ascii="宋体" w:hAnsi="宋体" w:eastAsia="宋体"/>
      <w:kern w:val="2"/>
      <w:sz w:val="21"/>
      <w:szCs w:val="24"/>
      <w:lang w:val="en-US" w:eastAsia="zh-CN" w:bidi="ar-SA"/>
    </w:rPr>
  </w:style>
  <w:style w:type="character" w:customStyle="1" w:styleId="190">
    <w:name w:val="标题 字符"/>
    <w:basedOn w:val="35"/>
    <w:link w:val="31"/>
    <w:qFormat/>
    <w:locked/>
    <w:uiPriority w:val="0"/>
    <w:rPr>
      <w:rFonts w:ascii="Arial" w:hAnsi="Arial" w:cs="Arial"/>
      <w:b/>
      <w:bCs/>
      <w:kern w:val="2"/>
      <w:sz w:val="32"/>
      <w:szCs w:val="32"/>
    </w:rPr>
  </w:style>
  <w:style w:type="character" w:customStyle="1" w:styleId="191">
    <w:name w:val="脚注文本 字符"/>
    <w:basedOn w:val="35"/>
    <w:link w:val="26"/>
    <w:semiHidden/>
    <w:qFormat/>
    <w:locked/>
    <w:uiPriority w:val="0"/>
    <w:rPr>
      <w:kern w:val="2"/>
      <w:sz w:val="18"/>
      <w:szCs w:val="18"/>
    </w:rPr>
  </w:style>
  <w:style w:type="character" w:customStyle="1" w:styleId="192">
    <w:name w:val="文档结构图 Char1"/>
    <w:basedOn w:val="35"/>
    <w:semiHidden/>
    <w:qFormat/>
    <w:uiPriority w:val="99"/>
    <w:rPr>
      <w:rFonts w:ascii="宋体"/>
      <w:kern w:val="2"/>
      <w:sz w:val="18"/>
      <w:szCs w:val="18"/>
    </w:rPr>
  </w:style>
  <w:style w:type="character" w:customStyle="1" w:styleId="193">
    <w:name w:val="正文文本 2 字符"/>
    <w:link w:val="28"/>
    <w:qFormat/>
    <w:uiPriority w:val="0"/>
    <w:rPr>
      <w:rFonts w:hAnsi="宋体" w:eastAsia="宋体"/>
      <w:szCs w:val="24"/>
      <w:lang w:bidi="ar-SA"/>
    </w:rPr>
  </w:style>
  <w:style w:type="character" w:customStyle="1" w:styleId="194">
    <w:name w:val="副标题 Char1"/>
    <w:basedOn w:val="35"/>
    <w:qFormat/>
    <w:uiPriority w:val="11"/>
    <w:rPr>
      <w:rFonts w:ascii="Cambria" w:hAnsi="Cambria" w:cs="Times New Roman"/>
      <w:b/>
      <w:bCs/>
      <w:kern w:val="28"/>
      <w:sz w:val="32"/>
      <w:szCs w:val="32"/>
    </w:rPr>
  </w:style>
  <w:style w:type="character" w:customStyle="1" w:styleId="195">
    <w:name w:val="标题 7 字符"/>
    <w:basedOn w:val="35"/>
    <w:link w:val="8"/>
    <w:qFormat/>
    <w:uiPriority w:val="0"/>
    <w:rPr>
      <w:b/>
      <w:bCs/>
      <w:kern w:val="2"/>
      <w:sz w:val="24"/>
      <w:szCs w:val="24"/>
    </w:rPr>
  </w:style>
  <w:style w:type="character" w:customStyle="1" w:styleId="196">
    <w:name w:val="op-map-singlepoint-info-right"/>
    <w:basedOn w:val="35"/>
    <w:qFormat/>
    <w:uiPriority w:val="0"/>
  </w:style>
  <w:style w:type="character" w:customStyle="1" w:styleId="197">
    <w:name w:val="纯文本 字符"/>
    <w:link w:val="18"/>
    <w:qFormat/>
    <w:uiPriority w:val="0"/>
    <w:rPr>
      <w:rFonts w:ascii="宋体" w:hAnsi="Courier New" w:eastAsia="宋体"/>
      <w:kern w:val="2"/>
      <w:sz w:val="21"/>
      <w:lang w:val="en-US" w:eastAsia="zh-CN" w:bidi="ar-SA"/>
    </w:rPr>
  </w:style>
  <w:style w:type="character" w:customStyle="1" w:styleId="198">
    <w:name w:val="页眉 字符"/>
    <w:link w:val="23"/>
    <w:qFormat/>
    <w:uiPriority w:val="99"/>
    <w:rPr>
      <w:rFonts w:eastAsia="宋体"/>
      <w:kern w:val="2"/>
      <w:sz w:val="18"/>
      <w:szCs w:val="18"/>
      <w:lang w:val="en-US" w:eastAsia="zh-CN" w:bidi="ar-SA"/>
    </w:rPr>
  </w:style>
  <w:style w:type="character" w:customStyle="1" w:styleId="199">
    <w:name w:val="批注文字 Char1"/>
    <w:semiHidden/>
    <w:qFormat/>
    <w:locked/>
    <w:uiPriority w:val="0"/>
    <w:rPr>
      <w:kern w:val="2"/>
      <w:sz w:val="21"/>
      <w:szCs w:val="24"/>
    </w:rPr>
  </w:style>
  <w:style w:type="character" w:customStyle="1" w:styleId="200">
    <w:name w:val="图表 标题 Char"/>
    <w:link w:val="125"/>
    <w:qFormat/>
    <w:uiPriority w:val="0"/>
    <w:rPr>
      <w:rFonts w:eastAsia="宋体"/>
      <w:kern w:val="2"/>
      <w:sz w:val="24"/>
      <w:szCs w:val="24"/>
      <w:lang w:val="en-US" w:eastAsia="zh-CN" w:bidi="ar-SA"/>
    </w:rPr>
  </w:style>
  <w:style w:type="character" w:customStyle="1" w:styleId="201">
    <w:name w:val="正文文本缩进 字符"/>
    <w:link w:val="15"/>
    <w:qFormat/>
    <w:locked/>
    <w:uiPriority w:val="0"/>
    <w:rPr>
      <w:rFonts w:ascii="宋体" w:hAnsi="Courier New"/>
      <w:spacing w:val="-4"/>
      <w:kern w:val="2"/>
      <w:sz w:val="18"/>
    </w:rPr>
  </w:style>
  <w:style w:type="paragraph" w:customStyle="1" w:styleId="202">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3">
    <w:name w:val="List Paragraph"/>
    <w:basedOn w:val="1"/>
    <w:unhideWhenUsed/>
    <w:qFormat/>
    <w:uiPriority w:val="99"/>
    <w:pPr>
      <w:ind w:firstLine="420" w:firstLineChars="200"/>
    </w:pPr>
  </w:style>
  <w:style w:type="character" w:customStyle="1" w:styleId="204">
    <w:name w:val="redfilefwwh"/>
    <w:basedOn w:val="35"/>
    <w:qFormat/>
    <w:uiPriority w:val="0"/>
    <w:rPr>
      <w:color w:val="BA2636"/>
      <w:sz w:val="18"/>
      <w:szCs w:val="18"/>
    </w:rPr>
  </w:style>
  <w:style w:type="character" w:customStyle="1" w:styleId="205">
    <w:name w:val="next"/>
    <w:basedOn w:val="35"/>
    <w:qFormat/>
    <w:uiPriority w:val="0"/>
    <w:rPr>
      <w:rFonts w:ascii="微软雅黑" w:hAnsi="微软雅黑" w:eastAsia="微软雅黑" w:cs="微软雅黑"/>
      <w:sz w:val="21"/>
      <w:szCs w:val="21"/>
    </w:rPr>
  </w:style>
  <w:style w:type="character" w:customStyle="1" w:styleId="206">
    <w:name w:val="gjfg"/>
    <w:basedOn w:val="35"/>
    <w:qFormat/>
    <w:uiPriority w:val="0"/>
  </w:style>
  <w:style w:type="character" w:customStyle="1" w:styleId="207">
    <w:name w:val="displayarti"/>
    <w:basedOn w:val="35"/>
    <w:qFormat/>
    <w:uiPriority w:val="0"/>
    <w:rPr>
      <w:color w:val="FFFFFF"/>
      <w:shd w:val="clear" w:fill="A00000"/>
    </w:rPr>
  </w:style>
  <w:style w:type="character" w:customStyle="1" w:styleId="208">
    <w:name w:val="redfilenumber"/>
    <w:basedOn w:val="35"/>
    <w:qFormat/>
    <w:uiPriority w:val="0"/>
    <w:rPr>
      <w:color w:val="BA2636"/>
      <w:sz w:val="18"/>
      <w:szCs w:val="18"/>
    </w:rPr>
  </w:style>
  <w:style w:type="character" w:customStyle="1" w:styleId="209">
    <w:name w:val="prev"/>
    <w:basedOn w:val="35"/>
    <w:qFormat/>
    <w:uiPriority w:val="0"/>
    <w:rPr>
      <w:rFonts w:hint="eastAsia" w:ascii="微软雅黑" w:hAnsi="微软雅黑" w:eastAsia="微软雅黑" w:cs="微软雅黑"/>
      <w:sz w:val="21"/>
      <w:szCs w:val="21"/>
    </w:rPr>
  </w:style>
  <w:style w:type="character" w:customStyle="1" w:styleId="210">
    <w:name w:val="prev1"/>
    <w:basedOn w:val="35"/>
    <w:qFormat/>
    <w:uiPriority w:val="0"/>
    <w:rPr>
      <w:color w:val="888888"/>
    </w:rPr>
  </w:style>
  <w:style w:type="character" w:customStyle="1" w:styleId="211">
    <w:name w:val="cfdate"/>
    <w:basedOn w:val="35"/>
    <w:qFormat/>
    <w:uiPriority w:val="0"/>
    <w:rPr>
      <w:color w:val="333333"/>
      <w:sz w:val="18"/>
      <w:szCs w:val="18"/>
    </w:rPr>
  </w:style>
  <w:style w:type="character" w:customStyle="1" w:styleId="212">
    <w:name w:val="qxdate"/>
    <w:basedOn w:val="35"/>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9270</Words>
  <Characters>52841</Characters>
  <Lines>440</Lines>
  <Paragraphs>123</Paragraphs>
  <TotalTime>45</TotalTime>
  <ScaleCrop>false</ScaleCrop>
  <LinksUpToDate>false</LinksUpToDate>
  <CharactersWithSpaces>61988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2020-10-21T04:08:00Z</dcterms:created>
  <dc:creator>丁琳</dc:creator>
  <cp:lastModifiedBy>Administrator</cp:lastModifiedBy>
  <cp:lastPrinted>2020-09-10T08:37:00Z</cp:lastPrinted>
  <dcterms:modified xsi:type="dcterms:W3CDTF">2020-12-29T10:31:43Z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