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3" w:beforeLines="10" w:line="400" w:lineRule="exact"/>
        <w:rPr>
          <w:rFonts w:eastAsia="华康简魏碑"/>
          <w:b/>
          <w:bCs/>
          <w:color w:val="000000" w:themeColor="text1"/>
          <w:spacing w:val="80"/>
          <w:sz w:val="28"/>
          <w:szCs w:val="28"/>
          <w:highlight w:val="none"/>
          <w14:textFill>
            <w14:solidFill>
              <w14:schemeClr w14:val="tx1"/>
            </w14:solidFill>
          </w14:textFill>
        </w:rPr>
      </w:pPr>
    </w:p>
    <w:p>
      <w:pPr>
        <w:pStyle w:val="18"/>
        <w:adjustRightInd/>
        <w:spacing w:line="240" w:lineRule="auto"/>
        <w:jc w:val="center"/>
        <w:textAlignment w:val="auto"/>
        <w:rPr>
          <w:rFonts w:ascii="华康简魏碑" w:eastAsia="华康简魏碑"/>
          <w:b/>
          <w:bCs/>
          <w:color w:val="auto"/>
          <w:spacing w:val="80"/>
          <w:sz w:val="64"/>
          <w:highlight w:val="none"/>
        </w:rPr>
      </w:pPr>
      <w:r>
        <w:rPr>
          <w:rFonts w:hint="eastAsia" w:ascii="华康简魏碑" w:eastAsia="华康简魏碑"/>
          <w:b/>
          <w:bCs/>
          <w:color w:val="auto"/>
          <w:spacing w:val="80"/>
          <w:sz w:val="64"/>
          <w:highlight w:val="none"/>
        </w:rPr>
        <w:t>南宁市政府采购</w:t>
      </w:r>
    </w:p>
    <w:p>
      <w:pPr>
        <w:pStyle w:val="18"/>
        <w:jc w:val="center"/>
        <w:rPr>
          <w:rFonts w:ascii="楷体_GB2312" w:eastAsia="楷体_GB2312"/>
          <w:b/>
          <w:bCs/>
          <w:color w:val="auto"/>
          <w:sz w:val="44"/>
          <w:szCs w:val="44"/>
          <w:highlight w:val="none"/>
        </w:rPr>
      </w:pPr>
    </w:p>
    <w:p>
      <w:pPr>
        <w:pStyle w:val="18"/>
        <w:adjustRightInd/>
        <w:spacing w:line="240" w:lineRule="auto"/>
        <w:jc w:val="center"/>
        <w:textAlignment w:val="auto"/>
        <w:rPr>
          <w:color w:val="auto"/>
          <w:sz w:val="96"/>
          <w:szCs w:val="96"/>
          <w:highlight w:val="none"/>
        </w:rPr>
      </w:pPr>
      <w:r>
        <w:rPr>
          <w:rFonts w:hint="eastAsia"/>
          <w:color w:val="auto"/>
          <w:sz w:val="96"/>
          <w:szCs w:val="96"/>
          <w:highlight w:val="none"/>
        </w:rPr>
        <w:t>公开招标</w:t>
      </w:r>
      <w:bookmarkStart w:id="91" w:name="_GoBack"/>
      <w:bookmarkEnd w:id="91"/>
      <w:r>
        <w:rPr>
          <w:rFonts w:hint="eastAsia"/>
          <w:color w:val="auto"/>
          <w:sz w:val="96"/>
          <w:szCs w:val="96"/>
          <w:highlight w:val="none"/>
        </w:rPr>
        <w:t>文件</w:t>
      </w:r>
    </w:p>
    <w:p>
      <w:pPr>
        <w:jc w:val="center"/>
        <w:rPr>
          <w:rFonts w:ascii="宋体" w:hAnsi="宋体"/>
          <w:b/>
          <w:color w:val="auto"/>
          <w:sz w:val="36"/>
          <w:szCs w:val="36"/>
          <w:highlight w:val="none"/>
        </w:rPr>
      </w:pPr>
      <w:r>
        <w:rPr>
          <w:rFonts w:hint="eastAsia" w:ascii="宋体" w:hAnsi="宋体"/>
          <w:b/>
          <w:color w:val="auto"/>
          <w:sz w:val="36"/>
          <w:szCs w:val="36"/>
          <w:highlight w:val="none"/>
        </w:rPr>
        <w:t>(</w:t>
      </w:r>
      <w:r>
        <w:rPr>
          <w:rFonts w:hint="eastAsia" w:ascii="宋体" w:hAnsi="宋体"/>
          <w:b/>
          <w:color w:val="auto"/>
          <w:sz w:val="36"/>
          <w:szCs w:val="36"/>
          <w:highlight w:val="none"/>
          <w:lang w:eastAsia="zh-CN"/>
        </w:rPr>
        <w:t>服务</w:t>
      </w:r>
      <w:r>
        <w:rPr>
          <w:rFonts w:hint="eastAsia" w:ascii="宋体" w:hAnsi="宋体"/>
          <w:b/>
          <w:color w:val="auto"/>
          <w:sz w:val="36"/>
          <w:szCs w:val="36"/>
          <w:highlight w:val="none"/>
        </w:rPr>
        <w:t>类</w:t>
      </w:r>
      <w:r>
        <w:rPr>
          <w:rFonts w:hint="eastAsia" w:ascii="宋体" w:hAnsi="宋体"/>
          <w:b/>
          <w:color w:val="auto"/>
          <w:sz w:val="36"/>
          <w:szCs w:val="36"/>
          <w:highlight w:val="none"/>
          <w:lang w:eastAsia="zh-CN"/>
        </w:rPr>
        <w:t>，</w:t>
      </w:r>
      <w:r>
        <w:rPr>
          <w:rFonts w:hint="eastAsia" w:ascii="宋体" w:hAnsi="宋体"/>
          <w:b/>
          <w:color w:val="auto"/>
          <w:sz w:val="36"/>
          <w:szCs w:val="36"/>
          <w:highlight w:val="none"/>
        </w:rPr>
        <w:t>交易)</w:t>
      </w:r>
    </w:p>
    <w:p>
      <w:pPr>
        <w:jc w:val="center"/>
        <w:rPr>
          <w:rFonts w:ascii="宋体" w:hAnsi="宋体"/>
          <w:b/>
          <w:color w:val="auto"/>
          <w:sz w:val="32"/>
          <w:szCs w:val="32"/>
          <w:highlight w:val="none"/>
        </w:rPr>
      </w:pPr>
    </w:p>
    <w:p>
      <w:pPr>
        <w:pStyle w:val="18"/>
        <w:rPr>
          <w:color w:val="auto"/>
          <w:highlight w:val="none"/>
        </w:rPr>
      </w:pPr>
    </w:p>
    <w:p>
      <w:pPr>
        <w:tabs>
          <w:tab w:val="left" w:pos="7665"/>
        </w:tabs>
        <w:ind w:right="-94" w:rightChars="-45"/>
        <w:rPr>
          <w:rFonts w:ascii="宋体" w:hAnsi="Courier New"/>
          <w:color w:val="auto"/>
          <w:szCs w:val="20"/>
          <w:highlight w:val="none"/>
        </w:rPr>
      </w:pPr>
    </w:p>
    <w:p>
      <w:pPr>
        <w:adjustRightInd/>
        <w:spacing w:line="240" w:lineRule="auto"/>
        <w:ind w:left="2530" w:hanging="2250" w:hangingChars="700"/>
        <w:jc w:val="left"/>
        <w:textAlignment w:val="auto"/>
        <w:rPr>
          <w:rFonts w:hint="eastAsia" w:ascii="宋体" w:hAnsi="宋体" w:eastAsia="宋体"/>
          <w:b/>
          <w:color w:val="auto"/>
          <w:spacing w:val="-20"/>
          <w:sz w:val="36"/>
          <w:szCs w:val="36"/>
          <w:highlight w:val="none"/>
          <w:lang w:eastAsia="zh-CN"/>
        </w:rPr>
      </w:pPr>
      <w:r>
        <w:rPr>
          <w:rFonts w:hint="eastAsia" w:ascii="宋体" w:hAnsi="宋体"/>
          <w:b/>
          <w:color w:val="auto"/>
          <w:spacing w:val="-20"/>
          <w:sz w:val="36"/>
          <w:szCs w:val="36"/>
          <w:highlight w:val="none"/>
        </w:rPr>
        <w:t>项目名称：南宁职业技术学院软件技术专业群2020年度“双高”</w:t>
      </w:r>
      <w:r>
        <w:rPr>
          <w:rFonts w:hint="eastAsia" w:ascii="宋体" w:hAnsi="宋体"/>
          <w:b/>
          <w:color w:val="auto"/>
          <w:spacing w:val="-20"/>
          <w:sz w:val="36"/>
          <w:szCs w:val="36"/>
          <w:highlight w:val="none"/>
          <w:lang w:eastAsia="zh-CN"/>
        </w:rPr>
        <w:t>课</w:t>
      </w:r>
      <w:r>
        <w:rPr>
          <w:rFonts w:hint="eastAsia" w:ascii="宋体" w:hAnsi="宋体"/>
          <w:b/>
          <w:color w:val="auto"/>
          <w:spacing w:val="-20"/>
          <w:sz w:val="36"/>
          <w:szCs w:val="36"/>
          <w:highlight w:val="none"/>
        </w:rPr>
        <w:t>程资源</w:t>
      </w:r>
      <w:r>
        <w:rPr>
          <w:rFonts w:hint="eastAsia" w:ascii="宋体" w:hAnsi="宋体"/>
          <w:b/>
          <w:color w:val="auto"/>
          <w:spacing w:val="-20"/>
          <w:sz w:val="36"/>
          <w:szCs w:val="36"/>
          <w:highlight w:val="none"/>
          <w:lang w:eastAsia="zh-CN"/>
        </w:rPr>
        <w:t>建</w:t>
      </w:r>
      <w:r>
        <w:rPr>
          <w:rFonts w:hint="eastAsia" w:ascii="宋体" w:hAnsi="宋体"/>
          <w:b/>
          <w:color w:val="auto"/>
          <w:spacing w:val="-20"/>
          <w:sz w:val="36"/>
          <w:szCs w:val="36"/>
          <w:highlight w:val="none"/>
        </w:rPr>
        <w:t>设采购</w:t>
      </w:r>
      <w:r>
        <w:rPr>
          <w:rFonts w:hint="eastAsia" w:ascii="宋体" w:hAnsi="宋体"/>
          <w:b/>
          <w:color w:val="auto"/>
          <w:spacing w:val="-20"/>
          <w:sz w:val="36"/>
          <w:szCs w:val="36"/>
          <w:highlight w:val="none"/>
          <w:lang w:eastAsia="zh-CN"/>
        </w:rPr>
        <w:t>（重）</w:t>
      </w:r>
    </w:p>
    <w:p>
      <w:pPr>
        <w:adjustRightInd/>
        <w:spacing w:line="240" w:lineRule="auto"/>
        <w:jc w:val="left"/>
        <w:textAlignment w:val="auto"/>
        <w:rPr>
          <w:rFonts w:ascii="宋体" w:hAnsi="宋体"/>
          <w:b/>
          <w:color w:val="auto"/>
          <w:sz w:val="36"/>
          <w:szCs w:val="36"/>
          <w:highlight w:val="none"/>
        </w:rPr>
      </w:pPr>
      <w:r>
        <w:rPr>
          <w:rFonts w:hint="eastAsia" w:ascii="宋体" w:hAnsi="宋体"/>
          <w:b/>
          <w:color w:val="auto"/>
          <w:sz w:val="36"/>
          <w:szCs w:val="36"/>
          <w:highlight w:val="none"/>
        </w:rPr>
        <w:t>项目编号：NNZC2020-G3-990639-ZXGJ</w:t>
      </w:r>
    </w:p>
    <w:p>
      <w:pPr>
        <w:adjustRightInd/>
        <w:spacing w:line="240" w:lineRule="auto"/>
        <w:jc w:val="left"/>
        <w:textAlignment w:val="auto"/>
        <w:rPr>
          <w:rFonts w:hint="eastAsia" w:eastAsia="宋体"/>
          <w:color w:val="auto"/>
          <w:highlight w:val="none"/>
          <w:lang w:eastAsia="zh-CN"/>
        </w:rPr>
      </w:pPr>
      <w:r>
        <w:rPr>
          <w:rFonts w:hint="eastAsia" w:ascii="宋体" w:hAnsi="宋体"/>
          <w:b/>
          <w:color w:val="auto"/>
          <w:sz w:val="36"/>
          <w:szCs w:val="36"/>
          <w:highlight w:val="none"/>
        </w:rPr>
        <w:t>审批编号</w:t>
      </w:r>
      <w:r>
        <w:rPr>
          <w:rFonts w:hint="eastAsia" w:ascii="宋体" w:hAnsi="宋体"/>
          <w:b/>
          <w:color w:val="auto"/>
          <w:sz w:val="36"/>
          <w:szCs w:val="36"/>
          <w:highlight w:val="none"/>
          <w:lang w:eastAsia="zh-CN"/>
        </w:rPr>
        <w:t>：</w:t>
      </w:r>
      <w:r>
        <w:rPr>
          <w:rFonts w:hint="eastAsia" w:ascii="宋体" w:hAnsi="宋体"/>
          <w:b/>
          <w:color w:val="auto"/>
          <w:sz w:val="36"/>
          <w:szCs w:val="36"/>
          <w:highlight w:val="none"/>
          <w:lang w:val="en-US" w:eastAsia="zh-CN"/>
        </w:rPr>
        <w:t>[2020]NCCJW760</w:t>
      </w:r>
    </w:p>
    <w:p>
      <w:pPr>
        <w:jc w:val="center"/>
        <w:rPr>
          <w:rFonts w:hint="eastAsia"/>
          <w:color w:val="auto"/>
          <w:highlight w:val="none"/>
          <w:lang w:val="en-US" w:eastAsia="zh-CN"/>
        </w:rPr>
      </w:pPr>
    </w:p>
    <w:p>
      <w:pPr>
        <w:jc w:val="center"/>
        <w:rPr>
          <w:b/>
          <w:color w:val="auto"/>
          <w:sz w:val="36"/>
          <w:szCs w:val="36"/>
          <w:highlight w:val="none"/>
        </w:rPr>
      </w:pPr>
      <w:r>
        <w:rPr>
          <w:rFonts w:hint="eastAsia"/>
          <w:color w:val="auto"/>
          <w:highlight w:val="none"/>
          <w:lang w:val="en-US" w:eastAsia="zh-CN"/>
        </w:rPr>
        <w:t xml:space="preserve"> </w:t>
      </w:r>
    </w:p>
    <w:p>
      <w:pPr>
        <w:rPr>
          <w:b/>
          <w:color w:val="auto"/>
          <w:sz w:val="36"/>
          <w:szCs w:val="36"/>
          <w:highlight w:val="none"/>
        </w:rPr>
      </w:pPr>
      <w:r>
        <w:rPr>
          <w:rFonts w:hint="eastAsia"/>
          <w:b/>
          <w:color w:val="auto"/>
          <w:sz w:val="36"/>
          <w:szCs w:val="36"/>
          <w:highlight w:val="none"/>
        </w:rPr>
        <w:t>采购人：南宁职业技术学院</w:t>
      </w:r>
    </w:p>
    <w:p>
      <w:pPr>
        <w:rPr>
          <w:b/>
          <w:color w:val="auto"/>
          <w:sz w:val="36"/>
          <w:szCs w:val="36"/>
          <w:highlight w:val="none"/>
        </w:rPr>
      </w:pPr>
      <w:r>
        <w:rPr>
          <w:rFonts w:hint="eastAsia"/>
          <w:b/>
          <w:color w:val="auto"/>
          <w:sz w:val="36"/>
          <w:szCs w:val="36"/>
          <w:highlight w:val="none"/>
        </w:rPr>
        <w:t>采购代理机构：中昕国际项目管理有限公司</w:t>
      </w:r>
    </w:p>
    <w:p>
      <w:pPr>
        <w:ind w:firstLine="1890" w:firstLineChars="523"/>
        <w:rPr>
          <w:b/>
          <w:color w:val="auto"/>
          <w:sz w:val="36"/>
          <w:szCs w:val="36"/>
          <w:highlight w:val="none"/>
        </w:rPr>
      </w:pPr>
    </w:p>
    <w:p>
      <w:pPr>
        <w:widowControl/>
        <w:jc w:val="center"/>
        <w:rPr>
          <w:rFonts w:eastAsia="华康简魏碑"/>
          <w:b/>
          <w:bCs/>
          <w:color w:val="auto"/>
          <w:spacing w:val="80"/>
          <w:sz w:val="28"/>
          <w:szCs w:val="28"/>
          <w:highlight w:val="none"/>
        </w:rPr>
      </w:pPr>
      <w:r>
        <w:rPr>
          <w:rFonts w:hint="eastAsia" w:ascii="宋体" w:hAnsi="宋体"/>
          <w:b/>
          <w:color w:val="auto"/>
          <w:sz w:val="36"/>
          <w:szCs w:val="36"/>
          <w:highlight w:val="none"/>
        </w:rPr>
        <w:t>2020年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rPr>
          <w:rFonts w:eastAsia="华康简魏碑"/>
          <w:b/>
          <w:bCs/>
          <w:color w:val="auto"/>
          <w:spacing w:val="80"/>
          <w:sz w:val="28"/>
          <w:szCs w:val="28"/>
          <w:highlight w:val="none"/>
        </w:rPr>
      </w:pPr>
    </w:p>
    <w:p>
      <w:pPr>
        <w:pStyle w:val="7"/>
        <w:rPr>
          <w:color w:val="auto"/>
          <w:highlight w:val="none"/>
        </w:rPr>
      </w:pPr>
    </w:p>
    <w:p>
      <w:pPr>
        <w:pStyle w:val="18"/>
        <w:jc w:val="center"/>
        <w:rPr>
          <w:rFonts w:ascii="Times New Roman" w:hAnsi="Times New Roman"/>
          <w:b/>
          <w:color w:val="auto"/>
          <w:sz w:val="48"/>
          <w:szCs w:val="48"/>
          <w:highlight w:val="none"/>
        </w:rPr>
        <w:sectPr>
          <w:headerReference r:id="rId4" w:type="first"/>
          <w:headerReference r:id="rId3" w:type="default"/>
          <w:footerReference r:id="rId5" w:type="default"/>
          <w:pgSz w:w="11906" w:h="16838"/>
          <w:pgMar w:top="1134" w:right="1134" w:bottom="1134" w:left="1134" w:header="720" w:footer="720" w:gutter="0"/>
          <w:pgNumType w:start="1"/>
          <w:cols w:space="720" w:num="1"/>
          <w:titlePg/>
          <w:docGrid w:type="lines" w:linePitch="331" w:charSpace="0"/>
        </w:sectPr>
      </w:pPr>
    </w:p>
    <w:p>
      <w:pPr>
        <w:pStyle w:val="18"/>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     录</w:t>
      </w:r>
    </w:p>
    <w:p>
      <w:pPr>
        <w:pStyle w:val="18"/>
        <w:spacing w:line="240" w:lineRule="auto"/>
        <w:jc w:val="center"/>
        <w:rPr>
          <w:rFonts w:ascii="Times New Roman" w:hAnsi="Times New Roman"/>
          <w:b/>
          <w:color w:val="auto"/>
          <w:sz w:val="28"/>
          <w:szCs w:val="28"/>
          <w:highlight w:val="none"/>
        </w:rPr>
      </w:pPr>
    </w:p>
    <w:p>
      <w:pPr>
        <w:pStyle w:val="24"/>
        <w:tabs>
          <w:tab w:val="right" w:leader="dot" w:pos="9638"/>
        </w:tabs>
        <w:spacing w:line="480" w:lineRule="auto"/>
        <w:rPr>
          <w:rFonts w:hint="eastAsia" w:ascii="宋体" w:hAnsi="宋体" w:eastAsia="宋体" w:cs="宋体"/>
          <w:b/>
          <w:bCs w:val="0"/>
          <w:sz w:val="24"/>
          <w:szCs w:val="24"/>
        </w:rPr>
      </w:pPr>
      <w:bookmarkStart w:id="0" w:name="_Toc139967217"/>
      <w:bookmarkStart w:id="1" w:name="_Toc213206171"/>
      <w:bookmarkStart w:id="2" w:name="_Toc139966433"/>
      <w:bookmarkStart w:id="3" w:name="_Toc139966426"/>
      <w:bookmarkStart w:id="4" w:name="_Toc139967210"/>
      <w:r>
        <w:rPr>
          <w:rFonts w:ascii="宋体" w:hAnsi="宋体"/>
          <w:b w:val="0"/>
          <w:bCs w:val="0"/>
          <w:caps w:val="0"/>
          <w:color w:val="auto"/>
          <w:sz w:val="24"/>
          <w:szCs w:val="24"/>
          <w:highlight w:val="none"/>
        </w:rPr>
        <w:fldChar w:fldCharType="begin"/>
      </w:r>
      <w:r>
        <w:rPr>
          <w:rFonts w:ascii="宋体" w:hAnsi="宋体"/>
          <w:b w:val="0"/>
          <w:bCs w:val="0"/>
          <w:caps w:val="0"/>
          <w:color w:val="auto"/>
          <w:sz w:val="24"/>
          <w:szCs w:val="24"/>
          <w:highlight w:val="none"/>
        </w:rPr>
        <w:instrText xml:space="preserve"> TOC \o "1-3" \h \z \u </w:instrText>
      </w:r>
      <w:r>
        <w:rPr>
          <w:rFonts w:ascii="宋体" w:hAnsi="宋体"/>
          <w:b w:val="0"/>
          <w:bCs w:val="0"/>
          <w:caps w:val="0"/>
          <w:color w:val="auto"/>
          <w:sz w:val="24"/>
          <w:szCs w:val="24"/>
          <w:highlight w:val="none"/>
        </w:rPr>
        <w:fldChar w:fldCharType="separate"/>
      </w:r>
      <w:r>
        <w:rPr>
          <w:rFonts w:hint="eastAsia" w:ascii="宋体" w:hAnsi="宋体" w:eastAsia="宋体" w:cs="宋体"/>
          <w:b/>
          <w:bCs w:val="0"/>
          <w:caps w:val="0"/>
          <w:color w:val="auto"/>
          <w:sz w:val="24"/>
          <w:szCs w:val="24"/>
          <w:highlight w:val="none"/>
        </w:rPr>
        <w:fldChar w:fldCharType="begin"/>
      </w:r>
      <w:r>
        <w:rPr>
          <w:rFonts w:hint="eastAsia" w:ascii="宋体" w:hAnsi="宋体" w:eastAsia="宋体" w:cs="宋体"/>
          <w:b/>
          <w:bCs w:val="0"/>
          <w:caps w:val="0"/>
          <w:sz w:val="24"/>
          <w:szCs w:val="24"/>
          <w:highlight w:val="none"/>
        </w:rPr>
        <w:instrText xml:space="preserve"> HYPERLINK \l _Toc1481 </w:instrText>
      </w:r>
      <w:r>
        <w:rPr>
          <w:rFonts w:hint="eastAsia" w:ascii="宋体" w:hAnsi="宋体" w:eastAsia="宋体" w:cs="宋体"/>
          <w:b/>
          <w:bCs w:val="0"/>
          <w:caps w:val="0"/>
          <w:sz w:val="24"/>
          <w:szCs w:val="24"/>
          <w:highlight w:val="none"/>
        </w:rPr>
        <w:fldChar w:fldCharType="separate"/>
      </w:r>
      <w:r>
        <w:rPr>
          <w:rFonts w:hint="eastAsia" w:ascii="宋体" w:hAnsi="宋体" w:eastAsia="宋体" w:cs="宋体"/>
          <w:b/>
          <w:bCs w:val="0"/>
          <w:sz w:val="24"/>
          <w:szCs w:val="24"/>
          <w:highlight w:val="none"/>
        </w:rPr>
        <w:t>第一章  公告</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_Toc1481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w:t>
      </w:r>
      <w:r>
        <w:rPr>
          <w:rFonts w:hint="eastAsia" w:ascii="宋体" w:hAnsi="宋体" w:eastAsia="宋体" w:cs="宋体"/>
          <w:b/>
          <w:bCs w:val="0"/>
          <w:sz w:val="24"/>
          <w:szCs w:val="24"/>
        </w:rPr>
        <w:fldChar w:fldCharType="end"/>
      </w:r>
      <w:r>
        <w:rPr>
          <w:rFonts w:hint="eastAsia" w:ascii="宋体" w:hAnsi="宋体" w:eastAsia="宋体" w:cs="宋体"/>
          <w:b/>
          <w:bCs w:val="0"/>
          <w:caps w:val="0"/>
          <w:color w:val="auto"/>
          <w:sz w:val="24"/>
          <w:szCs w:val="24"/>
          <w:highlight w:val="none"/>
        </w:rPr>
        <w:fldChar w:fldCharType="end"/>
      </w:r>
    </w:p>
    <w:p>
      <w:pPr>
        <w:pStyle w:val="24"/>
        <w:tabs>
          <w:tab w:val="right" w:leader="dot" w:pos="963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_Toc23855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第二章  项目需求一览表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_Toc23855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7</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4"/>
        <w:tabs>
          <w:tab w:val="right" w:leader="dot" w:pos="963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_Toc27482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 xml:space="preserve">第三章 </w:t>
      </w:r>
      <w:r>
        <w:rPr>
          <w:rFonts w:hint="eastAsia" w:ascii="宋体" w:hAnsi="宋体" w:cs="宋体"/>
          <w:b/>
          <w:bCs w:val="0"/>
          <w:sz w:val="24"/>
          <w:szCs w:val="24"/>
          <w:highlight w:val="none"/>
          <w:lang w:val="en-US" w:eastAsia="zh-CN"/>
        </w:rPr>
        <w:t xml:space="preserve"> </w:t>
      </w:r>
      <w:r>
        <w:rPr>
          <w:rFonts w:hint="eastAsia" w:ascii="宋体" w:hAnsi="宋体" w:eastAsia="宋体" w:cs="宋体"/>
          <w:b/>
          <w:bCs w:val="0"/>
          <w:sz w:val="24"/>
          <w:szCs w:val="24"/>
          <w:highlight w:val="none"/>
        </w:rPr>
        <w:t>评标办法</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_Toc27482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13</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4"/>
        <w:tabs>
          <w:tab w:val="right" w:leader="dot" w:pos="963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_Toc12273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第四章  投标人须知</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_Toc12273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20</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_Toc20566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一    总  则</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_Toc20566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22</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_Toc12895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二    公开招标文件</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_Toc12895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25</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_Toc22920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三    投标文件</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_Toc22920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26</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_Toc30576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四    投标</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_Toc30576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29</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_Toc12805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五    开标与评标</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_Toc12805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29</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_Toc6668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六    合同授予</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_Toc6668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34</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_Toc23695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七    其他事项</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_Toc23695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35</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4"/>
        <w:tabs>
          <w:tab w:val="right" w:leader="dot" w:pos="963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_Toc8044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第五章  投标文件格式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_Toc8044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37</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4"/>
        <w:tabs>
          <w:tab w:val="right" w:leader="dot" w:pos="963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_Toc272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第六章  合同条款及格式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_Toc272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49</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4"/>
        <w:tabs>
          <w:tab w:val="right" w:leader="dot" w:pos="9638"/>
        </w:tabs>
        <w:spacing w:line="480" w:lineRule="auto"/>
        <w:rPr>
          <w:rFonts w:hint="eastAsia" w:ascii="宋体" w:hAnsi="宋体" w:eastAsia="宋体" w:cs="宋体"/>
          <w:b/>
          <w:bCs w:val="0"/>
          <w:sz w:val="24"/>
          <w:szCs w:val="24"/>
        </w:rPr>
      </w:pPr>
      <w:r>
        <w:rPr>
          <w:rFonts w:hint="eastAsia" w:ascii="宋体" w:hAnsi="宋体" w:eastAsia="宋体" w:cs="宋体"/>
          <w:b/>
          <w:bCs w:val="0"/>
          <w:caps/>
          <w:color w:val="auto"/>
          <w:sz w:val="24"/>
          <w:szCs w:val="24"/>
          <w:highlight w:val="none"/>
        </w:rPr>
        <w:fldChar w:fldCharType="begin"/>
      </w:r>
      <w:r>
        <w:rPr>
          <w:rFonts w:hint="eastAsia" w:ascii="宋体" w:hAnsi="宋体" w:eastAsia="宋体" w:cs="宋体"/>
          <w:b/>
          <w:bCs w:val="0"/>
          <w:caps/>
          <w:sz w:val="24"/>
          <w:szCs w:val="24"/>
          <w:highlight w:val="none"/>
        </w:rPr>
        <w:instrText xml:space="preserve"> HYPERLINK \l _Toc22323 </w:instrText>
      </w:r>
      <w:r>
        <w:rPr>
          <w:rFonts w:hint="eastAsia" w:ascii="宋体" w:hAnsi="宋体" w:eastAsia="宋体" w:cs="宋体"/>
          <w:b/>
          <w:bCs w:val="0"/>
          <w:caps/>
          <w:sz w:val="24"/>
          <w:szCs w:val="24"/>
          <w:highlight w:val="none"/>
        </w:rPr>
        <w:fldChar w:fldCharType="separate"/>
      </w:r>
      <w:r>
        <w:rPr>
          <w:rFonts w:hint="eastAsia" w:ascii="宋体" w:hAnsi="宋体" w:eastAsia="宋体" w:cs="宋体"/>
          <w:b/>
          <w:bCs w:val="0"/>
          <w:sz w:val="24"/>
          <w:szCs w:val="24"/>
          <w:highlight w:val="none"/>
        </w:rPr>
        <w:t>第七章  质疑材料格式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_Toc22323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55</w:t>
      </w:r>
      <w:r>
        <w:rPr>
          <w:rFonts w:hint="eastAsia" w:ascii="宋体" w:hAnsi="宋体" w:eastAsia="宋体" w:cs="宋体"/>
          <w:b/>
          <w:bCs w:val="0"/>
          <w:sz w:val="24"/>
          <w:szCs w:val="24"/>
        </w:rPr>
        <w:fldChar w:fldCharType="end"/>
      </w:r>
      <w:r>
        <w:rPr>
          <w:rFonts w:hint="eastAsia" w:ascii="宋体" w:hAnsi="宋体" w:eastAsia="宋体" w:cs="宋体"/>
          <w:b/>
          <w:bCs w:val="0"/>
          <w:caps/>
          <w:color w:val="auto"/>
          <w:sz w:val="24"/>
          <w:szCs w:val="24"/>
          <w:highlight w:val="none"/>
        </w:rPr>
        <w:fldChar w:fldCharType="end"/>
      </w:r>
    </w:p>
    <w:p>
      <w:pPr>
        <w:pStyle w:val="27"/>
        <w:tabs>
          <w:tab w:val="right" w:leader="dot" w:pos="9638"/>
          <w:tab w:val="clear" w:pos="9628"/>
        </w:tabs>
        <w:spacing w:line="480" w:lineRule="auto"/>
      </w:pPr>
    </w:p>
    <w:p>
      <w:pPr>
        <w:pStyle w:val="18"/>
        <w:spacing w:line="480" w:lineRule="auto"/>
        <w:jc w:val="center"/>
        <w:outlineLvl w:val="0"/>
        <w:rPr>
          <w:rFonts w:hAnsi="宋体"/>
          <w:b/>
          <w:bCs/>
          <w:caps/>
          <w:color w:val="auto"/>
          <w:sz w:val="24"/>
          <w:szCs w:val="24"/>
          <w:highlight w:val="none"/>
        </w:rPr>
      </w:pPr>
      <w:r>
        <w:rPr>
          <w:rFonts w:hAnsi="宋体"/>
          <w:bCs/>
          <w:caps/>
          <w:color w:val="auto"/>
          <w:szCs w:val="24"/>
          <w:highlight w:val="none"/>
        </w:rPr>
        <w:fldChar w:fldCharType="end"/>
      </w:r>
      <w:bookmarkStart w:id="5" w:name="_Toc213325920"/>
    </w:p>
    <w:p>
      <w:pPr>
        <w:pStyle w:val="18"/>
        <w:jc w:val="center"/>
        <w:outlineLvl w:val="0"/>
        <w:rPr>
          <w:rFonts w:hAnsi="宋体"/>
          <w:b/>
          <w:bCs/>
          <w:caps/>
          <w:color w:val="auto"/>
          <w:sz w:val="28"/>
          <w:szCs w:val="28"/>
          <w:highlight w:val="none"/>
        </w:rPr>
      </w:pPr>
    </w:p>
    <w:p>
      <w:pPr>
        <w:pStyle w:val="18"/>
        <w:jc w:val="center"/>
        <w:outlineLvl w:val="0"/>
        <w:rPr>
          <w:rFonts w:hAnsi="宋体"/>
          <w:b/>
          <w:color w:val="auto"/>
          <w:sz w:val="36"/>
          <w:szCs w:val="36"/>
          <w:highlight w:val="none"/>
        </w:rPr>
      </w:pPr>
      <w:r>
        <w:rPr>
          <w:rFonts w:ascii="Times New Roman" w:hAnsi="Times New Roman"/>
          <w:b/>
          <w:color w:val="auto"/>
          <w:sz w:val="36"/>
          <w:highlight w:val="none"/>
        </w:rPr>
        <w:br w:type="page"/>
      </w:r>
      <w:bookmarkStart w:id="6" w:name="_Toc1481"/>
      <w:r>
        <w:rPr>
          <w:rFonts w:hint="eastAsia" w:ascii="Times New Roman" w:hAnsi="Times New Roman"/>
          <w:b/>
          <w:color w:val="auto"/>
          <w:sz w:val="36"/>
          <w:highlight w:val="none"/>
        </w:rPr>
        <w:t>第一章  招标公告</w:t>
      </w:r>
      <w:bookmarkEnd w:id="0"/>
      <w:bookmarkEnd w:id="1"/>
      <w:bookmarkEnd w:id="2"/>
      <w:bookmarkEnd w:id="5"/>
      <w:bookmarkEnd w:id="6"/>
    </w:p>
    <w:p>
      <w:pPr>
        <w:pBdr>
          <w:top w:val="single" w:color="auto" w:sz="4" w:space="1"/>
          <w:left w:val="single" w:color="auto" w:sz="4" w:space="4"/>
          <w:bottom w:val="single" w:color="auto" w:sz="4" w:space="12"/>
          <w:right w:val="single" w:color="auto" w:sz="4" w:space="4"/>
        </w:pBdr>
        <w:spacing w:line="32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项目概况</w:t>
      </w:r>
    </w:p>
    <w:p>
      <w:pPr>
        <w:pBdr>
          <w:top w:val="single" w:color="auto" w:sz="4" w:space="1"/>
          <w:left w:val="single" w:color="auto" w:sz="4" w:space="4"/>
          <w:bottom w:val="single" w:color="auto" w:sz="4" w:space="12"/>
          <w:right w:val="single" w:color="auto" w:sz="4" w:space="4"/>
        </w:pBdr>
        <w:spacing w:line="320" w:lineRule="exact"/>
        <w:ind w:firstLine="420" w:firstLineChars="200"/>
        <w:rPr>
          <w:rFonts w:ascii="宋体" w:hAnsi="宋体"/>
          <w:b/>
          <w:i/>
          <w:iCs/>
          <w:color w:val="auto"/>
          <w:szCs w:val="21"/>
          <w:highlight w:val="none"/>
          <w:u w:val="single"/>
        </w:rPr>
      </w:pPr>
      <w:r>
        <w:rPr>
          <w:rFonts w:hint="eastAsia" w:ascii="宋体" w:hAnsi="宋体"/>
          <w:color w:val="auto"/>
          <w:szCs w:val="21"/>
          <w:highlight w:val="none"/>
          <w:u w:val="single"/>
          <w:lang w:eastAsia="zh-CN"/>
        </w:rPr>
        <w:t>南宁职业技术学院软件技术专业群2020年度“双高”课程资源建设采购（重）</w:t>
      </w:r>
      <w:r>
        <w:rPr>
          <w:rFonts w:hint="eastAsia" w:ascii="宋体" w:hAnsi="宋体"/>
          <w:color w:val="auto"/>
          <w:szCs w:val="21"/>
          <w:highlight w:val="none"/>
        </w:rPr>
        <w:t>招标项目的潜在投标人应在</w:t>
      </w:r>
      <w:r>
        <w:rPr>
          <w:rFonts w:ascii="宋体" w:hAnsi="宋体"/>
          <w:color w:val="auto"/>
          <w:szCs w:val="21"/>
          <w:highlight w:val="none"/>
          <w:u w:val="single"/>
        </w:rPr>
        <w:t>南宁市公共资源交易中心网上</w:t>
      </w:r>
      <w:r>
        <w:rPr>
          <w:rFonts w:hint="eastAsia" w:ascii="宋体" w:hAnsi="宋体"/>
          <w:color w:val="auto"/>
          <w:szCs w:val="21"/>
          <w:highlight w:val="none"/>
          <w:u w:val="single"/>
        </w:rPr>
        <w:t>自行</w:t>
      </w:r>
      <w:r>
        <w:rPr>
          <w:rFonts w:ascii="宋体" w:hAnsi="宋体"/>
          <w:color w:val="auto"/>
          <w:szCs w:val="21"/>
          <w:highlight w:val="none"/>
          <w:u w:val="single"/>
        </w:rPr>
        <w:t>下载</w:t>
      </w:r>
      <w:r>
        <w:rPr>
          <w:rFonts w:hint="eastAsia" w:ascii="宋体" w:hAnsi="宋体"/>
          <w:color w:val="auto"/>
          <w:szCs w:val="21"/>
          <w:highlight w:val="none"/>
        </w:rPr>
        <w:t>获取招标文件，并于</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1</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1</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20</w:t>
      </w:r>
      <w:r>
        <w:rPr>
          <w:rFonts w:hint="eastAsia" w:ascii="宋体" w:hAnsi="宋体"/>
          <w:bCs/>
          <w:color w:val="auto"/>
          <w:szCs w:val="21"/>
          <w:highlight w:val="none"/>
          <w:u w:val="single"/>
        </w:rPr>
        <w:t>日09 时30分（</w:t>
      </w:r>
      <w:r>
        <w:rPr>
          <w:rFonts w:hint="eastAsia" w:ascii="宋体" w:hAnsi="宋体"/>
          <w:bCs/>
          <w:color w:val="auto"/>
          <w:szCs w:val="21"/>
          <w:highlight w:val="none"/>
        </w:rPr>
        <w:t>北京时间）前递交投标</w:t>
      </w:r>
      <w:r>
        <w:rPr>
          <w:rFonts w:ascii="宋体" w:hAnsi="宋体"/>
          <w:bCs/>
          <w:color w:val="auto"/>
          <w:szCs w:val="21"/>
          <w:highlight w:val="none"/>
        </w:rPr>
        <w:t>文件</w:t>
      </w:r>
      <w:r>
        <w:rPr>
          <w:rFonts w:hint="eastAsia" w:ascii="宋体" w:hAnsi="宋体"/>
          <w:color w:val="auto"/>
          <w:szCs w:val="21"/>
          <w:highlight w:val="none"/>
        </w:rPr>
        <w:t>。</w:t>
      </w:r>
    </w:p>
    <w:p>
      <w:pPr>
        <w:spacing w:line="500" w:lineRule="exact"/>
        <w:ind w:firstLine="422"/>
        <w:rPr>
          <w:rFonts w:ascii="宋体" w:hAnsi="宋体" w:cs="Arial"/>
          <w:b/>
          <w:color w:val="auto"/>
          <w:kern w:val="1"/>
          <w:szCs w:val="21"/>
          <w:highlight w:val="none"/>
        </w:rPr>
      </w:pPr>
      <w:bookmarkStart w:id="7" w:name="_Toc35393621"/>
      <w:bookmarkStart w:id="8" w:name="_Toc28359002"/>
      <w:bookmarkStart w:id="9" w:name="_Toc44405601"/>
      <w:bookmarkStart w:id="10" w:name="_Toc28359079"/>
      <w:bookmarkStart w:id="11" w:name="_Toc35393790"/>
      <w:bookmarkStart w:id="12" w:name="_Hlk24379207"/>
      <w:r>
        <w:rPr>
          <w:rFonts w:hint="eastAsia" w:ascii="宋体" w:hAnsi="宋体" w:cs="Arial"/>
          <w:b/>
          <w:color w:val="auto"/>
          <w:kern w:val="1"/>
          <w:szCs w:val="21"/>
          <w:highlight w:val="none"/>
        </w:rPr>
        <w:t>一、项目基本情况</w:t>
      </w:r>
      <w:bookmarkEnd w:id="7"/>
      <w:bookmarkEnd w:id="8"/>
      <w:bookmarkEnd w:id="9"/>
      <w:bookmarkEnd w:id="10"/>
      <w:bookmarkEnd w:id="11"/>
    </w:p>
    <w:p>
      <w:pPr>
        <w:spacing w:line="500" w:lineRule="exact"/>
        <w:ind w:firstLine="422"/>
        <w:rPr>
          <w:rFonts w:ascii="宋体" w:hAnsi="宋体" w:cs="Arial"/>
          <w:bCs/>
          <w:color w:val="auto"/>
          <w:kern w:val="1"/>
          <w:szCs w:val="21"/>
          <w:highlight w:val="none"/>
        </w:rPr>
      </w:pPr>
      <w:r>
        <w:rPr>
          <w:rFonts w:hint="eastAsia" w:ascii="宋体" w:hAnsi="宋体" w:cs="Arial"/>
          <w:b/>
          <w:color w:val="auto"/>
          <w:kern w:val="1"/>
          <w:szCs w:val="21"/>
          <w:highlight w:val="none"/>
        </w:rPr>
        <w:t>项目编号：NNZC2020-G3-990639-ZXGJ</w:t>
      </w:r>
    </w:p>
    <w:p>
      <w:pPr>
        <w:spacing w:line="500" w:lineRule="exact"/>
        <w:ind w:firstLine="422" w:firstLineChars="200"/>
        <w:rPr>
          <w:rFonts w:ascii="宋体" w:hAnsi="宋体" w:cs="Arial"/>
          <w:b/>
          <w:bCs/>
          <w:color w:val="auto"/>
          <w:kern w:val="1"/>
          <w:szCs w:val="21"/>
          <w:highlight w:val="none"/>
        </w:rPr>
      </w:pPr>
      <w:r>
        <w:rPr>
          <w:rFonts w:ascii="宋体" w:hAnsi="宋体" w:cs="Arial"/>
          <w:b/>
          <w:bCs/>
          <w:color w:val="auto"/>
          <w:kern w:val="1"/>
          <w:szCs w:val="21"/>
          <w:highlight w:val="none"/>
        </w:rPr>
        <w:t>审批编号：</w:t>
      </w:r>
      <w:r>
        <w:rPr>
          <w:rFonts w:hint="eastAsia" w:ascii="宋体" w:hAnsi="宋体" w:cs="Arial"/>
          <w:b/>
          <w:bCs/>
          <w:color w:val="auto"/>
          <w:kern w:val="1"/>
          <w:szCs w:val="21"/>
          <w:highlight w:val="none"/>
        </w:rPr>
        <w:t>[2020]NCCJW760</w:t>
      </w:r>
    </w:p>
    <w:p>
      <w:pPr>
        <w:spacing w:line="50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项目名称：南宁职业技术学院软件技术专业群2020年度“双高”课程资源建设采购（重）</w:t>
      </w:r>
    </w:p>
    <w:bookmarkEnd w:id="12"/>
    <w:p>
      <w:pPr>
        <w:spacing w:line="500" w:lineRule="exact"/>
        <w:ind w:firstLine="422"/>
        <w:rPr>
          <w:rFonts w:hint="default" w:ascii="宋体" w:hAnsi="宋体" w:cs="Arial"/>
          <w:b/>
          <w:bCs/>
          <w:color w:val="auto"/>
          <w:kern w:val="1"/>
          <w:szCs w:val="21"/>
          <w:highlight w:val="none"/>
          <w:lang w:val="en-US" w:eastAsia="zh-CN"/>
        </w:rPr>
      </w:pPr>
      <w:r>
        <w:rPr>
          <w:rFonts w:hint="eastAsia" w:ascii="宋体" w:hAnsi="宋体" w:cs="Arial"/>
          <w:b/>
          <w:color w:val="auto"/>
          <w:kern w:val="1"/>
          <w:szCs w:val="21"/>
          <w:highlight w:val="none"/>
        </w:rPr>
        <w:t>预算金额：</w:t>
      </w:r>
      <w:r>
        <w:rPr>
          <w:rFonts w:hint="eastAsia" w:ascii="宋体" w:hAnsi="宋体" w:cs="Arial"/>
          <w:b/>
          <w:bCs/>
          <w:color w:val="auto"/>
          <w:kern w:val="1"/>
          <w:szCs w:val="21"/>
          <w:highlight w:val="none"/>
        </w:rPr>
        <w:t>C分标：Web前端开发1+X课证一体课程项目采购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w:t>
      </w:r>
    </w:p>
    <w:p>
      <w:pPr>
        <w:spacing w:line="500" w:lineRule="exact"/>
        <w:ind w:firstLine="422"/>
        <w:rPr>
          <w:rFonts w:hint="default" w:ascii="宋体" w:hAnsi="宋体" w:cs="Arial"/>
          <w:b/>
          <w:bCs/>
          <w:color w:val="auto"/>
          <w:kern w:val="1"/>
          <w:szCs w:val="21"/>
          <w:highlight w:val="none"/>
          <w:lang w:val="en-US" w:eastAsia="zh-CN"/>
        </w:rPr>
      </w:pPr>
      <w:r>
        <w:rPr>
          <w:rFonts w:hint="eastAsia" w:ascii="宋体" w:hAnsi="宋体" w:cs="Arial"/>
          <w:b/>
          <w:bCs/>
          <w:color w:val="auto"/>
          <w:kern w:val="1"/>
          <w:szCs w:val="21"/>
          <w:highlight w:val="none"/>
          <w:lang w:val="en-US" w:eastAsia="zh-CN"/>
        </w:rPr>
        <w:t xml:space="preserve">    </w:t>
      </w:r>
      <w:r>
        <w:rPr>
          <w:rFonts w:hint="eastAsia" w:ascii="宋体" w:hAnsi="宋体" w:eastAsia="宋体" w:cs="Arial"/>
          <w:b/>
          <w:bCs/>
          <w:color w:val="auto"/>
          <w:kern w:val="1"/>
          <w:sz w:val="21"/>
          <w:szCs w:val="21"/>
          <w:highlight w:val="none"/>
          <w:lang w:val="en-US" w:eastAsia="zh-CN" w:bidi="ar-SA"/>
        </w:rPr>
        <w:t xml:space="preserve">      D</w:t>
      </w:r>
      <w:r>
        <w:rPr>
          <w:rFonts w:hint="eastAsia" w:ascii="宋体" w:hAnsi="宋体" w:cs="Arial"/>
          <w:b/>
          <w:bCs/>
          <w:color w:val="auto"/>
          <w:kern w:val="1"/>
          <w:szCs w:val="21"/>
          <w:highlight w:val="none"/>
          <w:lang w:val="en-US" w:eastAsia="zh-CN"/>
        </w:rPr>
        <w:t>分标：计算机网络与信息安全专业课程包采购，贰拾贰万伍仟元整（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 xml:space="preserve">225000.00 ）     </w:t>
      </w:r>
    </w:p>
    <w:p>
      <w:pPr>
        <w:spacing w:line="500" w:lineRule="exact"/>
        <w:ind w:firstLine="422"/>
        <w:rPr>
          <w:rFonts w:hint="default" w:ascii="宋体" w:hAnsi="宋体" w:cs="Arial"/>
          <w:b/>
          <w:bCs/>
          <w:color w:val="auto"/>
          <w:kern w:val="1"/>
          <w:szCs w:val="21"/>
          <w:highlight w:val="none"/>
          <w:lang w:val="en-US" w:eastAsia="zh-CN"/>
        </w:rPr>
      </w:pPr>
      <w:r>
        <w:rPr>
          <w:rFonts w:hint="eastAsia" w:ascii="宋体" w:hAnsi="宋体" w:cs="Arial"/>
          <w:b/>
          <w:color w:val="auto"/>
          <w:kern w:val="1"/>
          <w:szCs w:val="21"/>
          <w:highlight w:val="none"/>
        </w:rPr>
        <w:t>最高限价：</w:t>
      </w:r>
      <w:r>
        <w:rPr>
          <w:rFonts w:hint="eastAsia" w:ascii="宋体" w:hAnsi="宋体" w:cs="Arial"/>
          <w:b/>
          <w:bCs/>
          <w:color w:val="auto"/>
          <w:kern w:val="1"/>
          <w:szCs w:val="21"/>
          <w:highlight w:val="none"/>
        </w:rPr>
        <w:t>C分标：Web前端开发1+X课证一体课程项目采购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w:t>
      </w:r>
    </w:p>
    <w:p>
      <w:pPr>
        <w:spacing w:line="500" w:lineRule="exact"/>
        <w:ind w:firstLine="422"/>
        <w:rPr>
          <w:rFonts w:hint="eastAsia" w:ascii="宋体" w:hAnsi="宋体" w:eastAsia="宋体" w:cs="Arial"/>
          <w:b/>
          <w:bCs/>
          <w:color w:val="auto"/>
          <w:kern w:val="1"/>
          <w:sz w:val="21"/>
          <w:szCs w:val="21"/>
          <w:highlight w:val="none"/>
          <w:lang w:val="en-US" w:eastAsia="zh-CN" w:bidi="ar-SA"/>
        </w:rPr>
      </w:pPr>
      <w:r>
        <w:rPr>
          <w:rFonts w:hint="eastAsia" w:ascii="宋体" w:hAnsi="宋体" w:eastAsia="宋体" w:cs="Arial"/>
          <w:b/>
          <w:bCs/>
          <w:color w:val="auto"/>
          <w:kern w:val="1"/>
          <w:sz w:val="21"/>
          <w:szCs w:val="21"/>
          <w:highlight w:val="none"/>
          <w:lang w:val="en-US" w:eastAsia="zh-CN" w:bidi="ar-SA"/>
        </w:rPr>
        <w:t xml:space="preserve"> </w:t>
      </w:r>
      <w:r>
        <w:rPr>
          <w:rFonts w:hint="eastAsia" w:ascii="宋体" w:hAnsi="宋体" w:cs="Arial"/>
          <w:b/>
          <w:bCs/>
          <w:color w:val="auto"/>
          <w:kern w:val="1"/>
          <w:sz w:val="21"/>
          <w:szCs w:val="21"/>
          <w:highlight w:val="none"/>
          <w:lang w:val="en-US" w:eastAsia="zh-CN" w:bidi="ar-SA"/>
        </w:rPr>
        <w:t xml:space="preserve">         </w:t>
      </w:r>
      <w:r>
        <w:rPr>
          <w:rFonts w:hint="eastAsia" w:ascii="宋体" w:hAnsi="宋体" w:eastAsia="宋体" w:cs="Arial"/>
          <w:b/>
          <w:bCs/>
          <w:color w:val="auto"/>
          <w:kern w:val="1"/>
          <w:sz w:val="21"/>
          <w:szCs w:val="21"/>
          <w:highlight w:val="none"/>
          <w:lang w:val="en-US" w:eastAsia="zh-CN" w:bidi="ar-SA"/>
        </w:rPr>
        <w:t xml:space="preserve">D分标：计算机网络与信息安全专业课程包采购，贰拾贰万伍仟元整（￥225000.00 ）  </w:t>
      </w:r>
    </w:p>
    <w:p>
      <w:pPr>
        <w:spacing w:line="50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采购需求：</w:t>
      </w:r>
    </w:p>
    <w:p>
      <w:pPr>
        <w:spacing w:line="50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C分标</w:t>
      </w:r>
    </w:p>
    <w:tbl>
      <w:tblPr>
        <w:tblStyle w:val="33"/>
        <w:tblpPr w:leftFromText="180" w:rightFromText="180" w:vertAnchor="text" w:tblpXSpec="center" w:tblpY="1"/>
        <w:tblOverlap w:val="never"/>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359"/>
        <w:gridCol w:w="1377"/>
        <w:gridCol w:w="5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序号</w:t>
            </w:r>
          </w:p>
        </w:tc>
        <w:tc>
          <w:tcPr>
            <w:tcW w:w="23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标的名称</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数量及单位</w:t>
            </w:r>
          </w:p>
        </w:tc>
        <w:tc>
          <w:tcPr>
            <w:tcW w:w="50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p>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w:t>
            </w:r>
          </w:p>
        </w:tc>
        <w:tc>
          <w:tcPr>
            <w:tcW w:w="2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《Web前端开发1+X课证一体课程》PPT课件</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1套</w:t>
            </w:r>
          </w:p>
        </w:tc>
        <w:tc>
          <w:tcPr>
            <w:tcW w:w="50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课件应包含《HTML5+CSS3开发技术》、《JavaScript前端开发》、《Vue应用程序开发》3个技术领域内容，素材应符合相关技术规范。PPT涉及的技术应为最新主流技术，不允许出现明显的已过时的技术。每个技术领域PPT不少于8个，能体现整门技术领域的知识框架……（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kern w:val="0"/>
                <w:sz w:val="21"/>
                <w:szCs w:val="21"/>
                <w:highlight w:val="none"/>
                <w:u w:color="000000"/>
                <w:lang w:val="en-US" w:eastAsia="zh-CN"/>
              </w:rPr>
              <w:t>2</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《Web前端开发1+X课证一体课程》教学视频</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100个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1.内容应覆盖《HTML5+CSS3开发技术》、《JavaScript前端开发》、《Vue应用程序开发》3个技术领域……（具体内容详见本公告附件：采购需求）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kern w:val="0"/>
                <w:sz w:val="21"/>
                <w:szCs w:val="21"/>
                <w:highlight w:val="none"/>
                <w:u w:color="000000"/>
                <w:lang w:val="en-US" w:eastAsia="zh-CN"/>
              </w:rPr>
              <w:t>3</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《Web前端开发1+X课证一体课程》线上课程</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sym w:font="Wingdings" w:char="F0AB"/>
            </w:r>
            <w:r>
              <w:rPr>
                <w:rFonts w:hint="eastAsia" w:ascii="宋体" w:hAnsi="宋体" w:eastAsia="宋体" w:cs="宋体"/>
                <w:color w:val="auto"/>
                <w:kern w:val="0"/>
                <w:sz w:val="21"/>
                <w:szCs w:val="21"/>
                <w:highlight w:val="none"/>
                <w:u w:color="000000"/>
              </w:rPr>
              <w:t>1. 根据课程资源，设计并制作体现课程资源情况的首页、导航、功能栏目以及二级页面等，设计独特的网站风格……（具体内容详见本公告附件：采购需求）</w:t>
            </w:r>
          </w:p>
        </w:tc>
      </w:tr>
    </w:tbl>
    <w:p>
      <w:pPr>
        <w:spacing w:line="440" w:lineRule="exact"/>
        <w:ind w:firstLine="422"/>
        <w:rPr>
          <w:rFonts w:hint="eastAsia" w:ascii="宋体" w:hAnsi="宋体" w:cs="Arial"/>
          <w:b/>
          <w:color w:val="auto"/>
          <w:kern w:val="1"/>
          <w:szCs w:val="21"/>
          <w:highlight w:val="none"/>
          <w:lang w:val="en-US" w:eastAsia="zh-CN"/>
        </w:rPr>
      </w:pPr>
      <w:r>
        <w:rPr>
          <w:rFonts w:hint="eastAsia" w:ascii="宋体" w:hAnsi="宋体" w:cs="Arial"/>
          <w:b/>
          <w:color w:val="auto"/>
          <w:kern w:val="1"/>
          <w:szCs w:val="21"/>
          <w:highlight w:val="none"/>
          <w:lang w:val="en-US" w:eastAsia="zh-CN"/>
        </w:rPr>
        <w:t>D分标</w:t>
      </w:r>
    </w:p>
    <w:tbl>
      <w:tblPr>
        <w:tblStyle w:val="33"/>
        <w:tblpPr w:leftFromText="180" w:rightFromText="180" w:vertAnchor="text" w:tblpXSpec="center" w:tblpY="1"/>
        <w:tblOverlap w:val="never"/>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359"/>
        <w:gridCol w:w="1377"/>
        <w:gridCol w:w="5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序号</w:t>
            </w:r>
          </w:p>
        </w:tc>
        <w:tc>
          <w:tcPr>
            <w:tcW w:w="23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标的名称</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数量及单位</w:t>
            </w:r>
          </w:p>
        </w:tc>
        <w:tc>
          <w:tcPr>
            <w:tcW w:w="50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1</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《web应用安全与管理》课程包PPT课件</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1.要求依据1+X“网络安全评估”职业技能等级要求（中级）“Web 安全评估测试”工作领域的职业技能要求进行开发，素材应符合相关技术规范……（具体内容详见本公告附件：采购需求）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sz w:val="21"/>
                <w:szCs w:val="21"/>
                <w:highlight w:val="none"/>
              </w:rPr>
              <w:t>2</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《web应用安全与管理》课程包教学视频</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 内容应参照1+X“网络安全评估”职业技能等级要求（中级）“Web 安全评估测试”工作领域的职业技能要求进行开发……（具体内容详见本公告附件：采购需求）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sz w:val="21"/>
                <w:szCs w:val="21"/>
                <w:highlight w:val="none"/>
              </w:rPr>
              <w:t>3</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《Linux操作系统管理》PPT课件</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1.课件应根据RHCSA（Red Hat Certified System Administrator）国际化课程标准进行开发……（具体内容详见本公告附件：采购需求）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sz w:val="21"/>
                <w:szCs w:val="21"/>
                <w:highlight w:val="none"/>
              </w:rPr>
              <w:t>4</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《Linux操作系统管理》教学视频</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 内容应根据RHCSA（Red Hat Certified System Administrator）国际化课程标准进行开发……（具体内容详见本公告附件：采购需求）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kern w:val="0"/>
                <w:sz w:val="21"/>
                <w:szCs w:val="21"/>
                <w:highlight w:val="none"/>
                <w:lang w:bidi="ar"/>
              </w:rPr>
              <w:t>5</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专业核心课程微课</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10个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1.每门微课材料包含微课视频，以及在微课录制过程中使用到的全部辅助扩展资料：教学方案设计、课件、习题、动画、视频、图片、答案、总结等……（具体内容详见本公告附件：采购需求）</w:t>
            </w:r>
          </w:p>
        </w:tc>
      </w:tr>
    </w:tbl>
    <w:p>
      <w:pPr>
        <w:spacing w:line="44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合同履行期限：</w:t>
      </w:r>
    </w:p>
    <w:p>
      <w:pPr>
        <w:spacing w:line="440" w:lineRule="exact"/>
        <w:ind w:firstLine="316" w:firstLineChars="150"/>
        <w:rPr>
          <w:rFonts w:hint="eastAsia" w:ascii="宋体" w:hAnsi="宋体" w:cs="Arial"/>
          <w:color w:val="auto"/>
          <w:kern w:val="1"/>
          <w:szCs w:val="21"/>
          <w:highlight w:val="none"/>
        </w:rPr>
      </w:pPr>
      <w:r>
        <w:rPr>
          <w:rFonts w:hint="eastAsia" w:ascii="宋体" w:hAnsi="宋体" w:cs="Arial"/>
          <w:b/>
          <w:color w:val="auto"/>
          <w:kern w:val="1"/>
          <w:szCs w:val="21"/>
          <w:highlight w:val="none"/>
        </w:rPr>
        <w:t>C分标：</w:t>
      </w:r>
      <w:r>
        <w:rPr>
          <w:rFonts w:hint="eastAsia" w:ascii="宋体" w:hAnsi="宋体" w:cs="Arial"/>
          <w:color w:val="auto"/>
          <w:kern w:val="1"/>
          <w:szCs w:val="21"/>
          <w:highlight w:val="none"/>
        </w:rPr>
        <w:t>自合同签订之日起至项目验收合格。</w:t>
      </w:r>
    </w:p>
    <w:p>
      <w:pPr>
        <w:spacing w:line="440" w:lineRule="exact"/>
        <w:ind w:firstLine="316" w:firstLineChars="150"/>
        <w:rPr>
          <w:rFonts w:ascii="宋体" w:hAnsi="宋体" w:cs="Arial"/>
          <w:b/>
          <w:color w:val="auto"/>
          <w:kern w:val="1"/>
          <w:szCs w:val="21"/>
          <w:highlight w:val="none"/>
        </w:rPr>
      </w:pPr>
      <w:r>
        <w:rPr>
          <w:rFonts w:hint="eastAsia" w:ascii="宋体" w:hAnsi="宋体" w:cs="Arial"/>
          <w:b/>
          <w:color w:val="auto"/>
          <w:kern w:val="1"/>
          <w:szCs w:val="21"/>
          <w:highlight w:val="none"/>
          <w:lang w:val="en-US" w:eastAsia="zh-CN"/>
        </w:rPr>
        <w:t>D</w:t>
      </w:r>
      <w:r>
        <w:rPr>
          <w:rFonts w:hint="eastAsia" w:ascii="宋体" w:hAnsi="宋体" w:cs="Arial"/>
          <w:b/>
          <w:color w:val="auto"/>
          <w:kern w:val="1"/>
          <w:szCs w:val="21"/>
          <w:highlight w:val="none"/>
        </w:rPr>
        <w:t>分标：</w:t>
      </w:r>
      <w:r>
        <w:rPr>
          <w:rFonts w:hint="eastAsia" w:ascii="宋体" w:hAnsi="宋体" w:cs="Arial"/>
          <w:color w:val="auto"/>
          <w:kern w:val="1"/>
          <w:szCs w:val="21"/>
          <w:highlight w:val="none"/>
        </w:rPr>
        <w:t>自合同签订之日起至项目验收合格。</w:t>
      </w:r>
    </w:p>
    <w:p>
      <w:pPr>
        <w:spacing w:line="44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本项目不接受联合体投标。</w:t>
      </w:r>
    </w:p>
    <w:p>
      <w:pPr>
        <w:spacing w:line="440" w:lineRule="exact"/>
        <w:ind w:firstLine="422"/>
        <w:rPr>
          <w:rFonts w:ascii="宋体" w:hAnsi="宋体" w:cs="Arial"/>
          <w:b/>
          <w:bCs/>
          <w:color w:val="auto"/>
          <w:kern w:val="1"/>
          <w:szCs w:val="21"/>
          <w:highlight w:val="none"/>
        </w:rPr>
      </w:pPr>
      <w:bookmarkStart w:id="13" w:name="_Toc28359003"/>
      <w:bookmarkStart w:id="14" w:name="_Toc35393622"/>
      <w:bookmarkStart w:id="15" w:name="_Toc35393791"/>
      <w:bookmarkStart w:id="16" w:name="_Toc28359080"/>
      <w:bookmarkStart w:id="17" w:name="_Toc44405602"/>
      <w:r>
        <w:rPr>
          <w:rFonts w:hint="eastAsia" w:ascii="宋体" w:hAnsi="宋体" w:cs="Arial"/>
          <w:b/>
          <w:bCs/>
          <w:color w:val="auto"/>
          <w:kern w:val="1"/>
          <w:szCs w:val="21"/>
          <w:highlight w:val="none"/>
        </w:rPr>
        <w:t>二、投标人的资格要求：</w:t>
      </w:r>
      <w:bookmarkEnd w:id="13"/>
      <w:bookmarkEnd w:id="14"/>
      <w:bookmarkEnd w:id="15"/>
      <w:bookmarkEnd w:id="16"/>
      <w:bookmarkEnd w:id="17"/>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1.满足《中华人民共和国政府采购法》第二十二条规定；</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2. 落实政府采购政策需满足的资格要求：无</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3.本项目的特定资格要求：无</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4.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5.对在“信用中国”网站(www.creditchina.gov.cn)、中国政府采购网(www.ccgp.gov.cn)等渠道列入失信被执行人、重大税收违法案件当事人名单、采购严重违法失信行为记录名单及其他不符合法律规定条件的供应商，不得参与采购活动；</w:t>
      </w:r>
      <w:r>
        <w:rPr>
          <w:rFonts w:ascii="宋体" w:hAnsi="宋体" w:cs="Arial"/>
          <w:color w:val="auto"/>
          <w:kern w:val="1"/>
          <w:szCs w:val="21"/>
          <w:highlight w:val="none"/>
        </w:rPr>
        <w:t xml:space="preserve"> </w:t>
      </w:r>
    </w:p>
    <w:p>
      <w:pPr>
        <w:spacing w:line="440" w:lineRule="exact"/>
        <w:ind w:firstLine="422"/>
        <w:rPr>
          <w:rFonts w:ascii="宋体" w:hAnsi="宋体" w:cs="Arial"/>
          <w:b/>
          <w:bCs/>
          <w:color w:val="auto"/>
          <w:kern w:val="1"/>
          <w:szCs w:val="21"/>
          <w:highlight w:val="none"/>
        </w:rPr>
      </w:pPr>
      <w:bookmarkStart w:id="18" w:name="_Toc44405603"/>
      <w:bookmarkStart w:id="19" w:name="_Toc35393623"/>
      <w:bookmarkStart w:id="20" w:name="_Toc35393792"/>
      <w:r>
        <w:rPr>
          <w:rFonts w:hint="eastAsia" w:ascii="宋体" w:hAnsi="宋体" w:cs="Arial"/>
          <w:b/>
          <w:bCs/>
          <w:color w:val="auto"/>
          <w:kern w:val="1"/>
          <w:szCs w:val="21"/>
          <w:highlight w:val="none"/>
        </w:rPr>
        <w:t>三、获取招标文件</w:t>
      </w:r>
      <w:bookmarkEnd w:id="18"/>
      <w:bookmarkEnd w:id="19"/>
      <w:bookmarkEnd w:id="20"/>
    </w:p>
    <w:p>
      <w:pPr>
        <w:spacing w:line="440" w:lineRule="exact"/>
        <w:ind w:firstLine="495"/>
        <w:rPr>
          <w:rFonts w:ascii="宋体" w:hAnsi="宋体" w:cs="Arial"/>
          <w:color w:val="auto"/>
          <w:kern w:val="1"/>
          <w:szCs w:val="21"/>
          <w:highlight w:val="none"/>
        </w:rPr>
      </w:pPr>
      <w:r>
        <w:rPr>
          <w:rFonts w:hint="eastAsia" w:ascii="宋体" w:hAnsi="宋体" w:cs="Arial"/>
          <w:color w:val="auto"/>
          <w:kern w:val="1"/>
          <w:szCs w:val="21"/>
          <w:highlight w:val="none"/>
        </w:rPr>
        <w:t>在</w:t>
      </w:r>
      <w:r>
        <w:rPr>
          <w:rFonts w:ascii="宋体" w:hAnsi="宋体" w:cs="Arial"/>
          <w:color w:val="auto"/>
          <w:kern w:val="1"/>
          <w:szCs w:val="21"/>
          <w:highlight w:val="none"/>
        </w:rPr>
        <w:t>南宁市公共资源交易中心网上</w:t>
      </w:r>
      <w:r>
        <w:rPr>
          <w:rFonts w:hint="eastAsia" w:ascii="宋体" w:hAnsi="宋体" w:cs="Arial"/>
          <w:color w:val="auto"/>
          <w:kern w:val="1"/>
          <w:szCs w:val="21"/>
          <w:highlight w:val="none"/>
        </w:rPr>
        <w:t>自行</w:t>
      </w:r>
      <w:r>
        <w:rPr>
          <w:rFonts w:ascii="宋体" w:hAnsi="宋体" w:cs="Arial"/>
          <w:color w:val="auto"/>
          <w:kern w:val="1"/>
          <w:szCs w:val="21"/>
          <w:highlight w:val="none"/>
        </w:rPr>
        <w:t>下载</w:t>
      </w:r>
      <w:r>
        <w:rPr>
          <w:rFonts w:hint="eastAsia" w:ascii="宋体" w:hAnsi="宋体" w:cs="Arial"/>
          <w:color w:val="auto"/>
          <w:kern w:val="1"/>
          <w:szCs w:val="21"/>
          <w:highlight w:val="none"/>
        </w:rPr>
        <w:t>，登陆南宁市公共资源交易中心网站（网址：</w:t>
      </w:r>
      <w:r>
        <w:rPr>
          <w:rFonts w:hint="eastAsia"/>
          <w:color w:val="auto"/>
          <w:highlight w:val="none"/>
        </w:rPr>
        <w:fldChar w:fldCharType="begin"/>
      </w:r>
      <w:r>
        <w:rPr>
          <w:color w:val="auto"/>
          <w:highlight w:val="none"/>
        </w:rPr>
        <w:instrText xml:space="preserve"> HYPERLINK "http://www.nnggzy.org.cn），在南宁市公共资源交易中心或各分支机构的采购公告栏内查找相关项目的采购公告，并点击该公告的附件，即可免费浏览或下载项目的招标" </w:instrText>
      </w:r>
      <w:r>
        <w:rPr>
          <w:rFonts w:hint="eastAsia"/>
          <w:color w:val="auto"/>
          <w:highlight w:val="none"/>
        </w:rPr>
        <w:fldChar w:fldCharType="separate"/>
      </w:r>
      <w:r>
        <w:rPr>
          <w:rFonts w:hint="eastAsia" w:ascii="宋体" w:hAnsi="宋体" w:cs="Arial"/>
          <w:color w:val="auto"/>
          <w:kern w:val="1"/>
          <w:szCs w:val="21"/>
          <w:highlight w:val="none"/>
        </w:rPr>
        <w:t>www.nnggzy.org.cn），在南宁市公共资源交易中心或各分支机构的采购公告栏内查找相关项目的采购公告，并点击该公告的附件，即可免费浏览或下载项目的招标</w:t>
      </w:r>
      <w:r>
        <w:rPr>
          <w:rFonts w:hint="eastAsia" w:ascii="宋体" w:hAnsi="宋体" w:cs="Arial"/>
          <w:color w:val="auto"/>
          <w:kern w:val="1"/>
          <w:szCs w:val="21"/>
          <w:highlight w:val="none"/>
        </w:rPr>
        <w:fldChar w:fldCharType="end"/>
      </w:r>
      <w:r>
        <w:rPr>
          <w:rFonts w:hint="eastAsia" w:ascii="宋体" w:hAnsi="宋体" w:cs="Arial"/>
          <w:color w:val="auto"/>
          <w:kern w:val="1"/>
          <w:szCs w:val="21"/>
          <w:highlight w:val="none"/>
        </w:rPr>
        <w:t>文件。</w:t>
      </w:r>
    </w:p>
    <w:p>
      <w:pPr>
        <w:spacing w:line="440" w:lineRule="exact"/>
        <w:ind w:firstLine="422"/>
        <w:rPr>
          <w:rFonts w:ascii="宋体" w:hAnsi="宋体" w:cs="Arial"/>
          <w:b/>
          <w:bCs/>
          <w:color w:val="auto"/>
          <w:kern w:val="1"/>
          <w:szCs w:val="21"/>
          <w:highlight w:val="none"/>
        </w:rPr>
      </w:pPr>
      <w:bookmarkStart w:id="21" w:name="_Toc28359005"/>
      <w:bookmarkStart w:id="22" w:name="_Toc28359082"/>
      <w:bookmarkStart w:id="23" w:name="_Toc35393793"/>
      <w:bookmarkStart w:id="24" w:name="_Toc35393624"/>
      <w:bookmarkStart w:id="25" w:name="_Toc44405604"/>
      <w:r>
        <w:rPr>
          <w:rFonts w:hint="eastAsia" w:ascii="宋体" w:hAnsi="宋体" w:cs="Arial"/>
          <w:b/>
          <w:bCs/>
          <w:color w:val="auto"/>
          <w:kern w:val="1"/>
          <w:szCs w:val="21"/>
          <w:highlight w:val="none"/>
        </w:rPr>
        <w:t>四、提交投标文件</w:t>
      </w:r>
      <w:bookmarkEnd w:id="21"/>
      <w:bookmarkEnd w:id="22"/>
      <w:r>
        <w:rPr>
          <w:rFonts w:hint="eastAsia" w:ascii="宋体" w:hAnsi="宋体" w:cs="Arial"/>
          <w:b/>
          <w:bCs/>
          <w:color w:val="auto"/>
          <w:kern w:val="1"/>
          <w:szCs w:val="21"/>
          <w:highlight w:val="none"/>
        </w:rPr>
        <w:t>截止时间、开标时间和地点</w:t>
      </w:r>
      <w:bookmarkEnd w:id="23"/>
      <w:bookmarkEnd w:id="24"/>
      <w:bookmarkEnd w:id="25"/>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1.投标截止时间：202</w:t>
      </w:r>
      <w:r>
        <w:rPr>
          <w:rFonts w:hint="eastAsia" w:ascii="宋体" w:hAnsi="宋体" w:cs="Arial"/>
          <w:color w:val="auto"/>
          <w:kern w:val="1"/>
          <w:szCs w:val="21"/>
          <w:highlight w:val="none"/>
          <w:lang w:val="en-US" w:eastAsia="zh-CN"/>
        </w:rPr>
        <w:t>1</w:t>
      </w:r>
      <w:r>
        <w:rPr>
          <w:rFonts w:hint="eastAsia" w:ascii="宋体" w:hAnsi="宋体" w:cs="Arial"/>
          <w:color w:val="auto"/>
          <w:kern w:val="1"/>
          <w:szCs w:val="21"/>
          <w:highlight w:val="none"/>
        </w:rPr>
        <w:t>年</w:t>
      </w:r>
      <w:r>
        <w:rPr>
          <w:rFonts w:hint="eastAsia" w:ascii="宋体" w:hAnsi="宋体" w:cs="Arial"/>
          <w:color w:val="auto"/>
          <w:kern w:val="1"/>
          <w:szCs w:val="21"/>
          <w:highlight w:val="none"/>
          <w:lang w:val="en-US" w:eastAsia="zh-CN"/>
        </w:rPr>
        <w:t>1</w:t>
      </w:r>
      <w:r>
        <w:rPr>
          <w:rFonts w:hint="eastAsia" w:ascii="宋体" w:hAnsi="宋体" w:cs="Arial"/>
          <w:color w:val="auto"/>
          <w:kern w:val="1"/>
          <w:szCs w:val="21"/>
          <w:highlight w:val="none"/>
        </w:rPr>
        <w:t>月</w:t>
      </w:r>
      <w:r>
        <w:rPr>
          <w:rFonts w:hint="eastAsia" w:ascii="宋体" w:hAnsi="宋体" w:cs="Arial"/>
          <w:color w:val="auto"/>
          <w:kern w:val="1"/>
          <w:szCs w:val="21"/>
          <w:highlight w:val="none"/>
          <w:lang w:val="en-US" w:eastAsia="zh-CN"/>
        </w:rPr>
        <w:t>20</w:t>
      </w:r>
      <w:r>
        <w:rPr>
          <w:rFonts w:hint="eastAsia" w:ascii="宋体" w:hAnsi="宋体" w:cs="Arial"/>
          <w:color w:val="auto"/>
          <w:kern w:val="1"/>
          <w:szCs w:val="21"/>
          <w:highlight w:val="none"/>
        </w:rPr>
        <w:t>日上午9时30分</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2.1投标文件必须在投标截止时间前送达。采购代理机构工作人员签收邮寄包裹的时间即为投标人投标文件的送达时间，逾期送达的投标文件无效，后果由投标人自行承担。</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2.2投标人应充分预留投标文件邮寄、送达所需要的时间。为确保疫情防控期间邮寄包裹能及时送达，投标人应选择邮寄运送时间有保障的快递公司寄送投标文件。</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2.3投标人按照招标文件要求装订密封好投标文件后，应使用不透明、防水的邮寄袋或箱子再次包裹已密封的投标文件，并在邮寄袋或箱子上粘牢注明项目名称、项目编号、有效的电子邮箱、联系人及联系方式的纸质表格。</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2.4投标文件邮寄地址：广西南宁市青秀区枫林路11号枫林蓝岸1栋一单元1101号（中昕国际项目管理有限公司），收件人：蒋工，联系电话：</w:t>
      </w:r>
      <w:r>
        <w:rPr>
          <w:rFonts w:hint="eastAsia" w:ascii="宋体" w:hAnsi="宋体" w:cs="Arial"/>
          <w:color w:val="auto"/>
          <w:kern w:val="1"/>
          <w:szCs w:val="21"/>
          <w:highlight w:val="none"/>
          <w:lang w:val="en-US" w:eastAsia="zh-CN"/>
        </w:rPr>
        <w:t>18977293603</w:t>
      </w:r>
      <w:r>
        <w:rPr>
          <w:rFonts w:hint="eastAsia" w:ascii="宋体" w:hAnsi="宋体" w:cs="Arial"/>
          <w:color w:val="auto"/>
          <w:kern w:val="1"/>
          <w:szCs w:val="21"/>
          <w:highlight w:val="none"/>
        </w:rPr>
        <w:t>。</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3.</w:t>
      </w:r>
      <w:r>
        <w:rPr>
          <w:rFonts w:ascii="宋体" w:hAnsi="宋体" w:cs="Arial"/>
          <w:color w:val="auto"/>
          <w:kern w:val="1"/>
          <w:szCs w:val="21"/>
          <w:highlight w:val="none"/>
        </w:rPr>
        <w:t xml:space="preserve"> 开标时间及地点：</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3.1本次招标将于2020年</w:t>
      </w:r>
      <w:r>
        <w:rPr>
          <w:rFonts w:hint="eastAsia" w:ascii="宋体" w:hAnsi="宋体" w:cs="Arial"/>
          <w:bCs/>
          <w:color w:val="auto"/>
          <w:kern w:val="1"/>
          <w:szCs w:val="21"/>
          <w:highlight w:val="none"/>
          <w:lang w:val="en-US" w:eastAsia="zh-CN"/>
        </w:rPr>
        <w:t>1</w:t>
      </w:r>
      <w:r>
        <w:rPr>
          <w:rFonts w:hint="eastAsia" w:ascii="宋体" w:hAnsi="宋体" w:cs="Arial"/>
          <w:bCs/>
          <w:color w:val="auto"/>
          <w:kern w:val="1"/>
          <w:szCs w:val="21"/>
          <w:highlight w:val="none"/>
        </w:rPr>
        <w:t>月</w:t>
      </w:r>
      <w:r>
        <w:rPr>
          <w:rFonts w:hint="eastAsia" w:ascii="宋体" w:hAnsi="宋体" w:cs="Arial"/>
          <w:bCs/>
          <w:color w:val="auto"/>
          <w:kern w:val="1"/>
          <w:szCs w:val="21"/>
          <w:highlight w:val="none"/>
          <w:lang w:val="en-US" w:eastAsia="zh-CN"/>
        </w:rPr>
        <w:t>20</w:t>
      </w:r>
      <w:r>
        <w:rPr>
          <w:rFonts w:hint="eastAsia" w:ascii="宋体" w:hAnsi="宋体" w:cs="Arial"/>
          <w:bCs/>
          <w:color w:val="auto"/>
          <w:kern w:val="1"/>
          <w:szCs w:val="21"/>
          <w:highlight w:val="none"/>
        </w:rPr>
        <w:t>日上午9时30分在南宁市良庆区玉洞大道33号（市青少年活动中心旁）南宁市公共资源交易中心开标厅（具体详见9楼电子显示屏场地安排）开标。</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3.2投标人不参加现场开标活动。</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3.3投标文件拆封及密封性检查：截标后，采购代理机构工作人员在公共资源交易中心工作人员和采购人的见证下拆开投标文件包封，采购人对投标文件密封性和投标文件正副本数量进行签字确认。</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3.4关于投标人的报价：由采购代理机构在投标文件商务技术符合性审查结束后，根据投标人的投标报价情况填写开标记录表，交由评标委员会对投标人的报价、交货期等内容进行签字确认。</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3.5关于投标文件澄清的有关要求</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40" w:lineRule="exact"/>
        <w:ind w:firstLine="422"/>
        <w:rPr>
          <w:rFonts w:ascii="宋体" w:hAnsi="宋体" w:cs="Arial"/>
          <w:b/>
          <w:bCs/>
          <w:color w:val="auto"/>
          <w:kern w:val="1"/>
          <w:szCs w:val="21"/>
          <w:highlight w:val="none"/>
        </w:rPr>
      </w:pPr>
      <w:bookmarkStart w:id="26" w:name="_Toc28359084"/>
      <w:bookmarkStart w:id="27" w:name="_Toc35393625"/>
      <w:bookmarkStart w:id="28" w:name="_Toc35393794"/>
      <w:bookmarkStart w:id="29" w:name="_Toc44405605"/>
      <w:bookmarkStart w:id="30" w:name="_Toc28359007"/>
      <w:r>
        <w:rPr>
          <w:rFonts w:hint="eastAsia" w:ascii="宋体" w:hAnsi="宋体" w:cs="Arial"/>
          <w:b/>
          <w:bCs/>
          <w:color w:val="auto"/>
          <w:kern w:val="1"/>
          <w:szCs w:val="21"/>
          <w:highlight w:val="none"/>
        </w:rPr>
        <w:t>五、公告期限</w:t>
      </w:r>
      <w:bookmarkEnd w:id="26"/>
      <w:bookmarkEnd w:id="27"/>
      <w:bookmarkEnd w:id="28"/>
      <w:bookmarkEnd w:id="29"/>
      <w:bookmarkEnd w:id="30"/>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自本公告发布之日起5个工作日。</w:t>
      </w:r>
    </w:p>
    <w:p>
      <w:pPr>
        <w:spacing w:line="440" w:lineRule="exact"/>
        <w:ind w:firstLine="422"/>
        <w:rPr>
          <w:rFonts w:ascii="宋体" w:hAnsi="宋体" w:cs="Arial"/>
          <w:b/>
          <w:bCs/>
          <w:color w:val="auto"/>
          <w:kern w:val="1"/>
          <w:szCs w:val="21"/>
          <w:highlight w:val="none"/>
        </w:rPr>
      </w:pPr>
      <w:bookmarkStart w:id="31" w:name="_Toc44405606"/>
      <w:bookmarkStart w:id="32" w:name="_Toc35393626"/>
      <w:bookmarkStart w:id="33" w:name="_Toc35393795"/>
      <w:r>
        <w:rPr>
          <w:rFonts w:hint="eastAsia" w:ascii="宋体" w:hAnsi="宋体" w:cs="Arial"/>
          <w:b/>
          <w:bCs/>
          <w:color w:val="auto"/>
          <w:kern w:val="1"/>
          <w:szCs w:val="21"/>
          <w:highlight w:val="none"/>
        </w:rPr>
        <w:t>六、其他补充事宜</w:t>
      </w:r>
      <w:bookmarkEnd w:id="31"/>
      <w:bookmarkEnd w:id="32"/>
      <w:bookmarkEnd w:id="33"/>
    </w:p>
    <w:p>
      <w:pPr>
        <w:spacing w:line="440" w:lineRule="exact"/>
        <w:ind w:firstLine="474"/>
        <w:rPr>
          <w:rFonts w:ascii="宋体" w:hAnsi="宋体" w:cs="Arial"/>
          <w:color w:val="auto"/>
          <w:kern w:val="1"/>
          <w:szCs w:val="21"/>
          <w:highlight w:val="none"/>
        </w:rPr>
      </w:pPr>
      <w:r>
        <w:rPr>
          <w:rFonts w:hint="eastAsia" w:ascii="宋体" w:hAnsi="宋体" w:cs="Arial"/>
          <w:b/>
          <w:bCs/>
          <w:color w:val="auto"/>
          <w:kern w:val="1"/>
          <w:szCs w:val="21"/>
          <w:highlight w:val="none"/>
        </w:rPr>
        <w:t>1.</w:t>
      </w:r>
      <w:r>
        <w:rPr>
          <w:rFonts w:ascii="宋体" w:hAnsi="宋体" w:cs="Arial"/>
          <w:b/>
          <w:bCs/>
          <w:color w:val="auto"/>
          <w:kern w:val="1"/>
          <w:szCs w:val="21"/>
          <w:highlight w:val="none"/>
        </w:rPr>
        <w:t>投标保证金</w:t>
      </w:r>
      <w:r>
        <w:rPr>
          <w:rFonts w:ascii="宋体" w:hAnsi="宋体" w:cs="Arial"/>
          <w:color w:val="auto"/>
          <w:kern w:val="1"/>
          <w:szCs w:val="21"/>
          <w:highlight w:val="none"/>
        </w:rPr>
        <w:t>：</w:t>
      </w:r>
    </w:p>
    <w:p>
      <w:pPr>
        <w:spacing w:line="440" w:lineRule="exact"/>
        <w:ind w:firstLine="422"/>
        <w:rPr>
          <w:rFonts w:ascii="宋体" w:hAnsi="宋体" w:cs="Arial"/>
          <w:b/>
          <w:color w:val="auto"/>
          <w:kern w:val="1"/>
          <w:szCs w:val="21"/>
          <w:highlight w:val="none"/>
        </w:rPr>
      </w:pPr>
      <w:r>
        <w:rPr>
          <w:rFonts w:ascii="宋体" w:hAnsi="宋体" w:cs="Arial"/>
          <w:color w:val="auto"/>
          <w:kern w:val="1"/>
          <w:szCs w:val="21"/>
          <w:highlight w:val="none"/>
        </w:rPr>
        <w:t>投标保证金（人民币）：</w:t>
      </w:r>
      <w:r>
        <w:rPr>
          <w:rFonts w:hint="eastAsia" w:ascii="宋体" w:hAnsi="宋体" w:cs="Arial"/>
          <w:b/>
          <w:bCs/>
          <w:color w:val="auto"/>
          <w:kern w:val="1"/>
          <w:szCs w:val="21"/>
          <w:highlight w:val="none"/>
        </w:rPr>
        <w:t>无</w:t>
      </w:r>
    </w:p>
    <w:p>
      <w:pPr>
        <w:spacing w:line="44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2.</w:t>
      </w:r>
      <w:r>
        <w:rPr>
          <w:rFonts w:ascii="宋体" w:hAnsi="宋体" w:cs="Arial"/>
          <w:b/>
          <w:color w:val="auto"/>
          <w:kern w:val="1"/>
          <w:szCs w:val="21"/>
          <w:highlight w:val="none"/>
        </w:rPr>
        <w:t xml:space="preserve"> 网上查询地址：</w:t>
      </w:r>
    </w:p>
    <w:p>
      <w:pPr>
        <w:spacing w:line="440" w:lineRule="exact"/>
        <w:ind w:firstLine="420"/>
        <w:rPr>
          <w:rFonts w:ascii="宋体" w:hAnsi="宋体" w:cs="宋体"/>
          <w:color w:val="auto"/>
          <w:kern w:val="1"/>
          <w:szCs w:val="21"/>
          <w:highlight w:val="none"/>
        </w:rPr>
      </w:pP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olor w:val="auto"/>
          <w:highlight w:val="none"/>
        </w:rPr>
        <w:t xml:space="preserve"> www.ccgp.gov.cn（中国政府采购网），www.gxzfcg.gov.cn（广西壮族自治区政府采购网）， http://zfcg.nanning.gov.cn/index.do（南宁政府采购网），</w:t>
      </w:r>
      <w:r>
        <w:rPr>
          <w:rFonts w:ascii="宋体" w:hAnsi="宋体"/>
          <w:color w:val="auto"/>
          <w:highlight w:val="none"/>
        </w:rPr>
        <w:t>www.nnggzy.org.cn</w:t>
      </w:r>
      <w:r>
        <w:rPr>
          <w:rFonts w:hint="eastAsia" w:ascii="宋体" w:hAnsi="宋体"/>
          <w:color w:val="auto"/>
          <w:highlight w:val="none"/>
        </w:rPr>
        <w:t>（南宁市公共资源交易中心网）</w:t>
      </w:r>
      <w:r>
        <w:rPr>
          <w:rFonts w:ascii="宋体" w:hAnsi="宋体" w:cs="宋体"/>
          <w:color w:val="auto"/>
          <w:kern w:val="1"/>
          <w:szCs w:val="21"/>
          <w:highlight w:val="none"/>
        </w:rPr>
        <w:t>。</w:t>
      </w:r>
      <w:r>
        <w:rPr>
          <w:rFonts w:ascii="宋体" w:hAnsi="宋体" w:cs="宋体"/>
          <w:color w:val="auto"/>
          <w:kern w:val="1"/>
          <w:szCs w:val="21"/>
          <w:highlight w:val="none"/>
        </w:rPr>
        <w:fldChar w:fldCharType="end"/>
      </w:r>
    </w:p>
    <w:p>
      <w:pPr>
        <w:snapToGrid w:val="0"/>
        <w:spacing w:line="440" w:lineRule="exact"/>
        <w:ind w:firstLine="422" w:firstLineChars="200"/>
        <w:rPr>
          <w:rFonts w:ascii="宋体" w:hAnsi="宋体"/>
          <w:b/>
          <w:color w:val="auto"/>
          <w:szCs w:val="21"/>
          <w:highlight w:val="none"/>
        </w:rPr>
      </w:pPr>
      <w:r>
        <w:rPr>
          <w:rFonts w:hint="eastAsia" w:ascii="宋体" w:hAnsi="宋体" w:cs="Arial"/>
          <w:b/>
          <w:color w:val="auto"/>
          <w:kern w:val="1"/>
          <w:szCs w:val="21"/>
          <w:highlight w:val="none"/>
        </w:rPr>
        <w:t>3.</w:t>
      </w:r>
      <w:r>
        <w:rPr>
          <w:rFonts w:hint="eastAsia" w:ascii="宋体" w:hAnsi="宋体"/>
          <w:b/>
          <w:color w:val="auto"/>
          <w:szCs w:val="21"/>
          <w:highlight w:val="none"/>
        </w:rPr>
        <w:t xml:space="preserve"> 本项目需要落实的政府采购政策：</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1.《政府采购促进中小企业发展暂行办法》（财库〔2011〕181号）。</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2.政府采购支持采用本国产品的政策。</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3.强制采购、优先采购环境标志产品、节能产品。 </w:t>
      </w:r>
    </w:p>
    <w:p>
      <w:pPr>
        <w:snapToGrid w:val="0"/>
        <w:spacing w:line="440" w:lineRule="exact"/>
        <w:ind w:firstLine="420" w:firstLineChars="200"/>
        <w:rPr>
          <w:rFonts w:ascii="宋体" w:hAnsi="宋体"/>
          <w:bCs/>
          <w:color w:val="auto"/>
          <w:highlight w:val="none"/>
        </w:rPr>
      </w:pPr>
      <w:r>
        <w:rPr>
          <w:rFonts w:hint="eastAsia" w:ascii="宋体" w:hAnsi="宋体"/>
          <w:color w:val="auto"/>
          <w:szCs w:val="21"/>
          <w:highlight w:val="none"/>
        </w:rPr>
        <w:t>4.</w:t>
      </w:r>
      <w:r>
        <w:rPr>
          <w:rFonts w:hint="eastAsia" w:ascii="宋体" w:hAnsi="宋体"/>
          <w:bCs/>
          <w:color w:val="auto"/>
          <w:highlight w:val="none"/>
        </w:rPr>
        <w:t>《财政部、司法部关于政府采购支持监狱企业发展有关问题的通知》（财库〔2014〕68号）。</w:t>
      </w:r>
    </w:p>
    <w:p>
      <w:pPr>
        <w:snapToGrid w:val="0"/>
        <w:spacing w:line="440" w:lineRule="exact"/>
        <w:ind w:firstLine="420" w:firstLineChars="200"/>
        <w:rPr>
          <w:rFonts w:ascii="宋体" w:hAnsi="宋体"/>
          <w:color w:val="auto"/>
          <w:szCs w:val="21"/>
          <w:highlight w:val="none"/>
          <w:shd w:val="clear" w:color="auto" w:fill="FFFFFF"/>
        </w:rPr>
      </w:pPr>
      <w:r>
        <w:rPr>
          <w:rFonts w:hint="eastAsia" w:ascii="宋体" w:hAnsi="宋体"/>
          <w:bCs/>
          <w:color w:val="auto"/>
          <w:highlight w:val="none"/>
        </w:rPr>
        <w:t>5.</w:t>
      </w:r>
      <w:r>
        <w:rPr>
          <w:rFonts w:hint="eastAsia" w:ascii="宋体" w:hAnsi="宋体"/>
          <w:color w:val="auto"/>
          <w:highlight w:val="none"/>
        </w:rPr>
        <w:t xml:space="preserve"> </w:t>
      </w:r>
      <w:r>
        <w:rPr>
          <w:rFonts w:hint="eastAsia" w:ascii="宋体" w:hAnsi="宋体"/>
          <w:bCs/>
          <w:color w:val="auto"/>
          <w:highlight w:val="none"/>
        </w:rPr>
        <w:t>《关于促进残疾人就业政府采购政策的通知》（财库〔2017〕141号）。</w:t>
      </w:r>
    </w:p>
    <w:p>
      <w:pPr>
        <w:spacing w:line="440" w:lineRule="exact"/>
        <w:ind w:firstLine="422"/>
        <w:rPr>
          <w:rFonts w:ascii="宋体" w:hAnsi="宋体" w:cs="Arial"/>
          <w:b/>
          <w:bCs/>
          <w:color w:val="auto"/>
          <w:kern w:val="1"/>
          <w:szCs w:val="21"/>
          <w:highlight w:val="none"/>
        </w:rPr>
      </w:pPr>
      <w:bookmarkStart w:id="34" w:name="_Toc35393796"/>
      <w:bookmarkStart w:id="35" w:name="_Toc35393627"/>
      <w:bookmarkStart w:id="36" w:name="_Toc44405607"/>
      <w:bookmarkStart w:id="37" w:name="_Toc28359085"/>
      <w:bookmarkStart w:id="38" w:name="_Toc28359008"/>
      <w:r>
        <w:rPr>
          <w:rFonts w:hint="eastAsia" w:ascii="宋体" w:hAnsi="宋体" w:cs="Arial"/>
          <w:b/>
          <w:bCs/>
          <w:color w:val="auto"/>
          <w:kern w:val="1"/>
          <w:szCs w:val="21"/>
          <w:highlight w:val="none"/>
        </w:rPr>
        <w:t>七、对本次招标提出询问，请按</w:t>
      </w:r>
      <w:r>
        <w:rPr>
          <w:rFonts w:ascii="宋体" w:hAnsi="宋体" w:cs="Arial"/>
          <w:b/>
          <w:bCs/>
          <w:color w:val="auto"/>
          <w:kern w:val="1"/>
          <w:szCs w:val="21"/>
          <w:highlight w:val="none"/>
        </w:rPr>
        <w:t>以下方式</w:t>
      </w:r>
      <w:r>
        <w:rPr>
          <w:rFonts w:hint="eastAsia" w:ascii="宋体" w:hAnsi="宋体" w:cs="Arial"/>
          <w:b/>
          <w:bCs/>
          <w:color w:val="auto"/>
          <w:kern w:val="1"/>
          <w:szCs w:val="21"/>
          <w:highlight w:val="none"/>
        </w:rPr>
        <w:t>联系。</w:t>
      </w:r>
      <w:bookmarkEnd w:id="34"/>
      <w:bookmarkEnd w:id="35"/>
      <w:bookmarkEnd w:id="36"/>
      <w:bookmarkEnd w:id="37"/>
      <w:bookmarkEnd w:id="38"/>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1、</w:t>
      </w:r>
      <w:r>
        <w:rPr>
          <w:rFonts w:hint="eastAsia" w:ascii="宋体" w:hAnsi="宋体" w:cs="Arial"/>
          <w:color w:val="auto"/>
          <w:kern w:val="1"/>
          <w:szCs w:val="21"/>
          <w:highlight w:val="none"/>
        </w:rPr>
        <w:t>采购人：南宁职业技术学院</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 xml:space="preserve">联系人：莫老师  联系电话：0771-2029355  联系地址：广西南宁市西乡塘区大学西路169号  </w:t>
      </w:r>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2、采购代理机构：</w:t>
      </w:r>
      <w:r>
        <w:rPr>
          <w:rFonts w:hint="eastAsia" w:ascii="宋体" w:hAnsi="宋体" w:cs="Arial"/>
          <w:color w:val="auto"/>
          <w:kern w:val="1"/>
          <w:szCs w:val="21"/>
          <w:highlight w:val="none"/>
        </w:rPr>
        <w:t>中昕国际项目管理有限公司</w:t>
      </w:r>
      <w:r>
        <w:rPr>
          <w:rFonts w:ascii="宋体" w:hAnsi="宋体" w:cs="Arial"/>
          <w:color w:val="auto"/>
          <w:kern w:val="1"/>
          <w:szCs w:val="21"/>
          <w:highlight w:val="none"/>
        </w:rPr>
        <w:t>；</w:t>
      </w:r>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项目联系人：</w:t>
      </w:r>
      <w:r>
        <w:rPr>
          <w:rFonts w:hint="eastAsia" w:ascii="宋体" w:hAnsi="宋体" w:cs="Arial"/>
          <w:color w:val="auto"/>
          <w:kern w:val="1"/>
          <w:szCs w:val="21"/>
          <w:highlight w:val="none"/>
        </w:rPr>
        <w:t>余晖</w:t>
      </w:r>
      <w:r>
        <w:rPr>
          <w:rFonts w:ascii="宋体" w:hAnsi="宋体" w:cs="Arial"/>
          <w:color w:val="auto"/>
          <w:kern w:val="1"/>
          <w:szCs w:val="21"/>
          <w:highlight w:val="none"/>
        </w:rPr>
        <w:t>；联系电话：0771-</w:t>
      </w:r>
      <w:r>
        <w:rPr>
          <w:rFonts w:hint="eastAsia" w:ascii="宋体" w:hAnsi="宋体" w:cs="Arial"/>
          <w:color w:val="auto"/>
          <w:kern w:val="1"/>
          <w:szCs w:val="21"/>
          <w:highlight w:val="none"/>
        </w:rPr>
        <w:t>5670450</w:t>
      </w:r>
      <w:r>
        <w:rPr>
          <w:rFonts w:ascii="宋体" w:hAnsi="宋体" w:cs="Arial"/>
          <w:color w:val="auto"/>
          <w:kern w:val="1"/>
          <w:szCs w:val="21"/>
          <w:highlight w:val="none"/>
        </w:rPr>
        <w:t>传真：0771-</w:t>
      </w:r>
      <w:r>
        <w:rPr>
          <w:rFonts w:hint="eastAsia" w:ascii="宋体" w:hAnsi="宋体" w:cs="Arial"/>
          <w:color w:val="auto"/>
          <w:kern w:val="1"/>
          <w:szCs w:val="21"/>
          <w:highlight w:val="none"/>
        </w:rPr>
        <w:t>5670645</w:t>
      </w:r>
      <w:r>
        <w:rPr>
          <w:rFonts w:ascii="宋体" w:hAnsi="宋体" w:cs="Arial"/>
          <w:color w:val="auto"/>
          <w:kern w:val="1"/>
          <w:szCs w:val="21"/>
          <w:highlight w:val="none"/>
        </w:rPr>
        <w:t>；</w:t>
      </w:r>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联系地址：</w:t>
      </w:r>
      <w:r>
        <w:rPr>
          <w:rFonts w:hint="eastAsia" w:ascii="宋体" w:hAnsi="宋体" w:cs="Arial"/>
          <w:color w:val="auto"/>
          <w:kern w:val="1"/>
          <w:szCs w:val="21"/>
          <w:highlight w:val="none"/>
        </w:rPr>
        <w:t>南宁市青秀区枫林路11号枫林蓝岸1号楼1单元1101号 。</w:t>
      </w:r>
    </w:p>
    <w:p>
      <w:pPr>
        <w:snapToGrid w:val="0"/>
        <w:spacing w:line="440" w:lineRule="exact"/>
        <w:ind w:firstLine="420"/>
        <w:jc w:val="right"/>
        <w:rPr>
          <w:rFonts w:ascii="宋体" w:hAnsi="宋体" w:cs="宋体"/>
          <w:color w:val="auto"/>
          <w:kern w:val="1"/>
          <w:szCs w:val="21"/>
          <w:highlight w:val="none"/>
        </w:rPr>
      </w:pPr>
      <w:r>
        <w:rPr>
          <w:rFonts w:hint="eastAsia" w:ascii="宋体" w:hAnsi="宋体" w:cs="Arial"/>
          <w:color w:val="auto"/>
          <w:kern w:val="1"/>
          <w:szCs w:val="21"/>
          <w:highlight w:val="none"/>
        </w:rPr>
        <w:t>中昕国际项目管理有限公司</w:t>
      </w:r>
    </w:p>
    <w:p>
      <w:pPr>
        <w:spacing w:line="440" w:lineRule="exact"/>
        <w:rPr>
          <w:rFonts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 xml:space="preserve">                 </w:t>
      </w:r>
      <w:r>
        <w:rPr>
          <w:rFonts w:ascii="宋体" w:hAnsi="宋体" w:cs="宋体"/>
          <w:color w:val="auto"/>
          <w:szCs w:val="21"/>
          <w:highlight w:val="none"/>
        </w:rPr>
        <w:t xml:space="preserve"> </w:t>
      </w:r>
      <w:r>
        <w:rPr>
          <w:rFonts w:ascii="宋体" w:hAnsi="宋体" w:cs="宋体"/>
          <w:color w:val="auto"/>
          <w:szCs w:val="21"/>
          <w:highlight w:val="none"/>
          <w:u w:val="single"/>
        </w:rPr>
        <w:t>20</w:t>
      </w:r>
      <w:r>
        <w:rPr>
          <w:rFonts w:hint="eastAsia" w:ascii="宋体" w:hAnsi="宋体" w:cs="宋体"/>
          <w:color w:val="auto"/>
          <w:szCs w:val="21"/>
          <w:highlight w:val="none"/>
          <w:u w:val="single"/>
        </w:rPr>
        <w:t>20</w:t>
      </w:r>
      <w:r>
        <w:rPr>
          <w:rFonts w:ascii="宋体" w:hAnsi="宋体" w:cs="宋体"/>
          <w:color w:val="auto"/>
          <w:szCs w:val="21"/>
          <w:highlight w:val="none"/>
        </w:rPr>
        <w:t>年</w:t>
      </w:r>
      <w:r>
        <w:rPr>
          <w:rFonts w:hint="eastAsia" w:ascii="宋体" w:hAnsi="宋体" w:cs="宋体"/>
          <w:color w:val="auto"/>
          <w:szCs w:val="21"/>
          <w:highlight w:val="none"/>
          <w:u w:val="single"/>
          <w:lang w:val="en-US" w:eastAsia="zh-CN"/>
        </w:rPr>
        <w:t>12</w:t>
      </w:r>
      <w:r>
        <w:rPr>
          <w:rFonts w:ascii="宋体" w:hAnsi="宋体" w:cs="宋体"/>
          <w:color w:val="auto"/>
          <w:szCs w:val="21"/>
          <w:highlight w:val="none"/>
        </w:rPr>
        <w:t>月</w:t>
      </w:r>
      <w:r>
        <w:rPr>
          <w:rFonts w:hint="eastAsia" w:ascii="宋体" w:hAnsi="宋体" w:cs="宋体"/>
          <w:color w:val="auto"/>
          <w:szCs w:val="21"/>
          <w:highlight w:val="none"/>
          <w:u w:val="single"/>
          <w:lang w:val="en-US" w:eastAsia="zh-CN"/>
        </w:rPr>
        <w:t>30</w:t>
      </w:r>
      <w:r>
        <w:rPr>
          <w:rFonts w:ascii="宋体" w:hAnsi="宋体" w:cs="宋体"/>
          <w:color w:val="auto"/>
          <w:szCs w:val="21"/>
          <w:highlight w:val="none"/>
        </w:rPr>
        <w:t>日</w:t>
      </w:r>
    </w:p>
    <w:p>
      <w:pPr>
        <w:pStyle w:val="18"/>
        <w:spacing w:line="360" w:lineRule="auto"/>
        <w:jc w:val="center"/>
        <w:outlineLvl w:val="0"/>
        <w:rPr>
          <w:rFonts w:hint="eastAsia" w:ascii="Times New Roman" w:hAnsi="Times New Roman"/>
          <w:b/>
          <w:color w:val="auto"/>
          <w:sz w:val="36"/>
          <w:highlight w:val="none"/>
        </w:rPr>
      </w:pPr>
      <w:bookmarkStart w:id="39" w:name="_Toc139967215"/>
      <w:bookmarkStart w:id="40" w:name="_Toc213206172"/>
      <w:bookmarkStart w:id="41" w:name="_Toc139966431"/>
      <w:bookmarkStart w:id="42" w:name="_Toc213325921"/>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hint="eastAsia" w:ascii="Times New Roman" w:hAnsi="Times New Roman"/>
          <w:b/>
          <w:color w:val="auto"/>
          <w:sz w:val="36"/>
          <w:highlight w:val="none"/>
        </w:rPr>
      </w:pPr>
    </w:p>
    <w:p>
      <w:pPr>
        <w:pStyle w:val="18"/>
        <w:spacing w:line="360" w:lineRule="auto"/>
        <w:jc w:val="center"/>
        <w:outlineLvl w:val="0"/>
        <w:rPr>
          <w:rFonts w:ascii="Times New Roman" w:hAnsi="Times New Roman"/>
          <w:b/>
          <w:color w:val="auto"/>
          <w:sz w:val="36"/>
          <w:highlight w:val="none"/>
        </w:rPr>
      </w:pPr>
      <w:bookmarkStart w:id="43" w:name="_Toc23855"/>
      <w:r>
        <w:rPr>
          <w:rFonts w:hint="eastAsia" w:ascii="Times New Roman" w:hAnsi="Times New Roman"/>
          <w:b/>
          <w:color w:val="auto"/>
          <w:sz w:val="36"/>
          <w:highlight w:val="none"/>
        </w:rPr>
        <w:t>第二章  项目需求一览表</w:t>
      </w:r>
      <w:bookmarkEnd w:id="39"/>
      <w:bookmarkEnd w:id="40"/>
      <w:bookmarkEnd w:id="41"/>
      <w:bookmarkEnd w:id="42"/>
      <w:bookmarkEnd w:id="43"/>
    </w:p>
    <w:p>
      <w:pPr>
        <w:spacing w:line="360" w:lineRule="exact"/>
        <w:rPr>
          <w:rFonts w:hAnsi="宋体"/>
          <w:b/>
          <w:color w:val="auto"/>
          <w:szCs w:val="21"/>
          <w:highlight w:val="none"/>
        </w:rPr>
      </w:pPr>
      <w:bookmarkStart w:id="44" w:name="_Toc139967216"/>
      <w:bookmarkStart w:id="45" w:name="_Toc213206173"/>
      <w:bookmarkStart w:id="46" w:name="_Toc213325922"/>
      <w:bookmarkStart w:id="47" w:name="_Toc139966432"/>
      <w:r>
        <w:rPr>
          <w:rFonts w:hint="eastAsia" w:hAnsi="宋体"/>
          <w:b/>
          <w:color w:val="auto"/>
          <w:szCs w:val="21"/>
          <w:highlight w:val="none"/>
        </w:rPr>
        <w:t>说明：</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1、供应商应对投标内容所涉及的专利承担法律责任，并负责保护甲方的利益不受任何损害。一切由于文字、商标、技术和软件专利授权引起的法律裁决、诉讼和赔偿费用均由中标人负责。同时，具有产品专利的供应商应在其投标文件中提供与其自有产品专利相关的有效证明材料，否则，不能就其产品的专利在本项目招标过程中被侵权问题而提出异议。</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2、供应商应注意下列内容：</w:t>
      </w:r>
    </w:p>
    <w:p>
      <w:pPr>
        <w:spacing w:line="320" w:lineRule="exact"/>
        <w:ind w:firstLine="422" w:firstLineChars="200"/>
        <w:rPr>
          <w:rFonts w:ascii="宋体" w:hAnsi="宋体"/>
          <w:b/>
          <w:color w:val="auto"/>
          <w:szCs w:val="21"/>
          <w:highlight w:val="none"/>
        </w:rPr>
      </w:pPr>
      <w:r>
        <w:rPr>
          <w:rFonts w:hint="eastAsia" w:ascii="宋体" w:hAnsi="宋体"/>
          <w:b/>
          <w:color w:val="auto"/>
          <w:szCs w:val="21"/>
          <w:highlight w:val="none"/>
        </w:rPr>
        <w:t>招标文件中带“★ ”的条款为本次采购的实质性的商务、技术或服务要求，供应商须满足或响应，若无法完全满足，将会被认定为无效投标。</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3、本项目需求一览表中的内容如与第六章“合同条款及格式”相关条款不一致的，以本表为准。</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4、供应商应承诺投标文件中提供的证明材料和资质文件真实，如出现虚假应标情况，供应商除了应接受有关部门的处罚外，还应依据《中华人民共和国合同法》的相关条款来确定赔偿金额。</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5、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 。若采购货物含有此类产品时，投标人的投标货物必须使用政府强制采购的节能产品，投标人在投标文件中必须提供所投产品有效的认证证书（加盖投标人公章），否则相应投标无效。</w:t>
      </w:r>
    </w:p>
    <w:p>
      <w:pPr>
        <w:spacing w:line="320" w:lineRule="exact"/>
        <w:ind w:firstLine="420" w:firstLineChars="200"/>
        <w:rPr>
          <w:rFonts w:hint="eastAsia" w:hAnsi="宋体"/>
          <w:b/>
          <w:bCs/>
          <w:color w:val="auto"/>
          <w:highlight w:val="none"/>
        </w:rPr>
      </w:pPr>
      <w:r>
        <w:rPr>
          <w:rFonts w:hint="eastAsia" w:ascii="宋体" w:hAnsi="宋体"/>
          <w:color w:val="auto"/>
          <w:szCs w:val="21"/>
          <w:highlight w:val="none"/>
        </w:rPr>
        <w:t>6、</w:t>
      </w:r>
      <w:r>
        <w:rPr>
          <w:rFonts w:hAnsi="宋体"/>
          <w:b/>
          <w:bCs/>
          <w:color w:val="auto"/>
          <w:highlight w:val="none"/>
        </w:rPr>
        <w:t>本次</w:t>
      </w:r>
      <w:r>
        <w:rPr>
          <w:rFonts w:hint="eastAsia" w:hAnsi="宋体"/>
          <w:b/>
          <w:bCs/>
          <w:color w:val="auto"/>
          <w:highlight w:val="none"/>
          <w:lang w:val="en-US" w:eastAsia="zh-CN"/>
        </w:rPr>
        <w:t>C分标</w:t>
      </w:r>
      <w:r>
        <w:rPr>
          <w:rFonts w:hAnsi="宋体"/>
          <w:b/>
          <w:bCs/>
          <w:color w:val="auto"/>
          <w:highlight w:val="none"/>
        </w:rPr>
        <w:t>采购最高限价</w:t>
      </w:r>
      <w:r>
        <w:rPr>
          <w:rFonts w:hint="eastAsia" w:hAnsi="宋体"/>
          <w:b/>
          <w:bCs/>
          <w:color w:val="auto"/>
          <w:highlight w:val="none"/>
        </w:rPr>
        <w:t>：</w:t>
      </w: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r>
        <w:rPr>
          <w:rFonts w:hint="eastAsia" w:hAnsi="宋体"/>
          <w:b/>
          <w:bCs/>
          <w:color w:val="auto"/>
          <w:highlight w:val="none"/>
          <w:lang w:eastAsia="zh-CN"/>
        </w:rPr>
        <w:t>；</w:t>
      </w:r>
      <w:r>
        <w:rPr>
          <w:rFonts w:hint="eastAsia" w:hAnsi="宋体"/>
          <w:b/>
          <w:bCs/>
          <w:color w:val="auto"/>
          <w:highlight w:val="none"/>
          <w:lang w:val="en-US" w:eastAsia="zh-CN"/>
        </w:rPr>
        <w:t>D分标</w:t>
      </w:r>
      <w:r>
        <w:rPr>
          <w:rFonts w:hAnsi="宋体"/>
          <w:b/>
          <w:bCs/>
          <w:color w:val="auto"/>
          <w:highlight w:val="none"/>
        </w:rPr>
        <w:t>采购最高限价</w:t>
      </w:r>
      <w:r>
        <w:rPr>
          <w:rFonts w:hint="eastAsia" w:hAnsi="宋体"/>
          <w:b/>
          <w:bCs/>
          <w:color w:val="auto"/>
          <w:highlight w:val="none"/>
        </w:rPr>
        <w:t>：</w:t>
      </w:r>
      <w:r>
        <w:rPr>
          <w:rFonts w:hint="eastAsia" w:ascii="宋体" w:hAnsi="宋体" w:cs="Arial"/>
          <w:b/>
          <w:bCs/>
          <w:color w:val="auto"/>
          <w:kern w:val="1"/>
          <w:szCs w:val="21"/>
          <w:highlight w:val="none"/>
          <w:lang w:val="en-US" w:eastAsia="zh-CN"/>
        </w:rPr>
        <w:t>贰拾贰万伍仟元整（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225000.00 ）</w:t>
      </w:r>
      <w:r>
        <w:rPr>
          <w:rFonts w:hint="eastAsia" w:hAnsi="宋体"/>
          <w:b/>
          <w:bCs/>
          <w:color w:val="auto"/>
          <w:highlight w:val="none"/>
          <w:lang w:eastAsia="zh-CN"/>
        </w:rPr>
        <w:t>。</w:t>
      </w:r>
      <w:r>
        <w:rPr>
          <w:rFonts w:hint="eastAsia" w:hAnsi="宋体"/>
          <w:b/>
          <w:bCs/>
          <w:color w:val="auto"/>
          <w:highlight w:val="none"/>
          <w:lang w:val="en-US" w:eastAsia="zh-CN"/>
        </w:rPr>
        <w:t>各分标</w:t>
      </w:r>
      <w:r>
        <w:rPr>
          <w:rFonts w:hint="eastAsia" w:hAnsi="宋体"/>
          <w:b/>
          <w:bCs/>
          <w:color w:val="auto"/>
          <w:highlight w:val="none"/>
          <w:lang w:eastAsia="zh-CN"/>
        </w:rPr>
        <w:t>分项最高限价详见表格。</w:t>
      </w:r>
    </w:p>
    <w:p>
      <w:pPr>
        <w:spacing w:line="320" w:lineRule="exact"/>
        <w:ind w:firstLine="420" w:firstLineChars="200"/>
        <w:rPr>
          <w:color w:val="auto"/>
          <w:highlight w:val="none"/>
        </w:rPr>
      </w:pPr>
      <w:r>
        <w:rPr>
          <w:rFonts w:hint="eastAsia" w:ascii="宋体" w:hAnsi="宋体"/>
          <w:color w:val="auto"/>
          <w:szCs w:val="21"/>
          <w:highlight w:val="none"/>
          <w:lang w:val="en-US" w:eastAsia="zh-CN"/>
        </w:rPr>
        <w:t>7、本项目各分标均为服务类项目，无核心产品；</w:t>
      </w:r>
    </w:p>
    <w:p>
      <w:pPr>
        <w:pStyle w:val="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C分标</w:t>
      </w:r>
    </w:p>
    <w:tbl>
      <w:tblPr>
        <w:tblStyle w:val="3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0"/>
        <w:gridCol w:w="980"/>
        <w:gridCol w:w="1248"/>
        <w:gridCol w:w="39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服务名称</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参考品牌、型号</w:t>
            </w:r>
          </w:p>
        </w:tc>
        <w:tc>
          <w:tcPr>
            <w:tcW w:w="3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技术参数要求</w:t>
            </w:r>
          </w:p>
        </w:tc>
        <w:tc>
          <w:tcPr>
            <w:tcW w:w="1743"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《Web前端开发1+X课证一体课程》PPT课件</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★1.课件应包含《HTML5+CSS3开发技术》、《JavaScript前端开发》、《Vue应用程序开发》3个技术领域内容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素材应符合相关技术规范。PPT涉及的技术应为最新主流技术，不允许出现明显的已过时的技术。每个技术领域PPT不少于8个</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能体现整门技术领域的知识框架。</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4.3页面行距建议为1.2倍，可适当增大，左右边距均匀、适当。</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 各级标题宜采用不同的字体，一张幻灯片上文字颜色不宜过多，注意文字与背景色的反差。</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4.6文件内链接都采用相对链接，并能够正常打开</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15000</w:t>
            </w:r>
            <w:r>
              <w:rPr>
                <w:rFonts w:hint="eastAsia" w:ascii="宋体" w:hAnsi="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《Web前端开发1+X课证一体课程》教学视频</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100个</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★1.内容应覆盖《HTML5+CSS3开发技术》、《JavaScript前端开发》、《Vue应用程序开发》3个技术领域。</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2.要求视频图像清晰，声音和画面同步，播放时没有明显的噪点，播放流畅。</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 脚本、样片等资源内容应符合我国法律法规，尊重各民族的风俗习惯，版权不存在争议，文字内容的使用应符合规范，符合国家标准。</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 视频格式为MP4，分辨率为720P高清格式，每个视频时长3-20分钟，总时长不少于500分钟。</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★5.中标方全程负责课程视频制作的课程设计、脚本编写、视频录制和后期处理。</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70000</w:t>
            </w:r>
            <w:r>
              <w:rPr>
                <w:rFonts w:hint="eastAsia" w:ascii="宋体" w:hAnsi="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《Web前端开发1+X课证一体课程》线上课程</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1个</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 根据课程资源，设计并制作体现课程资源情况的首页、导航、功能栏目以及二级页面等，设计独特的网站风格。</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 要体现课程学习的顶层设计和框架结构，考虑面向学生、教师、企业用户、社会学习者等不同人群，提供针对这些人群的导学导览设计，使不同学习者能够迅速获取所需内容，明确学习路径。</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★3.中标方全程负责课程视频制作的课程设计、脚本编写、视频录制和后期处理。</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20000</w:t>
            </w:r>
            <w:r>
              <w:rPr>
                <w:rFonts w:hint="eastAsia" w:ascii="宋体" w:hAnsi="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42" w:type="dxa"/>
            <w:gridSpan w:val="4"/>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分项最高限价</w:t>
            </w:r>
            <w:r>
              <w:rPr>
                <w:rFonts w:hint="eastAsia" w:ascii="宋体" w:hAnsi="宋体" w:eastAsia="宋体" w:cs="宋体"/>
                <w:b/>
                <w:color w:val="auto"/>
                <w:sz w:val="21"/>
                <w:szCs w:val="21"/>
                <w:highlight w:val="none"/>
                <w:lang w:val="en-US" w:eastAsia="zh-CN"/>
              </w:rPr>
              <w:t>合计</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bCs/>
                <w:color w:val="auto"/>
                <w:sz w:val="21"/>
                <w:szCs w:val="21"/>
                <w:highlight w:val="none"/>
              </w:rPr>
            </w:pP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b/>
                <w:bCs/>
                <w:strike/>
                <w:color w:val="auto"/>
                <w:sz w:val="21"/>
                <w:szCs w:val="21"/>
                <w:highlight w:val="none"/>
              </w:rPr>
            </w:pPr>
            <w:r>
              <w:rPr>
                <w:rFonts w:hint="eastAsia" w:ascii="宋体" w:hAnsi="宋体" w:eastAsia="宋体" w:cs="宋体"/>
                <w:color w:val="auto"/>
                <w:sz w:val="21"/>
                <w:szCs w:val="21"/>
                <w:highlight w:val="none"/>
              </w:rPr>
              <w:t>商务条款</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★一、签定合同日期：自中标通知书发出之日起7个工作日内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 xml:space="preserve">★二、交货期：自合同签订之日起 </w:t>
            </w:r>
            <w:r>
              <w:rPr>
                <w:rFonts w:hint="eastAsia" w:ascii="宋体" w:hAnsi="宋体" w:cs="宋体"/>
                <w:snapToGrid w:val="0"/>
                <w:color w:val="auto"/>
                <w:spacing w:val="2"/>
                <w:kern w:val="0"/>
                <w:sz w:val="21"/>
                <w:szCs w:val="21"/>
                <w:highlight w:val="none"/>
                <w:lang w:val="en-US" w:eastAsia="zh-CN"/>
              </w:rPr>
              <w:t>50</w:t>
            </w:r>
            <w:r>
              <w:rPr>
                <w:rFonts w:hint="eastAsia" w:ascii="宋体" w:hAnsi="宋体" w:eastAsia="宋体" w:cs="宋体"/>
                <w:snapToGrid w:val="0"/>
                <w:color w:val="auto"/>
                <w:spacing w:val="2"/>
                <w:kern w:val="0"/>
                <w:sz w:val="21"/>
                <w:szCs w:val="21"/>
                <w:highlight w:val="none"/>
              </w:rPr>
              <w:t>日历天内（含安装）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三、交货地点：南宁职业技术学院</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四、交货方式：现场交货</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五、售后服务要求：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★1、质保期1年（自交货并验收合格之日起计）；</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2、按国家规定的厂家承诺实行"三包",免费送货上门、免费安装、调试及相应人员培训；</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3、故障响应及修复：接到故障电话 1 小时内派技术人员远程支持，远程支持无法解决的问题 24 小时内上门支持，在 48 小时内解决问题。</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六、其他要求：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★1、投标报价为采购人指定地点的现场交货价，包括：</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w:t>
            </w:r>
            <w:r>
              <w:rPr>
                <w:rFonts w:hint="eastAsia" w:ascii="宋体" w:hAnsi="宋体" w:cs="宋体"/>
                <w:snapToGrid w:val="0"/>
                <w:color w:val="auto"/>
                <w:spacing w:val="2"/>
                <w:kern w:val="0"/>
                <w:sz w:val="21"/>
                <w:szCs w:val="21"/>
                <w:highlight w:val="none"/>
                <w:lang w:val="en-US" w:eastAsia="zh-CN"/>
              </w:rPr>
              <w:t>服务</w:t>
            </w:r>
            <w:r>
              <w:rPr>
                <w:rFonts w:hint="eastAsia" w:ascii="宋体" w:hAnsi="宋体" w:eastAsia="宋体" w:cs="宋体"/>
                <w:snapToGrid w:val="0"/>
                <w:color w:val="auto"/>
                <w:spacing w:val="2"/>
                <w:kern w:val="0"/>
                <w:sz w:val="21"/>
                <w:szCs w:val="21"/>
                <w:highlight w:val="none"/>
              </w:rPr>
              <w:t>的价格；</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（2）调试、培训、技术支持、售后服务等费用；</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（3）必要的保险费用和各项税费；</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w:t>
            </w:r>
            <w:r>
              <w:rPr>
                <w:rFonts w:hint="eastAsia" w:ascii="宋体" w:hAnsi="宋体" w:cs="宋体"/>
                <w:snapToGrid w:val="0"/>
                <w:color w:val="auto"/>
                <w:spacing w:val="2"/>
                <w:kern w:val="0"/>
                <w:sz w:val="21"/>
                <w:szCs w:val="21"/>
                <w:highlight w:val="none"/>
                <w:lang w:val="en-US" w:eastAsia="zh-CN"/>
              </w:rPr>
              <w:t>4</w:t>
            </w:r>
            <w:r>
              <w:rPr>
                <w:rFonts w:hint="eastAsia" w:ascii="宋体" w:hAnsi="宋体" w:eastAsia="宋体" w:cs="宋体"/>
                <w:snapToGrid w:val="0"/>
                <w:color w:val="auto"/>
                <w:spacing w:val="2"/>
                <w:kern w:val="0"/>
                <w:sz w:val="21"/>
                <w:szCs w:val="21"/>
                <w:highlight w:val="none"/>
              </w:rPr>
              <w:t>）包含安装费用。</w:t>
            </w:r>
          </w:p>
          <w:p>
            <w:pPr>
              <w:rPr>
                <w:rFonts w:hint="eastAsia" w:ascii="宋体" w:hAnsi="宋体" w:eastAsia="宋体" w:cs="宋体"/>
                <w:color w:val="auto"/>
                <w:sz w:val="21"/>
                <w:szCs w:val="21"/>
                <w:highlight w:val="none"/>
              </w:rPr>
            </w:pPr>
            <w:r>
              <w:rPr>
                <w:rFonts w:hint="eastAsia" w:ascii="宋体" w:hAnsi="宋体" w:eastAsia="宋体" w:cs="宋体"/>
                <w:snapToGrid w:val="0"/>
                <w:color w:val="auto"/>
                <w:spacing w:val="2"/>
                <w:kern w:val="0"/>
                <w:sz w:val="21"/>
                <w:szCs w:val="21"/>
                <w:highlight w:val="none"/>
              </w:rPr>
              <w:t>★2、付款方式：本项目无预付款，供应商交货完毕并经验收合格后，一次性支付合同款。</w:t>
            </w:r>
          </w:p>
        </w:tc>
      </w:tr>
    </w:tbl>
    <w:p>
      <w:pPr>
        <w:rPr>
          <w:color w:val="auto"/>
          <w:highlight w:val="none"/>
        </w:rPr>
      </w:pPr>
    </w:p>
    <w:p>
      <w:pPr>
        <w:pStyle w:val="7"/>
        <w:rPr>
          <w:rFonts w:hint="eastAsia"/>
          <w:color w:val="auto"/>
          <w:sz w:val="21"/>
          <w:szCs w:val="21"/>
          <w:highlight w:val="none"/>
          <w:lang w:val="en-US" w:eastAsia="zh-CN"/>
        </w:rPr>
      </w:pPr>
      <w:r>
        <w:rPr>
          <w:rFonts w:hint="eastAsia"/>
          <w:color w:val="auto"/>
          <w:sz w:val="21"/>
          <w:szCs w:val="21"/>
          <w:highlight w:val="none"/>
          <w:lang w:val="en-US" w:eastAsia="zh-CN"/>
        </w:rPr>
        <w:t>D分标</w:t>
      </w:r>
    </w:p>
    <w:tbl>
      <w:tblPr>
        <w:tblStyle w:val="3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0"/>
        <w:gridCol w:w="980"/>
        <w:gridCol w:w="1248"/>
        <w:gridCol w:w="39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服务名称</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参考品牌、型号</w:t>
            </w:r>
          </w:p>
        </w:tc>
        <w:tc>
          <w:tcPr>
            <w:tcW w:w="3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技术参数要求</w:t>
            </w:r>
          </w:p>
        </w:tc>
        <w:tc>
          <w:tcPr>
            <w:tcW w:w="1743"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《web应用安全与管理》课程包PPT课件</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★1.要求依据1+X“网络安全评估”职业技能等级要求（中级）“Web 安全评估测试”工作领域的职业技能要求进行开发，素材应符合相关技术规范。</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4.3页面行距建议为1.2倍，可适当增大，左右边距均匀、适当。</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4.5 各级标题宜采用不同的字体，一张幻灯片上文字颜色不宜过多，注意文字与背景色的反差。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4.6文件内链接都采用相对链接，并能够正常打开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15000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《web应用安全与管理》课程包教学视频</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内容应参照1+X“网络安全评估”职业技能等级要求（中级）“Web 安全评估测试”工作领域的职业技能要求进行开发。</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★2.授课讲师必须为参加过1+X“网络安全评估”职业技能师资培训；（验收时提供培训证书复印件）</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3.要求视频图像清晰，声音和画面同步，播放时没有明显的噪点，播放流畅。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脚本、样片等资源内容应符合我国法律法规，尊重各民族的风俗习惯，版权不存在争议，文字内容的使用应符合规范，符合国家标准。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视频格式为MP4，分辨率为1920*1080高清格式，每个视频时长3-8分钟，总时长不少于500分钟。</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60000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《Linux操作系统管理》PPT课件</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★1.课件应根据RHCSA（Red Hat Certified System Administrator）国际化课程标准进行开发。</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4.3页面行距建议为1.2倍，可适当增大，左右边距均匀、适当。</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4.5 各级标题宜采用不同的字体，一张幻灯片上文字颜色不宜过多，注意文字与背景色的反差。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4.6文件内链接都采用相对链接，并能够正常打开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9000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4</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《Linux操作系统管理》教学视频</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内容应根据RHCSA（Red Hat Certified System Administrator）国际化课程标准进行开发。</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2.要求视频图像清晰，声音和画面同步，播放时没有明显的噪点，播放流畅。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脚本、样片等资源内容应符合我国法律法规，尊重各民族的风俗习惯，版权不存在争议，文字内容的使用应符合规范，符合国家标准。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视频格式为MP4，分辨率为1920*1080高清格式，每个视频时长3-8min，总时长不少于500min。</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bidi="ar"/>
              </w:rPr>
              <w:t>41000</w:t>
            </w:r>
            <w:r>
              <w:rPr>
                <w:rFonts w:hint="eastAsia" w:ascii="宋体" w:hAnsi="宋体" w:cs="宋体"/>
                <w:b/>
                <w:color w:val="auto"/>
                <w:kern w:val="0"/>
                <w:sz w:val="21"/>
                <w:szCs w:val="21"/>
                <w:highlight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5</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专业核心课程微课</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10个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1.每门微课材料包含微课视频，以及在微课录制过程中使用到的全部辅助扩展资料：教学方案设计、课件、习题、动画、视频、图片、答案、总结等。</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微课视频：时长5-10分钟为宜（不超过15分钟）；视频图像清晰稳定、构图合理、声音清楚，主要教学环节有字幕提示等；演示文稿：配合视频讲授使用的主要教学课件为PPT格式；教学方案设计应注明讲课内容所属大类专业、专业、课程名称、知识点（技能点）名称及适用对象等信息。满足参加自治区教学类技能比赛的要求。</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微课选题：选取教学环节中某一知识点、技能点、专题、实训活动作为选题，针对教学中的常见、典型、有代表性的问题或内容进行设计，类型包括但不限于：讲授类、解题类、答疑类、实训实验类、活动类。选题尽量“小而精”，具备独立性、完整性、示范性、代表性。</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bidi="ar"/>
              </w:rPr>
              <w:t>100000</w:t>
            </w:r>
            <w:r>
              <w:rPr>
                <w:rFonts w:hint="eastAsia" w:ascii="宋体" w:hAnsi="宋体" w:cs="宋体"/>
                <w:b/>
                <w:color w:val="auto"/>
                <w:kern w:val="0"/>
                <w:sz w:val="21"/>
                <w:szCs w:val="21"/>
                <w:highlight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42" w:type="dxa"/>
            <w:gridSpan w:val="4"/>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分项最高限价</w:t>
            </w:r>
            <w:r>
              <w:rPr>
                <w:rFonts w:hint="eastAsia" w:ascii="宋体" w:hAnsi="宋体" w:eastAsia="宋体" w:cs="宋体"/>
                <w:b/>
                <w:color w:val="auto"/>
                <w:sz w:val="21"/>
                <w:szCs w:val="21"/>
                <w:highlight w:val="none"/>
                <w:lang w:val="en-US" w:eastAsia="zh-CN"/>
              </w:rPr>
              <w:t>合计</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color w:val="auto"/>
                <w:sz w:val="21"/>
                <w:szCs w:val="21"/>
                <w:highlight w:val="none"/>
                <w:lang w:val="en-US" w:eastAsia="zh-CN"/>
              </w:rPr>
              <w:t xml:space="preserve">贰拾贰万伍仟元整（￥225000.00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b/>
                <w:bCs/>
                <w:strike/>
                <w:color w:val="auto"/>
                <w:sz w:val="21"/>
                <w:szCs w:val="21"/>
                <w:highlight w:val="none"/>
              </w:rPr>
            </w:pPr>
            <w:r>
              <w:rPr>
                <w:rFonts w:hint="eastAsia" w:ascii="宋体" w:hAnsi="宋体" w:eastAsia="宋体" w:cs="宋体"/>
                <w:color w:val="auto"/>
                <w:sz w:val="21"/>
                <w:szCs w:val="21"/>
                <w:highlight w:val="none"/>
              </w:rPr>
              <w:t>商务条款</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★一、签定合同日期：自中标通知书发出之日起7个工作日内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 xml:space="preserve">★二、交货期：自合同签订之日起 </w:t>
            </w:r>
            <w:r>
              <w:rPr>
                <w:rFonts w:hint="eastAsia" w:ascii="宋体" w:hAnsi="宋体" w:cs="宋体"/>
                <w:snapToGrid w:val="0"/>
                <w:color w:val="auto"/>
                <w:spacing w:val="2"/>
                <w:kern w:val="0"/>
                <w:sz w:val="21"/>
                <w:szCs w:val="21"/>
                <w:highlight w:val="none"/>
                <w:lang w:val="en-US" w:eastAsia="zh-CN"/>
              </w:rPr>
              <w:t>50</w:t>
            </w:r>
            <w:r>
              <w:rPr>
                <w:rFonts w:hint="eastAsia" w:ascii="宋体" w:hAnsi="宋体" w:eastAsia="宋体" w:cs="宋体"/>
                <w:snapToGrid w:val="0"/>
                <w:color w:val="auto"/>
                <w:spacing w:val="2"/>
                <w:kern w:val="0"/>
                <w:sz w:val="21"/>
                <w:szCs w:val="21"/>
                <w:highlight w:val="none"/>
              </w:rPr>
              <w:t>日历天内（含安装）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三、交货地点：南宁职业技术学院</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四、交货方式：现场交货</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五、售后服务要求：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★1、质保期1年（自交货并验收合格之日起计）；</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2、按国家规定的厂家承诺实行"三包",免费送货上门、免费安装、调试及相应人员培训；</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3、故障响应及修复：接到故障电话 1 小时内派技术人员远程支持，远程支持无法解决的问题 24 小时内上门支持，在 48 小时内解决问题。</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六、其他要求：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★1、投标报价为采购人指定地点的现场交货价，包括：</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w:t>
            </w:r>
            <w:r>
              <w:rPr>
                <w:rFonts w:hint="eastAsia" w:ascii="宋体" w:hAnsi="宋体" w:cs="宋体"/>
                <w:snapToGrid w:val="0"/>
                <w:color w:val="auto"/>
                <w:spacing w:val="2"/>
                <w:kern w:val="0"/>
                <w:sz w:val="21"/>
                <w:szCs w:val="21"/>
                <w:highlight w:val="none"/>
                <w:lang w:val="en-US" w:eastAsia="zh-CN"/>
              </w:rPr>
              <w:t>服务</w:t>
            </w:r>
            <w:r>
              <w:rPr>
                <w:rFonts w:hint="eastAsia" w:ascii="宋体" w:hAnsi="宋体" w:eastAsia="宋体" w:cs="宋体"/>
                <w:snapToGrid w:val="0"/>
                <w:color w:val="auto"/>
                <w:spacing w:val="2"/>
                <w:kern w:val="0"/>
                <w:sz w:val="21"/>
                <w:szCs w:val="21"/>
                <w:highlight w:val="none"/>
              </w:rPr>
              <w:t>的价格；</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（2）调试、培训、技术支持、售后服务等费用；</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（3）必要的保险费用和各项税费；</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w:t>
            </w:r>
            <w:r>
              <w:rPr>
                <w:rFonts w:hint="eastAsia" w:ascii="宋体" w:hAnsi="宋体" w:cs="宋体"/>
                <w:snapToGrid w:val="0"/>
                <w:color w:val="auto"/>
                <w:spacing w:val="2"/>
                <w:kern w:val="0"/>
                <w:sz w:val="21"/>
                <w:szCs w:val="21"/>
                <w:highlight w:val="none"/>
                <w:lang w:val="en-US" w:eastAsia="zh-CN"/>
              </w:rPr>
              <w:t>4</w:t>
            </w:r>
            <w:r>
              <w:rPr>
                <w:rFonts w:hint="eastAsia" w:ascii="宋体" w:hAnsi="宋体" w:eastAsia="宋体" w:cs="宋体"/>
                <w:snapToGrid w:val="0"/>
                <w:color w:val="auto"/>
                <w:spacing w:val="2"/>
                <w:kern w:val="0"/>
                <w:sz w:val="21"/>
                <w:szCs w:val="21"/>
                <w:highlight w:val="none"/>
              </w:rPr>
              <w:t>）包含安装费用。</w:t>
            </w:r>
          </w:p>
          <w:p>
            <w:pPr>
              <w:rPr>
                <w:rFonts w:hint="eastAsia" w:ascii="宋体" w:hAnsi="宋体" w:eastAsia="宋体" w:cs="宋体"/>
                <w:color w:val="auto"/>
                <w:sz w:val="21"/>
                <w:szCs w:val="21"/>
                <w:highlight w:val="none"/>
              </w:rPr>
            </w:pPr>
            <w:r>
              <w:rPr>
                <w:rFonts w:hint="eastAsia" w:ascii="宋体" w:hAnsi="宋体" w:eastAsia="宋体" w:cs="宋体"/>
                <w:snapToGrid w:val="0"/>
                <w:color w:val="auto"/>
                <w:spacing w:val="2"/>
                <w:kern w:val="0"/>
                <w:sz w:val="21"/>
                <w:szCs w:val="21"/>
                <w:highlight w:val="none"/>
              </w:rPr>
              <w:t>★2、付款方式：本项目无预付款，供应商交货完毕并经验收合格后，一次性支付合同款。</w:t>
            </w:r>
          </w:p>
        </w:tc>
      </w:tr>
    </w:tbl>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pStyle w:val="7"/>
        <w:rPr>
          <w:rFonts w:hint="eastAsia" w:ascii="宋体" w:hAnsi="宋体" w:eastAsia="宋体" w:cs="宋体"/>
          <w:b/>
          <w:bCs/>
          <w:color w:val="auto"/>
          <w:highlight w:val="none"/>
          <w:lang w:val="en-US" w:eastAsia="zh-CN"/>
        </w:rPr>
      </w:pPr>
    </w:p>
    <w:p>
      <w:pPr>
        <w:rPr>
          <w:rFonts w:hint="eastAsia"/>
          <w:color w:val="auto"/>
          <w:highlight w:val="none"/>
          <w:lang w:val="en-US" w:eastAsia="zh-CN"/>
        </w:rPr>
      </w:pPr>
    </w:p>
    <w:p>
      <w:pPr>
        <w:rPr>
          <w:rFonts w:hint="eastAsia" w:ascii="宋体" w:hAnsi="宋体" w:eastAsia="宋体" w:cs="宋体"/>
          <w:b/>
          <w:bCs/>
          <w:color w:val="auto"/>
          <w:highlight w:val="none"/>
          <w:lang w:val="en-US" w:eastAsia="zh-CN"/>
        </w:rPr>
      </w:pPr>
    </w:p>
    <w:p>
      <w:pPr>
        <w:pStyle w:val="18"/>
        <w:jc w:val="center"/>
        <w:outlineLvl w:val="0"/>
        <w:rPr>
          <w:rFonts w:hint="eastAsia" w:hAnsi="宋体" w:cs="宋体"/>
          <w:b/>
          <w:bCs/>
          <w:color w:val="auto"/>
          <w:highlight w:val="none"/>
        </w:rPr>
      </w:pPr>
      <w:bookmarkStart w:id="48" w:name="_Toc27482"/>
      <w:r>
        <w:rPr>
          <w:rFonts w:hint="eastAsia" w:ascii="Times New Roman" w:hAnsi="Times New Roman"/>
          <w:b/>
          <w:color w:val="auto"/>
          <w:sz w:val="36"/>
          <w:highlight w:val="none"/>
        </w:rPr>
        <w:t>第三章 评标办法</w:t>
      </w:r>
      <w:bookmarkEnd w:id="44"/>
      <w:bookmarkEnd w:id="45"/>
      <w:bookmarkEnd w:id="46"/>
      <w:bookmarkEnd w:id="47"/>
      <w:bookmarkEnd w:id="48"/>
      <w:bookmarkStart w:id="49" w:name="_Toc213206174"/>
      <w:bookmarkStart w:id="50" w:name="_Toc213325923"/>
    </w:p>
    <w:p>
      <w:pPr>
        <w:pStyle w:val="18"/>
        <w:spacing w:line="360" w:lineRule="auto"/>
        <w:jc w:val="center"/>
        <w:rPr>
          <w:rFonts w:hint="eastAsia" w:hAnsi="宋体" w:cs="宋体"/>
          <w:b/>
          <w:bCs/>
          <w:color w:val="auto"/>
          <w:highlight w:val="none"/>
          <w:lang w:val="en-US" w:eastAsia="zh-CN"/>
        </w:rPr>
      </w:pPr>
      <w:r>
        <w:rPr>
          <w:rFonts w:hint="eastAsia" w:hAnsi="宋体" w:cs="宋体"/>
          <w:b/>
          <w:bCs/>
          <w:color w:val="auto"/>
          <w:highlight w:val="none"/>
          <w:lang w:eastAsia="zh-CN"/>
        </w:rPr>
        <w:t>（</w:t>
      </w:r>
      <w:r>
        <w:rPr>
          <w:rFonts w:hint="eastAsia" w:hAnsi="宋体" w:cs="宋体"/>
          <w:b/>
          <w:bCs/>
          <w:color w:val="auto"/>
          <w:highlight w:val="none"/>
          <w:lang w:val="en-US" w:eastAsia="zh-CN"/>
        </w:rPr>
        <w:t>适用C分标）</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（一）评标委员会以招标文件为依据，对投标文件进行评审，对投标人的投标报价、技术文件及商务文件等三部分内容按百分制打分，其中价格分</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分，技术分</w:t>
      </w:r>
      <w:r>
        <w:rPr>
          <w:rFonts w:hint="eastAsia" w:cs="Times New Roman" w:asciiTheme="minorEastAsia" w:hAnsiTheme="minorEastAsia" w:eastAsiaTheme="minorEastAsia"/>
          <w:color w:val="auto"/>
          <w:kern w:val="0"/>
          <w:sz w:val="21"/>
          <w:szCs w:val="21"/>
          <w:highlight w:val="none"/>
          <w:lang w:val="en-US" w:eastAsia="zh-CN"/>
        </w:rPr>
        <w:t>42</w:t>
      </w:r>
      <w:r>
        <w:rPr>
          <w:rFonts w:hint="eastAsia" w:cs="Times New Roman" w:asciiTheme="minorEastAsia" w:hAnsiTheme="minorEastAsia" w:eastAsiaTheme="minorEastAsia"/>
          <w:color w:val="auto"/>
          <w:kern w:val="0"/>
          <w:sz w:val="21"/>
          <w:szCs w:val="21"/>
          <w:highlight w:val="none"/>
        </w:rPr>
        <w:t>分，商务分</w:t>
      </w:r>
      <w:r>
        <w:rPr>
          <w:rFonts w:hint="eastAsia" w:cs="Times New Roman" w:asciiTheme="minorEastAsia" w:hAnsiTheme="minorEastAsia" w:eastAsiaTheme="minorEastAsia"/>
          <w:color w:val="auto"/>
          <w:kern w:val="0"/>
          <w:sz w:val="21"/>
          <w:szCs w:val="21"/>
          <w:highlight w:val="none"/>
          <w:lang w:val="en-US" w:eastAsia="zh-CN"/>
        </w:rPr>
        <w:t>28</w:t>
      </w:r>
      <w:r>
        <w:rPr>
          <w:rFonts w:hint="eastAsia" w:cs="Times New Roman" w:asciiTheme="minorEastAsia" w:hAnsiTheme="minorEastAsia" w:eastAsiaTheme="minorEastAsia"/>
          <w:color w:val="auto"/>
          <w:kern w:val="0"/>
          <w:sz w:val="21"/>
          <w:szCs w:val="21"/>
          <w:highlight w:val="none"/>
        </w:rPr>
        <w:t>分</w:t>
      </w:r>
      <w:r>
        <w:rPr>
          <w:rFonts w:hint="eastAsia" w:cs="Times New Roman" w:asciiTheme="minorEastAsia" w:hAnsiTheme="minorEastAsia"/>
          <w:color w:val="auto"/>
          <w:kern w:val="0"/>
          <w:sz w:val="21"/>
          <w:szCs w:val="21"/>
          <w:highlight w:val="none"/>
          <w:lang w:eastAsia="zh-CN"/>
        </w:rPr>
        <w:t>、诚信分</w:t>
      </w:r>
      <w:r>
        <w:rPr>
          <w:rFonts w:hint="eastAsia" w:cs="Times New Roman" w:asciiTheme="minorEastAsia" w:hAnsiTheme="minorEastAsia"/>
          <w:color w:val="auto"/>
          <w:kern w:val="0"/>
          <w:sz w:val="21"/>
          <w:szCs w:val="21"/>
          <w:highlight w:val="none"/>
          <w:lang w:val="en-US" w:eastAsia="zh-CN"/>
        </w:rPr>
        <w:t>-6分</w:t>
      </w:r>
      <w:r>
        <w:rPr>
          <w:rFonts w:hint="eastAsia" w:cs="Times New Roman" w:asciiTheme="minorEastAsia" w:hAnsiTheme="minorEastAsia" w:eastAsiaTheme="minorEastAsia"/>
          <w:color w:val="auto"/>
          <w:kern w:val="0"/>
          <w:sz w:val="21"/>
          <w:szCs w:val="21"/>
          <w:highlight w:val="none"/>
        </w:rPr>
        <w:t>。（评标时，对于带有主观因素的评分，由各评委独立进行评价、打分，不允许讨论。）</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（二）评分细则：（按四舍五入取至小数点后四位）</w:t>
      </w:r>
    </w:p>
    <w:p>
      <w:pPr>
        <w:spacing w:line="360" w:lineRule="auto"/>
        <w:ind w:firstLine="211" w:firstLineChars="100"/>
        <w:rPr>
          <w:rFonts w:eastAsia="Times New Roman" w:cs="Times New Roman" w:asciiTheme="minorEastAsia" w:hAnsiTheme="minorEastAsia"/>
          <w:b/>
          <w:color w:val="auto"/>
          <w:kern w:val="0"/>
          <w:sz w:val="20"/>
          <w:szCs w:val="21"/>
          <w:highlight w:val="none"/>
        </w:rPr>
      </w:pPr>
      <w:r>
        <w:rPr>
          <w:rFonts w:cs="Times New Roman" w:asciiTheme="minorEastAsia" w:hAnsiTheme="minorEastAsia" w:eastAsiaTheme="minorEastAsia"/>
          <w:b/>
          <w:color w:val="auto"/>
          <w:kern w:val="0"/>
          <w:sz w:val="21"/>
          <w:szCs w:val="21"/>
          <w:highlight w:val="none"/>
        </w:rPr>
        <w:t>1</w:t>
      </w:r>
      <w:r>
        <w:rPr>
          <w:rFonts w:hint="eastAsia" w:cs="Times New Roman" w:asciiTheme="minorEastAsia" w:hAnsiTheme="minorEastAsia" w:eastAsiaTheme="minorEastAsia"/>
          <w:b/>
          <w:color w:val="auto"/>
          <w:kern w:val="0"/>
          <w:sz w:val="21"/>
          <w:szCs w:val="21"/>
          <w:highlight w:val="none"/>
        </w:rPr>
        <w:t>、价格分…………………………………………………………………………………………</w:t>
      </w:r>
      <w:r>
        <w:rPr>
          <w:rFonts w:cs="Times New Roman" w:asciiTheme="minorEastAsia" w:hAnsiTheme="minorEastAsia" w:eastAsiaTheme="minorEastAsia"/>
          <w:b/>
          <w:color w:val="auto"/>
          <w:kern w:val="0"/>
          <w:sz w:val="21"/>
          <w:szCs w:val="21"/>
          <w:highlight w:val="none"/>
        </w:rPr>
        <w:t>30</w:t>
      </w:r>
      <w:r>
        <w:rPr>
          <w:rFonts w:hint="eastAsia" w:cs="Times New Roman" w:asciiTheme="minorEastAsia" w:hAnsiTheme="minorEastAsia" w:eastAsiaTheme="minorEastAsia"/>
          <w:b/>
          <w:color w:val="auto"/>
          <w:kern w:val="0"/>
          <w:sz w:val="21"/>
          <w:szCs w:val="21"/>
          <w:highlight w:val="none"/>
        </w:rPr>
        <w:t>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）对小型和微型企业产品的价格给予</w:t>
      </w:r>
      <w:r>
        <w:rPr>
          <w:rFonts w:hint="eastAsia" w:cs="Times New Roman" w:asciiTheme="minorEastAsia" w:hAnsiTheme="minorEastAsia"/>
          <w:color w:val="auto"/>
          <w:kern w:val="0"/>
          <w:sz w:val="21"/>
          <w:szCs w:val="21"/>
          <w:highlight w:val="none"/>
          <w:lang w:val="en-US" w:eastAsia="zh-CN"/>
        </w:rPr>
        <w:t>10</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的价格扣除，扣除后的价格为评标价，即评标价＝投标报价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color w:val="auto"/>
          <w:kern w:val="0"/>
          <w:sz w:val="21"/>
          <w:szCs w:val="21"/>
          <w:highlight w:val="none"/>
          <w:lang w:val="en-US" w:eastAsia="zh-CN"/>
        </w:rPr>
        <w:t>10</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要求提供的《投标报价表》和《中小企业声明函》为评分依据）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）对大中型企业和其他自然人、法人或者其他组织与小型、微型企业组成联合体，且联合体协议中约定小型、微型企业的协议合同金额占到联合体协议合同总金额</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以上的，给予</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的价格扣除，扣除后的价格为评标价，即评标价＝投标报价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1-2%</w:t>
      </w:r>
      <w:r>
        <w:rPr>
          <w:rFonts w:hint="eastAsia" w:cs="Times New Roman" w:asciiTheme="minorEastAsia" w:hAnsiTheme="minorEastAsia" w:eastAsiaTheme="minorEastAsia"/>
          <w:color w:val="auto"/>
          <w:kern w:val="0"/>
          <w:sz w:val="21"/>
          <w:szCs w:val="21"/>
          <w:highlight w:val="none"/>
        </w:rPr>
        <w:t>）。（以投标人按第五章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要求提供的《投标报价表》、《中小企业声明函》和《联合体协议书》为评分依据）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）投标产品提供企业按《关于政府采购支持监狱企业发展有关问题的通知》</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财库</w:t>
      </w:r>
      <w:r>
        <w:rPr>
          <w:rFonts w:cs="Times New Roman" w:asciiTheme="minorEastAsia" w:hAnsiTheme="minorEastAsia" w:eastAsiaTheme="minorEastAsia"/>
          <w:color w:val="auto"/>
          <w:kern w:val="0"/>
          <w:sz w:val="21"/>
          <w:szCs w:val="21"/>
          <w:highlight w:val="none"/>
        </w:rPr>
        <w:t>[2014]68</w:t>
      </w:r>
      <w:r>
        <w:rPr>
          <w:rFonts w:hint="eastAsia" w:cs="Times New Roman" w:asciiTheme="minorEastAsia" w:hAnsiTheme="minorEastAsia" w:eastAsiaTheme="minorEastAsia"/>
          <w:color w:val="auto"/>
          <w:kern w:val="0"/>
          <w:sz w:val="21"/>
          <w:szCs w:val="21"/>
          <w:highlight w:val="none"/>
        </w:rPr>
        <w:t>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认定为监狱企业的，在政府采购活动中，监狱企业视同小型、微型企业。（以投标人按第五章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要求提供的《报价表》和由省级以上监狱管理局、戒毒管理局</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含新疆生产建设兵团</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出具的属于监狱企业的证明文件为评分依据）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4</w:t>
      </w:r>
      <w:r>
        <w:rPr>
          <w:rFonts w:hint="eastAsia" w:cs="Times New Roman" w:asciiTheme="minorEastAsia" w:hAnsiTheme="minorEastAsia" w:eastAsiaTheme="minorEastAsia"/>
          <w:color w:val="auto"/>
          <w:kern w:val="0"/>
          <w:sz w:val="21"/>
          <w:szCs w:val="21"/>
          <w:highlight w:val="none"/>
        </w:rPr>
        <w:t>）投标产品提供企业按《关于促进残疾人就业政府采购政策的通知》</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财库〔</w:t>
      </w:r>
      <w:r>
        <w:rPr>
          <w:rFonts w:cs="Times New Roman" w:asciiTheme="minorEastAsia" w:hAnsiTheme="minorEastAsia" w:eastAsiaTheme="minorEastAsia"/>
          <w:color w:val="auto"/>
          <w:kern w:val="0"/>
          <w:sz w:val="21"/>
          <w:szCs w:val="21"/>
          <w:highlight w:val="none"/>
        </w:rPr>
        <w:t>2017</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141</w:t>
      </w:r>
      <w:r>
        <w:rPr>
          <w:rFonts w:hint="eastAsia" w:cs="Times New Roman" w:asciiTheme="minorEastAsia" w:hAnsiTheme="minorEastAsia" w:eastAsiaTheme="minorEastAsia"/>
          <w:color w:val="auto"/>
          <w:kern w:val="0"/>
          <w:sz w:val="21"/>
          <w:szCs w:val="21"/>
          <w:highlight w:val="none"/>
        </w:rPr>
        <w:t>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要求提供的《报价表》和《残疾人福利性单位声明函》为评分依据）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5</w:t>
      </w:r>
      <w:r>
        <w:rPr>
          <w:rFonts w:hint="eastAsia" w:cs="Times New Roman" w:asciiTheme="minorEastAsia" w:hAnsiTheme="minorEastAsia" w:eastAsiaTheme="minorEastAsia"/>
          <w:color w:val="auto"/>
          <w:kern w:val="0"/>
          <w:sz w:val="21"/>
          <w:szCs w:val="21"/>
          <w:highlight w:val="none"/>
        </w:rPr>
        <w:t>）除上述情况外，评标价＝投标报价。</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6</w:t>
      </w:r>
      <w:r>
        <w:rPr>
          <w:rFonts w:hint="eastAsia" w:cs="Times New Roman" w:asciiTheme="minorEastAsia" w:hAnsiTheme="minorEastAsia" w:eastAsiaTheme="minorEastAsia"/>
          <w:color w:val="auto"/>
          <w:kern w:val="0"/>
          <w:sz w:val="21"/>
          <w:szCs w:val="21"/>
          <w:highlight w:val="none"/>
        </w:rPr>
        <w:t>）价格分计算公式：</w:t>
      </w:r>
    </w:p>
    <w:p>
      <w:pPr>
        <w:spacing w:line="360" w:lineRule="auto"/>
        <w:ind w:firstLine="2100" w:firstLineChars="10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投标人最低投标报价金额</w:t>
      </w:r>
    </w:p>
    <w:p>
      <w:pPr>
        <w:spacing w:line="360" w:lineRule="auto"/>
        <w:ind w:firstLine="300" w:firstLineChars="150"/>
        <w:rPr>
          <w:rFonts w:eastAsia="Times New Roman" w:cs="Times New Roman" w:asciiTheme="minorEastAsia" w:hAnsiTheme="minorEastAsia"/>
          <w:color w:val="auto"/>
          <w:kern w:val="0"/>
          <w:sz w:val="20"/>
          <w:szCs w:val="21"/>
          <w:highlight w:val="none"/>
        </w:rPr>
      </w:pPr>
      <w:r>
        <w:rPr>
          <w:rFonts w:eastAsia="Times New Roman" w:cs="Times New Roman" w:asciiTheme="minorEastAsia" w:hAnsiTheme="minorEastAsia"/>
          <w:color w:val="auto"/>
          <w:kern w:val="0"/>
          <w:sz w:val="20"/>
          <w:szCs w:val="21"/>
          <w:highlight w:val="none"/>
        </w:rPr>
        <mc:AlternateContent>
          <mc:Choice Requires="wps">
            <w:drawing>
              <wp:anchor distT="0" distB="0" distL="114300" distR="114300" simplePos="0" relativeHeight="251760640" behindDoc="0" locked="0" layoutInCell="1" allowOverlap="1">
                <wp:simplePos x="0" y="0"/>
                <wp:positionH relativeFrom="column">
                  <wp:posOffset>1263015</wp:posOffset>
                </wp:positionH>
                <wp:positionV relativeFrom="paragraph">
                  <wp:posOffset>103505</wp:posOffset>
                </wp:positionV>
                <wp:extent cx="16002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45pt;margin-top:8.15pt;height:0pt;width:126pt;z-index:251760640;mso-width-relative:page;mso-height-relative:page;" filled="f" stroked="t" coordsize="21600,21600" o:gfxdata="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vgLiTW&#10;AAAACQEAAA8AAAAAAAAAAQAgAAAAIgAAAGRycy9kb3ducmV2LnhtbFBLAQIUABQAAAAIAIdO4kB5&#10;nMjN6QEAALgDAAAOAAAAAAAAAAEAIAAAACUBAABkcnMvZTJvRG9jLnhtbFBLBQYAAAAABgAGAFkB&#10;AACABQAAAAA=&#10;">
                <v:fill on="f" focussize="0,0"/>
                <v:stroke color="#000000" joinstyle="round"/>
                <v:imagedata o:title=""/>
                <o:lock v:ext="edit" aspectratio="f"/>
              </v:line>
            </w:pict>
          </mc:Fallback>
        </mc:AlternateContent>
      </w:r>
      <w:r>
        <w:rPr>
          <w:rFonts w:hint="eastAsia" w:cs="Times New Roman" w:asciiTheme="minorEastAsia" w:hAnsiTheme="minorEastAsia" w:eastAsiaTheme="minorEastAsia"/>
          <w:color w:val="auto"/>
          <w:kern w:val="0"/>
          <w:sz w:val="21"/>
          <w:szCs w:val="21"/>
          <w:highlight w:val="none"/>
        </w:rPr>
        <w:t xml:space="preserve">某投标人价格分＝ </w:t>
      </w:r>
      <w:r>
        <w:rPr>
          <w:rFonts w:cs="Times New Roman" w:asciiTheme="minorEastAsia" w:hAnsiTheme="minorEastAsia" w:eastAsiaTheme="minorEastAsia"/>
          <w:color w:val="auto"/>
          <w:kern w:val="0"/>
          <w:sz w:val="21"/>
          <w:szCs w:val="21"/>
          <w:highlight w:val="none"/>
        </w:rPr>
        <w:t xml:space="preserve">                           </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w:t>
      </w:r>
    </w:p>
    <w:p>
      <w:pPr>
        <w:spacing w:line="360" w:lineRule="auto"/>
        <w:ind w:firstLine="2100" w:firstLineChars="1000"/>
        <w:rPr>
          <w:rFonts w:cs="Times New Roman" w:asciiTheme="minorEastAsia" w:hAnsiTheme="minorEastAsia" w:eastAsia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某投标人投标报价金额</w:t>
      </w:r>
    </w:p>
    <w:p>
      <w:pPr>
        <w:spacing w:line="360" w:lineRule="auto"/>
        <w:ind w:firstLine="211" w:firstLineChars="100"/>
        <w:rPr>
          <w:rFonts w:eastAsia="Times New Roman" w:cs="Times New Roman" w:asciiTheme="minorEastAsia" w:hAnsiTheme="minorEastAsia"/>
          <w:b/>
          <w:color w:val="auto"/>
          <w:kern w:val="0"/>
          <w:sz w:val="20"/>
          <w:szCs w:val="21"/>
          <w:highlight w:val="none"/>
        </w:rPr>
      </w:pPr>
      <w:r>
        <w:rPr>
          <w:rFonts w:cs="Times New Roman" w:asciiTheme="minorEastAsia" w:hAnsiTheme="minorEastAsia" w:eastAsiaTheme="minorEastAsia"/>
          <w:b/>
          <w:color w:val="auto"/>
          <w:kern w:val="0"/>
          <w:sz w:val="21"/>
          <w:szCs w:val="21"/>
          <w:highlight w:val="none"/>
        </w:rPr>
        <w:t>2</w:t>
      </w:r>
      <w:r>
        <w:rPr>
          <w:rFonts w:hint="eastAsia" w:cs="Times New Roman" w:asciiTheme="minorEastAsia" w:hAnsiTheme="minorEastAsia" w:eastAsiaTheme="minorEastAsia"/>
          <w:b/>
          <w:color w:val="auto"/>
          <w:kern w:val="0"/>
          <w:sz w:val="21"/>
          <w:szCs w:val="21"/>
          <w:highlight w:val="none"/>
        </w:rPr>
        <w:t>、技术分………………………………………………………………………………………</w:t>
      </w:r>
      <w:r>
        <w:rPr>
          <w:rFonts w:cs="Times New Roman" w:asciiTheme="minorEastAsia" w:hAnsiTheme="minorEastAsia" w:eastAsiaTheme="minorEastAsia"/>
          <w:b/>
          <w:color w:val="auto"/>
          <w:kern w:val="0"/>
          <w:sz w:val="21"/>
          <w:szCs w:val="21"/>
          <w:highlight w:val="none"/>
        </w:rPr>
        <w:t>4</w:t>
      </w:r>
      <w:r>
        <w:rPr>
          <w:rFonts w:hint="eastAsia" w:cs="Times New Roman" w:asciiTheme="minorEastAsia" w:hAnsiTheme="minorEastAsia" w:eastAsiaTheme="minorEastAsia"/>
          <w:b/>
          <w:color w:val="auto"/>
          <w:kern w:val="0"/>
          <w:sz w:val="21"/>
          <w:szCs w:val="21"/>
          <w:highlight w:val="none"/>
          <w:lang w:val="en-US" w:eastAsia="zh-CN"/>
        </w:rPr>
        <w:t>2</w:t>
      </w:r>
      <w:r>
        <w:rPr>
          <w:rFonts w:hint="eastAsia" w:cs="Times New Roman" w:asciiTheme="minorEastAsia" w:hAnsiTheme="minorEastAsia" w:eastAsiaTheme="minorEastAsia"/>
          <w:b/>
          <w:color w:val="auto"/>
          <w:kern w:val="0"/>
          <w:sz w:val="21"/>
          <w:szCs w:val="21"/>
          <w:highlight w:val="none"/>
        </w:rPr>
        <w:t>分</w:t>
      </w:r>
    </w:p>
    <w:p>
      <w:pPr>
        <w:spacing w:line="360" w:lineRule="auto"/>
        <w:ind w:firstLine="514" w:firstLineChars="245"/>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1)</w:t>
      </w:r>
      <w:r>
        <w:rPr>
          <w:rFonts w:eastAsia="Times New Roman" w:cs="Times New Roman" w:asciiTheme="minorEastAsia" w:hAnsiTheme="minorEastAsia"/>
          <w:color w:val="auto"/>
          <w:kern w:val="0"/>
          <w:sz w:val="21"/>
          <w:szCs w:val="21"/>
          <w:highlight w:val="none"/>
        </w:rPr>
        <w:t>课程建设</w:t>
      </w:r>
      <w:r>
        <w:rPr>
          <w:rFonts w:hint="eastAsia" w:cs="Times New Roman" w:asciiTheme="minorEastAsia" w:hAnsiTheme="minorEastAsia" w:eastAsiaTheme="minorEastAsia"/>
          <w:color w:val="auto"/>
          <w:kern w:val="0"/>
          <w:sz w:val="21"/>
          <w:szCs w:val="21"/>
          <w:highlight w:val="none"/>
        </w:rPr>
        <w:t>技术方案的科学性和完整性（</w:t>
      </w:r>
      <w:r>
        <w:rPr>
          <w:rFonts w:cs="Times New Roman" w:asciiTheme="minorEastAsia" w:hAnsiTheme="minorEastAsia" w:eastAsiaTheme="minorEastAsia"/>
          <w:color w:val="auto"/>
          <w:kern w:val="0"/>
          <w:sz w:val="21"/>
          <w:szCs w:val="21"/>
          <w:highlight w:val="none"/>
        </w:rPr>
        <w:t>20</w:t>
      </w:r>
      <w:r>
        <w:rPr>
          <w:rFonts w:hint="eastAsia" w:cs="Times New Roman" w:asciiTheme="minorEastAsia" w:hAnsiTheme="minorEastAsia" w:eastAsiaTheme="minorEastAsia"/>
          <w:color w:val="auto"/>
          <w:kern w:val="0"/>
          <w:sz w:val="21"/>
          <w:szCs w:val="21"/>
          <w:highlight w:val="none"/>
        </w:rPr>
        <w:t>分）</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）一档（</w:t>
      </w:r>
      <w:r>
        <w:rPr>
          <w:rFonts w:cs="Times New Roman" w:asciiTheme="minorEastAsia" w:hAnsiTheme="minorEastAsia" w:eastAsiaTheme="minorEastAsia"/>
          <w:color w:val="auto"/>
          <w:kern w:val="0"/>
          <w:sz w:val="21"/>
          <w:szCs w:val="21"/>
          <w:highlight w:val="none"/>
        </w:rPr>
        <w:t>7</w:t>
      </w:r>
      <w:r>
        <w:rPr>
          <w:rFonts w:hint="eastAsia" w:cs="Times New Roman" w:asciiTheme="minorEastAsia" w:hAnsiTheme="minorEastAsia" w:eastAsiaTheme="minorEastAsia"/>
          <w:color w:val="auto"/>
          <w:kern w:val="0"/>
          <w:sz w:val="21"/>
          <w:szCs w:val="21"/>
          <w:highlight w:val="none"/>
        </w:rPr>
        <w:t>分）</w:t>
      </w:r>
      <w:r>
        <w:rPr>
          <w:rFonts w:hint="eastAsia" w:cs="Times New Roman" w:asciiTheme="minorEastAsia" w:hAnsiTheme="minorEastAsia" w:eastAsiaTheme="minorEastAsia"/>
          <w:color w:val="auto"/>
          <w:kern w:val="0"/>
          <w:sz w:val="20"/>
          <w:szCs w:val="21"/>
          <w:highlight w:val="none"/>
        </w:rPr>
        <w:t>:</w:t>
      </w:r>
      <w:r>
        <w:rPr>
          <w:rFonts w:hint="eastAsia" w:cs="Times New Roman" w:asciiTheme="minorEastAsia" w:hAnsiTheme="minorEastAsia" w:eastAsiaTheme="minorEastAsia"/>
          <w:color w:val="auto"/>
          <w:kern w:val="0"/>
          <w:sz w:val="21"/>
          <w:szCs w:val="21"/>
          <w:highlight w:val="none"/>
        </w:rPr>
        <w:t>提供了南宁职业技术学院</w:t>
      </w:r>
      <w:r>
        <w:rPr>
          <w:rFonts w:cs="Times New Roman" w:asciiTheme="minorEastAsia" w:hAnsiTheme="minorEastAsia" w:eastAsiaTheme="minorEastAsia"/>
          <w:color w:val="auto"/>
          <w:kern w:val="0"/>
          <w:sz w:val="21"/>
          <w:szCs w:val="21"/>
          <w:highlight w:val="none"/>
        </w:rPr>
        <w:t>Web前端开发1+X课程一体项目</w:t>
      </w:r>
      <w:r>
        <w:rPr>
          <w:rFonts w:hint="eastAsia" w:cs="Times New Roman" w:asciiTheme="minorEastAsia" w:hAnsiTheme="minorEastAsia" w:eastAsiaTheme="minorEastAsia"/>
          <w:color w:val="auto"/>
          <w:kern w:val="0"/>
          <w:sz w:val="21"/>
          <w:szCs w:val="21"/>
          <w:highlight w:val="none"/>
        </w:rPr>
        <w:t>建设方案，但对项目建设目标、建设思路、整体架构、特色与创新、建设推进计划</w:t>
      </w:r>
      <w:r>
        <w:rPr>
          <w:rFonts w:eastAsia="Times New Roman" w:cs="Times New Roman" w:asciiTheme="minorEastAsia" w:hAnsiTheme="minorEastAsia"/>
          <w:color w:val="auto"/>
          <w:kern w:val="0"/>
          <w:sz w:val="21"/>
          <w:szCs w:val="21"/>
          <w:highlight w:val="none"/>
        </w:rPr>
        <w:t>等</w:t>
      </w:r>
      <w:r>
        <w:rPr>
          <w:rFonts w:hint="eastAsia" w:cs="Times New Roman" w:asciiTheme="minorEastAsia" w:hAnsiTheme="minorEastAsia" w:eastAsiaTheme="minorEastAsia"/>
          <w:color w:val="auto"/>
          <w:kern w:val="0"/>
          <w:sz w:val="21"/>
          <w:szCs w:val="21"/>
          <w:highlight w:val="none"/>
        </w:rPr>
        <w:t>未提供详细描述，或未包含</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门课程详细完整的项目、任务、知识点和技能点，以及各知识点和技能点所对应的资源形式和最低数量方案。</w:t>
      </w:r>
    </w:p>
    <w:p>
      <w:pPr>
        <w:spacing w:line="360" w:lineRule="auto"/>
        <w:ind w:firstLine="42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）二档（</w:t>
      </w:r>
      <w:r>
        <w:rPr>
          <w:rFonts w:cs="Times New Roman" w:asciiTheme="minorEastAsia" w:hAnsiTheme="minorEastAsia" w:eastAsiaTheme="minorEastAsia"/>
          <w:color w:val="auto"/>
          <w:kern w:val="0"/>
          <w:sz w:val="21"/>
          <w:szCs w:val="21"/>
          <w:highlight w:val="none"/>
        </w:rPr>
        <w:t>14</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0"/>
          <w:szCs w:val="21"/>
          <w:highlight w:val="none"/>
        </w:rPr>
        <w:t>:</w:t>
      </w:r>
      <w:r>
        <w:rPr>
          <w:rFonts w:hint="eastAsia" w:cs="Times New Roman" w:asciiTheme="minorEastAsia" w:hAnsiTheme="minorEastAsia" w:eastAsiaTheme="minorEastAsia"/>
          <w:color w:val="auto"/>
          <w:kern w:val="0"/>
          <w:sz w:val="21"/>
          <w:szCs w:val="21"/>
          <w:highlight w:val="none"/>
        </w:rPr>
        <w:t>提供了南宁职业技术学院</w:t>
      </w:r>
      <w:r>
        <w:rPr>
          <w:rFonts w:cs="Times New Roman" w:asciiTheme="minorEastAsia" w:hAnsiTheme="minorEastAsia" w:eastAsiaTheme="minorEastAsia"/>
          <w:color w:val="auto"/>
          <w:kern w:val="0"/>
          <w:sz w:val="21"/>
          <w:szCs w:val="21"/>
          <w:highlight w:val="none"/>
        </w:rPr>
        <w:t>Web前端开发1+X课程一体项目</w:t>
      </w:r>
      <w:r>
        <w:rPr>
          <w:rFonts w:hint="eastAsia" w:cs="Times New Roman" w:asciiTheme="minorEastAsia" w:hAnsiTheme="minorEastAsia" w:eastAsiaTheme="minorEastAsia"/>
          <w:color w:val="auto"/>
          <w:kern w:val="0"/>
          <w:sz w:val="21"/>
          <w:szCs w:val="21"/>
          <w:highlight w:val="none"/>
        </w:rPr>
        <w:t>建设方案，对项目建设目标、建设思路、整体架构、特色与创新、建设推进计划</w:t>
      </w:r>
      <w:r>
        <w:rPr>
          <w:rFonts w:eastAsia="Times New Roman" w:cs="Times New Roman" w:asciiTheme="minorEastAsia" w:hAnsiTheme="minorEastAsia"/>
          <w:color w:val="auto"/>
          <w:kern w:val="0"/>
          <w:sz w:val="21"/>
          <w:szCs w:val="21"/>
          <w:highlight w:val="none"/>
        </w:rPr>
        <w:t>等</w:t>
      </w:r>
      <w:r>
        <w:rPr>
          <w:rFonts w:hint="eastAsia" w:cs="Times New Roman" w:asciiTheme="minorEastAsia" w:hAnsiTheme="minorEastAsia" w:eastAsiaTheme="minorEastAsia"/>
          <w:color w:val="auto"/>
          <w:kern w:val="0"/>
          <w:sz w:val="21"/>
          <w:szCs w:val="21"/>
          <w:highlight w:val="none"/>
        </w:rPr>
        <w:t>有基本描述，人才培养方案和资源建设方案无漏项，基本满足采购文件要求，内容无前后矛盾。技术方案未完整体现与职业标准、技术标准、专业特点、区域经济需求的吻合程度，</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建设方案中</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门课程的项目、任务、知识点和技能点，以及各知识点和技能点所对应的资源形式和最低数量方案的设计较为一般。</w:t>
      </w:r>
    </w:p>
    <w:p>
      <w:pPr>
        <w:spacing w:line="360" w:lineRule="auto"/>
        <w:ind w:firstLine="42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）三档（</w:t>
      </w:r>
      <w:r>
        <w:rPr>
          <w:rFonts w:cs="Times New Roman" w:asciiTheme="minorEastAsia" w:hAnsiTheme="minorEastAsia" w:eastAsiaTheme="minorEastAsia"/>
          <w:color w:val="auto"/>
          <w:kern w:val="0"/>
          <w:sz w:val="21"/>
          <w:szCs w:val="21"/>
          <w:highlight w:val="none"/>
        </w:rPr>
        <w:t>20</w:t>
      </w:r>
      <w:r>
        <w:rPr>
          <w:rFonts w:hint="eastAsia" w:cs="Times New Roman" w:asciiTheme="minorEastAsia" w:hAnsiTheme="minorEastAsia" w:eastAsiaTheme="minorEastAsia"/>
          <w:color w:val="auto"/>
          <w:kern w:val="0"/>
          <w:sz w:val="21"/>
          <w:szCs w:val="21"/>
          <w:highlight w:val="none"/>
        </w:rPr>
        <w:t>分）：提供了南宁职业技术学院</w:t>
      </w:r>
      <w:r>
        <w:rPr>
          <w:rFonts w:cs="Times New Roman" w:asciiTheme="minorEastAsia" w:hAnsiTheme="minorEastAsia" w:eastAsiaTheme="minorEastAsia"/>
          <w:color w:val="auto"/>
          <w:kern w:val="0"/>
          <w:sz w:val="21"/>
          <w:szCs w:val="21"/>
          <w:highlight w:val="none"/>
        </w:rPr>
        <w:t>Web前端开发1+X课程一体项目</w:t>
      </w:r>
      <w:r>
        <w:rPr>
          <w:rFonts w:hint="eastAsia" w:cs="Times New Roman" w:asciiTheme="minorEastAsia" w:hAnsiTheme="minorEastAsia" w:eastAsiaTheme="minorEastAsia"/>
          <w:color w:val="auto"/>
          <w:kern w:val="0"/>
          <w:sz w:val="21"/>
          <w:szCs w:val="21"/>
          <w:highlight w:val="none"/>
        </w:rPr>
        <w:t>建设方案，对项目建设目标、建设思路、整体架构、特色与创新、建设推进计划</w:t>
      </w:r>
      <w:r>
        <w:rPr>
          <w:rFonts w:eastAsia="Times New Roman" w:cs="Times New Roman" w:asciiTheme="minorEastAsia" w:hAnsiTheme="minorEastAsia"/>
          <w:color w:val="auto"/>
          <w:kern w:val="0"/>
          <w:sz w:val="21"/>
          <w:szCs w:val="21"/>
          <w:highlight w:val="none"/>
        </w:rPr>
        <w:t>等</w:t>
      </w:r>
      <w:r>
        <w:rPr>
          <w:rFonts w:hint="eastAsia" w:cs="Times New Roman" w:asciiTheme="minorEastAsia" w:hAnsiTheme="minorEastAsia" w:eastAsiaTheme="minorEastAsia"/>
          <w:color w:val="auto"/>
          <w:kern w:val="0"/>
          <w:sz w:val="21"/>
          <w:szCs w:val="21"/>
          <w:highlight w:val="none"/>
        </w:rPr>
        <w:t>有详细的阐述。投标方案点对点应答详尽、明晰，满足采购文件要求，内容齐全、表述准确、条理清晰，内容无前后矛盾，符合采购文件要求。建设方案与与职业标准、技术标准、专业特点、区域经济需求高度吻合，体现方案的科学性、规范性、先进性、实用性。方案科学合理、具有一定的前瞻性，充分考虑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建设的需求。</w:t>
      </w:r>
    </w:p>
    <w:p>
      <w:pPr>
        <w:spacing w:line="360" w:lineRule="auto"/>
        <w:ind w:firstLine="514" w:firstLineChars="245"/>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）新技术应用能力和资源整合利用的能力（</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）一档（</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建设中未体现</w:t>
      </w:r>
      <w:r>
        <w:rPr>
          <w:rFonts w:cs="Times New Roman" w:asciiTheme="minorEastAsia" w:hAnsiTheme="minorEastAsia" w:eastAsiaTheme="minorEastAsia"/>
          <w:color w:val="auto"/>
          <w:kern w:val="0"/>
          <w:sz w:val="21"/>
          <w:szCs w:val="21"/>
          <w:highlight w:val="none"/>
        </w:rPr>
        <w:t>Html5、Vue、ES5等最新技术</w:t>
      </w:r>
      <w:r>
        <w:rPr>
          <w:rFonts w:hint="eastAsia" w:cs="Times New Roman" w:asciiTheme="minorEastAsia" w:hAnsiTheme="minorEastAsia" w:eastAsiaTheme="minorEastAsia"/>
          <w:color w:val="auto"/>
          <w:kern w:val="0"/>
          <w:sz w:val="21"/>
          <w:szCs w:val="21"/>
          <w:highlight w:val="none"/>
        </w:rPr>
        <w:t>的应用，对新技术应用未提出针对性方案。方案无法证明能够满足标书中对该项技术应用的要求。</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）二档（</w:t>
      </w:r>
      <w:r>
        <w:rPr>
          <w:rFonts w:cs="Times New Roman" w:asciiTheme="minorEastAsia" w:hAnsiTheme="minorEastAsia" w:eastAsiaTheme="minorEastAsia"/>
          <w:color w:val="auto"/>
          <w:kern w:val="0"/>
          <w:sz w:val="21"/>
          <w:szCs w:val="21"/>
          <w:highlight w:val="none"/>
        </w:rPr>
        <w:t>6</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建设中未体现</w:t>
      </w:r>
      <w:r>
        <w:rPr>
          <w:rFonts w:cs="Times New Roman" w:asciiTheme="minorEastAsia" w:hAnsiTheme="minorEastAsia" w:eastAsiaTheme="minorEastAsia"/>
          <w:color w:val="auto"/>
          <w:kern w:val="0"/>
          <w:sz w:val="21"/>
          <w:szCs w:val="21"/>
          <w:highlight w:val="none"/>
        </w:rPr>
        <w:t>Html5、Vue、ES5等最新技术</w:t>
      </w:r>
      <w:r>
        <w:rPr>
          <w:rFonts w:hint="eastAsia" w:cs="Times New Roman" w:asciiTheme="minorEastAsia" w:hAnsiTheme="minorEastAsia" w:eastAsiaTheme="minorEastAsia"/>
          <w:color w:val="auto"/>
          <w:kern w:val="0"/>
          <w:sz w:val="21"/>
          <w:szCs w:val="21"/>
          <w:highlight w:val="none"/>
        </w:rPr>
        <w:t>的应用，但与实际职业岗位技能标准、技术标准吻合度不高，参与项目开发的团队的资历证明材料无法证明有掌握相关技术的人员。方案无法证明在</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建设中应用该项新技术的可能性。</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）三档（</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建设中体现</w:t>
      </w:r>
      <w:r>
        <w:rPr>
          <w:rFonts w:cs="Times New Roman" w:asciiTheme="minorEastAsia" w:hAnsiTheme="minorEastAsia" w:eastAsiaTheme="minorEastAsia"/>
          <w:color w:val="auto"/>
          <w:kern w:val="0"/>
          <w:sz w:val="21"/>
          <w:szCs w:val="21"/>
          <w:highlight w:val="none"/>
        </w:rPr>
        <w:t>Html5、Vue、ES5等最新技术</w:t>
      </w:r>
      <w:r>
        <w:rPr>
          <w:rFonts w:hint="eastAsia" w:cs="Times New Roman" w:asciiTheme="minorEastAsia" w:hAnsiTheme="minorEastAsia" w:eastAsiaTheme="minorEastAsia"/>
          <w:color w:val="auto"/>
          <w:kern w:val="0"/>
          <w:sz w:val="21"/>
          <w:szCs w:val="21"/>
          <w:highlight w:val="none"/>
        </w:rPr>
        <w:t>的应用，与实际职业岗位技能标准、技术标准吻合度较高，参与项目开发的团队的资历证明材料能证明有掌握相关技术的人员，具备相关开发能力，方案可行，并在微课</w:t>
      </w:r>
      <w:r>
        <w:rPr>
          <w:rFonts w:eastAsia="Times New Roman" w:cs="Times New Roman" w:asciiTheme="minorEastAsia" w:hAnsiTheme="minorEastAsia"/>
          <w:color w:val="auto"/>
          <w:kern w:val="0"/>
          <w:sz w:val="21"/>
          <w:szCs w:val="21"/>
          <w:highlight w:val="none"/>
        </w:rPr>
        <w:t>演示</w:t>
      </w:r>
      <w:r>
        <w:rPr>
          <w:rFonts w:hint="eastAsia" w:cs="Times New Roman" w:asciiTheme="minorEastAsia" w:hAnsiTheme="minorEastAsia" w:eastAsiaTheme="minorEastAsia"/>
          <w:color w:val="auto"/>
          <w:kern w:val="0"/>
          <w:sz w:val="21"/>
          <w:szCs w:val="21"/>
          <w:highlight w:val="none"/>
        </w:rPr>
        <w:t>视频中体现这部分新技术应用情况。</w:t>
      </w:r>
    </w:p>
    <w:p>
      <w:pPr>
        <w:spacing w:line="360" w:lineRule="auto"/>
        <w:ind w:firstLine="514" w:firstLineChars="245"/>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）项目组人员投入及素质情况（</w:t>
      </w:r>
      <w:r>
        <w:rPr>
          <w:rFonts w:cs="Times New Roman" w:asciiTheme="minorEastAsia" w:hAnsiTheme="minorEastAsia" w:eastAsiaTheme="minorEastAsia"/>
          <w:color w:val="auto"/>
          <w:kern w:val="0"/>
          <w:sz w:val="21"/>
          <w:szCs w:val="21"/>
          <w:highlight w:val="none"/>
        </w:rPr>
        <w:t>10</w:t>
      </w:r>
      <w:r>
        <w:rPr>
          <w:rFonts w:hint="eastAsia" w:cs="Times New Roman" w:asciiTheme="minorEastAsia" w:hAnsiTheme="minorEastAsia" w:eastAsiaTheme="minorEastAsia"/>
          <w:color w:val="auto"/>
          <w:kern w:val="0"/>
          <w:sz w:val="21"/>
          <w:szCs w:val="21"/>
          <w:highlight w:val="none"/>
        </w:rPr>
        <w:t>分）</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 xml:space="preserve">（1） </w:t>
      </w:r>
      <w:r>
        <w:rPr>
          <w:rFonts w:hint="eastAsia" w:cs="宋体" w:asciiTheme="minorEastAsia" w:hAnsiTheme="minorEastAsia" w:eastAsiaTheme="minorEastAsia"/>
          <w:color w:val="auto"/>
          <w:kern w:val="0"/>
          <w:sz w:val="21"/>
          <w:szCs w:val="21"/>
          <w:highlight w:val="none"/>
        </w:rPr>
        <w:t>课程专家</w:t>
      </w:r>
      <w:r>
        <w:rPr>
          <w:rFonts w:cs="Times New Roman" w:asciiTheme="minorEastAsia" w:hAnsiTheme="minorEastAsia" w:eastAsiaTheme="minorEastAsia"/>
          <w:color w:val="auto"/>
          <w:kern w:val="0"/>
          <w:sz w:val="21"/>
          <w:szCs w:val="21"/>
          <w:highlight w:val="none"/>
        </w:rPr>
        <w:t>至少3人，</w:t>
      </w:r>
      <w:r>
        <w:rPr>
          <w:rFonts w:hint="eastAsia" w:cs="宋体" w:asciiTheme="minorEastAsia" w:hAnsiTheme="minorEastAsia" w:eastAsiaTheme="minorEastAsia"/>
          <w:color w:val="auto"/>
          <w:kern w:val="0"/>
          <w:sz w:val="21"/>
          <w:szCs w:val="21"/>
          <w:highlight w:val="none"/>
        </w:rPr>
        <w:t>要求指导过前端开发相关比赛或具有</w:t>
      </w:r>
      <w:r>
        <w:rPr>
          <w:rFonts w:cs="Times New Roman" w:asciiTheme="minorEastAsia" w:hAnsiTheme="minorEastAsia" w:eastAsiaTheme="minorEastAsia"/>
          <w:color w:val="auto"/>
          <w:kern w:val="0"/>
          <w:sz w:val="21"/>
          <w:szCs w:val="21"/>
          <w:highlight w:val="none"/>
        </w:rPr>
        <w:t>3</w:t>
      </w:r>
      <w:r>
        <w:rPr>
          <w:rFonts w:hint="eastAsia" w:cs="宋体" w:asciiTheme="minorEastAsia" w:hAnsiTheme="minorEastAsia" w:eastAsiaTheme="minorEastAsia"/>
          <w:color w:val="auto"/>
          <w:kern w:val="0"/>
          <w:sz w:val="21"/>
          <w:szCs w:val="21"/>
          <w:highlight w:val="none"/>
        </w:rPr>
        <w:t>年前端开发领域项目的工作，</w:t>
      </w:r>
      <w:r>
        <w:rPr>
          <w:rFonts w:cs="Times New Roman" w:asciiTheme="minorEastAsia" w:hAnsiTheme="minorEastAsia" w:eastAsiaTheme="minorEastAsia"/>
          <w:color w:val="auto"/>
          <w:kern w:val="0"/>
          <w:sz w:val="21"/>
          <w:szCs w:val="21"/>
          <w:highlight w:val="none"/>
        </w:rPr>
        <w:t>满足得6分；</w:t>
      </w:r>
      <w:r>
        <w:rPr>
          <w:rFonts w:hint="eastAsia" w:cs="宋体" w:asciiTheme="minorEastAsia" w:hAnsiTheme="minorEastAsia" w:eastAsiaTheme="minorEastAsia"/>
          <w:color w:val="auto"/>
          <w:kern w:val="0"/>
          <w:sz w:val="21"/>
          <w:szCs w:val="21"/>
          <w:highlight w:val="none"/>
        </w:rPr>
        <w:t>（要求提供获奖证书，或者公司开具的工作经历证明）</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（2）</w:t>
      </w:r>
      <w:r>
        <w:rPr>
          <w:rFonts w:cs="Times New Roman" w:asciiTheme="minorEastAsia" w:hAnsiTheme="minorEastAsia" w:eastAsiaTheme="minorEastAsia"/>
          <w:color w:val="auto"/>
          <w:kern w:val="0"/>
          <w:sz w:val="21"/>
          <w:szCs w:val="21"/>
          <w:highlight w:val="none"/>
        </w:rPr>
        <w:t>PPT设计及界面设计人员至少1人，要求艺术设计专业，满足得1分；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（3）</w:t>
      </w:r>
      <w:r>
        <w:rPr>
          <w:rFonts w:cs="Times New Roman" w:asciiTheme="minorEastAsia" w:hAnsiTheme="minorEastAsia" w:eastAsiaTheme="minorEastAsia"/>
          <w:color w:val="auto"/>
          <w:kern w:val="0"/>
          <w:sz w:val="21"/>
          <w:szCs w:val="21"/>
          <w:highlight w:val="none"/>
        </w:rPr>
        <w:t>其他技术人员至少3人，满足得3分。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（以上所有人员需提供学历证书或资格证书复印件并加盖公章，</w:t>
      </w:r>
      <w:r>
        <w:rPr>
          <w:rFonts w:hint="eastAsia" w:cs="Times New Roman" w:asciiTheme="minorEastAsia" w:hAnsiTheme="minorEastAsia" w:eastAsiaTheme="minorEastAsia"/>
          <w:color w:val="auto"/>
          <w:kern w:val="0"/>
          <w:sz w:val="21"/>
          <w:szCs w:val="21"/>
          <w:highlight w:val="none"/>
        </w:rPr>
        <w:t>并提供劳动合同复印件</w:t>
      </w:r>
      <w:r>
        <w:rPr>
          <w:rFonts w:cs="Times New Roman" w:asciiTheme="minorEastAsia" w:hAnsiTheme="minorEastAsia" w:eastAsiaTheme="minorEastAsia"/>
          <w:color w:val="auto"/>
          <w:kern w:val="0"/>
          <w:sz w:val="21"/>
          <w:szCs w:val="21"/>
          <w:highlight w:val="none"/>
        </w:rPr>
        <w:t>）</w:t>
      </w:r>
    </w:p>
    <w:p>
      <w:pPr>
        <w:spacing w:line="360" w:lineRule="auto"/>
        <w:ind w:firstLine="103" w:firstLineChars="49"/>
        <w:rPr>
          <w:rFonts w:eastAsia="Times New Roman" w:cs="Times New Roman" w:asciiTheme="minorEastAsia" w:hAnsiTheme="minorEastAsia"/>
          <w:b/>
          <w:color w:val="auto"/>
          <w:kern w:val="0"/>
          <w:sz w:val="20"/>
          <w:szCs w:val="21"/>
          <w:highlight w:val="none"/>
        </w:rPr>
      </w:pPr>
      <w:r>
        <w:rPr>
          <w:rFonts w:cs="Times New Roman" w:asciiTheme="minorEastAsia" w:hAnsiTheme="minorEastAsia" w:eastAsiaTheme="minorEastAsia"/>
          <w:b/>
          <w:color w:val="auto"/>
          <w:kern w:val="0"/>
          <w:sz w:val="21"/>
          <w:szCs w:val="21"/>
          <w:highlight w:val="none"/>
        </w:rPr>
        <w:t>3</w:t>
      </w:r>
      <w:r>
        <w:rPr>
          <w:rFonts w:hint="eastAsia" w:cs="Times New Roman" w:asciiTheme="minorEastAsia" w:hAnsiTheme="minorEastAsia" w:eastAsiaTheme="minorEastAsia"/>
          <w:b/>
          <w:color w:val="auto"/>
          <w:kern w:val="0"/>
          <w:sz w:val="21"/>
          <w:szCs w:val="21"/>
          <w:highlight w:val="none"/>
        </w:rPr>
        <w:t>、商务分…………………………………………………………………………………………</w:t>
      </w:r>
      <w:r>
        <w:rPr>
          <w:rFonts w:hint="eastAsia" w:cs="Times New Roman" w:asciiTheme="minorEastAsia" w:hAnsiTheme="minorEastAsia" w:eastAsiaTheme="minorEastAsia"/>
          <w:b/>
          <w:color w:val="auto"/>
          <w:kern w:val="0"/>
          <w:sz w:val="21"/>
          <w:szCs w:val="21"/>
          <w:highlight w:val="none"/>
          <w:lang w:val="en-US" w:eastAsia="zh-CN"/>
        </w:rPr>
        <w:t>28</w:t>
      </w:r>
      <w:r>
        <w:rPr>
          <w:rFonts w:hint="eastAsia" w:cs="Times New Roman" w:asciiTheme="minorEastAsia" w:hAnsiTheme="minorEastAsia" w:eastAsiaTheme="minorEastAsia"/>
          <w:b/>
          <w:color w:val="auto"/>
          <w:kern w:val="0"/>
          <w:sz w:val="21"/>
          <w:szCs w:val="21"/>
          <w:highlight w:val="none"/>
        </w:rPr>
        <w:t>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）投标人在本地设有服务机构的得2分（提供营业执照或由当地政府机关开具的办事机构相关证明材料复印件，原件备查）。</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eastAsia="Times New Roman" w:cs="Times New Roman" w:asciiTheme="minorEastAsia" w:hAnsi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）投标人拟投入本项目的相关专业技术人员有专业技术证书的，</w:t>
      </w:r>
      <w:r>
        <w:rPr>
          <w:rFonts w:cs="Times New Roman" w:asciiTheme="minorEastAsia" w:hAnsiTheme="minorEastAsia" w:eastAsiaTheme="minorEastAsia"/>
          <w:color w:val="auto"/>
          <w:kern w:val="0"/>
          <w:sz w:val="21"/>
          <w:szCs w:val="21"/>
          <w:highlight w:val="none"/>
        </w:rPr>
        <w:t>计</w:t>
      </w:r>
      <w:r>
        <w:rPr>
          <w:rFonts w:hint="eastAsia" w:cs="Times New Roman" w:asciiTheme="minorEastAsia" w:hAnsiTheme="minorEastAsia" w:eastAsiaTheme="minorEastAsia"/>
          <w:color w:val="auto"/>
          <w:kern w:val="0"/>
          <w:sz w:val="21"/>
          <w:szCs w:val="21"/>
          <w:highlight w:val="none"/>
        </w:rPr>
        <w:t>算机类高级工程师证，每个证得</w:t>
      </w:r>
      <w:r>
        <w:rPr>
          <w:rFonts w:eastAsia="Times New Roman" w:cs="Times New Roman" w:asciiTheme="minorEastAsia" w:hAnsi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分；计算机类工程师证每人得</w:t>
      </w:r>
      <w:r>
        <w:rPr>
          <w:rFonts w:eastAsia="Times New Roman" w:cs="Times New Roman" w:asciiTheme="minorEastAsia" w:hAnsi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分。本项满分共</w:t>
      </w:r>
      <w:r>
        <w:rPr>
          <w:rFonts w:eastAsia="Times New Roman" w:cs="Times New Roman" w:asciiTheme="minorEastAsia" w:hAnsiTheme="minorEastAsia"/>
          <w:color w:val="auto"/>
          <w:kern w:val="0"/>
          <w:sz w:val="21"/>
          <w:szCs w:val="21"/>
          <w:highlight w:val="none"/>
        </w:rPr>
        <w:t>6</w:t>
      </w:r>
      <w:r>
        <w:rPr>
          <w:rFonts w:hint="eastAsia" w:cs="Times New Roman" w:asciiTheme="minorEastAsia" w:hAnsiTheme="minorEastAsia" w:eastAsiaTheme="minorEastAsia"/>
          <w:color w:val="auto"/>
          <w:kern w:val="0"/>
          <w:sz w:val="21"/>
          <w:szCs w:val="21"/>
          <w:highlight w:val="none"/>
        </w:rPr>
        <w:t>分。（需提供专业人员花名册包括姓名、性别、出生日期、学历，提供证书及所有人员</w:t>
      </w:r>
      <w:r>
        <w:rPr>
          <w:rFonts w:cs="Times New Roman" w:asciiTheme="minorEastAsia" w:hAnsiTheme="minorEastAsia" w:eastAsiaTheme="minorEastAsia"/>
          <w:color w:val="auto"/>
          <w:kern w:val="0"/>
          <w:sz w:val="21"/>
          <w:szCs w:val="21"/>
          <w:highlight w:val="none"/>
        </w:rPr>
        <w:t>2020年度内连续3个月</w:t>
      </w:r>
      <w:r>
        <w:rPr>
          <w:rFonts w:hint="eastAsia" w:cs="Times New Roman" w:asciiTheme="minorEastAsia" w:hAnsiTheme="minorEastAsia" w:eastAsiaTheme="minorEastAsia"/>
          <w:color w:val="auto"/>
          <w:kern w:val="0"/>
          <w:sz w:val="21"/>
          <w:szCs w:val="21"/>
          <w:highlight w:val="none"/>
        </w:rPr>
        <w:t>在竞标单位的社保缴费记录复印件，原件备查）。</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eastAsia="Times New Roman" w:cs="宋体" w:asciiTheme="minorEastAsia" w:hAnsiTheme="minorEastAsia"/>
          <w:color w:val="auto"/>
          <w:kern w:val="0"/>
          <w:sz w:val="21"/>
          <w:szCs w:val="21"/>
          <w:highlight w:val="none"/>
        </w:rPr>
        <w:t>3</w:t>
      </w:r>
      <w:r>
        <w:rPr>
          <w:rFonts w:hint="eastAsia" w:cs="宋体" w:asciiTheme="minorEastAsia" w:hAnsiTheme="minorEastAsia" w:eastAsiaTheme="minorEastAsia"/>
          <w:color w:val="auto"/>
          <w:kern w:val="0"/>
          <w:sz w:val="21"/>
          <w:szCs w:val="21"/>
          <w:highlight w:val="none"/>
        </w:rPr>
        <w:t>）投标人</w:t>
      </w:r>
      <w:r>
        <w:rPr>
          <w:rFonts w:cs="Times New Roman" w:asciiTheme="minorEastAsia" w:hAnsiTheme="minorEastAsia" w:eastAsiaTheme="minorEastAsia"/>
          <w:color w:val="auto"/>
          <w:kern w:val="0"/>
          <w:sz w:val="21"/>
          <w:szCs w:val="21"/>
          <w:highlight w:val="none"/>
        </w:rPr>
        <w:t>2017</w:t>
      </w:r>
      <w:r>
        <w:rPr>
          <w:rFonts w:hint="eastAsia" w:cs="宋体" w:asciiTheme="minorEastAsia" w:hAnsiTheme="minorEastAsia" w:eastAsiaTheme="minorEastAsia"/>
          <w:color w:val="auto"/>
          <w:kern w:val="0"/>
          <w:sz w:val="21"/>
          <w:szCs w:val="21"/>
          <w:highlight w:val="none"/>
        </w:rPr>
        <w:t>年以来具有前端开发领域类别相关业绩的，每项计算机</w:t>
      </w:r>
      <w:r>
        <w:rPr>
          <w:rFonts w:hint="eastAsia" w:cs="宋体" w:asciiTheme="minorEastAsia" w:hAnsiTheme="minorEastAsia" w:eastAsiaTheme="minorEastAsia"/>
          <w:color w:val="auto"/>
          <w:kern w:val="0"/>
          <w:sz w:val="21"/>
          <w:szCs w:val="21"/>
          <w:highlight w:val="none"/>
          <w:lang w:val="en-US" w:eastAsia="zh-CN"/>
        </w:rPr>
        <w:t>类</w:t>
      </w:r>
      <w:r>
        <w:rPr>
          <w:rFonts w:hint="eastAsia" w:cs="宋体" w:asciiTheme="minorEastAsia" w:hAnsiTheme="minorEastAsia" w:eastAsiaTheme="minorEastAsia"/>
          <w:color w:val="auto"/>
          <w:kern w:val="0"/>
          <w:sz w:val="21"/>
          <w:szCs w:val="21"/>
          <w:highlight w:val="none"/>
        </w:rPr>
        <w:t>业绩得2分。</w:t>
      </w:r>
      <w:r>
        <w:rPr>
          <w:rFonts w:cs="Times New Roman" w:asciiTheme="minorEastAsia" w:hAnsiTheme="minorEastAsia" w:eastAsiaTheme="minorEastAsia"/>
          <w:color w:val="auto"/>
          <w:kern w:val="0"/>
          <w:sz w:val="21"/>
          <w:szCs w:val="21"/>
          <w:highlight w:val="none"/>
        </w:rPr>
        <w:br w:type="textWrapping"/>
      </w:r>
      <w:r>
        <w:rPr>
          <w:rFonts w:hint="eastAsia" w:cs="Times New Roman" w:asciiTheme="minorEastAsia" w:hAnsiTheme="minorEastAsia" w:eastAsiaTheme="minorEastAsia"/>
          <w:color w:val="auto"/>
          <w:kern w:val="0"/>
          <w:sz w:val="21"/>
          <w:szCs w:val="21"/>
          <w:highlight w:val="none"/>
        </w:rPr>
        <w:t xml:space="preserve">    </w:t>
      </w:r>
      <w:r>
        <w:rPr>
          <w:rFonts w:eastAsia="Times New Roman" w:cs="Times New Roman" w:asciiTheme="minorEastAsia" w:hAnsiTheme="minorEastAsia"/>
          <w:color w:val="auto"/>
          <w:kern w:val="0"/>
          <w:sz w:val="21"/>
          <w:szCs w:val="21"/>
          <w:highlight w:val="none"/>
        </w:rPr>
        <w:t>4</w:t>
      </w:r>
      <w:r>
        <w:rPr>
          <w:rFonts w:hint="eastAsia" w:cs="宋体" w:asciiTheme="minorEastAsia" w:hAnsiTheme="minorEastAsia" w:eastAsiaTheme="minorEastAsia"/>
          <w:color w:val="auto"/>
          <w:kern w:val="0"/>
          <w:sz w:val="21"/>
          <w:szCs w:val="21"/>
          <w:highlight w:val="none"/>
        </w:rPr>
        <w:t>）投标人</w:t>
      </w:r>
      <w:r>
        <w:rPr>
          <w:rFonts w:cs="Times New Roman" w:asciiTheme="minorEastAsia" w:hAnsiTheme="minorEastAsia" w:eastAsiaTheme="minorEastAsia"/>
          <w:color w:val="auto"/>
          <w:kern w:val="0"/>
          <w:sz w:val="21"/>
          <w:szCs w:val="21"/>
          <w:highlight w:val="none"/>
        </w:rPr>
        <w:t>2017</w:t>
      </w:r>
      <w:r>
        <w:rPr>
          <w:rFonts w:hint="eastAsia" w:cs="宋体" w:asciiTheme="minorEastAsia" w:hAnsiTheme="minorEastAsia" w:eastAsiaTheme="minorEastAsia"/>
          <w:color w:val="auto"/>
          <w:kern w:val="0"/>
          <w:sz w:val="21"/>
          <w:szCs w:val="21"/>
          <w:highlight w:val="none"/>
        </w:rPr>
        <w:t>年以来具有教育类信息类别相关业绩的，每项得2分，最高得</w:t>
      </w:r>
      <w:r>
        <w:rPr>
          <w:rFonts w:eastAsia="Times New Roman" w:cs="Times New Roman" w:asciiTheme="minorEastAsia" w:hAnsiTheme="minorEastAsia"/>
          <w:color w:val="auto"/>
          <w:kern w:val="0"/>
          <w:sz w:val="21"/>
          <w:szCs w:val="21"/>
          <w:highlight w:val="none"/>
        </w:rPr>
        <w:t>6</w:t>
      </w:r>
      <w:r>
        <w:rPr>
          <w:rFonts w:hint="eastAsia" w:cs="宋体"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 </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eastAsia="Times New Roman" w:cs="Times New Roman" w:asciiTheme="minorEastAsia" w:hAnsiTheme="minorEastAsia"/>
          <w:color w:val="auto"/>
          <w:kern w:val="0"/>
          <w:sz w:val="21"/>
          <w:szCs w:val="21"/>
          <w:highlight w:val="none"/>
        </w:rPr>
        <w:t>5</w:t>
      </w:r>
      <w:r>
        <w:rPr>
          <w:rFonts w:hint="eastAsia" w:cs="Times New Roman" w:asciiTheme="minorEastAsia" w:hAnsiTheme="minorEastAsia" w:eastAsiaTheme="minorEastAsia"/>
          <w:color w:val="auto"/>
          <w:kern w:val="0"/>
          <w:sz w:val="21"/>
          <w:szCs w:val="21"/>
          <w:highlight w:val="none"/>
        </w:rPr>
        <w:t>）售后服务方案情况（</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）一档（</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分）：投标人提供的售后服务方案和售后服务承诺说明，不能提供服务人员名单及相关证明（要求提供服务人员毕业证或职称证，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）二档（</w:t>
      </w:r>
      <w:r>
        <w:rPr>
          <w:rFonts w:cs="Times New Roman" w:asciiTheme="minorEastAsia" w:hAnsiTheme="minorEastAsia" w:eastAsiaTheme="minorEastAsia"/>
          <w:color w:val="auto"/>
          <w:kern w:val="0"/>
          <w:sz w:val="21"/>
          <w:szCs w:val="21"/>
          <w:highlight w:val="none"/>
        </w:rPr>
        <w:t>7</w:t>
      </w:r>
      <w:r>
        <w:rPr>
          <w:rFonts w:hint="eastAsia" w:cs="Times New Roman" w:asciiTheme="minorEastAsia" w:hAnsiTheme="minorEastAsia" w:eastAsiaTheme="minorEastAsia"/>
          <w:color w:val="auto"/>
          <w:kern w:val="0"/>
          <w:sz w:val="21"/>
          <w:szCs w:val="21"/>
          <w:highlight w:val="none"/>
        </w:rPr>
        <w:t>分）：投标人提供的售后服务方案和售后服务承诺说明，提供服务人员名单及相关证明不足3人（要求提供服务人员毕业证或职称证，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）三档（</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分）：投标人提供的售后服务方案详细、具体、明确、规范；售后服务承诺完整、可行。维护期内运行维护人员不少于三人，（要求提供服务人员毕业证或职称证，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），提供</w:t>
      </w:r>
      <w:r>
        <w:rPr>
          <w:rFonts w:cs="Times New Roman" w:asciiTheme="minorEastAsia" w:hAnsiTheme="minorEastAsia" w:eastAsiaTheme="minorEastAsia"/>
          <w:color w:val="auto"/>
          <w:kern w:val="0"/>
          <w:sz w:val="21"/>
          <w:szCs w:val="21"/>
          <w:highlight w:val="none"/>
        </w:rPr>
        <w:t>7*24</w:t>
      </w:r>
      <w:r>
        <w:rPr>
          <w:rFonts w:hint="eastAsia" w:cs="Times New Roman" w:asciiTheme="minorEastAsia" w:hAnsiTheme="minorEastAsia" w:eastAsiaTheme="minorEastAsia"/>
          <w:color w:val="auto"/>
          <w:kern w:val="0"/>
          <w:sz w:val="21"/>
          <w:szCs w:val="21"/>
          <w:highlight w:val="none"/>
        </w:rPr>
        <w:t>服务，承诺免费对采购单位的需求变更进行完善，完全满足采购单位的要求。</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诚信分………………………………………………（-6分）</w:t>
      </w:r>
    </w:p>
    <w:p>
      <w:pPr>
        <w:spacing w:line="360" w:lineRule="auto"/>
        <w:ind w:firstLine="420" w:firstLineChars="200"/>
        <w:rPr>
          <w:color w:val="auto"/>
          <w:highlight w:val="none"/>
        </w:rPr>
      </w:pPr>
      <w:r>
        <w:rPr>
          <w:rFonts w:ascii="宋体" w:hAnsi="宋体"/>
          <w:color w:val="auto"/>
          <w:szCs w:val="21"/>
          <w:highlight w:val="none"/>
        </w:rPr>
        <w:t>投标人在截标日前一年内在政府采购活动中存在违约违规情形的（以财政部门书面认定材料为评分依据），每次扣除3分，最高扣6分。不存在违约违规情形的本项为0分。(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ind w:firstLine="422" w:firstLineChars="200"/>
        <w:rPr>
          <w:rFonts w:eastAsia="Times New Roman" w:cs="Times New Roman" w:asciiTheme="minorEastAsia" w:hAnsiTheme="minorEastAsia"/>
          <w:b/>
          <w:color w:val="auto"/>
          <w:kern w:val="0"/>
          <w:sz w:val="20"/>
          <w:szCs w:val="21"/>
          <w:highlight w:val="none"/>
        </w:rPr>
      </w:pPr>
      <w:r>
        <w:rPr>
          <w:rFonts w:hint="eastAsia" w:cs="Times New Roman" w:asciiTheme="minorEastAsia" w:hAnsiTheme="minorEastAsia" w:eastAsiaTheme="minorEastAsia"/>
          <w:b/>
          <w:color w:val="auto"/>
          <w:kern w:val="0"/>
          <w:sz w:val="21"/>
          <w:szCs w:val="21"/>
          <w:highlight w:val="none"/>
        </w:rPr>
        <w:t>（三）总得分＝</w:t>
      </w:r>
      <w:r>
        <w:rPr>
          <w:rFonts w:cs="Times New Roman" w:asciiTheme="minorEastAsia" w:hAnsiTheme="minorEastAsia" w:eastAsiaTheme="minorEastAsia"/>
          <w:b/>
          <w:color w:val="auto"/>
          <w:kern w:val="0"/>
          <w:sz w:val="21"/>
          <w:szCs w:val="21"/>
          <w:highlight w:val="none"/>
        </w:rPr>
        <w:t>1</w:t>
      </w:r>
      <w:r>
        <w:rPr>
          <w:rFonts w:hint="eastAsia" w:cs="Times New Roman" w:asciiTheme="minorEastAsia" w:hAnsiTheme="minorEastAsia" w:eastAsiaTheme="minorEastAsia"/>
          <w:b/>
          <w:color w:val="auto"/>
          <w:kern w:val="0"/>
          <w:sz w:val="21"/>
          <w:szCs w:val="21"/>
          <w:highlight w:val="none"/>
        </w:rPr>
        <w:t>＋</w:t>
      </w:r>
      <w:r>
        <w:rPr>
          <w:rFonts w:cs="Times New Roman" w:asciiTheme="minorEastAsia" w:hAnsiTheme="minorEastAsia" w:eastAsiaTheme="minorEastAsia"/>
          <w:b/>
          <w:color w:val="auto"/>
          <w:kern w:val="0"/>
          <w:sz w:val="21"/>
          <w:szCs w:val="21"/>
          <w:highlight w:val="none"/>
        </w:rPr>
        <w:t>2</w:t>
      </w:r>
      <w:r>
        <w:rPr>
          <w:rFonts w:hint="eastAsia" w:cs="Times New Roman" w:asciiTheme="minorEastAsia" w:hAnsiTheme="minorEastAsia" w:eastAsiaTheme="minorEastAsia"/>
          <w:b/>
          <w:color w:val="auto"/>
          <w:kern w:val="0"/>
          <w:sz w:val="21"/>
          <w:szCs w:val="21"/>
          <w:highlight w:val="none"/>
        </w:rPr>
        <w:t>＋</w:t>
      </w:r>
      <w:r>
        <w:rPr>
          <w:rFonts w:cs="Times New Roman" w:asciiTheme="minorEastAsia" w:hAnsiTheme="minorEastAsia" w:eastAsiaTheme="minorEastAsia"/>
          <w:b/>
          <w:color w:val="auto"/>
          <w:kern w:val="0"/>
          <w:sz w:val="21"/>
          <w:szCs w:val="21"/>
          <w:highlight w:val="none"/>
        </w:rPr>
        <w:t>3</w:t>
      </w:r>
      <w:r>
        <w:rPr>
          <w:rFonts w:hint="eastAsia" w:cs="Times New Roman" w:asciiTheme="minorEastAsia" w:hAnsiTheme="minorEastAsia"/>
          <w:b/>
          <w:color w:val="auto"/>
          <w:kern w:val="0"/>
          <w:sz w:val="21"/>
          <w:szCs w:val="21"/>
          <w:highlight w:val="none"/>
          <w:lang w:val="en-US" w:eastAsia="zh-CN"/>
        </w:rPr>
        <w:t>+4</w:t>
      </w:r>
      <w:r>
        <w:rPr>
          <w:rFonts w:hint="eastAsia" w:cs="Times New Roman" w:asciiTheme="minorEastAsia" w:hAnsiTheme="minorEastAsia" w:eastAsiaTheme="minorEastAsia"/>
          <w:b/>
          <w:color w:val="auto"/>
          <w:kern w:val="0"/>
          <w:sz w:val="21"/>
          <w:szCs w:val="21"/>
          <w:highlight w:val="none"/>
        </w:rPr>
        <w:t>。</w:t>
      </w:r>
    </w:p>
    <w:p>
      <w:pPr>
        <w:pStyle w:val="18"/>
        <w:spacing w:line="360" w:lineRule="auto"/>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四）中标标准：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jc w:val="center"/>
        <w:rPr>
          <w:rFonts w:hint="eastAsia" w:hAnsi="宋体" w:cs="宋体"/>
          <w:b/>
          <w:bCs/>
          <w:color w:val="auto"/>
          <w:highlight w:val="none"/>
          <w:lang w:val="en-US" w:eastAsia="zh-CN"/>
        </w:rPr>
      </w:pPr>
      <w:r>
        <w:rPr>
          <w:rFonts w:hint="eastAsia" w:hAnsi="宋体" w:cs="宋体"/>
          <w:b/>
          <w:bCs/>
          <w:color w:val="auto"/>
          <w:highlight w:val="none"/>
          <w:lang w:eastAsia="zh-CN"/>
        </w:rPr>
        <w:t>（</w:t>
      </w:r>
      <w:r>
        <w:rPr>
          <w:rFonts w:hint="eastAsia" w:hAnsi="宋体" w:cs="宋体"/>
          <w:b/>
          <w:bCs/>
          <w:color w:val="auto"/>
          <w:highlight w:val="none"/>
          <w:lang w:val="en-US" w:eastAsia="zh-CN"/>
        </w:rPr>
        <w:t>适用D分标）</w:t>
      </w:r>
    </w:p>
    <w:p>
      <w:pPr>
        <w:pStyle w:val="18"/>
        <w:spacing w:line="360" w:lineRule="auto"/>
        <w:rPr>
          <w:rFonts w:hint="eastAsia" w:hAnsi="宋体" w:cs="宋体"/>
          <w:b/>
          <w:bCs/>
          <w:color w:val="auto"/>
          <w:highlight w:val="none"/>
        </w:rPr>
      </w:pP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（一）评标委员会以招标文件为依据，对投标文件进行评审，对投标人的投标报价、技术文件及商务文件等三部分内容按百分制打分，其中价格分</w:t>
      </w:r>
      <w:r>
        <w:rPr>
          <w:rFonts w:ascii="宋体" w:hAnsi="宋体" w:eastAsia="宋体" w:cs="宋体"/>
          <w:color w:val="auto"/>
          <w:kern w:val="0"/>
          <w:sz w:val="21"/>
          <w:szCs w:val="21"/>
          <w:highlight w:val="none"/>
        </w:rPr>
        <w:t>30</w:t>
      </w:r>
      <w:r>
        <w:rPr>
          <w:rFonts w:hint="eastAsia" w:ascii="宋体" w:hAnsi="宋体" w:eastAsia="宋体" w:cs="宋体"/>
          <w:color w:val="auto"/>
          <w:kern w:val="0"/>
          <w:sz w:val="21"/>
          <w:szCs w:val="21"/>
          <w:highlight w:val="none"/>
        </w:rPr>
        <w:t>分，技术分</w:t>
      </w: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5分，商务分25分</w:t>
      </w:r>
      <w:r>
        <w:rPr>
          <w:rFonts w:hint="eastAsia" w:ascii="宋体" w:hAnsi="宋体" w:eastAsia="宋体" w:cs="宋体"/>
          <w:color w:val="auto"/>
          <w:kern w:val="0"/>
          <w:sz w:val="21"/>
          <w:szCs w:val="21"/>
          <w:highlight w:val="none"/>
          <w:lang w:eastAsia="zh-CN"/>
        </w:rPr>
        <w:t>、诚信分</w:t>
      </w:r>
      <w:r>
        <w:rPr>
          <w:rFonts w:hint="eastAsia" w:ascii="宋体" w:hAnsi="宋体" w:eastAsia="宋体" w:cs="宋体"/>
          <w:color w:val="auto"/>
          <w:kern w:val="0"/>
          <w:sz w:val="21"/>
          <w:szCs w:val="21"/>
          <w:highlight w:val="none"/>
          <w:lang w:val="en-US" w:eastAsia="zh-CN"/>
        </w:rPr>
        <w:t>-6分</w:t>
      </w:r>
      <w:r>
        <w:rPr>
          <w:rFonts w:hint="eastAsia" w:ascii="宋体" w:hAnsi="宋体" w:eastAsia="宋体" w:cs="宋体"/>
          <w:color w:val="auto"/>
          <w:kern w:val="0"/>
          <w:sz w:val="21"/>
          <w:szCs w:val="21"/>
          <w:highlight w:val="none"/>
        </w:rPr>
        <w:t>。（评标时，对于带有主观因素的评分，由各评委独立进行评价、打分，不允许讨论。）</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（二）评分细则：（按四舍五入取至小数点后四位）</w:t>
      </w:r>
    </w:p>
    <w:p>
      <w:pPr>
        <w:spacing w:line="360" w:lineRule="auto"/>
        <w:ind w:firstLine="422" w:firstLineChars="20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rPr>
        <w:t>、价格分………………………………………………………………………………………</w:t>
      </w:r>
      <w:r>
        <w:rPr>
          <w:rFonts w:ascii="宋体" w:hAnsi="宋体" w:eastAsia="宋体" w:cs="宋体"/>
          <w:b/>
          <w:color w:val="auto"/>
          <w:kern w:val="0"/>
          <w:sz w:val="21"/>
          <w:szCs w:val="21"/>
          <w:highlight w:val="none"/>
        </w:rPr>
        <w:t>30</w:t>
      </w:r>
      <w:r>
        <w:rPr>
          <w:rFonts w:hint="eastAsia" w:ascii="宋体" w:hAnsi="宋体" w:eastAsia="宋体" w:cs="宋体"/>
          <w:b/>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）对小型和微型企业产品的价格给予</w:t>
      </w:r>
      <w:r>
        <w:rPr>
          <w:rFonts w:hint="eastAsia" w:ascii="宋体" w:hAnsi="宋体" w:eastAsia="宋体" w:cs="宋体"/>
          <w:color w:val="auto"/>
          <w:kern w:val="0"/>
          <w:sz w:val="21"/>
          <w:szCs w:val="21"/>
          <w:highlight w:val="none"/>
          <w:lang w:val="en-US" w:eastAsia="zh-CN"/>
        </w:rPr>
        <w:t>10</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的价格扣除，扣除后的价格为评标价，即评标价＝投标报价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10</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要求提供的《投标报价表》和《中小企业声明函》为评分依据）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）对大中型企业和其他自然人、法人或者其他组织与小型、微型企业组成联合体，且联合体协议中约定小型、微型企业的协议合同金额占到联合体协议合同总金额</w:t>
      </w:r>
      <w:r>
        <w:rPr>
          <w:rFonts w:ascii="宋体" w:hAnsi="宋体" w:eastAsia="宋体" w:cs="宋体"/>
          <w:color w:val="auto"/>
          <w:kern w:val="0"/>
          <w:sz w:val="21"/>
          <w:szCs w:val="21"/>
          <w:highlight w:val="none"/>
        </w:rPr>
        <w:t>30%</w:t>
      </w:r>
      <w:r>
        <w:rPr>
          <w:rFonts w:hint="eastAsia" w:ascii="宋体" w:hAnsi="宋体" w:eastAsia="宋体" w:cs="宋体"/>
          <w:color w:val="auto"/>
          <w:kern w:val="0"/>
          <w:sz w:val="21"/>
          <w:szCs w:val="21"/>
          <w:highlight w:val="none"/>
        </w:rPr>
        <w:t>以上的，给予</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的价格扣除，扣除后的价格为评标价，即评标价＝投标报价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1-2%</w:t>
      </w:r>
      <w:r>
        <w:rPr>
          <w:rFonts w:hint="eastAsia" w:ascii="宋体" w:hAnsi="宋体" w:eastAsia="宋体" w:cs="宋体"/>
          <w:color w:val="auto"/>
          <w:kern w:val="0"/>
          <w:sz w:val="21"/>
          <w:szCs w:val="21"/>
          <w:highlight w:val="none"/>
        </w:rPr>
        <w:t>）。（以投标人按第五章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要求提供的《投标报价表》、《中小企业声明函》和《联合体协议书》为评分依据）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）投标产品提供企业按《关于政府采购支持监狱企业发展有关问题的通知》</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财库</w:t>
      </w:r>
      <w:r>
        <w:rPr>
          <w:rFonts w:ascii="宋体" w:hAnsi="宋体" w:eastAsia="宋体" w:cs="宋体"/>
          <w:color w:val="auto"/>
          <w:kern w:val="0"/>
          <w:sz w:val="21"/>
          <w:szCs w:val="21"/>
          <w:highlight w:val="none"/>
        </w:rPr>
        <w:t>[2014]68</w:t>
      </w:r>
      <w:r>
        <w:rPr>
          <w:rFonts w:hint="eastAsia" w:ascii="宋体" w:hAnsi="宋体" w:eastAsia="宋体" w:cs="宋体"/>
          <w:color w:val="auto"/>
          <w:kern w:val="0"/>
          <w:sz w:val="21"/>
          <w:szCs w:val="21"/>
          <w:highlight w:val="none"/>
        </w:rPr>
        <w:t>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认定为监狱企业的，在政府采购活动中，监狱企业视同小型、微型企业。（以投标人按第五章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要求提供的《报价表》和由省级以上监狱管理局、戒毒管理局</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含新疆生产建设兵团</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出具的属于监狱企业的证明文件为评分依据）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）投标产品提供企业按《关于促进残疾人就业政府采购政策的通知》</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财库〔</w:t>
      </w:r>
      <w:r>
        <w:rPr>
          <w:rFonts w:ascii="宋体" w:hAnsi="宋体" w:eastAsia="宋体" w:cs="宋体"/>
          <w:color w:val="auto"/>
          <w:kern w:val="0"/>
          <w:sz w:val="21"/>
          <w:szCs w:val="21"/>
          <w:highlight w:val="none"/>
        </w:rPr>
        <w:t>2017</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141</w:t>
      </w:r>
      <w:r>
        <w:rPr>
          <w:rFonts w:hint="eastAsia" w:ascii="宋体" w:hAnsi="宋体" w:eastAsia="宋体" w:cs="宋体"/>
          <w:color w:val="auto"/>
          <w:kern w:val="0"/>
          <w:sz w:val="21"/>
          <w:szCs w:val="21"/>
          <w:highlight w:val="none"/>
        </w:rPr>
        <w:t>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要求提供的《报价表》和《残疾人福利性单位声明函》为评分依据）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）除上述情况外，评标价＝投标报价。</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）价格分计算公式：</w:t>
      </w:r>
    </w:p>
    <w:p>
      <w:pPr>
        <w:spacing w:line="360" w:lineRule="auto"/>
        <w:ind w:firstLine="2205" w:firstLineChars="105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投标人最低投标报价金额</w:t>
      </w:r>
    </w:p>
    <w:p>
      <w:pPr>
        <w:spacing w:line="360" w:lineRule="auto"/>
        <w:ind w:firstLine="40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0"/>
          <w:szCs w:val="21"/>
          <w:highlight w:val="none"/>
        </w:rPr>
        <mc:AlternateContent>
          <mc:Choice Requires="wps">
            <w:drawing>
              <wp:anchor distT="0" distB="0" distL="114300" distR="114300" simplePos="0" relativeHeight="251797504" behindDoc="0" locked="0" layoutInCell="1" allowOverlap="1">
                <wp:simplePos x="0" y="0"/>
                <wp:positionH relativeFrom="column">
                  <wp:posOffset>1263015</wp:posOffset>
                </wp:positionH>
                <wp:positionV relativeFrom="paragraph">
                  <wp:posOffset>103505</wp:posOffset>
                </wp:positionV>
                <wp:extent cx="16002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45pt;margin-top:8.15pt;height:0pt;width:126pt;z-index:251797504;mso-width-relative:page;mso-height-relative:page;" filled="f" stroked="t" coordsize="21600,21600" o:gfxdata="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uJNYA&#10;AAAJAQAADwAAAAAAAAABACAAAAAiAAAAZHJzL2Rvd25yZXYueG1sUEsBAhQAFAAAAAgAh07iQB8I&#10;aMLoAQAAuAMAAA4AAAAAAAAAAQAgAAAAJQ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color w:val="auto"/>
          <w:kern w:val="0"/>
          <w:sz w:val="21"/>
          <w:szCs w:val="21"/>
          <w:highlight w:val="none"/>
        </w:rPr>
        <w:t xml:space="preserve">某投标人价格分＝ </w:t>
      </w:r>
      <w:r>
        <w:rPr>
          <w:rFonts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30</w:t>
      </w:r>
      <w:r>
        <w:rPr>
          <w:rFonts w:hint="eastAsia" w:ascii="宋体" w:hAnsi="宋体" w:eastAsia="宋体" w:cs="宋体"/>
          <w:color w:val="auto"/>
          <w:kern w:val="0"/>
          <w:sz w:val="21"/>
          <w:szCs w:val="21"/>
          <w:highlight w:val="none"/>
        </w:rPr>
        <w:t>分</w:t>
      </w:r>
    </w:p>
    <w:p>
      <w:pPr>
        <w:spacing w:line="360" w:lineRule="auto"/>
        <w:ind w:firstLine="2205" w:firstLineChars="105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某投标人投标报价金额</w:t>
      </w:r>
    </w:p>
    <w:p>
      <w:pPr>
        <w:spacing w:line="360" w:lineRule="auto"/>
        <w:ind w:firstLine="420" w:firstLineChars="200"/>
        <w:jc w:val="left"/>
        <w:rPr>
          <w:rFonts w:ascii="宋体" w:hAnsi="宋体" w:eastAsia="宋体" w:cs="宋体"/>
          <w:color w:val="auto"/>
          <w:kern w:val="0"/>
          <w:sz w:val="21"/>
          <w:szCs w:val="21"/>
          <w:highlight w:val="none"/>
        </w:rPr>
      </w:pPr>
    </w:p>
    <w:p>
      <w:pPr>
        <w:spacing w:line="360" w:lineRule="auto"/>
        <w:ind w:firstLine="422" w:firstLineChars="20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2</w:t>
      </w:r>
      <w:r>
        <w:rPr>
          <w:rFonts w:hint="eastAsia" w:ascii="宋体" w:hAnsi="宋体" w:eastAsia="宋体" w:cs="宋体"/>
          <w:b/>
          <w:color w:val="auto"/>
          <w:kern w:val="0"/>
          <w:sz w:val="21"/>
          <w:szCs w:val="21"/>
          <w:highlight w:val="none"/>
        </w:rPr>
        <w:t>、技术分………………………………………………………………………………………</w:t>
      </w:r>
      <w:r>
        <w:rPr>
          <w:rFonts w:ascii="宋体" w:hAnsi="宋体" w:eastAsia="宋体" w:cs="宋体"/>
          <w:b/>
          <w:color w:val="auto"/>
          <w:kern w:val="0"/>
          <w:sz w:val="21"/>
          <w:szCs w:val="21"/>
          <w:highlight w:val="none"/>
        </w:rPr>
        <w:t>45</w:t>
      </w:r>
      <w:r>
        <w:rPr>
          <w:rFonts w:hint="eastAsia" w:ascii="宋体" w:hAnsi="宋体" w:eastAsia="宋体" w:cs="宋体"/>
          <w:b/>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 xml:space="preserve"> 服务实施方案（</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）一档（</w:t>
      </w: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评定范围：基本满足招标文件要求，有项目执行组织措施、项目执行保障措施，实施组织方案一般，有欠缺，《</w:t>
      </w:r>
      <w:r>
        <w:rPr>
          <w:rFonts w:ascii="宋体" w:hAnsi="宋体" w:eastAsia="宋体" w:cs="宋体"/>
          <w:color w:val="auto"/>
          <w:kern w:val="0"/>
          <w:sz w:val="21"/>
          <w:szCs w:val="21"/>
          <w:highlight w:val="none"/>
        </w:rPr>
        <w:t>w</w:t>
      </w:r>
      <w:r>
        <w:rPr>
          <w:rFonts w:hint="eastAsia" w:ascii="宋体" w:hAnsi="宋体" w:eastAsia="宋体" w:cs="宋体"/>
          <w:color w:val="auto"/>
          <w:kern w:val="0"/>
          <w:sz w:val="21"/>
          <w:szCs w:val="21"/>
          <w:highlight w:val="none"/>
        </w:rPr>
        <w:t>eb应用安全与管理》课程包建设方案中未体现教育部发布的1+X证书制度试点的第三批职业教育培训评价组织及职业技能等级证书中“网络安全评估”职业技能等级的技术要求，《Linux操作系统管理》国际化课程包建设方案中未体现红帽认证证书的技术要求，对新技术应用未提出针对性方案。</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）二档（</w:t>
      </w:r>
      <w:r>
        <w:rPr>
          <w:rFonts w:ascii="宋体" w:hAnsi="宋体" w:eastAsia="宋体" w:cs="宋体"/>
          <w:color w:val="auto"/>
          <w:kern w:val="0"/>
          <w:sz w:val="21"/>
          <w:szCs w:val="21"/>
          <w:highlight w:val="none"/>
        </w:rPr>
        <w:t>10</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评定范围：在满足一档的基础上，项目执行组织措施、项目执行保障措施详细可行，方案资料齐全、实施组织方案良好，《</w:t>
      </w:r>
      <w:r>
        <w:rPr>
          <w:rFonts w:ascii="宋体" w:hAnsi="宋体" w:eastAsia="宋体" w:cs="宋体"/>
          <w:color w:val="auto"/>
          <w:kern w:val="0"/>
          <w:sz w:val="21"/>
          <w:szCs w:val="21"/>
          <w:highlight w:val="none"/>
        </w:rPr>
        <w:t>w</w:t>
      </w:r>
      <w:r>
        <w:rPr>
          <w:rFonts w:hint="eastAsia" w:ascii="宋体" w:hAnsi="宋体" w:eastAsia="宋体" w:cs="宋体"/>
          <w:color w:val="auto"/>
          <w:kern w:val="0"/>
          <w:sz w:val="21"/>
          <w:szCs w:val="21"/>
          <w:highlight w:val="none"/>
        </w:rPr>
        <w:t>eb应用安全与管理》课程包建设方案中有体现教育部发布的1+X证书制度试点的第三批职业教育培训评价组织及职业技能等级证书中“网络安全评估”职业技能等级的技术要求，《Linux操作系统管理》国际化课程包建设方案中有体现红帽认证证书或IT行业认证方面的技术要求，但与实际职业岗位技能标准、技术标准吻合度不高。</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）三档（</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在满足二档的基础上，项目执行组织措施、项目执行保障措施详细可行，熟悉项目流程及业务，方案资料齐全、实施组织方案完善，可为采购人提供更好的实施措施，项目小组人员。方案科学合理、具有一定的前瞻性，充分考虑了资源库建设的需求。《</w:t>
      </w:r>
      <w:r>
        <w:rPr>
          <w:rFonts w:ascii="宋体" w:hAnsi="宋体" w:eastAsia="宋体" w:cs="宋体"/>
          <w:color w:val="auto"/>
          <w:kern w:val="0"/>
          <w:sz w:val="21"/>
          <w:szCs w:val="21"/>
          <w:highlight w:val="none"/>
        </w:rPr>
        <w:t>w</w:t>
      </w:r>
      <w:r>
        <w:rPr>
          <w:rFonts w:hint="eastAsia" w:ascii="宋体" w:hAnsi="宋体" w:eastAsia="宋体" w:cs="宋体"/>
          <w:color w:val="auto"/>
          <w:kern w:val="0"/>
          <w:sz w:val="21"/>
          <w:szCs w:val="21"/>
          <w:highlight w:val="none"/>
        </w:rPr>
        <w:t>eb应用安全与管理》课程包建设方案中有体现教育部发布的1+X证书制度试点的第三批职业教育培训评价组织及职业技能等级证书中</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网络安全评估</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职业技能等级的技术要求，《Linux操作系统管理》国际化课程包建设方案中有体现红帽认证证书或</w:t>
      </w:r>
      <w:r>
        <w:rPr>
          <w:rFonts w:ascii="宋体" w:hAnsi="宋体" w:eastAsia="宋体" w:cs="宋体"/>
          <w:color w:val="auto"/>
          <w:kern w:val="0"/>
          <w:sz w:val="21"/>
          <w:szCs w:val="21"/>
          <w:highlight w:val="none"/>
        </w:rPr>
        <w:t>IT</w:t>
      </w:r>
      <w:r>
        <w:rPr>
          <w:rFonts w:hint="eastAsia" w:ascii="宋体" w:hAnsi="宋体" w:eastAsia="宋体" w:cs="宋体"/>
          <w:color w:val="auto"/>
          <w:kern w:val="0"/>
          <w:sz w:val="21"/>
          <w:szCs w:val="21"/>
          <w:highlight w:val="none"/>
        </w:rPr>
        <w:t>行业认证方面的技术要求，与实际职业岗位技能标准、技术标准吻合度较高，参与项目开发的团队具有丰富的网络，安全项目实施经验，项目实施小组配备有至少5名华为，思科，红帽等主流认证厂商颁发的技术工程师认证资质的技术工程师（响应文件中提供相关技术人员的职称或资格证书复印件和近3个月的社保证明，原件备查），具备相关开发能力，方案可行，并承诺在教学案例、课程作品库中体现这部分新技术应用情况。</w:t>
      </w:r>
    </w:p>
    <w:p>
      <w:pPr>
        <w:spacing w:before="156"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）培训方案（</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）一档（</w:t>
      </w: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评定范围：培训方案基本可行，投入的培训队伍基本满足要求，评定为一般的。</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）二档（</w:t>
      </w:r>
      <w:r>
        <w:rPr>
          <w:rFonts w:ascii="宋体" w:hAnsi="宋体" w:eastAsia="宋体" w:cs="宋体"/>
          <w:color w:val="auto"/>
          <w:kern w:val="0"/>
          <w:sz w:val="21"/>
          <w:szCs w:val="21"/>
          <w:highlight w:val="none"/>
        </w:rPr>
        <w:t>10</w:t>
      </w:r>
      <w:r>
        <w:rPr>
          <w:rFonts w:hint="eastAsia" w:ascii="宋体" w:hAnsi="宋体" w:eastAsia="宋体" w:cs="宋体"/>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评定范围：根据实际情况做出可行性的、表述清晰、完整、合理的培训方案，投入的培训队伍及时间安排合理，能较好满足培训要求，评定为良好。</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）三档（</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根据实际情况做出可行性的、表述清晰、完整、科学的培训方案，投入的培训队伍及时间安排合理，能最大限度满足培训要求，措施到位，资源配置充分，为华为，思科，红帽等主流设备生产厂商的授权培训机构（提供证书复印件），项目培训讲师为华为，思科，红帽等主流网络设备生产厂商的认证讲师（响应文件中提供相关技术人员的资格证书复印件和近3个月的社保证明，原件备查），能够提供专人有完善的人员的使用培训，评定为优秀。</w:t>
      </w:r>
    </w:p>
    <w:p>
      <w:pPr>
        <w:spacing w:before="156"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）技术配置分（</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default" w:ascii="Calibri" w:hAnsi="Calibri" w:eastAsia="宋体" w:cs="Calibri"/>
          <w:color w:val="auto"/>
          <w:kern w:val="0"/>
          <w:sz w:val="21"/>
          <w:szCs w:val="21"/>
          <w:highlight w:val="none"/>
        </w:rPr>
        <w:t>①</w:t>
      </w:r>
      <w:r>
        <w:rPr>
          <w:rFonts w:hint="eastAsia" w:ascii="宋体" w:hAnsi="宋体" w:eastAsia="宋体" w:cs="宋体"/>
          <w:color w:val="auto"/>
          <w:kern w:val="0"/>
          <w:sz w:val="21"/>
          <w:szCs w:val="21"/>
          <w:highlight w:val="none"/>
        </w:rPr>
        <w:t>投标人可提供广西境内本地化服务的（独立法人单位，非办事处、代理商，响应文件中提供机构的营业执照复印件及服务人员社保缴纳证明，原件备查）；如现未在有本地化服务机构的能承诺在成交后30天里内在广西成立分公司服务机构的，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default" w:ascii="Calibri" w:hAnsi="Calibri" w:eastAsia="宋体" w:cs="Calibri"/>
          <w:color w:val="auto"/>
          <w:kern w:val="0"/>
          <w:sz w:val="21"/>
          <w:szCs w:val="21"/>
          <w:highlight w:val="none"/>
        </w:rPr>
        <w:t>②</w:t>
      </w:r>
      <w:r>
        <w:rPr>
          <w:rFonts w:hint="eastAsia" w:ascii="宋体" w:hAnsi="宋体" w:eastAsia="宋体" w:cs="宋体"/>
          <w:color w:val="auto"/>
          <w:kern w:val="0"/>
          <w:sz w:val="21"/>
          <w:szCs w:val="21"/>
          <w:highlight w:val="none"/>
        </w:rPr>
        <w:t>投标人具备业内领先的信息安全应急响应能力，可借助于自身领先的工具，运用威胁情报、规则引擎、文件虚拟执行、机器学习等技术，可精准发现网络中的入侵行为，调查、分析、研判安全事件发生的根源,提供数字证据（要求提供威胁分析工具相关采购证明文件，确保设备处于可随时调动使用解决问题，并加盖投标人公章），为本项目提供先进技术素材支持的，满足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 3 \* GB3 \* MERGEFORMAT </w:instrText>
      </w:r>
      <w:r>
        <w:rPr>
          <w:rFonts w:hint="eastAsia" w:ascii="宋体" w:hAnsi="宋体" w:eastAsia="宋体" w:cs="宋体"/>
          <w:color w:val="auto"/>
          <w:kern w:val="0"/>
          <w:sz w:val="21"/>
          <w:szCs w:val="21"/>
          <w:highlight w:val="none"/>
        </w:rPr>
        <w:fldChar w:fldCharType="separate"/>
      </w:r>
      <w:r>
        <w:rPr>
          <w:color w:val="auto"/>
          <w:highlight w:val="none"/>
        </w:rPr>
        <w:t>③</w:t>
      </w:r>
      <w:r>
        <w:rPr>
          <w:rFonts w:hint="eastAsia" w:ascii="宋体" w:hAnsi="宋体" w:eastAsia="宋体" w:cs="宋体"/>
          <w:color w:val="auto"/>
          <w:kern w:val="0"/>
          <w:sz w:val="21"/>
          <w:szCs w:val="21"/>
          <w:highlight w:val="none"/>
        </w:rPr>
        <w:fldChar w:fldCharType="end"/>
      </w:r>
      <w:r>
        <w:rPr>
          <w:rFonts w:hint="eastAsia" w:ascii="宋体" w:hAnsi="宋体" w:eastAsia="宋体" w:cs="宋体"/>
          <w:color w:val="auto"/>
          <w:kern w:val="0"/>
          <w:sz w:val="21"/>
          <w:szCs w:val="21"/>
          <w:highlight w:val="none"/>
        </w:rPr>
        <w:t>投标人具有业内领先的信息安全自动化渗透测试工具，贯穿整个渗透过程的操作，包括信息收集、插件管理、指纹管理、漏洞发现、漏洞利用、后渗透攻击等模块（提供相应功能截图并加盖投标人公章）得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分，可为本项目提供先进技术素材支持的，满足得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fldChar w:fldCharType="begin"/>
      </w:r>
      <w:r>
        <w:rPr>
          <w:rFonts w:hint="eastAsia" w:ascii="宋体" w:hAnsi="宋体" w:cs="宋体"/>
          <w:color w:val="auto"/>
          <w:kern w:val="0"/>
          <w:sz w:val="21"/>
          <w:szCs w:val="21"/>
          <w:highlight w:val="none"/>
          <w:lang w:val="en-US" w:eastAsia="zh-CN"/>
        </w:rPr>
        <w:instrText xml:space="preserve"> = 4 \* GB3 \* MERGEFORMAT </w:instrText>
      </w:r>
      <w:r>
        <w:rPr>
          <w:rFonts w:hint="eastAsia" w:ascii="宋体" w:hAnsi="宋体" w:cs="宋体"/>
          <w:color w:val="auto"/>
          <w:kern w:val="0"/>
          <w:sz w:val="21"/>
          <w:szCs w:val="21"/>
          <w:highlight w:val="none"/>
          <w:lang w:val="en-US" w:eastAsia="zh-CN"/>
        </w:rPr>
        <w:fldChar w:fldCharType="separate"/>
      </w:r>
      <w:r>
        <w:rPr>
          <w:color w:val="auto"/>
          <w:highlight w:val="none"/>
        </w:rPr>
        <w:t>④</w:t>
      </w:r>
      <w:r>
        <w:rPr>
          <w:rFonts w:hint="eastAsia" w:ascii="宋体" w:hAnsi="宋体" w:cs="宋体"/>
          <w:color w:val="auto"/>
          <w:kern w:val="0"/>
          <w:sz w:val="21"/>
          <w:szCs w:val="21"/>
          <w:highlight w:val="none"/>
          <w:lang w:val="en-US" w:eastAsia="zh-CN"/>
        </w:rPr>
        <w:fldChar w:fldCharType="end"/>
      </w:r>
      <w:r>
        <w:rPr>
          <w:rFonts w:hint="eastAsia" w:ascii="宋体" w:hAnsi="宋体" w:eastAsia="宋体" w:cs="宋体"/>
          <w:color w:val="auto"/>
          <w:kern w:val="0"/>
          <w:sz w:val="21"/>
          <w:szCs w:val="21"/>
          <w:highlight w:val="none"/>
        </w:rPr>
        <w:t>投标人具有业内领先的信息安全自动化渗透测试工具，可以根据可编程平台提供的接口编写自己的攻击插件，实现自定义的攻击需求（提供相应功能截图并加盖投标人公章）得</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分，为本项目提供先进技术素材支持的，满足得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fldChar w:fldCharType="begin"/>
      </w:r>
      <w:r>
        <w:rPr>
          <w:rFonts w:hint="eastAsia" w:ascii="宋体" w:hAnsi="宋体" w:cs="宋体"/>
          <w:color w:val="auto"/>
          <w:kern w:val="0"/>
          <w:sz w:val="21"/>
          <w:szCs w:val="21"/>
          <w:highlight w:val="none"/>
          <w:lang w:val="en-US" w:eastAsia="zh-CN"/>
        </w:rPr>
        <w:instrText xml:space="preserve"> = 5 \* GB3 \* MERGEFORMAT </w:instrText>
      </w:r>
      <w:r>
        <w:rPr>
          <w:rFonts w:hint="eastAsia" w:ascii="宋体" w:hAnsi="宋体" w:cs="宋体"/>
          <w:color w:val="auto"/>
          <w:kern w:val="0"/>
          <w:sz w:val="21"/>
          <w:szCs w:val="21"/>
          <w:highlight w:val="none"/>
          <w:lang w:val="en-US" w:eastAsia="zh-CN"/>
        </w:rPr>
        <w:fldChar w:fldCharType="separate"/>
      </w:r>
      <w:r>
        <w:rPr>
          <w:color w:val="auto"/>
          <w:highlight w:val="none"/>
        </w:rPr>
        <w:t>⑤</w:t>
      </w:r>
      <w:r>
        <w:rPr>
          <w:rFonts w:hint="eastAsia" w:ascii="宋体" w:hAnsi="宋体" w:cs="宋体"/>
          <w:color w:val="auto"/>
          <w:kern w:val="0"/>
          <w:sz w:val="21"/>
          <w:szCs w:val="21"/>
          <w:highlight w:val="none"/>
          <w:lang w:val="en-US" w:eastAsia="zh-CN"/>
        </w:rPr>
        <w:fldChar w:fldCharType="end"/>
      </w:r>
      <w:r>
        <w:rPr>
          <w:rFonts w:hint="eastAsia" w:ascii="宋体" w:hAnsi="宋体" w:eastAsia="宋体" w:cs="宋体"/>
          <w:color w:val="auto"/>
          <w:kern w:val="0"/>
          <w:sz w:val="21"/>
          <w:szCs w:val="21"/>
          <w:highlight w:val="none"/>
        </w:rPr>
        <w:t>投标人具有业内领先的信息安全自动化渗透测试工具，可利用http协议、DNS协议等远程获取外带数据；可通过内置的方法反弹交互shell到平台，执行vim、交互执行操作等功能（提供相应功能截图并加盖投标人公章），可为本项目提供先进技术素材支持的，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2" w:firstLineChars="20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rPr>
        <w:t>、商务分……………………………………………………………………………………</w:t>
      </w:r>
      <w:r>
        <w:rPr>
          <w:rFonts w:ascii="宋体" w:hAnsi="宋体" w:eastAsia="宋体" w:cs="宋体"/>
          <w:b/>
          <w:color w:val="auto"/>
          <w:kern w:val="0"/>
          <w:sz w:val="21"/>
          <w:szCs w:val="21"/>
          <w:highlight w:val="none"/>
        </w:rPr>
        <w:t>25</w:t>
      </w:r>
      <w:r>
        <w:rPr>
          <w:rFonts w:hint="eastAsia" w:ascii="宋体" w:hAnsi="宋体" w:eastAsia="宋体" w:cs="宋体"/>
          <w:b/>
          <w:color w:val="auto"/>
          <w:kern w:val="0"/>
          <w:sz w:val="21"/>
          <w:szCs w:val="21"/>
          <w:highlight w:val="none"/>
        </w:rPr>
        <w:t>分</w:t>
      </w:r>
    </w:p>
    <w:p>
      <w:pPr>
        <w:spacing w:line="360" w:lineRule="auto"/>
        <w:ind w:left="315" w:leftChars="150"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1）投标人通过ISO</w:t>
      </w:r>
      <w:r>
        <w:rPr>
          <w:rFonts w:ascii="宋体" w:hAnsi="宋体" w:eastAsia="宋体" w:cs="宋体"/>
          <w:color w:val="auto"/>
          <w:kern w:val="0"/>
          <w:sz w:val="21"/>
          <w:szCs w:val="21"/>
          <w:highlight w:val="none"/>
        </w:rPr>
        <w:t> </w:t>
      </w:r>
      <w:r>
        <w:rPr>
          <w:rFonts w:hint="eastAsia" w:ascii="宋体" w:hAnsi="宋体" w:eastAsia="宋体" w:cs="宋体"/>
          <w:color w:val="auto"/>
          <w:kern w:val="0"/>
          <w:sz w:val="21"/>
          <w:szCs w:val="21"/>
          <w:highlight w:val="none"/>
        </w:rPr>
        <w:t>9001质量管理体系认证的，提供相关证明复印件及官网查询证明截图并加盖供应商公章，得2分；</w:t>
      </w:r>
    </w:p>
    <w:p>
      <w:pPr>
        <w:spacing w:line="360" w:lineRule="auto"/>
        <w:ind w:left="315" w:leftChars="150"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）投标人通过ISO</w:t>
      </w:r>
      <w:r>
        <w:rPr>
          <w:rFonts w:ascii="宋体" w:hAnsi="宋体" w:eastAsia="宋体" w:cs="宋体"/>
          <w:color w:val="auto"/>
          <w:kern w:val="0"/>
          <w:sz w:val="21"/>
          <w:szCs w:val="21"/>
          <w:highlight w:val="none"/>
        </w:rPr>
        <w:t> </w:t>
      </w:r>
      <w:r>
        <w:rPr>
          <w:rFonts w:hint="eastAsia" w:ascii="宋体" w:hAnsi="宋体" w:eastAsia="宋体" w:cs="宋体"/>
          <w:color w:val="auto"/>
          <w:kern w:val="0"/>
          <w:sz w:val="21"/>
          <w:szCs w:val="21"/>
          <w:highlight w:val="none"/>
        </w:rPr>
        <w:t>20000</w:t>
      </w:r>
      <w:r>
        <w:rPr>
          <w:rFonts w:ascii="宋体" w:hAnsi="宋体" w:eastAsia="宋体" w:cs="宋体"/>
          <w:color w:val="auto"/>
          <w:kern w:val="0"/>
          <w:sz w:val="21"/>
          <w:szCs w:val="21"/>
          <w:highlight w:val="none"/>
        </w:rPr>
        <w:t> </w:t>
      </w:r>
      <w:r>
        <w:rPr>
          <w:rFonts w:hint="eastAsia" w:ascii="宋体" w:hAnsi="宋体" w:eastAsia="宋体" w:cs="宋体"/>
          <w:color w:val="auto"/>
          <w:kern w:val="0"/>
          <w:sz w:val="21"/>
          <w:szCs w:val="21"/>
          <w:highlight w:val="none"/>
        </w:rPr>
        <w:t>IT服务管理体系认证的，提供相关证明复印件及官网查询证明截图并加盖供应商公章，得2分；</w:t>
      </w:r>
    </w:p>
    <w:p>
      <w:pPr>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）投标人具有良好的商业信用，获得第三方机构认定AAA信用等级的，提供相关证明复印件及官网查询证明截图并加盖供应商公章，得</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）投标人具有中国信息安全测评中心颁发的注册信息安全专业人员</w:t>
      </w:r>
      <w:r>
        <w:rPr>
          <w:rFonts w:ascii="宋体" w:hAnsi="宋体" w:eastAsia="宋体" w:cs="宋体"/>
          <w:color w:val="auto"/>
          <w:kern w:val="0"/>
          <w:sz w:val="21"/>
          <w:szCs w:val="21"/>
          <w:highlight w:val="none"/>
        </w:rPr>
        <w:t>CI</w:t>
      </w:r>
      <w:r>
        <w:rPr>
          <w:rFonts w:hint="eastAsia" w:ascii="宋体" w:hAnsi="宋体" w:eastAsia="宋体" w:cs="宋体"/>
          <w:color w:val="auto"/>
          <w:kern w:val="0"/>
          <w:sz w:val="21"/>
          <w:szCs w:val="21"/>
          <w:highlight w:val="none"/>
        </w:rPr>
        <w:t>SP证书的，提供相关技术人员的职称或资格证书复印件和近 3 个月的社保证明，每一个得1分，满分</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left="145" w:leftChars="69"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）投标人具有优秀的网络、安全工程技术能力，项目人员具有华为，思科，红帽等主流网络设备生产厂商的HCIE、</w:t>
      </w:r>
      <w:r>
        <w:rPr>
          <w:rFonts w:ascii="宋体" w:hAnsi="宋体" w:eastAsia="宋体" w:cs="宋体"/>
          <w:color w:val="auto"/>
          <w:kern w:val="0"/>
          <w:sz w:val="21"/>
          <w:szCs w:val="21"/>
          <w:highlight w:val="none"/>
        </w:rPr>
        <w:t>CC</w:t>
      </w:r>
      <w:r>
        <w:rPr>
          <w:rFonts w:hint="eastAsia" w:ascii="宋体" w:hAnsi="宋体" w:eastAsia="宋体" w:cs="宋体"/>
          <w:color w:val="auto"/>
          <w:kern w:val="0"/>
          <w:sz w:val="21"/>
          <w:szCs w:val="21"/>
          <w:highlight w:val="none"/>
        </w:rPr>
        <w:t>IE、</w:t>
      </w:r>
      <w:r>
        <w:rPr>
          <w:rFonts w:ascii="宋体" w:hAnsi="宋体" w:eastAsia="宋体" w:cs="宋体"/>
          <w:color w:val="auto"/>
          <w:kern w:val="0"/>
          <w:sz w:val="21"/>
          <w:szCs w:val="21"/>
          <w:highlight w:val="none"/>
        </w:rPr>
        <w:t>RHCA</w:t>
      </w:r>
      <w:r>
        <w:rPr>
          <w:rFonts w:hint="eastAsia" w:ascii="宋体" w:hAnsi="宋体" w:eastAsia="宋体" w:cs="宋体"/>
          <w:color w:val="auto"/>
          <w:kern w:val="0"/>
          <w:sz w:val="21"/>
          <w:szCs w:val="21"/>
          <w:highlight w:val="none"/>
        </w:rPr>
        <w:t>专家认证证书的（提供相关技术人员的证书复印件和近3个月的社保证明，原件备查），得2分。</w:t>
      </w:r>
    </w:p>
    <w:p>
      <w:pPr>
        <w:spacing w:line="360" w:lineRule="auto"/>
        <w:ind w:left="145" w:leftChars="69"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）投标人具有丰富的校企合作开发经验，如合同复印件等，每份得1分，满分5分。</w:t>
      </w:r>
      <w:r>
        <w:rPr>
          <w:rFonts w:ascii="宋体" w:hAnsi="宋体" w:eastAsia="宋体" w:cs="宋体"/>
          <w:color w:val="auto"/>
          <w:kern w:val="0"/>
          <w:sz w:val="21"/>
          <w:szCs w:val="21"/>
          <w:highlight w:val="none"/>
        </w:rPr>
        <w:t> </w:t>
      </w:r>
    </w:p>
    <w:p>
      <w:pPr>
        <w:spacing w:line="360" w:lineRule="auto"/>
        <w:ind w:left="145" w:leftChars="69" w:firstLine="420" w:firstLineChars="200"/>
        <w:jc w:val="left"/>
        <w:rPr>
          <w:rFonts w:hint="eastAsia" w:ascii="宋体" w:hAnsi="宋体" w:eastAsia="宋体" w:cs="宋体"/>
          <w:color w:val="auto"/>
          <w:kern w:val="0"/>
          <w:sz w:val="21"/>
          <w:szCs w:val="21"/>
          <w:highlight w:val="none"/>
          <w:lang w:eastAsia="zh-CN"/>
        </w:rPr>
      </w:pPr>
      <w:r>
        <w:rPr>
          <w:rFonts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rPr>
        <w:t>）投标人可提供真实的网络、安全工程项目素材供项目使用。要求响应文件中提交真实的网络、安全工程项目政府采购中标（成交）公告以及合同复印件；，每份得2分，满分10分</w:t>
      </w:r>
      <w:r>
        <w:rPr>
          <w:rFonts w:hint="eastAsia" w:ascii="宋体" w:hAnsi="宋体" w:eastAsia="宋体" w:cs="宋体"/>
          <w:color w:val="auto"/>
          <w:kern w:val="0"/>
          <w:sz w:val="21"/>
          <w:szCs w:val="21"/>
          <w:highlight w:val="none"/>
          <w:lang w:eastAsia="zh-CN"/>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诚信分………………………………………………（-6分）</w:t>
      </w:r>
    </w:p>
    <w:p>
      <w:pPr>
        <w:spacing w:line="360" w:lineRule="auto"/>
        <w:ind w:firstLine="420" w:firstLineChars="200"/>
        <w:rPr>
          <w:rFonts w:hint="eastAsia"/>
          <w:color w:val="auto"/>
          <w:highlight w:val="none"/>
          <w:lang w:eastAsia="zh-CN"/>
        </w:rPr>
      </w:pPr>
      <w:r>
        <w:rPr>
          <w:rFonts w:ascii="宋体" w:hAnsi="宋体"/>
          <w:color w:val="auto"/>
          <w:szCs w:val="21"/>
          <w:highlight w:val="none"/>
        </w:rPr>
        <w:t>投标人在截标日前一年内在政府采购活动中存在违约违规情形的（以财政部门书面认定材料为评分依据），每次扣除3分，最高扣6分。不存在违约违规情形的本项为0分。(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ind w:firstLine="422" w:firstLineChars="200"/>
        <w:jc w:val="left"/>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（三）总得分＝</w:t>
      </w:r>
      <w:r>
        <w:rPr>
          <w:rFonts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rPr>
        <w:t>＋</w:t>
      </w:r>
      <w:r>
        <w:rPr>
          <w:rFonts w:ascii="宋体" w:hAnsi="宋体" w:eastAsia="宋体" w:cs="宋体"/>
          <w:b/>
          <w:color w:val="auto"/>
          <w:kern w:val="0"/>
          <w:sz w:val="21"/>
          <w:szCs w:val="21"/>
          <w:highlight w:val="none"/>
        </w:rPr>
        <w:t>2</w:t>
      </w:r>
      <w:r>
        <w:rPr>
          <w:rFonts w:hint="eastAsia" w:ascii="宋体" w:hAnsi="宋体" w:eastAsia="宋体" w:cs="宋体"/>
          <w:b/>
          <w:color w:val="auto"/>
          <w:kern w:val="0"/>
          <w:sz w:val="21"/>
          <w:szCs w:val="21"/>
          <w:highlight w:val="none"/>
        </w:rPr>
        <w:t>＋</w:t>
      </w:r>
      <w:r>
        <w:rPr>
          <w:rFonts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lang w:val="en-US" w:eastAsia="zh-CN"/>
        </w:rPr>
        <w:t>+4</w:t>
      </w:r>
      <w:r>
        <w:rPr>
          <w:rFonts w:hint="eastAsia" w:ascii="宋体" w:hAnsi="宋体" w:eastAsia="宋体" w:cs="宋体"/>
          <w:b/>
          <w:color w:val="auto"/>
          <w:kern w:val="0"/>
          <w:sz w:val="21"/>
          <w:szCs w:val="21"/>
          <w:highlight w:val="none"/>
        </w:rPr>
        <w:t>。</w:t>
      </w:r>
    </w:p>
    <w:p>
      <w:pPr>
        <w:pStyle w:val="18"/>
        <w:spacing w:line="360" w:lineRule="auto"/>
        <w:rPr>
          <w:rFonts w:hint="eastAsia" w:hAnsi="宋体" w:cs="宋体"/>
          <w:b/>
          <w:bCs/>
          <w:color w:val="auto"/>
          <w:highlight w:val="none"/>
        </w:rPr>
      </w:pPr>
      <w:r>
        <w:rPr>
          <w:rFonts w:hint="eastAsia" w:ascii="宋体" w:hAnsi="宋体" w:eastAsia="宋体" w:cs="宋体"/>
          <w:color w:val="auto"/>
          <w:kern w:val="0"/>
          <w:sz w:val="21"/>
          <w:szCs w:val="21"/>
          <w:highlight w:val="none"/>
        </w:rPr>
        <w:t>（四）中标标准：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tabs>
          <w:tab w:val="left" w:pos="2757"/>
        </w:tabs>
        <w:spacing w:line="380" w:lineRule="exact"/>
        <w:rPr>
          <w:rFonts w:hint="eastAsia" w:ascii="Times New Roman" w:hAnsi="Times New Roman" w:eastAsia="宋体"/>
          <w:b/>
          <w:color w:val="auto"/>
          <w:sz w:val="36"/>
          <w:highlight w:val="none"/>
          <w:lang w:eastAsia="zh-CN"/>
        </w:rPr>
      </w:pPr>
    </w:p>
    <w:p>
      <w:pPr>
        <w:pStyle w:val="18"/>
        <w:spacing w:line="380" w:lineRule="exact"/>
        <w:ind w:firstLine="2891" w:firstLineChars="800"/>
        <w:outlineLvl w:val="0"/>
        <w:rPr>
          <w:rFonts w:hAnsi="宋体"/>
          <w:b/>
          <w:color w:val="auto"/>
          <w:sz w:val="36"/>
          <w:szCs w:val="36"/>
          <w:highlight w:val="none"/>
        </w:rPr>
      </w:pPr>
      <w:bookmarkStart w:id="51" w:name="_Toc12273"/>
      <w:r>
        <w:rPr>
          <w:rFonts w:hint="eastAsia" w:ascii="Times New Roman" w:hAnsi="Times New Roman"/>
          <w:b/>
          <w:color w:val="auto"/>
          <w:sz w:val="36"/>
          <w:highlight w:val="none"/>
        </w:rPr>
        <w:t>第四章  投标人须知</w:t>
      </w:r>
      <w:bookmarkEnd w:id="3"/>
      <w:bookmarkEnd w:id="4"/>
      <w:bookmarkEnd w:id="49"/>
      <w:bookmarkEnd w:id="50"/>
      <w:bookmarkEnd w:id="51"/>
      <w:bookmarkStart w:id="52" w:name="_Toc213326415"/>
    </w:p>
    <w:p>
      <w:pPr>
        <w:pStyle w:val="18"/>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bookmarkEnd w:id="52"/>
      <w:r>
        <w:rPr>
          <w:rFonts w:hint="eastAsia" w:ascii="Times New Roman" w:hAnsi="Times New Roman"/>
          <w:b/>
          <w:color w:val="auto"/>
          <w:sz w:val="30"/>
          <w:szCs w:val="30"/>
          <w:highlight w:val="none"/>
        </w:rPr>
        <w:t xml:space="preserve"> </w:t>
      </w:r>
    </w:p>
    <w:tbl>
      <w:tblPr>
        <w:tblStyle w:val="3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389"/>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b/>
                <w:color w:val="auto"/>
                <w:szCs w:val="21"/>
                <w:highlight w:val="none"/>
              </w:rPr>
            </w:pPr>
            <w:r>
              <w:rPr>
                <w:rFonts w:hint="eastAsia" w:hAnsi="宋体"/>
                <w:b/>
                <w:color w:val="auto"/>
                <w:szCs w:val="21"/>
                <w:highlight w:val="none"/>
              </w:rPr>
              <w:t>条款号</w:t>
            </w:r>
          </w:p>
        </w:tc>
        <w:tc>
          <w:tcPr>
            <w:tcW w:w="2389" w:type="dxa"/>
            <w:vAlign w:val="center"/>
          </w:tcPr>
          <w:p>
            <w:pPr>
              <w:pStyle w:val="18"/>
              <w:spacing w:line="240" w:lineRule="atLeast"/>
              <w:jc w:val="center"/>
              <w:rPr>
                <w:rFonts w:hAnsi="宋体"/>
                <w:b/>
                <w:color w:val="auto"/>
                <w:szCs w:val="21"/>
                <w:highlight w:val="none"/>
              </w:rPr>
            </w:pPr>
            <w:r>
              <w:rPr>
                <w:rFonts w:hint="eastAsia" w:hAnsi="宋体"/>
                <w:b/>
                <w:color w:val="auto"/>
                <w:szCs w:val="21"/>
                <w:highlight w:val="none"/>
              </w:rPr>
              <w:t>条款名称</w:t>
            </w:r>
          </w:p>
        </w:tc>
        <w:tc>
          <w:tcPr>
            <w:tcW w:w="6484" w:type="dxa"/>
          </w:tcPr>
          <w:p>
            <w:pPr>
              <w:pStyle w:val="18"/>
              <w:spacing w:line="240" w:lineRule="atLeast"/>
              <w:jc w:val="center"/>
              <w:rPr>
                <w:rFonts w:hAnsi="宋体"/>
                <w:b/>
                <w:color w:val="auto"/>
                <w:szCs w:val="21"/>
                <w:highlight w:val="none"/>
              </w:rPr>
            </w:pPr>
            <w:r>
              <w:rPr>
                <w:rFonts w:hint="eastAsia" w:hAnsi="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采购人</w:t>
            </w:r>
          </w:p>
        </w:tc>
        <w:tc>
          <w:tcPr>
            <w:tcW w:w="6484" w:type="dxa"/>
            <w:vAlign w:val="center"/>
          </w:tcPr>
          <w:p>
            <w:pPr>
              <w:pStyle w:val="18"/>
              <w:spacing w:line="360" w:lineRule="exact"/>
              <w:rPr>
                <w:rFonts w:cs="宋体"/>
                <w:color w:val="auto"/>
                <w:szCs w:val="21"/>
                <w:highlight w:val="none"/>
              </w:rPr>
            </w:pPr>
            <w:r>
              <w:rPr>
                <w:rFonts w:cs="宋体"/>
                <w:color w:val="auto"/>
                <w:szCs w:val="21"/>
                <w:highlight w:val="none"/>
              </w:rPr>
              <w:t>名称：</w:t>
            </w:r>
            <w:r>
              <w:rPr>
                <w:rFonts w:hint="eastAsia" w:cs="宋体"/>
                <w:color w:val="auto"/>
                <w:szCs w:val="21"/>
                <w:highlight w:val="none"/>
              </w:rPr>
              <w:t>南宁职业技术学院</w:t>
            </w:r>
          </w:p>
          <w:p>
            <w:pPr>
              <w:pStyle w:val="18"/>
              <w:spacing w:line="360" w:lineRule="exact"/>
              <w:rPr>
                <w:color w:val="auto"/>
                <w:highlight w:val="none"/>
              </w:rPr>
            </w:pPr>
            <w:r>
              <w:rPr>
                <w:rFonts w:hint="eastAsia"/>
                <w:color w:val="auto"/>
                <w:highlight w:val="none"/>
              </w:rPr>
              <w:t xml:space="preserve">联系人：莫老师，联系电话：0771-2029355 </w:t>
            </w:r>
          </w:p>
          <w:p>
            <w:pPr>
              <w:pStyle w:val="18"/>
              <w:spacing w:line="240" w:lineRule="atLeast"/>
              <w:rPr>
                <w:rFonts w:hAnsi="宋体" w:cs="Arial"/>
                <w:color w:val="auto"/>
                <w:szCs w:val="21"/>
                <w:highlight w:val="none"/>
                <w:u w:val="single"/>
              </w:rPr>
            </w:pPr>
            <w:r>
              <w:rPr>
                <w:rFonts w:hint="eastAsia"/>
                <w:color w:val="auto"/>
                <w:highlight w:val="none"/>
              </w:rPr>
              <w:t xml:space="preserve">联系地址：广西南宁市西乡塘区大学西路169号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1.2</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采购代理机构</w:t>
            </w:r>
          </w:p>
        </w:tc>
        <w:tc>
          <w:tcPr>
            <w:tcW w:w="6484" w:type="dxa"/>
            <w:vAlign w:val="center"/>
          </w:tcPr>
          <w:p>
            <w:pPr>
              <w:pStyle w:val="18"/>
              <w:spacing w:line="360" w:lineRule="exact"/>
              <w:rPr>
                <w:color w:val="auto"/>
                <w:highlight w:val="none"/>
              </w:rPr>
            </w:pPr>
            <w:r>
              <w:rPr>
                <w:rFonts w:hint="eastAsia"/>
                <w:color w:val="auto"/>
                <w:highlight w:val="none"/>
              </w:rPr>
              <w:t xml:space="preserve">名称：中昕国际项目管理有限公司 </w:t>
            </w:r>
          </w:p>
          <w:p>
            <w:pPr>
              <w:pStyle w:val="18"/>
              <w:spacing w:line="360" w:lineRule="exact"/>
              <w:rPr>
                <w:color w:val="auto"/>
                <w:highlight w:val="none"/>
              </w:rPr>
            </w:pPr>
            <w:r>
              <w:rPr>
                <w:rFonts w:hint="eastAsia"/>
                <w:color w:val="auto"/>
                <w:highlight w:val="none"/>
              </w:rPr>
              <w:t>地址：</w:t>
            </w:r>
            <w:r>
              <w:rPr>
                <w:rFonts w:hint="eastAsia" w:hAnsi="宋体" w:cs="Arial"/>
                <w:color w:val="auto"/>
                <w:kern w:val="1"/>
                <w:szCs w:val="21"/>
                <w:highlight w:val="none"/>
              </w:rPr>
              <w:t>南宁市青秀区枫林路11号枫林蓝岸1号楼1单元1101号。</w:t>
            </w:r>
          </w:p>
          <w:p>
            <w:pPr>
              <w:pStyle w:val="18"/>
              <w:spacing w:line="360" w:lineRule="exact"/>
              <w:rPr>
                <w:color w:val="auto"/>
                <w:highlight w:val="none"/>
              </w:rPr>
            </w:pPr>
            <w:r>
              <w:rPr>
                <w:rFonts w:hint="eastAsia"/>
                <w:color w:val="auto"/>
                <w:highlight w:val="none"/>
              </w:rPr>
              <w:t xml:space="preserve">项目联系人：余晖 </w:t>
            </w:r>
          </w:p>
          <w:p>
            <w:pPr>
              <w:pStyle w:val="18"/>
              <w:spacing w:line="360" w:lineRule="exact"/>
              <w:rPr>
                <w:color w:val="auto"/>
                <w:highlight w:val="none"/>
              </w:rPr>
            </w:pPr>
            <w:r>
              <w:rPr>
                <w:rFonts w:hint="eastAsia"/>
                <w:color w:val="auto"/>
                <w:highlight w:val="none"/>
              </w:rPr>
              <w:t>联系电话：</w:t>
            </w:r>
            <w:bookmarkStart w:id="53" w:name="CgwjmbEntity：TEL_0"/>
            <w:bookmarkEnd w:id="53"/>
            <w:r>
              <w:rPr>
                <w:rFonts w:hint="eastAsia"/>
                <w:color w:val="auto"/>
                <w:highlight w:val="none"/>
              </w:rPr>
              <w:t>0771-5670450</w:t>
            </w:r>
          </w:p>
          <w:p>
            <w:pPr>
              <w:pStyle w:val="18"/>
              <w:spacing w:line="240" w:lineRule="atLeast"/>
              <w:rPr>
                <w:rFonts w:hAnsi="宋体"/>
                <w:color w:val="auto"/>
                <w:szCs w:val="21"/>
                <w:highlight w:val="none"/>
              </w:rPr>
            </w:pPr>
            <w:r>
              <w:rPr>
                <w:rFonts w:hint="eastAsia"/>
                <w:color w:val="auto"/>
                <w:highlight w:val="none"/>
              </w:rPr>
              <w:t>传真电话：0771-5670645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1.3</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项目名称</w:t>
            </w:r>
          </w:p>
        </w:tc>
        <w:tc>
          <w:tcPr>
            <w:tcW w:w="6484" w:type="dxa"/>
            <w:vAlign w:val="center"/>
          </w:tcPr>
          <w:p>
            <w:pPr>
              <w:pStyle w:val="18"/>
              <w:spacing w:line="240" w:lineRule="atLeast"/>
              <w:rPr>
                <w:rFonts w:hint="eastAsia" w:hAnsi="宋体" w:eastAsia="宋体"/>
                <w:color w:val="auto"/>
                <w:szCs w:val="21"/>
                <w:highlight w:val="none"/>
                <w:lang w:eastAsia="zh-CN"/>
              </w:rPr>
            </w:pPr>
            <w:r>
              <w:rPr>
                <w:rFonts w:hint="eastAsia" w:hAnsi="宋体"/>
                <w:color w:val="auto"/>
                <w:szCs w:val="21"/>
                <w:highlight w:val="none"/>
                <w:lang w:eastAsia="zh-CN"/>
              </w:rPr>
              <w:t>南宁职业技术学院软件技术专业群2020年度“双高”课程资源建设采购（重）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1.4</w:t>
            </w:r>
          </w:p>
        </w:tc>
        <w:tc>
          <w:tcPr>
            <w:tcW w:w="2389" w:type="dxa"/>
            <w:vAlign w:val="center"/>
          </w:tcPr>
          <w:p>
            <w:pPr>
              <w:pStyle w:val="18"/>
              <w:spacing w:line="240" w:lineRule="atLeast"/>
              <w:jc w:val="center"/>
              <w:rPr>
                <w:rFonts w:hint="eastAsia" w:hAnsi="宋体"/>
                <w:color w:val="auto"/>
                <w:szCs w:val="21"/>
                <w:highlight w:val="none"/>
              </w:rPr>
            </w:pPr>
            <w:r>
              <w:rPr>
                <w:rFonts w:hint="eastAsia" w:hAnsi="宋体"/>
                <w:color w:val="auto"/>
                <w:szCs w:val="21"/>
                <w:highlight w:val="none"/>
              </w:rPr>
              <w:t>项目编号</w:t>
            </w:r>
          </w:p>
        </w:tc>
        <w:tc>
          <w:tcPr>
            <w:tcW w:w="6484" w:type="dxa"/>
            <w:vAlign w:val="center"/>
          </w:tcPr>
          <w:p>
            <w:pPr>
              <w:pStyle w:val="18"/>
              <w:spacing w:line="240" w:lineRule="atLeast"/>
              <w:jc w:val="both"/>
              <w:rPr>
                <w:rFonts w:hint="eastAsia" w:hAnsi="宋体"/>
                <w:color w:val="auto"/>
                <w:szCs w:val="21"/>
                <w:highlight w:val="none"/>
              </w:rPr>
            </w:pPr>
            <w:r>
              <w:rPr>
                <w:rFonts w:hint="eastAsia" w:hAnsi="宋体"/>
                <w:color w:val="auto"/>
                <w:szCs w:val="21"/>
                <w:highlight w:val="none"/>
              </w:rPr>
              <w:t>NNZC2020-G3-990639-ZXGJ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预算金额</w:t>
            </w:r>
          </w:p>
        </w:tc>
        <w:tc>
          <w:tcPr>
            <w:tcW w:w="6484" w:type="dxa"/>
            <w:vAlign w:val="center"/>
          </w:tcPr>
          <w:p>
            <w:pPr>
              <w:pStyle w:val="18"/>
              <w:spacing w:line="240" w:lineRule="atLeast"/>
              <w:rPr>
                <w:rFonts w:hint="eastAsia" w:hAnsi="宋体"/>
                <w:color w:val="auto"/>
                <w:szCs w:val="21"/>
                <w:highlight w:val="none"/>
              </w:rPr>
            </w:pPr>
            <w:r>
              <w:rPr>
                <w:rFonts w:hint="eastAsia" w:hAnsi="宋体"/>
                <w:color w:val="auto"/>
                <w:szCs w:val="21"/>
                <w:highlight w:val="none"/>
              </w:rPr>
              <w:t>C分标：壹拾万零伍仟元整（￥105000.00）；</w:t>
            </w:r>
          </w:p>
          <w:p>
            <w:pPr>
              <w:pStyle w:val="18"/>
              <w:spacing w:line="240" w:lineRule="atLeast"/>
              <w:rPr>
                <w:rFonts w:hint="eastAsia" w:hAnsi="宋体" w:eastAsia="宋体"/>
                <w:color w:val="auto"/>
                <w:szCs w:val="21"/>
                <w:highlight w:val="none"/>
                <w:lang w:val="en-US" w:eastAsia="zh-CN"/>
              </w:rPr>
            </w:pPr>
            <w:r>
              <w:rPr>
                <w:rFonts w:hint="eastAsia" w:hAnsi="宋体"/>
                <w:color w:val="auto"/>
                <w:szCs w:val="21"/>
                <w:highlight w:val="none"/>
              </w:rPr>
              <w:t>D分标：贰拾贰万伍仟元整（￥225000.00 ）</w:t>
            </w:r>
            <w:r>
              <w:rPr>
                <w:rFonts w:hint="eastAsia" w:hAnsi="宋体"/>
                <w:color w:val="auto"/>
                <w:szCs w:val="21"/>
                <w:highlight w:val="none"/>
                <w:lang w:eastAsia="zh-CN"/>
              </w:rPr>
              <w:t>。</w:t>
            </w:r>
            <w:r>
              <w:rPr>
                <w:rFonts w:hint="eastAsia"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1.7</w:t>
            </w:r>
          </w:p>
        </w:tc>
        <w:tc>
          <w:tcPr>
            <w:tcW w:w="2389" w:type="dxa"/>
            <w:vAlign w:val="center"/>
          </w:tcPr>
          <w:p>
            <w:pPr>
              <w:pStyle w:val="18"/>
              <w:spacing w:line="360" w:lineRule="exact"/>
              <w:jc w:val="center"/>
              <w:rPr>
                <w:rFonts w:hAnsi="宋体"/>
                <w:color w:val="auto"/>
                <w:szCs w:val="21"/>
                <w:highlight w:val="none"/>
              </w:rPr>
            </w:pPr>
            <w:r>
              <w:rPr>
                <w:rFonts w:hint="eastAsia" w:hAnsi="宋体"/>
                <w:color w:val="auto"/>
                <w:szCs w:val="21"/>
                <w:highlight w:val="none"/>
              </w:rPr>
              <w:t>获取招标文件的时间、地点、方式及招标文件售价</w:t>
            </w:r>
          </w:p>
        </w:tc>
        <w:tc>
          <w:tcPr>
            <w:tcW w:w="6484" w:type="dxa"/>
            <w:vAlign w:val="center"/>
          </w:tcPr>
          <w:p>
            <w:pPr>
              <w:pStyle w:val="18"/>
              <w:spacing w:line="240" w:lineRule="atLeast"/>
              <w:rPr>
                <w:rFonts w:hAnsi="宋体" w:cs="Arial"/>
                <w:color w:val="auto"/>
                <w:szCs w:val="21"/>
                <w:highlight w:val="none"/>
              </w:rPr>
            </w:pPr>
            <w:r>
              <w:rPr>
                <w:rFonts w:hint="eastAsia" w:hAnsi="宋体" w:cs="Arial"/>
                <w:color w:val="auto"/>
                <w:szCs w:val="21"/>
                <w:highlight w:val="none"/>
              </w:rPr>
              <w:t>时间：自公告发布之日起。</w:t>
            </w:r>
          </w:p>
          <w:p>
            <w:pPr>
              <w:pStyle w:val="18"/>
              <w:spacing w:line="240" w:lineRule="atLeast"/>
              <w:rPr>
                <w:rFonts w:hAnsi="宋体" w:cs="Arial"/>
                <w:color w:val="auto"/>
                <w:szCs w:val="21"/>
                <w:highlight w:val="none"/>
              </w:rPr>
            </w:pPr>
            <w:r>
              <w:rPr>
                <w:rFonts w:hint="eastAsia" w:hAnsi="宋体" w:cs="Arial"/>
                <w:color w:val="auto"/>
                <w:szCs w:val="21"/>
                <w:highlight w:val="none"/>
              </w:rPr>
              <w:t>方式: 本项目不发放纸质文件，供应商自行在南宁市公共资源交易平</w:t>
            </w:r>
          </w:p>
          <w:p>
            <w:pPr>
              <w:pStyle w:val="18"/>
              <w:spacing w:line="240" w:lineRule="atLeast"/>
              <w:rPr>
                <w:rFonts w:hAnsi="宋体" w:cs="Arial"/>
                <w:color w:val="auto"/>
                <w:szCs w:val="21"/>
                <w:highlight w:val="none"/>
              </w:rPr>
            </w:pPr>
            <w:r>
              <w:rPr>
                <w:rFonts w:hint="eastAsia" w:hAnsi="宋体" w:cs="Arial"/>
                <w:color w:val="auto"/>
                <w:szCs w:val="21"/>
                <w:highlight w:val="none"/>
              </w:rPr>
              <w:t>台(http://www.nnggzy.net/)的信息公告处下载采购文件（具体操作</w:t>
            </w:r>
          </w:p>
          <w:p>
            <w:pPr>
              <w:pStyle w:val="18"/>
              <w:spacing w:line="240" w:lineRule="atLeast"/>
              <w:rPr>
                <w:rFonts w:hAnsi="宋体" w:cs="Arial"/>
                <w:color w:val="auto"/>
                <w:szCs w:val="21"/>
                <w:highlight w:val="none"/>
              </w:rPr>
            </w:pPr>
            <w:r>
              <w:rPr>
                <w:rFonts w:hint="eastAsia" w:hAnsi="宋体" w:cs="Arial"/>
                <w:color w:val="auto"/>
                <w:szCs w:val="21"/>
                <w:highlight w:val="none"/>
              </w:rPr>
              <w:t>方法参见南宁市公共资源交易中心门户网站办事指南中的“投标单位</w:t>
            </w:r>
          </w:p>
          <w:p>
            <w:pPr>
              <w:pStyle w:val="18"/>
              <w:spacing w:line="240" w:lineRule="atLeast"/>
              <w:rPr>
                <w:rFonts w:hAnsi="宋体" w:cs="Arial"/>
                <w:color w:val="auto"/>
                <w:szCs w:val="21"/>
                <w:highlight w:val="none"/>
              </w:rPr>
            </w:pPr>
            <w:r>
              <w:rPr>
                <w:rFonts w:hint="eastAsia" w:hAnsi="宋体" w:cs="Arial"/>
                <w:color w:val="auto"/>
                <w:szCs w:val="21"/>
                <w:highlight w:val="none"/>
              </w:rPr>
              <w:t>下载采购文件等文件的操作指南”）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3.4</w:t>
            </w:r>
          </w:p>
        </w:tc>
        <w:tc>
          <w:tcPr>
            <w:tcW w:w="2389" w:type="dxa"/>
            <w:vAlign w:val="center"/>
          </w:tcPr>
          <w:p>
            <w:pPr>
              <w:pStyle w:val="18"/>
              <w:spacing w:line="240" w:lineRule="atLeast"/>
              <w:jc w:val="center"/>
              <w:rPr>
                <w:rFonts w:hAnsi="宋体"/>
                <w:color w:val="auto"/>
                <w:szCs w:val="21"/>
                <w:highlight w:val="none"/>
              </w:rPr>
            </w:pPr>
            <w:r>
              <w:rPr>
                <w:rFonts w:hint="eastAsia" w:hAnsi="宋体"/>
                <w:bCs/>
                <w:color w:val="auto"/>
                <w:szCs w:val="21"/>
                <w:highlight w:val="none"/>
              </w:rPr>
              <w:t>投标人应具备的特定资格条件</w:t>
            </w:r>
          </w:p>
        </w:tc>
        <w:tc>
          <w:tcPr>
            <w:tcW w:w="6484" w:type="dxa"/>
            <w:vAlign w:val="center"/>
          </w:tcPr>
          <w:p>
            <w:pPr>
              <w:snapToGrid w:val="0"/>
              <w:spacing w:line="240" w:lineRule="atLeast"/>
              <w:rPr>
                <w:rFonts w:ascii="宋体" w:hAnsi="宋体" w:cs="Arial"/>
                <w:b/>
                <w:bCs/>
                <w:color w:val="auto"/>
                <w:szCs w:val="21"/>
                <w:highlight w:val="none"/>
              </w:rPr>
            </w:pPr>
            <w:r>
              <w:rPr>
                <w:rFonts w:hint="eastAsia" w:ascii="宋体" w:hAnsi="宋体" w:cs="Arial"/>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3.5</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是否接受联合体投标</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Merge w:val="restart"/>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4.1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招标文件质疑提交</w:t>
            </w:r>
            <w:r>
              <w:rPr>
                <w:rFonts w:hint="eastAsia" w:hAnsi="宋体" w:cs="宋体"/>
                <w:color w:val="auto"/>
                <w:kern w:val="0"/>
                <w:szCs w:val="21"/>
                <w:highlight w:val="none"/>
              </w:rPr>
              <w:t>的截止时间</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在收到招标文件之日起七个工作日内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Merge w:val="continue"/>
            <w:vAlign w:val="center"/>
          </w:tcPr>
          <w:p>
            <w:pPr>
              <w:pStyle w:val="18"/>
              <w:spacing w:line="240" w:lineRule="atLeast"/>
              <w:jc w:val="center"/>
              <w:rPr>
                <w:rFonts w:hAnsi="宋体"/>
                <w:color w:val="auto"/>
                <w:szCs w:val="21"/>
                <w:highlight w:val="none"/>
              </w:rPr>
            </w:pP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质疑提交地点、电话</w:t>
            </w:r>
          </w:p>
        </w:tc>
        <w:tc>
          <w:tcPr>
            <w:tcW w:w="6484" w:type="dxa"/>
            <w:vAlign w:val="center"/>
          </w:tcPr>
          <w:p>
            <w:pPr>
              <w:pStyle w:val="18"/>
              <w:spacing w:line="240" w:lineRule="atLeast"/>
              <w:rPr>
                <w:rFonts w:hAnsi="宋体"/>
                <w:color w:val="auto"/>
                <w:szCs w:val="21"/>
                <w:highlight w:val="none"/>
                <w:u w:val="single"/>
              </w:rPr>
            </w:pPr>
            <w:r>
              <w:rPr>
                <w:rFonts w:hint="eastAsia" w:hAnsi="宋体" w:cs="Arial"/>
                <w:color w:val="auto"/>
                <w:szCs w:val="21"/>
                <w:highlight w:val="none"/>
              </w:rPr>
              <w:t>中昕国际项目管理有限公司，地址：南宁市青秀区枫林路11号枫林蓝岸1号楼1单元1101号，质疑咨询电话：0771-5670450。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7.1</w:t>
            </w:r>
          </w:p>
        </w:tc>
        <w:tc>
          <w:tcPr>
            <w:tcW w:w="2389" w:type="dxa"/>
            <w:vAlign w:val="center"/>
          </w:tcPr>
          <w:p>
            <w:pPr>
              <w:pStyle w:val="18"/>
              <w:spacing w:line="240" w:lineRule="atLeast"/>
              <w:jc w:val="center"/>
              <w:rPr>
                <w:rFonts w:hAnsi="宋体" w:cs="宋体"/>
                <w:color w:val="auto"/>
                <w:kern w:val="0"/>
                <w:szCs w:val="21"/>
                <w:highlight w:val="none"/>
              </w:rPr>
            </w:pPr>
            <w:r>
              <w:rPr>
                <w:rFonts w:hint="eastAsia" w:hAnsi="宋体" w:cs="宋体"/>
                <w:color w:val="auto"/>
                <w:kern w:val="0"/>
                <w:szCs w:val="21"/>
                <w:highlight w:val="none"/>
              </w:rPr>
              <w:t>投标人要求澄清的截止</w:t>
            </w:r>
          </w:p>
          <w:p>
            <w:pPr>
              <w:pStyle w:val="18"/>
              <w:spacing w:line="240" w:lineRule="atLeast"/>
              <w:jc w:val="center"/>
              <w:rPr>
                <w:rFonts w:hAnsi="宋体"/>
                <w:color w:val="auto"/>
                <w:szCs w:val="21"/>
                <w:highlight w:val="none"/>
              </w:rPr>
            </w:pPr>
            <w:r>
              <w:rPr>
                <w:rFonts w:hint="eastAsia" w:hAnsi="宋体" w:cs="宋体"/>
                <w:color w:val="auto"/>
                <w:kern w:val="0"/>
                <w:szCs w:val="21"/>
                <w:highlight w:val="none"/>
              </w:rPr>
              <w:t>时间</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投标人发现招标文件有误或有不合理要求的，必须在收到招标文件之日起七个工作日内以书面形式要求采购人、采购代理机构澄清。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8.7</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投标文件副本份数</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报价文件：正本1份，副本4份</w:t>
            </w:r>
          </w:p>
          <w:p>
            <w:pPr>
              <w:pStyle w:val="18"/>
              <w:spacing w:line="240" w:lineRule="atLeast"/>
              <w:rPr>
                <w:rFonts w:hAnsi="宋体"/>
                <w:color w:val="auto"/>
                <w:szCs w:val="21"/>
                <w:highlight w:val="none"/>
              </w:rPr>
            </w:pPr>
            <w:r>
              <w:rPr>
                <w:rFonts w:hint="eastAsia" w:hAnsi="宋体"/>
                <w:color w:val="auto"/>
                <w:szCs w:val="21"/>
                <w:highlight w:val="none"/>
              </w:rPr>
              <w:t>资格文件：正本1份，副本4份</w:t>
            </w:r>
          </w:p>
          <w:p>
            <w:pPr>
              <w:pStyle w:val="18"/>
              <w:spacing w:line="360" w:lineRule="auto"/>
              <w:rPr>
                <w:rFonts w:hAnsi="宋体"/>
                <w:color w:val="auto"/>
                <w:szCs w:val="21"/>
                <w:highlight w:val="none"/>
              </w:rPr>
            </w:pPr>
            <w:r>
              <w:rPr>
                <w:rFonts w:hint="eastAsia" w:hAnsi="宋体"/>
                <w:color w:val="auto"/>
                <w:szCs w:val="21"/>
                <w:highlight w:val="none"/>
              </w:rPr>
              <w:t>技术文件：正本1份，副本4份</w:t>
            </w:r>
          </w:p>
          <w:p>
            <w:pPr>
              <w:pStyle w:val="18"/>
              <w:spacing w:line="240" w:lineRule="atLeast"/>
              <w:rPr>
                <w:rFonts w:hAnsi="宋体"/>
                <w:color w:val="auto"/>
                <w:szCs w:val="21"/>
                <w:highlight w:val="none"/>
              </w:rPr>
            </w:pPr>
            <w:r>
              <w:rPr>
                <w:rFonts w:hint="eastAsia" w:hAnsi="宋体"/>
                <w:color w:val="auto"/>
                <w:szCs w:val="21"/>
                <w:highlight w:val="none"/>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p>
        </w:tc>
        <w:tc>
          <w:tcPr>
            <w:tcW w:w="2389" w:type="dxa"/>
            <w:vAlign w:val="center"/>
          </w:tcPr>
          <w:p>
            <w:pPr>
              <w:pStyle w:val="18"/>
              <w:spacing w:line="240" w:lineRule="atLeast"/>
              <w:jc w:val="center"/>
              <w:rPr>
                <w:rFonts w:hAnsi="宋体"/>
                <w:color w:val="auto"/>
                <w:szCs w:val="21"/>
                <w:highlight w:val="none"/>
              </w:rPr>
            </w:pPr>
            <w:r>
              <w:rPr>
                <w:rFonts w:hint="eastAsia" w:hAnsi="宋体" w:cs="Courier New"/>
                <w:color w:val="auto"/>
                <w:szCs w:val="21"/>
                <w:highlight w:val="none"/>
              </w:rPr>
              <w:t>投标文件电子版</w:t>
            </w:r>
          </w:p>
        </w:tc>
        <w:tc>
          <w:tcPr>
            <w:tcW w:w="6484" w:type="dxa"/>
            <w:vAlign w:val="center"/>
          </w:tcPr>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投标人在递交投标文件时，同时递交投标文件电子版。</w:t>
            </w:r>
          </w:p>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1、投标文件电子版内容：</w:t>
            </w:r>
            <w:r>
              <w:rPr>
                <w:rFonts w:hint="eastAsia" w:ascii="宋体" w:hAnsi="宋体" w:cs="Courier New"/>
                <w:bCs/>
                <w:color w:val="auto"/>
                <w:szCs w:val="21"/>
                <w:highlight w:val="none"/>
              </w:rPr>
              <w:t>报价文件、资格文件、商务文件、技术文件</w:t>
            </w:r>
            <w:r>
              <w:rPr>
                <w:rFonts w:hint="eastAsia" w:ascii="宋体" w:hAnsi="宋体" w:cs="Courier New"/>
                <w:color w:val="auto"/>
                <w:szCs w:val="21"/>
                <w:highlight w:val="none"/>
              </w:rPr>
              <w:t>。</w:t>
            </w:r>
          </w:p>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2、投标文件电子版份数：1份。</w:t>
            </w:r>
          </w:p>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3、投标文件电子版形式：可编辑的word文档格式。</w:t>
            </w:r>
          </w:p>
          <w:p>
            <w:pPr>
              <w:pStyle w:val="18"/>
              <w:spacing w:line="240" w:lineRule="atLeast"/>
              <w:rPr>
                <w:rFonts w:hAnsi="宋体"/>
                <w:color w:val="auto"/>
                <w:szCs w:val="21"/>
                <w:highlight w:val="none"/>
              </w:rPr>
            </w:pPr>
            <w:r>
              <w:rPr>
                <w:rFonts w:hint="eastAsia" w:hAnsi="宋体" w:cs="Courier New"/>
                <w:color w:val="auto"/>
                <w:szCs w:val="21"/>
                <w:highlight w:val="none"/>
              </w:rPr>
              <w:t>4、投标文件电子版密封方式：投标文件电子版U盘与纸质版投标文件一并装入投标文件袋中。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11.4</w:t>
            </w:r>
          </w:p>
        </w:tc>
        <w:tc>
          <w:tcPr>
            <w:tcW w:w="2389" w:type="dxa"/>
            <w:vAlign w:val="center"/>
          </w:tcPr>
          <w:p>
            <w:pPr>
              <w:autoSpaceDE w:val="0"/>
              <w:autoSpaceDN w:val="0"/>
              <w:spacing w:line="240" w:lineRule="atLeast"/>
              <w:jc w:val="center"/>
              <w:rPr>
                <w:rFonts w:ascii="宋体" w:hAnsi="宋体" w:cs="宋体"/>
                <w:color w:val="auto"/>
                <w:kern w:val="0"/>
                <w:szCs w:val="21"/>
                <w:highlight w:val="none"/>
              </w:rPr>
            </w:pPr>
            <w:r>
              <w:rPr>
                <w:rFonts w:hint="eastAsia" w:ascii="宋体" w:hAnsi="宋体"/>
                <w:color w:val="auto"/>
                <w:kern w:val="0"/>
                <w:szCs w:val="21"/>
                <w:highlight w:val="none"/>
              </w:rPr>
              <w:t>采购代理服务费</w:t>
            </w:r>
          </w:p>
        </w:tc>
        <w:tc>
          <w:tcPr>
            <w:tcW w:w="6484" w:type="dxa"/>
            <w:vAlign w:val="center"/>
          </w:tcPr>
          <w:p>
            <w:pPr>
              <w:pStyle w:val="18"/>
              <w:spacing w:line="240" w:lineRule="atLeast"/>
              <w:jc w:val="left"/>
              <w:rPr>
                <w:rFonts w:hAnsi="宋体" w:cs="宋体"/>
                <w:color w:val="auto"/>
                <w:kern w:val="0"/>
                <w:szCs w:val="21"/>
                <w:highlight w:val="none"/>
              </w:rPr>
            </w:pPr>
            <w:r>
              <w:rPr>
                <w:rFonts w:hint="eastAsia"/>
                <w:color w:val="auto"/>
                <w:szCs w:val="21"/>
                <w:highlight w:val="none"/>
              </w:rPr>
              <w:t>招标代理服务费参照按【2011】534号文规定标准（详见附件一）计取，在发出中标通知书前，中标人向采购代理机构一次性付清。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12.1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投标有效期</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自投标截止之日起90日历天内保持有效，投标有效期不满足要求的投标将被视为非实质性响应投标而予以拒绝。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13.1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投标保证金金额</w:t>
            </w:r>
          </w:p>
        </w:tc>
        <w:tc>
          <w:tcPr>
            <w:tcW w:w="6484" w:type="dxa"/>
            <w:vAlign w:val="center"/>
          </w:tcPr>
          <w:p>
            <w:pPr>
              <w:snapToGrid w:val="0"/>
              <w:spacing w:line="240" w:lineRule="atLeast"/>
              <w:rPr>
                <w:rFonts w:ascii="宋体" w:hAnsi="宋体" w:cs="Arial"/>
                <w:color w:val="auto"/>
                <w:szCs w:val="21"/>
                <w:highlight w:val="none"/>
              </w:rPr>
            </w:pPr>
            <w:r>
              <w:rPr>
                <w:rFonts w:hint="eastAsia" w:hAnsi="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投标截止时间（开标时间）</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15.2</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递交投标文件地点</w:t>
            </w:r>
          </w:p>
        </w:tc>
        <w:tc>
          <w:tcPr>
            <w:tcW w:w="6484" w:type="dxa"/>
            <w:vAlign w:val="center"/>
          </w:tcPr>
          <w:p>
            <w:pPr>
              <w:snapToGrid w:val="0"/>
              <w:spacing w:line="240" w:lineRule="atLeast"/>
              <w:jc w:val="left"/>
              <w:rPr>
                <w:rFonts w:ascii="宋体" w:hAnsi="宋体"/>
                <w:b/>
                <w:color w:val="auto"/>
                <w:szCs w:val="21"/>
                <w:highlight w:val="none"/>
              </w:rPr>
            </w:pPr>
            <w:r>
              <w:rPr>
                <w:rFonts w:hint="eastAsia" w:ascii="宋体" w:hAnsi="宋体" w:cs="Arial"/>
                <w:color w:val="auto"/>
                <w:szCs w:val="21"/>
                <w:highlight w:val="none"/>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15.3</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递交投标样品截止时间</w:t>
            </w:r>
          </w:p>
        </w:tc>
        <w:tc>
          <w:tcPr>
            <w:tcW w:w="6484" w:type="dxa"/>
            <w:vAlign w:val="center"/>
          </w:tcPr>
          <w:p>
            <w:pPr>
              <w:pStyle w:val="18"/>
              <w:spacing w:line="240" w:lineRule="atLeast"/>
              <w:rPr>
                <w:rFonts w:hAnsi="宋体"/>
                <w:color w:val="auto"/>
                <w:szCs w:val="21"/>
                <w:highlight w:val="none"/>
              </w:rPr>
            </w:pPr>
            <w:r>
              <w:rPr>
                <w:rFonts w:hint="eastAsia" w:hAnsi="宋体" w:cs="宋体"/>
                <w:color w:val="auto"/>
                <w:szCs w:val="21"/>
                <w:highlight w:val="none"/>
              </w:rPr>
              <w:t>无样品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15.4</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递交投标样品地点</w:t>
            </w:r>
          </w:p>
        </w:tc>
        <w:tc>
          <w:tcPr>
            <w:tcW w:w="6484" w:type="dxa"/>
            <w:vAlign w:val="center"/>
          </w:tcPr>
          <w:p>
            <w:pPr>
              <w:pStyle w:val="18"/>
              <w:spacing w:line="240" w:lineRule="atLeast"/>
              <w:rPr>
                <w:rFonts w:hAnsi="宋体" w:cs="宋体"/>
                <w:color w:val="auto"/>
                <w:szCs w:val="21"/>
                <w:highlight w:val="none"/>
              </w:rPr>
            </w:pPr>
            <w:r>
              <w:rPr>
                <w:rFonts w:hint="eastAsia" w:hAnsi="宋体" w:cs="宋体"/>
                <w:color w:val="auto"/>
                <w:szCs w:val="21"/>
                <w:highlight w:val="none"/>
              </w:rPr>
              <w:t>无样品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16.1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开标地点</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18.3</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评标方法</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81" w:type="dxa"/>
            <w:vAlign w:val="center"/>
          </w:tcPr>
          <w:p>
            <w:pPr>
              <w:pStyle w:val="18"/>
              <w:spacing w:line="240" w:lineRule="atLeast"/>
              <w:jc w:val="center"/>
              <w:rPr>
                <w:rFonts w:hAnsi="宋体"/>
                <w:color w:val="auto"/>
                <w:szCs w:val="21"/>
                <w:highlight w:val="none"/>
              </w:rPr>
            </w:pPr>
          </w:p>
        </w:tc>
        <w:tc>
          <w:tcPr>
            <w:tcW w:w="2389" w:type="dxa"/>
            <w:vAlign w:val="center"/>
          </w:tcPr>
          <w:p>
            <w:pPr>
              <w:pStyle w:val="18"/>
              <w:spacing w:line="240" w:lineRule="atLeast"/>
              <w:jc w:val="center"/>
              <w:rPr>
                <w:rFonts w:hAnsi="宋体"/>
                <w:color w:val="auto"/>
                <w:szCs w:val="21"/>
                <w:highlight w:val="none"/>
              </w:rPr>
            </w:pPr>
            <w:r>
              <w:rPr>
                <w:rFonts w:hint="eastAsia" w:hAnsi="宋体" w:cs="Courier New"/>
                <w:color w:val="auto"/>
                <w:szCs w:val="21"/>
                <w:highlight w:val="none"/>
              </w:rPr>
              <w:t>中标结果公告内容</w:t>
            </w:r>
          </w:p>
        </w:tc>
        <w:tc>
          <w:tcPr>
            <w:tcW w:w="6484" w:type="dxa"/>
            <w:vAlign w:val="center"/>
          </w:tcPr>
          <w:p>
            <w:pPr>
              <w:pStyle w:val="18"/>
              <w:spacing w:line="240" w:lineRule="atLeast"/>
              <w:rPr>
                <w:rFonts w:hAnsi="宋体"/>
                <w:color w:val="auto"/>
                <w:szCs w:val="21"/>
                <w:highlight w:val="none"/>
              </w:rPr>
            </w:pPr>
            <w:r>
              <w:rPr>
                <w:rFonts w:hint="eastAsia" w:hAnsi="宋体" w:cs="Courier New"/>
                <w:color w:val="auto"/>
                <w:szCs w:val="21"/>
                <w:highlight w:val="none"/>
              </w:rPr>
              <w:t>根据《中华人民共和国政府采购法实施条例》第四十三条规定，中标结果公告内容中包括中标供应商名称、地址和中标金额，主要中标标的的名称、规格型号、数量、单价、服务要求。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24.1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中标通知书的发放</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按相关规定在</w:t>
            </w:r>
            <w:r>
              <w:rPr>
                <w:rFonts w:hint="eastAsia" w:hAnsi="宋体" w:cs="宋体"/>
                <w:color w:val="auto"/>
                <w:kern w:val="0"/>
                <w:szCs w:val="21"/>
                <w:highlight w:val="none"/>
              </w:rPr>
              <w:t>本章第2.1项规定的政府采购信息发布媒体上公示中标结果，同时向中标供应商发出中标通知书。公示期为1个工作日，公告期满无异议的，由</w:t>
            </w:r>
            <w:r>
              <w:rPr>
                <w:rFonts w:hint="eastAsia" w:hAnsi="宋体"/>
                <w:color w:val="auto"/>
                <w:szCs w:val="21"/>
                <w:highlight w:val="none"/>
              </w:rPr>
              <w:t>招标代理机构</w:t>
            </w:r>
            <w:r>
              <w:rPr>
                <w:rFonts w:hint="eastAsia" w:hAnsi="宋体" w:cs="宋体"/>
                <w:color w:val="auto"/>
                <w:kern w:val="0"/>
                <w:szCs w:val="21"/>
                <w:highlight w:val="none"/>
              </w:rPr>
              <w:t>向中标供应商发出政府采购合同。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27.1</w:t>
            </w:r>
          </w:p>
        </w:tc>
        <w:tc>
          <w:tcPr>
            <w:tcW w:w="2389" w:type="dxa"/>
            <w:vAlign w:val="center"/>
          </w:tcPr>
          <w:p>
            <w:pPr>
              <w:autoSpaceDE w:val="0"/>
              <w:autoSpaceDN w:val="0"/>
              <w:spacing w:line="240" w:lineRule="atLeast"/>
              <w:jc w:val="center"/>
              <w:rPr>
                <w:rFonts w:ascii="宋体" w:hAnsi="宋体" w:cs="宋体"/>
                <w:color w:val="auto"/>
                <w:kern w:val="0"/>
                <w:szCs w:val="21"/>
                <w:highlight w:val="none"/>
              </w:rPr>
            </w:pPr>
            <w:r>
              <w:rPr>
                <w:rFonts w:hint="eastAsia" w:ascii="宋体" w:hAnsi="宋体"/>
                <w:color w:val="auto"/>
                <w:kern w:val="0"/>
                <w:szCs w:val="21"/>
                <w:highlight w:val="none"/>
              </w:rPr>
              <w:t>履约保证金</w:t>
            </w:r>
          </w:p>
        </w:tc>
        <w:tc>
          <w:tcPr>
            <w:tcW w:w="6484" w:type="dxa"/>
            <w:vAlign w:val="center"/>
          </w:tcPr>
          <w:p>
            <w:pPr>
              <w:pStyle w:val="18"/>
              <w:spacing w:line="240" w:lineRule="atLeast"/>
              <w:rPr>
                <w:rFonts w:hAnsi="宋体"/>
                <w:color w:val="auto"/>
                <w:szCs w:val="21"/>
                <w:highlight w:val="none"/>
              </w:rPr>
            </w:pPr>
            <w:r>
              <w:rPr>
                <w:rFonts w:hAnsi="宋体"/>
                <w:color w:val="auto"/>
                <w:szCs w:val="21"/>
                <w:highlight w:val="none"/>
                <w:u w:val="single"/>
              </w:rPr>
              <w:t>本项目无须缴纳履约保证金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26.8</w:t>
            </w:r>
          </w:p>
        </w:tc>
        <w:tc>
          <w:tcPr>
            <w:tcW w:w="2389" w:type="dxa"/>
            <w:vAlign w:val="center"/>
          </w:tcPr>
          <w:p>
            <w:pPr>
              <w:autoSpaceDE w:val="0"/>
              <w:autoSpaceDN w:val="0"/>
              <w:spacing w:line="240" w:lineRule="atLeast"/>
              <w:jc w:val="center"/>
              <w:rPr>
                <w:rFonts w:ascii="宋体" w:hAnsi="宋体"/>
                <w:color w:val="auto"/>
                <w:kern w:val="0"/>
                <w:szCs w:val="21"/>
                <w:highlight w:val="none"/>
              </w:rPr>
            </w:pPr>
            <w:r>
              <w:rPr>
                <w:rFonts w:hint="eastAsia" w:ascii="宋体" w:hAnsi="宋体"/>
                <w:color w:val="auto"/>
                <w:szCs w:val="21"/>
                <w:highlight w:val="none"/>
              </w:rPr>
              <w:t>政府采购合同公告</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根据</w:t>
            </w:r>
            <w:r>
              <w:rPr>
                <w:rFonts w:hAnsi="宋体"/>
                <w:color w:val="auto"/>
                <w:szCs w:val="21"/>
                <w:highlight w:val="none"/>
              </w:rPr>
              <w:t>《中华人民共和国政府采购法实施条例》第五十条</w:t>
            </w:r>
            <w:r>
              <w:rPr>
                <w:rFonts w:hint="eastAsia" w:hAnsi="宋体"/>
                <w:color w:val="auto"/>
                <w:szCs w:val="21"/>
                <w:highlight w:val="none"/>
              </w:rPr>
              <w:t>规定，采购人应当自政府采购合同签订之日起2个工作日内，将政府采购合同在省级以上人民政府财政部门指定的媒体上公告，</w:t>
            </w:r>
            <w:r>
              <w:rPr>
                <w:rFonts w:hAnsi="宋体"/>
                <w:color w:val="auto"/>
                <w:szCs w:val="21"/>
                <w:highlight w:val="none"/>
              </w:rPr>
              <w:t>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29.1</w:t>
            </w:r>
          </w:p>
        </w:tc>
        <w:tc>
          <w:tcPr>
            <w:tcW w:w="2389" w:type="dxa"/>
            <w:vAlign w:val="center"/>
          </w:tcPr>
          <w:p>
            <w:pPr>
              <w:autoSpaceDE w:val="0"/>
              <w:autoSpaceDN w:val="0"/>
              <w:spacing w:line="240" w:lineRule="atLeast"/>
              <w:jc w:val="center"/>
              <w:rPr>
                <w:rFonts w:ascii="宋体" w:hAnsi="宋体"/>
                <w:color w:val="auto"/>
                <w:kern w:val="0"/>
                <w:szCs w:val="21"/>
                <w:highlight w:val="none"/>
              </w:rPr>
            </w:pPr>
            <w:r>
              <w:rPr>
                <w:rFonts w:hint="eastAsia" w:ascii="宋体" w:hAnsi="宋体"/>
                <w:color w:val="auto"/>
                <w:kern w:val="0"/>
                <w:szCs w:val="21"/>
                <w:highlight w:val="none"/>
              </w:rPr>
              <w:t>需要补充的其他内容</w:t>
            </w:r>
          </w:p>
        </w:tc>
        <w:tc>
          <w:tcPr>
            <w:tcW w:w="6484" w:type="dxa"/>
            <w:vAlign w:val="center"/>
          </w:tcPr>
          <w:p>
            <w:pPr>
              <w:widowControl/>
              <w:spacing w:line="240" w:lineRule="atLeast"/>
              <w:jc w:val="left"/>
              <w:rPr>
                <w:rFonts w:ascii="宋体" w:hAnsi="宋体" w:cs="宋体"/>
                <w:color w:val="auto"/>
                <w:szCs w:val="21"/>
                <w:highlight w:val="none"/>
              </w:rPr>
            </w:pPr>
            <w:r>
              <w:rPr>
                <w:rFonts w:hint="eastAsia" w:ascii="宋体" w:hAnsi="宋体" w:cs="宋体"/>
                <w:color w:val="auto"/>
                <w:szCs w:val="21"/>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240" w:lineRule="atLeast"/>
              <w:jc w:val="left"/>
              <w:rPr>
                <w:rFonts w:ascii="宋体" w:hAnsi="宋体" w:cs="宋体"/>
                <w:color w:val="auto"/>
                <w:szCs w:val="21"/>
                <w:highlight w:val="none"/>
              </w:rPr>
            </w:pPr>
            <w:r>
              <w:rPr>
                <w:rFonts w:hint="eastAsia" w:ascii="宋体" w:hAnsi="宋体"/>
                <w:color w:val="auto"/>
                <w:szCs w:val="21"/>
                <w:highlight w:val="none"/>
              </w:rPr>
              <w:t>2、</w:t>
            </w:r>
            <w:r>
              <w:rPr>
                <w:rFonts w:hint="eastAsia" w:ascii="宋体" w:hAnsi="宋体" w:cs="宋体"/>
                <w:color w:val="auto"/>
                <w:szCs w:val="21"/>
                <w:highlight w:val="none"/>
              </w:rPr>
              <w:t>本招标文件中描述投标人的“签字”是指投标人的法定代表人或被授权人亲自在招标文件规定签署处亲笔写上个人的名字的行为，私章、签字章、印鉴、影印等其它形式均不能代替亲笔签字。</w:t>
            </w:r>
          </w:p>
          <w:p>
            <w:pPr>
              <w:pStyle w:val="12"/>
              <w:rPr>
                <w:color w:val="auto"/>
                <w:highlight w:val="none"/>
              </w:rPr>
            </w:pPr>
            <w:r>
              <w:rPr>
                <w:rFonts w:hint="eastAsia"/>
                <w:color w:val="auto"/>
                <w:highlight w:val="none"/>
              </w:rPr>
              <w:t>3</w:t>
            </w:r>
            <w:r>
              <w:rPr>
                <w:color w:val="auto"/>
                <w:highlight w:val="none"/>
              </w:rPr>
              <w:t>.</w:t>
            </w:r>
            <w:r>
              <w:rPr>
                <w:rFonts w:hint="eastAsia" w:ascii="Helvetica" w:hAnsi="Helvetica" w:cs="Helvetica"/>
                <w:color w:val="auto"/>
                <w:highlight w:val="none"/>
              </w:rPr>
              <w:t xml:space="preserve"> 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 政府采购信用融资’专栏。</w:t>
            </w:r>
          </w:p>
        </w:tc>
      </w:tr>
    </w:tbl>
    <w:p>
      <w:pPr>
        <w:pStyle w:val="18"/>
        <w:jc w:val="center"/>
        <w:outlineLvl w:val="1"/>
        <w:rPr>
          <w:rFonts w:hAnsi="宋体"/>
          <w:b/>
          <w:color w:val="auto"/>
          <w:sz w:val="28"/>
          <w:szCs w:val="28"/>
          <w:highlight w:val="none"/>
        </w:rPr>
      </w:pPr>
      <w:r>
        <w:rPr>
          <w:rFonts w:hAnsi="宋体"/>
          <w:color w:val="auto"/>
          <w:sz w:val="28"/>
          <w:szCs w:val="28"/>
          <w:highlight w:val="none"/>
        </w:rPr>
        <w:br w:type="page"/>
      </w:r>
      <w:bookmarkStart w:id="54" w:name="_Toc213326416"/>
      <w:bookmarkStart w:id="55" w:name="_Toc20566"/>
      <w:bookmarkStart w:id="56" w:name="_Toc401396875"/>
      <w:r>
        <w:rPr>
          <w:rFonts w:hint="eastAsia" w:ascii="Times New Roman" w:hAnsi="Times New Roman"/>
          <w:b/>
          <w:color w:val="auto"/>
          <w:sz w:val="30"/>
          <w:szCs w:val="30"/>
          <w:highlight w:val="none"/>
        </w:rPr>
        <w:t>一    总  则</w:t>
      </w:r>
      <w:bookmarkEnd w:id="54"/>
      <w:bookmarkEnd w:id="55"/>
      <w:bookmarkEnd w:id="56"/>
    </w:p>
    <w:p>
      <w:pPr>
        <w:pStyle w:val="18"/>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1. 项目概况</w:t>
      </w:r>
    </w:p>
    <w:p>
      <w:pPr>
        <w:pStyle w:val="18"/>
        <w:spacing w:line="440" w:lineRule="exact"/>
        <w:ind w:left="2" w:firstLine="358"/>
        <w:jc w:val="left"/>
        <w:rPr>
          <w:rFonts w:hAnsi="宋体"/>
          <w:bCs/>
          <w:color w:val="auto"/>
          <w:highlight w:val="none"/>
        </w:rPr>
      </w:pPr>
      <w:r>
        <w:rPr>
          <w:rFonts w:hint="eastAsia" w:hAnsi="宋体"/>
          <w:bCs/>
          <w:color w:val="auto"/>
          <w:highlight w:val="none"/>
        </w:rPr>
        <w:t>1.1  采购人：见投标人须知前附表。</w:t>
      </w:r>
    </w:p>
    <w:p>
      <w:pPr>
        <w:pStyle w:val="18"/>
        <w:spacing w:line="440" w:lineRule="exact"/>
        <w:ind w:left="2" w:firstLine="358"/>
        <w:jc w:val="left"/>
        <w:rPr>
          <w:rFonts w:ascii="文鼎CS楷体" w:eastAsia="文鼎CS楷体"/>
          <w:color w:val="auto"/>
          <w:highlight w:val="none"/>
        </w:rPr>
      </w:pPr>
      <w:r>
        <w:rPr>
          <w:rFonts w:hint="eastAsia" w:hAnsi="宋体"/>
          <w:bCs/>
          <w:color w:val="auto"/>
          <w:highlight w:val="none"/>
        </w:rPr>
        <w:t>1.2  采购代理机构：见投标人须知前附表。</w:t>
      </w:r>
    </w:p>
    <w:p>
      <w:pPr>
        <w:pStyle w:val="18"/>
        <w:spacing w:line="440" w:lineRule="exact"/>
        <w:ind w:left="2" w:firstLine="358"/>
        <w:jc w:val="left"/>
        <w:rPr>
          <w:rFonts w:ascii="文鼎CS楷体" w:eastAsia="文鼎CS楷体"/>
          <w:color w:val="auto"/>
          <w:highlight w:val="none"/>
        </w:rPr>
      </w:pPr>
      <w:r>
        <w:rPr>
          <w:rFonts w:hint="eastAsia" w:ascii="文鼎CS楷体" w:eastAsia="文鼎CS楷体"/>
          <w:color w:val="auto"/>
          <w:highlight w:val="none"/>
        </w:rPr>
        <w:t>1.3  项目名称：</w:t>
      </w:r>
      <w:r>
        <w:rPr>
          <w:rFonts w:hint="eastAsia" w:hAnsi="宋体"/>
          <w:bCs/>
          <w:color w:val="auto"/>
          <w:highlight w:val="none"/>
        </w:rPr>
        <w:t>见投标人须知前附表。</w:t>
      </w:r>
    </w:p>
    <w:p>
      <w:pPr>
        <w:pStyle w:val="18"/>
        <w:spacing w:line="440" w:lineRule="exact"/>
        <w:ind w:left="2" w:firstLine="358"/>
        <w:jc w:val="left"/>
        <w:rPr>
          <w:rFonts w:hAnsi="宋体"/>
          <w:bCs/>
          <w:color w:val="auto"/>
          <w:highlight w:val="none"/>
        </w:rPr>
      </w:pPr>
      <w:r>
        <w:rPr>
          <w:rFonts w:hint="eastAsia" w:ascii="文鼎CS楷体" w:eastAsia="文鼎CS楷体"/>
          <w:color w:val="auto"/>
          <w:highlight w:val="none"/>
        </w:rPr>
        <w:t>1.4  项目编号：</w:t>
      </w:r>
      <w:r>
        <w:rPr>
          <w:rFonts w:hint="eastAsia" w:hAnsi="宋体"/>
          <w:bCs/>
          <w:color w:val="auto"/>
          <w:highlight w:val="none"/>
        </w:rPr>
        <w:t>见投标人须知前附表。</w:t>
      </w:r>
    </w:p>
    <w:p>
      <w:pPr>
        <w:pStyle w:val="18"/>
        <w:spacing w:line="440" w:lineRule="exact"/>
        <w:ind w:left="2" w:firstLine="358"/>
        <w:jc w:val="left"/>
        <w:rPr>
          <w:rFonts w:hAnsi="宋体"/>
          <w:bCs/>
          <w:color w:val="auto"/>
          <w:highlight w:val="none"/>
        </w:rPr>
      </w:pPr>
      <w:r>
        <w:rPr>
          <w:rFonts w:hint="eastAsia" w:hAnsi="宋体"/>
          <w:bCs/>
          <w:color w:val="auto"/>
          <w:highlight w:val="none"/>
        </w:rPr>
        <w:t>1.5  预算金额：见投标人须知前附表。</w:t>
      </w:r>
    </w:p>
    <w:p>
      <w:pPr>
        <w:pStyle w:val="18"/>
        <w:spacing w:line="440" w:lineRule="exact"/>
        <w:ind w:left="2" w:firstLine="358"/>
        <w:jc w:val="left"/>
        <w:rPr>
          <w:rFonts w:hAnsi="宋体"/>
          <w:bCs/>
          <w:color w:val="auto"/>
          <w:highlight w:val="none"/>
        </w:rPr>
      </w:pPr>
      <w:r>
        <w:rPr>
          <w:rFonts w:hint="eastAsia" w:hAnsi="宋体"/>
          <w:bCs/>
          <w:color w:val="auto"/>
          <w:highlight w:val="none"/>
        </w:rPr>
        <w:t>1.6  资金来源：政府财政性资金</w:t>
      </w:r>
    </w:p>
    <w:p>
      <w:pPr>
        <w:pStyle w:val="18"/>
        <w:spacing w:line="440" w:lineRule="exact"/>
        <w:ind w:left="2" w:firstLine="358"/>
        <w:jc w:val="left"/>
        <w:rPr>
          <w:rFonts w:hAnsi="宋体"/>
          <w:bCs/>
          <w:color w:val="auto"/>
          <w:highlight w:val="none"/>
        </w:rPr>
      </w:pPr>
      <w:r>
        <w:rPr>
          <w:rFonts w:hint="eastAsia" w:hAnsi="宋体"/>
          <w:bCs/>
          <w:color w:val="auto"/>
          <w:highlight w:val="none"/>
        </w:rPr>
        <w:t xml:space="preserve">1.7  </w:t>
      </w:r>
      <w:r>
        <w:rPr>
          <w:rFonts w:hint="eastAsia" w:hAnsi="宋体"/>
          <w:color w:val="auto"/>
          <w:szCs w:val="21"/>
          <w:highlight w:val="none"/>
        </w:rPr>
        <w:t>获取招标文件的时间、地点、方式及招标文件售价：</w:t>
      </w:r>
      <w:r>
        <w:rPr>
          <w:rFonts w:hint="eastAsia" w:hAnsi="宋体"/>
          <w:bCs/>
          <w:color w:val="auto"/>
          <w:highlight w:val="none"/>
        </w:rPr>
        <w:t>见投标人须知前附表。</w:t>
      </w:r>
    </w:p>
    <w:p>
      <w:pPr>
        <w:pStyle w:val="18"/>
        <w:spacing w:line="440" w:lineRule="exact"/>
        <w:jc w:val="left"/>
        <w:rPr>
          <w:rFonts w:hAnsi="宋体"/>
          <w:bCs/>
          <w:color w:val="auto"/>
          <w:sz w:val="24"/>
          <w:highlight w:val="none"/>
        </w:rPr>
      </w:pPr>
      <w:r>
        <w:rPr>
          <w:rFonts w:hint="eastAsia" w:hAnsi="宋体"/>
          <w:bCs/>
          <w:color w:val="auto"/>
          <w:sz w:val="24"/>
          <w:highlight w:val="none"/>
        </w:rPr>
        <w:t>2. 政府采购信息发布媒体：</w:t>
      </w:r>
    </w:p>
    <w:p>
      <w:pPr>
        <w:snapToGrid w:val="0"/>
        <w:spacing w:line="440" w:lineRule="exact"/>
        <w:ind w:firstLine="420" w:firstLineChars="200"/>
        <w:rPr>
          <w:rFonts w:ascii="宋体" w:hAnsi="宋体"/>
          <w:color w:val="auto"/>
          <w:highlight w:val="none"/>
        </w:rPr>
      </w:pPr>
      <w:r>
        <w:rPr>
          <w:rFonts w:hint="eastAsia" w:ascii="宋体" w:hAnsi="宋体"/>
          <w:color w:val="auto"/>
          <w:highlight w:val="none"/>
        </w:rPr>
        <w:t>2.1  与本项目相关的政府采购业务信息（包括公开招标公告、中标公告及其更正事项等）将在以下媒体上发布：www.ccgp.gov.cn（中国政府采购网），www.gxzfcg.gov.cn（广西壮族自治区政府采购网）， http://zfcg.nanning.gov.cn/index.do（南宁政府采购网），</w:t>
      </w:r>
      <w:r>
        <w:rPr>
          <w:rFonts w:ascii="宋体" w:hAnsi="宋体"/>
          <w:color w:val="auto"/>
          <w:highlight w:val="none"/>
        </w:rPr>
        <w:t>www.nnggzy.org.cn</w:t>
      </w:r>
      <w:r>
        <w:rPr>
          <w:rFonts w:hint="eastAsia" w:ascii="宋体" w:hAnsi="宋体"/>
          <w:color w:val="auto"/>
          <w:highlight w:val="none"/>
        </w:rPr>
        <w:t>（南宁市公共资源交易中心网）。</w:t>
      </w:r>
    </w:p>
    <w:p>
      <w:pPr>
        <w:pStyle w:val="18"/>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3. 投标人资格要求：</w:t>
      </w:r>
    </w:p>
    <w:p>
      <w:pPr>
        <w:pStyle w:val="18"/>
        <w:spacing w:line="440" w:lineRule="exact"/>
        <w:ind w:firstLine="360"/>
        <w:rPr>
          <w:rFonts w:hAnsi="宋体"/>
          <w:bCs/>
          <w:color w:val="auto"/>
          <w:highlight w:val="none"/>
        </w:rPr>
      </w:pPr>
      <w:r>
        <w:rPr>
          <w:rFonts w:hint="eastAsia" w:hAnsi="宋体"/>
          <w:bCs/>
          <w:color w:val="auto"/>
          <w:highlight w:val="none"/>
        </w:rPr>
        <w:t>3.1投标人未被列入失信被执行人、重大税收违法案件当事人名单、政府采购严重违法失信行为记录名单，且应符合《中华人民共和国政府采购法》第二十二条规定的下列投标人资格条件：</w:t>
      </w:r>
    </w:p>
    <w:p>
      <w:pPr>
        <w:pStyle w:val="18"/>
        <w:spacing w:line="440" w:lineRule="exact"/>
        <w:ind w:firstLine="720"/>
        <w:rPr>
          <w:rFonts w:hAnsi="宋体"/>
          <w:bCs/>
          <w:color w:val="auto"/>
          <w:highlight w:val="none"/>
        </w:rPr>
      </w:pPr>
      <w:r>
        <w:rPr>
          <w:rFonts w:hint="eastAsia" w:hAnsi="宋体"/>
          <w:bCs/>
          <w:color w:val="auto"/>
          <w:highlight w:val="none"/>
        </w:rPr>
        <w:t>（1）具有独立承担民事责任的能力；</w:t>
      </w:r>
    </w:p>
    <w:p>
      <w:pPr>
        <w:pStyle w:val="18"/>
        <w:spacing w:line="440" w:lineRule="exact"/>
        <w:ind w:firstLine="720"/>
        <w:rPr>
          <w:rFonts w:hAnsi="宋体"/>
          <w:bCs/>
          <w:color w:val="auto"/>
          <w:highlight w:val="none"/>
        </w:rPr>
      </w:pPr>
      <w:r>
        <w:rPr>
          <w:rFonts w:hint="eastAsia" w:hAnsi="宋体"/>
          <w:bCs/>
          <w:color w:val="auto"/>
          <w:highlight w:val="none"/>
        </w:rPr>
        <w:t>（2）具有良好的商业信誉和健全的财务会计制度；</w:t>
      </w:r>
    </w:p>
    <w:p>
      <w:pPr>
        <w:pStyle w:val="18"/>
        <w:spacing w:line="440" w:lineRule="exact"/>
        <w:ind w:firstLine="720"/>
        <w:rPr>
          <w:rFonts w:hAnsi="宋体"/>
          <w:bCs/>
          <w:color w:val="auto"/>
          <w:highlight w:val="none"/>
        </w:rPr>
      </w:pPr>
      <w:r>
        <w:rPr>
          <w:rFonts w:hint="eastAsia" w:hAnsi="宋体"/>
          <w:bCs/>
          <w:color w:val="auto"/>
          <w:highlight w:val="none"/>
        </w:rPr>
        <w:t>（3）具有履行合同所必需的设备和专业技术能力；</w:t>
      </w:r>
    </w:p>
    <w:p>
      <w:pPr>
        <w:pStyle w:val="18"/>
        <w:spacing w:line="440" w:lineRule="exact"/>
        <w:ind w:firstLine="720"/>
        <w:rPr>
          <w:rFonts w:hAnsi="宋体"/>
          <w:bCs/>
          <w:color w:val="auto"/>
          <w:highlight w:val="none"/>
        </w:rPr>
      </w:pPr>
      <w:r>
        <w:rPr>
          <w:rFonts w:hint="eastAsia" w:hAnsi="宋体"/>
          <w:bCs/>
          <w:color w:val="auto"/>
          <w:highlight w:val="none"/>
        </w:rPr>
        <w:t>（4）有依法缴纳税收和社会保障资金的良好记录；</w:t>
      </w:r>
    </w:p>
    <w:p>
      <w:pPr>
        <w:pStyle w:val="18"/>
        <w:spacing w:line="440" w:lineRule="exact"/>
        <w:ind w:firstLine="720"/>
        <w:rPr>
          <w:rFonts w:hAnsi="宋体"/>
          <w:bCs/>
          <w:color w:val="auto"/>
          <w:highlight w:val="none"/>
        </w:rPr>
      </w:pPr>
      <w:r>
        <w:rPr>
          <w:rFonts w:hint="eastAsia" w:hAnsi="宋体"/>
          <w:bCs/>
          <w:color w:val="auto"/>
          <w:highlight w:val="none"/>
        </w:rPr>
        <w:t>（5）参加政府采购活动前三年内，在经营活动中没有重大违法记录；</w:t>
      </w:r>
    </w:p>
    <w:p>
      <w:pPr>
        <w:pStyle w:val="18"/>
        <w:spacing w:line="440" w:lineRule="exact"/>
        <w:ind w:firstLine="720"/>
        <w:rPr>
          <w:rFonts w:hAnsi="宋体"/>
          <w:bCs/>
          <w:color w:val="auto"/>
          <w:highlight w:val="none"/>
        </w:rPr>
      </w:pPr>
      <w:r>
        <w:rPr>
          <w:rFonts w:hint="eastAsia" w:hAnsi="宋体"/>
          <w:bCs/>
          <w:color w:val="auto"/>
          <w:highlight w:val="none"/>
        </w:rPr>
        <w:t>（6）法律、行政法规规定的其他条件。</w:t>
      </w:r>
    </w:p>
    <w:p>
      <w:pPr>
        <w:pStyle w:val="18"/>
        <w:spacing w:line="440" w:lineRule="exact"/>
        <w:ind w:firstLine="360"/>
        <w:rPr>
          <w:rFonts w:hAnsi="宋体"/>
          <w:bCs/>
          <w:color w:val="auto"/>
          <w:highlight w:val="none"/>
        </w:rPr>
      </w:pPr>
      <w:r>
        <w:rPr>
          <w:rFonts w:hint="eastAsia" w:hAnsi="宋体"/>
          <w:bCs/>
          <w:color w:val="auto"/>
          <w:highlight w:val="none"/>
        </w:rPr>
        <w:t>3.2  针对本项目，投标人应具备的特定资格条件：</w:t>
      </w:r>
      <w:r>
        <w:rPr>
          <w:rFonts w:hint="eastAsia" w:hAnsi="宋体"/>
          <w:b/>
          <w:bCs/>
          <w:color w:val="auto"/>
          <w:highlight w:val="none"/>
        </w:rPr>
        <w:t>见投标人须知前附表</w:t>
      </w:r>
      <w:r>
        <w:rPr>
          <w:rFonts w:hint="eastAsia" w:hAnsi="宋体"/>
          <w:bCs/>
          <w:color w:val="auto"/>
          <w:highlight w:val="none"/>
        </w:rPr>
        <w:t>。</w:t>
      </w:r>
    </w:p>
    <w:p>
      <w:pPr>
        <w:pStyle w:val="18"/>
        <w:spacing w:line="440" w:lineRule="exact"/>
        <w:ind w:firstLine="420" w:firstLineChars="200"/>
        <w:rPr>
          <w:rFonts w:hAnsi="宋体"/>
          <w:bCs/>
          <w:color w:val="auto"/>
          <w:highlight w:val="none"/>
        </w:rPr>
      </w:pPr>
      <w:r>
        <w:rPr>
          <w:rFonts w:hint="eastAsia"/>
          <w:color w:val="auto"/>
          <w:highlight w:val="none"/>
        </w:rPr>
        <w:t xml:space="preserve">3.3  </w:t>
      </w:r>
      <w:r>
        <w:rPr>
          <w:rFonts w:hint="eastAsia" w:hAnsi="宋体"/>
          <w:bCs/>
          <w:color w:val="auto"/>
          <w:highlight w:val="none"/>
        </w:rPr>
        <w:t>投标人须知前附表规定接受联合体投标的，两个以上供应商可以组成一个投标联合体，</w:t>
      </w:r>
      <w:r>
        <w:rPr>
          <w:rFonts w:hint="eastAsia" w:hAnsi="宋体"/>
          <w:color w:val="auto"/>
          <w:szCs w:val="21"/>
          <w:highlight w:val="none"/>
        </w:rPr>
        <w:t>以一个投标人的身份共同参加投标</w:t>
      </w:r>
      <w:r>
        <w:rPr>
          <w:rFonts w:hint="eastAsia" w:hAnsi="宋体"/>
          <w:bCs/>
          <w:color w:val="auto"/>
          <w:highlight w:val="none"/>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8"/>
        <w:spacing w:line="440" w:lineRule="exact"/>
        <w:ind w:firstLine="420" w:firstLineChars="200"/>
        <w:rPr>
          <w:rFonts w:hAnsi="宋体"/>
          <w:bCs/>
          <w:color w:val="auto"/>
          <w:highlight w:val="none"/>
        </w:rPr>
      </w:pPr>
      <w:r>
        <w:rPr>
          <w:rFonts w:hint="eastAsia" w:hAnsi="宋体"/>
          <w:bCs/>
          <w:color w:val="auto"/>
          <w:highlight w:val="none"/>
        </w:rPr>
        <w:t xml:space="preserve">3.4  </w:t>
      </w:r>
      <w:r>
        <w:rPr>
          <w:rFonts w:hint="eastAsia" w:hAnsi="宋体"/>
          <w:color w:val="auto"/>
          <w:highlight w:val="none"/>
        </w:rPr>
        <w:t xml:space="preserve">投标人不得直接或间接地与为本次采购的项目内容进行设计、编制规范和其他文件的咨询公司、采购人、采购代理机构或其附属机构有任何关联。 </w:t>
      </w:r>
    </w:p>
    <w:p>
      <w:pPr>
        <w:pStyle w:val="18"/>
        <w:spacing w:line="440" w:lineRule="exact"/>
        <w:ind w:left="1"/>
        <w:jc w:val="left"/>
        <w:rPr>
          <w:rFonts w:hAnsi="宋体"/>
          <w:bCs/>
          <w:color w:val="auto"/>
          <w:sz w:val="24"/>
          <w:highlight w:val="none"/>
        </w:rPr>
      </w:pPr>
      <w:r>
        <w:rPr>
          <w:rFonts w:hint="eastAsia" w:hAnsi="宋体"/>
          <w:bCs/>
          <w:color w:val="auto"/>
          <w:sz w:val="24"/>
          <w:highlight w:val="none"/>
        </w:rPr>
        <w:t>4.  询问</w:t>
      </w:r>
    </w:p>
    <w:p>
      <w:pPr>
        <w:pStyle w:val="18"/>
        <w:spacing w:line="440" w:lineRule="exact"/>
        <w:ind w:left="2" w:firstLine="360"/>
        <w:jc w:val="left"/>
        <w:rPr>
          <w:rFonts w:hAnsi="宋体"/>
          <w:bCs/>
          <w:color w:val="auto"/>
          <w:highlight w:val="none"/>
        </w:rPr>
      </w:pPr>
      <w:r>
        <w:rPr>
          <w:rFonts w:hint="eastAsia" w:hAnsi="宋体"/>
          <w:bCs/>
          <w:color w:val="auto"/>
          <w:highlight w:val="none"/>
        </w:rPr>
        <w:t>4.1供应商对政府采购活动事项有疑问的，可以向采购人或采购代理机构项目负责人提出询问。</w:t>
      </w:r>
    </w:p>
    <w:p>
      <w:pPr>
        <w:pStyle w:val="18"/>
        <w:spacing w:line="440" w:lineRule="exact"/>
        <w:ind w:left="2" w:firstLine="360"/>
        <w:jc w:val="left"/>
        <w:rPr>
          <w:rFonts w:hAnsi="宋体"/>
          <w:bCs/>
          <w:color w:val="auto"/>
          <w:highlight w:val="none"/>
        </w:rPr>
      </w:pPr>
      <w:r>
        <w:rPr>
          <w:rFonts w:hint="eastAsia" w:hAnsi="宋体"/>
          <w:bCs/>
          <w:color w:val="auto"/>
          <w:highlight w:val="none"/>
        </w:rPr>
        <w:t>4.2采购人或采购人委托的采购代理机构自受理询问之日起3个工作日内对供应商依法提出的询问作出答复。</w:t>
      </w:r>
    </w:p>
    <w:p>
      <w:pPr>
        <w:pStyle w:val="18"/>
        <w:spacing w:line="440" w:lineRule="exact"/>
        <w:ind w:left="2" w:firstLine="360"/>
        <w:jc w:val="left"/>
        <w:rPr>
          <w:rFonts w:hAnsi="宋体"/>
          <w:bCs/>
          <w:color w:val="auto"/>
          <w:highlight w:val="none"/>
        </w:rPr>
      </w:pPr>
      <w:r>
        <w:rPr>
          <w:rFonts w:hAnsi="宋体"/>
          <w:bCs/>
          <w:color w:val="auto"/>
          <w:highlight w:val="none"/>
        </w:rPr>
        <w:t xml:space="preserve">4.3 </w:t>
      </w:r>
      <w:r>
        <w:rPr>
          <w:rFonts w:hint="eastAsia" w:hAnsi="宋体"/>
          <w:bCs/>
          <w:color w:val="auto"/>
          <w:highlight w:val="none"/>
        </w:rPr>
        <w:t>询问事项可能影响中标、成交结果的，采购人应当暂停签订合同，已经签订合同的，应当中止履行合同。</w:t>
      </w:r>
    </w:p>
    <w:p>
      <w:pPr>
        <w:pStyle w:val="18"/>
        <w:spacing w:line="440" w:lineRule="exact"/>
        <w:jc w:val="left"/>
        <w:rPr>
          <w:rFonts w:hAnsi="宋体"/>
          <w:bCs/>
          <w:color w:val="auto"/>
          <w:sz w:val="24"/>
          <w:highlight w:val="none"/>
        </w:rPr>
      </w:pPr>
      <w:r>
        <w:rPr>
          <w:rFonts w:hint="eastAsia" w:hAnsi="宋体"/>
          <w:bCs/>
          <w:color w:val="auto"/>
          <w:sz w:val="24"/>
          <w:highlight w:val="none"/>
        </w:rPr>
        <w:t>5. 质疑和投诉</w:t>
      </w:r>
    </w:p>
    <w:p>
      <w:pPr>
        <w:pStyle w:val="18"/>
        <w:spacing w:line="440" w:lineRule="exact"/>
        <w:jc w:val="left"/>
        <w:rPr>
          <w:rFonts w:hAnsi="宋体"/>
          <w:bCs/>
          <w:color w:val="auto"/>
          <w:sz w:val="24"/>
          <w:highlight w:val="none"/>
        </w:rPr>
      </w:pPr>
      <w:r>
        <w:rPr>
          <w:rFonts w:hint="eastAsia" w:hAnsi="宋体"/>
          <w:bCs/>
          <w:color w:val="auto"/>
          <w:sz w:val="24"/>
          <w:highlight w:val="none"/>
        </w:rPr>
        <w:t>5.1 质疑</w:t>
      </w:r>
    </w:p>
    <w:p>
      <w:pPr>
        <w:pStyle w:val="18"/>
        <w:spacing w:line="440" w:lineRule="exact"/>
        <w:jc w:val="left"/>
        <w:rPr>
          <w:rFonts w:hAnsi="宋体"/>
          <w:bCs/>
          <w:color w:val="auto"/>
          <w:highlight w:val="none"/>
        </w:rPr>
      </w:pPr>
      <w:r>
        <w:rPr>
          <w:rFonts w:hint="eastAsia" w:hAnsi="宋体"/>
          <w:bCs/>
          <w:color w:val="auto"/>
          <w:highlight w:val="none"/>
        </w:rPr>
        <w:t>5.1.1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w:t>
      </w:r>
      <w:r>
        <w:rPr>
          <w:rFonts w:hint="eastAsia" w:hAnsi="宋体"/>
          <w:bCs/>
          <w:color w:val="auto"/>
          <w:szCs w:val="21"/>
          <w:highlight w:val="none"/>
        </w:rPr>
        <w:t>和联系方式</w:t>
      </w:r>
      <w:r>
        <w:rPr>
          <w:rFonts w:hint="eastAsia" w:hAnsi="宋体"/>
          <w:bCs/>
          <w:color w:val="auto"/>
          <w:highlight w:val="none"/>
        </w:rPr>
        <w:t>详见投标人须知前附表。采购代理机构应根据采购文件的规定将属于采购人受理和答复的质疑材料及时移交给采购人，采购人应将质疑处理情况及时函告采购代理机构。</w:t>
      </w:r>
    </w:p>
    <w:p>
      <w:pPr>
        <w:pStyle w:val="18"/>
        <w:spacing w:line="440" w:lineRule="exact"/>
        <w:ind w:left="2" w:firstLine="360"/>
        <w:jc w:val="left"/>
        <w:rPr>
          <w:rFonts w:hAnsi="宋体"/>
          <w:bCs/>
          <w:color w:val="auto"/>
          <w:highlight w:val="none"/>
        </w:rPr>
      </w:pPr>
      <w:r>
        <w:rPr>
          <w:rFonts w:hint="eastAsia" w:hAnsi="宋体"/>
          <w:bCs/>
          <w:color w:val="auto"/>
          <w:highlight w:val="none"/>
        </w:rPr>
        <w:t>5.1.1.1潜在供应商依法获取公开招标文件后，认为采购文件使自己的权益受到损害的，应当在公开招标文件公告期限届满之日起7个工作日内提出质疑。对公开招标文件中采购需求（含资格要求、</w:t>
      </w:r>
      <w:r>
        <w:rPr>
          <w:rFonts w:hint="eastAsia" w:hAnsi="宋体" w:cs="宋体"/>
          <w:color w:val="auto"/>
          <w:kern w:val="0"/>
          <w:szCs w:val="21"/>
          <w:highlight w:val="none"/>
        </w:rPr>
        <w:t>预算金额</w:t>
      </w:r>
      <w:r>
        <w:rPr>
          <w:rFonts w:hint="eastAsia" w:hAnsi="宋体"/>
          <w:bCs/>
          <w:color w:val="auto"/>
          <w:highlight w:val="none"/>
        </w:rPr>
        <w:t>和评分办法）的质疑由采购人受理并负责答复；对公开招标文件中的采购执行程序的质疑由采购代理机构受理并负责答复。</w:t>
      </w:r>
    </w:p>
    <w:p>
      <w:pPr>
        <w:pStyle w:val="18"/>
        <w:spacing w:line="440" w:lineRule="exact"/>
        <w:ind w:left="2" w:firstLine="360"/>
        <w:jc w:val="left"/>
        <w:rPr>
          <w:rFonts w:hAnsi="宋体"/>
          <w:bCs/>
          <w:color w:val="auto"/>
          <w:highlight w:val="none"/>
        </w:rPr>
      </w:pPr>
      <w:r>
        <w:rPr>
          <w:rFonts w:hint="eastAsia" w:hAnsi="宋体"/>
          <w:bCs/>
          <w:color w:val="auto"/>
          <w:highlight w:val="none"/>
        </w:rPr>
        <w:t>5.1.1.2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pPr>
        <w:pStyle w:val="18"/>
        <w:spacing w:line="440" w:lineRule="exact"/>
        <w:ind w:left="2" w:firstLine="360"/>
        <w:jc w:val="left"/>
        <w:rPr>
          <w:rFonts w:hAnsi="宋体"/>
          <w:bCs/>
          <w:color w:val="auto"/>
          <w:szCs w:val="21"/>
          <w:highlight w:val="none"/>
        </w:rPr>
      </w:pPr>
      <w:r>
        <w:rPr>
          <w:rFonts w:hint="eastAsia" w:hAnsi="宋体"/>
          <w:bCs/>
          <w:color w:val="auto"/>
          <w:highlight w:val="none"/>
        </w:rPr>
        <w:t>5.1.1.3供应商认为中标或者成交结果使自己的权益受到损害的，应当在中标或者成交结果公告期限届满之日起7个工作日内提出质疑，由采购人受理并负责答复。</w:t>
      </w:r>
    </w:p>
    <w:p>
      <w:pPr>
        <w:pStyle w:val="18"/>
        <w:spacing w:line="440" w:lineRule="exact"/>
        <w:ind w:left="2" w:firstLine="360"/>
        <w:jc w:val="left"/>
        <w:rPr>
          <w:rFonts w:hAnsi="宋体"/>
          <w:bCs/>
          <w:color w:val="auto"/>
          <w:szCs w:val="21"/>
          <w:highlight w:val="none"/>
        </w:rPr>
      </w:pPr>
      <w:r>
        <w:rPr>
          <w:rFonts w:hint="eastAsia" w:hAnsi="宋体"/>
          <w:bCs/>
          <w:color w:val="auto"/>
          <w:szCs w:val="21"/>
          <w:highlight w:val="none"/>
        </w:rPr>
        <w:t>5.1.2  供应商质疑实行实名制，其质疑应当有具体的质疑事项及事实根据，质疑应当坚持依法依规、诚实信用原则，不得进行虚假、恶意质疑。</w:t>
      </w:r>
    </w:p>
    <w:p>
      <w:pPr>
        <w:pStyle w:val="18"/>
        <w:spacing w:line="440" w:lineRule="exact"/>
        <w:ind w:left="2" w:firstLine="360"/>
        <w:jc w:val="left"/>
        <w:rPr>
          <w:bCs/>
          <w:color w:val="auto"/>
          <w:szCs w:val="21"/>
          <w:highlight w:val="none"/>
        </w:rPr>
      </w:pPr>
      <w:r>
        <w:rPr>
          <w:rFonts w:hint="eastAsia"/>
          <w:bCs/>
          <w:color w:val="auto"/>
          <w:szCs w:val="21"/>
          <w:highlight w:val="none"/>
        </w:rPr>
        <w:t xml:space="preserve">5.1.3  </w:t>
      </w:r>
      <w:r>
        <w:rPr>
          <w:bCs/>
          <w:color w:val="auto"/>
          <w:szCs w:val="21"/>
          <w:highlight w:val="none"/>
        </w:rPr>
        <w:t>供应商提交质疑应当提交质疑函和必要的证明材料</w:t>
      </w:r>
      <w:r>
        <w:rPr>
          <w:rFonts w:hAnsi="宋体"/>
          <w:bCs/>
          <w:color w:val="auto"/>
          <w:szCs w:val="21"/>
          <w:highlight w:val="none"/>
        </w:rPr>
        <w:t>[</w:t>
      </w:r>
      <w:r>
        <w:rPr>
          <w:rFonts w:hint="eastAsia" w:hAnsi="宋体"/>
          <w:bCs/>
          <w:color w:val="auto"/>
          <w:szCs w:val="21"/>
          <w:highlight w:val="none"/>
        </w:rPr>
        <w:t>按第七章“质疑材料格式”提供的“质疑函（格式）”和“质疑证明材料（格式）”的要求填写</w:t>
      </w:r>
      <w:r>
        <w:rPr>
          <w:rFonts w:hAnsi="宋体"/>
          <w:bCs/>
          <w:color w:val="auto"/>
          <w:szCs w:val="21"/>
          <w:highlight w:val="none"/>
        </w:rPr>
        <w:t>]</w:t>
      </w:r>
      <w:r>
        <w:rPr>
          <w:bCs/>
          <w:color w:val="auto"/>
          <w:szCs w:val="21"/>
          <w:highlight w:val="none"/>
        </w:rPr>
        <w:t>，质疑函应当包括下列内容：</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1</w:t>
      </w:r>
      <w:r>
        <w:rPr>
          <w:bCs/>
          <w:color w:val="auto"/>
          <w:szCs w:val="21"/>
          <w:highlight w:val="none"/>
        </w:rPr>
        <w:t>）供应商的姓名或者名称、地址、邮编、联系人及联系电话；</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2</w:t>
      </w:r>
      <w:r>
        <w:rPr>
          <w:bCs/>
          <w:color w:val="auto"/>
          <w:szCs w:val="21"/>
          <w:highlight w:val="none"/>
        </w:rPr>
        <w:t>）质疑项目的名称、编号；</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3</w:t>
      </w:r>
      <w:r>
        <w:rPr>
          <w:bCs/>
          <w:color w:val="auto"/>
          <w:szCs w:val="21"/>
          <w:highlight w:val="none"/>
        </w:rPr>
        <w:t>）具体、明确的质疑事项和质疑事项相关的请求；</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4</w:t>
      </w:r>
      <w:r>
        <w:rPr>
          <w:bCs/>
          <w:color w:val="auto"/>
          <w:szCs w:val="21"/>
          <w:highlight w:val="none"/>
        </w:rPr>
        <w:t>）事实依据</w:t>
      </w:r>
      <w:r>
        <w:rPr>
          <w:rFonts w:hint="eastAsia" w:hAnsi="宋体"/>
          <w:bCs/>
          <w:color w:val="auto"/>
          <w:szCs w:val="21"/>
          <w:highlight w:val="none"/>
        </w:rPr>
        <w:t>（列明权益受到损害的事实和理由）</w:t>
      </w:r>
      <w:r>
        <w:rPr>
          <w:bCs/>
          <w:color w:val="auto"/>
          <w:szCs w:val="21"/>
          <w:highlight w:val="none"/>
        </w:rPr>
        <w:t>；</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5</w:t>
      </w:r>
      <w:r>
        <w:rPr>
          <w:bCs/>
          <w:color w:val="auto"/>
          <w:szCs w:val="21"/>
          <w:highlight w:val="none"/>
        </w:rPr>
        <w:t>）必要的法律依据；</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6</w:t>
      </w:r>
      <w:r>
        <w:rPr>
          <w:bCs/>
          <w:color w:val="auto"/>
          <w:szCs w:val="21"/>
          <w:highlight w:val="none"/>
        </w:rPr>
        <w:t>）提起质疑的日期；</w:t>
      </w:r>
    </w:p>
    <w:p>
      <w:pPr>
        <w:pStyle w:val="18"/>
        <w:spacing w:line="440" w:lineRule="exact"/>
        <w:ind w:left="2" w:firstLine="360"/>
        <w:jc w:val="left"/>
        <w:rPr>
          <w:rFonts w:hAnsi="宋体"/>
          <w:color w:val="auto"/>
          <w:highlight w:val="none"/>
        </w:rPr>
      </w:pPr>
      <w:r>
        <w:rPr>
          <w:bCs/>
          <w:color w:val="auto"/>
          <w:szCs w:val="21"/>
          <w:highlight w:val="none"/>
        </w:rPr>
        <w:t>供应商为自然人的，应当由本人签字；质疑供应商为法人或者其他组织的，应当由法定代表人、主要负责人签字或其授权代表签字或盖章并加盖公章。</w:t>
      </w:r>
    </w:p>
    <w:p>
      <w:pPr>
        <w:pStyle w:val="18"/>
        <w:spacing w:line="440" w:lineRule="exact"/>
        <w:ind w:left="2" w:firstLine="360"/>
        <w:rPr>
          <w:rFonts w:hAnsi="宋体"/>
          <w:bCs/>
          <w:color w:val="auto"/>
          <w:highlight w:val="none"/>
        </w:rPr>
      </w:pPr>
      <w:r>
        <w:rPr>
          <w:rFonts w:hint="eastAsia" w:hAnsi="宋体"/>
          <w:bCs/>
          <w:color w:val="auto"/>
          <w:highlight w:val="none"/>
        </w:rPr>
        <w:t>5.1.4  质疑供应商可以委托代理人办理质疑事务。委托代理人应熟悉相关业务情况。代理人办理质疑事务时，除提交质疑书外，还应当提交质疑供应商的授权委托书，授权委托书应当载明委托代理的具体权限和事项</w:t>
      </w:r>
      <w:r>
        <w:rPr>
          <w:rFonts w:hint="eastAsia" w:hAnsi="宋体"/>
          <w:color w:val="auto"/>
          <w:highlight w:val="none"/>
        </w:rPr>
        <w:t>。</w:t>
      </w:r>
    </w:p>
    <w:p>
      <w:pPr>
        <w:pStyle w:val="18"/>
        <w:spacing w:line="440" w:lineRule="exact"/>
        <w:ind w:left="2" w:firstLine="360"/>
        <w:rPr>
          <w:rFonts w:hAnsi="宋体"/>
          <w:bCs/>
          <w:color w:val="auto"/>
          <w:highlight w:val="none"/>
        </w:rPr>
      </w:pPr>
      <w:r>
        <w:rPr>
          <w:rFonts w:hint="eastAsia" w:hAnsi="宋体"/>
          <w:bCs/>
          <w:color w:val="auto"/>
          <w:highlight w:val="none"/>
        </w:rPr>
        <w:t>5.1.5  质疑供应商提起质疑应当符合下列条件：</w:t>
      </w:r>
    </w:p>
    <w:p>
      <w:pPr>
        <w:pStyle w:val="18"/>
        <w:spacing w:line="440" w:lineRule="exact"/>
        <w:ind w:left="2" w:firstLine="360"/>
        <w:rPr>
          <w:rFonts w:hAnsi="宋体"/>
          <w:bCs/>
          <w:color w:val="auto"/>
          <w:highlight w:val="none"/>
        </w:rPr>
      </w:pPr>
      <w:r>
        <w:rPr>
          <w:rFonts w:hint="eastAsia" w:hAnsi="宋体"/>
          <w:bCs/>
          <w:color w:val="auto"/>
          <w:highlight w:val="none"/>
        </w:rPr>
        <w:t>（1）质疑供应商是参与所质疑</w:t>
      </w:r>
      <w:r>
        <w:rPr>
          <w:rFonts w:hint="eastAsia" w:hAnsi="宋体"/>
          <w:bCs/>
          <w:color w:val="auto"/>
          <w:szCs w:val="21"/>
          <w:highlight w:val="none"/>
        </w:rPr>
        <w:t>项目</w:t>
      </w:r>
      <w:r>
        <w:rPr>
          <w:rFonts w:hint="eastAsia" w:hAnsi="宋体"/>
          <w:bCs/>
          <w:color w:val="auto"/>
          <w:highlight w:val="none"/>
        </w:rPr>
        <w:t>采购活动的供应商，以联合体形式参加政府采购活动的，其质疑应当由组成联合体的所有供应商共同提出；</w:t>
      </w:r>
    </w:p>
    <w:p>
      <w:pPr>
        <w:pStyle w:val="18"/>
        <w:spacing w:line="440" w:lineRule="exact"/>
        <w:ind w:left="2" w:firstLine="360"/>
        <w:rPr>
          <w:rFonts w:hAnsi="宋体"/>
          <w:bCs/>
          <w:color w:val="auto"/>
          <w:highlight w:val="none"/>
        </w:rPr>
      </w:pPr>
      <w:r>
        <w:rPr>
          <w:rFonts w:hint="eastAsia" w:hAnsi="宋体"/>
          <w:bCs/>
          <w:color w:val="auto"/>
          <w:highlight w:val="none"/>
        </w:rPr>
        <w:t>（2）质疑函内容符合本章第5.1.3项的规定；</w:t>
      </w:r>
    </w:p>
    <w:p>
      <w:pPr>
        <w:pStyle w:val="18"/>
        <w:spacing w:line="440" w:lineRule="exact"/>
        <w:ind w:left="2" w:firstLine="360"/>
        <w:rPr>
          <w:rFonts w:hAnsi="宋体"/>
          <w:bCs/>
          <w:color w:val="auto"/>
          <w:highlight w:val="none"/>
        </w:rPr>
      </w:pPr>
      <w:r>
        <w:rPr>
          <w:rFonts w:hint="eastAsia" w:hAnsi="宋体"/>
          <w:bCs/>
          <w:color w:val="auto"/>
          <w:highlight w:val="none"/>
        </w:rPr>
        <w:t>（3）在质疑有效期限内提起质疑；</w:t>
      </w:r>
    </w:p>
    <w:p>
      <w:pPr>
        <w:pStyle w:val="18"/>
        <w:spacing w:line="440" w:lineRule="exact"/>
        <w:ind w:left="2" w:firstLine="360"/>
        <w:rPr>
          <w:rFonts w:hAnsi="宋体"/>
          <w:bCs/>
          <w:color w:val="auto"/>
          <w:highlight w:val="none"/>
        </w:rPr>
      </w:pPr>
      <w:r>
        <w:rPr>
          <w:rFonts w:hint="eastAsia" w:hAnsi="宋体"/>
          <w:bCs/>
          <w:color w:val="auto"/>
          <w:highlight w:val="none"/>
        </w:rPr>
        <w:t>（4）属于所质疑的采购人或采购人委托的采购代理机构组织的采购活动；</w:t>
      </w:r>
    </w:p>
    <w:p>
      <w:pPr>
        <w:pStyle w:val="18"/>
        <w:spacing w:line="440" w:lineRule="exact"/>
        <w:ind w:left="2" w:firstLine="360"/>
        <w:rPr>
          <w:rFonts w:hAnsi="宋体"/>
          <w:bCs/>
          <w:color w:val="auto"/>
          <w:highlight w:val="none"/>
        </w:rPr>
      </w:pPr>
      <w:r>
        <w:rPr>
          <w:rFonts w:hint="eastAsia" w:hAnsi="宋体"/>
          <w:bCs/>
          <w:color w:val="auto"/>
          <w:highlight w:val="none"/>
        </w:rPr>
        <w:t xml:space="preserve">（5）同一质疑事项未经采购人或采购人委托的采购代理机构质疑处理； </w:t>
      </w:r>
    </w:p>
    <w:p>
      <w:pPr>
        <w:pStyle w:val="18"/>
        <w:spacing w:line="440" w:lineRule="exact"/>
        <w:ind w:left="2" w:firstLine="360"/>
        <w:rPr>
          <w:rFonts w:hAnsi="宋体"/>
          <w:bCs/>
          <w:color w:val="auto"/>
          <w:highlight w:val="none"/>
        </w:rPr>
      </w:pPr>
      <w:r>
        <w:rPr>
          <w:rFonts w:hint="eastAsia" w:hAnsi="宋体"/>
          <w:bCs/>
          <w:color w:val="auto"/>
          <w:highlight w:val="none"/>
        </w:rPr>
        <w:t>（6）供应商对同一采购程序环节的质疑应当在质疑有效期内一次性提出；</w:t>
      </w:r>
    </w:p>
    <w:p>
      <w:pPr>
        <w:pStyle w:val="18"/>
        <w:spacing w:line="440" w:lineRule="exact"/>
        <w:ind w:left="2" w:firstLine="360"/>
        <w:rPr>
          <w:rFonts w:hAnsi="宋体"/>
          <w:bCs/>
          <w:color w:val="auto"/>
          <w:highlight w:val="none"/>
        </w:rPr>
      </w:pPr>
      <w:r>
        <w:rPr>
          <w:rFonts w:hint="eastAsia" w:hAnsi="宋体"/>
          <w:bCs/>
          <w:color w:val="auto"/>
          <w:highlight w:val="none"/>
        </w:rPr>
        <w:t>（7）供应商提交质疑应当提交必要的证明材料，证明材料应以合法手段取得；</w:t>
      </w:r>
    </w:p>
    <w:p>
      <w:pPr>
        <w:pStyle w:val="18"/>
        <w:spacing w:line="440" w:lineRule="exact"/>
        <w:ind w:left="2" w:firstLine="360"/>
        <w:rPr>
          <w:color w:val="auto"/>
          <w:highlight w:val="none"/>
        </w:rPr>
      </w:pPr>
      <w:r>
        <w:rPr>
          <w:rFonts w:hint="eastAsia" w:hAnsi="宋体"/>
          <w:bCs/>
          <w:color w:val="auto"/>
          <w:highlight w:val="none"/>
        </w:rPr>
        <w:t>（8）财政部门规定的其他条件。</w:t>
      </w:r>
    </w:p>
    <w:p>
      <w:pPr>
        <w:pStyle w:val="18"/>
        <w:spacing w:line="460" w:lineRule="exact"/>
        <w:ind w:firstLine="420" w:firstLineChars="200"/>
        <w:rPr>
          <w:color w:val="auto"/>
          <w:szCs w:val="21"/>
          <w:highlight w:val="none"/>
        </w:rPr>
      </w:pPr>
      <w:r>
        <w:rPr>
          <w:rFonts w:hint="eastAsia"/>
          <w:color w:val="auto"/>
          <w:highlight w:val="none"/>
        </w:rPr>
        <w:t xml:space="preserve">5.1.6  </w:t>
      </w:r>
      <w:r>
        <w:rPr>
          <w:rFonts w:hint="eastAsia"/>
          <w:color w:val="auto"/>
          <w:szCs w:val="21"/>
          <w:highlight w:val="none"/>
        </w:rPr>
        <w:t>采购人或采购人委托的采购代理机构在收到质疑函后7个工作日内作出答复，并以书面形式通知质疑供应商及其他有关供应商。对不符合质疑条件的质疑，答复质疑不成立，并说明理由；对符合质疑条件的质疑，对质疑事项作出答复</w:t>
      </w:r>
      <w:r>
        <w:rPr>
          <w:rFonts w:hint="eastAsia" w:ascii="Helvetica" w:hAnsi="Helvetica" w:cs="Helvetica"/>
          <w:color w:val="auto"/>
          <w:highlight w:val="none"/>
        </w:rPr>
        <w:t>。</w:t>
      </w:r>
    </w:p>
    <w:p>
      <w:pPr>
        <w:spacing w:line="440" w:lineRule="exact"/>
        <w:ind w:firstLine="420" w:firstLineChars="200"/>
        <w:rPr>
          <w:rFonts w:ascii="宋体" w:hAnsi="宋体"/>
          <w:color w:val="auto"/>
          <w:highlight w:val="none"/>
        </w:rPr>
      </w:pPr>
      <w:r>
        <w:rPr>
          <w:rFonts w:hAnsi="宋体"/>
          <w:bCs/>
          <w:color w:val="auto"/>
          <w:szCs w:val="21"/>
          <w:highlight w:val="none"/>
        </w:rPr>
        <w:t>5.1.7</w:t>
      </w:r>
      <w:r>
        <w:rPr>
          <w:rFonts w:hint="eastAsia" w:hAnsi="宋体"/>
          <w:bCs/>
          <w:color w:val="auto"/>
          <w:szCs w:val="21"/>
          <w:highlight w:val="none"/>
        </w:rPr>
        <w:t>质疑事项可能影响中标、成交结果的，采购人应当暂停签订合同，已经签订合同的，应当中止履行合同。</w:t>
      </w:r>
    </w:p>
    <w:p>
      <w:pPr>
        <w:pStyle w:val="18"/>
        <w:spacing w:line="440" w:lineRule="exact"/>
        <w:jc w:val="left"/>
        <w:rPr>
          <w:rFonts w:hAnsi="宋体"/>
          <w:bCs/>
          <w:color w:val="auto"/>
          <w:sz w:val="24"/>
          <w:highlight w:val="none"/>
        </w:rPr>
      </w:pPr>
      <w:r>
        <w:rPr>
          <w:rFonts w:hint="eastAsia" w:hAnsi="宋体"/>
          <w:bCs/>
          <w:color w:val="auto"/>
          <w:sz w:val="24"/>
          <w:highlight w:val="none"/>
        </w:rPr>
        <w:t>5.2  投诉</w:t>
      </w:r>
    </w:p>
    <w:p>
      <w:pPr>
        <w:pStyle w:val="18"/>
        <w:spacing w:line="440" w:lineRule="exact"/>
        <w:ind w:left="2" w:leftChars="1" w:firstLine="420" w:firstLineChars="200"/>
        <w:jc w:val="left"/>
        <w:rPr>
          <w:rFonts w:hAnsi="宋体"/>
          <w:bCs/>
          <w:color w:val="auto"/>
          <w:highlight w:val="none"/>
        </w:rPr>
      </w:pPr>
      <w:r>
        <w:rPr>
          <w:rFonts w:hint="eastAsia" w:hAnsi="宋体"/>
          <w:bCs/>
          <w:color w:val="auto"/>
          <w:highlight w:val="none"/>
        </w:rPr>
        <w:t>5.2.1  供应商认为采购文件、采购过程、中标和成交结果使自己的合法权益受到损害的，应当首先依法向采购人或采购人委托的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未在规定期限内做出答复的，供应商可以在答复期满后15个工作日内向南宁市政府采购监督管理部门提起投诉。</w:t>
      </w:r>
    </w:p>
    <w:p>
      <w:pPr>
        <w:pStyle w:val="18"/>
        <w:spacing w:line="440" w:lineRule="exact"/>
        <w:ind w:left="2" w:leftChars="1" w:firstLine="420" w:firstLineChars="200"/>
        <w:jc w:val="left"/>
        <w:rPr>
          <w:rFonts w:hAnsi="宋体"/>
          <w:bCs/>
          <w:color w:val="auto"/>
          <w:highlight w:val="none"/>
        </w:rPr>
      </w:pPr>
      <w:r>
        <w:rPr>
          <w:rFonts w:hint="eastAsia"/>
          <w:color w:val="auto"/>
          <w:highlight w:val="none"/>
        </w:rPr>
        <w:t>5.2.2  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pStyle w:val="18"/>
        <w:spacing w:line="440" w:lineRule="exact"/>
        <w:ind w:left="2" w:firstLine="417" w:firstLineChars="199"/>
        <w:jc w:val="left"/>
        <w:rPr>
          <w:color w:val="auto"/>
          <w:highlight w:val="none"/>
        </w:rPr>
      </w:pPr>
      <w:r>
        <w:rPr>
          <w:rFonts w:hint="eastAsia" w:hAnsi="宋体"/>
          <w:color w:val="auto"/>
          <w:highlight w:val="none"/>
        </w:rPr>
        <w:t xml:space="preserve">（1）投诉人和被投诉人的名称、地址、电话等； </w:t>
      </w:r>
    </w:p>
    <w:p>
      <w:pPr>
        <w:pStyle w:val="18"/>
        <w:spacing w:line="440" w:lineRule="exact"/>
        <w:ind w:left="2" w:firstLine="417" w:firstLineChars="199"/>
        <w:jc w:val="left"/>
        <w:rPr>
          <w:color w:val="auto"/>
          <w:highlight w:val="none"/>
        </w:rPr>
      </w:pPr>
      <w:r>
        <w:rPr>
          <w:rFonts w:hint="eastAsia" w:hAnsi="宋体"/>
          <w:color w:val="auto"/>
          <w:highlight w:val="none"/>
        </w:rPr>
        <w:t>（2）具体的投诉事项及事实依据；</w:t>
      </w:r>
    </w:p>
    <w:p>
      <w:pPr>
        <w:pStyle w:val="18"/>
        <w:spacing w:line="440" w:lineRule="exact"/>
        <w:ind w:left="2" w:firstLine="417" w:firstLineChars="199"/>
        <w:jc w:val="left"/>
        <w:rPr>
          <w:color w:val="auto"/>
          <w:highlight w:val="none"/>
        </w:rPr>
      </w:pPr>
      <w:r>
        <w:rPr>
          <w:rFonts w:hint="eastAsia" w:hAnsi="宋体"/>
          <w:color w:val="auto"/>
          <w:highlight w:val="none"/>
        </w:rPr>
        <w:t xml:space="preserve">（3）质疑和质疑答复情况及相关证明材料； </w:t>
      </w:r>
    </w:p>
    <w:p>
      <w:pPr>
        <w:pStyle w:val="18"/>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（4）提起投诉的日期。</w:t>
      </w:r>
    </w:p>
    <w:p>
      <w:pPr>
        <w:pStyle w:val="18"/>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（5）附件材料：营业执照副本内页复印件（要求证件有效并清晰反映企业法人经营范围；近期连续三个月依法缴纳税收和在职职工社会保障资金证明材料（复印件）。</w:t>
      </w:r>
      <w:r>
        <w:rPr>
          <w:rFonts w:hint="eastAsia" w:hAnsi="宋体"/>
          <w:color w:val="auto"/>
          <w:highlight w:val="none"/>
        </w:rPr>
        <w:tab/>
      </w:r>
    </w:p>
    <w:p>
      <w:pPr>
        <w:pStyle w:val="18"/>
        <w:spacing w:line="440" w:lineRule="exact"/>
        <w:ind w:firstLine="420" w:firstLineChars="200"/>
        <w:rPr>
          <w:rFonts w:hAnsi="宋体"/>
          <w:color w:val="auto"/>
          <w:highlight w:val="none"/>
        </w:rPr>
      </w:pPr>
      <w:r>
        <w:rPr>
          <w:rFonts w:hint="eastAsia" w:hAnsi="宋体"/>
          <w:color w:val="auto"/>
          <w:highlight w:val="none"/>
        </w:rPr>
        <w:t>投诉书应当署名。投诉人为法人或者其他组织的，应当由法定代表人或者主要负责人签字盖章并加盖公章。</w:t>
      </w:r>
    </w:p>
    <w:p>
      <w:pPr>
        <w:pStyle w:val="18"/>
        <w:spacing w:line="440" w:lineRule="exact"/>
        <w:ind w:firstLine="420" w:firstLineChars="200"/>
        <w:rPr>
          <w:rFonts w:hAnsi="宋体"/>
          <w:color w:val="auto"/>
          <w:highlight w:val="none"/>
        </w:rPr>
      </w:pPr>
      <w:r>
        <w:rPr>
          <w:rFonts w:hint="eastAsia"/>
          <w:color w:val="auto"/>
          <w:highlight w:val="none"/>
        </w:rPr>
        <w:t>5.2.3  投诉人可以委托代理人办理投诉事务。</w:t>
      </w:r>
      <w:r>
        <w:rPr>
          <w:rFonts w:hint="eastAsia" w:hAnsi="宋体"/>
          <w:bCs/>
          <w:color w:val="auto"/>
          <w:highlight w:val="none"/>
        </w:rPr>
        <w:t>委托代理人应熟悉相关业务情况。</w:t>
      </w:r>
      <w:r>
        <w:rPr>
          <w:rFonts w:hint="eastAsia"/>
          <w:color w:val="auto"/>
          <w:highlight w:val="none"/>
        </w:rPr>
        <w:t>代理人办理投诉事务时，除提交投诉书外，还应当提交投诉人的授权委托书，授权委托书应当载明委托代理的具体权限和事项；</w:t>
      </w:r>
      <w:r>
        <w:rPr>
          <w:rFonts w:hint="eastAsia" w:hAnsi="宋体"/>
          <w:bCs/>
          <w:color w:val="auto"/>
          <w:highlight w:val="none"/>
        </w:rPr>
        <w:t>提交</w:t>
      </w:r>
      <w:r>
        <w:rPr>
          <w:rFonts w:hint="eastAsia" w:hAnsi="宋体"/>
          <w:color w:val="auto"/>
          <w:highlight w:val="none"/>
        </w:rPr>
        <w:t>委托代理人身份证明复印件。</w:t>
      </w:r>
    </w:p>
    <w:p>
      <w:pPr>
        <w:pStyle w:val="18"/>
        <w:spacing w:line="440" w:lineRule="exact"/>
        <w:ind w:firstLine="420" w:firstLineChars="200"/>
        <w:rPr>
          <w:rFonts w:hAnsi="宋体"/>
          <w:color w:val="auto"/>
          <w:highlight w:val="none"/>
        </w:rPr>
      </w:pPr>
      <w:r>
        <w:rPr>
          <w:rFonts w:hint="eastAsia"/>
          <w:color w:val="auto"/>
          <w:highlight w:val="none"/>
        </w:rPr>
        <w:t>5.2.4  投诉人提起投诉应当符合下列条件：</w:t>
      </w:r>
    </w:p>
    <w:p>
      <w:pPr>
        <w:spacing w:line="440" w:lineRule="exact"/>
        <w:ind w:firstLine="4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4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420"/>
        <w:rPr>
          <w:rFonts w:ascii="宋体" w:hAnsi="宋体"/>
          <w:color w:val="auto"/>
          <w:highlight w:val="none"/>
        </w:rPr>
      </w:pPr>
      <w:r>
        <w:rPr>
          <w:rFonts w:hint="eastAsia" w:ascii="宋体" w:hAnsi="宋体"/>
          <w:color w:val="auto"/>
          <w:highlight w:val="none"/>
        </w:rPr>
        <w:t>（3）投诉书内容符合本章第5.2.2项的规定；</w:t>
      </w:r>
    </w:p>
    <w:p>
      <w:pPr>
        <w:spacing w:line="440" w:lineRule="exact"/>
        <w:ind w:firstLine="4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420"/>
        <w:rPr>
          <w:rFonts w:ascii="宋体" w:hAnsi="宋体"/>
          <w:color w:val="auto"/>
          <w:highlight w:val="none"/>
        </w:rPr>
      </w:pPr>
      <w:r>
        <w:rPr>
          <w:rFonts w:hint="eastAsia" w:ascii="宋体" w:hAnsi="宋体"/>
          <w:color w:val="auto"/>
          <w:highlight w:val="none"/>
        </w:rPr>
        <w:t>（5）属于南宁市政府采购监督管理部门管辖；</w:t>
      </w:r>
    </w:p>
    <w:p>
      <w:pPr>
        <w:spacing w:line="440" w:lineRule="exact"/>
        <w:ind w:firstLine="4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南宁市政府采购监督管理部门</w:t>
      </w:r>
      <w:r>
        <w:rPr>
          <w:rFonts w:hint="eastAsia" w:ascii="宋体" w:hAnsi="宋体"/>
          <w:color w:val="auto"/>
          <w:highlight w:val="none"/>
        </w:rPr>
        <w:t>投诉处理；</w:t>
      </w:r>
    </w:p>
    <w:p>
      <w:pPr>
        <w:spacing w:line="440" w:lineRule="exact"/>
        <w:ind w:firstLine="420"/>
        <w:rPr>
          <w:rFonts w:ascii="宋体"/>
          <w:color w:val="auto"/>
          <w:highlight w:val="none"/>
        </w:rPr>
      </w:pPr>
      <w:r>
        <w:rPr>
          <w:rFonts w:hint="eastAsia" w:ascii="宋体"/>
          <w:color w:val="auto"/>
          <w:highlight w:val="none"/>
        </w:rPr>
        <w:t>（7）国务院财政部门规定的其他条件。</w:t>
      </w:r>
    </w:p>
    <w:p>
      <w:pPr>
        <w:spacing w:line="440" w:lineRule="exact"/>
        <w:ind w:firstLine="420" w:firstLineChars="200"/>
        <w:rPr>
          <w:rFonts w:ascii="宋体"/>
          <w:color w:val="auto"/>
          <w:highlight w:val="none"/>
        </w:rPr>
      </w:pPr>
      <w:r>
        <w:rPr>
          <w:rFonts w:hint="eastAsia" w:ascii="宋体"/>
          <w:color w:val="auto"/>
          <w:highlight w:val="none"/>
        </w:rPr>
        <w:t>5.2.5  南宁市政府采购监督管理部门</w:t>
      </w:r>
      <w:r>
        <w:rPr>
          <w:rFonts w:hint="eastAsia"/>
          <w:color w:val="auto"/>
          <w:highlight w:val="none"/>
        </w:rPr>
        <w:t>自受理投诉之日起</w:t>
      </w:r>
      <w:r>
        <w:rPr>
          <w:color w:val="auto"/>
          <w:highlight w:val="none"/>
        </w:rPr>
        <w:t>30</w:t>
      </w:r>
      <w:r>
        <w:rPr>
          <w:rFonts w:hint="eastAsia"/>
          <w:color w:val="auto"/>
          <w:highlight w:val="none"/>
        </w:rPr>
        <w:t>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420" w:firstLineChars="200"/>
        <w:rPr>
          <w:rFonts w:ascii="宋体"/>
          <w:color w:val="auto"/>
          <w:highlight w:val="none"/>
        </w:rPr>
      </w:pPr>
      <w:r>
        <w:rPr>
          <w:rFonts w:hint="eastAsia" w:ascii="宋体"/>
          <w:color w:val="auto"/>
          <w:highlight w:val="none"/>
        </w:rPr>
        <w:t>5.2.6  南宁市政府采购监督管理部门在处理投诉事项期间，可以视具体情况暂停采购活动。</w:t>
      </w:r>
    </w:p>
    <w:p>
      <w:pPr>
        <w:pStyle w:val="18"/>
        <w:spacing w:line="440" w:lineRule="exact"/>
        <w:jc w:val="center"/>
        <w:outlineLvl w:val="1"/>
        <w:rPr>
          <w:rFonts w:ascii="Times New Roman" w:hAnsi="Times New Roman"/>
          <w:b/>
          <w:color w:val="auto"/>
          <w:sz w:val="30"/>
          <w:szCs w:val="30"/>
          <w:highlight w:val="none"/>
        </w:rPr>
      </w:pPr>
      <w:bookmarkStart w:id="57" w:name="_Toc401396876"/>
      <w:bookmarkStart w:id="58" w:name="_Toc213326417"/>
      <w:bookmarkStart w:id="59" w:name="_Toc12895"/>
      <w:r>
        <w:rPr>
          <w:rFonts w:hint="eastAsia" w:ascii="Times New Roman" w:hAnsi="Times New Roman"/>
          <w:b/>
          <w:color w:val="auto"/>
          <w:sz w:val="30"/>
          <w:szCs w:val="30"/>
          <w:highlight w:val="none"/>
        </w:rPr>
        <w:t>二    公开招标文件</w:t>
      </w:r>
      <w:bookmarkEnd w:id="57"/>
      <w:bookmarkEnd w:id="58"/>
      <w:bookmarkEnd w:id="59"/>
    </w:p>
    <w:p>
      <w:pPr>
        <w:pStyle w:val="18"/>
        <w:spacing w:line="440" w:lineRule="exact"/>
        <w:rPr>
          <w:rFonts w:hAnsi="宋体"/>
          <w:bCs/>
          <w:color w:val="auto"/>
          <w:highlight w:val="none"/>
        </w:rPr>
      </w:pPr>
      <w:r>
        <w:rPr>
          <w:rFonts w:hint="eastAsia" w:hAnsi="宋体"/>
          <w:bCs/>
          <w:color w:val="auto"/>
          <w:sz w:val="24"/>
          <w:highlight w:val="none"/>
        </w:rPr>
        <w:t>6.  公开招标文件的组成</w:t>
      </w:r>
    </w:p>
    <w:p>
      <w:pPr>
        <w:pStyle w:val="18"/>
        <w:spacing w:line="440" w:lineRule="exact"/>
        <w:ind w:firstLine="359" w:firstLineChars="171"/>
        <w:rPr>
          <w:rFonts w:hAnsi="宋体"/>
          <w:color w:val="auto"/>
          <w:highlight w:val="none"/>
        </w:rPr>
      </w:pPr>
      <w:r>
        <w:rPr>
          <w:rFonts w:hint="eastAsia" w:hAnsi="宋体"/>
          <w:color w:val="auto"/>
          <w:highlight w:val="none"/>
        </w:rPr>
        <w:t>6.1  本</w:t>
      </w:r>
      <w:r>
        <w:rPr>
          <w:rFonts w:hint="eastAsia" w:hAnsi="宋体"/>
          <w:bCs/>
          <w:color w:val="auto"/>
          <w:highlight w:val="none"/>
        </w:rPr>
        <w:t>公开招标</w:t>
      </w:r>
      <w:r>
        <w:rPr>
          <w:rFonts w:hint="eastAsia" w:hAnsi="宋体"/>
          <w:color w:val="auto"/>
          <w:highlight w:val="none"/>
        </w:rPr>
        <w:t>文件包括六个章节，各章的内容如下：</w:t>
      </w:r>
    </w:p>
    <w:p>
      <w:pPr>
        <w:pStyle w:val="18"/>
        <w:spacing w:line="440" w:lineRule="exact"/>
        <w:ind w:firstLine="718" w:firstLineChars="342"/>
        <w:rPr>
          <w:rFonts w:hAnsi="宋体"/>
          <w:color w:val="auto"/>
          <w:highlight w:val="none"/>
        </w:rPr>
      </w:pPr>
      <w:r>
        <w:rPr>
          <w:rFonts w:hint="eastAsia" w:hAnsi="宋体"/>
          <w:color w:val="auto"/>
          <w:highlight w:val="none"/>
        </w:rPr>
        <w:t>第一章  公告</w:t>
      </w:r>
    </w:p>
    <w:p>
      <w:pPr>
        <w:pStyle w:val="18"/>
        <w:spacing w:line="440" w:lineRule="exact"/>
        <w:ind w:firstLine="718" w:firstLineChars="342"/>
        <w:rPr>
          <w:rFonts w:hAnsi="宋体"/>
          <w:color w:val="auto"/>
          <w:highlight w:val="none"/>
        </w:rPr>
      </w:pPr>
      <w:r>
        <w:rPr>
          <w:rFonts w:hint="eastAsia" w:hAnsi="宋体"/>
          <w:color w:val="auto"/>
          <w:highlight w:val="none"/>
        </w:rPr>
        <w:t>第二章  项目需求一览表</w:t>
      </w:r>
    </w:p>
    <w:p>
      <w:pPr>
        <w:pStyle w:val="18"/>
        <w:spacing w:line="440" w:lineRule="exact"/>
        <w:ind w:firstLine="718" w:firstLineChars="342"/>
        <w:rPr>
          <w:rFonts w:hAnsi="宋体"/>
          <w:color w:val="auto"/>
          <w:highlight w:val="none"/>
        </w:rPr>
      </w:pPr>
      <w:r>
        <w:rPr>
          <w:rFonts w:hint="eastAsia" w:hAnsi="宋体"/>
          <w:color w:val="auto"/>
          <w:highlight w:val="none"/>
        </w:rPr>
        <w:t>第三章  评标方法</w:t>
      </w:r>
    </w:p>
    <w:p>
      <w:pPr>
        <w:pStyle w:val="18"/>
        <w:spacing w:line="440" w:lineRule="exact"/>
        <w:ind w:firstLine="718" w:firstLineChars="342"/>
        <w:rPr>
          <w:rFonts w:hAnsi="宋体"/>
          <w:color w:val="auto"/>
          <w:highlight w:val="none"/>
        </w:rPr>
      </w:pPr>
      <w:r>
        <w:rPr>
          <w:rFonts w:hint="eastAsia" w:hAnsi="宋体"/>
          <w:color w:val="auto"/>
          <w:highlight w:val="none"/>
        </w:rPr>
        <w:t>第四章  投标人须知</w:t>
      </w:r>
    </w:p>
    <w:p>
      <w:pPr>
        <w:pStyle w:val="18"/>
        <w:spacing w:line="440" w:lineRule="exact"/>
        <w:ind w:firstLine="718" w:firstLineChars="342"/>
        <w:rPr>
          <w:rFonts w:hAnsi="宋体"/>
          <w:color w:val="auto"/>
          <w:highlight w:val="none"/>
        </w:rPr>
      </w:pPr>
      <w:r>
        <w:rPr>
          <w:rFonts w:hint="eastAsia" w:hAnsi="宋体"/>
          <w:color w:val="auto"/>
          <w:highlight w:val="none"/>
        </w:rPr>
        <w:t>第五章  投标文件格式</w:t>
      </w:r>
    </w:p>
    <w:p>
      <w:pPr>
        <w:pStyle w:val="18"/>
        <w:spacing w:line="440" w:lineRule="exact"/>
        <w:ind w:firstLine="718" w:firstLineChars="342"/>
        <w:rPr>
          <w:rFonts w:hAnsi="宋体"/>
          <w:color w:val="auto"/>
          <w:highlight w:val="none"/>
        </w:rPr>
      </w:pPr>
      <w:r>
        <w:rPr>
          <w:rFonts w:hint="eastAsia" w:hAnsi="宋体"/>
          <w:color w:val="auto"/>
          <w:highlight w:val="none"/>
        </w:rPr>
        <w:t>第六章  合同条款及格式</w:t>
      </w:r>
    </w:p>
    <w:p>
      <w:pPr>
        <w:pStyle w:val="18"/>
        <w:spacing w:line="440" w:lineRule="exact"/>
        <w:ind w:firstLine="718" w:firstLineChars="342"/>
        <w:rPr>
          <w:rFonts w:hAnsi="宋体"/>
          <w:color w:val="auto"/>
          <w:highlight w:val="none"/>
        </w:rPr>
      </w:pPr>
      <w:r>
        <w:rPr>
          <w:rFonts w:hint="eastAsia" w:hAnsi="宋体"/>
          <w:bCs/>
          <w:color w:val="auto"/>
          <w:szCs w:val="21"/>
          <w:highlight w:val="none"/>
        </w:rPr>
        <w:t xml:space="preserve">第七章  质疑材料格式 </w:t>
      </w:r>
    </w:p>
    <w:p>
      <w:pPr>
        <w:pStyle w:val="18"/>
        <w:spacing w:line="440" w:lineRule="exact"/>
        <w:ind w:firstLine="359" w:firstLineChars="171"/>
        <w:rPr>
          <w:rFonts w:hAnsi="宋体"/>
          <w:color w:val="auto"/>
          <w:highlight w:val="none"/>
        </w:rPr>
      </w:pPr>
      <w:r>
        <w:rPr>
          <w:rFonts w:hint="eastAsia" w:hAnsi="宋体"/>
          <w:color w:val="auto"/>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18"/>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18"/>
        <w:spacing w:after="165" w:line="440" w:lineRule="exact"/>
        <w:ind w:left="2" w:firstLine="480"/>
        <w:rPr>
          <w:rFonts w:hAnsi="宋体"/>
          <w:color w:val="auto"/>
          <w:highlight w:val="none"/>
        </w:rPr>
      </w:pPr>
      <w:r>
        <w:rPr>
          <w:rFonts w:hint="eastAsia" w:hAnsi="宋体"/>
          <w:color w:val="auto"/>
          <w:highlight w:val="none"/>
        </w:rPr>
        <w:t>7.1  投标人应认真审阅本公开招标文件，如有疑问，或发现其中有误或有要求不合理的，应在投标人须知前附表规定的</w:t>
      </w:r>
      <w:r>
        <w:rPr>
          <w:rFonts w:hint="eastAsia" w:cs="宋体"/>
          <w:color w:val="auto"/>
          <w:kern w:val="0"/>
          <w:szCs w:val="21"/>
          <w:highlight w:val="none"/>
        </w:rPr>
        <w:t>投标人要求澄清的截止时间</w:t>
      </w:r>
      <w:r>
        <w:rPr>
          <w:rFonts w:hint="eastAsia" w:hAnsi="宋体"/>
          <w:color w:val="auto"/>
          <w:highlight w:val="none"/>
        </w:rPr>
        <w:t>前以书面形式要求采购人或采购代理机构对招标文件予以澄清；否则，由此产生的后果由投标人自行负责。</w:t>
      </w:r>
    </w:p>
    <w:p>
      <w:pPr>
        <w:pStyle w:val="18"/>
        <w:spacing w:line="440" w:lineRule="exact"/>
        <w:ind w:left="2" w:firstLine="360"/>
        <w:rPr>
          <w:rFonts w:hAnsi="宋体"/>
          <w:color w:val="auto"/>
          <w:highlight w:val="none"/>
        </w:rPr>
      </w:pPr>
      <w:r>
        <w:rPr>
          <w:rFonts w:hint="eastAsia" w:hAnsi="宋体"/>
          <w:color w:val="auto"/>
          <w:highlight w:val="none"/>
        </w:rPr>
        <w:t>7.2  采购人或采购代理机构必须在投标截止时间十五日前，以书面形式答复投标人要求澄清的问题，并将不包含问题来源的澄清通知所有招标文件收受人，除书面澄清以外的其他澄清方式及澄清内容均无效；</w:t>
      </w:r>
      <w:r>
        <w:rPr>
          <w:rFonts w:hint="eastAsia" w:cs="宋体"/>
          <w:color w:val="auto"/>
          <w:kern w:val="0"/>
          <w:szCs w:val="21"/>
          <w:highlight w:val="none"/>
        </w:rPr>
        <w:t>同时，采购代理机构</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发布更正公告。如果澄清发出的时间距投标截止时间不足十五日，则相应延长投标截止时间。</w:t>
      </w:r>
    </w:p>
    <w:p>
      <w:pPr>
        <w:pStyle w:val="18"/>
        <w:spacing w:after="165" w:line="440" w:lineRule="exact"/>
        <w:ind w:left="2" w:firstLine="480"/>
        <w:rPr>
          <w:color w:val="auto"/>
          <w:highlight w:val="none"/>
        </w:rPr>
      </w:pPr>
      <w:r>
        <w:rPr>
          <w:rFonts w:hint="eastAsia" w:hAnsi="宋体"/>
          <w:color w:val="auto"/>
          <w:highlight w:val="none"/>
        </w:rPr>
        <w:t>7.3  采购人或采购代理机构</w:t>
      </w:r>
      <w:r>
        <w:rPr>
          <w:rFonts w:hint="eastAsia"/>
          <w:color w:val="auto"/>
          <w:highlight w:val="none"/>
        </w:rPr>
        <w:t>对已发出的招标文件进行必要修改的，应在投标截止时间十五日前，以书面形式通知所有招标文件收受人；同时，采购代理机构在</w:t>
      </w:r>
      <w:r>
        <w:rPr>
          <w:rFonts w:hint="eastAsia" w:cs="宋体"/>
          <w:color w:val="auto"/>
          <w:kern w:val="0"/>
          <w:szCs w:val="21"/>
          <w:highlight w:val="none"/>
        </w:rPr>
        <w:t>本章第2.1项规定的政府采购信息发布媒体上</w:t>
      </w:r>
      <w:r>
        <w:rPr>
          <w:rFonts w:hint="eastAsia"/>
          <w:color w:val="auto"/>
          <w:highlight w:val="none"/>
        </w:rPr>
        <w:t>发布更正公告。如果修改招标文件的时间距投标截止时间不足十五日，则相应延长投标截止时间。</w:t>
      </w:r>
    </w:p>
    <w:p>
      <w:pPr>
        <w:pStyle w:val="18"/>
        <w:spacing w:line="440" w:lineRule="exact"/>
        <w:ind w:left="2" w:firstLine="360"/>
        <w:rPr>
          <w:color w:val="auto"/>
          <w:highlight w:val="none"/>
        </w:rPr>
      </w:pPr>
      <w:r>
        <w:rPr>
          <w:rFonts w:hint="eastAsia" w:hAnsi="宋体"/>
          <w:color w:val="auto"/>
          <w:highlight w:val="none"/>
        </w:rPr>
        <w:t xml:space="preserve">7.4  </w:t>
      </w:r>
      <w:r>
        <w:rPr>
          <w:rFonts w:hint="eastAsia"/>
          <w:color w:val="auto"/>
          <w:highlight w:val="none"/>
        </w:rPr>
        <w:t>采购人和采购代理机构可以视采购具体情况，延长投标截止时间和开标时间，但至少应当在投标截止时间三日前，将变更时间书面通知所有招标文件收受人。</w:t>
      </w:r>
      <w:r>
        <w:rPr>
          <w:rFonts w:hint="eastAsia" w:cs="宋体"/>
          <w:color w:val="auto"/>
          <w:kern w:val="0"/>
          <w:szCs w:val="21"/>
          <w:highlight w:val="none"/>
        </w:rPr>
        <w:t>同时，采购代理机构</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发布变更公告。</w:t>
      </w:r>
    </w:p>
    <w:p>
      <w:pPr>
        <w:pStyle w:val="18"/>
        <w:spacing w:line="440" w:lineRule="exact"/>
        <w:ind w:left="2" w:firstLine="360"/>
        <w:rPr>
          <w:rFonts w:hAnsi="宋体"/>
          <w:b/>
          <w:bCs/>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60" w:name="_Toc401396877"/>
      <w:bookmarkStart w:id="61" w:name="_Toc213326418"/>
      <w:bookmarkStart w:id="62" w:name="_Toc22920"/>
      <w:r>
        <w:rPr>
          <w:rFonts w:hint="eastAsia" w:ascii="Times New Roman" w:hAnsi="Times New Roman"/>
          <w:b/>
          <w:color w:val="auto"/>
          <w:sz w:val="30"/>
          <w:szCs w:val="30"/>
          <w:highlight w:val="none"/>
        </w:rPr>
        <w:t>三    投标文件</w:t>
      </w:r>
      <w:bookmarkEnd w:id="60"/>
      <w:bookmarkEnd w:id="61"/>
      <w:bookmarkEnd w:id="62"/>
    </w:p>
    <w:p>
      <w:pPr>
        <w:pStyle w:val="18"/>
        <w:spacing w:line="440" w:lineRule="exact"/>
        <w:rPr>
          <w:rFonts w:hAnsi="宋体"/>
          <w:bCs/>
          <w:color w:val="auto"/>
          <w:sz w:val="24"/>
          <w:highlight w:val="none"/>
        </w:rPr>
      </w:pPr>
      <w:r>
        <w:rPr>
          <w:rFonts w:hint="eastAsia" w:hAnsi="宋体"/>
          <w:bCs/>
          <w:color w:val="auto"/>
          <w:sz w:val="24"/>
          <w:highlight w:val="none"/>
        </w:rPr>
        <w:t>8.  投标文件的编制</w:t>
      </w:r>
    </w:p>
    <w:p>
      <w:pPr>
        <w:pStyle w:val="18"/>
        <w:spacing w:line="440" w:lineRule="exact"/>
        <w:ind w:left="2" w:firstLine="360"/>
        <w:rPr>
          <w:rFonts w:hAnsi="宋体"/>
          <w:color w:val="auto"/>
          <w:highlight w:val="none"/>
        </w:rPr>
      </w:pPr>
      <w:r>
        <w:rPr>
          <w:rFonts w:hint="eastAsia" w:hAnsi="宋体"/>
          <w:color w:val="auto"/>
          <w:highlight w:val="none"/>
        </w:rPr>
        <w:t>8.1  投标人应仔细阅读招标文件，在充分了解招标的内容、技术参数要求和商务条款以及实质性要求和条件后，编写投标文件。</w:t>
      </w:r>
    </w:p>
    <w:p>
      <w:pPr>
        <w:pStyle w:val="18"/>
        <w:spacing w:line="440" w:lineRule="exact"/>
        <w:ind w:left="2" w:firstLine="360"/>
        <w:rPr>
          <w:color w:val="auto"/>
          <w:highlight w:val="none"/>
        </w:rPr>
      </w:pPr>
      <w:r>
        <w:rPr>
          <w:rFonts w:hint="eastAsia" w:hAnsi="宋体"/>
          <w:color w:val="auto"/>
          <w:highlight w:val="none"/>
        </w:rPr>
        <w:t>8.2  对招标文件的实质性要求和条件作出响应是指投标人必须对招标文件中标注为实质性要求和条件的技术参数要求、商务条款及其它内容</w:t>
      </w:r>
      <w:r>
        <w:rPr>
          <w:rFonts w:hint="eastAsia"/>
          <w:b/>
          <w:color w:val="auto"/>
          <w:highlight w:val="none"/>
        </w:rPr>
        <w:t>作出满足或者优于原要求和条件的承诺</w:t>
      </w:r>
      <w:r>
        <w:rPr>
          <w:rFonts w:hint="eastAsia"/>
          <w:color w:val="auto"/>
          <w:highlight w:val="none"/>
        </w:rPr>
        <w:t>。</w:t>
      </w:r>
    </w:p>
    <w:p>
      <w:pPr>
        <w:pStyle w:val="18"/>
        <w:spacing w:line="440" w:lineRule="exact"/>
        <w:ind w:left="2" w:firstLine="360"/>
        <w:rPr>
          <w:color w:val="auto"/>
          <w:highlight w:val="none"/>
        </w:rPr>
      </w:pPr>
      <w:r>
        <w:rPr>
          <w:rFonts w:hint="eastAsia" w:hAnsi="宋体"/>
          <w:color w:val="auto"/>
          <w:highlight w:val="none"/>
        </w:rPr>
        <w:t xml:space="preserve">8.3  </w:t>
      </w:r>
      <w:r>
        <w:rPr>
          <w:rFonts w:hint="eastAsia"/>
          <w:color w:val="auto"/>
          <w:highlight w:val="none"/>
        </w:rPr>
        <w:t>招标文件中标注★号的内容为实质性要求和条件。未标注★号的内容</w:t>
      </w:r>
      <w:r>
        <w:rPr>
          <w:rFonts w:hint="eastAsia"/>
          <w:color w:val="auto"/>
          <w:szCs w:val="21"/>
          <w:highlight w:val="none"/>
        </w:rPr>
        <w:t>超过3项</w:t>
      </w:r>
      <w:r>
        <w:rPr>
          <w:rFonts w:hint="eastAsia"/>
          <w:color w:val="auto"/>
          <w:highlight w:val="none"/>
        </w:rPr>
        <w:t>不满足将视为投标无效。</w:t>
      </w:r>
    </w:p>
    <w:p>
      <w:pPr>
        <w:pStyle w:val="18"/>
        <w:spacing w:line="440" w:lineRule="exact"/>
        <w:ind w:left="2" w:firstLine="360"/>
        <w:rPr>
          <w:rFonts w:hAnsi="宋体"/>
          <w:color w:val="auto"/>
          <w:highlight w:val="none"/>
        </w:rPr>
      </w:pPr>
      <w:r>
        <w:rPr>
          <w:rFonts w:hint="eastAsia" w:hAnsi="宋体"/>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8"/>
        <w:spacing w:line="440" w:lineRule="exact"/>
        <w:ind w:left="2" w:firstLine="360"/>
        <w:rPr>
          <w:rFonts w:hAnsi="宋体"/>
          <w:color w:val="auto"/>
          <w:highlight w:val="none"/>
        </w:rPr>
      </w:pPr>
      <w:r>
        <w:rPr>
          <w:rFonts w:hint="eastAsia" w:hAnsi="宋体"/>
          <w:color w:val="auto"/>
          <w:highlight w:val="none"/>
        </w:rPr>
        <w:t>8.5  第五章“投标文件格式”中规定了投标文件格式的，应按相应格式要求编写。</w:t>
      </w:r>
    </w:p>
    <w:p>
      <w:pPr>
        <w:pStyle w:val="18"/>
        <w:spacing w:line="440" w:lineRule="exact"/>
        <w:ind w:left="2" w:firstLine="360"/>
        <w:rPr>
          <w:rFonts w:hAnsi="宋体"/>
          <w:color w:val="auto"/>
          <w:highlight w:val="none"/>
        </w:rPr>
      </w:pPr>
      <w:r>
        <w:rPr>
          <w:rFonts w:hint="eastAsia" w:hAnsi="宋体"/>
          <w:color w:val="auto"/>
          <w:highlight w:val="none"/>
        </w:rPr>
        <w:t>8.6  投标文件应尽量避免涂改、行间插字或删除。如果出现上述情况，改动之处应加盖单位公章或由投标人的法定代表人或其委托代理人签字或盖章确认。</w:t>
      </w:r>
    </w:p>
    <w:p>
      <w:pPr>
        <w:pStyle w:val="18"/>
        <w:spacing w:line="440" w:lineRule="exact"/>
        <w:ind w:left="2" w:firstLine="360"/>
        <w:rPr>
          <w:rFonts w:hAnsi="宋体"/>
          <w:color w:val="auto"/>
          <w:highlight w:val="none"/>
        </w:rPr>
      </w:pPr>
      <w:r>
        <w:rPr>
          <w:rFonts w:hint="eastAsia" w:hAnsi="宋体"/>
          <w:color w:val="auto"/>
          <w:highlight w:val="none"/>
        </w:rPr>
        <w:t>8.7  投标文件应编制目录，且页码清晰准确。</w:t>
      </w:r>
    </w:p>
    <w:p>
      <w:pPr>
        <w:pStyle w:val="18"/>
        <w:spacing w:line="440" w:lineRule="exact"/>
        <w:ind w:left="2" w:firstLine="360"/>
        <w:rPr>
          <w:color w:val="auto"/>
          <w:highlight w:val="none"/>
        </w:rPr>
      </w:pPr>
      <w:r>
        <w:rPr>
          <w:rFonts w:hint="eastAsia" w:hAnsi="宋体"/>
          <w:color w:val="auto"/>
          <w:highlight w:val="none"/>
        </w:rPr>
        <w:t>8.8  投标文件的</w:t>
      </w:r>
      <w:r>
        <w:rPr>
          <w:rFonts w:hint="eastAsia"/>
          <w:color w:val="auto"/>
          <w:highlight w:val="none"/>
        </w:rPr>
        <w:t>正本和副本应分别装订成册，封面上应清楚地标记“正本”或“副本”字样，并标明项目名称、项目编号、投标人名称及地址等内容。副本可以采用正本的复印件，当副本和正本不一致时，以正本为准。投标人应准备报价文件正本、资格文件正本、技术文件正本、商务文件正本各一份，副本份数见投标人须知前附表。</w:t>
      </w:r>
    </w:p>
    <w:p>
      <w:pPr>
        <w:pStyle w:val="18"/>
        <w:spacing w:line="440" w:lineRule="exact"/>
        <w:rPr>
          <w:rFonts w:hAnsi="宋体"/>
          <w:bCs/>
          <w:color w:val="auto"/>
          <w:sz w:val="24"/>
          <w:highlight w:val="none"/>
        </w:rPr>
      </w:pPr>
      <w:r>
        <w:rPr>
          <w:rFonts w:hint="eastAsia" w:hAnsi="宋体"/>
          <w:bCs/>
          <w:color w:val="auto"/>
          <w:sz w:val="24"/>
          <w:highlight w:val="none"/>
        </w:rPr>
        <w:t>9.  投标语言文字及计量单位</w:t>
      </w:r>
    </w:p>
    <w:p>
      <w:pPr>
        <w:pStyle w:val="18"/>
        <w:spacing w:line="440" w:lineRule="exact"/>
        <w:ind w:firstLine="420" w:firstLineChars="200"/>
        <w:rPr>
          <w:rFonts w:hAnsi="宋体"/>
          <w:bCs/>
          <w:color w:val="auto"/>
          <w:sz w:val="24"/>
          <w:highlight w:val="none"/>
        </w:rPr>
      </w:pPr>
      <w:r>
        <w:rPr>
          <w:rFonts w:hint="eastAsia" w:hAnsi="宋体"/>
          <w:color w:val="auto"/>
          <w:highlight w:val="none"/>
        </w:rPr>
        <w:t>9.1  投标人的投标文件以及投标人与采购人、采购代理机构就有关投标的所有往来函电统一使用中文（特别规定除外）。</w:t>
      </w:r>
    </w:p>
    <w:p>
      <w:pPr>
        <w:pStyle w:val="18"/>
        <w:spacing w:line="440" w:lineRule="exact"/>
        <w:ind w:firstLine="420" w:firstLineChars="200"/>
        <w:rPr>
          <w:rFonts w:hAnsi="宋体"/>
          <w:bCs/>
          <w:color w:val="auto"/>
          <w:sz w:val="24"/>
          <w:highlight w:val="none"/>
        </w:rPr>
      </w:pPr>
      <w:r>
        <w:rPr>
          <w:rFonts w:hint="eastAsia" w:hAnsi="宋体"/>
          <w:color w:val="auto"/>
          <w:highlight w:val="none"/>
        </w:rPr>
        <w:t>9.2  对不同文字文本投标文件的解释发生异议的，以中文文本为准。</w:t>
      </w:r>
    </w:p>
    <w:p>
      <w:pPr>
        <w:pStyle w:val="18"/>
        <w:spacing w:line="440" w:lineRule="exact"/>
        <w:ind w:firstLine="420" w:firstLineChars="200"/>
        <w:rPr>
          <w:rFonts w:hAnsi="宋体"/>
          <w:bCs/>
          <w:color w:val="auto"/>
          <w:sz w:val="24"/>
          <w:highlight w:val="none"/>
        </w:rPr>
      </w:pPr>
      <w:r>
        <w:rPr>
          <w:rFonts w:hint="eastAsia" w:hAnsi="宋体"/>
          <w:color w:val="auto"/>
          <w:highlight w:val="none"/>
        </w:rPr>
        <w:t>9.3  投标文件使用的计量单位除招标文件中有特殊规定外，一律使用中华人民共和国法定计量单位。</w:t>
      </w:r>
    </w:p>
    <w:p>
      <w:pPr>
        <w:pStyle w:val="18"/>
        <w:spacing w:line="440" w:lineRule="exact"/>
        <w:rPr>
          <w:rFonts w:hAnsi="宋体"/>
          <w:bCs/>
          <w:color w:val="auto"/>
          <w:sz w:val="24"/>
          <w:highlight w:val="none"/>
        </w:rPr>
      </w:pPr>
      <w:r>
        <w:rPr>
          <w:rFonts w:hint="eastAsia" w:hAnsi="宋体"/>
          <w:bCs/>
          <w:color w:val="auto"/>
          <w:sz w:val="24"/>
          <w:highlight w:val="none"/>
        </w:rPr>
        <w:t>10.  投标文件的组成</w:t>
      </w:r>
    </w:p>
    <w:p>
      <w:pPr>
        <w:pStyle w:val="18"/>
        <w:spacing w:line="440" w:lineRule="exact"/>
        <w:ind w:firstLine="360"/>
        <w:rPr>
          <w:rFonts w:hAnsi="宋体"/>
          <w:color w:val="auto"/>
          <w:highlight w:val="none"/>
        </w:rPr>
      </w:pPr>
      <w:r>
        <w:rPr>
          <w:rFonts w:hint="eastAsia" w:hAnsi="宋体"/>
          <w:color w:val="auto"/>
          <w:highlight w:val="none"/>
        </w:rPr>
        <w:t>10.1  投标人需编制的投标文件包括报价文件、</w:t>
      </w:r>
      <w:r>
        <w:rPr>
          <w:rFonts w:hint="eastAsia"/>
          <w:color w:val="auto"/>
          <w:highlight w:val="none"/>
        </w:rPr>
        <w:t>资格文件正本、</w:t>
      </w:r>
      <w:r>
        <w:rPr>
          <w:rFonts w:hint="eastAsia" w:hAnsi="宋体"/>
          <w:color w:val="auto"/>
          <w:highlight w:val="none"/>
        </w:rPr>
        <w:t>技术文件和商务文件四部分，投标人应按下列说明编写和提交。应递交的有关文件如未特别注明为原件的，可提交复印件，注明必须提交的应按规定递交，否则视为投标无效。</w:t>
      </w:r>
    </w:p>
    <w:p>
      <w:pPr>
        <w:pStyle w:val="18"/>
        <w:spacing w:line="440" w:lineRule="exact"/>
        <w:ind w:firstLine="360"/>
        <w:rPr>
          <w:rFonts w:hAnsi="宋体"/>
          <w:color w:val="auto"/>
          <w:highlight w:val="none"/>
        </w:rPr>
      </w:pPr>
      <w:r>
        <w:rPr>
          <w:rFonts w:hint="eastAsia" w:hAnsi="宋体"/>
          <w:color w:val="auto"/>
          <w:highlight w:val="none"/>
        </w:rPr>
        <w:t>10.1.1  报价文件组成要求，包括：</w:t>
      </w:r>
    </w:p>
    <w:p>
      <w:pPr>
        <w:pStyle w:val="18"/>
        <w:numPr>
          <w:ilvl w:val="0"/>
          <w:numId w:val="11"/>
        </w:numPr>
        <w:spacing w:line="440" w:lineRule="exact"/>
        <w:rPr>
          <w:rFonts w:hAnsi="宋体"/>
          <w:color w:val="auto"/>
          <w:highlight w:val="none"/>
        </w:rPr>
      </w:pPr>
      <w:r>
        <w:rPr>
          <w:rFonts w:hint="eastAsia" w:hAnsi="宋体"/>
          <w:color w:val="auto"/>
          <w:highlight w:val="none"/>
        </w:rPr>
        <w:t>投标函：按第五章“投标文件格式”提供的“投标函（格式）”的要求填写；</w:t>
      </w:r>
    </w:p>
    <w:p>
      <w:pPr>
        <w:pStyle w:val="18"/>
        <w:spacing w:line="440" w:lineRule="exact"/>
        <w:ind w:firstLine="360"/>
        <w:rPr>
          <w:rFonts w:hAnsi="宋体"/>
          <w:color w:val="auto"/>
          <w:highlight w:val="none"/>
        </w:rPr>
      </w:pPr>
      <w:r>
        <w:rPr>
          <w:rFonts w:hint="eastAsia" w:hAnsi="宋体"/>
          <w:color w:val="auto"/>
          <w:highlight w:val="none"/>
        </w:rPr>
        <w:t>（2）开标一览表：按第五章“投标文件格式”提供的“开标一览表（格式）”的要求填写。</w:t>
      </w:r>
    </w:p>
    <w:p>
      <w:pPr>
        <w:pStyle w:val="18"/>
        <w:spacing w:line="440" w:lineRule="exact"/>
        <w:ind w:firstLine="360"/>
        <w:rPr>
          <w:rFonts w:hAnsi="宋体"/>
          <w:color w:val="auto"/>
          <w:highlight w:val="none"/>
        </w:rPr>
      </w:pPr>
      <w:r>
        <w:rPr>
          <w:rFonts w:hint="eastAsia" w:hAnsi="宋体"/>
          <w:color w:val="auto"/>
          <w:highlight w:val="none"/>
        </w:rPr>
        <w:t>（3）中小企业声明函：按第五章“投标文件格式”提供的“中小企业声明函（格式）”的要求填写；</w:t>
      </w:r>
    </w:p>
    <w:p>
      <w:pPr>
        <w:pStyle w:val="18"/>
        <w:spacing w:line="440" w:lineRule="exact"/>
        <w:ind w:firstLine="315" w:firstLineChars="150"/>
        <w:rPr>
          <w:rFonts w:hAnsi="宋体"/>
          <w:color w:val="auto"/>
          <w:highlight w:val="none"/>
        </w:rPr>
      </w:pPr>
      <w:r>
        <w:rPr>
          <w:rFonts w:hint="eastAsia" w:hAnsi="宋体"/>
          <w:color w:val="auto"/>
          <w:highlight w:val="none"/>
        </w:rPr>
        <w:t>（4）监狱企业证明：提供由省级以上监狱管理局、戒毒管理局（含新疆生产建设兵团）出具的属于监狱企业的证明文件。</w:t>
      </w:r>
    </w:p>
    <w:p>
      <w:pPr>
        <w:pStyle w:val="18"/>
        <w:spacing w:line="440" w:lineRule="exact"/>
        <w:ind w:firstLine="412"/>
        <w:rPr>
          <w:rFonts w:hAnsi="宋体"/>
          <w:color w:val="auto"/>
          <w:highlight w:val="none"/>
        </w:rPr>
      </w:pPr>
      <w:r>
        <w:rPr>
          <w:rFonts w:hint="eastAsia" w:hAnsi="宋体"/>
          <w:color w:val="auto"/>
          <w:highlight w:val="none"/>
        </w:rPr>
        <w:t>（5）残疾人福利性单位声明函：按第五章“投标文件格式”提供的“残疾人福利性单位声明函（格式）”的要求填写。</w:t>
      </w:r>
    </w:p>
    <w:p>
      <w:pPr>
        <w:pStyle w:val="18"/>
        <w:spacing w:line="440" w:lineRule="exact"/>
        <w:ind w:firstLine="422" w:firstLineChars="200"/>
        <w:rPr>
          <w:rFonts w:hAnsi="宋体"/>
          <w:b/>
          <w:color w:val="auto"/>
          <w:highlight w:val="none"/>
        </w:rPr>
      </w:pPr>
      <w:r>
        <w:rPr>
          <w:rFonts w:hint="eastAsia" w:hAnsi="宋体"/>
          <w:b/>
          <w:color w:val="auto"/>
          <w:highlight w:val="none"/>
        </w:rPr>
        <w:t>报价文件中的第（1）（2）项必须加盖投标单位公章提交，否则投标无效；第（3）～（5）项如有请提交。</w:t>
      </w:r>
    </w:p>
    <w:p>
      <w:pPr>
        <w:pStyle w:val="18"/>
        <w:numPr>
          <w:ilvl w:val="2"/>
          <w:numId w:val="12"/>
        </w:numPr>
        <w:spacing w:line="440" w:lineRule="exact"/>
        <w:jc w:val="left"/>
        <w:rPr>
          <w:rFonts w:hAnsi="宋体"/>
          <w:color w:val="auto"/>
          <w:highlight w:val="none"/>
        </w:rPr>
      </w:pPr>
      <w:r>
        <w:rPr>
          <w:rFonts w:hint="eastAsia" w:hAnsi="宋体"/>
          <w:color w:val="auto"/>
          <w:highlight w:val="none"/>
        </w:rPr>
        <w:t xml:space="preserve"> 资格文件组成要求，包括：</w:t>
      </w:r>
    </w:p>
    <w:p>
      <w:pPr>
        <w:pStyle w:val="18"/>
        <w:spacing w:line="440" w:lineRule="exact"/>
        <w:ind w:firstLine="420" w:firstLineChars="200"/>
        <w:jc w:val="left"/>
        <w:rPr>
          <w:rFonts w:hAnsi="宋体"/>
          <w:color w:val="auto"/>
          <w:highlight w:val="none"/>
        </w:rPr>
      </w:pPr>
      <w:r>
        <w:rPr>
          <w:rFonts w:hint="eastAsia" w:hAnsi="宋体"/>
          <w:color w:val="auto"/>
          <w:highlight w:val="none"/>
        </w:rPr>
        <w:t>（1）资格声明函。按第五章“投标文件格式”提供的“资格声明函（格式）”的要求填写。对列入失信被执行人、重大税收违法案件当事人名单、政府采购严重违法失信行为记录名单的投标人，将被拒绝参与本项目政府采购活动。</w:t>
      </w:r>
    </w:p>
    <w:p>
      <w:pPr>
        <w:pStyle w:val="18"/>
        <w:spacing w:line="440" w:lineRule="exact"/>
        <w:ind w:firstLine="420" w:firstLineChars="200"/>
        <w:jc w:val="left"/>
        <w:rPr>
          <w:rFonts w:hAnsi="宋体"/>
          <w:color w:val="auto"/>
          <w:highlight w:val="none"/>
        </w:rPr>
      </w:pPr>
      <w:r>
        <w:rPr>
          <w:rFonts w:hint="eastAsia" w:hAnsi="宋体"/>
          <w:color w:val="auto"/>
          <w:highlight w:val="none"/>
        </w:rPr>
        <w:t>（2）</w:t>
      </w:r>
      <w:r>
        <w:rPr>
          <w:rFonts w:hint="eastAsia" w:hAnsi="宋体"/>
          <w:color w:val="auto"/>
          <w:szCs w:val="21"/>
          <w:highlight w:val="none"/>
        </w:rPr>
        <w:t>投标人有效的“营业执照”副本复印件</w:t>
      </w:r>
      <w:r>
        <w:rPr>
          <w:rFonts w:hint="eastAsia" w:hAnsi="宋体"/>
          <w:color w:val="auto"/>
          <w:highlight w:val="none"/>
        </w:rPr>
        <w:t>，原件备查；</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18"/>
        <w:spacing w:line="440" w:lineRule="exact"/>
        <w:ind w:firstLine="422" w:firstLineChars="200"/>
        <w:jc w:val="left"/>
        <w:rPr>
          <w:rFonts w:hAnsi="宋体"/>
          <w:color w:val="auto"/>
          <w:highlight w:val="none"/>
        </w:rPr>
      </w:pPr>
      <w:r>
        <w:rPr>
          <w:rFonts w:hint="eastAsia" w:hAnsi="宋体"/>
          <w:b/>
          <w:color w:val="auto"/>
          <w:highlight w:val="none"/>
        </w:rPr>
        <w:t>资格文件组成要求的第（1）～（3）项必须加盖投标单位公章提交，否则投标无效。</w:t>
      </w:r>
    </w:p>
    <w:p>
      <w:pPr>
        <w:pStyle w:val="18"/>
        <w:spacing w:line="440" w:lineRule="exact"/>
        <w:ind w:firstLine="360"/>
        <w:rPr>
          <w:rFonts w:hAnsi="宋体"/>
          <w:b/>
          <w:bCs/>
          <w:color w:val="auto"/>
          <w:highlight w:val="none"/>
        </w:rPr>
      </w:pPr>
      <w:r>
        <w:rPr>
          <w:rFonts w:hint="eastAsia" w:hAnsi="宋体"/>
          <w:color w:val="auto"/>
          <w:highlight w:val="none"/>
        </w:rPr>
        <w:t>10.1.3  技术文件组成要求，包括：</w:t>
      </w:r>
    </w:p>
    <w:p>
      <w:pPr>
        <w:pStyle w:val="18"/>
        <w:spacing w:line="440" w:lineRule="exact"/>
        <w:ind w:firstLine="720"/>
        <w:rPr>
          <w:rFonts w:hAnsi="宋体"/>
          <w:color w:val="auto"/>
          <w:highlight w:val="none"/>
        </w:rPr>
      </w:pPr>
      <w:r>
        <w:rPr>
          <w:rFonts w:hint="eastAsia" w:hAnsi="宋体"/>
          <w:color w:val="auto"/>
          <w:highlight w:val="none"/>
        </w:rPr>
        <w:t>（1）投标服务技术资料表：按第五章“投标文件格式”提供的“投标服务技术资料表（格式）”的要求填写；</w:t>
      </w:r>
    </w:p>
    <w:p>
      <w:pPr>
        <w:pStyle w:val="18"/>
        <w:spacing w:line="440" w:lineRule="exact"/>
        <w:ind w:firstLine="720"/>
        <w:rPr>
          <w:rFonts w:hAnsi="宋体"/>
          <w:color w:val="auto"/>
          <w:highlight w:val="none"/>
        </w:rPr>
      </w:pPr>
      <w:r>
        <w:rPr>
          <w:rFonts w:hint="eastAsia" w:hAnsi="宋体"/>
          <w:color w:val="auto"/>
          <w:highlight w:val="none"/>
        </w:rPr>
        <w:t>（2）“第三章 评标办法”中涉及需要提供的相关技术方案（可以是课程建设技术方案</w:t>
      </w:r>
      <w:r>
        <w:rPr>
          <w:rFonts w:hint="eastAsia" w:hAnsi="宋体"/>
          <w:color w:val="auto"/>
          <w:highlight w:val="none"/>
          <w:lang w:val="en-US" w:eastAsia="zh-CN"/>
        </w:rPr>
        <w:t>或</w:t>
      </w:r>
      <w:r>
        <w:rPr>
          <w:rFonts w:hint="eastAsia" w:hAnsi="宋体"/>
          <w:color w:val="auto"/>
          <w:highlight w:val="none"/>
        </w:rPr>
        <w:t>服务实施方案</w:t>
      </w:r>
      <w:r>
        <w:rPr>
          <w:rFonts w:hint="eastAsia" w:hAnsi="宋体"/>
          <w:color w:val="auto"/>
          <w:highlight w:val="none"/>
          <w:lang w:val="en-US" w:eastAsia="zh-CN"/>
        </w:rPr>
        <w:t>或</w:t>
      </w:r>
      <w:r>
        <w:rPr>
          <w:rFonts w:hint="eastAsia" w:hAnsi="宋体"/>
          <w:color w:val="auto"/>
          <w:highlight w:val="none"/>
        </w:rPr>
        <w:t>人才培养方案或项目建设计划书</w:t>
      </w:r>
      <w:r>
        <w:rPr>
          <w:rFonts w:hint="eastAsia" w:hAnsi="宋体"/>
          <w:color w:val="auto"/>
          <w:highlight w:val="none"/>
          <w:lang w:val="en-US" w:eastAsia="zh-CN"/>
        </w:rPr>
        <w:t>等</w:t>
      </w:r>
      <w:r>
        <w:rPr>
          <w:rFonts w:hint="eastAsia" w:hAnsi="宋体"/>
          <w:color w:val="auto"/>
          <w:highlight w:val="none"/>
        </w:rPr>
        <w:t>），格式自拟；</w:t>
      </w:r>
    </w:p>
    <w:p>
      <w:pPr>
        <w:pStyle w:val="18"/>
        <w:spacing w:line="440" w:lineRule="exact"/>
        <w:ind w:firstLine="720"/>
        <w:rPr>
          <w:rFonts w:hAnsi="宋体"/>
          <w:color w:val="auto"/>
          <w:highlight w:val="none"/>
        </w:rPr>
      </w:pPr>
      <w:r>
        <w:rPr>
          <w:rFonts w:hint="eastAsia" w:hAnsi="宋体"/>
          <w:color w:val="auto"/>
          <w:highlight w:val="none"/>
        </w:rPr>
        <w:t>（3）其它：针对本项目所投标服务的主要技术指标、参数及性能的详细说明，相关的图纸、图片，产品有效检测和鉴定证明复印件，等等。</w:t>
      </w:r>
    </w:p>
    <w:p>
      <w:pPr>
        <w:pStyle w:val="18"/>
        <w:spacing w:line="440" w:lineRule="exact"/>
        <w:ind w:firstLine="420"/>
        <w:rPr>
          <w:rFonts w:hAnsi="宋体"/>
          <w:b/>
          <w:color w:val="auto"/>
          <w:highlight w:val="none"/>
        </w:rPr>
      </w:pPr>
      <w:r>
        <w:rPr>
          <w:rFonts w:hint="eastAsia" w:hAnsi="宋体"/>
          <w:b/>
          <w:color w:val="auto"/>
          <w:highlight w:val="none"/>
        </w:rPr>
        <w:t>其中，技术文件组成要求的第（1）项必须加盖投标单位公章提交，否则投标无效；技术文件要求的第（2）、（3）项如有请提交。</w:t>
      </w:r>
    </w:p>
    <w:p>
      <w:pPr>
        <w:pStyle w:val="18"/>
        <w:spacing w:line="440" w:lineRule="exact"/>
        <w:ind w:firstLine="360"/>
        <w:rPr>
          <w:rFonts w:hAnsi="宋体"/>
          <w:color w:val="auto"/>
          <w:highlight w:val="none"/>
        </w:rPr>
      </w:pPr>
      <w:r>
        <w:rPr>
          <w:rFonts w:hint="eastAsia" w:hAnsi="宋体"/>
          <w:color w:val="auto"/>
          <w:highlight w:val="none"/>
        </w:rPr>
        <w:t>10.1.4  商务文件组成要求，包括：</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r>
        <w:rPr>
          <w:rFonts w:hint="eastAsia" w:ascii="宋体" w:hAnsi="宋体" w:cs="宋体"/>
          <w:color w:val="auto"/>
          <w:kern w:val="0"/>
          <w:szCs w:val="21"/>
          <w:highlight w:val="none"/>
        </w:rPr>
        <w:t xml:space="preserve"> </w:t>
      </w:r>
      <w:r>
        <w:rPr>
          <w:rFonts w:hint="eastAsia" w:ascii="宋体" w:hAnsi="宋体"/>
          <w:color w:val="auto"/>
          <w:szCs w:val="21"/>
          <w:highlight w:val="none"/>
        </w:rPr>
        <w:t>；</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2）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（3）商务条款偏离表：按第五章“投标文件格式”提供的“商务条款偏离表（格式）” 的要求填写；</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（4）售后服务方案（格式自拟）；</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（5）法定代表人授权委托书：按第五章“投标文件格式”提供的“法定代表人授权委托书（格式）”的要求填写；</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（6）委托代理人身份证明复印件：如使用第二代身份证应提交正、反面复印件，如委托代理人非中国国籍应提交护照复印件，要求证件有效并与法定代表人授权委托书中的委托代理人相符；</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（7）财务会计报表复印件：投标人近一年的财务会计报表，包括资产负债表、现金流量表、利润表、财务情况说明书或审计报告；</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（8）其它：</w:t>
      </w:r>
      <w:r>
        <w:rPr>
          <w:rFonts w:hint="eastAsia" w:hAnsi="宋体"/>
          <w:color w:val="auto"/>
          <w:highlight w:val="none"/>
        </w:rPr>
        <w:t>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18"/>
        <w:spacing w:line="440" w:lineRule="exact"/>
        <w:ind w:firstLine="413" w:firstLineChars="196"/>
        <w:rPr>
          <w:rFonts w:hAnsi="宋体"/>
          <w:color w:val="auto"/>
          <w:highlight w:val="none"/>
        </w:rPr>
      </w:pPr>
      <w:r>
        <w:rPr>
          <w:rFonts w:hint="eastAsia" w:hAnsi="宋体"/>
          <w:b/>
          <w:color w:val="auto"/>
          <w:highlight w:val="none"/>
        </w:rPr>
        <w:t>商务文件中的第（3）项必须加盖投标单位公章提交，否则投标无效；第（5）、（6）项在委托代理时必须提交；第</w:t>
      </w:r>
      <w:r>
        <w:rPr>
          <w:rFonts w:hint="eastAsia" w:hAnsi="宋体"/>
          <w:b/>
          <w:color w:val="auto"/>
          <w:highlight w:val="none"/>
          <w:lang w:eastAsia="zh-CN"/>
        </w:rPr>
        <w:t>（</w:t>
      </w:r>
      <w:r>
        <w:rPr>
          <w:rFonts w:hint="eastAsia" w:hAnsi="宋体"/>
          <w:b/>
          <w:color w:val="auto"/>
          <w:highlight w:val="none"/>
          <w:lang w:val="en-US" w:eastAsia="zh-CN"/>
        </w:rPr>
        <w:t>1</w:t>
      </w:r>
      <w:r>
        <w:rPr>
          <w:rFonts w:hint="eastAsia" w:hAnsi="宋体"/>
          <w:b/>
          <w:color w:val="auto"/>
          <w:highlight w:val="none"/>
          <w:lang w:eastAsia="zh-CN"/>
        </w:rPr>
        <w:t>）、（</w:t>
      </w:r>
      <w:r>
        <w:rPr>
          <w:rFonts w:hint="eastAsia" w:hAnsi="宋体"/>
          <w:b/>
          <w:color w:val="auto"/>
          <w:highlight w:val="none"/>
          <w:lang w:val="en-US" w:eastAsia="zh-CN"/>
        </w:rPr>
        <w:t>2</w:t>
      </w:r>
      <w:r>
        <w:rPr>
          <w:rFonts w:hint="eastAsia" w:hAnsi="宋体"/>
          <w:b/>
          <w:color w:val="auto"/>
          <w:highlight w:val="none"/>
          <w:lang w:eastAsia="zh-CN"/>
        </w:rPr>
        <w:t>）、</w:t>
      </w:r>
      <w:r>
        <w:rPr>
          <w:rFonts w:hint="eastAsia" w:hAnsi="宋体"/>
          <w:b/>
          <w:color w:val="auto"/>
          <w:highlight w:val="none"/>
        </w:rPr>
        <w:t>（4）、（</w:t>
      </w:r>
      <w:r>
        <w:rPr>
          <w:rFonts w:hint="eastAsia" w:hAnsi="宋体"/>
          <w:b/>
          <w:color w:val="auto"/>
          <w:highlight w:val="none"/>
          <w:lang w:val="en-US" w:eastAsia="zh-CN"/>
        </w:rPr>
        <w:t>7</w:t>
      </w:r>
      <w:r>
        <w:rPr>
          <w:rFonts w:hint="eastAsia" w:hAnsi="宋体"/>
          <w:b/>
          <w:color w:val="auto"/>
          <w:highlight w:val="none"/>
        </w:rPr>
        <w:t>）</w:t>
      </w:r>
      <w:r>
        <w:rPr>
          <w:rFonts w:hint="eastAsia" w:hAnsi="宋体"/>
          <w:b/>
          <w:color w:val="auto"/>
          <w:highlight w:val="none"/>
          <w:lang w:eastAsia="zh-CN"/>
        </w:rPr>
        <w:t>、</w:t>
      </w:r>
      <w:r>
        <w:rPr>
          <w:rFonts w:hint="eastAsia" w:hAnsi="宋体"/>
          <w:b/>
          <w:color w:val="auto"/>
          <w:highlight w:val="none"/>
        </w:rPr>
        <w:t>（8）项如有请提交。</w:t>
      </w:r>
    </w:p>
    <w:p>
      <w:pPr>
        <w:pStyle w:val="18"/>
        <w:spacing w:line="440" w:lineRule="exact"/>
        <w:ind w:firstLine="360"/>
        <w:rPr>
          <w:rFonts w:hAnsi="宋体"/>
          <w:b/>
          <w:color w:val="auto"/>
          <w:highlight w:val="none"/>
        </w:rPr>
      </w:pPr>
      <w:r>
        <w:rPr>
          <w:rFonts w:hint="eastAsia" w:hAnsi="宋体"/>
          <w:color w:val="auto"/>
          <w:highlight w:val="none"/>
        </w:rPr>
        <w:t>10.2  投标人应编制目录，将报价文件、资格文件、技术文件和商务文件</w:t>
      </w:r>
      <w:r>
        <w:rPr>
          <w:rFonts w:hint="eastAsia" w:hAnsi="宋体"/>
          <w:b/>
          <w:color w:val="auto"/>
          <w:highlight w:val="none"/>
        </w:rPr>
        <w:t>分别装订成册</w:t>
      </w:r>
      <w:r>
        <w:rPr>
          <w:rFonts w:hint="eastAsia" w:hAnsi="宋体"/>
          <w:color w:val="auto"/>
          <w:highlight w:val="none"/>
        </w:rPr>
        <w:t>。</w:t>
      </w:r>
      <w:r>
        <w:rPr>
          <w:rFonts w:hint="eastAsia" w:hAnsi="宋体"/>
          <w:b/>
          <w:color w:val="auto"/>
          <w:highlight w:val="none"/>
        </w:rPr>
        <w:t>特别注意投标报价不得出现在资格文件、技术文件和商务文件中。</w:t>
      </w:r>
    </w:p>
    <w:p>
      <w:pPr>
        <w:pStyle w:val="18"/>
        <w:spacing w:line="440" w:lineRule="exact"/>
        <w:ind w:firstLine="360"/>
        <w:rPr>
          <w:rFonts w:hAnsi="宋体"/>
          <w:b/>
          <w:color w:val="auto"/>
          <w:highlight w:val="none"/>
        </w:rPr>
      </w:pPr>
      <w:r>
        <w:rPr>
          <w:rFonts w:hint="eastAsia" w:hAnsi="宋体"/>
          <w:b/>
          <w:color w:val="auto"/>
          <w:highlight w:val="none"/>
        </w:rPr>
        <w:t>10.2.1  上述文件应由投标人的法定代表人或其委托代理人在规定签章处签字并加盖单位公章。其中，法定代表人授权委托书必须有法定代表人签字及被授权人签字并加盖单位公章。未在规定签章处签字并加盖单位公章的，作投标无效处理。</w:t>
      </w:r>
    </w:p>
    <w:p>
      <w:pPr>
        <w:pStyle w:val="18"/>
        <w:spacing w:line="440" w:lineRule="exact"/>
        <w:rPr>
          <w:rFonts w:hAnsi="宋体"/>
          <w:bCs/>
          <w:color w:val="auto"/>
          <w:sz w:val="24"/>
          <w:highlight w:val="none"/>
        </w:rPr>
      </w:pPr>
      <w:r>
        <w:rPr>
          <w:rFonts w:hint="eastAsia" w:hAnsi="宋体"/>
          <w:bCs/>
          <w:color w:val="auto"/>
          <w:sz w:val="24"/>
          <w:highlight w:val="none"/>
        </w:rPr>
        <w:t>11.  投标报价</w:t>
      </w:r>
    </w:p>
    <w:p>
      <w:pPr>
        <w:pStyle w:val="18"/>
        <w:spacing w:line="440" w:lineRule="exact"/>
        <w:ind w:firstLine="360"/>
        <w:rPr>
          <w:rFonts w:hAnsi="宋体"/>
          <w:color w:val="auto"/>
          <w:highlight w:val="none"/>
        </w:rPr>
      </w:pPr>
      <w:r>
        <w:rPr>
          <w:rFonts w:hint="eastAsia" w:hAnsi="宋体"/>
          <w:color w:val="auto"/>
          <w:highlight w:val="none"/>
        </w:rPr>
        <w:t>11.1  投标人应以人民币报价。</w:t>
      </w:r>
    </w:p>
    <w:p>
      <w:pPr>
        <w:pStyle w:val="18"/>
        <w:spacing w:line="440" w:lineRule="exact"/>
        <w:ind w:firstLine="360"/>
        <w:rPr>
          <w:rFonts w:hAnsi="宋体"/>
          <w:color w:val="auto"/>
          <w:highlight w:val="none"/>
        </w:rPr>
      </w:pPr>
      <w:r>
        <w:rPr>
          <w:rFonts w:hint="eastAsia" w:hAnsi="宋体"/>
          <w:color w:val="auto"/>
          <w:highlight w:val="none"/>
        </w:rPr>
        <w:t>11.2  投标人可就第二章“</w:t>
      </w:r>
      <w:r>
        <w:rPr>
          <w:rFonts w:hint="eastAsia" w:hAnsi="宋体"/>
          <w:b/>
          <w:color w:val="auto"/>
          <w:highlight w:val="none"/>
        </w:rPr>
        <w:t>项目需求一览表</w:t>
      </w:r>
      <w:r>
        <w:rPr>
          <w:rFonts w:hint="eastAsia" w:hAnsi="宋体"/>
          <w:color w:val="auto"/>
          <w:highlight w:val="none"/>
        </w:rPr>
        <w:t>”中的</w:t>
      </w:r>
      <w:r>
        <w:rPr>
          <w:rFonts w:hint="eastAsia" w:hAnsi="宋体"/>
          <w:b/>
          <w:color w:val="auto"/>
          <w:highlight w:val="none"/>
        </w:rPr>
        <w:t>某一个分标内容报出完整且唯一报价，也可就某几个或所有分标内容分别报出完整且唯一报价，附带有条件的报价将不予接受。</w:t>
      </w:r>
    </w:p>
    <w:p>
      <w:pPr>
        <w:pStyle w:val="18"/>
        <w:spacing w:line="440" w:lineRule="exact"/>
        <w:ind w:firstLine="360"/>
        <w:rPr>
          <w:color w:val="auto"/>
          <w:highlight w:val="none"/>
        </w:rPr>
      </w:pPr>
      <w:r>
        <w:rPr>
          <w:rFonts w:hint="eastAsia" w:hAnsi="宋体"/>
          <w:color w:val="auto"/>
          <w:highlight w:val="none"/>
        </w:rPr>
        <w:t>11.3  投标报价为中标供应商履行合同的最终价格，合同实施过程中，</w:t>
      </w:r>
      <w:r>
        <w:rPr>
          <w:rFonts w:hint="eastAsia"/>
          <w:color w:val="auto"/>
          <w:highlight w:val="none"/>
        </w:rPr>
        <w:t>采购人</w:t>
      </w:r>
      <w:r>
        <w:rPr>
          <w:color w:val="auto"/>
          <w:highlight w:val="none"/>
        </w:rPr>
        <w:t>不再</w:t>
      </w:r>
      <w:r>
        <w:rPr>
          <w:rFonts w:hint="eastAsia"/>
          <w:color w:val="auto"/>
          <w:highlight w:val="none"/>
        </w:rPr>
        <w:t>向中标供应商</w:t>
      </w:r>
      <w:r>
        <w:rPr>
          <w:color w:val="auto"/>
          <w:highlight w:val="none"/>
        </w:rPr>
        <w:t>支付</w:t>
      </w:r>
      <w:r>
        <w:rPr>
          <w:rFonts w:hint="eastAsia"/>
          <w:color w:val="auto"/>
          <w:highlight w:val="none"/>
        </w:rPr>
        <w:t>其投标</w:t>
      </w:r>
      <w:r>
        <w:rPr>
          <w:color w:val="auto"/>
          <w:highlight w:val="none"/>
        </w:rPr>
        <w:t>报价之外的任何费用。</w:t>
      </w:r>
    </w:p>
    <w:p>
      <w:pPr>
        <w:pStyle w:val="18"/>
        <w:spacing w:line="440" w:lineRule="exact"/>
        <w:ind w:firstLine="360"/>
        <w:rPr>
          <w:color w:val="auto"/>
          <w:highlight w:val="none"/>
        </w:rPr>
      </w:pPr>
      <w:r>
        <w:rPr>
          <w:rFonts w:hint="eastAsia"/>
          <w:color w:val="auto"/>
          <w:highlight w:val="none"/>
        </w:rPr>
        <w:t>11.4  本项目中标服务费在</w:t>
      </w:r>
      <w:r>
        <w:rPr>
          <w:rFonts w:hint="eastAsia" w:hAnsi="宋体"/>
          <w:color w:val="auto"/>
          <w:highlight w:val="none"/>
        </w:rPr>
        <w:t>签订合同前，中标人应向采购代理机构一次付清代理服务费</w:t>
      </w:r>
      <w:r>
        <w:rPr>
          <w:rFonts w:hint="eastAsia"/>
          <w:color w:val="auto"/>
          <w:highlight w:val="none"/>
        </w:rPr>
        <w:t>。签订合同前，中标供应商须向采购代理机构一次付清代理服务费。</w:t>
      </w:r>
    </w:p>
    <w:p>
      <w:pPr>
        <w:pStyle w:val="18"/>
        <w:spacing w:line="440" w:lineRule="exact"/>
        <w:ind w:firstLine="360"/>
        <w:rPr>
          <w:color w:val="auto"/>
          <w:highlight w:val="none"/>
        </w:rPr>
      </w:pPr>
      <w:r>
        <w:rPr>
          <w:rFonts w:hint="eastAsia"/>
          <w:color w:val="auto"/>
          <w:highlight w:val="none"/>
        </w:rPr>
        <w:t>11.5  不论投标结果如何，投标人均应自行承担与编制和递交投标文件有关的全部费用。</w:t>
      </w:r>
    </w:p>
    <w:p>
      <w:pPr>
        <w:pStyle w:val="18"/>
        <w:spacing w:line="440" w:lineRule="exact"/>
        <w:rPr>
          <w:rFonts w:hAnsi="宋体"/>
          <w:bCs/>
          <w:color w:val="auto"/>
          <w:sz w:val="24"/>
          <w:highlight w:val="none"/>
        </w:rPr>
      </w:pPr>
      <w:r>
        <w:rPr>
          <w:rFonts w:hint="eastAsia" w:hAnsi="宋体"/>
          <w:bCs/>
          <w:color w:val="auto"/>
          <w:sz w:val="24"/>
          <w:highlight w:val="none"/>
        </w:rPr>
        <w:t>12.  投标有效期</w:t>
      </w:r>
    </w:p>
    <w:p>
      <w:pPr>
        <w:pStyle w:val="18"/>
        <w:spacing w:line="440" w:lineRule="exact"/>
        <w:ind w:firstLine="360"/>
        <w:rPr>
          <w:rFonts w:hAnsi="宋体"/>
          <w:color w:val="auto"/>
          <w:highlight w:val="none"/>
        </w:rPr>
      </w:pPr>
      <w:r>
        <w:rPr>
          <w:rFonts w:hint="eastAsia" w:hAnsi="宋体"/>
          <w:color w:val="auto"/>
          <w:highlight w:val="none"/>
        </w:rPr>
        <w:t>12.1  在投标人须知前附表规定的投标有效期内，投标人不得要求撤销或修改其投标文件。投标有效期不满足要求的投标将被视为非实质性响应投标而予以拒绝。</w:t>
      </w:r>
    </w:p>
    <w:p>
      <w:pPr>
        <w:pStyle w:val="18"/>
        <w:spacing w:line="440" w:lineRule="exact"/>
        <w:ind w:firstLine="360"/>
        <w:rPr>
          <w:rFonts w:hAnsi="宋体"/>
          <w:color w:val="auto"/>
          <w:highlight w:val="none"/>
        </w:rPr>
      </w:pPr>
      <w:r>
        <w:rPr>
          <w:rFonts w:hint="eastAsia" w:hAnsi="宋体"/>
          <w:color w:val="auto"/>
          <w:highlight w:val="none"/>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18"/>
        <w:spacing w:line="440" w:lineRule="exact"/>
        <w:rPr>
          <w:rFonts w:hAnsi="宋体"/>
          <w:bCs/>
          <w:color w:val="auto"/>
          <w:sz w:val="24"/>
          <w:highlight w:val="none"/>
        </w:rPr>
      </w:pPr>
      <w:r>
        <w:rPr>
          <w:rFonts w:hint="eastAsia" w:hAnsi="宋体"/>
          <w:bCs/>
          <w:color w:val="auto"/>
          <w:sz w:val="24"/>
          <w:highlight w:val="none"/>
        </w:rPr>
        <w:t>13.  投标保证金</w:t>
      </w:r>
    </w:p>
    <w:p>
      <w:pPr>
        <w:pStyle w:val="18"/>
        <w:spacing w:line="440" w:lineRule="exact"/>
        <w:ind w:left="2" w:firstLine="417" w:firstLineChars="199"/>
        <w:rPr>
          <w:rFonts w:hAnsi="宋体"/>
          <w:color w:val="auto"/>
          <w:highlight w:val="none"/>
        </w:rPr>
      </w:pPr>
      <w:r>
        <w:rPr>
          <w:rFonts w:hint="eastAsia" w:hAnsi="宋体"/>
          <w:color w:val="auto"/>
          <w:highlight w:val="none"/>
        </w:rPr>
        <w:t>13.1本项目不收取投标保证金</w:t>
      </w:r>
    </w:p>
    <w:p>
      <w:pPr>
        <w:pStyle w:val="18"/>
        <w:tabs>
          <w:tab w:val="left" w:pos="0"/>
        </w:tabs>
        <w:spacing w:line="440" w:lineRule="exact"/>
        <w:ind w:firstLine="361" w:firstLineChars="171"/>
        <w:rPr>
          <w:rFonts w:hAnsi="宋体"/>
          <w:b/>
          <w:bCs/>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63" w:name="_Toc213326419"/>
      <w:bookmarkStart w:id="64" w:name="_Toc401396878"/>
    </w:p>
    <w:p>
      <w:pPr>
        <w:pStyle w:val="18"/>
        <w:spacing w:line="440" w:lineRule="exact"/>
        <w:jc w:val="center"/>
        <w:outlineLvl w:val="1"/>
        <w:rPr>
          <w:rFonts w:ascii="Times New Roman" w:hAnsi="Times New Roman"/>
          <w:b/>
          <w:color w:val="auto"/>
          <w:sz w:val="30"/>
          <w:szCs w:val="30"/>
          <w:highlight w:val="none"/>
        </w:rPr>
      </w:pPr>
      <w:bookmarkStart w:id="65" w:name="_Toc30576"/>
      <w:r>
        <w:rPr>
          <w:rFonts w:hint="eastAsia" w:ascii="Times New Roman" w:hAnsi="Times New Roman"/>
          <w:b/>
          <w:color w:val="auto"/>
          <w:sz w:val="30"/>
          <w:szCs w:val="30"/>
          <w:highlight w:val="none"/>
        </w:rPr>
        <w:t>四    投标</w:t>
      </w:r>
      <w:bookmarkEnd w:id="63"/>
      <w:bookmarkEnd w:id="64"/>
      <w:bookmarkEnd w:id="65"/>
    </w:p>
    <w:p>
      <w:pPr>
        <w:pStyle w:val="18"/>
        <w:spacing w:line="440" w:lineRule="exact"/>
        <w:rPr>
          <w:rFonts w:hAnsi="宋体"/>
          <w:bCs/>
          <w:color w:val="auto"/>
          <w:sz w:val="24"/>
          <w:highlight w:val="none"/>
        </w:rPr>
      </w:pPr>
      <w:r>
        <w:rPr>
          <w:rFonts w:hint="eastAsia" w:hAnsi="宋体"/>
          <w:bCs/>
          <w:color w:val="auto"/>
          <w:sz w:val="24"/>
          <w:highlight w:val="none"/>
        </w:rPr>
        <w:t>14.  投标文件的密封</w:t>
      </w:r>
    </w:p>
    <w:p>
      <w:pPr>
        <w:pStyle w:val="18"/>
        <w:spacing w:line="440" w:lineRule="exact"/>
        <w:ind w:firstLine="359" w:firstLineChars="171"/>
        <w:rPr>
          <w:rFonts w:hAnsi="宋体"/>
          <w:color w:val="auto"/>
          <w:highlight w:val="none"/>
        </w:rPr>
      </w:pPr>
      <w:r>
        <w:rPr>
          <w:rFonts w:hint="eastAsia" w:hAnsi="宋体"/>
          <w:color w:val="auto"/>
          <w:highlight w:val="none"/>
        </w:rPr>
        <w:t>14.1  投标人应将投标正、副本文件、电子版文件统一装入一个文件包装袋中加以密封。封口处必须加盖投标人单位公章或被授权人签字，以示密封。密封袋上应标明项目名称、项目编号、投标人名称和地址、及“在（开标日期、时间）之前不得启封”的字样。</w:t>
      </w:r>
    </w:p>
    <w:p>
      <w:pPr>
        <w:pStyle w:val="18"/>
        <w:spacing w:line="440" w:lineRule="exact"/>
        <w:ind w:firstLine="359" w:firstLineChars="171"/>
        <w:rPr>
          <w:rFonts w:hAnsi="宋体"/>
          <w:color w:val="auto"/>
          <w:highlight w:val="none"/>
        </w:rPr>
      </w:pPr>
      <w:r>
        <w:rPr>
          <w:rFonts w:hint="eastAsia" w:hAnsi="宋体"/>
          <w:color w:val="auto"/>
          <w:highlight w:val="none"/>
        </w:rPr>
        <w:t>如投标人未按上述要求密封及加写标记，其投标文件不予接收，并且采购人或采购代理机构对其投标文件的误投或过早启封概不负责。</w:t>
      </w:r>
    </w:p>
    <w:p>
      <w:pPr>
        <w:pStyle w:val="18"/>
        <w:spacing w:line="440" w:lineRule="exact"/>
        <w:rPr>
          <w:rFonts w:hAnsi="宋体"/>
          <w:bCs/>
          <w:color w:val="auto"/>
          <w:sz w:val="24"/>
          <w:highlight w:val="none"/>
        </w:rPr>
      </w:pPr>
      <w:r>
        <w:rPr>
          <w:rFonts w:hint="eastAsia" w:hAnsi="宋体"/>
          <w:bCs/>
          <w:color w:val="auto"/>
          <w:sz w:val="24"/>
          <w:highlight w:val="none"/>
        </w:rPr>
        <w:t>15.  投标文件及投标样品的递交</w:t>
      </w:r>
    </w:p>
    <w:p>
      <w:pPr>
        <w:pStyle w:val="18"/>
        <w:spacing w:line="440" w:lineRule="exact"/>
        <w:ind w:firstLine="360"/>
        <w:rPr>
          <w:rFonts w:hAnsi="宋体"/>
          <w:color w:val="auto"/>
          <w:highlight w:val="none"/>
        </w:rPr>
      </w:pPr>
      <w:r>
        <w:rPr>
          <w:rFonts w:hint="eastAsia" w:hAnsi="宋体"/>
          <w:color w:val="auto"/>
          <w:highlight w:val="none"/>
        </w:rPr>
        <w:t>15.1  投标人投标截止时间：见投标人须知前附表。</w:t>
      </w:r>
    </w:p>
    <w:p>
      <w:pPr>
        <w:pStyle w:val="18"/>
        <w:spacing w:line="440" w:lineRule="exact"/>
        <w:ind w:firstLine="360"/>
        <w:rPr>
          <w:rFonts w:hAnsi="宋体"/>
          <w:color w:val="auto"/>
          <w:highlight w:val="none"/>
        </w:rPr>
      </w:pPr>
      <w:r>
        <w:rPr>
          <w:rFonts w:hint="eastAsia" w:hAnsi="宋体"/>
          <w:color w:val="auto"/>
          <w:highlight w:val="none"/>
        </w:rPr>
        <w:t>15.2  投标人递交投标文件地点：见投标人须知前附表。</w:t>
      </w:r>
    </w:p>
    <w:p>
      <w:pPr>
        <w:pStyle w:val="18"/>
        <w:spacing w:line="440" w:lineRule="exact"/>
        <w:ind w:firstLine="360"/>
        <w:rPr>
          <w:rFonts w:hAnsi="宋体"/>
          <w:color w:val="auto"/>
          <w:highlight w:val="none"/>
        </w:rPr>
      </w:pPr>
      <w:r>
        <w:rPr>
          <w:rFonts w:hint="eastAsia" w:hAnsi="宋体"/>
          <w:color w:val="auto"/>
          <w:highlight w:val="none"/>
        </w:rPr>
        <w:t>15.3  投标人递交投标样品截止时间：见投标人须知前附表。</w:t>
      </w:r>
    </w:p>
    <w:p>
      <w:pPr>
        <w:pStyle w:val="18"/>
        <w:spacing w:line="440" w:lineRule="exact"/>
        <w:ind w:firstLine="360"/>
        <w:rPr>
          <w:rFonts w:hAnsi="宋体"/>
          <w:color w:val="auto"/>
          <w:highlight w:val="none"/>
        </w:rPr>
      </w:pPr>
      <w:r>
        <w:rPr>
          <w:rFonts w:hint="eastAsia" w:hAnsi="宋体"/>
          <w:color w:val="auto"/>
          <w:highlight w:val="none"/>
        </w:rPr>
        <w:t>15.4  投标人递交投标样品地点：见投标人须知前附表。</w:t>
      </w:r>
    </w:p>
    <w:p>
      <w:pPr>
        <w:pStyle w:val="18"/>
        <w:spacing w:line="440" w:lineRule="exact"/>
        <w:jc w:val="center"/>
        <w:rPr>
          <w:rFonts w:hAnsi="宋体"/>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66" w:name="_Toc213326420"/>
      <w:bookmarkStart w:id="67" w:name="_Toc12805"/>
      <w:bookmarkStart w:id="68" w:name="_Toc401396879"/>
      <w:r>
        <w:rPr>
          <w:rFonts w:hint="eastAsia" w:ascii="Times New Roman" w:hAnsi="Times New Roman"/>
          <w:b/>
          <w:color w:val="auto"/>
          <w:sz w:val="30"/>
          <w:szCs w:val="30"/>
          <w:highlight w:val="none"/>
        </w:rPr>
        <w:t>五    开标与评标</w:t>
      </w:r>
      <w:bookmarkEnd w:id="66"/>
      <w:bookmarkEnd w:id="67"/>
      <w:bookmarkEnd w:id="68"/>
    </w:p>
    <w:p>
      <w:pPr>
        <w:pStyle w:val="18"/>
        <w:spacing w:line="440" w:lineRule="exact"/>
        <w:rPr>
          <w:rFonts w:hAnsi="宋体"/>
          <w:bCs/>
          <w:color w:val="auto"/>
          <w:sz w:val="24"/>
          <w:highlight w:val="none"/>
        </w:rPr>
      </w:pPr>
      <w:r>
        <w:rPr>
          <w:rFonts w:hint="eastAsia" w:hAnsi="宋体"/>
          <w:bCs/>
          <w:color w:val="auto"/>
          <w:sz w:val="24"/>
          <w:highlight w:val="none"/>
        </w:rPr>
        <w:t>16.  开标</w:t>
      </w:r>
    </w:p>
    <w:p>
      <w:pPr>
        <w:pStyle w:val="18"/>
        <w:spacing w:line="440" w:lineRule="exact"/>
        <w:ind w:firstLine="359" w:firstLineChars="171"/>
        <w:rPr>
          <w:rFonts w:hAnsi="宋体"/>
          <w:color w:val="auto"/>
          <w:highlight w:val="none"/>
        </w:rPr>
      </w:pPr>
      <w:r>
        <w:rPr>
          <w:rFonts w:hint="eastAsia" w:hAnsi="宋体"/>
          <w:color w:val="auto"/>
          <w:highlight w:val="none"/>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18"/>
        <w:spacing w:line="440" w:lineRule="exact"/>
        <w:ind w:firstLine="359" w:firstLineChars="171"/>
        <w:rPr>
          <w:rFonts w:hAnsi="宋体"/>
          <w:color w:val="auto"/>
          <w:highlight w:val="none"/>
        </w:rPr>
      </w:pPr>
      <w:r>
        <w:rPr>
          <w:rFonts w:hint="eastAsia" w:hAnsi="宋体"/>
          <w:color w:val="auto"/>
          <w:highlight w:val="none"/>
        </w:rPr>
        <w:t>16.2  开标程序：</w:t>
      </w:r>
    </w:p>
    <w:p>
      <w:pPr>
        <w:pStyle w:val="18"/>
        <w:spacing w:line="440" w:lineRule="exact"/>
        <w:ind w:firstLine="720"/>
        <w:rPr>
          <w:rFonts w:hAnsi="宋体"/>
          <w:color w:val="auto"/>
          <w:highlight w:val="none"/>
        </w:rPr>
      </w:pPr>
      <w:r>
        <w:rPr>
          <w:rFonts w:hint="eastAsia" w:hAnsi="宋体"/>
          <w:color w:val="auto"/>
          <w:highlight w:val="none"/>
        </w:rPr>
        <w:t>（1）开标会由采购代理机构主持，主持人宣布开标会议开始；</w:t>
      </w:r>
    </w:p>
    <w:p>
      <w:pPr>
        <w:pStyle w:val="18"/>
        <w:spacing w:line="440" w:lineRule="exact"/>
        <w:ind w:firstLine="720"/>
        <w:rPr>
          <w:rFonts w:hAnsi="宋体"/>
          <w:color w:val="auto"/>
          <w:highlight w:val="none"/>
        </w:rPr>
      </w:pPr>
      <w:r>
        <w:rPr>
          <w:rFonts w:hint="eastAsia" w:hAnsi="宋体"/>
          <w:color w:val="auto"/>
          <w:highlight w:val="none"/>
        </w:rPr>
        <w:t>（2）公布在投标截止时间前递交投标文件的投标人家数、投标单位名称，并点名确认投标人是否到场；</w:t>
      </w:r>
    </w:p>
    <w:p>
      <w:pPr>
        <w:pStyle w:val="18"/>
        <w:spacing w:line="440" w:lineRule="exact"/>
        <w:ind w:firstLine="720"/>
        <w:rPr>
          <w:rFonts w:hAnsi="宋体"/>
          <w:color w:val="auto"/>
          <w:highlight w:val="none"/>
        </w:rPr>
      </w:pPr>
      <w:r>
        <w:rPr>
          <w:rFonts w:hint="eastAsia" w:hAnsi="宋体"/>
          <w:color w:val="auto"/>
          <w:highlight w:val="none"/>
        </w:rPr>
        <w:t>（3）宣布开标人、唱标人、记录人、监标人等有关人员；</w:t>
      </w:r>
    </w:p>
    <w:p>
      <w:pPr>
        <w:pStyle w:val="18"/>
        <w:spacing w:line="440" w:lineRule="exact"/>
        <w:ind w:firstLine="720"/>
        <w:rPr>
          <w:rFonts w:hAnsi="宋体"/>
          <w:color w:val="auto"/>
          <w:highlight w:val="none"/>
        </w:rPr>
      </w:pPr>
      <w:r>
        <w:rPr>
          <w:rFonts w:hint="eastAsia" w:hAnsi="宋体"/>
          <w:color w:val="auto"/>
          <w:highlight w:val="none"/>
        </w:rPr>
        <w:t>（4）投标人代表按本章第14.1项的规定由各投标人检查各自的投标文件密封情况并签字确认；</w:t>
      </w:r>
    </w:p>
    <w:p>
      <w:pPr>
        <w:pStyle w:val="18"/>
        <w:spacing w:line="440" w:lineRule="exact"/>
        <w:ind w:firstLine="720"/>
        <w:rPr>
          <w:rFonts w:hAnsi="宋体"/>
          <w:color w:val="auto"/>
          <w:highlight w:val="none"/>
        </w:rPr>
      </w:pPr>
      <w:r>
        <w:rPr>
          <w:rFonts w:hint="eastAsia" w:hAnsi="宋体"/>
          <w:color w:val="auto"/>
          <w:highlight w:val="none"/>
        </w:rPr>
        <w:t>（5）按各投标人递交投标文件时间的先后顺序当众拆封投标文件，由唱标人宣读投标人名称、分标名称、投标报价、服务期等以及采购代理机构认为有必要宣读的其他内容；</w:t>
      </w:r>
    </w:p>
    <w:p>
      <w:pPr>
        <w:pStyle w:val="18"/>
        <w:spacing w:line="440" w:lineRule="exact"/>
        <w:ind w:firstLine="720"/>
        <w:rPr>
          <w:rFonts w:hAnsi="宋体"/>
          <w:color w:val="auto"/>
          <w:highlight w:val="none"/>
        </w:rPr>
      </w:pPr>
      <w:r>
        <w:rPr>
          <w:rFonts w:hint="eastAsia" w:hAnsi="宋体"/>
          <w:color w:val="auto"/>
          <w:highlight w:val="none"/>
        </w:rPr>
        <w:t>（6）相关人员在开标记录上签字确认；</w:t>
      </w:r>
    </w:p>
    <w:p>
      <w:pPr>
        <w:pStyle w:val="18"/>
        <w:spacing w:line="440" w:lineRule="exact"/>
        <w:ind w:firstLine="720"/>
        <w:rPr>
          <w:rFonts w:hAnsi="宋体"/>
          <w:color w:val="auto"/>
          <w:highlight w:val="none"/>
        </w:rPr>
      </w:pPr>
      <w:r>
        <w:rPr>
          <w:rFonts w:hint="eastAsia" w:hAnsi="宋体"/>
          <w:color w:val="auto"/>
          <w:highlight w:val="none"/>
        </w:rPr>
        <w:t>（7）宣布评标期间的有关事项；</w:t>
      </w:r>
    </w:p>
    <w:p>
      <w:pPr>
        <w:pStyle w:val="18"/>
        <w:spacing w:line="440" w:lineRule="exact"/>
        <w:ind w:firstLine="720"/>
        <w:rPr>
          <w:rFonts w:hAnsi="宋体"/>
          <w:color w:val="auto"/>
          <w:highlight w:val="none"/>
        </w:rPr>
      </w:pPr>
      <w:r>
        <w:rPr>
          <w:rFonts w:hint="eastAsia" w:hAnsi="宋体"/>
          <w:color w:val="auto"/>
          <w:highlight w:val="none"/>
        </w:rPr>
        <w:t>（8）开标结束。</w:t>
      </w:r>
    </w:p>
    <w:p>
      <w:pPr>
        <w:pStyle w:val="18"/>
        <w:spacing w:line="440" w:lineRule="exact"/>
        <w:rPr>
          <w:rFonts w:hAnsi="宋体"/>
          <w:color w:val="auto"/>
          <w:szCs w:val="21"/>
          <w:highlight w:val="none"/>
        </w:rPr>
      </w:pPr>
      <w:r>
        <w:rPr>
          <w:rFonts w:hint="eastAsia" w:hAnsi="宋体"/>
          <w:color w:val="auto"/>
          <w:szCs w:val="21"/>
          <w:highlight w:val="none"/>
        </w:rPr>
        <w:t>17.资格审查</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采购人依据法律法规和招标文件的规定，对投标文件中的资格文件进行审查，以确定投标供应商是否具备投标资格。合格投标人不足3家的，不得评标。</w:t>
      </w:r>
    </w:p>
    <w:p>
      <w:pPr>
        <w:pStyle w:val="18"/>
        <w:spacing w:line="440" w:lineRule="exact"/>
        <w:rPr>
          <w:rFonts w:hAnsi="宋体"/>
          <w:bCs/>
          <w:color w:val="auto"/>
          <w:sz w:val="24"/>
          <w:highlight w:val="none"/>
        </w:rPr>
      </w:pPr>
      <w:r>
        <w:rPr>
          <w:rFonts w:hint="eastAsia" w:hAnsi="宋体"/>
          <w:bCs/>
          <w:color w:val="auto"/>
          <w:sz w:val="24"/>
          <w:highlight w:val="none"/>
        </w:rPr>
        <w:t>18.  评标</w:t>
      </w:r>
    </w:p>
    <w:p>
      <w:pPr>
        <w:pStyle w:val="18"/>
        <w:spacing w:line="440" w:lineRule="exact"/>
        <w:ind w:firstLine="420" w:firstLineChars="200"/>
        <w:rPr>
          <w:rFonts w:hAnsi="宋体"/>
          <w:color w:val="auto"/>
          <w:highlight w:val="none"/>
        </w:rPr>
      </w:pPr>
      <w:r>
        <w:rPr>
          <w:rFonts w:hint="eastAsia" w:hAnsi="宋体"/>
          <w:color w:val="auto"/>
          <w:highlight w:val="none"/>
        </w:rPr>
        <w:t>18.1  评标委员会：评标由依法组建的评标委员会负责。</w:t>
      </w:r>
      <w:r>
        <w:rPr>
          <w:rFonts w:hint="eastAsia" w:hAnsi="宋体"/>
          <w:color w:val="auto"/>
          <w:szCs w:val="21"/>
          <w:highlight w:val="none"/>
        </w:rPr>
        <w:t>评标委员会由采购人代表和评审专家组成</w:t>
      </w:r>
      <w:r>
        <w:rPr>
          <w:rFonts w:hint="eastAsia" w:hAnsi="宋体"/>
          <w:color w:val="auto"/>
          <w:highlight w:val="none"/>
        </w:rPr>
        <w:t>。采购人或采购代理机构根据本项目的特点，从财政部门设立的政府采购评审专家库中，通过随机方式抽取专家。</w:t>
      </w:r>
    </w:p>
    <w:p>
      <w:pPr>
        <w:pStyle w:val="18"/>
        <w:spacing w:line="440" w:lineRule="exact"/>
        <w:ind w:firstLine="420" w:firstLineChars="200"/>
        <w:rPr>
          <w:rFonts w:hAnsi="宋体"/>
          <w:color w:val="auto"/>
          <w:highlight w:val="none"/>
        </w:rPr>
      </w:pPr>
      <w:r>
        <w:rPr>
          <w:rFonts w:hint="eastAsia"/>
          <w:color w:val="auto"/>
          <w:highlight w:val="none"/>
        </w:rPr>
        <w:t>18.2  评标原则：评标活动遵循公平、公正、科学和择优的原则。</w:t>
      </w:r>
    </w:p>
    <w:p>
      <w:pPr>
        <w:pStyle w:val="18"/>
        <w:spacing w:line="440" w:lineRule="exact"/>
        <w:ind w:firstLine="420" w:firstLineChars="200"/>
        <w:rPr>
          <w:rFonts w:hAnsi="宋体"/>
          <w:color w:val="auto"/>
          <w:highlight w:val="none"/>
        </w:rPr>
      </w:pPr>
      <w:r>
        <w:rPr>
          <w:rFonts w:hint="eastAsia" w:hAnsi="宋体"/>
          <w:color w:val="auto"/>
          <w:highlight w:val="none"/>
        </w:rPr>
        <w:t>18.3  评标方法：</w:t>
      </w:r>
      <w:r>
        <w:rPr>
          <w:rFonts w:hint="eastAsia"/>
          <w:color w:val="auto"/>
          <w:highlight w:val="none"/>
        </w:rPr>
        <w:t>评标委员会按照</w:t>
      </w:r>
      <w:r>
        <w:rPr>
          <w:rFonts w:hint="eastAsia" w:hAnsi="宋体"/>
          <w:color w:val="auto"/>
          <w:highlight w:val="none"/>
        </w:rPr>
        <w:t>投标人须知前附表和</w:t>
      </w:r>
      <w:r>
        <w:rPr>
          <w:rFonts w:hint="eastAsia"/>
          <w:color w:val="auto"/>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18"/>
        <w:spacing w:line="440" w:lineRule="exact"/>
        <w:ind w:firstLine="420" w:firstLineChars="200"/>
        <w:rPr>
          <w:rFonts w:hAnsi="宋体"/>
          <w:color w:val="auto"/>
          <w:highlight w:val="none"/>
        </w:rPr>
      </w:pPr>
      <w:r>
        <w:rPr>
          <w:rFonts w:hint="eastAsia" w:hAnsi="宋体"/>
          <w:color w:val="auto"/>
          <w:highlight w:val="none"/>
        </w:rPr>
        <w:t xml:space="preserve">18.4  </w:t>
      </w:r>
      <w:r>
        <w:rPr>
          <w:rFonts w:hint="eastAsia" w:hAnsi="宋体"/>
          <w:bCs/>
          <w:color w:val="auto"/>
          <w:highlight w:val="none"/>
        </w:rPr>
        <w:t>评标程序：</w:t>
      </w:r>
    </w:p>
    <w:p>
      <w:pPr>
        <w:pStyle w:val="18"/>
        <w:spacing w:line="440" w:lineRule="exact"/>
        <w:ind w:firstLine="420" w:firstLineChars="200"/>
        <w:rPr>
          <w:rFonts w:hAnsi="宋体"/>
          <w:color w:val="auto"/>
          <w:highlight w:val="none"/>
        </w:rPr>
      </w:pPr>
      <w:r>
        <w:rPr>
          <w:rFonts w:hint="eastAsia" w:hAnsi="宋体"/>
          <w:bCs/>
          <w:color w:val="auto"/>
          <w:highlight w:val="none"/>
        </w:rPr>
        <w:t>18.4.1  采购代理机构项目负责人宣读评标现场纪律要求，集中管理通讯工具，询问在场人员是否申请回避；</w:t>
      </w:r>
    </w:p>
    <w:p>
      <w:pPr>
        <w:pStyle w:val="18"/>
        <w:spacing w:line="440" w:lineRule="exact"/>
        <w:ind w:firstLine="420" w:firstLineChars="200"/>
        <w:rPr>
          <w:rFonts w:hAnsi="宋体"/>
          <w:color w:val="auto"/>
          <w:highlight w:val="none"/>
        </w:rPr>
      </w:pPr>
      <w:r>
        <w:rPr>
          <w:rFonts w:hint="eastAsia" w:hAnsi="宋体"/>
          <w:bCs/>
          <w:color w:val="auto"/>
          <w:highlight w:val="none"/>
        </w:rPr>
        <w:t>18.4.2  采购代理机构项目负责人介绍项目概况及评标委员会组成情况（但不得发表影响评审的倾向性、歧视性言论），推选评标组长（原则上采购人不得担任评标组长）；</w:t>
      </w:r>
    </w:p>
    <w:p>
      <w:pPr>
        <w:pStyle w:val="18"/>
        <w:spacing w:line="440" w:lineRule="exact"/>
        <w:ind w:firstLine="420" w:firstLineChars="200"/>
        <w:rPr>
          <w:rFonts w:hAnsi="宋体"/>
          <w:color w:val="auto"/>
          <w:highlight w:val="none"/>
        </w:rPr>
      </w:pPr>
      <w:r>
        <w:rPr>
          <w:rFonts w:hint="eastAsia" w:hAnsi="宋体"/>
          <w:bCs/>
          <w:color w:val="auto"/>
          <w:highlight w:val="none"/>
        </w:rPr>
        <w:t>18.4.3  评标委员会按分工开展评标工作：</w:t>
      </w:r>
    </w:p>
    <w:p>
      <w:pPr>
        <w:pStyle w:val="18"/>
        <w:spacing w:line="440" w:lineRule="exact"/>
        <w:ind w:firstLine="718" w:firstLineChars="342"/>
        <w:rPr>
          <w:rFonts w:hAnsi="宋体"/>
          <w:color w:val="auto"/>
          <w:highlight w:val="none"/>
        </w:rPr>
      </w:pPr>
      <w:r>
        <w:rPr>
          <w:rFonts w:hint="eastAsia" w:hAnsi="宋体"/>
          <w:color w:val="auto"/>
          <w:highlight w:val="none"/>
        </w:rPr>
        <w:t>18.4.3.1投标文件初审。</w:t>
      </w:r>
      <w:r>
        <w:rPr>
          <w:rFonts w:hint="eastAsia" w:hAnsi="宋体"/>
          <w:bCs/>
          <w:color w:val="auto"/>
          <w:szCs w:val="21"/>
          <w:highlight w:val="none"/>
        </w:rPr>
        <w:t>商务技术</w:t>
      </w:r>
      <w:r>
        <w:rPr>
          <w:rFonts w:hint="eastAsia" w:hAnsi="宋体"/>
          <w:color w:val="auto"/>
          <w:highlight w:val="none"/>
        </w:rPr>
        <w:t>符合性检查：依据招标文件的规定，从</w:t>
      </w:r>
      <w:r>
        <w:rPr>
          <w:rFonts w:hint="eastAsia" w:hAnsi="宋体"/>
          <w:bCs/>
          <w:color w:val="auto"/>
          <w:szCs w:val="21"/>
          <w:highlight w:val="none"/>
        </w:rPr>
        <w:t>商务文件和技术</w:t>
      </w:r>
      <w:r>
        <w:rPr>
          <w:rFonts w:hint="eastAsia" w:hAnsi="宋体"/>
          <w:color w:val="auto"/>
          <w:highlight w:val="none"/>
        </w:rPr>
        <w:t>文件的有效性、完整性和对招标文件的响应程度进行审查，以确定是否对招标文件的实质性要求和条件作出响应。</w:t>
      </w:r>
    </w:p>
    <w:p>
      <w:pPr>
        <w:pStyle w:val="18"/>
        <w:spacing w:line="440" w:lineRule="exact"/>
        <w:ind w:firstLine="718" w:firstLineChars="342"/>
        <w:rPr>
          <w:rFonts w:hAnsi="宋体"/>
          <w:color w:val="auto"/>
          <w:szCs w:val="22"/>
          <w:highlight w:val="none"/>
        </w:rPr>
      </w:pPr>
      <w:r>
        <w:rPr>
          <w:rFonts w:hint="eastAsia" w:hAnsi="宋体"/>
          <w:color w:val="auto"/>
          <w:highlight w:val="none"/>
        </w:rPr>
        <w:t>(1)有</w:t>
      </w:r>
      <w:r>
        <w:rPr>
          <w:rFonts w:hint="eastAsia" w:hAnsi="宋体"/>
          <w:color w:val="auto"/>
          <w:szCs w:val="22"/>
          <w:highlight w:val="none"/>
        </w:rPr>
        <w:t>下列情形之一的视为投标人相互串通投标，投标文件将被视为无效。</w:t>
      </w:r>
    </w:p>
    <w:p>
      <w:pPr>
        <w:widowControl/>
        <w:spacing w:line="440" w:lineRule="exact"/>
        <w:ind w:firstLine="640"/>
        <w:jc w:val="left"/>
        <w:rPr>
          <w:rFonts w:ascii="宋体" w:hAnsi="宋体"/>
          <w:color w:val="auto"/>
          <w:szCs w:val="22"/>
          <w:highlight w:val="none"/>
        </w:rPr>
      </w:pPr>
      <w:r>
        <w:rPr>
          <w:rFonts w:hint="eastAsia" w:ascii="宋体" w:hAnsi="宋体"/>
          <w:color w:val="auto"/>
          <w:highlight w:val="none"/>
        </w:rPr>
        <w:t>①不同投标人的投标文件由同一单位或者个人编制；</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②不同投标人委托同一单位或者个人办理投标事宜;</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③不同的投标人的投标文件载明的项目管理员为同一个人;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④不同投标人的投标文件异常一致或投标报价呈规律性差异;</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⑤不同投标人的投标文件相互混装;</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（2）关联供应商不得参加同一合同项下政府采购活动，否则投标文件将被视为无效</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单位负责人为同一人或者存在直接控股、管理关系的不同的供应商，不得参加同一合同项下的政府采购活动;</w:t>
      </w:r>
    </w:p>
    <w:p>
      <w:pPr>
        <w:pStyle w:val="18"/>
        <w:spacing w:line="440" w:lineRule="exact"/>
        <w:ind w:firstLine="420"/>
        <w:rPr>
          <w:rFonts w:hAnsi="宋体"/>
          <w:color w:val="auto"/>
          <w:highlight w:val="none"/>
        </w:rPr>
      </w:pPr>
      <w:r>
        <w:rPr>
          <w:rFonts w:hint="eastAsia" w:hAnsi="宋体"/>
          <w:color w:val="auto"/>
          <w:highlight w:val="none"/>
        </w:rPr>
        <w:t>18.4.3.2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8"/>
        <w:spacing w:line="440" w:lineRule="exact"/>
        <w:ind w:firstLine="420" w:firstLineChars="200"/>
        <w:rPr>
          <w:rFonts w:hAnsi="宋体"/>
          <w:color w:val="auto"/>
          <w:highlight w:val="none"/>
        </w:rPr>
      </w:pPr>
      <w:r>
        <w:rPr>
          <w:rFonts w:hint="eastAsia" w:hAnsi="宋体"/>
          <w:color w:val="auto"/>
          <w:highlight w:val="none"/>
        </w:rPr>
        <w:t>18.4.3.3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8"/>
        <w:spacing w:line="440" w:lineRule="exact"/>
        <w:ind w:firstLine="420" w:firstLineChars="200"/>
        <w:rPr>
          <w:rFonts w:hAnsi="宋体"/>
          <w:color w:val="auto"/>
          <w:highlight w:val="none"/>
        </w:rPr>
      </w:pPr>
      <w:r>
        <w:rPr>
          <w:rFonts w:hint="eastAsia" w:hAnsi="宋体"/>
          <w:color w:val="auto"/>
          <w:highlight w:val="none"/>
        </w:rPr>
        <w:t>18.4.3.4报价</w:t>
      </w:r>
      <w:r>
        <w:rPr>
          <w:rFonts w:hint="eastAsia" w:hAnsi="宋体"/>
          <w:bCs/>
          <w:color w:val="auto"/>
          <w:szCs w:val="21"/>
          <w:highlight w:val="none"/>
        </w:rPr>
        <w:t>符合性审查</w:t>
      </w:r>
      <w:r>
        <w:rPr>
          <w:rFonts w:hint="eastAsia" w:hAnsi="宋体"/>
          <w:color w:val="auto"/>
          <w:szCs w:val="21"/>
          <w:highlight w:val="none"/>
        </w:rPr>
        <w:t>。评标委员会对投标人的报价文件进行</w:t>
      </w:r>
      <w:r>
        <w:rPr>
          <w:rFonts w:hint="eastAsia" w:hAnsi="宋体"/>
          <w:bCs/>
          <w:color w:val="auto"/>
          <w:szCs w:val="21"/>
          <w:highlight w:val="none"/>
        </w:rPr>
        <w:t>符合性审查</w:t>
      </w:r>
      <w:r>
        <w:rPr>
          <w:rFonts w:hint="eastAsia" w:hAnsi="宋体"/>
          <w:color w:val="auto"/>
          <w:szCs w:val="21"/>
          <w:highlight w:val="none"/>
        </w:rPr>
        <w:t>。评标委员会认为投标人的报价明显低于其他通过</w:t>
      </w:r>
      <w:r>
        <w:rPr>
          <w:rFonts w:hint="eastAsia" w:hAnsi="宋体"/>
          <w:bCs/>
          <w:color w:val="auto"/>
          <w:szCs w:val="21"/>
          <w:highlight w:val="none"/>
        </w:rPr>
        <w:t>商务技术</w:t>
      </w:r>
      <w:r>
        <w:rPr>
          <w:rFonts w:hint="eastAsia" w:hAnsi="宋体"/>
          <w:color w:val="auto"/>
          <w:szCs w:val="21"/>
          <w:highlight w:val="none"/>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pacing w:line="440" w:lineRule="exact"/>
        <w:ind w:firstLine="420"/>
        <w:rPr>
          <w:rFonts w:hAnsi="宋体"/>
          <w:color w:val="auto"/>
          <w:highlight w:val="none"/>
        </w:rPr>
      </w:pPr>
      <w:r>
        <w:rPr>
          <w:rFonts w:hint="eastAsia" w:hAnsi="宋体"/>
          <w:color w:val="auto"/>
          <w:highlight w:val="none"/>
        </w:rPr>
        <w:t>18.4.3.5编写评标报告，并确定中标供应商名单。</w:t>
      </w:r>
    </w:p>
    <w:p>
      <w:pPr>
        <w:pStyle w:val="18"/>
        <w:spacing w:line="440" w:lineRule="exact"/>
        <w:ind w:firstLine="420" w:firstLineChars="200"/>
        <w:rPr>
          <w:rFonts w:hAnsi="宋体"/>
          <w:bCs/>
          <w:color w:val="auto"/>
          <w:highlight w:val="none"/>
        </w:rPr>
      </w:pPr>
      <w:r>
        <w:rPr>
          <w:rFonts w:hint="eastAsia" w:hAnsi="宋体"/>
          <w:color w:val="auto"/>
          <w:highlight w:val="none"/>
        </w:rPr>
        <w:t>18.4.4  采购代理机构对评标过程和评分、评标结论进行核对和复核，如有错漏，请当事评委进行校正，按校正后的结果确定中标供应商。</w:t>
      </w:r>
    </w:p>
    <w:p>
      <w:pPr>
        <w:pStyle w:val="18"/>
        <w:spacing w:line="440" w:lineRule="exact"/>
        <w:ind w:firstLine="420" w:firstLineChars="200"/>
        <w:rPr>
          <w:rFonts w:hAnsi="宋体"/>
          <w:bCs/>
          <w:color w:val="auto"/>
          <w:highlight w:val="none"/>
        </w:rPr>
      </w:pPr>
      <w:r>
        <w:rPr>
          <w:rFonts w:hint="eastAsia" w:hAnsi="宋体"/>
          <w:color w:val="auto"/>
          <w:highlight w:val="none"/>
        </w:rPr>
        <w:t>18.5  在确定中标供应商前，采购人或采购代理机构不得与投标供应商就投标价格、投标方案等实质性内容进行谈判。</w:t>
      </w:r>
    </w:p>
    <w:p>
      <w:pPr>
        <w:pStyle w:val="18"/>
        <w:spacing w:line="440" w:lineRule="exact"/>
        <w:ind w:firstLine="420" w:firstLineChars="200"/>
        <w:rPr>
          <w:rFonts w:hAnsi="宋体"/>
          <w:bCs/>
          <w:color w:val="auto"/>
          <w:highlight w:val="none"/>
        </w:rPr>
      </w:pPr>
      <w:r>
        <w:rPr>
          <w:rFonts w:hint="eastAsia" w:hAnsi="宋体"/>
          <w:color w:val="auto"/>
          <w:highlight w:val="none"/>
        </w:rPr>
        <w:t>18.6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8"/>
        <w:spacing w:line="440" w:lineRule="exact"/>
        <w:rPr>
          <w:bCs/>
          <w:color w:val="auto"/>
          <w:sz w:val="24"/>
          <w:highlight w:val="none"/>
        </w:rPr>
      </w:pPr>
      <w:r>
        <w:rPr>
          <w:rFonts w:hint="eastAsia"/>
          <w:bCs/>
          <w:color w:val="auto"/>
          <w:sz w:val="24"/>
          <w:highlight w:val="none"/>
        </w:rPr>
        <w:t>19.  投标文件的修正</w:t>
      </w:r>
    </w:p>
    <w:p>
      <w:pPr>
        <w:pStyle w:val="18"/>
        <w:spacing w:line="360" w:lineRule="auto"/>
        <w:ind w:firstLine="420" w:firstLineChars="200"/>
        <w:rPr>
          <w:rFonts w:hAnsi="宋体"/>
          <w:color w:val="auto"/>
          <w:highlight w:val="none"/>
        </w:rPr>
      </w:pPr>
      <w:r>
        <w:rPr>
          <w:rFonts w:hint="eastAsia" w:hAnsi="宋体"/>
          <w:color w:val="auto"/>
          <w:highlight w:val="none"/>
        </w:rPr>
        <w:t>19.1  投标文件报价出现前后不一致的，修正的原则如下：</w:t>
      </w:r>
    </w:p>
    <w:p>
      <w:pPr>
        <w:pStyle w:val="18"/>
        <w:spacing w:line="360" w:lineRule="auto"/>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18"/>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18"/>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18"/>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pStyle w:val="18"/>
        <w:spacing w:line="440" w:lineRule="exact"/>
        <w:ind w:firstLine="360"/>
        <w:rPr>
          <w:rFonts w:hAnsi="宋体"/>
          <w:color w:val="auto"/>
          <w:highlight w:val="none"/>
        </w:rPr>
      </w:pPr>
      <w:r>
        <w:rPr>
          <w:rFonts w:hint="eastAsia" w:hAnsi="宋体"/>
          <w:color w:val="auto"/>
          <w:highlight w:val="none"/>
        </w:rPr>
        <w:t>19.2同时出现两种以上不一致的，按照本条款规定的顺序修正。修正后的报价按照本章</w:t>
      </w:r>
      <w:r>
        <w:rPr>
          <w:rFonts w:hAnsi="宋体"/>
          <w:color w:val="auto"/>
          <w:highlight w:val="none"/>
        </w:rPr>
        <w:t>17.4.3.2</w:t>
      </w:r>
      <w:r>
        <w:rPr>
          <w:rFonts w:hint="eastAsia" w:hAnsi="宋体"/>
          <w:color w:val="auto"/>
          <w:highlight w:val="none"/>
        </w:rPr>
        <w:t>的规定经投标人确认后产生约束力，投标人不确认的，其投标无效。</w:t>
      </w:r>
    </w:p>
    <w:p>
      <w:pPr>
        <w:pStyle w:val="18"/>
        <w:spacing w:line="440" w:lineRule="exact"/>
        <w:rPr>
          <w:rFonts w:hAnsi="宋体"/>
          <w:b/>
          <w:bCs/>
          <w:color w:val="auto"/>
          <w:sz w:val="24"/>
          <w:highlight w:val="none"/>
        </w:rPr>
      </w:pPr>
      <w:r>
        <w:rPr>
          <w:rFonts w:hint="eastAsia" w:hAnsi="宋体"/>
          <w:color w:val="auto"/>
          <w:highlight w:val="none"/>
        </w:rPr>
        <w:t>20</w:t>
      </w:r>
      <w:r>
        <w:rPr>
          <w:rFonts w:hint="eastAsia" w:hAnsi="宋体"/>
          <w:b/>
          <w:bCs/>
          <w:color w:val="auto"/>
          <w:sz w:val="24"/>
          <w:highlight w:val="none"/>
        </w:rPr>
        <w:t>.  拒绝接收</w:t>
      </w:r>
    </w:p>
    <w:p>
      <w:pPr>
        <w:pStyle w:val="18"/>
        <w:spacing w:line="440" w:lineRule="exact"/>
        <w:ind w:firstLine="720"/>
        <w:rPr>
          <w:rFonts w:hAnsi="宋体"/>
          <w:color w:val="auto"/>
          <w:highlight w:val="none"/>
        </w:rPr>
      </w:pPr>
      <w:r>
        <w:rPr>
          <w:rFonts w:hint="eastAsia"/>
          <w:color w:val="auto"/>
          <w:highlight w:val="none"/>
        </w:rPr>
        <w:t xml:space="preserve">19.1  </w:t>
      </w:r>
      <w:r>
        <w:rPr>
          <w:rFonts w:hint="eastAsia" w:hAnsi="宋体"/>
          <w:color w:val="auto"/>
          <w:highlight w:val="none"/>
        </w:rPr>
        <w:t>投标人</w:t>
      </w:r>
      <w:r>
        <w:rPr>
          <w:rFonts w:hint="eastAsia"/>
          <w:color w:val="auto"/>
          <w:highlight w:val="none"/>
        </w:rPr>
        <w:t>未在本章第15.1项规定的时间之前将投标文件送达至本章第15.2项指定地点的</w:t>
      </w:r>
      <w:r>
        <w:rPr>
          <w:rFonts w:hint="eastAsia" w:hAnsi="宋体"/>
          <w:color w:val="auto"/>
          <w:highlight w:val="none"/>
        </w:rPr>
        <w:t>，采购代理机构应当拒绝接收该投标人的投标文件。</w:t>
      </w:r>
    </w:p>
    <w:p>
      <w:pPr>
        <w:pStyle w:val="18"/>
        <w:spacing w:line="440" w:lineRule="exact"/>
        <w:ind w:firstLine="720"/>
        <w:rPr>
          <w:rFonts w:hAnsi="宋体"/>
          <w:color w:val="auto"/>
          <w:highlight w:val="none"/>
        </w:rPr>
      </w:pPr>
      <w:r>
        <w:rPr>
          <w:rFonts w:hint="eastAsia"/>
          <w:color w:val="auto"/>
          <w:highlight w:val="none"/>
        </w:rPr>
        <w:t xml:space="preserve">19.2  </w:t>
      </w:r>
      <w:r>
        <w:rPr>
          <w:rFonts w:hint="eastAsia" w:hAnsi="宋体"/>
          <w:color w:val="auto"/>
          <w:highlight w:val="none"/>
        </w:rPr>
        <w:t>投标人</w:t>
      </w:r>
      <w:r>
        <w:rPr>
          <w:rFonts w:hint="eastAsia"/>
          <w:color w:val="auto"/>
          <w:highlight w:val="none"/>
        </w:rPr>
        <w:t>未在本章第15.3项规定的</w:t>
      </w:r>
      <w:r>
        <w:rPr>
          <w:rFonts w:hint="eastAsia" w:hAnsi="宋体"/>
          <w:color w:val="auto"/>
          <w:highlight w:val="none"/>
        </w:rPr>
        <w:t>时间</w:t>
      </w:r>
      <w:r>
        <w:rPr>
          <w:rFonts w:hint="eastAsia"/>
          <w:color w:val="auto"/>
          <w:highlight w:val="none"/>
        </w:rPr>
        <w:t>之前将投标样品送达至本章第15.4项指定地点的</w:t>
      </w:r>
      <w:r>
        <w:rPr>
          <w:rFonts w:hint="eastAsia" w:hAnsi="宋体"/>
          <w:color w:val="auto"/>
          <w:highlight w:val="none"/>
        </w:rPr>
        <w:t>，将拒绝接收该投标人的投标样品。</w:t>
      </w:r>
    </w:p>
    <w:p>
      <w:pPr>
        <w:pStyle w:val="18"/>
        <w:spacing w:line="440" w:lineRule="exact"/>
        <w:rPr>
          <w:rFonts w:hAnsi="宋体"/>
          <w:b/>
          <w:bCs/>
          <w:color w:val="auto"/>
          <w:sz w:val="24"/>
          <w:highlight w:val="none"/>
        </w:rPr>
      </w:pPr>
      <w:r>
        <w:rPr>
          <w:rFonts w:hint="eastAsia" w:hAnsi="宋体"/>
          <w:b/>
          <w:bCs/>
          <w:color w:val="auto"/>
          <w:sz w:val="24"/>
          <w:highlight w:val="none"/>
        </w:rPr>
        <w:t>21.  无效投标</w:t>
      </w:r>
    </w:p>
    <w:p>
      <w:pPr>
        <w:pStyle w:val="18"/>
        <w:spacing w:line="440" w:lineRule="exact"/>
        <w:ind w:firstLine="359" w:firstLineChars="171"/>
        <w:rPr>
          <w:rFonts w:hAnsi="宋体"/>
          <w:color w:val="auto"/>
          <w:highlight w:val="none"/>
        </w:rPr>
      </w:pPr>
      <w:r>
        <w:rPr>
          <w:rFonts w:hint="eastAsia" w:hAnsi="宋体"/>
          <w:color w:val="auto"/>
          <w:highlight w:val="none"/>
        </w:rPr>
        <w:t>21.1  属下列情形之一的，投标人的投标无效：</w:t>
      </w:r>
    </w:p>
    <w:p>
      <w:pPr>
        <w:pStyle w:val="18"/>
        <w:spacing w:line="440" w:lineRule="exact"/>
        <w:ind w:firstLine="718" w:firstLineChars="342"/>
        <w:rPr>
          <w:rFonts w:hAnsi="宋体"/>
          <w:color w:val="auto"/>
          <w:highlight w:val="none"/>
        </w:rPr>
      </w:pPr>
      <w:r>
        <w:rPr>
          <w:rFonts w:hint="eastAsia" w:hAnsi="宋体"/>
          <w:color w:val="auto"/>
          <w:highlight w:val="none"/>
        </w:rPr>
        <w:t>实质上没有响应招标文件要求的投标将被视为无效投标。</w:t>
      </w:r>
    </w:p>
    <w:p>
      <w:pPr>
        <w:pStyle w:val="18"/>
        <w:spacing w:line="440" w:lineRule="exact"/>
        <w:ind w:firstLine="424" w:firstLineChars="202"/>
        <w:rPr>
          <w:rFonts w:hAnsi="宋体"/>
          <w:color w:val="auto"/>
          <w:highlight w:val="none"/>
        </w:rPr>
      </w:pPr>
      <w:r>
        <w:rPr>
          <w:rFonts w:hint="eastAsia" w:hAnsi="宋体"/>
          <w:color w:val="auto"/>
          <w:highlight w:val="none"/>
        </w:rPr>
        <w:t>21.1.1在资格、符合性审查和商务评审时，如发现下列情形之一的，投标文件将被视为无效：</w:t>
      </w:r>
    </w:p>
    <w:p>
      <w:pPr>
        <w:pStyle w:val="18"/>
        <w:spacing w:line="440" w:lineRule="exact"/>
        <w:ind w:firstLine="718" w:firstLineChars="342"/>
        <w:rPr>
          <w:rFonts w:hAnsi="宋体"/>
          <w:color w:val="auto"/>
          <w:highlight w:val="none"/>
        </w:rPr>
      </w:pPr>
      <w:r>
        <w:rPr>
          <w:rFonts w:hint="eastAsia" w:hAnsi="宋体"/>
          <w:color w:val="auto"/>
          <w:highlight w:val="none"/>
        </w:rPr>
        <w:t>（1）超越了按照法律法规规定必须获得行政许可证或者行政审批的经营范围的；</w:t>
      </w:r>
    </w:p>
    <w:p>
      <w:pPr>
        <w:pStyle w:val="18"/>
        <w:spacing w:line="440" w:lineRule="exact"/>
        <w:ind w:firstLine="718" w:firstLineChars="342"/>
        <w:rPr>
          <w:rFonts w:hAnsi="宋体"/>
          <w:color w:val="auto"/>
          <w:highlight w:val="none"/>
        </w:rPr>
      </w:pPr>
      <w:r>
        <w:rPr>
          <w:rFonts w:hint="eastAsia" w:hAnsi="宋体"/>
          <w:color w:val="auto"/>
          <w:highlight w:val="none"/>
        </w:rPr>
        <w:t>（2）资格证明文件不全的，或者不具备招标文件中规定的资格要求的；</w:t>
      </w:r>
    </w:p>
    <w:p>
      <w:pPr>
        <w:pStyle w:val="18"/>
        <w:spacing w:line="440" w:lineRule="exact"/>
        <w:ind w:firstLine="718" w:firstLineChars="342"/>
        <w:rPr>
          <w:rFonts w:hAnsi="宋体"/>
          <w:color w:val="auto"/>
          <w:highlight w:val="none"/>
        </w:rPr>
      </w:pPr>
      <w:r>
        <w:rPr>
          <w:rFonts w:hint="eastAsia" w:hAnsi="宋体"/>
          <w:color w:val="auto"/>
          <w:highlight w:val="none"/>
        </w:rPr>
        <w:t>（3）投标文件无法定代表人或其授权委托代理人签字,或未提供法定代表人身份证明、法定代表人授权委托书；</w:t>
      </w:r>
    </w:p>
    <w:p>
      <w:pPr>
        <w:pStyle w:val="18"/>
        <w:spacing w:line="440" w:lineRule="exact"/>
        <w:ind w:firstLine="718" w:firstLineChars="342"/>
        <w:rPr>
          <w:rFonts w:hAnsi="宋体"/>
          <w:color w:val="auto"/>
          <w:highlight w:val="none"/>
        </w:rPr>
      </w:pPr>
      <w:r>
        <w:rPr>
          <w:rFonts w:hint="eastAsia" w:hAnsi="宋体"/>
          <w:color w:val="auto"/>
          <w:highlight w:val="none"/>
        </w:rPr>
        <w:t xml:space="preserve">（4）投标代表人未能出具有效身份证明或与法定代表人授权委托人身份不符的； </w:t>
      </w:r>
    </w:p>
    <w:p>
      <w:pPr>
        <w:pStyle w:val="18"/>
        <w:spacing w:line="440" w:lineRule="exact"/>
        <w:ind w:firstLine="718" w:firstLineChars="342"/>
        <w:rPr>
          <w:rFonts w:hAnsi="宋体"/>
          <w:color w:val="auto"/>
          <w:highlight w:val="none"/>
        </w:rPr>
      </w:pPr>
      <w:r>
        <w:rPr>
          <w:rFonts w:hint="eastAsia" w:hAnsi="宋体"/>
          <w:color w:val="auto"/>
          <w:highlight w:val="none"/>
        </w:rPr>
        <w:t>（5）项目填写不齐全或者内容虚假的；</w:t>
      </w:r>
    </w:p>
    <w:p>
      <w:pPr>
        <w:pStyle w:val="18"/>
        <w:spacing w:line="440" w:lineRule="exact"/>
        <w:ind w:firstLine="718" w:firstLineChars="342"/>
        <w:rPr>
          <w:rFonts w:hAnsi="宋体"/>
          <w:color w:val="auto"/>
          <w:highlight w:val="none"/>
        </w:rPr>
      </w:pPr>
      <w:r>
        <w:rPr>
          <w:rFonts w:hint="eastAsia" w:hAnsi="宋体"/>
          <w:color w:val="auto"/>
          <w:highlight w:val="none"/>
        </w:rPr>
        <w:t>（6）投标文件的实质性内容未使用中文表述、意思表述不明确、前后矛盾或者使用计量单位不符合招标文件要求的（经评标委员会认定并允许其当场更正的笔误除外）</w:t>
      </w:r>
    </w:p>
    <w:p>
      <w:pPr>
        <w:pStyle w:val="18"/>
        <w:spacing w:line="440" w:lineRule="exact"/>
        <w:ind w:firstLine="718" w:firstLineChars="342"/>
        <w:rPr>
          <w:rFonts w:hAnsi="宋体"/>
          <w:color w:val="auto"/>
          <w:highlight w:val="none"/>
        </w:rPr>
      </w:pPr>
      <w:r>
        <w:rPr>
          <w:rFonts w:hint="eastAsia" w:hAnsi="宋体"/>
          <w:color w:val="auto"/>
          <w:highlight w:val="none"/>
        </w:rPr>
        <w:t>（7）投标有效期、服务期限时间、质保期、服务等商务条款不能满足招标文件要求的；</w:t>
      </w:r>
    </w:p>
    <w:p>
      <w:pPr>
        <w:pStyle w:val="18"/>
        <w:spacing w:line="440" w:lineRule="exact"/>
        <w:ind w:firstLine="718" w:firstLineChars="342"/>
        <w:rPr>
          <w:rFonts w:hAnsi="宋体"/>
          <w:color w:val="auto"/>
          <w:highlight w:val="none"/>
        </w:rPr>
      </w:pPr>
      <w:r>
        <w:rPr>
          <w:rFonts w:hint="eastAsia" w:hAnsi="宋体"/>
          <w:color w:val="auto"/>
          <w:highlight w:val="none"/>
        </w:rPr>
        <w:t>（8）未实质性响应招标文件要求或者投标文件含有采购人不能接受的附加条件的；</w:t>
      </w:r>
    </w:p>
    <w:p>
      <w:pPr>
        <w:pStyle w:val="18"/>
        <w:spacing w:line="440" w:lineRule="exact"/>
        <w:ind w:firstLine="718" w:firstLineChars="342"/>
        <w:rPr>
          <w:rFonts w:hAnsi="宋体"/>
          <w:color w:val="auto"/>
          <w:highlight w:val="none"/>
        </w:rPr>
      </w:pPr>
      <w:r>
        <w:rPr>
          <w:rFonts w:hint="eastAsia" w:hAnsi="宋体"/>
          <w:color w:val="auto"/>
          <w:highlight w:val="none"/>
        </w:rPr>
        <w:t>（9）未按照招标文件的规定提交投标保证金的；</w:t>
      </w:r>
    </w:p>
    <w:p>
      <w:pPr>
        <w:pStyle w:val="18"/>
        <w:spacing w:line="440" w:lineRule="exact"/>
        <w:ind w:firstLine="718" w:firstLineChars="342"/>
        <w:rPr>
          <w:rFonts w:hAnsi="宋体"/>
          <w:color w:val="auto"/>
          <w:highlight w:val="none"/>
        </w:rPr>
      </w:pPr>
      <w:r>
        <w:rPr>
          <w:rFonts w:hint="eastAsia" w:hAnsi="宋体"/>
          <w:color w:val="auto"/>
          <w:highlight w:val="none"/>
        </w:rPr>
        <w:t>（10）投标文件未按招标文件要求签署、盖章的；</w:t>
      </w:r>
    </w:p>
    <w:p>
      <w:pPr>
        <w:pStyle w:val="18"/>
        <w:spacing w:line="440" w:lineRule="exact"/>
        <w:ind w:firstLine="718" w:firstLineChars="342"/>
        <w:rPr>
          <w:rFonts w:hAnsi="宋体"/>
          <w:color w:val="auto"/>
          <w:highlight w:val="none"/>
        </w:rPr>
      </w:pPr>
      <w:r>
        <w:rPr>
          <w:rFonts w:hint="eastAsia" w:hAnsi="宋体"/>
          <w:color w:val="auto"/>
          <w:highlight w:val="none"/>
        </w:rPr>
        <w:t>（11）法律、法规和招标文件规定的其他无效情形。</w:t>
      </w:r>
    </w:p>
    <w:p>
      <w:pPr>
        <w:pStyle w:val="18"/>
        <w:spacing w:line="440" w:lineRule="exact"/>
        <w:ind w:firstLine="424" w:firstLineChars="202"/>
        <w:rPr>
          <w:rFonts w:hAnsi="宋体"/>
          <w:color w:val="auto"/>
          <w:highlight w:val="none"/>
        </w:rPr>
      </w:pPr>
      <w:r>
        <w:rPr>
          <w:rFonts w:hint="eastAsia" w:hAnsi="宋体"/>
          <w:color w:val="auto"/>
          <w:highlight w:val="none"/>
        </w:rPr>
        <w:t>21.1.2在技术评审时，如发现下列情形之一的，投标文件将被视为无效：</w:t>
      </w:r>
    </w:p>
    <w:p>
      <w:pPr>
        <w:pStyle w:val="18"/>
        <w:spacing w:line="440" w:lineRule="exact"/>
        <w:ind w:firstLine="718" w:firstLineChars="342"/>
        <w:rPr>
          <w:rFonts w:hAnsi="宋体"/>
          <w:color w:val="auto"/>
          <w:highlight w:val="none"/>
        </w:rPr>
      </w:pPr>
      <w:r>
        <w:rPr>
          <w:rFonts w:hint="eastAsia" w:hAnsi="宋体"/>
          <w:color w:val="auto"/>
          <w:highlight w:val="none"/>
        </w:rPr>
        <w:t>（1）未提供或未如实提供投标货物的技术参数，或者投标文件标明的响应或偏离与事实不符或虚假投标的；</w:t>
      </w:r>
    </w:p>
    <w:p>
      <w:pPr>
        <w:pStyle w:val="18"/>
        <w:spacing w:line="440" w:lineRule="exact"/>
        <w:ind w:firstLine="718" w:firstLineChars="342"/>
        <w:rPr>
          <w:rFonts w:hAnsi="宋体"/>
          <w:color w:val="auto"/>
          <w:highlight w:val="none"/>
        </w:rPr>
      </w:pPr>
      <w:r>
        <w:rPr>
          <w:rFonts w:hint="eastAsia" w:hAnsi="宋体"/>
          <w:color w:val="auto"/>
          <w:highlight w:val="none"/>
        </w:rPr>
        <w:t>（2）明显不符合招标文件要求的技术规格、安全、质量标准，或者与招标文件中标“★”的技术指标、主要功能项目发生实质性负偏离的；</w:t>
      </w:r>
    </w:p>
    <w:p>
      <w:pPr>
        <w:pStyle w:val="18"/>
        <w:spacing w:line="440" w:lineRule="exact"/>
        <w:ind w:firstLine="718" w:firstLineChars="342"/>
        <w:rPr>
          <w:rFonts w:hAnsi="宋体"/>
          <w:color w:val="auto"/>
          <w:highlight w:val="none"/>
        </w:rPr>
      </w:pPr>
      <w:r>
        <w:rPr>
          <w:rFonts w:hint="eastAsia" w:hAnsi="宋体"/>
          <w:color w:val="auto"/>
          <w:highlight w:val="none"/>
        </w:rPr>
        <w:t>（3）允许偏离的技术、性能指标或者辅助功能项目发生负偏离超出允许负偏离的数量的。</w:t>
      </w:r>
    </w:p>
    <w:p>
      <w:pPr>
        <w:pStyle w:val="18"/>
        <w:spacing w:line="440" w:lineRule="exact"/>
        <w:ind w:firstLine="718" w:firstLineChars="342"/>
        <w:rPr>
          <w:rFonts w:hAnsi="宋体"/>
          <w:color w:val="auto"/>
          <w:highlight w:val="none"/>
        </w:rPr>
      </w:pPr>
      <w:r>
        <w:rPr>
          <w:rFonts w:hint="eastAsia" w:hAnsi="宋体"/>
          <w:color w:val="auto"/>
          <w:highlight w:val="none"/>
        </w:rPr>
        <w:t>（4）投标技术方案不明确，存在一个或一个以上备选（替代）投标方案的；</w:t>
      </w:r>
    </w:p>
    <w:p>
      <w:pPr>
        <w:pStyle w:val="18"/>
        <w:spacing w:line="440" w:lineRule="exact"/>
        <w:ind w:firstLine="718" w:firstLineChars="342"/>
        <w:rPr>
          <w:rFonts w:hAnsi="宋体"/>
          <w:color w:val="auto"/>
          <w:highlight w:val="none"/>
        </w:rPr>
      </w:pPr>
      <w:r>
        <w:rPr>
          <w:rFonts w:hint="eastAsia" w:hAnsi="宋体"/>
          <w:color w:val="auto"/>
          <w:highlight w:val="none"/>
        </w:rPr>
        <w:t>（5）与其他参加本次投标供应商的投标文件（技术文件）的文字表述内容差错相同二处以上的；</w:t>
      </w:r>
    </w:p>
    <w:p>
      <w:pPr>
        <w:pStyle w:val="18"/>
        <w:spacing w:line="440" w:lineRule="exact"/>
        <w:ind w:firstLine="424" w:firstLineChars="202"/>
        <w:rPr>
          <w:rFonts w:hAnsi="宋体"/>
          <w:color w:val="auto"/>
          <w:highlight w:val="none"/>
        </w:rPr>
      </w:pPr>
      <w:r>
        <w:rPr>
          <w:rFonts w:hint="eastAsia" w:hAnsi="宋体"/>
          <w:color w:val="auto"/>
          <w:highlight w:val="none"/>
        </w:rPr>
        <w:t>21.1.3在报价评审时，如发现下列情形之一的，投标文件将被视为无效：</w:t>
      </w:r>
    </w:p>
    <w:p>
      <w:pPr>
        <w:pStyle w:val="18"/>
        <w:spacing w:line="440" w:lineRule="exact"/>
        <w:ind w:firstLine="718" w:firstLineChars="342"/>
        <w:rPr>
          <w:rFonts w:hAnsi="宋体"/>
          <w:color w:val="auto"/>
          <w:highlight w:val="none"/>
        </w:rPr>
      </w:pPr>
      <w:r>
        <w:rPr>
          <w:rFonts w:hint="eastAsia" w:hAnsi="宋体"/>
          <w:color w:val="auto"/>
          <w:highlight w:val="none"/>
        </w:rPr>
        <w:t>（1）未采用人民币报价或者未按照招标文件标明的币种报价的；</w:t>
      </w:r>
    </w:p>
    <w:p>
      <w:pPr>
        <w:pStyle w:val="18"/>
        <w:spacing w:line="440" w:lineRule="exact"/>
        <w:ind w:firstLine="718" w:firstLineChars="342"/>
        <w:rPr>
          <w:rFonts w:hAnsi="宋体"/>
          <w:color w:val="auto"/>
          <w:highlight w:val="none"/>
        </w:rPr>
      </w:pPr>
      <w:r>
        <w:rPr>
          <w:rFonts w:hint="eastAsia" w:hAnsi="宋体"/>
          <w:color w:val="auto"/>
          <w:highlight w:val="none"/>
        </w:rPr>
        <w:t>（2）报价超出招标文件规定最高限价，或者超出预算金额的；</w:t>
      </w:r>
    </w:p>
    <w:p>
      <w:pPr>
        <w:pStyle w:val="18"/>
        <w:spacing w:line="440" w:lineRule="exact"/>
        <w:ind w:firstLine="718" w:firstLineChars="342"/>
        <w:rPr>
          <w:rFonts w:hAnsi="宋体"/>
          <w:color w:val="auto"/>
          <w:highlight w:val="none"/>
        </w:rPr>
      </w:pPr>
      <w:r>
        <w:rPr>
          <w:rFonts w:hint="eastAsia" w:hAnsi="宋体"/>
          <w:color w:val="auto"/>
          <w:highlight w:val="none"/>
        </w:rPr>
        <w:t>（3）具有选择性投标报价的；</w:t>
      </w:r>
    </w:p>
    <w:p>
      <w:pPr>
        <w:pStyle w:val="18"/>
        <w:spacing w:line="440" w:lineRule="exact"/>
        <w:ind w:firstLine="718" w:firstLineChars="342"/>
        <w:rPr>
          <w:rFonts w:hAnsi="宋体"/>
          <w:color w:val="auto"/>
          <w:highlight w:val="none"/>
        </w:rPr>
      </w:pPr>
      <w:r>
        <w:rPr>
          <w:rFonts w:hint="eastAsia" w:hAnsi="宋体"/>
          <w:color w:val="auto"/>
          <w:highlight w:val="none"/>
        </w:rPr>
        <w:t>（4）投标人未就所投分标的全部内容作完整唯一报价的，或有漏项报价的或有选择的或有条件的报价的。</w:t>
      </w:r>
    </w:p>
    <w:p>
      <w:pPr>
        <w:pStyle w:val="18"/>
        <w:spacing w:line="440" w:lineRule="exact"/>
        <w:rPr>
          <w:rFonts w:hAnsi="宋体"/>
          <w:color w:val="auto"/>
          <w:highlight w:val="none"/>
        </w:rPr>
      </w:pPr>
      <w:r>
        <w:rPr>
          <w:rFonts w:hint="eastAsia" w:hAnsi="宋体"/>
          <w:color w:val="auto"/>
          <w:highlight w:val="none"/>
        </w:rPr>
        <w:t xml:space="preserve">   21.2  有下列情形之一的视为投标人相互串通投标，投标文件将被视为无效：</w:t>
      </w:r>
    </w:p>
    <w:p>
      <w:pPr>
        <w:pStyle w:val="18"/>
        <w:spacing w:line="440" w:lineRule="exact"/>
        <w:ind w:firstLine="735" w:firstLineChars="350"/>
        <w:rPr>
          <w:rFonts w:hAnsi="宋体"/>
          <w:color w:val="auto"/>
          <w:highlight w:val="none"/>
        </w:rPr>
      </w:pPr>
      <w:r>
        <w:rPr>
          <w:rFonts w:hint="eastAsia" w:hAnsi="宋体"/>
          <w:color w:val="auto"/>
          <w:highlight w:val="none"/>
        </w:rPr>
        <w:t>（1）不同投标人的投标文件由同一单位或者个人编制；或不同投标人报名的IP地址一致的；</w:t>
      </w:r>
    </w:p>
    <w:p>
      <w:pPr>
        <w:pStyle w:val="18"/>
        <w:spacing w:line="440" w:lineRule="exact"/>
        <w:ind w:firstLine="735" w:firstLineChars="350"/>
        <w:rPr>
          <w:rFonts w:hAnsi="宋体"/>
          <w:color w:val="auto"/>
          <w:highlight w:val="none"/>
        </w:rPr>
      </w:pPr>
      <w:r>
        <w:rPr>
          <w:rFonts w:hint="eastAsia" w:hAnsi="宋体"/>
          <w:color w:val="auto"/>
          <w:highlight w:val="none"/>
        </w:rPr>
        <w:t>（2）不同投标人委托同一单位或者个人办理投标事宜；</w:t>
      </w:r>
    </w:p>
    <w:p>
      <w:pPr>
        <w:pStyle w:val="18"/>
        <w:spacing w:line="440" w:lineRule="exact"/>
        <w:ind w:firstLine="735" w:firstLineChars="350"/>
        <w:rPr>
          <w:rFonts w:hAnsi="宋体"/>
          <w:color w:val="auto"/>
          <w:highlight w:val="none"/>
        </w:rPr>
      </w:pPr>
      <w:r>
        <w:rPr>
          <w:rFonts w:hint="eastAsia" w:hAnsi="宋体"/>
          <w:color w:val="auto"/>
          <w:highlight w:val="none"/>
        </w:rPr>
        <w:t>（3）不同的投标人的投标文件载明的项目管理员为同一个人；</w:t>
      </w:r>
    </w:p>
    <w:p>
      <w:pPr>
        <w:pStyle w:val="18"/>
        <w:spacing w:line="440" w:lineRule="exact"/>
        <w:ind w:firstLine="735" w:firstLineChars="350"/>
        <w:rPr>
          <w:rFonts w:hAnsi="宋体"/>
          <w:color w:val="auto"/>
          <w:highlight w:val="none"/>
        </w:rPr>
      </w:pPr>
      <w:r>
        <w:rPr>
          <w:rFonts w:hint="eastAsia" w:hAnsi="宋体"/>
          <w:color w:val="auto"/>
          <w:highlight w:val="none"/>
        </w:rPr>
        <w:t>（4）不同投标人的投标文件异常一致或投标报价呈规律性差异；</w:t>
      </w:r>
    </w:p>
    <w:p>
      <w:pPr>
        <w:pStyle w:val="18"/>
        <w:spacing w:line="440" w:lineRule="exact"/>
        <w:ind w:firstLine="735" w:firstLineChars="350"/>
        <w:rPr>
          <w:rFonts w:hAnsi="宋体"/>
          <w:color w:val="auto"/>
          <w:highlight w:val="none"/>
        </w:rPr>
      </w:pPr>
      <w:r>
        <w:rPr>
          <w:rFonts w:hint="eastAsia" w:hAnsi="宋体"/>
          <w:color w:val="auto"/>
          <w:highlight w:val="none"/>
        </w:rPr>
        <w:t>（5）不同投标人的投标文件相互混装；</w:t>
      </w:r>
    </w:p>
    <w:p>
      <w:pPr>
        <w:pStyle w:val="18"/>
        <w:spacing w:line="440" w:lineRule="exact"/>
        <w:ind w:firstLine="735" w:firstLineChars="350"/>
        <w:rPr>
          <w:rFonts w:hAnsi="宋体"/>
          <w:color w:val="auto"/>
          <w:highlight w:val="none"/>
        </w:rPr>
      </w:pPr>
      <w:r>
        <w:rPr>
          <w:rFonts w:hint="eastAsia" w:hAnsi="宋体"/>
          <w:color w:val="auto"/>
          <w:highlight w:val="none"/>
        </w:rPr>
        <w:t>（6）不同投标人的投标保证金从同一单位或者个人账户转出。</w:t>
      </w:r>
    </w:p>
    <w:p>
      <w:pPr>
        <w:pStyle w:val="18"/>
        <w:spacing w:line="440" w:lineRule="exact"/>
        <w:rPr>
          <w:rFonts w:hAnsi="宋体"/>
          <w:b/>
          <w:bCs/>
          <w:color w:val="auto"/>
          <w:sz w:val="24"/>
          <w:highlight w:val="none"/>
        </w:rPr>
      </w:pPr>
      <w:r>
        <w:rPr>
          <w:rFonts w:hint="eastAsia" w:hAnsi="宋体"/>
          <w:b/>
          <w:bCs/>
          <w:color w:val="auto"/>
          <w:sz w:val="24"/>
          <w:highlight w:val="none"/>
        </w:rPr>
        <w:t>22.  废标</w:t>
      </w:r>
    </w:p>
    <w:p>
      <w:pPr>
        <w:pStyle w:val="18"/>
        <w:spacing w:line="440" w:lineRule="exact"/>
        <w:ind w:firstLine="359" w:firstLineChars="171"/>
        <w:rPr>
          <w:rFonts w:hAnsi="宋体"/>
          <w:color w:val="auto"/>
          <w:highlight w:val="none"/>
        </w:rPr>
      </w:pPr>
      <w:r>
        <w:rPr>
          <w:rFonts w:hint="eastAsia" w:hAnsi="宋体"/>
          <w:color w:val="auto"/>
          <w:highlight w:val="none"/>
        </w:rPr>
        <w:t>22.1  在招标过程中，出现下列情形之一的，予以废标：</w:t>
      </w:r>
    </w:p>
    <w:p>
      <w:pPr>
        <w:pStyle w:val="18"/>
        <w:spacing w:line="440" w:lineRule="exact"/>
        <w:ind w:firstLine="359" w:firstLineChars="171"/>
        <w:rPr>
          <w:rFonts w:hAnsi="宋体"/>
          <w:color w:val="auto"/>
          <w:highlight w:val="none"/>
        </w:rPr>
      </w:pPr>
      <w:r>
        <w:rPr>
          <w:rFonts w:hint="eastAsia" w:hAnsi="宋体"/>
          <w:color w:val="auto"/>
          <w:highlight w:val="none"/>
        </w:rPr>
        <w:t>（1）符合专业条件的供应商或者对招标文件作实质响应的供应商不足三家的；</w:t>
      </w:r>
    </w:p>
    <w:p>
      <w:pPr>
        <w:pStyle w:val="18"/>
        <w:spacing w:line="440" w:lineRule="exact"/>
        <w:ind w:firstLine="420"/>
        <w:rPr>
          <w:rFonts w:hAnsi="宋体"/>
          <w:b/>
          <w:color w:val="auto"/>
          <w:highlight w:val="none"/>
        </w:rPr>
      </w:pPr>
      <w:r>
        <w:rPr>
          <w:rFonts w:hint="eastAsia" w:hAnsi="宋体"/>
          <w:b/>
          <w:color w:val="auto"/>
          <w:highlight w:val="none"/>
        </w:rPr>
        <w:t>有效投标供应商数量计算：</w:t>
      </w:r>
    </w:p>
    <w:p>
      <w:pPr>
        <w:pStyle w:val="18"/>
        <w:spacing w:line="440" w:lineRule="exact"/>
        <w:ind w:firstLine="420" w:firstLineChars="200"/>
        <w:jc w:val="left"/>
        <w:rPr>
          <w:rFonts w:hAnsi="宋体" w:cs="宋体"/>
          <w:color w:val="auto"/>
          <w:highlight w:val="none"/>
        </w:rPr>
      </w:pPr>
      <w:r>
        <w:rPr>
          <w:rFonts w:hint="eastAsia" w:hAnsi="宋体" w:cs="宋体"/>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8"/>
        <w:spacing w:line="440" w:lineRule="exact"/>
        <w:ind w:firstLine="420" w:firstLineChars="200"/>
        <w:jc w:val="left"/>
        <w:rPr>
          <w:rFonts w:hAnsi="宋体" w:cs="宋体"/>
          <w:color w:val="auto"/>
          <w:highlight w:val="none"/>
        </w:rPr>
      </w:pPr>
      <w:r>
        <w:rPr>
          <w:rFonts w:hint="eastAsia" w:hAnsi="宋体" w:cs="宋体"/>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③非单一产品采购项目，采购人应当根据采购项目技术构成、产品价格比重等合理确定核心产品，并在招标文件中载明。多家投标人提供的核心产品品牌相同的，按上述规定处理。</w:t>
      </w:r>
    </w:p>
    <w:p>
      <w:pPr>
        <w:pStyle w:val="18"/>
        <w:spacing w:line="440" w:lineRule="exact"/>
        <w:ind w:firstLine="420"/>
        <w:rPr>
          <w:rFonts w:hAnsi="宋体" w:cs="宋体"/>
          <w:color w:val="auto"/>
          <w:highlight w:val="none"/>
        </w:rPr>
      </w:pPr>
      <w:r>
        <w:rPr>
          <w:rFonts w:hint="eastAsia" w:hAnsi="宋体" w:cs="宋体"/>
          <w:color w:val="auto"/>
          <w:highlight w:val="none"/>
        </w:rPr>
        <w:t>（2）出现影响采购公正的违法、违规行为的；</w:t>
      </w:r>
    </w:p>
    <w:p>
      <w:pPr>
        <w:pStyle w:val="18"/>
        <w:spacing w:line="440" w:lineRule="exact"/>
        <w:ind w:firstLine="420"/>
        <w:rPr>
          <w:rFonts w:hAnsi="宋体" w:cs="宋体"/>
          <w:color w:val="auto"/>
          <w:highlight w:val="none"/>
        </w:rPr>
      </w:pPr>
      <w:r>
        <w:rPr>
          <w:rFonts w:hint="eastAsia" w:hAnsi="宋体" w:cs="宋体"/>
          <w:color w:val="auto"/>
          <w:highlight w:val="none"/>
        </w:rPr>
        <w:t>（3）投标人的报价均超过了预算金额，采购人不能支付的；</w:t>
      </w:r>
    </w:p>
    <w:p>
      <w:pPr>
        <w:pStyle w:val="18"/>
        <w:spacing w:line="440" w:lineRule="exact"/>
        <w:ind w:firstLine="420"/>
        <w:rPr>
          <w:rFonts w:hAnsi="宋体" w:cs="宋体"/>
          <w:color w:val="auto"/>
          <w:highlight w:val="none"/>
        </w:rPr>
      </w:pPr>
      <w:r>
        <w:rPr>
          <w:rFonts w:hint="eastAsia" w:hAnsi="宋体" w:cs="宋体"/>
          <w:color w:val="auto"/>
          <w:highlight w:val="none"/>
        </w:rPr>
        <w:t>（4）因重大变故，采购任务取消的。</w:t>
      </w:r>
    </w:p>
    <w:p>
      <w:pPr>
        <w:pStyle w:val="18"/>
        <w:spacing w:line="440" w:lineRule="exact"/>
        <w:ind w:firstLine="411" w:firstLineChars="196"/>
        <w:rPr>
          <w:rFonts w:hAnsi="宋体"/>
          <w:color w:val="auto"/>
          <w:highlight w:val="none"/>
        </w:rPr>
      </w:pPr>
      <w:r>
        <w:rPr>
          <w:rFonts w:hint="eastAsia" w:hAnsi="宋体"/>
          <w:color w:val="auto"/>
          <w:highlight w:val="none"/>
        </w:rPr>
        <w:t>22.2  废标后，采购代理机构将在本章第2.1项规定的政府采购信息发布媒体上公告废标理由，不再另行通知。</w:t>
      </w:r>
    </w:p>
    <w:p>
      <w:pPr>
        <w:pStyle w:val="18"/>
        <w:spacing w:line="440" w:lineRule="exact"/>
        <w:jc w:val="center"/>
        <w:rPr>
          <w:rFonts w:hAnsi="宋体"/>
          <w:b/>
          <w:bCs/>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69" w:name="_Toc401396880"/>
      <w:bookmarkStart w:id="70" w:name="_Toc6668"/>
      <w:bookmarkStart w:id="71" w:name="_Toc213326421"/>
      <w:r>
        <w:rPr>
          <w:rFonts w:hint="eastAsia" w:ascii="Times New Roman" w:hAnsi="Times New Roman"/>
          <w:b/>
          <w:color w:val="auto"/>
          <w:sz w:val="30"/>
          <w:szCs w:val="30"/>
          <w:highlight w:val="none"/>
        </w:rPr>
        <w:t>六    合同授予</w:t>
      </w:r>
      <w:bookmarkEnd w:id="69"/>
      <w:bookmarkEnd w:id="70"/>
      <w:bookmarkEnd w:id="71"/>
    </w:p>
    <w:p>
      <w:pPr>
        <w:pStyle w:val="18"/>
        <w:spacing w:line="440" w:lineRule="exact"/>
        <w:rPr>
          <w:rFonts w:hAnsi="宋体"/>
          <w:bCs/>
          <w:color w:val="auto"/>
          <w:sz w:val="24"/>
          <w:highlight w:val="none"/>
        </w:rPr>
      </w:pPr>
      <w:r>
        <w:rPr>
          <w:rFonts w:hint="eastAsia" w:hAnsi="宋体"/>
          <w:bCs/>
          <w:color w:val="auto"/>
          <w:sz w:val="24"/>
          <w:highlight w:val="none"/>
        </w:rPr>
        <w:t>23.  中标供应商的确定</w:t>
      </w:r>
    </w:p>
    <w:p>
      <w:pPr>
        <w:spacing w:line="440" w:lineRule="exact"/>
        <w:ind w:firstLine="420"/>
        <w:rPr>
          <w:rFonts w:ascii="宋体" w:hAnsi="宋体"/>
          <w:color w:val="auto"/>
          <w:szCs w:val="20"/>
          <w:highlight w:val="none"/>
        </w:rPr>
      </w:pPr>
      <w:r>
        <w:rPr>
          <w:rFonts w:hint="eastAsia" w:ascii="宋体" w:hAnsi="宋体"/>
          <w:color w:val="auto"/>
          <w:szCs w:val="20"/>
          <w:highlight w:val="none"/>
        </w:rPr>
        <w:t>23.1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18"/>
        <w:spacing w:line="440" w:lineRule="exact"/>
        <w:rPr>
          <w:rFonts w:hAnsi="宋体"/>
          <w:bCs/>
          <w:color w:val="auto"/>
          <w:sz w:val="24"/>
          <w:highlight w:val="none"/>
        </w:rPr>
      </w:pPr>
      <w:r>
        <w:rPr>
          <w:rFonts w:hint="eastAsia" w:hAnsi="宋体"/>
          <w:bCs/>
          <w:color w:val="auto"/>
          <w:sz w:val="24"/>
          <w:highlight w:val="none"/>
        </w:rPr>
        <w:t>24.  中标通知书</w:t>
      </w:r>
    </w:p>
    <w:p>
      <w:pPr>
        <w:pStyle w:val="18"/>
        <w:spacing w:line="440" w:lineRule="exact"/>
        <w:ind w:firstLine="360"/>
        <w:rPr>
          <w:rFonts w:cs="宋体"/>
          <w:color w:val="auto"/>
          <w:kern w:val="0"/>
          <w:szCs w:val="21"/>
          <w:highlight w:val="none"/>
        </w:rPr>
      </w:pPr>
      <w:r>
        <w:rPr>
          <w:rFonts w:hint="eastAsia" w:hAnsi="宋体"/>
          <w:color w:val="auto"/>
          <w:highlight w:val="none"/>
        </w:rPr>
        <w:t xml:space="preserve">24.1  </w:t>
      </w:r>
      <w:r>
        <w:rPr>
          <w:rFonts w:hint="eastAsia" w:cs="宋体"/>
          <w:color w:val="auto"/>
          <w:kern w:val="0"/>
          <w:szCs w:val="21"/>
          <w:highlight w:val="none"/>
        </w:rPr>
        <w:t>评标结束后，评标结果由采购代理机构在本章第2.1项规定的政府采购信息发布媒体上公示，公示期为一个工作日，公告期满无异议的，由采购代理机构向中标供应商发出政府采购合同。</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24.1.1  在发布中标公告的同时，采购代理机构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排名第二的中标候选人因前款规定的同样原因被取消中标资格的，采购人可以确定排名第三的中标候选人为中标人。</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以上信息查询记录及相关证据与采购文件一并保存。</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24.2  中标通知书对采购人和中标供应商具有同等法律效力。中标通知书发出后，采购人改变中标结果，或者中标供应商放弃中标，应当承担相应的法律责任。</w:t>
      </w:r>
    </w:p>
    <w:p>
      <w:pPr>
        <w:pStyle w:val="18"/>
        <w:spacing w:line="440" w:lineRule="exact"/>
        <w:rPr>
          <w:rFonts w:hAnsi="宋体"/>
          <w:bCs/>
          <w:color w:val="auto"/>
          <w:sz w:val="24"/>
          <w:highlight w:val="none"/>
        </w:rPr>
      </w:pPr>
      <w:r>
        <w:rPr>
          <w:rFonts w:hint="eastAsia" w:hAnsi="宋体"/>
          <w:bCs/>
          <w:color w:val="auto"/>
          <w:sz w:val="24"/>
          <w:highlight w:val="none"/>
        </w:rPr>
        <w:t>25.  投标文件及投标样品的退回</w:t>
      </w:r>
    </w:p>
    <w:p>
      <w:pPr>
        <w:pStyle w:val="18"/>
        <w:spacing w:line="440" w:lineRule="exact"/>
        <w:ind w:firstLine="420" w:firstLineChars="200"/>
        <w:rPr>
          <w:rFonts w:hAnsi="宋体"/>
          <w:color w:val="auto"/>
          <w:highlight w:val="none"/>
        </w:rPr>
      </w:pPr>
      <w:r>
        <w:rPr>
          <w:rFonts w:hint="eastAsia" w:hAnsi="宋体"/>
          <w:color w:val="auto"/>
          <w:highlight w:val="none"/>
        </w:rPr>
        <w:t>26.1  采购人和中标供应商应当在第二章“项目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int="eastAsia" w:hAnsi="宋体"/>
          <w:bCs/>
          <w:color w:val="auto"/>
          <w:highlight w:val="none"/>
        </w:rPr>
        <w:t>均应在合同的签章处签章，</w:t>
      </w:r>
      <w:r>
        <w:rPr>
          <w:rFonts w:hint="eastAsia" w:hAnsi="宋体"/>
          <w:color w:val="auto"/>
          <w:highlight w:val="none"/>
        </w:rPr>
        <w:t>就采购合同约定的事项对采购人承担连带责任。</w:t>
      </w:r>
    </w:p>
    <w:p>
      <w:pPr>
        <w:pStyle w:val="18"/>
        <w:spacing w:line="440" w:lineRule="exact"/>
        <w:ind w:firstLine="420" w:firstLineChars="200"/>
        <w:rPr>
          <w:rFonts w:hAnsi="宋体"/>
          <w:color w:val="auto"/>
          <w:highlight w:val="none"/>
        </w:rPr>
      </w:pPr>
      <w:r>
        <w:rPr>
          <w:rFonts w:hint="eastAsia" w:hAnsi="宋体"/>
          <w:color w:val="auto"/>
          <w:highlight w:val="none"/>
        </w:rPr>
        <w:t xml:space="preserve">26.2采购人不得向中标（成交）供应商提出超出采购文件以外的任何要求作为签订合同的条件，不得与中标（成交）供应商订立背离采购文件和中标（成交）供应商投标文件确定的标的、规格型号、采购金额、采购数量、技术和服务要求等实质性内容的合同。 </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8"/>
        <w:spacing w:line="440" w:lineRule="exact"/>
        <w:ind w:firstLine="360"/>
        <w:rPr>
          <w:rFonts w:hAnsi="宋体"/>
          <w:color w:val="auto"/>
          <w:highlight w:val="none"/>
        </w:rPr>
      </w:pPr>
      <w:r>
        <w:rPr>
          <w:rFonts w:hint="eastAsia" w:cs="宋体"/>
          <w:color w:val="auto"/>
          <w:kern w:val="0"/>
          <w:szCs w:val="28"/>
          <w:highlight w:val="none"/>
        </w:rPr>
        <w:t>26.4</w:t>
      </w:r>
      <w:r>
        <w:rPr>
          <w:rFonts w:hint="eastAsia" w:cs="宋体"/>
          <w:color w:val="auto"/>
          <w:szCs w:val="28"/>
          <w:highlight w:val="none"/>
        </w:rPr>
        <w:t>政府采购合同签订后一个工作日内，由采购人将合同扫描件上传至南宁市电子化政府采购系统，由采购代理机构将合同扫描件上传到南宁市财政局备案系统。</w:t>
      </w:r>
    </w:p>
    <w:p>
      <w:pPr>
        <w:pStyle w:val="18"/>
        <w:spacing w:line="440" w:lineRule="exact"/>
        <w:ind w:firstLine="360"/>
        <w:rPr>
          <w:rFonts w:hAnsi="宋体"/>
          <w:color w:val="auto"/>
          <w:highlight w:val="none"/>
        </w:rPr>
      </w:pPr>
      <w:r>
        <w:rPr>
          <w:rFonts w:hint="eastAsia" w:hAnsi="宋体"/>
          <w:color w:val="auto"/>
          <w:highlight w:val="none"/>
        </w:rPr>
        <w:t>26.5 中标通知书发出后，中标供应商无正当理由拒签合同的，采购人可追究中标供应商</w:t>
      </w:r>
      <w:r>
        <w:rPr>
          <w:rFonts w:hint="eastAsia" w:cs="宋体"/>
          <w:color w:val="auto"/>
          <w:kern w:val="0"/>
          <w:szCs w:val="21"/>
          <w:highlight w:val="none"/>
        </w:rPr>
        <w:t>承担相应的法律责任</w:t>
      </w:r>
      <w:r>
        <w:rPr>
          <w:rFonts w:hint="eastAsia" w:hAnsi="宋体"/>
          <w:color w:val="auto"/>
          <w:highlight w:val="none"/>
        </w:rPr>
        <w:t>。</w:t>
      </w:r>
    </w:p>
    <w:p>
      <w:pPr>
        <w:pStyle w:val="18"/>
        <w:spacing w:line="440" w:lineRule="exact"/>
        <w:ind w:firstLine="360"/>
        <w:rPr>
          <w:rFonts w:hAnsi="宋体"/>
          <w:color w:val="auto"/>
          <w:highlight w:val="none"/>
        </w:rPr>
      </w:pPr>
      <w:r>
        <w:rPr>
          <w:rFonts w:hint="eastAsia" w:hAnsi="宋体"/>
          <w:color w:val="auto"/>
          <w:highlight w:val="none"/>
        </w:rPr>
        <w:t>如采购人无正当理由拒签合同的，给中标供应商造成损失的，中标供应商可追究采购人承担相应的法律责任。</w:t>
      </w:r>
    </w:p>
    <w:p>
      <w:pPr>
        <w:pStyle w:val="18"/>
        <w:spacing w:line="440" w:lineRule="exact"/>
        <w:ind w:firstLine="360"/>
        <w:rPr>
          <w:rFonts w:hAnsi="宋体"/>
          <w:color w:val="auto"/>
          <w:highlight w:val="none"/>
        </w:rPr>
      </w:pPr>
      <w:r>
        <w:rPr>
          <w:rFonts w:hint="eastAsia" w:hAnsi="宋体"/>
          <w:color w:val="auto"/>
          <w:highlight w:val="none"/>
        </w:rPr>
        <w:t xml:space="preserve">26.6  </w:t>
      </w:r>
      <w:r>
        <w:rPr>
          <w:rFonts w:hint="eastAsia" w:hAnsi="宋体"/>
          <w:color w:val="auto"/>
          <w:szCs w:val="28"/>
          <w:highlight w:val="none"/>
        </w:rPr>
        <w:t>采购人在签订合同之前有权要求中标供应商提供本项目必需的相关资料原件进行核查，中标供应商不得拒绝。如中标供应商拒绝提供，则自行承担由此产生的后果。</w:t>
      </w:r>
    </w:p>
    <w:p>
      <w:pPr>
        <w:pStyle w:val="18"/>
        <w:spacing w:line="440" w:lineRule="exact"/>
        <w:ind w:firstLine="360"/>
        <w:rPr>
          <w:rFonts w:hAnsi="宋体"/>
          <w:color w:val="auto"/>
          <w:highlight w:val="none"/>
        </w:rPr>
      </w:pPr>
      <w:r>
        <w:rPr>
          <w:rFonts w:hint="eastAsia" w:hAnsi="宋体"/>
          <w:color w:val="auto"/>
          <w:highlight w:val="none"/>
        </w:rPr>
        <w:t>26.7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26.8　采购人或中标供应商不得单方面向合同另一方提出任何招标文件没有约定的条件或不合理的要求，作为签订合同的条件，也不得协商另行订立背离招标文件和合同实质性内容的协议。</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26.9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26.10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8"/>
        <w:spacing w:line="440" w:lineRule="exact"/>
        <w:ind w:firstLine="420"/>
        <w:rPr>
          <w:rFonts w:cs="宋体"/>
          <w:color w:val="auto"/>
          <w:kern w:val="0"/>
          <w:sz w:val="28"/>
          <w:szCs w:val="28"/>
          <w:highlight w:val="none"/>
        </w:rPr>
      </w:pPr>
      <w:r>
        <w:rPr>
          <w:rFonts w:hint="eastAsia" w:cs="宋体"/>
          <w:color w:val="auto"/>
          <w:kern w:val="0"/>
          <w:szCs w:val="28"/>
          <w:highlight w:val="none"/>
        </w:rPr>
        <w:t>26.11　采购人或中标供应商在合同履行过程中存在违反政府采购合同行为的，权益受损当事人应当将有关违约的情况以及拟采取的措施，及时书面报告采购代理机构。</w:t>
      </w:r>
    </w:p>
    <w:p>
      <w:pPr>
        <w:pStyle w:val="18"/>
        <w:spacing w:line="440" w:lineRule="exact"/>
        <w:rPr>
          <w:rFonts w:hAnsi="宋体"/>
          <w:bCs/>
          <w:color w:val="auto"/>
          <w:sz w:val="24"/>
          <w:highlight w:val="none"/>
        </w:rPr>
      </w:pPr>
      <w:r>
        <w:rPr>
          <w:rFonts w:hint="eastAsia" w:hAnsi="宋体"/>
          <w:bCs/>
          <w:color w:val="auto"/>
          <w:sz w:val="24"/>
          <w:highlight w:val="none"/>
        </w:rPr>
        <w:t>27.  履约保证金</w:t>
      </w:r>
    </w:p>
    <w:p>
      <w:pPr>
        <w:pStyle w:val="18"/>
        <w:spacing w:after="165" w:line="440" w:lineRule="exact"/>
        <w:ind w:left="2" w:firstLine="422" w:firstLineChars="201"/>
        <w:rPr>
          <w:rFonts w:hAnsi="宋体"/>
          <w:color w:val="auto"/>
          <w:highlight w:val="none"/>
        </w:rPr>
      </w:pPr>
      <w:r>
        <w:rPr>
          <w:rFonts w:hint="eastAsia" w:hAnsi="宋体"/>
          <w:color w:val="auto"/>
          <w:szCs w:val="28"/>
          <w:highlight w:val="none"/>
        </w:rPr>
        <w:t>本项目不收取履约保证金及质量保证金</w:t>
      </w:r>
    </w:p>
    <w:p>
      <w:pPr>
        <w:pStyle w:val="18"/>
        <w:spacing w:line="440" w:lineRule="exact"/>
        <w:jc w:val="center"/>
        <w:outlineLvl w:val="1"/>
        <w:rPr>
          <w:rFonts w:ascii="Times New Roman" w:hAnsi="Times New Roman"/>
          <w:b/>
          <w:color w:val="auto"/>
          <w:sz w:val="30"/>
          <w:szCs w:val="30"/>
          <w:highlight w:val="none"/>
        </w:rPr>
      </w:pPr>
      <w:bookmarkStart w:id="72" w:name="_Toc401396881"/>
      <w:bookmarkStart w:id="73" w:name="_Toc213326422"/>
      <w:bookmarkStart w:id="74" w:name="_Toc23695"/>
      <w:r>
        <w:rPr>
          <w:rFonts w:hint="eastAsia" w:ascii="Times New Roman" w:hAnsi="Times New Roman"/>
          <w:b/>
          <w:color w:val="auto"/>
          <w:sz w:val="30"/>
          <w:szCs w:val="30"/>
          <w:highlight w:val="none"/>
        </w:rPr>
        <w:t>七    其他事项</w:t>
      </w:r>
      <w:bookmarkEnd w:id="72"/>
      <w:bookmarkEnd w:id="73"/>
      <w:bookmarkEnd w:id="74"/>
    </w:p>
    <w:p>
      <w:pPr>
        <w:pStyle w:val="18"/>
        <w:spacing w:line="440" w:lineRule="exact"/>
        <w:rPr>
          <w:rFonts w:hAnsi="宋体"/>
          <w:bCs/>
          <w:color w:val="auto"/>
          <w:sz w:val="24"/>
          <w:highlight w:val="none"/>
        </w:rPr>
      </w:pPr>
      <w:r>
        <w:rPr>
          <w:rFonts w:hint="eastAsia" w:hAnsi="宋体"/>
          <w:bCs/>
          <w:color w:val="auto"/>
          <w:sz w:val="24"/>
          <w:highlight w:val="none"/>
        </w:rPr>
        <w:t>28.  解释权</w:t>
      </w:r>
    </w:p>
    <w:p>
      <w:pPr>
        <w:pStyle w:val="18"/>
        <w:spacing w:line="440" w:lineRule="exact"/>
        <w:ind w:firstLine="360"/>
        <w:jc w:val="left"/>
        <w:rPr>
          <w:rFonts w:hAnsi="宋体"/>
          <w:color w:val="auto"/>
          <w:highlight w:val="none"/>
        </w:rPr>
      </w:pPr>
      <w:r>
        <w:rPr>
          <w:rFonts w:hint="eastAsia" w:hAnsi="宋体"/>
          <w:color w:val="auto"/>
          <w:highlight w:val="none"/>
        </w:rPr>
        <w:t xml:space="preserve">28.1  </w:t>
      </w:r>
      <w:r>
        <w:rPr>
          <w:rFonts w:hint="eastAsia" w:hAnsi="宋体"/>
          <w:color w:val="auto"/>
          <w:szCs w:val="21"/>
          <w:highlight w:val="none"/>
        </w:rPr>
        <w:t>本招标文件根据《中华人民共和国政府采购法》、《政府采购货物和服务招标投标管理办法》（财政部第18号令）及相关法律法规编制，解释权属采购代理机构。</w:t>
      </w:r>
    </w:p>
    <w:p>
      <w:pPr>
        <w:pStyle w:val="18"/>
        <w:spacing w:line="440" w:lineRule="exact"/>
        <w:jc w:val="left"/>
        <w:rPr>
          <w:rFonts w:hAnsi="宋体"/>
          <w:color w:val="auto"/>
          <w:sz w:val="24"/>
          <w:highlight w:val="none"/>
        </w:rPr>
      </w:pPr>
      <w:r>
        <w:rPr>
          <w:rFonts w:hint="eastAsia" w:hAnsi="宋体"/>
          <w:color w:val="auto"/>
          <w:sz w:val="24"/>
          <w:highlight w:val="none"/>
        </w:rPr>
        <w:t>29.  需要补充的其他内容</w:t>
      </w:r>
    </w:p>
    <w:p>
      <w:pPr>
        <w:pStyle w:val="18"/>
        <w:spacing w:line="440" w:lineRule="exact"/>
        <w:ind w:firstLine="360"/>
        <w:jc w:val="left"/>
        <w:rPr>
          <w:rFonts w:hAnsi="宋体"/>
          <w:color w:val="auto"/>
          <w:highlight w:val="none"/>
        </w:rPr>
      </w:pPr>
      <w:r>
        <w:rPr>
          <w:rFonts w:hint="eastAsia" w:hAnsi="宋体"/>
          <w:color w:val="auto"/>
          <w:highlight w:val="none"/>
        </w:rPr>
        <w:t>29.1  需要补充的其他内容：见投标人须知前附表。</w:t>
      </w:r>
    </w:p>
    <w:p>
      <w:pPr>
        <w:pStyle w:val="18"/>
        <w:snapToGrid w:val="0"/>
        <w:spacing w:line="360" w:lineRule="exact"/>
        <w:ind w:firstLine="420" w:firstLineChars="200"/>
        <w:rPr>
          <w:rFonts w:hAnsi="宋体"/>
          <w:color w:val="auto"/>
          <w:szCs w:val="21"/>
          <w:highlight w:val="none"/>
        </w:rPr>
      </w:pPr>
    </w:p>
    <w:p>
      <w:pPr>
        <w:pStyle w:val="18"/>
        <w:snapToGrid w:val="0"/>
        <w:spacing w:line="360" w:lineRule="exact"/>
        <w:ind w:firstLine="420" w:firstLineChars="200"/>
        <w:rPr>
          <w:rFonts w:hAnsi="宋体"/>
          <w:color w:val="auto"/>
          <w:szCs w:val="21"/>
          <w:highlight w:val="none"/>
        </w:rPr>
      </w:pPr>
    </w:p>
    <w:p>
      <w:pPr>
        <w:pStyle w:val="18"/>
        <w:snapToGrid w:val="0"/>
        <w:spacing w:line="360" w:lineRule="exact"/>
        <w:ind w:firstLine="420" w:firstLineChars="200"/>
        <w:rPr>
          <w:rFonts w:hAnsi="宋体"/>
          <w:color w:val="auto"/>
          <w:szCs w:val="21"/>
          <w:highlight w:val="none"/>
        </w:rPr>
      </w:pPr>
      <w:r>
        <w:rPr>
          <w:rFonts w:hint="eastAsia" w:hAnsi="宋体"/>
          <w:color w:val="auto"/>
          <w:szCs w:val="21"/>
          <w:highlight w:val="none"/>
        </w:rPr>
        <w:t>附件一：</w:t>
      </w:r>
    </w:p>
    <w:p>
      <w:pPr>
        <w:pStyle w:val="18"/>
        <w:snapToGrid w:val="0"/>
        <w:spacing w:line="360" w:lineRule="exact"/>
        <w:ind w:firstLine="420" w:firstLineChars="200"/>
        <w:rPr>
          <w:rFonts w:hAnsi="宋体"/>
          <w:color w:val="auto"/>
          <w:szCs w:val="21"/>
          <w:highlight w:val="none"/>
        </w:rPr>
      </w:pPr>
      <w:r>
        <w:rPr>
          <w:rFonts w:hint="eastAsia" w:hAnsi="宋体"/>
          <w:color w:val="auto"/>
          <w:szCs w:val="21"/>
          <w:highlight w:val="none"/>
        </w:rPr>
        <w:t>代理服务收费标准：</w:t>
      </w:r>
    </w:p>
    <w:tbl>
      <w:tblPr>
        <w:tblStyle w:val="3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3"/>
        <w:gridCol w:w="2087"/>
        <w:gridCol w:w="1898"/>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Borders>
              <w:tl2br w:val="single" w:color="auto" w:sz="4" w:space="0"/>
            </w:tcBorders>
          </w:tcPr>
          <w:p>
            <w:pPr>
              <w:spacing w:line="360" w:lineRule="exact"/>
              <w:rPr>
                <w:rFonts w:ascii="宋体" w:hAnsi="宋体"/>
                <w:color w:val="auto"/>
                <w:szCs w:val="21"/>
                <w:highlight w:val="none"/>
              </w:rPr>
            </w:pPr>
            <w:r>
              <w:rPr>
                <w:rFonts w:hint="eastAsia" w:ascii="宋体" w:hAnsi="宋体"/>
                <w:color w:val="auto"/>
                <w:szCs w:val="21"/>
                <w:highlight w:val="none"/>
              </w:rPr>
              <w:t xml:space="preserve">                     费率</w:t>
            </w:r>
          </w:p>
          <w:p>
            <w:pPr>
              <w:spacing w:line="360" w:lineRule="exact"/>
              <w:rPr>
                <w:rFonts w:ascii="宋体" w:hAnsi="宋体"/>
                <w:color w:val="auto"/>
                <w:szCs w:val="21"/>
                <w:highlight w:val="none"/>
              </w:rPr>
            </w:pPr>
            <w:r>
              <w:rPr>
                <w:rFonts w:hint="eastAsia" w:ascii="宋体" w:hAnsi="宋体"/>
                <w:color w:val="auto"/>
                <w:szCs w:val="21"/>
                <w:highlight w:val="none"/>
              </w:rPr>
              <w:t>中标金额</w:t>
            </w:r>
          </w:p>
        </w:tc>
        <w:tc>
          <w:tcPr>
            <w:tcW w:w="2087"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货物招标</w:t>
            </w:r>
          </w:p>
        </w:tc>
        <w:tc>
          <w:tcPr>
            <w:tcW w:w="1898"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服务招标</w:t>
            </w:r>
          </w:p>
        </w:tc>
        <w:tc>
          <w:tcPr>
            <w:tcW w:w="1896"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100万元以下</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1.5%</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1.5%</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100～500万元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1.1%</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0.8%</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500～1000万元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0.8%</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0.45%</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1000～5000万元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0.5%</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0.25%</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5000万元～1亿元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0.25%</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0.1%</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1～5亿元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0.05%</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0.05%</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5～10亿元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0.035%</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0.035%</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10～50亿元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0.008%</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0.008%</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50～100亿元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0.006%</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0.006%</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100亿以上</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0.004%</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0.004%</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0.004%</w:t>
            </w:r>
          </w:p>
        </w:tc>
      </w:tr>
    </w:tbl>
    <w:p>
      <w:pPr>
        <w:pStyle w:val="18"/>
        <w:spacing w:line="360" w:lineRule="auto"/>
        <w:rPr>
          <w:rFonts w:hAnsi="宋体"/>
          <w:color w:val="auto"/>
          <w:highlight w:val="none"/>
        </w:rPr>
      </w:pPr>
    </w:p>
    <w:p>
      <w:pPr>
        <w:pStyle w:val="18"/>
        <w:spacing w:line="360" w:lineRule="auto"/>
        <w:rPr>
          <w:rFonts w:hAnsi="宋体"/>
          <w:color w:val="auto"/>
          <w:highlight w:val="none"/>
        </w:rPr>
      </w:pPr>
    </w:p>
    <w:p>
      <w:pPr>
        <w:pStyle w:val="18"/>
        <w:spacing w:line="360" w:lineRule="auto"/>
        <w:rPr>
          <w:rFonts w:hAnsi="宋体"/>
          <w:color w:val="auto"/>
          <w:highlight w:val="none"/>
        </w:rPr>
      </w:pPr>
    </w:p>
    <w:p>
      <w:pPr>
        <w:pStyle w:val="18"/>
        <w:spacing w:line="360" w:lineRule="auto"/>
        <w:rPr>
          <w:rFonts w:hAnsi="宋体"/>
          <w:color w:val="auto"/>
          <w:highlight w:val="none"/>
        </w:rPr>
      </w:pPr>
      <w:r>
        <w:rPr>
          <w:rFonts w:hAnsi="宋体"/>
          <w:color w:val="auto"/>
          <w:highlight w:val="none"/>
        </w:rPr>
        <w:br w:type="page"/>
      </w:r>
      <w:bookmarkStart w:id="75" w:name="_Toc213325924"/>
      <w:bookmarkStart w:id="76" w:name="_Toc213206175"/>
    </w:p>
    <w:p>
      <w:pPr>
        <w:pStyle w:val="18"/>
        <w:jc w:val="center"/>
        <w:outlineLvl w:val="0"/>
        <w:rPr>
          <w:rFonts w:hAnsi="宋体"/>
          <w:color w:val="auto"/>
          <w:highlight w:val="none"/>
        </w:rPr>
      </w:pPr>
    </w:p>
    <w:p>
      <w:pPr>
        <w:pStyle w:val="18"/>
        <w:jc w:val="center"/>
        <w:outlineLvl w:val="0"/>
        <w:rPr>
          <w:rFonts w:hAnsi="宋体"/>
          <w:color w:val="auto"/>
          <w:highlight w:val="none"/>
        </w:rPr>
      </w:pPr>
      <w:bookmarkStart w:id="77" w:name="_Toc8044"/>
      <w:r>
        <w:rPr>
          <w:rFonts w:hint="eastAsia" w:ascii="Times New Roman" w:hAnsi="Times New Roman"/>
          <w:b/>
          <w:color w:val="auto"/>
          <w:sz w:val="36"/>
          <w:highlight w:val="none"/>
        </w:rPr>
        <w:t>第五章  投标文件格式</w:t>
      </w:r>
      <w:bookmarkEnd w:id="75"/>
      <w:bookmarkEnd w:id="76"/>
      <w:bookmarkEnd w:id="77"/>
      <w:bookmarkStart w:id="78" w:name="_Toc139967211"/>
      <w:bookmarkStart w:id="79" w:name="_Toc139966427"/>
    </w:p>
    <w:bookmarkEnd w:id="78"/>
    <w:bookmarkEnd w:id="79"/>
    <w:p>
      <w:pPr>
        <w:snapToGrid w:val="0"/>
        <w:spacing w:before="165" w:beforeLines="50" w:after="50"/>
        <w:outlineLvl w:val="1"/>
        <w:rPr>
          <w:rFonts w:ascii="宋体" w:hAnsi="宋体"/>
          <w:b/>
          <w:bCs/>
          <w:color w:val="auto"/>
          <w:sz w:val="24"/>
          <w:highlight w:val="none"/>
        </w:rPr>
      </w:pPr>
      <w:bookmarkStart w:id="80" w:name="_Toc495996916"/>
      <w:bookmarkStart w:id="81" w:name="_Toc29175"/>
      <w:bookmarkStart w:id="82" w:name="_Toc2324"/>
      <w:r>
        <w:rPr>
          <w:rFonts w:hint="eastAsia" w:ascii="宋体" w:hAnsi="宋体"/>
          <w:b/>
          <w:bCs/>
          <w:color w:val="auto"/>
          <w:sz w:val="24"/>
          <w:highlight w:val="none"/>
        </w:rPr>
        <w:t>投标文件外层包装封面格式</w:t>
      </w:r>
      <w:bookmarkEnd w:id="80"/>
      <w:r>
        <w:rPr>
          <w:rFonts w:hint="eastAsia" w:ascii="宋体" w:hAnsi="宋体"/>
          <w:b/>
          <w:bCs/>
          <w:color w:val="auto"/>
          <w:sz w:val="24"/>
          <w:highlight w:val="none"/>
        </w:rPr>
        <w:t>：</w:t>
      </w:r>
      <w:bookmarkEnd w:id="81"/>
      <w:bookmarkEnd w:id="82"/>
    </w:p>
    <w:p>
      <w:pPr>
        <w:snapToGrid w:val="0"/>
        <w:spacing w:before="165" w:beforeLines="50" w:after="50"/>
        <w:jc w:val="center"/>
        <w:rPr>
          <w:rFonts w:ascii="宋体" w:hAnsi="宋体"/>
          <w:bCs/>
          <w:color w:val="auto"/>
          <w:sz w:val="32"/>
          <w:szCs w:val="32"/>
          <w:highlight w:val="none"/>
        </w:rPr>
      </w:pPr>
      <w:r>
        <w:rPr>
          <w:rFonts w:hint="eastAsia" w:ascii="宋体" w:hAnsi="宋体"/>
          <w:bCs/>
          <w:color w:val="auto"/>
          <w:sz w:val="32"/>
          <w:szCs w:val="32"/>
          <w:highlight w:val="none"/>
        </w:rPr>
        <w:t>投 标 文 件</w:t>
      </w: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65" w:beforeLines="50" w:after="50"/>
        <w:ind w:firstLine="360" w:firstLineChars="1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在  年  月  日  时  分之前不得启封</w:t>
      </w:r>
    </w:p>
    <w:p>
      <w:pPr>
        <w:snapToGrid w:val="0"/>
        <w:spacing w:before="165" w:beforeLines="50" w:after="50"/>
        <w:ind w:firstLine="4080" w:firstLineChars="1700"/>
        <w:rPr>
          <w:rFonts w:ascii="宋体" w:hAnsi="宋体"/>
          <w:bCs/>
          <w:color w:val="auto"/>
          <w:sz w:val="24"/>
          <w:szCs w:val="20"/>
          <w:highlight w:val="none"/>
        </w:rPr>
      </w:pPr>
    </w:p>
    <w:p>
      <w:pPr>
        <w:snapToGrid w:val="0"/>
        <w:spacing w:before="165" w:beforeLines="50" w:after="50"/>
        <w:ind w:firstLine="645"/>
        <w:jc w:val="center"/>
        <w:rPr>
          <w:rFonts w:ascii="宋体" w:hAnsi="宋体"/>
          <w:color w:val="auto"/>
          <w:highlight w:val="none"/>
        </w:rPr>
      </w:pPr>
      <w:r>
        <w:rPr>
          <w:rFonts w:hint="eastAsia" w:ascii="宋体" w:hAnsi="宋体"/>
          <w:bCs/>
          <w:color w:val="auto"/>
          <w:sz w:val="24"/>
          <w:highlight w:val="none"/>
        </w:rPr>
        <w:t xml:space="preserve">                        年    月    日</w:t>
      </w:r>
    </w:p>
    <w:p>
      <w:pPr>
        <w:pStyle w:val="7"/>
        <w:rPr>
          <w:color w:val="auto"/>
          <w:highlight w:val="none"/>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adjustRightInd/>
        <w:snapToGrid w:val="0"/>
        <w:spacing w:before="165" w:beforeLines="50" w:after="50" w:line="240" w:lineRule="auto"/>
        <w:jc w:val="left"/>
        <w:textAlignment w:val="auto"/>
        <w:rPr>
          <w:rFonts w:ascii="宋体" w:hAnsi="宋体"/>
          <w:b/>
          <w:color w:val="auto"/>
          <w:sz w:val="24"/>
          <w:szCs w:val="20"/>
          <w:highlight w:val="none"/>
        </w:rPr>
      </w:pPr>
      <w:r>
        <w:rPr>
          <w:rFonts w:hint="eastAsia" w:ascii="宋体" w:hAnsi="宋体"/>
          <w:b/>
          <w:color w:val="auto"/>
          <w:sz w:val="24"/>
          <w:highlight w:val="none"/>
        </w:rPr>
        <w:t>所有投标文件的外包装封面格式：</w:t>
      </w:r>
    </w:p>
    <w:p>
      <w:pPr>
        <w:snapToGrid w:val="0"/>
        <w:spacing w:before="165" w:beforeLines="50" w:after="50"/>
        <w:rPr>
          <w:rFonts w:ascii="宋体" w:hAnsi="宋体"/>
          <w:color w:val="auto"/>
          <w:sz w:val="24"/>
          <w:szCs w:val="20"/>
          <w:highlight w:val="none"/>
        </w:rPr>
      </w:pPr>
    </w:p>
    <w:p>
      <w:pPr>
        <w:snapToGrid w:val="0"/>
        <w:spacing w:before="165" w:beforeLines="50" w:after="50"/>
        <w:jc w:val="center"/>
        <w:rPr>
          <w:rFonts w:ascii="宋体" w:hAnsi="宋体"/>
          <w:bCs/>
          <w:color w:val="auto"/>
          <w:sz w:val="24"/>
          <w:szCs w:val="20"/>
          <w:highlight w:val="none"/>
        </w:rPr>
      </w:pPr>
    </w:p>
    <w:p>
      <w:pPr>
        <w:snapToGrid w:val="0"/>
        <w:spacing w:before="165" w:beforeLines="50" w:after="50"/>
        <w:jc w:val="center"/>
        <w:rPr>
          <w:rFonts w:ascii="宋体" w:hAnsi="宋体"/>
          <w:bCs/>
          <w:color w:val="auto"/>
          <w:sz w:val="32"/>
          <w:szCs w:val="32"/>
          <w:highlight w:val="none"/>
        </w:rPr>
      </w:pPr>
      <w:r>
        <w:rPr>
          <w:rFonts w:hint="eastAsia" w:ascii="宋体" w:hAnsi="宋体"/>
          <w:bCs/>
          <w:color w:val="auto"/>
          <w:sz w:val="32"/>
          <w:szCs w:val="32"/>
          <w:highlight w:val="none"/>
        </w:rPr>
        <w:t>投 标 文 件</w:t>
      </w: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65" w:beforeLines="50" w:after="50"/>
        <w:ind w:firstLine="360" w:firstLineChars="1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65" w:beforeLines="50" w:after="50"/>
        <w:ind w:firstLine="360" w:firstLineChars="150"/>
        <w:rPr>
          <w:rFonts w:ascii="宋体" w:hAnsi="宋体"/>
          <w:bCs/>
          <w:color w:val="auto"/>
          <w:sz w:val="24"/>
          <w:szCs w:val="20"/>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投标文件名称：报价文件、资格文件、商务文件、技术文件</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50" w:after="50"/>
        <w:ind w:firstLine="360" w:firstLineChars="150"/>
        <w:rPr>
          <w:rFonts w:ascii="宋体" w:hAnsi="宋体"/>
          <w:bCs/>
          <w:color w:val="auto"/>
          <w:sz w:val="24"/>
          <w:highlight w:val="none"/>
        </w:rPr>
      </w:pPr>
    </w:p>
    <w:p>
      <w:pPr>
        <w:snapToGrid w:val="0"/>
        <w:spacing w:before="165" w:beforeLines="50" w:after="50"/>
        <w:ind w:firstLine="4080" w:firstLineChars="1700"/>
        <w:rPr>
          <w:rFonts w:ascii="宋体" w:hAnsi="宋体"/>
          <w:bCs/>
          <w:color w:val="auto"/>
          <w:sz w:val="24"/>
          <w:szCs w:val="20"/>
          <w:highlight w:val="none"/>
        </w:rPr>
      </w:pPr>
    </w:p>
    <w:p>
      <w:pPr>
        <w:snapToGrid w:val="0"/>
        <w:spacing w:before="165" w:beforeLines="50" w:after="50"/>
        <w:ind w:firstLine="645"/>
        <w:jc w:val="center"/>
        <w:rPr>
          <w:rFonts w:ascii="宋体" w:hAnsi="宋体"/>
          <w:color w:val="auto"/>
          <w:highlight w:val="none"/>
        </w:rPr>
      </w:pPr>
      <w:r>
        <w:rPr>
          <w:rFonts w:hint="eastAsia" w:ascii="宋体" w:hAnsi="宋体"/>
          <w:bCs/>
          <w:color w:val="auto"/>
          <w:sz w:val="24"/>
          <w:highlight w:val="none"/>
        </w:rPr>
        <w:t xml:space="preserve">                        年    月    日</w:t>
      </w:r>
    </w:p>
    <w:p>
      <w:pPr>
        <w:snapToGrid w:val="0"/>
        <w:spacing w:before="165" w:beforeLines="50" w:after="50"/>
        <w:jc w:val="center"/>
        <w:outlineLvl w:val="1"/>
        <w:rPr>
          <w:rFonts w:ascii="宋体" w:hAnsi="宋体"/>
          <w:color w:val="auto"/>
          <w:highlight w:val="none"/>
        </w:rPr>
      </w:pPr>
    </w:p>
    <w:p>
      <w:pPr>
        <w:snapToGrid w:val="0"/>
        <w:spacing w:before="165" w:beforeLines="50" w:after="50"/>
        <w:jc w:val="center"/>
        <w:outlineLvl w:val="1"/>
        <w:rPr>
          <w:rFonts w:ascii="宋体" w:hAnsi="宋体"/>
          <w:color w:val="auto"/>
          <w:highlight w:val="none"/>
        </w:rPr>
      </w:pPr>
    </w:p>
    <w:p>
      <w:pPr>
        <w:pStyle w:val="7"/>
        <w:rPr>
          <w:rFonts w:ascii="宋体" w:hAnsi="宋体" w:eastAsia="宋体"/>
          <w:b w:val="0"/>
          <w:bCs w:val="0"/>
          <w:color w:val="auto"/>
          <w:sz w:val="21"/>
          <w:highlight w:val="none"/>
        </w:rPr>
      </w:pPr>
    </w:p>
    <w:p>
      <w:pPr>
        <w:rPr>
          <w:color w:val="auto"/>
          <w:highlight w:val="none"/>
        </w:rPr>
      </w:pPr>
    </w:p>
    <w:p>
      <w:pPr>
        <w:pStyle w:val="7"/>
        <w:rPr>
          <w:color w:val="auto"/>
          <w:highlight w:val="none"/>
        </w:rPr>
      </w:pPr>
    </w:p>
    <w:p>
      <w:pPr>
        <w:pStyle w:val="18"/>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18"/>
        <w:spacing w:line="500" w:lineRule="exact"/>
        <w:rPr>
          <w:rFonts w:ascii="Times New Roman" w:hAnsi="Times New Roman"/>
          <w:color w:val="auto"/>
          <w:sz w:val="32"/>
          <w:highlight w:val="none"/>
        </w:rPr>
      </w:pPr>
    </w:p>
    <w:p>
      <w:pPr>
        <w:pStyle w:val="18"/>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w:t>
      </w:r>
      <w:r>
        <w:rPr>
          <w:rFonts w:ascii="Times New Roman" w:hAnsi="Times New Roman"/>
          <w:color w:val="auto"/>
          <w:highlight w:val="none"/>
          <w:u w:val="single"/>
        </w:rPr>
        <w:t xml:space="preserve">                      </w:t>
      </w:r>
      <w:r>
        <w:rPr>
          <w:rFonts w:hint="eastAsia" w:ascii="Times New Roman" w:hAnsi="Times New Roman"/>
          <w:color w:val="auto"/>
          <w:highlight w:val="none"/>
        </w:rPr>
        <w:t>（采购代理机构名称）</w:t>
      </w:r>
    </w:p>
    <w:p>
      <w:pPr>
        <w:pStyle w:val="18"/>
        <w:spacing w:line="440" w:lineRule="exact"/>
        <w:ind w:firstLine="420" w:firstLineChars="200"/>
        <w:rPr>
          <w:rFonts w:ascii="Times New Roman" w:hAnsi="Times New Roman"/>
          <w:color w:val="auto"/>
          <w:highlight w:val="none"/>
        </w:rPr>
      </w:pPr>
      <w:r>
        <w:rPr>
          <w:rFonts w:hint="eastAsia"/>
          <w:color w:val="auto"/>
          <w:highlight w:val="none"/>
        </w:rPr>
        <w:t>我方已仔细阅读了贵方组织的</w:t>
      </w:r>
      <w:r>
        <w:rPr>
          <w:rFonts w:hint="eastAsia"/>
          <w:color w:val="auto"/>
          <w:highlight w:val="none"/>
          <w:u w:val="single"/>
        </w:rPr>
        <w:t xml:space="preserve">                </w:t>
      </w:r>
      <w:r>
        <w:rPr>
          <w:rFonts w:hint="eastAsia"/>
          <w:color w:val="auto"/>
          <w:highlight w:val="none"/>
        </w:rPr>
        <w:t>项目（项目编号：</w:t>
      </w:r>
      <w:r>
        <w:rPr>
          <w:rFonts w:hint="eastAsia" w:hAnsi="宋体"/>
          <w:color w:val="auto"/>
          <w:highlight w:val="none"/>
          <w:u w:val="single"/>
        </w:rPr>
        <w:t xml:space="preserve">             </w:t>
      </w:r>
      <w:r>
        <w:rPr>
          <w:rFonts w:hint="eastAsia"/>
          <w:color w:val="auto"/>
          <w:highlight w:val="none"/>
        </w:rPr>
        <w:t xml:space="preserve">）的招标文件的全部内容，现正式递交下述文件参加贵方组织的本次政府采购活动： </w:t>
      </w:r>
    </w:p>
    <w:p>
      <w:pPr>
        <w:pStyle w:val="18"/>
        <w:spacing w:line="440" w:lineRule="exact"/>
        <w:ind w:firstLine="420" w:firstLineChars="200"/>
        <w:rPr>
          <w:color w:val="auto"/>
          <w:highlight w:val="none"/>
        </w:rPr>
      </w:pPr>
      <w:r>
        <w:rPr>
          <w:rFonts w:hint="eastAsia"/>
          <w:color w:val="auto"/>
          <w:highlight w:val="none"/>
        </w:rPr>
        <w:t>一、报价文件正本一份，副本</w:t>
      </w:r>
      <w:r>
        <w:rPr>
          <w:rFonts w:hint="eastAsia"/>
          <w:color w:val="auto"/>
          <w:highlight w:val="none"/>
          <w:u w:val="single"/>
        </w:rPr>
        <w:t xml:space="preserve">   </w:t>
      </w:r>
      <w:r>
        <w:rPr>
          <w:rFonts w:hint="eastAsia"/>
          <w:color w:val="auto"/>
          <w:highlight w:val="none"/>
        </w:rPr>
        <w:t>份（包含按投标人须知第10.1.1项要求提交的全部文件）；</w:t>
      </w:r>
    </w:p>
    <w:p>
      <w:pPr>
        <w:pStyle w:val="18"/>
        <w:spacing w:line="440" w:lineRule="exact"/>
        <w:ind w:firstLine="482"/>
        <w:rPr>
          <w:color w:val="auto"/>
          <w:highlight w:val="none"/>
        </w:rPr>
      </w:pPr>
      <w:r>
        <w:rPr>
          <w:rFonts w:hint="eastAsia"/>
          <w:color w:val="auto"/>
          <w:highlight w:val="none"/>
        </w:rPr>
        <w:t>二、资格文件正本一份，副本</w:t>
      </w:r>
      <w:r>
        <w:rPr>
          <w:rFonts w:hint="eastAsia"/>
          <w:color w:val="auto"/>
          <w:highlight w:val="none"/>
          <w:u w:val="single"/>
        </w:rPr>
        <w:t xml:space="preserve">   </w:t>
      </w:r>
      <w:r>
        <w:rPr>
          <w:rFonts w:hint="eastAsia"/>
          <w:color w:val="auto"/>
          <w:highlight w:val="none"/>
        </w:rPr>
        <w:t>份（包含按投标人须知第10.1.2项要求提交的全部文件）；</w:t>
      </w:r>
    </w:p>
    <w:p>
      <w:pPr>
        <w:pStyle w:val="18"/>
        <w:spacing w:line="440" w:lineRule="exact"/>
        <w:ind w:firstLine="420" w:firstLineChars="200"/>
        <w:rPr>
          <w:rFonts w:ascii="Times New Roman" w:hAnsi="Times New Roman"/>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文件正本一份，副本</w:t>
      </w:r>
      <w:r>
        <w:rPr>
          <w:rFonts w:hint="eastAsia"/>
          <w:color w:val="auto"/>
          <w:highlight w:val="none"/>
          <w:u w:val="single"/>
        </w:rPr>
        <w:t xml:space="preserve">   </w:t>
      </w:r>
      <w:r>
        <w:rPr>
          <w:rFonts w:hint="eastAsia"/>
          <w:color w:val="auto"/>
          <w:highlight w:val="none"/>
        </w:rPr>
        <w:t>份（包含按投标人须知第10.1.3项要求提交的全部文件）；</w:t>
      </w:r>
    </w:p>
    <w:p>
      <w:pPr>
        <w:pStyle w:val="18"/>
        <w:spacing w:line="440" w:lineRule="exact"/>
        <w:ind w:firstLine="420" w:firstLineChars="200"/>
        <w:rPr>
          <w:rFonts w:ascii="Times New Roman" w:hAnsi="Times New Roman"/>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文件正本一份，副本</w:t>
      </w:r>
      <w:r>
        <w:rPr>
          <w:rFonts w:hint="eastAsia" w:hAnsi="宋体"/>
          <w:color w:val="auto"/>
          <w:highlight w:val="none"/>
          <w:u w:val="single"/>
        </w:rPr>
        <w:t xml:space="preserve">   </w:t>
      </w:r>
      <w:r>
        <w:rPr>
          <w:rFonts w:hint="eastAsia" w:hAnsi="宋体"/>
          <w:color w:val="auto"/>
          <w:highlight w:val="none"/>
        </w:rPr>
        <w:t>份（包含按投标人须知第10.1.4项要求</w:t>
      </w:r>
      <w:r>
        <w:rPr>
          <w:rFonts w:hint="eastAsia"/>
          <w:color w:val="auto"/>
          <w:highlight w:val="none"/>
        </w:rPr>
        <w:t>提交的全部文件）。</w:t>
      </w:r>
    </w:p>
    <w:p>
      <w:pPr>
        <w:pStyle w:val="18"/>
        <w:spacing w:line="440" w:lineRule="exact"/>
        <w:ind w:firstLine="482"/>
        <w:rPr>
          <w:rFonts w:ascii="Times New Roman" w:hAnsi="Times New Roman"/>
          <w:color w:val="auto"/>
          <w:highlight w:val="none"/>
        </w:rPr>
      </w:pPr>
      <w:r>
        <w:rPr>
          <w:rFonts w:hint="eastAsia"/>
          <w:color w:val="auto"/>
          <w:highlight w:val="none"/>
        </w:rPr>
        <w:t>据此函，签字人兹宣布：</w:t>
      </w:r>
    </w:p>
    <w:p>
      <w:pPr>
        <w:pStyle w:val="18"/>
        <w:spacing w:line="440" w:lineRule="exact"/>
        <w:ind w:firstLine="420" w:firstLineChars="200"/>
        <w:rPr>
          <w:rFonts w:ascii="Times New Roman" w:hAnsi="Times New Roman"/>
          <w:color w:val="auto"/>
          <w:highlight w:val="none"/>
        </w:rPr>
      </w:pPr>
      <w:r>
        <w:rPr>
          <w:rFonts w:hint="eastAsia"/>
          <w:color w:val="auto"/>
          <w:highlight w:val="none"/>
        </w:rPr>
        <w:t>1、我方愿意以（大写）人民币</w:t>
      </w:r>
      <w:r>
        <w:rPr>
          <w:rFonts w:hint="eastAsia"/>
          <w:color w:val="auto"/>
          <w:highlight w:val="none"/>
          <w:u w:val="single"/>
        </w:rPr>
        <w:t xml:space="preserve">              </w:t>
      </w:r>
      <w:r>
        <w:rPr>
          <w:rFonts w:hint="eastAsia"/>
          <w:color w:val="auto"/>
          <w:highlight w:val="none"/>
        </w:rPr>
        <w:t>元 (￥</w:t>
      </w:r>
      <w:r>
        <w:rPr>
          <w:rFonts w:hint="eastAsia"/>
          <w:color w:val="auto"/>
          <w:highlight w:val="none"/>
          <w:u w:val="single"/>
        </w:rPr>
        <w:t xml:space="preserve">          </w:t>
      </w:r>
      <w:r>
        <w:rPr>
          <w:rFonts w:hint="eastAsia"/>
          <w:color w:val="auto"/>
          <w:highlight w:val="none"/>
        </w:rPr>
        <w:t>元)的投标总报价，</w:t>
      </w:r>
      <w:r>
        <w:rPr>
          <w:rFonts w:hint="eastAsia" w:ascii="宋体" w:hAnsi="宋体" w:eastAsia="宋体" w:cs="宋体"/>
          <w:snapToGrid w:val="0"/>
          <w:color w:val="auto"/>
          <w:spacing w:val="2"/>
          <w:kern w:val="0"/>
          <w:sz w:val="21"/>
          <w:szCs w:val="21"/>
          <w:highlight w:val="none"/>
        </w:rPr>
        <w:t>交货期</w:t>
      </w:r>
      <w:r>
        <w:rPr>
          <w:rFonts w:hint="eastAsia"/>
          <w:color w:val="auto"/>
          <w:highlight w:val="none"/>
        </w:rPr>
        <w:t>（无分标时填写）</w:t>
      </w:r>
      <w:r>
        <w:rPr>
          <w:rFonts w:hint="eastAsia"/>
          <w:color w:val="auto"/>
          <w:highlight w:val="none"/>
          <w:u w:val="single"/>
        </w:rPr>
        <w:t xml:space="preserve">              </w:t>
      </w:r>
      <w:r>
        <w:rPr>
          <w:rFonts w:hint="eastAsia"/>
          <w:color w:val="auto"/>
          <w:highlight w:val="none"/>
        </w:rPr>
        <w:t>，提供本项目</w:t>
      </w:r>
      <w:r>
        <w:rPr>
          <w:rFonts w:hint="eastAsia" w:hAnsi="Times New Roman"/>
          <w:color w:val="auto"/>
          <w:highlight w:val="none"/>
        </w:rPr>
        <w:t>招标文件第二章</w:t>
      </w:r>
      <w:r>
        <w:rPr>
          <w:rFonts w:hint="eastAsia"/>
          <w:color w:val="auto"/>
          <w:highlight w:val="none"/>
        </w:rPr>
        <w:t>“</w:t>
      </w:r>
      <w:r>
        <w:rPr>
          <w:rFonts w:hint="eastAsia"/>
          <w:b/>
          <w:color w:val="auto"/>
          <w:highlight w:val="none"/>
        </w:rPr>
        <w:t>项目需求一览表</w:t>
      </w:r>
      <w:r>
        <w:rPr>
          <w:rFonts w:hint="eastAsia"/>
          <w:color w:val="auto"/>
          <w:highlight w:val="none"/>
        </w:rPr>
        <w:t>”中的相应的采购内容。</w:t>
      </w:r>
    </w:p>
    <w:p>
      <w:pPr>
        <w:pStyle w:val="18"/>
        <w:spacing w:line="440" w:lineRule="exact"/>
        <w:ind w:firstLine="420" w:firstLineChars="200"/>
        <w:rPr>
          <w:rFonts w:ascii="Times New Roman" w:hAnsi="Times New Roman"/>
          <w:color w:val="auto"/>
          <w:highlight w:val="none"/>
        </w:rPr>
      </w:pPr>
      <w:r>
        <w:rPr>
          <w:rFonts w:hint="eastAsia"/>
          <w:color w:val="auto"/>
          <w:highlight w:val="none"/>
        </w:rPr>
        <w:t>其中（有分标时填写）：</w:t>
      </w:r>
    </w:p>
    <w:p>
      <w:pPr>
        <w:pStyle w:val="18"/>
        <w:spacing w:line="360" w:lineRule="exact"/>
        <w:ind w:firstLine="420" w:firstLineChars="200"/>
        <w:rPr>
          <w:color w:val="auto"/>
          <w:highlight w:val="none"/>
          <w:u w:val="single"/>
        </w:rPr>
      </w:pPr>
      <w:r>
        <w:rPr>
          <w:rFonts w:hint="eastAsia"/>
          <w:color w:val="auto"/>
          <w:highlight w:val="none"/>
          <w:u w:val="single"/>
        </w:rPr>
        <w:t xml:space="preserve">  </w:t>
      </w: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元 (￥</w:t>
      </w:r>
      <w:r>
        <w:rPr>
          <w:rFonts w:hint="eastAsia"/>
          <w:color w:val="auto"/>
          <w:highlight w:val="none"/>
          <w:u w:val="single"/>
        </w:rPr>
        <w:t xml:space="preserve">          </w:t>
      </w:r>
      <w:r>
        <w:rPr>
          <w:rFonts w:hint="eastAsia"/>
          <w:color w:val="auto"/>
          <w:highlight w:val="none"/>
        </w:rPr>
        <w:t>元)，</w:t>
      </w:r>
      <w:r>
        <w:rPr>
          <w:rFonts w:hint="eastAsia" w:ascii="宋体" w:hAnsi="宋体" w:eastAsia="宋体" w:cs="宋体"/>
          <w:snapToGrid w:val="0"/>
          <w:color w:val="auto"/>
          <w:spacing w:val="2"/>
          <w:kern w:val="0"/>
          <w:sz w:val="21"/>
          <w:szCs w:val="21"/>
          <w:highlight w:val="none"/>
        </w:rPr>
        <w:t>交货期</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18"/>
        <w:spacing w:line="360" w:lineRule="exact"/>
        <w:ind w:firstLine="420" w:firstLineChars="200"/>
        <w:rPr>
          <w:color w:val="auto"/>
          <w:highlight w:val="none"/>
          <w:u w:val="single"/>
        </w:rPr>
      </w:pPr>
      <w:r>
        <w:rPr>
          <w:rFonts w:hint="eastAsia"/>
          <w:color w:val="auto"/>
          <w:highlight w:val="none"/>
          <w:u w:val="single"/>
        </w:rPr>
        <w:t xml:space="preserve">  </w:t>
      </w: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元 (￥</w:t>
      </w:r>
      <w:r>
        <w:rPr>
          <w:rFonts w:hint="eastAsia"/>
          <w:color w:val="auto"/>
          <w:highlight w:val="none"/>
          <w:u w:val="single"/>
        </w:rPr>
        <w:t xml:space="preserve">          </w:t>
      </w:r>
      <w:r>
        <w:rPr>
          <w:rFonts w:hint="eastAsia"/>
          <w:color w:val="auto"/>
          <w:highlight w:val="none"/>
        </w:rPr>
        <w:t>元)，</w:t>
      </w:r>
      <w:r>
        <w:rPr>
          <w:rFonts w:hint="eastAsia" w:ascii="宋体" w:hAnsi="宋体" w:eastAsia="宋体" w:cs="宋体"/>
          <w:snapToGrid w:val="0"/>
          <w:color w:val="auto"/>
          <w:spacing w:val="2"/>
          <w:kern w:val="0"/>
          <w:sz w:val="21"/>
          <w:szCs w:val="21"/>
          <w:highlight w:val="none"/>
        </w:rPr>
        <w:t>交货期</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18"/>
        <w:spacing w:line="360" w:lineRule="exact"/>
        <w:ind w:firstLine="420" w:firstLineChars="200"/>
        <w:rPr>
          <w:color w:val="auto"/>
          <w:highlight w:val="none"/>
          <w:u w:val="single"/>
        </w:rPr>
      </w:pPr>
      <w:r>
        <w:rPr>
          <w:rFonts w:hint="eastAsia"/>
          <w:color w:val="auto"/>
          <w:highlight w:val="none"/>
        </w:rPr>
        <w:t>......</w:t>
      </w:r>
    </w:p>
    <w:p>
      <w:pPr>
        <w:pStyle w:val="18"/>
        <w:spacing w:line="360" w:lineRule="exact"/>
        <w:ind w:firstLine="420" w:firstLineChars="200"/>
        <w:rPr>
          <w:color w:val="auto"/>
          <w:highlight w:val="none"/>
          <w:u w:val="single"/>
        </w:rPr>
      </w:pPr>
      <w:r>
        <w:rPr>
          <w:rFonts w:hint="eastAsia"/>
          <w:color w:val="auto"/>
          <w:highlight w:val="none"/>
        </w:rPr>
        <w:t>2、我方同意自本项目招标文件“投标人须知”第14.2项规定的投标截止时间（开标时间）起遵循</w:t>
      </w:r>
      <w:r>
        <w:rPr>
          <w:rFonts w:hint="eastAsia" w:hAnsi="宋体"/>
          <w:color w:val="auto"/>
          <w:highlight w:val="none"/>
        </w:rPr>
        <w:t>本投标函</w:t>
      </w:r>
      <w:r>
        <w:rPr>
          <w:rFonts w:hint="eastAsia"/>
          <w:color w:val="auto"/>
          <w:highlight w:val="none"/>
        </w:rPr>
        <w:t>，并承诺在“投标人须知”第12.1项规定的投标有效期内不修改、撤销投标文件。</w:t>
      </w:r>
    </w:p>
    <w:p>
      <w:pPr>
        <w:pStyle w:val="18"/>
        <w:spacing w:line="360" w:lineRule="exact"/>
        <w:ind w:firstLine="420" w:firstLineChars="200"/>
        <w:rPr>
          <w:color w:val="auto"/>
          <w:highlight w:val="none"/>
          <w:u w:val="single"/>
        </w:rPr>
      </w:pPr>
      <w:r>
        <w:rPr>
          <w:rFonts w:hint="eastAsia"/>
          <w:color w:val="auto"/>
          <w:highlight w:val="none"/>
        </w:rPr>
        <w:t>3、我方所递交的投标文件及有关资料都是内容完整、真实和准确的。</w:t>
      </w:r>
    </w:p>
    <w:p>
      <w:pPr>
        <w:pStyle w:val="18"/>
        <w:spacing w:line="360" w:lineRule="exact"/>
        <w:ind w:firstLine="420" w:firstLineChars="200"/>
        <w:rPr>
          <w:color w:val="auto"/>
          <w:highlight w:val="none"/>
          <w:u w:val="single"/>
        </w:rPr>
      </w:pPr>
      <w:r>
        <w:rPr>
          <w:rFonts w:hint="eastAsia"/>
          <w:color w:val="auto"/>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8"/>
        <w:numPr>
          <w:ilvl w:val="0"/>
          <w:numId w:val="13"/>
        </w:numPr>
        <w:adjustRightInd/>
        <w:spacing w:line="440" w:lineRule="exact"/>
        <w:textAlignment w:val="auto"/>
        <w:rPr>
          <w:color w:val="auto"/>
          <w:highlight w:val="none"/>
        </w:rPr>
      </w:pPr>
      <w:r>
        <w:rPr>
          <w:rFonts w:hint="eastAsia"/>
          <w:color w:val="auto"/>
          <w:highlight w:val="none"/>
        </w:rPr>
        <w:t>具有独立承担民事责任的能力；</w:t>
      </w:r>
    </w:p>
    <w:p>
      <w:pPr>
        <w:pStyle w:val="18"/>
        <w:numPr>
          <w:ilvl w:val="0"/>
          <w:numId w:val="13"/>
        </w:numPr>
        <w:adjustRightInd/>
        <w:spacing w:line="440" w:lineRule="exact"/>
        <w:textAlignment w:val="auto"/>
        <w:rPr>
          <w:color w:val="auto"/>
          <w:highlight w:val="none"/>
        </w:rPr>
      </w:pPr>
      <w:r>
        <w:rPr>
          <w:rFonts w:hint="eastAsia"/>
          <w:color w:val="auto"/>
          <w:highlight w:val="none"/>
        </w:rPr>
        <w:t>具有良好的商业信誉和健全的财务会计制度；</w:t>
      </w:r>
    </w:p>
    <w:p>
      <w:pPr>
        <w:pStyle w:val="18"/>
        <w:numPr>
          <w:ilvl w:val="0"/>
          <w:numId w:val="13"/>
        </w:numPr>
        <w:adjustRightInd/>
        <w:spacing w:line="440" w:lineRule="exact"/>
        <w:textAlignment w:val="auto"/>
        <w:rPr>
          <w:color w:val="auto"/>
          <w:highlight w:val="none"/>
        </w:rPr>
      </w:pPr>
      <w:r>
        <w:rPr>
          <w:rFonts w:hint="eastAsia"/>
          <w:color w:val="auto"/>
          <w:highlight w:val="none"/>
        </w:rPr>
        <w:t>具有履行合同所必需的设备和专业技术能力；</w:t>
      </w:r>
    </w:p>
    <w:p>
      <w:pPr>
        <w:pStyle w:val="18"/>
        <w:numPr>
          <w:ilvl w:val="0"/>
          <w:numId w:val="13"/>
        </w:numPr>
        <w:adjustRightInd/>
        <w:spacing w:line="44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有依法缴纳税收和社会保障资金的良好记录；</w:t>
      </w:r>
    </w:p>
    <w:p>
      <w:pPr>
        <w:pStyle w:val="18"/>
        <w:numPr>
          <w:ilvl w:val="0"/>
          <w:numId w:val="13"/>
        </w:numPr>
        <w:adjustRightInd/>
        <w:spacing w:line="44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参加政府采购活动前三年内，在经营活动中没有重大违法记录；</w:t>
      </w:r>
    </w:p>
    <w:p>
      <w:pPr>
        <w:pStyle w:val="18"/>
        <w:numPr>
          <w:ilvl w:val="0"/>
          <w:numId w:val="13"/>
        </w:numPr>
        <w:adjustRightInd/>
        <w:spacing w:line="44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法律、行政法规规定的其他条件。</w:t>
      </w:r>
    </w:p>
    <w:p>
      <w:pPr>
        <w:pStyle w:val="18"/>
        <w:spacing w:line="440" w:lineRule="exact"/>
        <w:ind w:firstLine="48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如本项目采购内容涉及须符合国家强制规定的，我方承诺我方本次投标（包括资格条件和所投产品）均符合国家有关强制规定。</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6、如我方中标，我方承诺在收到中标通知书后，在中标通知书规定的期限内，</w:t>
      </w:r>
      <w:r>
        <w:rPr>
          <w:rFonts w:hint="eastAsia" w:hAnsi="宋体"/>
          <w:color w:val="000000" w:themeColor="text1"/>
          <w:highlight w:val="none"/>
          <w14:textFill>
            <w14:solidFill>
              <w14:schemeClr w14:val="tx1"/>
            </w14:solidFill>
          </w14:textFill>
        </w:rPr>
        <w:t>根据招标文件、我方的投标文件及有关澄清承诺书的要求按第六章“合同条款及格式”与采购人订立书面合同，并按照合同约定</w:t>
      </w:r>
      <w:r>
        <w:rPr>
          <w:rFonts w:hint="eastAsia"/>
          <w:color w:val="000000" w:themeColor="text1"/>
          <w:highlight w:val="none"/>
          <w14:textFill>
            <w14:solidFill>
              <w14:schemeClr w14:val="tx1"/>
            </w14:solidFill>
          </w14:textFill>
        </w:rPr>
        <w:t>承担完成合同的责任和义务。</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7、我方已详细审核招标文件，我方知道必须放弃提出含糊不清或误解问题的权利。</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8、我方同意应贵方要求提供与本投标有关的任何数据或资料。若贵方需要，我方愿意提供我方作出的一切承诺的证明材料。</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9、我方完全理解贵方不一定接受投标报价最低的投标人为中标供应商的行为。</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10、我方将严格遵守《中华人民共和国政府采购法》第七十七条的规定，即供应商有下列情形之一的，处以采购金额千分之五以上千分之十</w:t>
      </w:r>
      <w:r>
        <w:rPr>
          <w:rFonts w:hint="eastAsia" w:hAnsi="宋体"/>
          <w:color w:val="000000" w:themeColor="text1"/>
          <w:highlight w:val="none"/>
          <w14:textFill>
            <w14:solidFill>
              <w14:schemeClr w14:val="tx1"/>
            </w14:solidFill>
          </w14:textFill>
        </w:rPr>
        <w:t>以下的罚款，列入不良行为记录名单，在一至三年内禁止参加政府采购活动，有违法所得的，并处没收违法所得，情节严重的，由工商行政管理机关吊销营业执照；构成犯罪的，依法追究刑事责任：</w:t>
      </w:r>
    </w:p>
    <w:p>
      <w:pPr>
        <w:pStyle w:val="18"/>
        <w:numPr>
          <w:ilvl w:val="0"/>
          <w:numId w:val="14"/>
        </w:numPr>
        <w:adjustRightInd/>
        <w:spacing w:line="440" w:lineRule="exact"/>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提供虚假材料谋取中标、成交的；</w:t>
      </w:r>
    </w:p>
    <w:p>
      <w:pPr>
        <w:pStyle w:val="18"/>
        <w:numPr>
          <w:ilvl w:val="0"/>
          <w:numId w:val="14"/>
        </w:numPr>
        <w:adjustRightInd/>
        <w:spacing w:line="440" w:lineRule="exact"/>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采取不正当手段诋毁、排挤其他供应商的；</w:t>
      </w:r>
    </w:p>
    <w:p>
      <w:pPr>
        <w:pStyle w:val="18"/>
        <w:numPr>
          <w:ilvl w:val="0"/>
          <w:numId w:val="14"/>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与采购人、其他供应商或者采购代理机构恶意串通的；</w:t>
      </w:r>
    </w:p>
    <w:p>
      <w:pPr>
        <w:pStyle w:val="18"/>
        <w:numPr>
          <w:ilvl w:val="0"/>
          <w:numId w:val="14"/>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向采购人、采购代理机构行贿或者提供其他不正当利益的；</w:t>
      </w:r>
    </w:p>
    <w:p>
      <w:pPr>
        <w:pStyle w:val="18"/>
        <w:numPr>
          <w:ilvl w:val="0"/>
          <w:numId w:val="14"/>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在招标采购过程中与采购人进行协商谈判的；</w:t>
      </w:r>
    </w:p>
    <w:p>
      <w:pPr>
        <w:pStyle w:val="18"/>
        <w:numPr>
          <w:ilvl w:val="0"/>
          <w:numId w:val="14"/>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拒绝有关部门监督检查或提供虚假情况的。</w:t>
      </w:r>
    </w:p>
    <w:p>
      <w:pPr>
        <w:pStyle w:val="18"/>
        <w:spacing w:line="440" w:lineRule="exact"/>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11、我方及由本人担任法定代表人的其他机构最近三年内被处罚的违法行为有：</w:t>
      </w:r>
      <w:r>
        <w:rPr>
          <w:rFonts w:hint="eastAsia"/>
          <w:color w:val="000000" w:themeColor="text1"/>
          <w:highlight w:val="none"/>
          <w:u w:val="single"/>
          <w14:textFill>
            <w14:solidFill>
              <w14:schemeClr w14:val="tx1"/>
            </w14:solidFill>
          </w14:textFill>
        </w:rPr>
        <w:t xml:space="preserve">                                        </w:t>
      </w:r>
    </w:p>
    <w:p>
      <w:pPr>
        <w:pStyle w:val="18"/>
        <w:spacing w:line="440" w:lineRule="exact"/>
        <w:ind w:left="420"/>
        <w:rPr>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12、以上事项如有虚假或隐瞒，我方愿意承担一切后果，并不再寻求任何旨在减轻或免除法律责任的辩解。</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投标人：</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（盖单位公章）</w:t>
      </w:r>
    </w:p>
    <w:p>
      <w:pPr>
        <w:pStyle w:val="18"/>
        <w:spacing w:line="360" w:lineRule="auto"/>
        <w:ind w:firstLine="420"/>
        <w:rPr>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法定代表人或其委托代理人：</w:t>
      </w:r>
      <w:r>
        <w:rPr>
          <w:rFonts w:ascii="Times New Roman" w:hAnsi="Times New Roman"/>
          <w:color w:val="000000" w:themeColor="text1"/>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（签字或盖章）</w:t>
      </w:r>
    </w:p>
    <w:p>
      <w:pPr>
        <w:pStyle w:val="18"/>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电话：</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传真：</w:t>
      </w:r>
      <w:r>
        <w:rPr>
          <w:rFonts w:hint="eastAsia"/>
          <w:color w:val="000000" w:themeColor="text1"/>
          <w:highlight w:val="none"/>
          <w:u w:val="single"/>
          <w14:textFill>
            <w14:solidFill>
              <w14:schemeClr w14:val="tx1"/>
            </w14:solidFill>
          </w14:textFill>
        </w:rPr>
        <w:t>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邮政编码：</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开户名称：</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开户银行：</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银行账号：</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jc w:val="right"/>
        <w:rPr>
          <w:color w:val="000000" w:themeColor="text1"/>
          <w:highlight w:val="none"/>
          <w:u w:val="single"/>
          <w14:textFill>
            <w14:solidFill>
              <w14:schemeClr w14:val="tx1"/>
            </w14:solidFill>
          </w14:textFill>
        </w:rPr>
      </w:pPr>
      <w:r>
        <w:rPr>
          <w:rFonts w:hint="eastAsia"/>
          <w:bCs/>
          <w:color w:val="000000" w:themeColor="text1"/>
          <w:highlight w:val="none"/>
          <w:u w:val="single"/>
          <w14:textFill>
            <w14:solidFill>
              <w14:schemeClr w14:val="tx1"/>
            </w14:solidFill>
          </w14:textFill>
        </w:rPr>
        <w:t xml:space="preserve">    </w:t>
      </w:r>
      <w:r>
        <w:rPr>
          <w:rFonts w:hint="eastAsia"/>
          <w:bCs/>
          <w:color w:val="000000" w:themeColor="text1"/>
          <w:szCs w:val="21"/>
          <w:highlight w:val="none"/>
          <w14:textFill>
            <w14:solidFill>
              <w14:schemeClr w14:val="tx1"/>
            </w14:solidFill>
          </w14:textFill>
        </w:rPr>
        <w:t>年</w:t>
      </w:r>
      <w:r>
        <w:rPr>
          <w:rFonts w:hint="eastAsia"/>
          <w:bCs/>
          <w:color w:val="000000" w:themeColor="text1"/>
          <w:highlight w:val="none"/>
          <w:u w:val="single"/>
          <w14:textFill>
            <w14:solidFill>
              <w14:schemeClr w14:val="tx1"/>
            </w14:solidFill>
          </w14:textFill>
        </w:rPr>
        <w:t xml:space="preserve">    </w:t>
      </w:r>
      <w:r>
        <w:rPr>
          <w:rFonts w:hint="eastAsia"/>
          <w:bCs/>
          <w:color w:val="000000" w:themeColor="text1"/>
          <w:szCs w:val="21"/>
          <w:highlight w:val="none"/>
          <w14:textFill>
            <w14:solidFill>
              <w14:schemeClr w14:val="tx1"/>
            </w14:solidFill>
          </w14:textFill>
        </w:rPr>
        <w:t>月</w:t>
      </w:r>
      <w:r>
        <w:rPr>
          <w:rFonts w:hint="eastAsia"/>
          <w:bCs/>
          <w:color w:val="000000" w:themeColor="text1"/>
          <w:highlight w:val="none"/>
          <w:u w:val="single"/>
          <w14:textFill>
            <w14:solidFill>
              <w14:schemeClr w14:val="tx1"/>
            </w14:solidFill>
          </w14:textFill>
        </w:rPr>
        <w:t xml:space="preserve">    </w:t>
      </w:r>
      <w:r>
        <w:rPr>
          <w:rFonts w:hint="eastAsia"/>
          <w:bCs/>
          <w:color w:val="000000" w:themeColor="text1"/>
          <w:szCs w:val="21"/>
          <w:highlight w:val="none"/>
          <w14:textFill>
            <w14:solidFill>
              <w14:schemeClr w14:val="tx1"/>
            </w14:solidFill>
          </w14:textFill>
        </w:rPr>
        <w:t>日</w:t>
      </w:r>
    </w:p>
    <w:p>
      <w:pPr>
        <w:pStyle w:val="18"/>
        <w:spacing w:line="360" w:lineRule="exact"/>
        <w:ind w:firstLine="420"/>
        <w:rPr>
          <w:color w:val="000000" w:themeColor="text1"/>
          <w:highlight w:val="none"/>
          <w:u w:val="single"/>
          <w14:textFill>
            <w14:solidFill>
              <w14:schemeClr w14:val="tx1"/>
            </w14:solidFill>
          </w14:textFill>
        </w:rPr>
      </w:pPr>
      <w:r>
        <w:rPr>
          <w:rFonts w:ascii="黑体" w:eastAsia="黑体"/>
          <w:b/>
          <w:bCs/>
          <w:color w:val="000000" w:themeColor="text1"/>
          <w:highlight w:val="none"/>
          <w14:textFill>
            <w14:solidFill>
              <w14:schemeClr w14:val="tx1"/>
            </w14:solidFill>
          </w14:textFill>
        </w:rPr>
        <w:br w:type="page"/>
      </w:r>
    </w:p>
    <w:p>
      <w:pPr>
        <w:snapToGrid w:val="0"/>
        <w:spacing w:before="50" w:after="50"/>
        <w:jc w:val="center"/>
        <w:rPr>
          <w:color w:val="000000" w:themeColor="text1"/>
          <w:sz w:val="28"/>
          <w:szCs w:val="28"/>
          <w:highlight w:val="none"/>
          <w14:textFill>
            <w14:solidFill>
              <w14:schemeClr w14:val="tx1"/>
            </w14:solidFill>
          </w14:textFill>
        </w:rPr>
      </w:pPr>
      <w:r>
        <w:rPr>
          <w:rFonts w:hint="eastAsia"/>
          <w:b/>
          <w:bCs/>
          <w:color w:val="000000" w:themeColor="text1"/>
          <w:sz w:val="30"/>
          <w:szCs w:val="30"/>
          <w:highlight w:val="none"/>
          <w14:textFill>
            <w14:solidFill>
              <w14:schemeClr w14:val="tx1"/>
            </w14:solidFill>
          </w14:textFill>
        </w:rPr>
        <w:t>开标一览表</w:t>
      </w:r>
      <w:r>
        <w:rPr>
          <w:rFonts w:hint="eastAsia"/>
          <w:color w:val="000000" w:themeColor="text1"/>
          <w:sz w:val="28"/>
          <w:szCs w:val="28"/>
          <w:highlight w:val="none"/>
          <w14:textFill>
            <w14:solidFill>
              <w14:schemeClr w14:val="tx1"/>
            </w14:solidFill>
          </w14:textFill>
        </w:rPr>
        <w:t>（格式）</w:t>
      </w:r>
    </w:p>
    <w:p>
      <w:pPr>
        <w:pStyle w:val="18"/>
        <w:spacing w:line="440" w:lineRule="exact"/>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p>
      <w:pPr>
        <w:pStyle w:val="18"/>
        <w:spacing w:line="440" w:lineRule="exact"/>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招标编号：</w:t>
      </w:r>
    </w:p>
    <w:tbl>
      <w:tblPr>
        <w:tblStyle w:val="33"/>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97"/>
        <w:gridCol w:w="2289"/>
        <w:gridCol w:w="1198"/>
        <w:gridCol w:w="1397"/>
        <w:gridCol w:w="168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序号</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lang w:val="en-US" w:eastAsia="zh-CN"/>
                <w14:textFill>
                  <w14:solidFill>
                    <w14:schemeClr w14:val="tx1"/>
                  </w14:solidFill>
                </w14:textFill>
              </w:rPr>
              <w:t>服务</w:t>
            </w:r>
            <w:r>
              <w:rPr>
                <w:rFonts w:hint="eastAsia" w:hAnsi="宋体"/>
                <w:color w:val="000000" w:themeColor="text1"/>
                <w:szCs w:val="21"/>
                <w:highlight w:val="none"/>
                <w14:textFill>
                  <w14:solidFill>
                    <w14:schemeClr w14:val="tx1"/>
                  </w14:solidFill>
                </w14:textFill>
              </w:rPr>
              <w:t>名称</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hint="default" w:hAnsi="宋体" w:eastAsia="宋体"/>
                <w:color w:val="000000" w:themeColor="text1"/>
                <w:szCs w:val="21"/>
                <w:highlight w:val="none"/>
                <w:lang w:val="en-US" w:eastAsia="zh-CN"/>
                <w14:textFill>
                  <w14:solidFill>
                    <w14:schemeClr w14:val="tx1"/>
                  </w14:solidFill>
                </w14:textFill>
              </w:rPr>
            </w:pPr>
            <w:r>
              <w:rPr>
                <w:rFonts w:hint="eastAsia" w:hAnsi="宋体"/>
                <w:color w:val="000000" w:themeColor="text1"/>
                <w:szCs w:val="21"/>
                <w:highlight w:val="none"/>
                <w:lang w:val="en-US" w:eastAsia="zh-CN"/>
                <w14:textFill>
                  <w14:solidFill>
                    <w14:schemeClr w14:val="tx1"/>
                  </w14:solidFill>
                </w14:textFill>
              </w:rPr>
              <w:t>规格型号、品牌或生产厂家、原产地</w:t>
            </w: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数量及单位①</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单价(元)②</w:t>
            </w: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单项合价（元）</w:t>
            </w:r>
          </w:p>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③＝①×②</w:t>
            </w: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1</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2</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报价合计（包含税费等所有费用）：（大写）人民币</w:t>
            </w:r>
            <w:r>
              <w:rPr>
                <w:rFonts w:hint="eastAsia" w:hAnsi="宋体"/>
                <w:color w:val="000000" w:themeColor="text1"/>
                <w:szCs w:val="21"/>
                <w:highlight w:val="none"/>
                <w:u w:val="singl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u w:val="single"/>
                <w14:textFill>
                  <w14:solidFill>
                    <w14:schemeClr w14:val="tx1"/>
                  </w14:solidFill>
                </w14:textFill>
              </w:rPr>
              <w:t>　　</w:t>
            </w:r>
            <w:r>
              <w:rPr>
                <w:rFonts w:hint="eastAsia" w:hAnsi="宋体"/>
                <w:color w:val="000000" w:themeColor="text1"/>
                <w:szCs w:val="21"/>
                <w:highlight w:val="none"/>
                <w14:textFill>
                  <w14:solidFill>
                    <w14:schemeClr w14:val="tx1"/>
                  </w14:solidFill>
                </w14:textFill>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法定代表人或其委托代理人（签字或盖章）：</w:t>
            </w:r>
          </w:p>
        </w:tc>
      </w:tr>
    </w:tbl>
    <w:p>
      <w:pPr>
        <w:pStyle w:val="18"/>
        <w:spacing w:line="500" w:lineRule="exact"/>
        <w:rPr>
          <w:rFonts w:ascii="Times New Roman" w:hAnsi="Times New Roman"/>
          <w:b/>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注：表格内容均需按要求填写并盖章，不得留空, 否则按投标无效处理。</w:t>
      </w:r>
    </w:p>
    <w:p>
      <w:pPr>
        <w:pStyle w:val="18"/>
        <w:jc w:val="center"/>
        <w:rPr>
          <w:rFonts w:ascii="Times New Roman" w:hAnsi="Times New Roman"/>
          <w:b/>
          <w:color w:val="000000" w:themeColor="text1"/>
          <w:sz w:val="30"/>
          <w:szCs w:val="30"/>
          <w:highlight w:val="none"/>
          <w14:textFill>
            <w14:solidFill>
              <w14:schemeClr w14:val="tx1"/>
            </w14:solidFill>
          </w14:textFill>
        </w:rPr>
      </w:pPr>
      <w:r>
        <w:rPr>
          <w:rFonts w:hint="eastAsia" w:ascii="Times New Roman" w:hAnsi="Times New Roman"/>
          <w:b/>
          <w:color w:val="000000" w:themeColor="text1"/>
          <w:sz w:val="30"/>
          <w:szCs w:val="30"/>
          <w:highlight w:val="none"/>
          <w14:textFill>
            <w14:solidFill>
              <w14:schemeClr w14:val="tx1"/>
            </w14:solidFill>
          </w14:textFill>
        </w:rPr>
        <w:br w:type="page"/>
      </w:r>
      <w:r>
        <w:rPr>
          <w:rFonts w:hint="eastAsia" w:ascii="Times New Roman" w:hAnsi="Times New Roman"/>
          <w:b/>
          <w:color w:val="000000" w:themeColor="text1"/>
          <w:sz w:val="30"/>
          <w:szCs w:val="30"/>
          <w:highlight w:val="none"/>
          <w14:textFill>
            <w14:solidFill>
              <w14:schemeClr w14:val="tx1"/>
            </w14:solidFill>
          </w14:textFill>
        </w:rPr>
        <w:t>中小企业声明函（格式）</w:t>
      </w:r>
    </w:p>
    <w:p>
      <w:pPr>
        <w:pStyle w:val="15"/>
        <w:spacing w:line="240" w:lineRule="auto"/>
        <w:ind w:firstLine="0"/>
        <w:rPr>
          <w:rFonts w:ascii="Times New Roman" w:hAnsi="Times New Roman"/>
          <w:color w:val="000000" w:themeColor="text1"/>
          <w:sz w:val="21"/>
          <w:szCs w:val="21"/>
          <w:highlight w:val="none"/>
          <w14:textFill>
            <w14:solidFill>
              <w14:schemeClr w14:val="tx1"/>
            </w14:solidFill>
          </w14:textFill>
        </w:rPr>
      </w:pPr>
      <w:r>
        <w:rPr>
          <w:rFonts w:hint="eastAsia" w:ascii="Times New Roman" w:hAnsi="宋体"/>
          <w:color w:val="000000" w:themeColor="text1"/>
          <w:sz w:val="21"/>
          <w:szCs w:val="21"/>
          <w:highlight w:val="none"/>
          <w14:textFill>
            <w14:solidFill>
              <w14:schemeClr w14:val="tx1"/>
            </w14:solidFill>
          </w14:textFill>
        </w:rPr>
        <w:t>说明：</w:t>
      </w:r>
    </w:p>
    <w:p>
      <w:pPr>
        <w:pStyle w:val="15"/>
        <w:spacing w:line="240" w:lineRule="auto"/>
        <w:ind w:firstLine="404" w:firstLineChars="200"/>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1</w:t>
      </w:r>
      <w:r>
        <w:rPr>
          <w:rFonts w:hint="eastAsia" w:ascii="Times New Roman" w:hAnsi="宋体"/>
          <w:color w:val="000000" w:themeColor="text1"/>
          <w:sz w:val="21"/>
          <w:szCs w:val="21"/>
          <w:highlight w:val="none"/>
          <w14:textFill>
            <w14:solidFill>
              <w14:schemeClr w14:val="tx1"/>
            </w14:solidFill>
          </w14:textFill>
        </w:rPr>
        <w:t>、本声明函主要供参加政府采购活动的中小企业填写，非中小企业无需填写。</w:t>
      </w:r>
    </w:p>
    <w:p>
      <w:pPr>
        <w:pStyle w:val="15"/>
        <w:spacing w:line="240" w:lineRule="auto"/>
        <w:ind w:firstLine="404" w:firstLineChars="200"/>
        <w:rPr>
          <w:rFonts w:ascii="Times New Roman" w:hAnsi="宋体"/>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2</w:t>
      </w:r>
      <w:r>
        <w:rPr>
          <w:rFonts w:hint="eastAsia" w:ascii="Times New Roman" w:hAnsi="宋体"/>
          <w:color w:val="000000" w:themeColor="text1"/>
          <w:sz w:val="21"/>
          <w:szCs w:val="21"/>
          <w:highlight w:val="none"/>
          <w14:textFill>
            <w14:solidFill>
              <w14:schemeClr w14:val="tx1"/>
            </w14:solidFill>
          </w14:textFill>
        </w:rPr>
        <w:t>、小型、微型企业提供中型企业制造的货物的，视同为中型企业。</w:t>
      </w:r>
    </w:p>
    <w:p>
      <w:pPr>
        <w:pStyle w:val="15"/>
        <w:spacing w:line="360" w:lineRule="auto"/>
        <w:ind w:firstLine="404" w:firstLineChars="200"/>
        <w:rPr>
          <w:rFonts w:ascii="Times New Roman" w:hAnsi="Times New Roman"/>
          <w:color w:val="000000" w:themeColor="text1"/>
          <w:sz w:val="21"/>
          <w:szCs w:val="21"/>
          <w:highlight w:val="none"/>
          <w14:textFill>
            <w14:solidFill>
              <w14:schemeClr w14:val="tx1"/>
            </w14:solidFill>
          </w14:textFill>
        </w:rPr>
      </w:pP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本公司郑重声明，根据《政府采购促进中小企业发展暂行办法》（财库〔</w:t>
      </w:r>
      <w:r>
        <w:rPr>
          <w:rFonts w:ascii="Times New Roman" w:hAnsi="Times New Roman"/>
          <w:color w:val="000000" w:themeColor="text1"/>
          <w:szCs w:val="21"/>
          <w:highlight w:val="none"/>
          <w14:textFill>
            <w14:solidFill>
              <w14:schemeClr w14:val="tx1"/>
            </w14:solidFill>
          </w14:textFill>
        </w:rPr>
        <w:t>2011</w:t>
      </w: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181</w:t>
      </w:r>
      <w:r>
        <w:rPr>
          <w:rFonts w:hint="eastAsia" w:ascii="Times New Roman" w:hAnsi="Times New Roman"/>
          <w:color w:val="000000" w:themeColor="text1"/>
          <w:szCs w:val="21"/>
          <w:highlight w:val="none"/>
          <w14:textFill>
            <w14:solidFill>
              <w14:schemeClr w14:val="tx1"/>
            </w14:solidFill>
          </w14:textFill>
        </w:rPr>
        <w:t>号）的规定，本公司为</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（请填写：中型、小型、微型）企业。即，本公司同时满足以下条件：</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w:t>
      </w:r>
      <w:r>
        <w:rPr>
          <w:rFonts w:hint="eastAsia" w:ascii="Times New Roman" w:hAnsi="宋体"/>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Times New Roman" w:hAnsi="Times New Roman"/>
          <w:color w:val="000000" w:themeColor="text1"/>
          <w:szCs w:val="21"/>
          <w:highlight w:val="none"/>
          <w14:textFill>
            <w14:solidFill>
              <w14:schemeClr w14:val="tx1"/>
            </w14:solidFill>
          </w14:textFill>
        </w:rPr>
        <w:t>2011</w:t>
      </w: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300</w:t>
      </w:r>
      <w:r>
        <w:rPr>
          <w:rFonts w:hint="eastAsia" w:ascii="Times New Roman" w:hAnsi="Times New Roman"/>
          <w:color w:val="000000" w:themeColor="text1"/>
          <w:szCs w:val="21"/>
          <w:highlight w:val="none"/>
          <w14:textFill>
            <w14:solidFill>
              <w14:schemeClr w14:val="tx1"/>
            </w14:solidFill>
          </w14:textFill>
        </w:rPr>
        <w:t>号）规定的划分标准，本公司为</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（请填写：中型、小型、微型）企业。</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2</w:t>
      </w:r>
      <w:r>
        <w:rPr>
          <w:rFonts w:hint="eastAsia" w:ascii="Times New Roman" w:hAnsi="宋体"/>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本公司参加</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单位的</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项目采购活动提供本企业制造的货物，由本企业承担工程、提供服务，或者提供其他</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（请填写：中型、小型、微型）企业制造的货物。本条所称货物不包括使用大型企业注册商标的货物。</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本公司对上述声明的真实性负责。如有虚假，将依法承担相应责任。</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p>
    <w:p>
      <w:pPr>
        <w:pStyle w:val="18"/>
        <w:spacing w:line="360" w:lineRule="auto"/>
        <w:ind w:firstLine="420" w:firstLineChars="200"/>
        <w:rPr>
          <w:color w:val="000000" w:themeColor="text1"/>
          <w:highlight w:val="none"/>
          <w14:textFill>
            <w14:solidFill>
              <w14:schemeClr w14:val="tx1"/>
            </w14:solidFill>
          </w14:textFill>
        </w:rPr>
      </w:pPr>
    </w:p>
    <w:p>
      <w:pPr>
        <w:pStyle w:val="18"/>
        <w:spacing w:line="6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投标人（盖单位公章）：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600" w:lineRule="exact"/>
        <w:rPr>
          <w:rFonts w:ascii="Times New Roman" w:hAnsi="Times New Roman"/>
          <w:color w:val="000000" w:themeColor="text1"/>
          <w:highlight w:val="none"/>
          <w:u w:val="single"/>
          <w14:textFill>
            <w14:solidFill>
              <w14:schemeClr w14:val="tx1"/>
            </w14:solidFill>
          </w14:textFill>
        </w:rPr>
      </w:pPr>
    </w:p>
    <w:p>
      <w:pPr>
        <w:pStyle w:val="18"/>
        <w:spacing w:line="5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法定代表人或其委托代理人（签字或盖章）：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360" w:lineRule="auto"/>
        <w:jc w:val="center"/>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b/>
          <w:color w:val="000000" w:themeColor="text1"/>
          <w:sz w:val="30"/>
          <w:szCs w:val="30"/>
          <w:highlight w:val="none"/>
          <w14:textFill>
            <w14:solidFill>
              <w14:schemeClr w14:val="tx1"/>
            </w14:solidFill>
          </w14:textFill>
        </w:rPr>
        <w:t>残疾人福利性单位声明函（格式）</w:t>
      </w:r>
    </w:p>
    <w:p>
      <w:pPr>
        <w:pStyle w:val="18"/>
        <w:spacing w:line="360" w:lineRule="auto"/>
        <w:jc w:val="center"/>
        <w:rPr>
          <w:b/>
          <w:color w:val="000000" w:themeColor="text1"/>
          <w:sz w:val="30"/>
          <w:szCs w:val="30"/>
          <w:highlight w:val="none"/>
          <w14:textFill>
            <w14:solidFill>
              <w14:schemeClr w14:val="tx1"/>
            </w14:solidFill>
          </w14:textFill>
        </w:rPr>
      </w:pPr>
    </w:p>
    <w:p>
      <w:pPr>
        <w:pStyle w:val="18"/>
        <w:spacing w:line="360" w:lineRule="auto"/>
        <w:jc w:val="left"/>
        <w:rPr>
          <w:b/>
          <w:color w:val="000000" w:themeColor="text1"/>
          <w:szCs w:val="21"/>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 xml:space="preserve">  </w:t>
      </w:r>
      <w:r>
        <w:rPr>
          <w:rFonts w:hint="eastAsia"/>
          <w:b/>
          <w:color w:val="000000" w:themeColor="text1"/>
          <w:szCs w:val="21"/>
          <w:highlight w:val="none"/>
          <w14:textFill>
            <w14:solidFill>
              <w14:schemeClr w14:val="tx1"/>
            </w14:solidFill>
          </w14:textFill>
        </w:rPr>
        <w:t xml:space="preserve"> 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8"/>
        <w:spacing w:line="360" w:lineRule="auto"/>
        <w:jc w:val="left"/>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本公司对上述声明的真实性负责。如有虚假，将依法承担相应责任。</w:t>
      </w:r>
    </w:p>
    <w:p>
      <w:pPr>
        <w:pStyle w:val="18"/>
        <w:spacing w:line="360" w:lineRule="auto"/>
        <w:jc w:val="left"/>
        <w:rPr>
          <w:b/>
          <w:color w:val="000000" w:themeColor="text1"/>
          <w:szCs w:val="21"/>
          <w:highlight w:val="none"/>
          <w14:textFill>
            <w14:solidFill>
              <w14:schemeClr w14:val="tx1"/>
            </w14:solidFill>
          </w14:textFill>
        </w:rPr>
      </w:pPr>
    </w:p>
    <w:p>
      <w:pPr>
        <w:pStyle w:val="18"/>
        <w:spacing w:line="360" w:lineRule="auto"/>
        <w:jc w:val="left"/>
        <w:rPr>
          <w:b/>
          <w:color w:val="000000" w:themeColor="text1"/>
          <w:szCs w:val="21"/>
          <w:highlight w:val="none"/>
          <w14:textFill>
            <w14:solidFill>
              <w14:schemeClr w14:val="tx1"/>
            </w14:solidFill>
          </w14:textFill>
        </w:rPr>
      </w:pPr>
    </w:p>
    <w:p>
      <w:pPr>
        <w:pStyle w:val="18"/>
        <w:spacing w:line="360" w:lineRule="auto"/>
        <w:jc w:val="left"/>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 xml:space="preserve">投标人（盖单位公章）：                             </w:t>
      </w:r>
    </w:p>
    <w:p>
      <w:pPr>
        <w:pStyle w:val="18"/>
        <w:spacing w:line="360" w:lineRule="auto"/>
        <w:jc w:val="left"/>
        <w:rPr>
          <w:b/>
          <w:color w:val="000000" w:themeColor="text1"/>
          <w:szCs w:val="21"/>
          <w:highlight w:val="none"/>
          <w14:textFill>
            <w14:solidFill>
              <w14:schemeClr w14:val="tx1"/>
            </w14:solidFill>
          </w14:textFill>
        </w:rPr>
      </w:pPr>
    </w:p>
    <w:p>
      <w:pPr>
        <w:pStyle w:val="18"/>
        <w:spacing w:line="360" w:lineRule="auto"/>
        <w:jc w:val="left"/>
        <w:rPr>
          <w:rFonts w:ascii="Times New Roman" w:hAnsi="Times New Roman"/>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 xml:space="preserve">法定代表人或其委托代理人（签字或盖章）：         </w:t>
      </w:r>
      <w:r>
        <w:rPr>
          <w:rFonts w:hint="eastAsia"/>
          <w:b/>
          <w:color w:val="000000" w:themeColor="text1"/>
          <w:sz w:val="18"/>
          <w:szCs w:val="18"/>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br w:type="page"/>
      </w:r>
    </w:p>
    <w:p>
      <w:pPr>
        <w:pStyle w:val="18"/>
        <w:spacing w:line="5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hAnsi="宋体"/>
          <w:b/>
          <w:color w:val="000000" w:themeColor="text1"/>
          <w:sz w:val="30"/>
          <w:szCs w:val="30"/>
          <w:highlight w:val="none"/>
          <w14:textFill>
            <w14:solidFill>
              <w14:schemeClr w14:val="tx1"/>
            </w14:solidFill>
          </w14:textFill>
        </w:rPr>
        <w:t>广西工业产品声明函</w:t>
      </w:r>
      <w:r>
        <w:rPr>
          <w:rFonts w:hint="eastAsia" w:ascii="Times New Roman" w:hAnsi="Times New Roman"/>
          <w:b/>
          <w:bCs/>
          <w:color w:val="000000" w:themeColor="text1"/>
          <w:sz w:val="30"/>
          <w:szCs w:val="30"/>
          <w:highlight w:val="none"/>
          <w14:textFill>
            <w14:solidFill>
              <w14:schemeClr w14:val="tx1"/>
            </w14:solidFill>
          </w14:textFill>
        </w:rPr>
        <w:t>（格式）</w:t>
      </w:r>
    </w:p>
    <w:p>
      <w:pPr>
        <w:pStyle w:val="18"/>
        <w:rPr>
          <w:rFonts w:ascii="Times New Roman" w:hAnsi="Times New Roman"/>
          <w:b/>
          <w:color w:val="000000" w:themeColor="text1"/>
          <w:sz w:val="24"/>
          <w:highlight w:val="none"/>
          <w14:textFill>
            <w14:solidFill>
              <w14:schemeClr w14:val="tx1"/>
            </w14:solidFill>
          </w14:textFill>
        </w:rPr>
      </w:pPr>
    </w:p>
    <w:p>
      <w:pPr>
        <w:pStyle w:val="15"/>
        <w:spacing w:line="240" w:lineRule="auto"/>
        <w:ind w:firstLine="0"/>
        <w:rPr>
          <w:rFonts w:ascii="Times New Roman" w:hAnsi="Times New Roman"/>
          <w:color w:val="000000" w:themeColor="text1"/>
          <w:sz w:val="21"/>
          <w:szCs w:val="21"/>
          <w:highlight w:val="none"/>
          <w14:textFill>
            <w14:solidFill>
              <w14:schemeClr w14:val="tx1"/>
            </w14:solidFill>
          </w14:textFill>
        </w:rPr>
      </w:pPr>
      <w:r>
        <w:rPr>
          <w:rFonts w:hint="eastAsia" w:ascii="Times New Roman" w:hAnsi="宋体"/>
          <w:color w:val="000000" w:themeColor="text1"/>
          <w:sz w:val="21"/>
          <w:szCs w:val="21"/>
          <w:highlight w:val="none"/>
          <w14:textFill>
            <w14:solidFill>
              <w14:schemeClr w14:val="tx1"/>
            </w14:solidFill>
          </w14:textFill>
        </w:rPr>
        <w:t>说</w:t>
      </w:r>
      <w:r>
        <w:rPr>
          <w:rFonts w:hint="eastAsia" w:ascii="Times New Roman" w:hAnsi="Times New Roman"/>
          <w:color w:val="000000" w:themeColor="text1"/>
          <w:sz w:val="21"/>
          <w:szCs w:val="21"/>
          <w:highlight w:val="none"/>
          <w14:textFill>
            <w14:solidFill>
              <w14:schemeClr w14:val="tx1"/>
            </w14:solidFill>
          </w14:textFill>
        </w:rPr>
        <w:t>明：</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1</w:t>
      </w:r>
      <w:r>
        <w:rPr>
          <w:rFonts w:hint="eastAsia" w:ascii="Times New Roman" w:hAnsi="Times New Roman"/>
          <w:color w:val="000000" w:themeColor="text1"/>
          <w:sz w:val="21"/>
          <w:szCs w:val="21"/>
          <w:highlight w:val="none"/>
          <w14:textFill>
            <w14:solidFill>
              <w14:schemeClr w14:val="tx1"/>
            </w14:solidFill>
          </w14:textFill>
        </w:rPr>
        <w:t>、本文件所指广西工业产品，是指广西境内生产的工业产品，具体以生产企业的工商营业执照注册所在地为准。</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2</w:t>
      </w:r>
      <w:r>
        <w:rPr>
          <w:rFonts w:hint="eastAsia" w:ascii="Times New Roman" w:hAnsi="Times New Roman"/>
          <w:color w:val="000000" w:themeColor="text1"/>
          <w:sz w:val="21"/>
          <w:szCs w:val="21"/>
          <w:highlight w:val="none"/>
          <w14:textFill>
            <w14:solidFill>
              <w14:schemeClr w14:val="tx1"/>
            </w14:solidFill>
          </w14:textFill>
        </w:rPr>
        <w:t>、本细则所指使用广西工业产品</w:t>
      </w:r>
      <w:r>
        <w:rPr>
          <w:rFonts w:ascii="Times New Roman" w:hAnsi="Times New Roman"/>
          <w:color w:val="000000" w:themeColor="text1"/>
          <w:sz w:val="21"/>
          <w:szCs w:val="21"/>
          <w:highlight w:val="none"/>
          <w14:textFill>
            <w14:solidFill>
              <w14:schemeClr w14:val="tx1"/>
            </w14:solidFill>
          </w14:textFill>
        </w:rPr>
        <w:t xml:space="preserve"> 80%</w:t>
      </w:r>
      <w:r>
        <w:rPr>
          <w:rFonts w:hint="eastAsia" w:ascii="Times New Roman" w:hAnsi="Times New Roman"/>
          <w:color w:val="000000" w:themeColor="text1"/>
          <w:sz w:val="21"/>
          <w:szCs w:val="21"/>
          <w:highlight w:val="none"/>
          <w14:textFill>
            <w14:solidFill>
              <w14:schemeClr w14:val="tx1"/>
            </w14:solidFill>
          </w14:textFill>
        </w:rPr>
        <w:t>以上，是指参加政府采购项目或招标项目时供货范围中采用广西工业产品的金额占本次投标或竞标总金额的</w:t>
      </w:r>
      <w:r>
        <w:rPr>
          <w:rFonts w:ascii="Times New Roman" w:hAnsi="Times New Roman"/>
          <w:color w:val="000000" w:themeColor="text1"/>
          <w:sz w:val="21"/>
          <w:szCs w:val="21"/>
          <w:highlight w:val="none"/>
          <w14:textFill>
            <w14:solidFill>
              <w14:schemeClr w14:val="tx1"/>
            </w14:solidFill>
          </w14:textFill>
        </w:rPr>
        <w:t>80%</w:t>
      </w:r>
      <w:r>
        <w:rPr>
          <w:rFonts w:hint="eastAsia" w:ascii="Times New Roman" w:hAnsi="Times New Roman"/>
          <w:color w:val="000000" w:themeColor="text1"/>
          <w:sz w:val="21"/>
          <w:szCs w:val="21"/>
          <w:highlight w:val="none"/>
          <w14:textFill>
            <w14:solidFill>
              <w14:schemeClr w14:val="tx1"/>
            </w14:solidFill>
          </w14:textFill>
        </w:rPr>
        <w:t>以上（含）；或者工程建设使用广西工业产品占工程建设所需产品总金额的</w:t>
      </w:r>
      <w:r>
        <w:rPr>
          <w:rFonts w:ascii="Times New Roman" w:hAnsi="Times New Roman"/>
          <w:color w:val="000000" w:themeColor="text1"/>
          <w:sz w:val="21"/>
          <w:szCs w:val="21"/>
          <w:highlight w:val="none"/>
          <w14:textFill>
            <w14:solidFill>
              <w14:schemeClr w14:val="tx1"/>
            </w14:solidFill>
          </w14:textFill>
        </w:rPr>
        <w:t>80%</w:t>
      </w:r>
      <w:r>
        <w:rPr>
          <w:rFonts w:hint="eastAsia" w:ascii="Times New Roman" w:hAnsi="Times New Roman"/>
          <w:color w:val="000000" w:themeColor="text1"/>
          <w:sz w:val="21"/>
          <w:szCs w:val="21"/>
          <w:highlight w:val="none"/>
          <w14:textFill>
            <w14:solidFill>
              <w14:schemeClr w14:val="tx1"/>
            </w14:solidFill>
          </w14:textFill>
        </w:rPr>
        <w:t>以上（含）。</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3</w:t>
      </w:r>
      <w:r>
        <w:rPr>
          <w:rFonts w:hint="eastAsia" w:ascii="Times New Roman" w:hAnsi="Times New Roman"/>
          <w:color w:val="000000" w:themeColor="text1"/>
          <w:sz w:val="21"/>
          <w:szCs w:val="21"/>
          <w:highlight w:val="none"/>
          <w14:textFill>
            <w14:solidFill>
              <w14:schemeClr w14:val="tx1"/>
            </w14:solidFill>
          </w14:textFill>
        </w:rPr>
        <w:t>、发现投标人提供虚假材料、采购单位履约过程中中标供应商未按投标文件《广西工业产品声明函》中使用广西工业产品或者使用广西工业产品未达</w:t>
      </w:r>
      <w:r>
        <w:rPr>
          <w:rFonts w:ascii="Times New Roman" w:hAnsi="Times New Roman"/>
          <w:color w:val="000000" w:themeColor="text1"/>
          <w:sz w:val="21"/>
          <w:szCs w:val="21"/>
          <w:highlight w:val="none"/>
          <w14:textFill>
            <w14:solidFill>
              <w14:schemeClr w14:val="tx1"/>
            </w14:solidFill>
          </w14:textFill>
        </w:rPr>
        <w:t>80%</w:t>
      </w:r>
      <w:r>
        <w:rPr>
          <w:rFonts w:hint="eastAsia" w:ascii="Times New Roman" w:hAnsi="Times New Roman"/>
          <w:color w:val="000000" w:themeColor="text1"/>
          <w:sz w:val="21"/>
          <w:szCs w:val="21"/>
          <w:highlight w:val="none"/>
          <w14:textFill>
            <w14:solidFill>
              <w14:schemeClr w14:val="tx1"/>
            </w14:solidFill>
          </w14:textFill>
        </w:rPr>
        <w:t>以上的，按照有关法律法规追究其相关责任。</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p>
    <w:p>
      <w:pPr>
        <w:pStyle w:val="15"/>
        <w:spacing w:line="240" w:lineRule="auto"/>
        <w:ind w:firstLine="404" w:firstLineChars="200"/>
        <w:rPr>
          <w:rFonts w:ascii="Times New Roman" w:hAnsi="Times New Roman"/>
          <w:color w:val="000000" w:themeColor="text1"/>
          <w:sz w:val="21"/>
          <w:szCs w:val="21"/>
          <w:highlight w:val="none"/>
          <w14:textFill>
            <w14:solidFill>
              <w14:schemeClr w14:val="tx1"/>
            </w14:solidFill>
          </w14:textFill>
        </w:rPr>
      </w:pPr>
      <w:r>
        <w:rPr>
          <w:rFonts w:hint="eastAsia" w:ascii="Times New Roman" w:hAnsi="Times New Roman"/>
          <w:color w:val="000000" w:themeColor="text1"/>
          <w:sz w:val="21"/>
          <w:szCs w:val="21"/>
          <w:highlight w:val="none"/>
          <w14:textFill>
            <w14:solidFill>
              <w14:schemeClr w14:val="tx1"/>
            </w14:solidFill>
          </w14:textFill>
        </w:rPr>
        <w:t>我方郑重声明，根据《招标采购促进广西工业产品产销对接实施细则》的规定，我方在本次投标∕竞标中或者工程项目中提供的下述产品为广西工业产品，详情如下：</w:t>
      </w:r>
    </w:p>
    <w:p>
      <w:pPr>
        <w:pStyle w:val="18"/>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　　分标（此处有分标时填写具体分标号，无分标时填写“无”）</w:t>
      </w:r>
    </w:p>
    <w:tbl>
      <w:tblPr>
        <w:tblStyle w:val="33"/>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ascii="Times New Roman" w:hAnsi="Times New Roman"/>
                <w:color w:val="000000" w:themeColor="text1"/>
                <w:highlight w:val="none"/>
                <w:u w:val="single"/>
                <w14:textFill>
                  <w14:solidFill>
                    <w14:schemeClr w14:val="tx1"/>
                  </w14:solidFill>
                </w14:textFill>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ascii="Times New Roman" w:hAnsi="Times New Roman"/>
                <w:color w:val="000000" w:themeColor="text1"/>
                <w:highlight w:val="none"/>
                <w:u w:val="single"/>
                <w14:textFill>
                  <w14:solidFill>
                    <w14:schemeClr w14:val="tx1"/>
                  </w14:solidFill>
                </w14:textFill>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广西工业产品</w:t>
            </w:r>
          </w:p>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bl>
    <w:p>
      <w:pPr>
        <w:pStyle w:val="18"/>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　　分标（此处有分标时填写具体分标号，无分标时填写“无”）</w:t>
      </w:r>
    </w:p>
    <w:p>
      <w:pPr>
        <w:pStyle w:val="18"/>
        <w:rPr>
          <w:rFonts w:ascii="Times New Roman" w:hAnsi="Times New Roman"/>
          <w:color w:val="000000" w:themeColor="text1"/>
          <w:highlight w:val="none"/>
          <w:u w:val="single"/>
          <w14:textFill>
            <w14:solidFill>
              <w14:schemeClr w14:val="tx1"/>
            </w14:solidFill>
          </w14:textFill>
        </w:rPr>
      </w:pPr>
      <w:r>
        <w:rPr>
          <w:rFonts w:ascii="Times New Roman" w:hAnsi="Times New Roman"/>
          <w:color w:val="000000" w:themeColor="text1"/>
          <w:highlight w:val="none"/>
          <w:u w:val="single"/>
          <w14:textFill>
            <w14:solidFill>
              <w14:schemeClr w14:val="tx1"/>
            </w14:solidFill>
          </w14:textFill>
        </w:rPr>
        <w:t>......</w:t>
      </w:r>
    </w:p>
    <w:p>
      <w:pPr>
        <w:pStyle w:val="18"/>
        <w:ind w:firstLine="420"/>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我方对上述声明的真实性负责。如有虚假，将依法承担相应责任。</w:t>
      </w:r>
    </w:p>
    <w:p>
      <w:pPr>
        <w:pStyle w:val="18"/>
        <w:rPr>
          <w:rFonts w:hAnsi="宋体" w:cs="Courier New"/>
          <w:color w:val="000000" w:themeColor="text1"/>
          <w:highlight w:val="none"/>
          <w14:textFill>
            <w14:solidFill>
              <w14:schemeClr w14:val="tx1"/>
            </w14:solidFill>
          </w14:textFill>
        </w:rPr>
      </w:pPr>
    </w:p>
    <w:p>
      <w:pPr>
        <w:pStyle w:val="18"/>
        <w:rPr>
          <w:color w:val="000000" w:themeColor="text1"/>
          <w:szCs w:val="24"/>
          <w:highlight w:val="none"/>
          <w14:textFill>
            <w14:solidFill>
              <w14:schemeClr w14:val="tx1"/>
            </w14:solidFill>
          </w14:textFill>
        </w:rPr>
      </w:pPr>
    </w:p>
    <w:p>
      <w:pPr>
        <w:pStyle w:val="18"/>
        <w:rPr>
          <w:color w:val="000000" w:themeColor="text1"/>
          <w:szCs w:val="24"/>
          <w:highlight w:val="none"/>
          <w14:textFill>
            <w14:solidFill>
              <w14:schemeClr w14:val="tx1"/>
            </w14:solidFill>
          </w14:textFill>
        </w:rPr>
      </w:pPr>
    </w:p>
    <w:p>
      <w:pPr>
        <w:pStyle w:val="18"/>
        <w:spacing w:line="6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投标人（盖单位公章）：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600" w:lineRule="exact"/>
        <w:rPr>
          <w:rFonts w:ascii="Times New Roman" w:hAnsi="Times New Roman"/>
          <w:color w:val="000000" w:themeColor="text1"/>
          <w:highlight w:val="none"/>
          <w:u w:val="single"/>
          <w14:textFill>
            <w14:solidFill>
              <w14:schemeClr w14:val="tx1"/>
            </w14:solidFill>
          </w14:textFill>
        </w:rPr>
      </w:pPr>
    </w:p>
    <w:p>
      <w:pPr>
        <w:pStyle w:val="18"/>
        <w:spacing w:line="5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法定代表人或其委托代理人（签字或盖章）：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600" w:lineRule="exact"/>
        <w:jc w:val="left"/>
        <w:rPr>
          <w:rFonts w:ascii="Times New Roman" w:hAnsi="Times New Roman"/>
          <w:color w:val="000000" w:themeColor="text1"/>
          <w:highlight w:val="none"/>
          <w:u w:val="single"/>
          <w14:textFill>
            <w14:solidFill>
              <w14:schemeClr w14:val="tx1"/>
            </w14:solidFill>
          </w14:textFill>
        </w:rPr>
      </w:pPr>
    </w:p>
    <w:p>
      <w:pPr>
        <w:pStyle w:val="18"/>
        <w:spacing w:line="500" w:lineRule="exact"/>
        <w:rPr>
          <w:rFonts w:ascii="Times New Roman" w:hAnsi="Times New Roman"/>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18"/>
        <w:spacing w:line="5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t>投标服务技术资料表（格式）</w:t>
      </w:r>
    </w:p>
    <w:p>
      <w:pPr>
        <w:pStyle w:val="18"/>
        <w:spacing w:line="440" w:lineRule="exact"/>
        <w:ind w:firstLine="420" w:firstLineChars="200"/>
        <w:rPr>
          <w:color w:val="000000" w:themeColor="text1"/>
          <w:highlight w:val="none"/>
          <w14:textFill>
            <w14:solidFill>
              <w14:schemeClr w14:val="tx1"/>
            </w14:solidFill>
          </w14:textFill>
        </w:rPr>
      </w:pPr>
    </w:p>
    <w:p>
      <w:pPr>
        <w:pStyle w:val="18"/>
        <w:spacing w:line="600" w:lineRule="exact"/>
        <w:ind w:firstLine="480" w:firstLineChars="20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请根据所投服务的实际技术参数，</w:t>
      </w:r>
      <w:r>
        <w:rPr>
          <w:rFonts w:hint="eastAsia" w:hAnsi="宋体"/>
          <w:b/>
          <w:color w:val="000000" w:themeColor="text1"/>
          <w:sz w:val="28"/>
          <w:szCs w:val="28"/>
          <w:highlight w:val="none"/>
          <w14:textFill>
            <w14:solidFill>
              <w14:schemeClr w14:val="tx1"/>
            </w14:solidFill>
          </w14:textFill>
        </w:rPr>
        <w:t>逐条对应</w:t>
      </w:r>
      <w:r>
        <w:rPr>
          <w:rFonts w:hint="eastAsia" w:hAnsi="宋体"/>
          <w:color w:val="000000" w:themeColor="text1"/>
          <w:sz w:val="24"/>
          <w:szCs w:val="24"/>
          <w:highlight w:val="none"/>
          <w14:textFill>
            <w14:solidFill>
              <w14:schemeClr w14:val="tx1"/>
            </w14:solidFill>
          </w14:textFill>
        </w:rPr>
        <w:t>本项目招标文件第二章</w:t>
      </w:r>
      <w:r>
        <w:rPr>
          <w:rFonts w:hAnsi="宋体"/>
          <w:color w:val="000000" w:themeColor="text1"/>
          <w:sz w:val="24"/>
          <w:szCs w:val="24"/>
          <w:highlight w:val="none"/>
          <w14:textFill>
            <w14:solidFill>
              <w14:schemeClr w14:val="tx1"/>
            </w14:solidFill>
          </w14:textFill>
        </w:rPr>
        <w:t>“</w:t>
      </w:r>
      <w:r>
        <w:rPr>
          <w:rFonts w:hint="eastAsia" w:hAnsi="宋体"/>
          <w:b/>
          <w:color w:val="000000" w:themeColor="text1"/>
          <w:sz w:val="24"/>
          <w:szCs w:val="24"/>
          <w:highlight w:val="none"/>
          <w14:textFill>
            <w14:solidFill>
              <w14:schemeClr w14:val="tx1"/>
            </w14:solidFill>
          </w14:textFill>
        </w:rPr>
        <w:t>项目需求一览表</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中的服务内容及要求</w:t>
      </w:r>
      <w:r>
        <w:rPr>
          <w:rFonts w:hint="eastAsia" w:hAnsi="宋体"/>
          <w:b/>
          <w:color w:val="000000" w:themeColor="text1"/>
          <w:sz w:val="28"/>
          <w:szCs w:val="28"/>
          <w:highlight w:val="none"/>
          <w14:textFill>
            <w14:solidFill>
              <w14:schemeClr w14:val="tx1"/>
            </w14:solidFill>
          </w14:textFill>
        </w:rPr>
        <w:t>详细填写相应的具体内容</w:t>
      </w:r>
      <w:r>
        <w:rPr>
          <w:rFonts w:hint="eastAsia" w:hAnsi="宋体"/>
          <w:color w:val="000000" w:themeColor="text1"/>
          <w:sz w:val="24"/>
          <w:szCs w:val="24"/>
          <w:highlight w:val="none"/>
          <w14:textFill>
            <w14:solidFill>
              <w14:schemeClr w14:val="tx1"/>
            </w14:solidFill>
          </w14:textFill>
        </w:rPr>
        <w:t>。</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偏离说明</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一栏应当选择</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正偏离</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负偏离</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或</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无偏离</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进行填写。</w:t>
      </w:r>
    </w:p>
    <w:tbl>
      <w:tblPr>
        <w:tblStyle w:val="33"/>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0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技术参数要求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所提供</w:t>
            </w:r>
            <w:r>
              <w:rPr>
                <w:rFonts w:hint="eastAsia" w:ascii="宋体" w:hAnsi="宋体" w:cs="宋体"/>
                <w:color w:val="000000" w:themeColor="text1"/>
                <w:szCs w:val="21"/>
                <w:highlight w:val="none"/>
                <w14:textFill>
                  <w14:solidFill>
                    <w14:schemeClr w14:val="tx1"/>
                  </w14:solidFill>
                </w14:textFill>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分标（此处有分标时填写具体分标号，无分标时填写</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无</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法定代表人或其委托代理人（签字或盖章）：</w:t>
            </w:r>
          </w:p>
        </w:tc>
      </w:tr>
    </w:tbl>
    <w:p>
      <w:pPr>
        <w:pStyle w:val="18"/>
        <w:spacing w:line="400" w:lineRule="exact"/>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注：</w:t>
      </w:r>
      <w:r>
        <w:rPr>
          <w:rFonts w:hint="eastAsia" w:hAnsi="宋体" w:cs="宋体"/>
          <w:color w:val="000000" w:themeColor="text1"/>
          <w:szCs w:val="21"/>
          <w:highlight w:val="none"/>
          <w14:textFill>
            <w14:solidFill>
              <w14:schemeClr w14:val="tx1"/>
            </w14:solidFill>
          </w14:textFill>
        </w:rPr>
        <w:t>⑴</w:t>
      </w:r>
      <w:r>
        <w:rPr>
          <w:rFonts w:hint="eastAsia" w:hAnsi="宋体"/>
          <w:color w:val="000000" w:themeColor="text1"/>
          <w:szCs w:val="21"/>
          <w:highlight w:val="none"/>
          <w14:textFill>
            <w14:solidFill>
              <w14:schemeClr w14:val="tx1"/>
            </w14:solidFill>
          </w14:textFill>
        </w:rPr>
        <w:t>表格内容均需按要求填写并盖章，不得留空，</w:t>
      </w:r>
      <w:r>
        <w:rPr>
          <w:rFonts w:hint="eastAsia" w:hAnsi="宋体"/>
          <w:bCs/>
          <w:color w:val="000000" w:themeColor="text1"/>
          <w:szCs w:val="21"/>
          <w:highlight w:val="none"/>
          <w14:textFill>
            <w14:solidFill>
              <w14:schemeClr w14:val="tx1"/>
            </w14:solidFill>
          </w14:textFill>
        </w:rPr>
        <w:t>否则按投标无效处理</w:t>
      </w:r>
      <w:r>
        <w:rPr>
          <w:rFonts w:hint="eastAsia" w:hAnsi="宋体"/>
          <w:color w:val="000000" w:themeColor="text1"/>
          <w:szCs w:val="21"/>
          <w:highlight w:val="none"/>
          <w14:textFill>
            <w14:solidFill>
              <w14:schemeClr w14:val="tx1"/>
            </w14:solidFill>
          </w14:textFill>
        </w:rPr>
        <w:t>。</w:t>
      </w:r>
    </w:p>
    <w:p>
      <w:pPr>
        <w:pStyle w:val="18"/>
        <w:spacing w:line="400" w:lineRule="exact"/>
        <w:ind w:left="689" w:leftChars="228" w:hanging="210" w:hangingChars="100"/>
        <w:rPr>
          <w:rFonts w:hAnsi="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⑵</w:t>
      </w:r>
      <w:r>
        <w:rPr>
          <w:rFonts w:hint="eastAsia" w:hAnsi="宋体"/>
          <w:bCs/>
          <w:color w:val="000000" w:themeColor="text1"/>
          <w:szCs w:val="21"/>
          <w:highlight w:val="none"/>
          <w14:textFill>
            <w14:solidFill>
              <w14:schemeClr w14:val="tx1"/>
            </w14:solidFill>
          </w14:textFill>
        </w:rPr>
        <w:t>当投标文件的服务内容低于招标文件要求时，投标人应当如实写明</w:t>
      </w:r>
      <w:r>
        <w:rPr>
          <w:rFonts w:hAnsi="宋体"/>
          <w:bCs/>
          <w:color w:val="000000" w:themeColor="text1"/>
          <w:szCs w:val="21"/>
          <w:highlight w:val="none"/>
          <w14:textFill>
            <w14:solidFill>
              <w14:schemeClr w14:val="tx1"/>
            </w14:solidFill>
          </w14:textFill>
        </w:rPr>
        <w:t>“</w:t>
      </w:r>
      <w:r>
        <w:rPr>
          <w:rFonts w:hint="eastAsia" w:hAnsi="宋体"/>
          <w:bCs/>
          <w:color w:val="000000" w:themeColor="text1"/>
          <w:szCs w:val="21"/>
          <w:highlight w:val="none"/>
          <w14:textFill>
            <w14:solidFill>
              <w14:schemeClr w14:val="tx1"/>
            </w14:solidFill>
          </w14:textFill>
        </w:rPr>
        <w:t>负偏离</w:t>
      </w:r>
      <w:r>
        <w:rPr>
          <w:rFonts w:hAnsi="宋体"/>
          <w:bCs/>
          <w:color w:val="000000" w:themeColor="text1"/>
          <w:szCs w:val="21"/>
          <w:highlight w:val="none"/>
          <w14:textFill>
            <w14:solidFill>
              <w14:schemeClr w14:val="tx1"/>
            </w14:solidFill>
          </w14:textFill>
        </w:rPr>
        <w:t>”</w:t>
      </w:r>
      <w:r>
        <w:rPr>
          <w:rFonts w:hint="eastAsia" w:hAnsi="宋体"/>
          <w:bCs/>
          <w:color w:val="000000" w:themeColor="text1"/>
          <w:szCs w:val="21"/>
          <w:highlight w:val="none"/>
          <w14:textFill>
            <w14:solidFill>
              <w14:schemeClr w14:val="tx1"/>
            </w14:solidFill>
          </w14:textFill>
        </w:rPr>
        <w:t>，否则视为虚假应标。</w:t>
      </w: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br w:type="page"/>
      </w:r>
      <w:r>
        <w:rPr>
          <w:rFonts w:ascii="Times New Roman" w:hAnsi="Times New Roman"/>
          <w:b/>
          <w:color w:val="000000" w:themeColor="text1"/>
          <w:highlight w:val="none"/>
          <w14:textFill>
            <w14:solidFill>
              <w14:schemeClr w14:val="tx1"/>
            </w14:solidFill>
          </w14:textFill>
        </w:rPr>
        <w:t xml:space="preserve"> </w:t>
      </w:r>
    </w:p>
    <w:p>
      <w:pPr>
        <w:pStyle w:val="18"/>
        <w:spacing w:line="6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t>商务条款偏离表（格式）</w:t>
      </w:r>
    </w:p>
    <w:p>
      <w:pPr>
        <w:pStyle w:val="18"/>
        <w:spacing w:line="440" w:lineRule="exact"/>
        <w:ind w:firstLine="420" w:firstLineChars="200"/>
        <w:rPr>
          <w:rFonts w:hAnsi="宋体"/>
          <w:color w:val="000000" w:themeColor="text1"/>
          <w:highlight w:val="none"/>
          <w14:textFill>
            <w14:solidFill>
              <w14:schemeClr w14:val="tx1"/>
            </w14:solidFill>
          </w14:textFill>
        </w:rPr>
      </w:pPr>
    </w:p>
    <w:p>
      <w:pPr>
        <w:pStyle w:val="18"/>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请</w:t>
      </w:r>
      <w:r>
        <w:rPr>
          <w:rFonts w:hint="eastAsia"/>
          <w:b/>
          <w:color w:val="000000" w:themeColor="text1"/>
          <w:sz w:val="24"/>
          <w:szCs w:val="24"/>
          <w:highlight w:val="none"/>
          <w14:textFill>
            <w14:solidFill>
              <w14:schemeClr w14:val="tx1"/>
            </w14:solidFill>
          </w14:textFill>
        </w:rPr>
        <w:t>逐条对应</w:t>
      </w:r>
      <w:r>
        <w:rPr>
          <w:rFonts w:hint="eastAsia"/>
          <w:color w:val="000000" w:themeColor="text1"/>
          <w:highlight w:val="none"/>
          <w14:textFill>
            <w14:solidFill>
              <w14:schemeClr w14:val="tx1"/>
            </w14:solidFill>
          </w14:textFill>
        </w:rPr>
        <w:t>本项目招标文件第二章“</w:t>
      </w:r>
      <w:r>
        <w:rPr>
          <w:rFonts w:hint="eastAsia"/>
          <w:b/>
          <w:color w:val="000000" w:themeColor="text1"/>
          <w:highlight w:val="none"/>
          <w14:textFill>
            <w14:solidFill>
              <w14:schemeClr w14:val="tx1"/>
            </w14:solidFill>
          </w14:textFill>
        </w:rPr>
        <w:t>项目需求一览表</w:t>
      </w:r>
      <w:r>
        <w:rPr>
          <w:rFonts w:hint="eastAsia"/>
          <w:color w:val="000000" w:themeColor="text1"/>
          <w:highlight w:val="none"/>
          <w14:textFill>
            <w14:solidFill>
              <w14:schemeClr w14:val="tx1"/>
            </w14:solidFill>
          </w14:textFill>
        </w:rPr>
        <w:t>”中“商务条款”的要求，</w:t>
      </w:r>
      <w:r>
        <w:rPr>
          <w:rFonts w:hint="eastAsia"/>
          <w:b/>
          <w:color w:val="000000" w:themeColor="text1"/>
          <w:sz w:val="24"/>
          <w:szCs w:val="24"/>
          <w:highlight w:val="none"/>
          <w14:textFill>
            <w14:solidFill>
              <w14:schemeClr w14:val="tx1"/>
            </w14:solidFill>
          </w14:textFill>
        </w:rPr>
        <w:t>详细填写相应的具体内容</w:t>
      </w:r>
      <w:r>
        <w:rPr>
          <w:rFonts w:hint="eastAsia"/>
          <w:color w:val="000000" w:themeColor="text1"/>
          <w:highlight w:val="none"/>
          <w14:textFill>
            <w14:solidFill>
              <w14:schemeClr w14:val="tx1"/>
            </w14:solidFill>
          </w14:textFill>
        </w:rPr>
        <w:t>。“偏离说明”一栏应当选择“正偏离”、“负偏离”或“无偏离”进行填写。</w:t>
      </w:r>
    </w:p>
    <w:tbl>
      <w:tblPr>
        <w:tblStyle w:val="33"/>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法定代表人或其委托代理人（签字或盖章）：</w:t>
            </w:r>
          </w:p>
        </w:tc>
      </w:tr>
    </w:tbl>
    <w:p>
      <w:pPr>
        <w:widowControl/>
        <w:jc w:val="left"/>
        <w:rPr>
          <w:color w:val="000000" w:themeColor="text1"/>
          <w:szCs w:val="20"/>
          <w:highlight w:val="none"/>
          <w:u w:val="single"/>
          <w14:textFill>
            <w14:solidFill>
              <w14:schemeClr w14:val="tx1"/>
            </w14:solidFill>
          </w14:textFill>
        </w:rPr>
      </w:pPr>
      <w:r>
        <w:rPr>
          <w:rFonts w:hint="eastAsia"/>
          <w:color w:val="000000" w:themeColor="text1"/>
          <w:szCs w:val="20"/>
          <w:highlight w:val="none"/>
          <w:u w:val="single"/>
          <w14:textFill>
            <w14:solidFill>
              <w14:schemeClr w14:val="tx1"/>
            </w14:solidFill>
          </w14:textFill>
        </w:rPr>
        <w:t>注：⑴表格内容均需按要求填写并盖章，不得留空，否则按投标无效处理。</w:t>
      </w:r>
    </w:p>
    <w:p>
      <w:pPr>
        <w:widowControl/>
        <w:jc w:val="left"/>
        <w:rPr>
          <w:color w:val="000000" w:themeColor="text1"/>
          <w:szCs w:val="20"/>
          <w:highlight w:val="none"/>
          <w:u w:val="single"/>
          <w14:textFill>
            <w14:solidFill>
              <w14:schemeClr w14:val="tx1"/>
            </w14:solidFill>
          </w14:textFill>
        </w:rPr>
      </w:pPr>
      <w:r>
        <w:rPr>
          <w:rFonts w:hint="eastAsia"/>
          <w:color w:val="000000" w:themeColor="text1"/>
          <w:szCs w:val="20"/>
          <w:highlight w:val="none"/>
          <w:u w:val="single"/>
          <w14:textFill>
            <w14:solidFill>
              <w14:schemeClr w14:val="tx1"/>
            </w14:solidFill>
          </w14:textFill>
        </w:rPr>
        <w:t>⑵如果招标文件需求为小于或大于某个数值标准时，投标文件承诺不得直接复制招标文件需求，投标文件承诺内容应当写明投标货物具体参数或商务响应承诺的具体数值，否则按投标无效处理。</w:t>
      </w:r>
    </w:p>
    <w:p>
      <w:pPr>
        <w:pStyle w:val="18"/>
        <w:rPr>
          <w:rFonts w:ascii="Times New Roman" w:hAnsi="Times New Roman"/>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⑶当投标文件的商务内容低于招标文件要求时，投标人应当如实写明“负偏离”，否则视为虚假应标。</w:t>
      </w:r>
    </w:p>
    <w:p>
      <w:pPr>
        <w:pStyle w:val="18"/>
        <w:spacing w:line="600" w:lineRule="exact"/>
        <w:rPr>
          <w:rFonts w:ascii="Times New Roman" w:hAnsi="Times New Roman"/>
          <w:color w:val="000000" w:themeColor="text1"/>
          <w:highlight w:val="none"/>
          <w14:textFill>
            <w14:solidFill>
              <w14:schemeClr w14:val="tx1"/>
            </w14:solidFill>
          </w14:textFill>
        </w:rPr>
      </w:pPr>
    </w:p>
    <w:p>
      <w:pPr>
        <w:pStyle w:val="18"/>
        <w:spacing w:line="6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br w:type="page"/>
      </w:r>
      <w:r>
        <w:rPr>
          <w:rFonts w:hint="eastAsia" w:ascii="Times New Roman" w:hAnsi="Times New Roman"/>
          <w:b/>
          <w:bCs/>
          <w:color w:val="000000" w:themeColor="text1"/>
          <w:sz w:val="30"/>
          <w:szCs w:val="30"/>
          <w:highlight w:val="none"/>
          <w14:textFill>
            <w14:solidFill>
              <w14:schemeClr w14:val="tx1"/>
            </w14:solidFill>
          </w14:textFill>
        </w:rPr>
        <w:t>法定代表人授权委托书（格式）</w:t>
      </w:r>
    </w:p>
    <w:p>
      <w:pPr>
        <w:pStyle w:val="18"/>
        <w:spacing w:line="500" w:lineRule="exact"/>
        <w:ind w:firstLine="420" w:firstLineChars="200"/>
        <w:rPr>
          <w:rFonts w:ascii="Times New Roman" w:hAnsi="Times New Roman"/>
          <w:color w:val="000000" w:themeColor="text1"/>
          <w:highlight w:val="none"/>
          <w:u w:val="single"/>
          <w14:textFill>
            <w14:solidFill>
              <w14:schemeClr w14:val="tx1"/>
            </w14:solidFill>
          </w14:textFill>
        </w:rPr>
      </w:pPr>
    </w:p>
    <w:p>
      <w:pPr>
        <w:pStyle w:val="18"/>
        <w:spacing w:line="360" w:lineRule="auto"/>
        <w:ind w:firstLine="435"/>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致：</w:t>
      </w:r>
      <w:r>
        <w:rPr>
          <w:rFonts w:hint="eastAsia" w:ascii="Times New Roman" w:hAnsi="Times New Roman"/>
          <w:color w:val="000000" w:themeColor="text1"/>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（采购代理机构名称）</w:t>
      </w:r>
    </w:p>
    <w:p>
      <w:pPr>
        <w:pStyle w:val="18"/>
        <w:spacing w:line="360" w:lineRule="auto"/>
        <w:ind w:firstLine="435"/>
        <w:rPr>
          <w:rFonts w:ascii="Times New Roman" w:hAnsi="Times New Roman"/>
          <w:color w:val="000000" w:themeColor="text1"/>
          <w:highlight w:val="none"/>
          <w14:textFill>
            <w14:solidFill>
              <w14:schemeClr w14:val="tx1"/>
            </w14:solidFill>
          </w14:textFill>
        </w:rPr>
      </w:pPr>
    </w:p>
    <w:p>
      <w:pPr>
        <w:pStyle w:val="18"/>
        <w:spacing w:line="360" w:lineRule="auto"/>
        <w:ind w:firstLine="435"/>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本人</w:t>
      </w:r>
      <w:r>
        <w:rPr>
          <w:rFonts w:hint="eastAsia" w:ascii="Times New Roman" w:hAnsi="Times New Roman"/>
          <w:color w:val="000000" w:themeColor="text1"/>
          <w:highlight w:val="none"/>
          <w:u w:val="single"/>
          <w14:textFill>
            <w14:solidFill>
              <w14:schemeClr w14:val="tx1"/>
            </w14:solidFill>
          </w14:textFill>
        </w:rPr>
        <w:t xml:space="preserve">    （姓名）    </w:t>
      </w:r>
      <w:r>
        <w:rPr>
          <w:rFonts w:hint="eastAsia" w:ascii="Times New Roman" w:hAnsi="Times New Roman"/>
          <w:color w:val="000000" w:themeColor="text1"/>
          <w:highlight w:val="none"/>
          <w14:textFill>
            <w14:solidFill>
              <w14:schemeClr w14:val="tx1"/>
            </w14:solidFill>
          </w14:textFill>
        </w:rPr>
        <w:t>系</w:t>
      </w:r>
      <w:r>
        <w:rPr>
          <w:rFonts w:hint="eastAsia" w:ascii="Times New Roman" w:hAnsi="Times New Roman"/>
          <w:color w:val="000000" w:themeColor="text1"/>
          <w:highlight w:val="none"/>
          <w:u w:val="single"/>
          <w14:textFill>
            <w14:solidFill>
              <w14:schemeClr w14:val="tx1"/>
            </w14:solidFill>
          </w14:textFill>
        </w:rPr>
        <w:t xml:space="preserve">     （投标人名称）     </w:t>
      </w:r>
      <w:r>
        <w:rPr>
          <w:rFonts w:hint="eastAsia" w:ascii="Times New Roman" w:hAnsi="Times New Roman"/>
          <w:color w:val="000000" w:themeColor="text1"/>
          <w:highlight w:val="none"/>
          <w14:textFill>
            <w14:solidFill>
              <w14:schemeClr w14:val="tx1"/>
            </w14:solidFill>
          </w14:textFill>
        </w:rPr>
        <w:t>的法定代表人，现授权我单位在职正式员工</w:t>
      </w:r>
      <w:r>
        <w:rPr>
          <w:rFonts w:hint="eastAsia" w:ascii="Times New Roman" w:hAnsi="Times New Roman"/>
          <w:color w:val="000000" w:themeColor="text1"/>
          <w:highlight w:val="none"/>
          <w:u w:val="single"/>
          <w14:textFill>
            <w14:solidFill>
              <w14:schemeClr w14:val="tx1"/>
            </w14:solidFill>
          </w14:textFill>
        </w:rPr>
        <w:t xml:space="preserve">    （姓名和职务）    </w:t>
      </w:r>
      <w:r>
        <w:rPr>
          <w:rFonts w:hint="eastAsia" w:ascii="Times New Roman" w:hAnsi="Times New Roman"/>
          <w:color w:val="000000" w:themeColor="text1"/>
          <w:highlight w:val="none"/>
          <w14:textFill>
            <w14:solidFill>
              <w14:schemeClr w14:val="tx1"/>
            </w14:solidFill>
          </w14:textFill>
        </w:rPr>
        <w:t>为我方代理人。代理人根据授权，以我方名义签署、澄清、说明、补正、递交、撤回、修改贵方组织的</w:t>
      </w:r>
      <w:r>
        <w:rPr>
          <w:rFonts w:hint="eastAsia" w:ascii="Times New Roman" w:hAnsi="Times New Roman"/>
          <w:color w:val="000000" w:themeColor="text1"/>
          <w:highlight w:val="none"/>
          <w:u w:val="single"/>
          <w14:textFill>
            <w14:solidFill>
              <w14:schemeClr w14:val="tx1"/>
            </w14:solidFill>
          </w14:textFill>
        </w:rPr>
        <w:t xml:space="preserve">   （项目名称）     </w:t>
      </w:r>
      <w:r>
        <w:rPr>
          <w:rFonts w:hint="eastAsia" w:ascii="Times New Roman" w:hAnsi="Times New Roman"/>
          <w:color w:val="000000" w:themeColor="text1"/>
          <w:highlight w:val="none"/>
          <w14:textFill>
            <w14:solidFill>
              <w14:schemeClr w14:val="tx1"/>
            </w14:solidFill>
          </w14:textFill>
        </w:rPr>
        <w:t>（项目编号：</w:t>
      </w:r>
      <w:r>
        <w:rPr>
          <w:rFonts w:hint="eastAsia" w:ascii="Times New Roman" w:hAnsi="Times New Roman"/>
          <w:color w:val="000000" w:themeColor="text1"/>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）项目的投标文件、签订合同和处理一切有关事宜，其法律后果由我方承担。</w:t>
      </w:r>
    </w:p>
    <w:p>
      <w:pPr>
        <w:pStyle w:val="18"/>
        <w:spacing w:line="360" w:lineRule="auto"/>
        <w:ind w:firstLine="435"/>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本授权书于</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年</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月</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日签字生效，委托期限：</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w:t>
      </w:r>
    </w:p>
    <w:p>
      <w:pPr>
        <w:pStyle w:val="18"/>
        <w:spacing w:line="360" w:lineRule="auto"/>
        <w:ind w:firstLine="42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代理人无转委托权。</w:t>
      </w:r>
    </w:p>
    <w:p>
      <w:pPr>
        <w:pStyle w:val="18"/>
        <w:spacing w:line="360" w:lineRule="auto"/>
        <w:ind w:firstLine="420"/>
        <w:rPr>
          <w:rFonts w:ascii="Times New Roman" w:hAnsi="Times New Roman"/>
          <w:color w:val="000000" w:themeColor="text1"/>
          <w:highlight w:val="none"/>
          <w14:textFill>
            <w14:solidFill>
              <w14:schemeClr w14:val="tx1"/>
            </w14:solidFill>
          </w14:textFill>
        </w:rPr>
      </w:pP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投标人（盖单位公章）：</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法定代表人（签字）：</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法定代表人身份证号码：</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委托代理人（签字）：</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委托代理人身份证号码：</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jc w:val="center"/>
        <w:rPr>
          <w:rFonts w:ascii="Times New Roman" w:hAnsi="Times New Roman"/>
          <w:b/>
          <w:color w:val="000000" w:themeColor="text1"/>
          <w:sz w:val="30"/>
          <w:szCs w:val="30"/>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ascii="Times New Roman" w:hAnsi="Times New Roman"/>
          <w:b/>
          <w:color w:val="000000" w:themeColor="text1"/>
          <w:sz w:val="30"/>
          <w:szCs w:val="30"/>
          <w:highlight w:val="none"/>
          <w14:textFill>
            <w14:solidFill>
              <w14:schemeClr w14:val="tx1"/>
            </w14:solidFill>
          </w14:textFill>
        </w:rPr>
        <w:t>资格声明函（格式）</w:t>
      </w:r>
    </w:p>
    <w:p>
      <w:pPr>
        <w:pStyle w:val="18"/>
        <w:jc w:val="center"/>
        <w:rPr>
          <w:rFonts w:ascii="Times New Roman" w:hAnsi="Times New Roman"/>
          <w:b/>
          <w:color w:val="000000" w:themeColor="text1"/>
          <w:sz w:val="30"/>
          <w:szCs w:val="30"/>
          <w:highlight w:val="none"/>
          <w14:textFill>
            <w14:solidFill>
              <w14:schemeClr w14:val="tx1"/>
            </w14:solidFill>
          </w14:textFill>
        </w:rPr>
      </w:pPr>
    </w:p>
    <w:p>
      <w:pPr>
        <w:tabs>
          <w:tab w:val="left" w:pos="7200"/>
        </w:tabs>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致：</w:t>
      </w:r>
      <w:r>
        <w:rPr>
          <w:rFonts w:hAnsi="宋体"/>
          <w:color w:val="000000" w:themeColor="text1"/>
          <w:highlight w:val="none"/>
          <w14:textFill>
            <w14:solidFill>
              <w14:schemeClr w14:val="tx1"/>
            </w14:solidFill>
          </w14:textFill>
        </w:rPr>
        <w:t>_</w:t>
      </w:r>
      <w:r>
        <w:rPr>
          <w:rFonts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（采购代理机构名称）</w:t>
      </w:r>
    </w:p>
    <w:p>
      <w:pPr>
        <w:tabs>
          <w:tab w:val="left" w:pos="720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我方愿意参加贵方组织的</w:t>
      </w:r>
      <w:r>
        <w:rPr>
          <w:rFonts w:hAnsi="宋体"/>
          <w:color w:val="000000" w:themeColor="text1"/>
          <w:highlight w:val="none"/>
          <w14:textFill>
            <w14:solidFill>
              <w14:schemeClr w14:val="tx1"/>
            </w14:solidFill>
          </w14:textFill>
        </w:rPr>
        <w:t>_</w:t>
      </w:r>
      <w:r>
        <w:rPr>
          <w:rFonts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项目名称</w:t>
      </w:r>
      <w:r>
        <w:rPr>
          <w:rFonts w:hAnsi="宋体"/>
          <w:color w:val="000000" w:themeColor="text1"/>
          <w:highlight w:val="none"/>
          <w:u w:val="single"/>
          <w14:textFill>
            <w14:solidFill>
              <w14:schemeClr w14:val="tx1"/>
            </w14:solidFill>
          </w14:textFill>
        </w:rPr>
        <w:t xml:space="preserve">)         _    </w:t>
      </w:r>
      <w:r>
        <w:rPr>
          <w:rFonts w:hAnsi="宋体"/>
          <w:color w:val="000000" w:themeColor="text1"/>
          <w:highlight w:val="none"/>
          <w14:textFill>
            <w14:solidFill>
              <w14:schemeClr w14:val="tx1"/>
            </w14:solidFill>
          </w14:textFill>
        </w:rPr>
        <w:t>_</w:t>
      </w:r>
      <w:r>
        <w:rPr>
          <w:rFonts w:hint="eastAsia" w:hAnsi="宋体"/>
          <w:color w:val="000000" w:themeColor="text1"/>
          <w:highlight w:val="none"/>
          <w14:textFill>
            <w14:solidFill>
              <w14:schemeClr w14:val="tx1"/>
            </w14:solidFill>
          </w14:textFill>
        </w:rPr>
        <w:t>（项目编号：</w:t>
      </w:r>
      <w:r>
        <w:rPr>
          <w:rFonts w:hAnsi="宋体"/>
          <w:color w:val="000000" w:themeColor="text1"/>
          <w:highlight w:val="non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）项目的投标，为便于贵方公正、择优地确定中标人，我方就本次投标有关事项郑重声明如下：</w:t>
      </w:r>
    </w:p>
    <w:p>
      <w:pPr>
        <w:pStyle w:val="18"/>
        <w:spacing w:line="440" w:lineRule="exact"/>
        <w:ind w:firstLine="48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1.我方承诺已经具备《中华人民共和国政府采购法》中规定的参加政府采购活动的供应商应当具备的条件：</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（1）具有独立承担民事责任的能力；</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（2）具有良好的商业信誉和健全的财务会计制度；</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（3）具有履行合同所必需的设备和专业技术能力；</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（4）有依法缴纳税收和社会保障资金的良好记录；</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（5）参加政府采购活动前三年内，在经营活动中没有重大违法记录；</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（6）法律、行政法规规定的其他条件。</w:t>
      </w:r>
    </w:p>
    <w:p>
      <w:pPr>
        <w:tabs>
          <w:tab w:val="left" w:pos="7200"/>
        </w:tabs>
        <w:spacing w:line="360" w:lineRule="auto"/>
        <w:ind w:firstLine="420" w:firstLineChars="200"/>
        <w:rPr>
          <w:rFonts w:hAnsi="宋体"/>
          <w:color w:val="000000" w:themeColor="text1"/>
          <w:highlight w:val="none"/>
          <w:u w:val="single"/>
          <w14:textFill>
            <w14:solidFill>
              <w14:schemeClr w14:val="tx1"/>
            </w14:solidFill>
          </w14:textFill>
        </w:rPr>
      </w:pPr>
      <w:r>
        <w:rPr>
          <w:rFonts w:hAnsi="宋体"/>
          <w:color w:val="000000" w:themeColor="text1"/>
          <w:highlight w:val="none"/>
          <w14:textFill>
            <w14:solidFill>
              <w14:schemeClr w14:val="tx1"/>
            </w14:solidFill>
          </w14:textFill>
        </w:rPr>
        <w:t xml:space="preserve">2. </w:t>
      </w:r>
      <w:r>
        <w:rPr>
          <w:rFonts w:hint="eastAsia" w:hAnsi="宋体"/>
          <w:color w:val="000000" w:themeColor="text1"/>
          <w:highlight w:val="none"/>
          <w14:textFill>
            <w14:solidFill>
              <w14:schemeClr w14:val="tx1"/>
            </w14:solidFill>
          </w14:textFill>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000000" w:themeColor="text1"/>
          <w:highlight w:val="none"/>
          <w14:textFill>
            <w14:solidFill>
              <w14:schemeClr w14:val="tx1"/>
            </w14:solidFill>
          </w14:textFill>
        </w:rPr>
      </w:pPr>
    </w:p>
    <w:p>
      <w:pPr>
        <w:tabs>
          <w:tab w:val="left" w:pos="720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w:t>
      </w:r>
    </w:p>
    <w:p>
      <w:pPr>
        <w:spacing w:line="36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spacing w:line="36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hAnsi="宋体"/>
          <w:color w:val="000000" w:themeColor="text1"/>
          <w:highlight w:val="none"/>
          <w14:textFill>
            <w14:solidFill>
              <w14:schemeClr w14:val="tx1"/>
            </w14:solidFill>
          </w14:textFill>
        </w:rPr>
      </w:pPr>
    </w:p>
    <w:p>
      <w:pPr>
        <w:tabs>
          <w:tab w:val="left" w:pos="7200"/>
        </w:tabs>
        <w:spacing w:line="360" w:lineRule="auto"/>
        <w:ind w:firstLine="839" w:firstLineChars="398"/>
        <w:rPr>
          <w:rFonts w:hAnsi="宋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 xml:space="preserve">投标人（盖单位公章）：                     </w:t>
      </w:r>
    </w:p>
    <w:p>
      <w:pPr>
        <w:tabs>
          <w:tab w:val="left" w:pos="7200"/>
        </w:tabs>
        <w:spacing w:line="360" w:lineRule="auto"/>
        <w:ind w:firstLine="2947" w:firstLineChars="1398"/>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 xml:space="preserve">法定代表人或其委托代理人（签字或盖章）：                  </w:t>
      </w:r>
      <w:r>
        <w:rPr>
          <w:rFonts w:hAnsi="宋体"/>
          <w:b/>
          <w:color w:val="000000" w:themeColor="text1"/>
          <w:highlight w:val="none"/>
          <w14:textFill>
            <w14:solidFill>
              <w14:schemeClr w14:val="tx1"/>
            </w14:solidFill>
          </w14:textFill>
        </w:rPr>
        <w:t xml:space="preserve">               </w:t>
      </w:r>
    </w:p>
    <w:p>
      <w:pPr>
        <w:tabs>
          <w:tab w:val="left" w:pos="7200"/>
        </w:tabs>
        <w:spacing w:line="360" w:lineRule="auto"/>
        <w:ind w:firstLine="839" w:firstLineChars="398"/>
        <w:rPr>
          <w:rFonts w:hAnsi="宋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年</w:t>
      </w: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月</w:t>
      </w: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日</w:t>
      </w:r>
    </w:p>
    <w:p>
      <w:pPr>
        <w:spacing w:before="165" w:after="50"/>
        <w:jc w:val="center"/>
        <w:rPr>
          <w:color w:val="000000" w:themeColor="text1"/>
          <w:spacing w:val="20"/>
          <w:highlight w:val="none"/>
          <w14:textFill>
            <w14:solidFill>
              <w14:schemeClr w14:val="tx1"/>
            </w14:solidFill>
          </w14:textFill>
        </w:rPr>
      </w:pPr>
      <w:r>
        <w:rPr>
          <w:rFonts w:hint="eastAsia"/>
          <w:color w:val="000000" w:themeColor="text1"/>
          <w:spacing w:val="20"/>
          <w:highlight w:val="none"/>
          <w14:textFill>
            <w14:solidFill>
              <w14:schemeClr w14:val="tx1"/>
            </w14:solidFill>
          </w14:textFill>
        </w:rPr>
        <w:br w:type="page"/>
      </w: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bookmarkStart w:id="83" w:name="_Toc272"/>
      <w:r>
        <w:rPr>
          <w:rFonts w:hint="eastAsia"/>
          <w:color w:val="000000" w:themeColor="text1"/>
          <w:sz w:val="36"/>
          <w:szCs w:val="36"/>
          <w:highlight w:val="none"/>
          <w14:textFill>
            <w14:solidFill>
              <w14:schemeClr w14:val="tx1"/>
            </w14:solidFill>
          </w14:textFill>
        </w:rPr>
        <w:t>第六章  合同条款及格式</w:t>
      </w:r>
      <w:bookmarkEnd w:id="83"/>
    </w:p>
    <w:p>
      <w:pPr>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tabs>
          <w:tab w:val="left" w:pos="7380"/>
        </w:tabs>
        <w:spacing w:line="360" w:lineRule="auto"/>
        <w:jc w:val="center"/>
        <w:rPr>
          <w:rFonts w:ascii="宋体"/>
          <w:b/>
          <w:bCs/>
          <w:color w:val="000000" w:themeColor="text1"/>
          <w:sz w:val="44"/>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目</w:t>
      </w:r>
      <w:r>
        <w:rPr>
          <w:b/>
          <w:color w:val="000000" w:themeColor="text1"/>
          <w:sz w:val="36"/>
          <w:szCs w:val="36"/>
          <w:highlight w:val="none"/>
          <w14:textFill>
            <w14:solidFill>
              <w14:schemeClr w14:val="tx1"/>
            </w14:solidFill>
          </w14:textFill>
        </w:rPr>
        <w:t xml:space="preserve">  </w:t>
      </w:r>
      <w:r>
        <w:rPr>
          <w:rFonts w:hint="eastAsia"/>
          <w:b/>
          <w:color w:val="000000" w:themeColor="text1"/>
          <w:sz w:val="36"/>
          <w:szCs w:val="36"/>
          <w:highlight w:val="none"/>
          <w14:textFill>
            <w14:solidFill>
              <w14:schemeClr w14:val="tx1"/>
            </w14:solidFill>
          </w14:textFill>
        </w:rPr>
        <w:t>录</w:t>
      </w:r>
    </w:p>
    <w:p>
      <w:pPr>
        <w:tabs>
          <w:tab w:val="left" w:pos="1170"/>
        </w:tabs>
        <w:spacing w:line="360" w:lineRule="auto"/>
        <w:ind w:left="359" w:leftChars="171" w:firstLine="198" w:firstLineChars="71"/>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ab/>
      </w:r>
    </w:p>
    <w:p>
      <w:pP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一、南宁市政府采购合同书</w:t>
      </w:r>
    </w:p>
    <w:p>
      <w:pP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二、合同附件</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1、中标通知书</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2、招标文件服务需求一览表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3、招标文件的</w:t>
      </w:r>
      <w:r>
        <w:rPr>
          <w:rFonts w:hint="eastAsia" w:hAnsi="宋体"/>
          <w:color w:val="000000" w:themeColor="text1"/>
          <w:sz w:val="28"/>
          <w:highlight w:val="none"/>
          <w14:textFill>
            <w14:solidFill>
              <w14:schemeClr w14:val="tx1"/>
            </w14:solidFill>
          </w14:textFill>
        </w:rPr>
        <w:t>更改通知（如有）</w:t>
      </w:r>
    </w:p>
    <w:p>
      <w:pPr>
        <w:ind w:firstLine="560" w:firstLineChars="200"/>
        <w:rPr>
          <w:rFonts w:ascii="宋体" w:hAnsi="宋体"/>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4</w:t>
      </w:r>
      <w:r>
        <w:rPr>
          <w:rFonts w:hint="eastAsia"/>
          <w:color w:val="000000" w:themeColor="text1"/>
          <w:sz w:val="28"/>
          <w:szCs w:val="28"/>
          <w:highlight w:val="none"/>
          <w14:textFill>
            <w14:solidFill>
              <w14:schemeClr w14:val="tx1"/>
            </w14:solidFill>
          </w14:textFill>
        </w:rPr>
        <w:t>、投标函</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5、报价表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6、投标服务技术资料表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7、商务条款偏离表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8、中标供应商澄清函</w:t>
      </w:r>
      <w:r>
        <w:rPr>
          <w:rFonts w:hint="eastAsia"/>
          <w:color w:val="000000" w:themeColor="text1"/>
          <w:sz w:val="28"/>
          <w:szCs w:val="28"/>
          <w:highlight w:val="none"/>
          <w14:textFill>
            <w14:solidFill>
              <w14:schemeClr w14:val="tx1"/>
            </w14:solidFill>
          </w14:textFill>
        </w:rPr>
        <w:t>（如有请提</w:t>
      </w:r>
      <w:r>
        <w:rPr>
          <w:rFonts w:hint="eastAsia"/>
          <w:color w:val="000000" w:themeColor="text1"/>
          <w:sz w:val="30"/>
          <w:szCs w:val="30"/>
          <w:highlight w:val="none"/>
          <w14:textFill>
            <w14:solidFill>
              <w14:schemeClr w14:val="tx1"/>
            </w14:solidFill>
          </w14:textFill>
        </w:rPr>
        <w:t>供</w:t>
      </w:r>
      <w:r>
        <w:rPr>
          <w:rFonts w:hint="eastAsia"/>
          <w:color w:val="000000" w:themeColor="text1"/>
          <w:sz w:val="28"/>
          <w:szCs w:val="28"/>
          <w:highlight w:val="none"/>
          <w14:textFill>
            <w14:solidFill>
              <w14:schemeClr w14:val="tx1"/>
            </w14:solidFill>
          </w14:textFill>
        </w:rPr>
        <w:t>）</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10、其他与本合同相关的资料</w:t>
      </w:r>
      <w:r>
        <w:rPr>
          <w:rFonts w:hint="eastAsia"/>
          <w:color w:val="000000" w:themeColor="text1"/>
          <w:sz w:val="28"/>
          <w:szCs w:val="28"/>
          <w:highlight w:val="none"/>
          <w14:textFill>
            <w14:solidFill>
              <w14:schemeClr w14:val="tx1"/>
            </w14:solidFill>
          </w14:textFill>
        </w:rPr>
        <w:t>（如有请提</w:t>
      </w:r>
      <w:r>
        <w:rPr>
          <w:rFonts w:hint="eastAsia"/>
          <w:color w:val="000000" w:themeColor="text1"/>
          <w:sz w:val="30"/>
          <w:szCs w:val="30"/>
          <w:highlight w:val="none"/>
          <w14:textFill>
            <w14:solidFill>
              <w14:schemeClr w14:val="tx1"/>
            </w14:solidFill>
          </w14:textFill>
        </w:rPr>
        <w:t>供</w:t>
      </w:r>
      <w:r>
        <w:rPr>
          <w:rFonts w:hint="eastAsia"/>
          <w:color w:val="000000" w:themeColor="text1"/>
          <w:sz w:val="28"/>
          <w:szCs w:val="28"/>
          <w:highlight w:val="none"/>
          <w14:textFill>
            <w14:solidFill>
              <w14:schemeClr w14:val="tx1"/>
            </w14:solidFill>
          </w14:textFill>
        </w:rPr>
        <w:t>）</w:t>
      </w:r>
    </w:p>
    <w:p>
      <w:pPr>
        <w:rPr>
          <w:b/>
          <w:color w:val="000000" w:themeColor="text1"/>
          <w:sz w:val="30"/>
          <w:szCs w:val="30"/>
          <w:highlight w:val="none"/>
          <w14:textFill>
            <w14:solidFill>
              <w14:schemeClr w14:val="tx1"/>
            </w14:solidFill>
          </w14:textFill>
        </w:rPr>
      </w:pPr>
    </w:p>
    <w:p>
      <w:pPr>
        <w:spacing w:line="360" w:lineRule="auto"/>
        <w:jc w:val="center"/>
        <w:rPr>
          <w:rFonts w:ascii="宋体" w:hAnsi="宋体"/>
          <w:b/>
          <w:bCs/>
          <w:color w:val="000000" w:themeColor="text1"/>
          <w:sz w:val="28"/>
          <w:highlight w:val="none"/>
          <w14:textFill>
            <w14:solidFill>
              <w14:schemeClr w14:val="tx1"/>
            </w14:solidFill>
          </w14:textFill>
        </w:rPr>
      </w:pPr>
    </w:p>
    <w:p>
      <w:pPr>
        <w:spacing w:line="360" w:lineRule="auto"/>
        <w:jc w:val="center"/>
        <w:rPr>
          <w:rFonts w:ascii="宋体" w:hAnsi="宋体"/>
          <w:b/>
          <w:bCs/>
          <w:color w:val="000000" w:themeColor="text1"/>
          <w:sz w:val="30"/>
          <w:szCs w:val="30"/>
          <w:highlight w:val="none"/>
          <w14:textFill>
            <w14:solidFill>
              <w14:schemeClr w14:val="tx1"/>
            </w14:solidFill>
          </w14:textFill>
        </w:rPr>
      </w:pPr>
      <w:r>
        <w:rPr>
          <w:rFonts w:hint="eastAsia" w:ascii="宋体" w:hAnsi="宋体"/>
          <w:bCs/>
          <w:color w:val="000000" w:themeColor="text1"/>
          <w:sz w:val="28"/>
          <w:highlight w:val="none"/>
          <w14:textFill>
            <w14:solidFill>
              <w14:schemeClr w14:val="tx1"/>
            </w14:solidFill>
          </w14:textFill>
        </w:rPr>
        <w:br w:type="page"/>
      </w:r>
      <w:r>
        <w:rPr>
          <w:rFonts w:hint="eastAsia"/>
          <w:b/>
          <w:color w:val="000000" w:themeColor="text1"/>
          <w:sz w:val="30"/>
          <w:szCs w:val="30"/>
          <w:highlight w:val="none"/>
          <w14:textFill>
            <w14:solidFill>
              <w14:schemeClr w14:val="tx1"/>
            </w14:solidFill>
          </w14:textFill>
        </w:rPr>
        <w:t>南宁市政府采购合同书</w:t>
      </w:r>
    </w:p>
    <w:p>
      <w:pPr>
        <w:pStyle w:val="18"/>
        <w:spacing w:line="360" w:lineRule="auto"/>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项目名称：</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项目编号：</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分标号（有分标时填写）：</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甲方（买方）：</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乙方（卖方）：</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 xml:space="preserve">    </w:t>
      </w:r>
    </w:p>
    <w:p>
      <w:pPr>
        <w:pStyle w:val="18"/>
        <w:spacing w:line="360" w:lineRule="auto"/>
        <w:ind w:firstLine="420" w:firstLineChars="200"/>
        <w:rPr>
          <w:rFonts w:hAnsi="宋体"/>
          <w:b/>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根据</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月</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日南宁市政府采购项目的采购结果，甲方接受乙方对本项目的投标，甲、乙双方同意签署本合同（以下简称合同）。</w:t>
      </w:r>
    </w:p>
    <w:p>
      <w:pPr>
        <w:pStyle w:val="18"/>
        <w:spacing w:line="360" w:lineRule="auto"/>
        <w:rPr>
          <w:rFonts w:hAnsi="宋体"/>
          <w:b/>
          <w:color w:val="000000" w:themeColor="text1"/>
          <w:highlight w:val="none"/>
          <w14:textFill>
            <w14:solidFill>
              <w14:schemeClr w14:val="tx1"/>
            </w14:solidFill>
          </w14:textFill>
        </w:rPr>
      </w:pP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  采购内容</w:t>
      </w:r>
    </w:p>
    <w:p>
      <w:pPr>
        <w:pStyle w:val="18"/>
        <w:tabs>
          <w:tab w:val="left" w:pos="5220"/>
        </w:tabs>
        <w:spacing w:line="360" w:lineRule="auto"/>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1.1 服务名称：</w:t>
      </w:r>
      <w:r>
        <w:rPr>
          <w:rFonts w:hint="eastAsia" w:hAnsi="宋体"/>
          <w:color w:val="000000" w:themeColor="text1"/>
          <w:highlight w:val="none"/>
          <w:u w:val="single"/>
          <w14:textFill>
            <w14:solidFill>
              <w14:schemeClr w14:val="tx1"/>
            </w14:solidFill>
          </w14:textFill>
        </w:rPr>
        <w:t>详见合同附件中报价表</w:t>
      </w:r>
    </w:p>
    <w:p>
      <w:pPr>
        <w:pStyle w:val="18"/>
        <w:tabs>
          <w:tab w:val="left" w:pos="522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1.2 数量：</w:t>
      </w:r>
      <w:r>
        <w:rPr>
          <w:rFonts w:hint="eastAsia" w:hAnsi="宋体"/>
          <w:color w:val="000000" w:themeColor="text1"/>
          <w:highlight w:val="none"/>
          <w:u w:val="single"/>
          <w14:textFill>
            <w14:solidFill>
              <w14:schemeClr w14:val="tx1"/>
            </w14:solidFill>
          </w14:textFill>
        </w:rPr>
        <w:t>详见合同附件中报价表</w:t>
      </w:r>
    </w:p>
    <w:p>
      <w:pPr>
        <w:pStyle w:val="18"/>
        <w:tabs>
          <w:tab w:val="left" w:pos="522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1.2 </w:t>
      </w:r>
      <w:r>
        <w:rPr>
          <w:rFonts w:hint="eastAsia"/>
          <w:color w:val="000000" w:themeColor="text1"/>
          <w:szCs w:val="21"/>
          <w:highlight w:val="none"/>
          <w14:textFill>
            <w14:solidFill>
              <w14:schemeClr w14:val="tx1"/>
            </w14:solidFill>
          </w14:textFill>
        </w:rPr>
        <w:t>服务内容及要求</w:t>
      </w:r>
      <w:r>
        <w:rPr>
          <w:rFonts w:hint="eastAsia" w:ascii="Times New Roman" w:hAnsi="Times New Roman"/>
          <w:color w:val="000000" w:themeColor="text1"/>
          <w:highlight w:val="none"/>
          <w14:textFill>
            <w14:solidFill>
              <w14:schemeClr w14:val="tx1"/>
            </w14:solidFill>
          </w14:textFill>
        </w:rPr>
        <w:t>：</w:t>
      </w:r>
      <w:r>
        <w:rPr>
          <w:rFonts w:hint="eastAsia" w:hAnsi="宋体"/>
          <w:color w:val="000000" w:themeColor="text1"/>
          <w:highlight w:val="none"/>
          <w:u w:val="single"/>
          <w14:textFill>
            <w14:solidFill>
              <w14:schemeClr w14:val="tx1"/>
            </w14:solidFill>
          </w14:textFill>
        </w:rPr>
        <w:t>详见合同附件中投标服务技术资料表</w:t>
      </w:r>
    </w:p>
    <w:p>
      <w:pPr>
        <w:pStyle w:val="18"/>
        <w:tabs>
          <w:tab w:val="left" w:pos="5145"/>
        </w:tabs>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2.  合同金额</w:t>
      </w:r>
    </w:p>
    <w:p>
      <w:pPr>
        <w:pStyle w:val="18"/>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2.1 本合同金额为（大写）人民币</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元）。（详见报价表）</w:t>
      </w:r>
    </w:p>
    <w:p>
      <w:pPr>
        <w:pStyle w:val="18"/>
        <w:tabs>
          <w:tab w:val="left" w:pos="5940"/>
        </w:tabs>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3.  提交服务成果时间和地点</w:t>
      </w:r>
    </w:p>
    <w:p>
      <w:pPr>
        <w:pStyle w:val="18"/>
        <w:tabs>
          <w:tab w:val="left" w:pos="5250"/>
          <w:tab w:val="left" w:pos="5940"/>
        </w:tabs>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 xml:space="preserve">3.1 </w:t>
      </w:r>
      <w:r>
        <w:rPr>
          <w:rFonts w:hint="eastAsia"/>
          <w:bCs/>
          <w:color w:val="000000" w:themeColor="text1"/>
          <w:highlight w:val="none"/>
          <w14:textFill>
            <w14:solidFill>
              <w14:schemeClr w14:val="tx1"/>
            </w14:solidFill>
          </w14:textFill>
        </w:rPr>
        <w:t>提交服务成果时间</w:t>
      </w:r>
      <w:r>
        <w:rPr>
          <w:rFonts w:hint="eastAsia" w:hAnsi="宋体"/>
          <w:bCs/>
          <w:color w:val="000000" w:themeColor="text1"/>
          <w:highlight w:val="none"/>
          <w14:textFill>
            <w14:solidFill>
              <w14:schemeClr w14:val="tx1"/>
            </w14:solidFill>
          </w14:textFill>
        </w:rPr>
        <w:t>：</w:t>
      </w:r>
      <w:r>
        <w:rPr>
          <w:rFonts w:hint="eastAsia" w:hAnsi="宋体"/>
          <w:color w:val="000000" w:themeColor="text1"/>
          <w:highlight w:val="none"/>
          <w:u w:val="single"/>
          <w14:textFill>
            <w14:solidFill>
              <w14:schemeClr w14:val="tx1"/>
            </w14:solidFill>
          </w14:textFill>
        </w:rPr>
        <w:t xml:space="preserve">                        </w:t>
      </w:r>
    </w:p>
    <w:p>
      <w:pPr>
        <w:pStyle w:val="18"/>
        <w:tabs>
          <w:tab w:val="left" w:pos="5940"/>
        </w:tabs>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 xml:space="preserve">3.2 </w:t>
      </w:r>
      <w:r>
        <w:rPr>
          <w:rFonts w:hint="eastAsia"/>
          <w:bCs/>
          <w:color w:val="000000" w:themeColor="text1"/>
          <w:highlight w:val="none"/>
          <w14:textFill>
            <w14:solidFill>
              <w14:schemeClr w14:val="tx1"/>
            </w14:solidFill>
          </w14:textFill>
        </w:rPr>
        <w:t>提交服务成果</w:t>
      </w:r>
      <w:r>
        <w:rPr>
          <w:rFonts w:hint="eastAsia" w:hAnsi="宋体"/>
          <w:bCs/>
          <w:color w:val="000000" w:themeColor="text1"/>
          <w:highlight w:val="none"/>
          <w14:textFill>
            <w14:solidFill>
              <w14:schemeClr w14:val="tx1"/>
            </w14:solidFill>
          </w14:textFill>
        </w:rPr>
        <w:t>地点：</w:t>
      </w:r>
      <w:r>
        <w:rPr>
          <w:rFonts w:hint="eastAsia" w:hAnsi="宋体"/>
          <w:color w:val="000000" w:themeColor="text1"/>
          <w:highlight w:val="none"/>
          <w:u w:val="single"/>
          <w14:textFill>
            <w14:solidFill>
              <w14:schemeClr w14:val="tx1"/>
            </w14:solidFill>
          </w14:textFill>
        </w:rPr>
        <w:t xml:space="preserve">                        </w:t>
      </w:r>
    </w:p>
    <w:p>
      <w:pPr>
        <w:pStyle w:val="18"/>
        <w:tabs>
          <w:tab w:val="left" w:pos="5940"/>
        </w:tabs>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 xml:space="preserve">3.3 </w:t>
      </w:r>
      <w:r>
        <w:rPr>
          <w:rFonts w:hint="eastAsia" w:hAnsi="宋体"/>
          <w:color w:val="000000" w:themeColor="text1"/>
          <w:highlight w:val="none"/>
          <w14:textFill>
            <w14:solidFill>
              <w14:schemeClr w14:val="tx1"/>
            </w14:solidFill>
          </w14:textFill>
        </w:rPr>
        <w:t>乙方必须按投标文件承诺的服务响应条款向甲方提供服务。</w:t>
      </w:r>
    </w:p>
    <w:p>
      <w:pPr>
        <w:pStyle w:val="18"/>
        <w:spacing w:line="360" w:lineRule="auto"/>
        <w:ind w:left="410" w:hanging="410" w:hangingChars="170"/>
        <w:rPr>
          <w:rFonts w:hAnsi="宋体"/>
          <w:b/>
          <w:color w:val="000000" w:themeColor="text1"/>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4.  履约保证金</w:t>
      </w:r>
    </w:p>
    <w:p>
      <w:pPr>
        <w:pStyle w:val="18"/>
        <w:spacing w:line="360" w:lineRule="auto"/>
        <w:ind w:left="359" w:hanging="359" w:hangingChars="171"/>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本项目无须交纳履约保证金。</w:t>
      </w:r>
    </w:p>
    <w:p>
      <w:pPr>
        <w:pStyle w:val="18"/>
        <w:spacing w:line="360" w:lineRule="auto"/>
        <w:ind w:left="412" w:hanging="412" w:hangingChars="171"/>
        <w:rPr>
          <w:rFonts w:hAnsi="宋体"/>
          <w:b/>
          <w:color w:val="000000" w:themeColor="text1"/>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5.  产权</w:t>
      </w:r>
    </w:p>
    <w:p>
      <w:pPr>
        <w:pStyle w:val="18"/>
        <w:spacing w:line="360" w:lineRule="auto"/>
        <w:ind w:firstLine="420" w:firstLineChars="200"/>
        <w:rPr>
          <w:rFonts w:hAnsi="宋体"/>
          <w:b/>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5.1 </w:t>
      </w:r>
      <w:r>
        <w:rPr>
          <w:rFonts w:hint="eastAsia" w:ascii="Times New Roman" w:hAnsi="Times New Roman"/>
          <w:color w:val="000000" w:themeColor="text1"/>
          <w:highlight w:val="none"/>
          <w14:textFill>
            <w14:solidFill>
              <w14:schemeClr w14:val="tx1"/>
            </w14:solidFill>
          </w14:textFill>
        </w:rPr>
        <w:t>乙方应保证所提供的服务或其任何一部分均不会侵犯任何第三方的专利权、商标权或著作权</w:t>
      </w:r>
      <w:r>
        <w:rPr>
          <w:rFonts w:hint="eastAsia" w:hAnsi="宋体"/>
          <w:bCs/>
          <w:color w:val="000000" w:themeColor="text1"/>
          <w:highlight w:val="none"/>
          <w14:textFill>
            <w14:solidFill>
              <w14:schemeClr w14:val="tx1"/>
            </w14:solidFill>
          </w14:textFill>
        </w:rPr>
        <w:t>。</w:t>
      </w:r>
    </w:p>
    <w:p>
      <w:pPr>
        <w:pStyle w:val="18"/>
        <w:spacing w:line="360" w:lineRule="auto"/>
        <w:ind w:firstLine="420" w:firstLineChars="200"/>
        <w:rPr>
          <w:rFonts w:hAnsi="宋体"/>
          <w:b/>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8"/>
        <w:spacing w:line="360" w:lineRule="auto"/>
        <w:rPr>
          <w:rFonts w:hAnsi="宋体"/>
          <w:b/>
          <w:color w:val="000000" w:themeColor="text1"/>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6.  技术资料</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6.1 甲方应向乙方提供提交服务成果所必需的有关数据、资料等。</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7.  验收</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7.1 乙方应对提交的服务成果作出全面检查和整理，并列出清单，作为甲方验收和使用的技术条件依据，清单应随提交的服务成果交给甲方。</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7.2 乙方在指定地点提交服务成果后，甲方应在5个工作日内依据招标文件、乙方的投标文件等组织验收，验收完毕后作出书面验收报告。验收时乙方必须在现场。</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7.3 对复杂的服务，甲方可请国家认可的专业机构参与验收，并由其出具验收报告，相关费用由甲方承担。</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cs="宋体"/>
          <w:color w:val="000000" w:themeColor="text1"/>
          <w:szCs w:val="28"/>
          <w:highlight w:val="none"/>
          <w14:textFill>
            <w14:solidFill>
              <w14:schemeClr w14:val="tx1"/>
            </w14:solidFill>
          </w14:textFill>
        </w:rPr>
        <w:t>7.4</w:t>
      </w:r>
      <w:r>
        <w:rPr>
          <w:rFonts w:hint="eastAsia" w:hAnsi="宋体"/>
          <w:color w:val="000000" w:themeColor="text1"/>
          <w:highlight w:val="none"/>
          <w14:textFill>
            <w14:solidFill>
              <w14:schemeClr w14:val="tx1"/>
            </w14:solidFill>
          </w14:textFill>
        </w:rPr>
        <w:t>政府采购合同签订后，采购人和中标（成交）供应商应严格按照相关法律规定和合同要求履约验收。验收完成后应及时出具验收书或验收证明，不得无故拖延或附加额外条件。</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8.  合同款支付</w:t>
      </w:r>
    </w:p>
    <w:p>
      <w:pPr>
        <w:pStyle w:val="18"/>
        <w:tabs>
          <w:tab w:val="left" w:pos="5145"/>
          <w:tab w:val="left" w:pos="5355"/>
          <w:tab w:val="left" w:pos="6195"/>
        </w:tabs>
        <w:spacing w:line="360" w:lineRule="auto"/>
        <w:ind w:firstLine="420" w:firstLineChars="200"/>
        <w:rPr>
          <w:rFonts w:hAnsi="宋体"/>
          <w:bCs/>
          <w:color w:val="000000" w:themeColor="text1"/>
          <w:highlight w:val="none"/>
          <w:u w:val="single"/>
          <w14:textFill>
            <w14:solidFill>
              <w14:schemeClr w14:val="tx1"/>
            </w14:solidFill>
          </w14:textFill>
        </w:rPr>
      </w:pPr>
      <w:r>
        <w:rPr>
          <w:rFonts w:hint="eastAsia" w:hAnsi="宋体"/>
          <w:bCs/>
          <w:color w:val="000000" w:themeColor="text1"/>
          <w:highlight w:val="none"/>
          <w14:textFill>
            <w14:solidFill>
              <w14:schemeClr w14:val="tx1"/>
            </w14:solidFill>
          </w14:textFill>
        </w:rPr>
        <w:t>8.1 付款方式：</w:t>
      </w:r>
      <w:r>
        <w:rPr>
          <w:rFonts w:hint="eastAsia" w:hAnsi="宋体"/>
          <w:bCs/>
          <w:color w:val="000000" w:themeColor="text1"/>
          <w:highlight w:val="none"/>
          <w:u w:val="single"/>
          <w14:textFill>
            <w14:solidFill>
              <w14:schemeClr w14:val="tx1"/>
            </w14:solidFill>
          </w14:textFill>
        </w:rPr>
        <w:t xml:space="preserve">                               </w:t>
      </w:r>
    </w:p>
    <w:p>
      <w:pPr>
        <w:pStyle w:val="18"/>
        <w:tabs>
          <w:tab w:val="left" w:pos="5145"/>
          <w:tab w:val="left" w:pos="5355"/>
          <w:tab w:val="left" w:pos="6195"/>
        </w:tabs>
        <w:spacing w:line="360" w:lineRule="auto"/>
        <w:ind w:firstLine="420" w:firstLineChars="200"/>
        <w:rPr>
          <w:rFonts w:hAnsi="宋体"/>
          <w:bCs/>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8"/>
        <w:tabs>
          <w:tab w:val="left" w:pos="5145"/>
          <w:tab w:val="left" w:pos="5355"/>
          <w:tab w:val="left" w:pos="6195"/>
        </w:tabs>
        <w:spacing w:line="360" w:lineRule="auto"/>
        <w:ind w:firstLine="420" w:firstLineChars="200"/>
        <w:rPr>
          <w:rFonts w:hAnsi="宋体"/>
          <w:bCs/>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8.3 </w:t>
      </w:r>
      <w:r>
        <w:rPr>
          <w:rFonts w:hint="eastAsia" w:hAnsi="宋体"/>
          <w:color w:val="000000" w:themeColor="text1"/>
          <w:szCs w:val="21"/>
          <w:highlight w:val="none"/>
          <w14:textFill>
            <w14:solidFill>
              <w14:schemeClr w14:val="tx1"/>
            </w14:solidFill>
          </w14:textFill>
        </w:rPr>
        <w:t>政府采购监督管理部门在处理投诉事项期间，可以视具体情况书面通知采购人暂停采购活动</w:t>
      </w:r>
      <w:r>
        <w:rPr>
          <w:rFonts w:hint="eastAsia" w:hAnsi="宋体"/>
          <w:bCs/>
          <w:color w:val="000000" w:themeColor="text1"/>
          <w:highlight w:val="none"/>
          <w14:textFill>
            <w14:solidFill>
              <w14:schemeClr w14:val="tx1"/>
            </w14:solidFill>
          </w14:textFill>
        </w:rPr>
        <w:t>，并延期支付合同款。</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9.  售后服务要求</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9.1 乙方提供服务的质量保证期为：</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（自提交服务验收合格之日起计）</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9.2 在本合同第9.1项约定的质量保证期内，乙方应对服务出现的问题负责处理解决并承担一切费用。</w:t>
      </w:r>
    </w:p>
    <w:p>
      <w:pPr>
        <w:pStyle w:val="18"/>
        <w:tabs>
          <w:tab w:val="left" w:pos="5250"/>
        </w:tabs>
        <w:spacing w:line="360" w:lineRule="auto"/>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9.3其他售后服务要求：</w:t>
      </w:r>
      <w:r>
        <w:rPr>
          <w:rFonts w:hint="eastAsia" w:hAnsi="宋体"/>
          <w:color w:val="000000" w:themeColor="text1"/>
          <w:highlight w:val="none"/>
          <w:u w:val="single"/>
          <w14:textFill>
            <w14:solidFill>
              <w14:schemeClr w14:val="tx1"/>
            </w14:solidFill>
          </w14:textFill>
        </w:rPr>
        <w:t>按投标文件商务条款偏离表内容执行。</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10.  违约责任</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10.1 甲方无正当理由拒收服务的，甲方向乙方偿付拒收服务费总值的百分之五违约金。</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10.2 甲方无故逾期验收或办理合同款支付手续的，甲方应按逾期付款总额每日万分之五向乙方支付违约金。</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4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11.  不可抗力事件处理</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11.1 在合同有效期内，任何一方因不可抗力事件导致不能履行合同，则合同履行期可延长，其延长期与不可抗力影响期相同。</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11.2 不可抗力事件发生后，应立即通知对方，并寄送有关权威机构出具的证明。</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11.3 不可抗力事件延续120天以上，双方应通过友好协商，确定是否继续履行合同。</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12.  诉讼</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12.1 双方在执行合同中所发生的一切争议，应通过协商解决。如协商不成，可向合同签订地法院起诉，合同签订地在此约定为广西南宁市。</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13.  合同生效及其它</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13.1 合同经双方法定代表人或授权委托代理人签字并加盖单位公章后生效。</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13.2 </w:t>
      </w:r>
      <w:r>
        <w:rPr>
          <w:rFonts w:hint="eastAsia" w:hAnsi="宋体"/>
          <w:color w:val="000000" w:themeColor="text1"/>
          <w:szCs w:val="21"/>
          <w:highlight w:val="none"/>
          <w14:textFill>
            <w14:solidFill>
              <w14:schemeClr w14:val="tx1"/>
            </w14:solidFill>
          </w14:textFill>
        </w:rPr>
        <w:t>合同执行中涉及采购资金和采购内容修改或补充的，须经市财政部门审批，并签书面补充协议报南宁市政府采购监督管理部门备案，方可作为主合同不可分割的一部分。</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13.3 下述合同附件为本合同不可分割的部分并与本合同具有同等效力：</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（1）中标通知书；</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（2）招标文件服务需求一览表；</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（3）招标文件的澄清和修改；</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（4）投标函、报价表；</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（5）投标服务技术资料表、商务条款偏离表、售后服务承诺书；</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（6）中标供应商澄清函。</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13.4 本合同未尽事宜，遵照《中华人民共和国合同法》有关条文执行。</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13.5 本合同正本一式两份，具有同等法律效力，甲乙双方各执一份；副本一份。</w:t>
      </w:r>
    </w:p>
    <w:p>
      <w:pPr>
        <w:pStyle w:val="18"/>
        <w:spacing w:line="360" w:lineRule="auto"/>
        <w:ind w:firstLine="360"/>
        <w:rPr>
          <w:rFonts w:hAnsi="宋体"/>
          <w:color w:val="000000" w:themeColor="text1"/>
          <w:highlight w:val="none"/>
          <w14:textFill>
            <w14:solidFill>
              <w14:schemeClr w14:val="tx1"/>
            </w14:solidFill>
          </w14:textFill>
        </w:rPr>
      </w:pPr>
    </w:p>
    <w:p>
      <w:pPr>
        <w:pStyle w:val="18"/>
        <w:spacing w:line="360" w:lineRule="auto"/>
        <w:ind w:firstLine="360"/>
        <w:rPr>
          <w:rFonts w:hAnsi="宋体"/>
          <w:color w:val="000000" w:themeColor="text1"/>
          <w:highlight w:val="none"/>
          <w14:textFill>
            <w14:solidFill>
              <w14:schemeClr w14:val="tx1"/>
            </w14:solidFill>
          </w14:textFill>
        </w:rPr>
      </w:pPr>
    </w:p>
    <w:p>
      <w:pPr>
        <w:pStyle w:val="18"/>
        <w:spacing w:line="360" w:lineRule="auto"/>
        <w:ind w:firstLine="360"/>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甲方：</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乙方：</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地址：</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地址：</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法定代表人：</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法定代表人：</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委托代理人：</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委托代理人：</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电话：</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电话：</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传真：</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传真：</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邮政编码：</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邮政编码：</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统一社会代码：</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开户银行：</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开户名称：</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银行账号：</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ind w:left="178" w:leftChars="85"/>
        <w:rPr>
          <w:rFonts w:hAnsi="宋体"/>
          <w:color w:val="000000" w:themeColor="text1"/>
          <w:highlight w:val="none"/>
          <w14:textFill>
            <w14:solidFill>
              <w14:schemeClr w14:val="tx1"/>
            </w14:solidFill>
          </w14:textFill>
        </w:rPr>
      </w:pPr>
    </w:p>
    <w:p>
      <w:pPr>
        <w:pStyle w:val="18"/>
        <w:spacing w:line="360" w:lineRule="auto"/>
        <w:ind w:left="178" w:leftChars="85"/>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合同签订地点：广西南宁市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合同签订日期：</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月</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日</w:t>
      </w:r>
    </w:p>
    <w:p>
      <w:pPr>
        <w:spacing w:line="600" w:lineRule="exact"/>
        <w:jc w:val="center"/>
        <w:outlineLvl w:val="0"/>
        <w:rPr>
          <w:rFonts w:hAnsi="宋体"/>
          <w:color w:val="000000" w:themeColor="text1"/>
          <w:sz w:val="24"/>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18"/>
        <w:spacing w:line="360" w:lineRule="auto"/>
        <w:rPr>
          <w:rFonts w:cs="宋体"/>
          <w:color w:val="000000" w:themeColor="text1"/>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bookmarkStart w:id="84" w:name="_Toc22323"/>
      <w:r>
        <w:rPr>
          <w:rFonts w:hint="eastAsia"/>
          <w:color w:val="000000" w:themeColor="text1"/>
          <w:sz w:val="36"/>
          <w:szCs w:val="36"/>
          <w:highlight w:val="none"/>
          <w14:textFill>
            <w14:solidFill>
              <w14:schemeClr w14:val="tx1"/>
            </w14:solidFill>
          </w14:textFill>
        </w:rPr>
        <w:t>第七章  质疑材料格式</w:t>
      </w:r>
      <w:bookmarkEnd w:id="84"/>
    </w:p>
    <w:p>
      <w:pPr>
        <w:pStyle w:val="2"/>
        <w:jc w:val="center"/>
        <w:rPr>
          <w:rFonts w:ascii="宋体" w:hAnsi="宋体" w:eastAsia="宋体"/>
          <w:color w:val="000000" w:themeColor="text1"/>
          <w:sz w:val="30"/>
          <w:szCs w:val="30"/>
          <w:highlight w:val="none"/>
          <w14:textFill>
            <w14:solidFill>
              <w14:schemeClr w14:val="tx1"/>
            </w14:solidFill>
          </w14:textFill>
        </w:rPr>
      </w:pPr>
      <w:bookmarkStart w:id="85" w:name="_Toc17330"/>
      <w:bookmarkStart w:id="86" w:name="_Toc14650"/>
      <w:bookmarkStart w:id="87" w:name="_Toc532545055"/>
      <w:r>
        <w:rPr>
          <w:rFonts w:hint="eastAsia" w:ascii="宋体" w:hAnsi="宋体" w:eastAsia="宋体"/>
          <w:color w:val="000000" w:themeColor="text1"/>
          <w:sz w:val="30"/>
          <w:szCs w:val="30"/>
          <w:highlight w:val="none"/>
          <w14:textFill>
            <w14:solidFill>
              <w14:schemeClr w14:val="tx1"/>
            </w14:solidFill>
          </w14:textFill>
        </w:rPr>
        <w:t xml:space="preserve">一  </w:t>
      </w:r>
      <w:r>
        <w:rPr>
          <w:rFonts w:ascii="宋体" w:hAnsi="宋体" w:eastAsia="宋体"/>
          <w:color w:val="000000" w:themeColor="text1"/>
          <w:sz w:val="30"/>
          <w:szCs w:val="30"/>
          <w:highlight w:val="none"/>
          <w14:textFill>
            <w14:solidFill>
              <w14:schemeClr w14:val="tx1"/>
            </w14:solidFill>
          </w14:textFill>
        </w:rPr>
        <w:t>质疑函（格式）</w:t>
      </w:r>
      <w:bookmarkEnd w:id="85"/>
      <w:bookmarkEnd w:id="86"/>
      <w:bookmarkEnd w:id="87"/>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 xml:space="preserve">一、被质疑人：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 xml:space="preserve">二、质疑环节：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三、</w:t>
      </w:r>
      <w:r>
        <w:rPr>
          <w:rFonts w:hint="eastAsia" w:ascii="ˎ̥" w:hAnsi="ˎ̥"/>
          <w:color w:val="000000" w:themeColor="text1"/>
          <w:szCs w:val="21"/>
          <w:highlight w:val="none"/>
          <w14:textFill>
            <w14:solidFill>
              <w14:schemeClr w14:val="tx1"/>
            </w14:solidFill>
          </w14:textFill>
        </w:rPr>
        <w:t>质疑供应商基本信息</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bCs/>
          <w:color w:val="000000" w:themeColor="text1"/>
          <w:kern w:val="0"/>
          <w:szCs w:val="21"/>
          <w:highlight w:val="none"/>
          <w14:textFill>
            <w14:solidFill>
              <w14:schemeClr w14:val="tx1"/>
            </w14:solidFill>
          </w14:textFill>
        </w:rPr>
        <w:t>质疑供应商名称：</w:t>
      </w:r>
      <w:r>
        <w:rPr>
          <w:rFonts w:ascii="ˎ̥" w:hAnsi="ˎ̥" w:cs="宋体"/>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u w:val="singl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地址：</w:t>
      </w:r>
      <w:r>
        <w:rPr>
          <w:rFonts w:ascii="ˎ̥" w:hAnsi="ˎ̥" w:cs="宋体"/>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邮政编码：</w:t>
      </w:r>
      <w:r>
        <w:rPr>
          <w:rFonts w:ascii="ˎ̥" w:hAnsi="ˎ̥" w:cs="宋体"/>
          <w:color w:val="000000" w:themeColor="text1"/>
          <w:kern w:val="0"/>
          <w:szCs w:val="21"/>
          <w:highlight w:val="none"/>
          <w:u w:val="single"/>
          <w14:textFill>
            <w14:solidFill>
              <w14:schemeClr w14:val="tx1"/>
            </w14:solidFill>
          </w14:textFill>
        </w:rPr>
        <w:t>                 </w:t>
      </w: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jc w:val="left"/>
        <w:rPr>
          <w:rFonts w:hint="eastAsia" w:ascii="ˎ̥" w:hAnsi="ˎ̥" w:cs="宋体"/>
          <w:bCs/>
          <w:color w:val="000000" w:themeColor="text1"/>
          <w:kern w:val="0"/>
          <w:szCs w:val="21"/>
          <w:highlight w:val="none"/>
          <w14:textFill>
            <w14:solidFill>
              <w14:schemeClr w14:val="tx1"/>
            </w14:solidFill>
          </w14:textFill>
        </w:rPr>
      </w:pPr>
      <w:r>
        <w:rPr>
          <w:rFonts w:hint="eastAsia" w:ascii="ˎ̥" w:hAnsi="ˎ̥" w:cs="宋体"/>
          <w:bCs/>
          <w:color w:val="000000" w:themeColor="text1"/>
          <w:kern w:val="0"/>
          <w:szCs w:val="21"/>
          <w:highlight w:val="none"/>
          <w14:textFill>
            <w14:solidFill>
              <w14:schemeClr w14:val="tx1"/>
            </w14:solidFill>
          </w14:textFill>
        </w:rPr>
        <w:t>联系人：</w:t>
      </w:r>
      <w:r>
        <w:rPr>
          <w:rFonts w:ascii="ˎ̥" w:hAnsi="ˎ̥" w:cs="宋体"/>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u w:val="singl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联系电话：</w:t>
      </w:r>
      <w:r>
        <w:rPr>
          <w:rFonts w:ascii="ˎ̥" w:hAnsi="ˎ̥" w:cs="宋体"/>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ascii="黑体" w:hAnsi="黑体" w:eastAsia="黑体" w:cs="黑体"/>
          <w:color w:val="000000" w:themeColor="text1"/>
          <w:sz w:val="32"/>
          <w:szCs w:val="32"/>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四、质疑项目基本情况</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质疑项目的名称</w:t>
      </w:r>
      <w:r>
        <w:rPr>
          <w:rFonts w:ascii="ˎ̥" w:hAnsi="ˎ̥" w:cs="宋体"/>
          <w:b/>
          <w:bCs/>
          <w:color w:val="000000" w:themeColor="text1"/>
          <w:kern w:val="0"/>
          <w:szCs w:val="21"/>
          <w:highlight w:val="none"/>
          <w:u w:val="single"/>
          <w14:textFill>
            <w14:solidFill>
              <w14:schemeClr w14:val="tx1"/>
            </w14:solidFill>
          </w14:textFill>
        </w:rPr>
        <w:t> </w:t>
      </w:r>
      <w:r>
        <w:rPr>
          <w:rFonts w:hint="eastAsia" w:ascii="ˎ̥" w:hAnsi="ˎ̥" w:cs="宋体"/>
          <w:b/>
          <w:bCs/>
          <w:color w:val="000000" w:themeColor="text1"/>
          <w:kern w:val="0"/>
          <w:szCs w:val="21"/>
          <w:highlight w:val="none"/>
          <w:u w:val="single"/>
          <w14:textFill>
            <w14:solidFill>
              <w14:schemeClr w14:val="tx1"/>
            </w14:solidFill>
          </w14:textFill>
        </w:rPr>
        <w:t>：</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b/>
          <w:bCs/>
          <w:color w:val="000000" w:themeColor="text1"/>
          <w:kern w:val="0"/>
          <w:szCs w:val="21"/>
          <w:highlight w:val="none"/>
          <w:u w:val="singl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质疑项目的编号：</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bCs/>
          <w:color w:val="000000" w:themeColor="text1"/>
          <w:kern w:val="0"/>
          <w:szCs w:val="21"/>
          <w:highlight w:val="none"/>
          <w14:textFill>
            <w14:solidFill>
              <w14:schemeClr w14:val="tx1"/>
            </w14:solidFill>
          </w14:textFill>
        </w:rPr>
        <w:t>3.</w:t>
      </w:r>
      <w:r>
        <w:rPr>
          <w:rFonts w:hint="eastAsia" w:ascii="ˎ̥" w:hAnsi="ˎ̥" w:cs="宋体"/>
          <w:color w:val="000000" w:themeColor="text1"/>
          <w:kern w:val="0"/>
          <w:szCs w:val="21"/>
          <w:highlight w:val="none"/>
          <w14:textFill>
            <w14:solidFill>
              <w14:schemeClr w14:val="tx1"/>
            </w14:solidFill>
          </w14:textFill>
        </w:rPr>
        <w:t>质疑项目的分标号：</w:t>
      </w:r>
      <w:r>
        <w:rPr>
          <w:rFonts w:ascii="ˎ̥" w:hAnsi="ˎ̥" w:cs="宋体"/>
          <w:b/>
          <w:bCs/>
          <w:color w:val="000000" w:themeColor="text1"/>
          <w:kern w:val="0"/>
          <w:szCs w:val="21"/>
          <w:highlight w:val="none"/>
          <w:u w:val="single"/>
          <w14:textFill>
            <w14:solidFill>
              <w14:schemeClr w14:val="tx1"/>
            </w14:solidFill>
          </w14:textFill>
        </w:rPr>
        <w:t>                               </w:t>
      </w:r>
    </w:p>
    <w:p>
      <w:pPr>
        <w:snapToGrid w:val="0"/>
        <w:spacing w:line="260" w:lineRule="exact"/>
        <w:outlineLvl w:val="0"/>
        <w:rPr>
          <w:rFonts w:hint="eastAsia" w:ascii="ˎ̥" w:hAnsi="ˎ̥" w:cs="宋体"/>
          <w:color w:val="000000" w:themeColor="text1"/>
          <w:kern w:val="0"/>
          <w:szCs w:val="2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五、质疑事项具体内容</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w:t>
      </w:r>
      <w:r>
        <w:rPr>
          <w:rFonts w:ascii="ˎ̥" w:hAnsi="ˎ̥" w:cs="宋体"/>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的事实依据：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的法律依据：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的相关请求：</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w:t>
      </w:r>
      <w:r>
        <w:rPr>
          <w:rFonts w:ascii="ˎ̥" w:hAnsi="ˎ̥" w:cs="宋体"/>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的事实依据：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的法律依据：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的相关请求：</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六、授权委托书（原件1份，委托代理时提交，材料附后。）</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 xml:space="preserve">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 xml:space="preserve">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质疑供应商（公章）：</w:t>
      </w: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法定代表人或其委托代理人签字：</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firstLine="3885" w:firstLineChars="1850"/>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提起质疑的日期：</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年</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月</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日</w:t>
      </w:r>
    </w:p>
    <w:p>
      <w:pPr>
        <w:widowControl/>
        <w:shd w:val="clear" w:color="auto" w:fill="FFFFFF"/>
        <w:spacing w:line="260" w:lineRule="exac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left="630" w:hanging="630" w:hangingChars="300"/>
        <w:rPr>
          <w:rFonts w:ascii="宋体" w:hAnsi="宋体"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说明：</w:t>
      </w:r>
      <w:r>
        <w:rPr>
          <w:rFonts w:hint="eastAsia" w:ascii="宋体" w:hAnsi="宋体" w:cs="宋体"/>
          <w:color w:val="000000" w:themeColor="text1"/>
          <w:kern w:val="0"/>
          <w:szCs w:val="21"/>
          <w:highlight w:val="none"/>
          <w14:textFill>
            <w14:solidFill>
              <w14:schemeClr w14:val="tx1"/>
            </w14:solidFill>
          </w14:textFill>
        </w:rPr>
        <w:t>1.根据质疑环节及内容填写“被质疑人：”。对采购文件中的采购需求（含资格要求、预算金额和评分办法等）、采购过程中的资格审查、以及中标或者成交结果的质疑，“被质疑人：”处填写采购人名称；对采购文件中的采购执行程序、采购过程中的采购执行程序的质疑，“被质疑人：”处填写采购代理机构名称。</w:t>
      </w:r>
    </w:p>
    <w:p>
      <w:pPr>
        <w:widowControl/>
        <w:shd w:val="clear" w:color="auto" w:fill="FFFFFF"/>
        <w:spacing w:line="260" w:lineRule="exact"/>
        <w:ind w:left="630" w:leftChars="3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2.“质疑环节:”在下列内容中选一项填写：采购文件（采购需求）、采购文件（采购执行程序）、采购过程（资格审查）、采购过程（采购执行程序）、中标或者成交结果。</w:t>
      </w:r>
    </w:p>
    <w:p>
      <w:pPr>
        <w:widowControl/>
        <w:shd w:val="clear" w:color="auto" w:fill="FFFFFF"/>
        <w:spacing w:line="260" w:lineRule="exact"/>
        <w:ind w:left="735" w:hanging="735" w:hangingChars="350"/>
        <w:rPr>
          <w:rFonts w:hint="eastAsia" w:ascii="ˎ̥" w:hAnsi="ˎ̥"/>
          <w:color w:val="000000" w:themeColor="text1"/>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 xml:space="preserve">      3.质疑事项的事实依据应</w:t>
      </w:r>
      <w:r>
        <w:rPr>
          <w:rFonts w:hint="eastAsia" w:ascii="ˎ̥" w:hAnsi="ˎ̥"/>
          <w:color w:val="000000" w:themeColor="text1"/>
          <w:szCs w:val="21"/>
          <w:highlight w:val="none"/>
          <w14:textFill>
            <w14:solidFill>
              <w14:schemeClr w14:val="tx1"/>
            </w14:solidFill>
          </w14:textFill>
        </w:rPr>
        <w:t>列明权益受到损害的事实和理由；</w:t>
      </w:r>
    </w:p>
    <w:p>
      <w:pPr>
        <w:widowControl/>
        <w:shd w:val="clear" w:color="auto" w:fill="FFFFFF"/>
        <w:spacing w:line="260" w:lineRule="exact"/>
        <w:ind w:firstLine="630" w:firstLineChars="300"/>
        <w:rPr>
          <w:rFonts w:hint="eastAsia" w:ascii="ˎ̥" w:hAnsi="ˎ̥" w:cs="宋体"/>
          <w:b/>
          <w:bCs/>
          <w:color w:val="000000" w:themeColor="text1"/>
          <w:kern w:val="0"/>
          <w:szCs w:val="21"/>
          <w:highlight w:val="none"/>
          <w14:textFill>
            <w14:solidFill>
              <w14:schemeClr w14:val="tx1"/>
            </w14:solidFill>
          </w14:textFill>
        </w:rPr>
      </w:pPr>
      <w:r>
        <w:rPr>
          <w:rFonts w:hint="eastAsia" w:ascii="ˎ̥" w:hAnsi="ˎ̥"/>
          <w:color w:val="000000" w:themeColor="text1"/>
          <w:szCs w:val="21"/>
          <w:highlight w:val="none"/>
          <w14:textFill>
            <w14:solidFill>
              <w14:schemeClr w14:val="tx1"/>
            </w14:solidFill>
          </w14:textFill>
        </w:rPr>
        <w:t>4</w:t>
      </w:r>
      <w:r>
        <w:rPr>
          <w:rFonts w:ascii="ˎ̥" w:hAnsi="ˎ̥"/>
          <w:color w:val="000000" w:themeColor="text1"/>
          <w:szCs w:val="21"/>
          <w:highlight w:val="none"/>
          <w14:textFill>
            <w14:solidFill>
              <w14:schemeClr w14:val="tx1"/>
            </w14:solidFill>
          </w14:textFill>
        </w:rPr>
        <w:t>.</w:t>
      </w:r>
      <w:r>
        <w:rPr>
          <w:rFonts w:hint="eastAsia" w:ascii="ˎ̥" w:hAnsi="ˎ̥" w:cs="宋体"/>
          <w:color w:val="000000" w:themeColor="text1"/>
          <w:kern w:val="0"/>
          <w:szCs w:val="21"/>
          <w:highlight w:val="none"/>
          <w14:textFill>
            <w14:solidFill>
              <w14:schemeClr w14:val="tx1"/>
            </w14:solidFill>
          </w14:textFill>
        </w:rPr>
        <w:t>质疑事项的法律依据应列明质疑事项违反法律法规的具体条款及内容。</w:t>
      </w:r>
    </w:p>
    <w:p>
      <w:pPr>
        <w:pStyle w:val="18"/>
        <w:outlineLvl w:val="1"/>
        <w:rPr>
          <w:rFonts w:hAnsi="宋体"/>
          <w:color w:val="000000" w:themeColor="text1"/>
          <w:highlight w:val="none"/>
          <w14:textFill>
            <w14:solidFill>
              <w14:schemeClr w14:val="tx1"/>
            </w14:solidFill>
          </w14:textFill>
        </w:rPr>
      </w:pPr>
    </w:p>
    <w:p>
      <w:pPr>
        <w:pStyle w:val="2"/>
        <w:jc w:val="center"/>
        <w:rPr>
          <w:rFonts w:ascii="宋体" w:hAnsi="宋体" w:eastAsia="宋体"/>
          <w:color w:val="000000" w:themeColor="text1"/>
          <w:sz w:val="30"/>
          <w:szCs w:val="30"/>
          <w:highlight w:val="none"/>
          <w14:textFill>
            <w14:solidFill>
              <w14:schemeClr w14:val="tx1"/>
            </w14:solidFill>
          </w14:textFill>
        </w:rPr>
      </w:pPr>
      <w:bookmarkStart w:id="88" w:name="_Toc30194"/>
      <w:bookmarkStart w:id="89" w:name="_Toc532545056"/>
      <w:bookmarkStart w:id="90" w:name="_Toc28541"/>
      <w:r>
        <w:rPr>
          <w:rFonts w:hint="eastAsia" w:ascii="宋体" w:hAnsi="宋体" w:eastAsia="宋体"/>
          <w:color w:val="000000" w:themeColor="text1"/>
          <w:sz w:val="30"/>
          <w:szCs w:val="30"/>
          <w:highlight w:val="none"/>
          <w14:textFill>
            <w14:solidFill>
              <w14:schemeClr w14:val="tx1"/>
            </w14:solidFill>
          </w14:textFill>
        </w:rPr>
        <w:t xml:space="preserve">二  </w:t>
      </w:r>
      <w:r>
        <w:rPr>
          <w:rFonts w:ascii="宋体" w:hAnsi="宋体" w:eastAsia="宋体"/>
          <w:color w:val="000000" w:themeColor="text1"/>
          <w:sz w:val="30"/>
          <w:szCs w:val="30"/>
          <w:highlight w:val="none"/>
          <w14:textFill>
            <w14:solidFill>
              <w14:schemeClr w14:val="tx1"/>
            </w14:solidFill>
          </w14:textFill>
        </w:rPr>
        <w:t>质疑证明材料（格式）</w:t>
      </w:r>
      <w:bookmarkEnd w:id="88"/>
      <w:bookmarkEnd w:id="89"/>
      <w:bookmarkEnd w:id="90"/>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质疑项目的名称</w:t>
      </w:r>
      <w:r>
        <w:rPr>
          <w:rFonts w:hint="eastAsia" w:ascii="ˎ̥" w:hAnsi="ˎ̥" w:cs="宋体"/>
          <w:b/>
          <w:bCs/>
          <w:color w:val="000000" w:themeColor="text1"/>
          <w:kern w:val="0"/>
          <w:szCs w:val="21"/>
          <w:highlight w:val="none"/>
          <w:u w:val="single"/>
          <w14:textFill>
            <w14:solidFill>
              <w14:schemeClr w14:val="tx1"/>
            </w14:solidFill>
          </w14:textFill>
        </w:rPr>
        <w:t>：</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项目编号：</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一、质疑事项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证明材料目录（证明材料附后，共</w:t>
      </w:r>
      <w:r>
        <w:rPr>
          <w:rFonts w:ascii="ˎ̥" w:hAnsi="ˎ̥" w:cs="宋体"/>
          <w:b/>
          <w:bCs/>
          <w:color w:val="000000" w:themeColor="text1"/>
          <w:kern w:val="0"/>
          <w:szCs w:val="21"/>
          <w:highlight w:val="none"/>
          <w:u w:val="single"/>
          <w14:textFill>
            <w14:solidFill>
              <w14:schemeClr w14:val="tx1"/>
            </w14:solidFill>
          </w14:textFill>
        </w:rPr>
        <w:t>     </w:t>
      </w:r>
      <w:r>
        <w:rPr>
          <w:rFonts w:hint="eastAsia" w:ascii="ˎ̥" w:hAnsi="ˎ̥" w:cs="宋体"/>
          <w:color w:val="000000" w:themeColor="text1"/>
          <w:kern w:val="0"/>
          <w:szCs w:val="21"/>
          <w:highlight w:val="none"/>
          <w14:textFill>
            <w14:solidFill>
              <w14:schemeClr w14:val="tx1"/>
            </w14:solidFill>
          </w14:textFill>
        </w:rPr>
        <w:t>页）</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1.</w:t>
      </w: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2.</w:t>
      </w: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b/>
          <w:bCs/>
          <w:color w:val="000000" w:themeColor="text1"/>
          <w:kern w:val="0"/>
          <w:szCs w:val="21"/>
          <w:highlight w:val="none"/>
          <w14:textFill>
            <w14:solidFill>
              <w14:schemeClr w14:val="tx1"/>
            </w14:solidFill>
          </w14:textFill>
        </w:rPr>
      </w:pP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二、质疑事项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证明材料目录（证明材料附后，共</w:t>
      </w:r>
      <w:r>
        <w:rPr>
          <w:rFonts w:ascii="ˎ̥" w:hAnsi="ˎ̥" w:cs="宋体"/>
          <w:b/>
          <w:bCs/>
          <w:color w:val="000000" w:themeColor="text1"/>
          <w:kern w:val="0"/>
          <w:szCs w:val="21"/>
          <w:highlight w:val="none"/>
          <w:u w:val="single"/>
          <w14:textFill>
            <w14:solidFill>
              <w14:schemeClr w14:val="tx1"/>
            </w14:solidFill>
          </w14:textFill>
        </w:rPr>
        <w:t>     </w:t>
      </w:r>
      <w:r>
        <w:rPr>
          <w:rFonts w:hint="eastAsia" w:ascii="ˎ̥" w:hAnsi="ˎ̥" w:cs="宋体"/>
          <w:color w:val="000000" w:themeColor="text1"/>
          <w:kern w:val="0"/>
          <w:szCs w:val="21"/>
          <w:highlight w:val="none"/>
          <w14:textFill>
            <w14:solidFill>
              <w14:schemeClr w14:val="tx1"/>
            </w14:solidFill>
          </w14:textFill>
        </w:rPr>
        <w:t>页）</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1.</w:t>
      </w: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2.</w:t>
      </w:r>
      <w:r>
        <w:rPr>
          <w:rFonts w:ascii="ˎ̥" w:hAnsi="ˎ̥" w:cs="宋体"/>
          <w:b/>
          <w:bCs/>
          <w:color w:val="000000" w:themeColor="text1"/>
          <w:kern w:val="0"/>
          <w:szCs w:val="21"/>
          <w:highlight w:val="none"/>
          <w14:textFill>
            <w14:solidFill>
              <w14:schemeClr w14:val="tx1"/>
            </w14:solidFill>
          </w14:textFill>
        </w:rPr>
        <w:t>……</w:t>
      </w:r>
    </w:p>
    <w:p>
      <w:pPr>
        <w:shd w:val="clear" w:color="auto" w:fill="FFFFFF"/>
        <w:spacing w:line="260" w:lineRule="exact"/>
        <w:rPr>
          <w:rFonts w:hint="eastAsia" w:ascii="ˎ̥" w:hAnsi="ˎ̥" w:cs="宋体"/>
          <w:color w:val="000000" w:themeColor="text1"/>
          <w:kern w:val="0"/>
          <w:szCs w:val="21"/>
          <w:highlight w:val="none"/>
          <w14:textFill>
            <w14:solidFill>
              <w14:schemeClr w14:val="tx1"/>
            </w14:solidFill>
          </w14:textFill>
        </w:rPr>
      </w:pP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w:t>
      </w:r>
    </w:p>
    <w:p>
      <w:pPr>
        <w:widowControl/>
        <w:shd w:val="clear" w:color="auto" w:fill="FFFFFF"/>
        <w:spacing w:line="260" w:lineRule="exac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firstLine="3418" w:firstLineChars="1628"/>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质疑供应商（公章）：</w:t>
      </w: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ind w:firstLine="3418" w:firstLineChars="1628"/>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firstLine="3418" w:firstLineChars="1628"/>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提起质疑的日期：</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年</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月</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日</w:t>
      </w:r>
    </w:p>
    <w:p>
      <w:pPr>
        <w:widowControl/>
        <w:shd w:val="clear" w:color="auto" w:fill="FFFFFF"/>
        <w:spacing w:line="260" w:lineRule="exact"/>
        <w:jc w:val="left"/>
        <w:rPr>
          <w:color w:val="000000" w:themeColor="text1"/>
          <w:highlight w:val="none"/>
          <w14:textFill>
            <w14:solidFill>
              <w14:schemeClr w14:val="tx1"/>
            </w14:solidFill>
          </w14:textFill>
        </w:rPr>
      </w:pPr>
    </w:p>
    <w:p>
      <w:pPr>
        <w:widowControl/>
        <w:shd w:val="clear" w:color="auto" w:fill="FFFFFF"/>
        <w:spacing w:line="26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（后附</w:t>
      </w:r>
      <w:r>
        <w:rPr>
          <w:rFonts w:hint="eastAsia" w:ascii="ˎ̥" w:hAnsi="ˎ̥" w:cs="宋体"/>
          <w:color w:val="000000" w:themeColor="text1"/>
          <w:kern w:val="0"/>
          <w:szCs w:val="21"/>
          <w:highlight w:val="none"/>
          <w14:textFill>
            <w14:solidFill>
              <w14:schemeClr w14:val="tx1"/>
            </w14:solidFill>
          </w14:textFill>
        </w:rPr>
        <w:t>质疑事项</w:t>
      </w:r>
      <w:r>
        <w:rPr>
          <w:rFonts w:hint="eastAsia"/>
          <w:color w:val="000000" w:themeColor="text1"/>
          <w:highlight w:val="none"/>
          <w14:textFill>
            <w14:solidFill>
              <w14:schemeClr w14:val="tx1"/>
            </w14:solidFill>
          </w14:textFill>
        </w:rPr>
        <w:t>证明材料的具体文件）</w:t>
      </w:r>
    </w:p>
    <w:p>
      <w:pPr>
        <w:pStyle w:val="18"/>
        <w:jc w:val="center"/>
        <w:outlineLvl w:val="1"/>
        <w:rPr>
          <w:rFonts w:hAnsi="宋体"/>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sectPr>
      <w:footerReference r:id="rId6" w:type="default"/>
      <w:pgSz w:w="11906" w:h="16838"/>
      <w:pgMar w:top="1134" w:right="1134" w:bottom="851"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D52D692-8D52-4434-BE5E-BEAAB626980C}"/>
  </w:font>
  <w:font w:name="Arial">
    <w:panose1 w:val="020B0604020202020204"/>
    <w:charset w:val="01"/>
    <w:family w:val="swiss"/>
    <w:pitch w:val="default"/>
    <w:sig w:usb0="E0002AFF" w:usb1="C0007843" w:usb2="00000009" w:usb3="00000000" w:csb0="400001FF" w:csb1="FFFF0000"/>
    <w:embedRegular r:id="rId2" w:fontKey="{400F2352-D085-4486-B5D1-7C19FEDD116A}"/>
  </w:font>
  <w:font w:name="黑体">
    <w:panose1 w:val="02010609060101010101"/>
    <w:charset w:val="86"/>
    <w:family w:val="auto"/>
    <w:pitch w:val="default"/>
    <w:sig w:usb0="800002BF" w:usb1="38CF7CFA" w:usb2="00000016" w:usb3="00000000" w:csb0="00040001" w:csb1="00000000"/>
    <w:embedRegular r:id="rId3" w:fontKey="{3E90189E-9190-457C-A0DA-8E392A656837}"/>
  </w:font>
  <w:font w:name="Courier New">
    <w:panose1 w:val="02070309020205020404"/>
    <w:charset w:val="01"/>
    <w:family w:val="modern"/>
    <w:pitch w:val="default"/>
    <w:sig w:usb0="E0002AFF" w:usb1="C0007843" w:usb2="00000009" w:usb3="00000000" w:csb0="400001FF" w:csb1="FFFF0000"/>
    <w:embedRegular r:id="rId4" w:fontKey="{7DC891D2-47D5-498D-B1E3-842734A72B2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5" w:fontKey="{66540B3A-027A-4FE1-8F10-7ED0BF0F3129}"/>
  </w:font>
  <w:font w:name="仿宋_GB2312">
    <w:altName w:val="仿宋"/>
    <w:panose1 w:val="02010609030101010101"/>
    <w:charset w:val="86"/>
    <w:family w:val="modern"/>
    <w:pitch w:val="default"/>
    <w:sig w:usb0="00000000" w:usb1="00000000" w:usb2="00000000" w:usb3="00000000" w:csb0="00040000" w:csb1="00000000"/>
  </w:font>
  <w:font w:name="金山简黑体">
    <w:altName w:val="黑体"/>
    <w:panose1 w:val="00000000000000000000"/>
    <w:charset w:val="00"/>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华康简魏碑">
    <w:altName w:val="微软雅黑"/>
    <w:panose1 w:val="00000000000000000000"/>
    <w:charset w:val="00"/>
    <w:family w:val="modern"/>
    <w:pitch w:val="default"/>
    <w:sig w:usb0="00000000" w:usb1="00000000" w:usb2="00000010" w:usb3="00000000" w:csb0="00040000" w:csb1="00000000"/>
    <w:embedRegular r:id="rId6" w:fontKey="{C4BD48D8-ACFF-4689-93E4-3805931D7E6F}"/>
  </w:font>
  <w:font w:name="楷体_GB2312">
    <w:altName w:val="楷体"/>
    <w:panose1 w:val="00000000000000000000"/>
    <w:charset w:val="00"/>
    <w:family w:val="modern"/>
    <w:pitch w:val="default"/>
    <w:sig w:usb0="00000000" w:usb1="00000000" w:usb2="00000010" w:usb3="00000000" w:csb0="00040000" w:csb1="00000000"/>
    <w:embedRegular r:id="rId7" w:fontKey="{11A43184-5EBE-4C45-B870-E5BD383E93B6}"/>
  </w:font>
  <w:font w:name="Helvetica">
    <w:panose1 w:val="020B0504020202030204"/>
    <w:charset w:val="00"/>
    <w:family w:val="swiss"/>
    <w:pitch w:val="default"/>
    <w:sig w:usb0="00000007" w:usb1="00000000" w:usb2="00000000" w:usb3="00000000" w:csb0="00000093" w:csb1="00000000"/>
    <w:embedRegular r:id="rId8" w:fontKey="{613732DD-4999-4CDB-99EC-5388AE004C6F}"/>
  </w:font>
  <w:font w:name="文鼎CS楷体">
    <w:altName w:val="微软雅黑"/>
    <w:panose1 w:val="00000000000000000000"/>
    <w:charset w:val="00"/>
    <w:family w:val="modern"/>
    <w:pitch w:val="default"/>
    <w:sig w:usb0="00000000" w:usb1="00000000" w:usb2="00000010" w:usb3="00000000" w:csb0="00040000" w:csb1="00000000"/>
    <w:embedRegular r:id="rId9" w:fontKey="{D81E81AE-1E86-47ED-A70F-C7723705E2BB}"/>
  </w:font>
  <w:font w:name="ˎ̥">
    <w:altName w:val="Times New Roman"/>
    <w:panose1 w:val="00000000000000000000"/>
    <w:charset w:val="00"/>
    <w:family w:val="roman"/>
    <w:pitch w:val="default"/>
    <w:sig w:usb0="00000000" w:usb1="00000000" w:usb2="00000000" w:usb3="00000000" w:csb0="00000000" w:csb1="00000000"/>
    <w:embedRegular r:id="rId10" w:fontKey="{E2E84D9F-AE3B-4649-92AA-1FE6AFD0953A}"/>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2286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15875">
                        <a:noFill/>
                      </a:ln>
                    </wps:spPr>
                    <wps:txbx>
                      <w:txbxContent>
                        <w:p>
                          <w:pPr>
                            <w:pStyle w:val="22"/>
                            <w:rPr>
                              <w:rStyle w:val="36"/>
                            </w:rPr>
                          </w:pPr>
                          <w:r>
                            <w:fldChar w:fldCharType="begin"/>
                          </w:r>
                          <w:r>
                            <w:rPr>
                              <w:rStyle w:val="36"/>
                            </w:rPr>
                            <w:instrText xml:space="preserve">PAGE  </w:instrText>
                          </w:r>
                          <w:r>
                            <w:fldChar w:fldCharType="separate"/>
                          </w:r>
                          <w:r>
                            <w:rPr>
                              <w:rStyle w:val="36"/>
                            </w:rPr>
                            <w:t>7</w:t>
                          </w:r>
                          <w: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8pt;width:4.55pt;mso-position-horizontal:center;mso-position-horizontal-relative:margin;mso-wrap-style:none;z-index:251658240;mso-width-relative:page;mso-height-relative:page;" filled="f" stroked="f" coordsize="21600,21600" o:gfxdata="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&#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8m9Og1AAAAAIBAAAPAAAAAAAAAAEAIAAAACIAAABk&#10;cnMvZG93bnJldi54bWxQSwECFAAUAAAACACHTuJA9olKqtEBAACXAwAADgAAAAAAAAABACAAAAAj&#10;AQAAZHJzL2Uyb0RvYy54bWxQSwUGAAAAAAYABgBZAQAAZgUAAAAA&#10;">
              <v:fill on="f" focussize="0,0"/>
              <v:stroke on="f" weight="1.25pt"/>
              <v:imagedata o:title=""/>
              <o:lock v:ext="edit" aspectratio="f"/>
              <v:textbox inset="0mm,0mm,0mm,0mm" style="mso-fit-shape-to-text:t;">
                <w:txbxContent>
                  <w:p>
                    <w:pPr>
                      <w:pStyle w:val="22"/>
                      <w:rPr>
                        <w:rStyle w:val="36"/>
                      </w:rPr>
                    </w:pPr>
                    <w:r>
                      <w:fldChar w:fldCharType="begin"/>
                    </w:r>
                    <w:r>
                      <w:rPr>
                        <w:rStyle w:val="36"/>
                      </w:rPr>
                      <w:instrText xml:space="preserve">PAGE  </w:instrText>
                    </w:r>
                    <w:r>
                      <w:fldChar w:fldCharType="separate"/>
                    </w:r>
                    <w:r>
                      <w:rPr>
                        <w:rStyle w:val="36"/>
                      </w:rP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0"/>
        <w:tab w:val="clear" w:pos="4153"/>
      </w:tabs>
      <w:spacing w:line="240" w:lineRule="exact"/>
      <w:jc w:val="left"/>
      <w:rPr>
        <w:sz w:val="15"/>
        <w:szCs w:val="15"/>
      </w:rPr>
    </w:pPr>
    <w:r>
      <w:rPr>
        <w:rFonts w:hint="eastAsia" w:ascii="宋体" w:hAnsi="宋体"/>
        <w:sz w:val="15"/>
        <w:szCs w:val="15"/>
      </w:rPr>
      <w:t>项目名称：</w:t>
    </w:r>
    <w:r>
      <w:rPr>
        <w:rFonts w:hint="eastAsia" w:ascii="宋体" w:hAnsi="宋体"/>
        <w:sz w:val="15"/>
        <w:szCs w:val="15"/>
        <w:lang w:eastAsia="zh-CN"/>
      </w:rPr>
      <w:t>南宁职业技术学院软件技术专业群2020年度“双高”课程资源建设采购（重）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lvlText w:val=""/>
      <w:lvlJc w:val="left"/>
      <w:pPr>
        <w:tabs>
          <w:tab w:val="left" w:pos="360"/>
        </w:tabs>
        <w:ind w:left="360" w:hanging="360"/>
      </w:pPr>
      <w:rPr>
        <w:rFonts w:hint="default" w:ascii="Wingdings" w:hAnsi="Wingdings"/>
      </w:rPr>
    </w:lvl>
  </w:abstractNum>
  <w:abstractNum w:abstractNumId="1">
    <w:nsid w:val="0000000A"/>
    <w:multiLevelType w:val="multilevel"/>
    <w:tmpl w:val="0000000A"/>
    <w:lvl w:ilvl="0" w:tentative="0">
      <w:start w:val="1"/>
      <w:numFmt w:val="decimal"/>
      <w:pStyle w:val="92"/>
      <w:lvlText w:val="（%1）"/>
      <w:lvlJc w:val="left"/>
      <w:pPr>
        <w:tabs>
          <w:tab w:val="left" w:pos="1140"/>
        </w:tabs>
        <w:ind w:left="1140" w:hanging="720"/>
      </w:pPr>
      <w:rPr>
        <w:rFonts w:ascii="宋体" w:hAnsi="宋体" w:eastAsia="宋体" w:cs="Times New Roman"/>
      </w:rPr>
    </w:lvl>
    <w:lvl w:ilvl="1" w:tentative="0">
      <w:start w:val="1"/>
      <w:numFmt w:val="lowerLetter"/>
      <w:pStyle w:val="53"/>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51"/>
      <w:lvlText w:val="%4."/>
      <w:lvlJc w:val="left"/>
      <w:pPr>
        <w:tabs>
          <w:tab w:val="left" w:pos="2100"/>
        </w:tabs>
        <w:ind w:left="2100" w:hanging="420"/>
      </w:pPr>
    </w:lvl>
    <w:lvl w:ilvl="4" w:tentative="0">
      <w:start w:val="1"/>
      <w:numFmt w:val="lowerLetter"/>
      <w:pStyle w:val="50"/>
      <w:lvlText w:val="%5)"/>
      <w:lvlJc w:val="left"/>
      <w:pPr>
        <w:tabs>
          <w:tab w:val="left" w:pos="2520"/>
        </w:tabs>
        <w:ind w:left="2520" w:hanging="420"/>
      </w:pPr>
    </w:lvl>
    <w:lvl w:ilvl="5" w:tentative="0">
      <w:start w:val="1"/>
      <w:numFmt w:val="lowerRoman"/>
      <w:pStyle w:val="68"/>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B"/>
    <w:multiLevelType w:val="multilevel"/>
    <w:tmpl w:val="0000000B"/>
    <w:lvl w:ilvl="0" w:tentative="0">
      <w:start w:val="1"/>
      <w:numFmt w:val="decimal"/>
      <w:pStyle w:val="87"/>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C"/>
    <w:multiLevelType w:val="multilevel"/>
    <w:tmpl w:val="0000000C"/>
    <w:lvl w:ilvl="0" w:tentative="0">
      <w:start w:val="1"/>
      <w:numFmt w:val="decimal"/>
      <w:pStyle w:val="66"/>
      <w:lvlText w:val="%1、"/>
      <w:lvlJc w:val="left"/>
      <w:pPr>
        <w:tabs>
          <w:tab w:val="left" w:pos="972"/>
        </w:tabs>
        <w:ind w:left="1320" w:hanging="564"/>
      </w:pPr>
      <w:rPr>
        <w:rFonts w:hint="eastAsia"/>
      </w:rPr>
    </w:lvl>
    <w:lvl w:ilvl="1" w:tentative="0">
      <w:start w:val="1"/>
      <w:numFmt w:val="lowerLetter"/>
      <w:pStyle w:val="64"/>
      <w:lvlText w:val="%2."/>
      <w:lvlJc w:val="left"/>
      <w:pPr>
        <w:tabs>
          <w:tab w:val="left" w:pos="1980"/>
        </w:tabs>
        <w:ind w:left="1980" w:hanging="360"/>
      </w:pPr>
    </w:lvl>
    <w:lvl w:ilvl="2" w:tentative="0">
      <w:start w:val="1"/>
      <w:numFmt w:val="lowerRoman"/>
      <w:pStyle w:val="63"/>
      <w:lvlText w:val="%3."/>
      <w:lvlJc w:val="right"/>
      <w:pPr>
        <w:tabs>
          <w:tab w:val="left" w:pos="2700"/>
        </w:tabs>
        <w:ind w:left="2700" w:hanging="180"/>
      </w:pPr>
    </w:lvl>
    <w:lvl w:ilvl="3" w:tentative="0">
      <w:start w:val="1"/>
      <w:numFmt w:val="decimal"/>
      <w:pStyle w:val="62"/>
      <w:lvlText w:val="%4."/>
      <w:lvlJc w:val="left"/>
      <w:pPr>
        <w:tabs>
          <w:tab w:val="left" w:pos="3420"/>
        </w:tabs>
        <w:ind w:left="3420" w:hanging="360"/>
      </w:pPr>
    </w:lvl>
    <w:lvl w:ilvl="4" w:tentative="0">
      <w:start w:val="1"/>
      <w:numFmt w:val="lowerLetter"/>
      <w:pStyle w:val="61"/>
      <w:lvlText w:val="%5."/>
      <w:lvlJc w:val="left"/>
      <w:pPr>
        <w:tabs>
          <w:tab w:val="left" w:pos="4140"/>
        </w:tabs>
        <w:ind w:left="4140" w:hanging="360"/>
      </w:pPr>
    </w:lvl>
    <w:lvl w:ilvl="5" w:tentative="0">
      <w:start w:val="1"/>
      <w:numFmt w:val="lowerRoman"/>
      <w:pStyle w:val="60"/>
      <w:lvlText w:val="%6."/>
      <w:lvlJc w:val="right"/>
      <w:pPr>
        <w:tabs>
          <w:tab w:val="left" w:pos="4860"/>
        </w:tabs>
        <w:ind w:left="4860" w:hanging="180"/>
      </w:pPr>
    </w:lvl>
    <w:lvl w:ilvl="6" w:tentative="0">
      <w:start w:val="1"/>
      <w:numFmt w:val="decimal"/>
      <w:pStyle w:val="104"/>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4">
    <w:nsid w:val="14CF7821"/>
    <w:multiLevelType w:val="multilevel"/>
    <w:tmpl w:val="14CF7821"/>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23813970"/>
    <w:multiLevelType w:val="multilevel"/>
    <w:tmpl w:val="23813970"/>
    <w:lvl w:ilvl="0" w:tentative="0">
      <w:start w:val="1"/>
      <w:numFmt w:val="decimal"/>
      <w:pStyle w:val="70"/>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1551737"/>
    <w:multiLevelType w:val="multilevel"/>
    <w:tmpl w:val="41551737"/>
    <w:lvl w:ilvl="0" w:tentative="0">
      <w:start w:val="1"/>
      <w:numFmt w:val="japaneseCounting"/>
      <w:pStyle w:val="106"/>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CC26843"/>
    <w:multiLevelType w:val="multilevel"/>
    <w:tmpl w:val="4CC26843"/>
    <w:lvl w:ilvl="0" w:tentative="0">
      <w:start w:val="10"/>
      <w:numFmt w:val="decimal"/>
      <w:pStyle w:val="120"/>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03A0AE7"/>
    <w:multiLevelType w:val="multilevel"/>
    <w:tmpl w:val="503A0AE7"/>
    <w:lvl w:ilvl="0" w:tentative="0">
      <w:start w:val="2"/>
      <w:numFmt w:val="decimal"/>
      <w:pStyle w:val="11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767656C"/>
    <w:multiLevelType w:val="multilevel"/>
    <w:tmpl w:val="5767656C"/>
    <w:lvl w:ilvl="0" w:tentative="0">
      <w:start w:val="1"/>
      <w:numFmt w:val="decimal"/>
      <w:pStyle w:val="95"/>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71CA2E6C"/>
    <w:multiLevelType w:val="multilevel"/>
    <w:tmpl w:val="71CA2E6C"/>
    <w:lvl w:ilvl="0" w:tentative="0">
      <w:start w:val="1"/>
      <w:numFmt w:val="decimal"/>
      <w:lvlText w:val="（%1）......ꌜ"/>
      <w:lvlJc w:val="left"/>
      <w:pPr>
        <w:ind w:left="2160" w:hanging="21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lvlText w:val="（%1）%4.%5.%6.%7.%8.%9."/>
      <w:lvlJc w:val="left"/>
      <w:pPr>
        <w:ind w:left="3448" w:hanging="1800"/>
      </w:pPr>
      <w:rPr>
        <w:rFonts w:hint="default"/>
      </w:rPr>
    </w:lvl>
  </w:abstractNum>
  <w:abstractNum w:abstractNumId="13">
    <w:nsid w:val="732D5169"/>
    <w:multiLevelType w:val="multilevel"/>
    <w:tmpl w:val="732D5169"/>
    <w:lvl w:ilvl="0" w:tentative="0">
      <w:start w:val="1"/>
      <w:numFmt w:val="decimal"/>
      <w:pStyle w:val="76"/>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hideSpellingErrors/>
  <w:documentProtection w:enforcement="0"/>
  <w:defaultTabStop w:val="0"/>
  <w:drawingGridHorizontalSpacing w:val="105"/>
  <w:drawingGridVerticalSpacing w:val="16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C6"/>
    <w:rsid w:val="00001337"/>
    <w:rsid w:val="000013B7"/>
    <w:rsid w:val="000018B6"/>
    <w:rsid w:val="00002DFE"/>
    <w:rsid w:val="00003EDF"/>
    <w:rsid w:val="000044CD"/>
    <w:rsid w:val="00004A95"/>
    <w:rsid w:val="00005B70"/>
    <w:rsid w:val="00007F46"/>
    <w:rsid w:val="000101DB"/>
    <w:rsid w:val="00010919"/>
    <w:rsid w:val="00010B94"/>
    <w:rsid w:val="00011A0B"/>
    <w:rsid w:val="00011DE5"/>
    <w:rsid w:val="000129F1"/>
    <w:rsid w:val="00012D92"/>
    <w:rsid w:val="00012F89"/>
    <w:rsid w:val="0001387D"/>
    <w:rsid w:val="000141B5"/>
    <w:rsid w:val="0001441D"/>
    <w:rsid w:val="00014556"/>
    <w:rsid w:val="00014BD0"/>
    <w:rsid w:val="00015966"/>
    <w:rsid w:val="000159B2"/>
    <w:rsid w:val="00015DA0"/>
    <w:rsid w:val="00016269"/>
    <w:rsid w:val="0001672C"/>
    <w:rsid w:val="000168BB"/>
    <w:rsid w:val="000172AD"/>
    <w:rsid w:val="00017704"/>
    <w:rsid w:val="00020DE9"/>
    <w:rsid w:val="000213CB"/>
    <w:rsid w:val="00021874"/>
    <w:rsid w:val="000223D4"/>
    <w:rsid w:val="00023890"/>
    <w:rsid w:val="00023F78"/>
    <w:rsid w:val="00025312"/>
    <w:rsid w:val="00025D36"/>
    <w:rsid w:val="000262D5"/>
    <w:rsid w:val="000263F7"/>
    <w:rsid w:val="00026A1C"/>
    <w:rsid w:val="00026B06"/>
    <w:rsid w:val="00026D67"/>
    <w:rsid w:val="00027219"/>
    <w:rsid w:val="0002780C"/>
    <w:rsid w:val="0002783E"/>
    <w:rsid w:val="00027DB0"/>
    <w:rsid w:val="00027F18"/>
    <w:rsid w:val="00031CC2"/>
    <w:rsid w:val="00032799"/>
    <w:rsid w:val="0003289C"/>
    <w:rsid w:val="00032B3C"/>
    <w:rsid w:val="00033223"/>
    <w:rsid w:val="00033326"/>
    <w:rsid w:val="000347EB"/>
    <w:rsid w:val="000348F6"/>
    <w:rsid w:val="000351EA"/>
    <w:rsid w:val="00035299"/>
    <w:rsid w:val="00035429"/>
    <w:rsid w:val="00035F4B"/>
    <w:rsid w:val="0003699E"/>
    <w:rsid w:val="00037635"/>
    <w:rsid w:val="00037BA4"/>
    <w:rsid w:val="0004011B"/>
    <w:rsid w:val="0004063A"/>
    <w:rsid w:val="00041153"/>
    <w:rsid w:val="00042879"/>
    <w:rsid w:val="00042EF1"/>
    <w:rsid w:val="000437E9"/>
    <w:rsid w:val="00044929"/>
    <w:rsid w:val="00044B38"/>
    <w:rsid w:val="00044CE5"/>
    <w:rsid w:val="000450D9"/>
    <w:rsid w:val="000453BE"/>
    <w:rsid w:val="00046197"/>
    <w:rsid w:val="00046AF6"/>
    <w:rsid w:val="00047469"/>
    <w:rsid w:val="000475E7"/>
    <w:rsid w:val="000477D8"/>
    <w:rsid w:val="000479CE"/>
    <w:rsid w:val="00051154"/>
    <w:rsid w:val="00051EEB"/>
    <w:rsid w:val="00052196"/>
    <w:rsid w:val="00052223"/>
    <w:rsid w:val="00052760"/>
    <w:rsid w:val="00053534"/>
    <w:rsid w:val="000537AD"/>
    <w:rsid w:val="0005392D"/>
    <w:rsid w:val="00054898"/>
    <w:rsid w:val="000548CF"/>
    <w:rsid w:val="00054B73"/>
    <w:rsid w:val="00054F3A"/>
    <w:rsid w:val="00055C4B"/>
    <w:rsid w:val="00055CC5"/>
    <w:rsid w:val="0005658A"/>
    <w:rsid w:val="000565EA"/>
    <w:rsid w:val="000566E1"/>
    <w:rsid w:val="00056E07"/>
    <w:rsid w:val="000576D6"/>
    <w:rsid w:val="0006007A"/>
    <w:rsid w:val="0006032D"/>
    <w:rsid w:val="00060601"/>
    <w:rsid w:val="00060AD7"/>
    <w:rsid w:val="00060C6D"/>
    <w:rsid w:val="00060E23"/>
    <w:rsid w:val="00060F20"/>
    <w:rsid w:val="0006125A"/>
    <w:rsid w:val="00061670"/>
    <w:rsid w:val="00061804"/>
    <w:rsid w:val="00062015"/>
    <w:rsid w:val="00062389"/>
    <w:rsid w:val="000624A6"/>
    <w:rsid w:val="00065160"/>
    <w:rsid w:val="0006567D"/>
    <w:rsid w:val="00066BD9"/>
    <w:rsid w:val="0006727F"/>
    <w:rsid w:val="000676ED"/>
    <w:rsid w:val="00067BAC"/>
    <w:rsid w:val="00067F20"/>
    <w:rsid w:val="00070924"/>
    <w:rsid w:val="00070B43"/>
    <w:rsid w:val="00070B9E"/>
    <w:rsid w:val="00071167"/>
    <w:rsid w:val="000718CC"/>
    <w:rsid w:val="00071C8B"/>
    <w:rsid w:val="000729CC"/>
    <w:rsid w:val="00072F77"/>
    <w:rsid w:val="00073761"/>
    <w:rsid w:val="00073D3F"/>
    <w:rsid w:val="00074225"/>
    <w:rsid w:val="0007428A"/>
    <w:rsid w:val="0007579D"/>
    <w:rsid w:val="00075BF0"/>
    <w:rsid w:val="00076CCB"/>
    <w:rsid w:val="0008194C"/>
    <w:rsid w:val="00082875"/>
    <w:rsid w:val="00082D23"/>
    <w:rsid w:val="00082D8D"/>
    <w:rsid w:val="000833C7"/>
    <w:rsid w:val="00083515"/>
    <w:rsid w:val="0008405F"/>
    <w:rsid w:val="000846EF"/>
    <w:rsid w:val="0008517A"/>
    <w:rsid w:val="0008557B"/>
    <w:rsid w:val="000857B8"/>
    <w:rsid w:val="00085847"/>
    <w:rsid w:val="00085F22"/>
    <w:rsid w:val="00087225"/>
    <w:rsid w:val="000874E4"/>
    <w:rsid w:val="000875D3"/>
    <w:rsid w:val="00087C5C"/>
    <w:rsid w:val="00087F83"/>
    <w:rsid w:val="0009032F"/>
    <w:rsid w:val="00090751"/>
    <w:rsid w:val="00091ED5"/>
    <w:rsid w:val="00092A03"/>
    <w:rsid w:val="00093A4F"/>
    <w:rsid w:val="000948FA"/>
    <w:rsid w:val="00094E6F"/>
    <w:rsid w:val="0009514D"/>
    <w:rsid w:val="000954C3"/>
    <w:rsid w:val="000963D1"/>
    <w:rsid w:val="0009656D"/>
    <w:rsid w:val="00097AE5"/>
    <w:rsid w:val="00097C86"/>
    <w:rsid w:val="000A11B3"/>
    <w:rsid w:val="000A1412"/>
    <w:rsid w:val="000A15B2"/>
    <w:rsid w:val="000A1CAE"/>
    <w:rsid w:val="000A2779"/>
    <w:rsid w:val="000A3ADC"/>
    <w:rsid w:val="000A41F6"/>
    <w:rsid w:val="000A433E"/>
    <w:rsid w:val="000A46C1"/>
    <w:rsid w:val="000A5613"/>
    <w:rsid w:val="000A572F"/>
    <w:rsid w:val="000A5E58"/>
    <w:rsid w:val="000A6119"/>
    <w:rsid w:val="000A75A9"/>
    <w:rsid w:val="000A7F90"/>
    <w:rsid w:val="000A7FE5"/>
    <w:rsid w:val="000B0ECF"/>
    <w:rsid w:val="000B1A5B"/>
    <w:rsid w:val="000B1C5D"/>
    <w:rsid w:val="000B2558"/>
    <w:rsid w:val="000B2757"/>
    <w:rsid w:val="000B2D68"/>
    <w:rsid w:val="000B374E"/>
    <w:rsid w:val="000B413E"/>
    <w:rsid w:val="000B4529"/>
    <w:rsid w:val="000B47CC"/>
    <w:rsid w:val="000B4879"/>
    <w:rsid w:val="000B4F6D"/>
    <w:rsid w:val="000B507F"/>
    <w:rsid w:val="000B5537"/>
    <w:rsid w:val="000B5721"/>
    <w:rsid w:val="000B58E8"/>
    <w:rsid w:val="000B5CC8"/>
    <w:rsid w:val="000B696D"/>
    <w:rsid w:val="000B71F6"/>
    <w:rsid w:val="000B73A2"/>
    <w:rsid w:val="000B78CB"/>
    <w:rsid w:val="000C0540"/>
    <w:rsid w:val="000C0C34"/>
    <w:rsid w:val="000C1117"/>
    <w:rsid w:val="000C1F6B"/>
    <w:rsid w:val="000C2495"/>
    <w:rsid w:val="000C28E0"/>
    <w:rsid w:val="000C2C8A"/>
    <w:rsid w:val="000C2ECC"/>
    <w:rsid w:val="000C3E78"/>
    <w:rsid w:val="000C3EF8"/>
    <w:rsid w:val="000C420D"/>
    <w:rsid w:val="000C44A5"/>
    <w:rsid w:val="000C536C"/>
    <w:rsid w:val="000C57EC"/>
    <w:rsid w:val="000C5F19"/>
    <w:rsid w:val="000C6008"/>
    <w:rsid w:val="000C66DB"/>
    <w:rsid w:val="000C6A0B"/>
    <w:rsid w:val="000C7066"/>
    <w:rsid w:val="000C7558"/>
    <w:rsid w:val="000D0C1B"/>
    <w:rsid w:val="000D0C43"/>
    <w:rsid w:val="000D0EE3"/>
    <w:rsid w:val="000D25A3"/>
    <w:rsid w:val="000D25FF"/>
    <w:rsid w:val="000D277E"/>
    <w:rsid w:val="000D2BFC"/>
    <w:rsid w:val="000D2E21"/>
    <w:rsid w:val="000D3976"/>
    <w:rsid w:val="000D4F6B"/>
    <w:rsid w:val="000D5121"/>
    <w:rsid w:val="000D62C6"/>
    <w:rsid w:val="000D75A9"/>
    <w:rsid w:val="000D7A0B"/>
    <w:rsid w:val="000D7C07"/>
    <w:rsid w:val="000E0B96"/>
    <w:rsid w:val="000E0D40"/>
    <w:rsid w:val="000E15E8"/>
    <w:rsid w:val="000E177D"/>
    <w:rsid w:val="000E2879"/>
    <w:rsid w:val="000E305D"/>
    <w:rsid w:val="000E3DD4"/>
    <w:rsid w:val="000E576C"/>
    <w:rsid w:val="000E6255"/>
    <w:rsid w:val="000E6DB6"/>
    <w:rsid w:val="000E7614"/>
    <w:rsid w:val="000E7968"/>
    <w:rsid w:val="000E7FEB"/>
    <w:rsid w:val="000F04CA"/>
    <w:rsid w:val="000F11F8"/>
    <w:rsid w:val="000F1B73"/>
    <w:rsid w:val="000F1C1A"/>
    <w:rsid w:val="000F23E5"/>
    <w:rsid w:val="000F29C5"/>
    <w:rsid w:val="000F2DA3"/>
    <w:rsid w:val="000F2E9B"/>
    <w:rsid w:val="000F2F07"/>
    <w:rsid w:val="000F2F7A"/>
    <w:rsid w:val="000F3ACE"/>
    <w:rsid w:val="000F43EB"/>
    <w:rsid w:val="000F4B46"/>
    <w:rsid w:val="000F61AE"/>
    <w:rsid w:val="000F61EC"/>
    <w:rsid w:val="000F73F9"/>
    <w:rsid w:val="000F788E"/>
    <w:rsid w:val="001005DB"/>
    <w:rsid w:val="00100DA8"/>
    <w:rsid w:val="0010113D"/>
    <w:rsid w:val="001014B3"/>
    <w:rsid w:val="00102B28"/>
    <w:rsid w:val="001032A8"/>
    <w:rsid w:val="001038BF"/>
    <w:rsid w:val="00103C96"/>
    <w:rsid w:val="0010431C"/>
    <w:rsid w:val="00105815"/>
    <w:rsid w:val="00110003"/>
    <w:rsid w:val="00110205"/>
    <w:rsid w:val="001107BB"/>
    <w:rsid w:val="00110A48"/>
    <w:rsid w:val="00110D20"/>
    <w:rsid w:val="00110D65"/>
    <w:rsid w:val="00111E6E"/>
    <w:rsid w:val="00113592"/>
    <w:rsid w:val="00113AB4"/>
    <w:rsid w:val="00113B89"/>
    <w:rsid w:val="001144B5"/>
    <w:rsid w:val="00116434"/>
    <w:rsid w:val="00116D9A"/>
    <w:rsid w:val="00116F77"/>
    <w:rsid w:val="0011762B"/>
    <w:rsid w:val="00117941"/>
    <w:rsid w:val="00120585"/>
    <w:rsid w:val="00120F2C"/>
    <w:rsid w:val="0012153E"/>
    <w:rsid w:val="00121F93"/>
    <w:rsid w:val="0012277F"/>
    <w:rsid w:val="00122D79"/>
    <w:rsid w:val="001231FC"/>
    <w:rsid w:val="001235FB"/>
    <w:rsid w:val="00123765"/>
    <w:rsid w:val="00124C95"/>
    <w:rsid w:val="001263BA"/>
    <w:rsid w:val="001266EB"/>
    <w:rsid w:val="00126FE5"/>
    <w:rsid w:val="00127370"/>
    <w:rsid w:val="00127D28"/>
    <w:rsid w:val="00130558"/>
    <w:rsid w:val="00130CF3"/>
    <w:rsid w:val="00130ED4"/>
    <w:rsid w:val="001311B3"/>
    <w:rsid w:val="001314F6"/>
    <w:rsid w:val="001322F0"/>
    <w:rsid w:val="00132834"/>
    <w:rsid w:val="00132DB9"/>
    <w:rsid w:val="0013310F"/>
    <w:rsid w:val="00134470"/>
    <w:rsid w:val="00135D45"/>
    <w:rsid w:val="001362C4"/>
    <w:rsid w:val="00136313"/>
    <w:rsid w:val="00137E7E"/>
    <w:rsid w:val="00140143"/>
    <w:rsid w:val="00140ACA"/>
    <w:rsid w:val="00141335"/>
    <w:rsid w:val="001416E8"/>
    <w:rsid w:val="00141E6D"/>
    <w:rsid w:val="00142438"/>
    <w:rsid w:val="001425A1"/>
    <w:rsid w:val="001435AC"/>
    <w:rsid w:val="00143D59"/>
    <w:rsid w:val="0014516D"/>
    <w:rsid w:val="00145FB0"/>
    <w:rsid w:val="001469CA"/>
    <w:rsid w:val="00146B82"/>
    <w:rsid w:val="001471F2"/>
    <w:rsid w:val="00147B8A"/>
    <w:rsid w:val="00147BE5"/>
    <w:rsid w:val="00150525"/>
    <w:rsid w:val="0015094A"/>
    <w:rsid w:val="00150DF7"/>
    <w:rsid w:val="001510D1"/>
    <w:rsid w:val="001516C3"/>
    <w:rsid w:val="00151D2D"/>
    <w:rsid w:val="00152D96"/>
    <w:rsid w:val="00153C79"/>
    <w:rsid w:val="001542F8"/>
    <w:rsid w:val="0015455A"/>
    <w:rsid w:val="00155066"/>
    <w:rsid w:val="00155D38"/>
    <w:rsid w:val="00156396"/>
    <w:rsid w:val="0015671F"/>
    <w:rsid w:val="0015681B"/>
    <w:rsid w:val="001570D0"/>
    <w:rsid w:val="00157924"/>
    <w:rsid w:val="00157B76"/>
    <w:rsid w:val="00157E18"/>
    <w:rsid w:val="001602B0"/>
    <w:rsid w:val="00160C6A"/>
    <w:rsid w:val="00161707"/>
    <w:rsid w:val="0016248D"/>
    <w:rsid w:val="00162566"/>
    <w:rsid w:val="00162B46"/>
    <w:rsid w:val="00163DC1"/>
    <w:rsid w:val="00163E28"/>
    <w:rsid w:val="001645D1"/>
    <w:rsid w:val="001646BE"/>
    <w:rsid w:val="00164773"/>
    <w:rsid w:val="00165766"/>
    <w:rsid w:val="00165878"/>
    <w:rsid w:val="00166002"/>
    <w:rsid w:val="00166373"/>
    <w:rsid w:val="00166F4E"/>
    <w:rsid w:val="0016726A"/>
    <w:rsid w:val="001674CC"/>
    <w:rsid w:val="00167668"/>
    <w:rsid w:val="00167E54"/>
    <w:rsid w:val="00171117"/>
    <w:rsid w:val="00171480"/>
    <w:rsid w:val="0017165F"/>
    <w:rsid w:val="00171C74"/>
    <w:rsid w:val="00172A27"/>
    <w:rsid w:val="00172A6B"/>
    <w:rsid w:val="00173107"/>
    <w:rsid w:val="00173A8C"/>
    <w:rsid w:val="001744D1"/>
    <w:rsid w:val="001744E5"/>
    <w:rsid w:val="00175F34"/>
    <w:rsid w:val="001769D7"/>
    <w:rsid w:val="00176D4F"/>
    <w:rsid w:val="001778D0"/>
    <w:rsid w:val="001802D3"/>
    <w:rsid w:val="00182485"/>
    <w:rsid w:val="00182EA9"/>
    <w:rsid w:val="00183173"/>
    <w:rsid w:val="001835A1"/>
    <w:rsid w:val="00183711"/>
    <w:rsid w:val="00183E10"/>
    <w:rsid w:val="00184E96"/>
    <w:rsid w:val="00185DC2"/>
    <w:rsid w:val="0018691E"/>
    <w:rsid w:val="00186A11"/>
    <w:rsid w:val="00187C2D"/>
    <w:rsid w:val="00187DDD"/>
    <w:rsid w:val="00190852"/>
    <w:rsid w:val="001915EF"/>
    <w:rsid w:val="0019191E"/>
    <w:rsid w:val="00192145"/>
    <w:rsid w:val="00192CAD"/>
    <w:rsid w:val="00193759"/>
    <w:rsid w:val="001940C1"/>
    <w:rsid w:val="0019499B"/>
    <w:rsid w:val="00195599"/>
    <w:rsid w:val="0019638D"/>
    <w:rsid w:val="00197536"/>
    <w:rsid w:val="00197DBA"/>
    <w:rsid w:val="001A0305"/>
    <w:rsid w:val="001A0655"/>
    <w:rsid w:val="001A0C7C"/>
    <w:rsid w:val="001A2AF4"/>
    <w:rsid w:val="001A2B0E"/>
    <w:rsid w:val="001A4DFB"/>
    <w:rsid w:val="001A5601"/>
    <w:rsid w:val="001A618D"/>
    <w:rsid w:val="001A6194"/>
    <w:rsid w:val="001A730C"/>
    <w:rsid w:val="001A753D"/>
    <w:rsid w:val="001A7793"/>
    <w:rsid w:val="001B05FD"/>
    <w:rsid w:val="001B075E"/>
    <w:rsid w:val="001B0BFB"/>
    <w:rsid w:val="001B0E17"/>
    <w:rsid w:val="001B2088"/>
    <w:rsid w:val="001B2486"/>
    <w:rsid w:val="001B27AA"/>
    <w:rsid w:val="001B31A8"/>
    <w:rsid w:val="001B3929"/>
    <w:rsid w:val="001B3D9D"/>
    <w:rsid w:val="001B4228"/>
    <w:rsid w:val="001B430D"/>
    <w:rsid w:val="001B491B"/>
    <w:rsid w:val="001B4B63"/>
    <w:rsid w:val="001B4E72"/>
    <w:rsid w:val="001B50ED"/>
    <w:rsid w:val="001B58DA"/>
    <w:rsid w:val="001C00E9"/>
    <w:rsid w:val="001C08F0"/>
    <w:rsid w:val="001C155B"/>
    <w:rsid w:val="001C15EA"/>
    <w:rsid w:val="001C1789"/>
    <w:rsid w:val="001C1DFF"/>
    <w:rsid w:val="001C2376"/>
    <w:rsid w:val="001C2DE2"/>
    <w:rsid w:val="001C36AD"/>
    <w:rsid w:val="001C3A5B"/>
    <w:rsid w:val="001C3F2D"/>
    <w:rsid w:val="001C445D"/>
    <w:rsid w:val="001C4E38"/>
    <w:rsid w:val="001C5864"/>
    <w:rsid w:val="001C5B56"/>
    <w:rsid w:val="001C5DA3"/>
    <w:rsid w:val="001C60E8"/>
    <w:rsid w:val="001C6E61"/>
    <w:rsid w:val="001C7716"/>
    <w:rsid w:val="001D0A40"/>
    <w:rsid w:val="001D10F9"/>
    <w:rsid w:val="001D197C"/>
    <w:rsid w:val="001D1A98"/>
    <w:rsid w:val="001D1ED0"/>
    <w:rsid w:val="001D1ED4"/>
    <w:rsid w:val="001D1EDB"/>
    <w:rsid w:val="001D34F8"/>
    <w:rsid w:val="001D36DD"/>
    <w:rsid w:val="001D4CC4"/>
    <w:rsid w:val="001D4D59"/>
    <w:rsid w:val="001D4F38"/>
    <w:rsid w:val="001D53A1"/>
    <w:rsid w:val="001D5991"/>
    <w:rsid w:val="001D5B5B"/>
    <w:rsid w:val="001D69FF"/>
    <w:rsid w:val="001D7AD4"/>
    <w:rsid w:val="001E063D"/>
    <w:rsid w:val="001E0AF7"/>
    <w:rsid w:val="001E0E8A"/>
    <w:rsid w:val="001E12DF"/>
    <w:rsid w:val="001E1667"/>
    <w:rsid w:val="001E17B0"/>
    <w:rsid w:val="001E1912"/>
    <w:rsid w:val="001E23C5"/>
    <w:rsid w:val="001E2BFA"/>
    <w:rsid w:val="001E2C7D"/>
    <w:rsid w:val="001E2E48"/>
    <w:rsid w:val="001E39CE"/>
    <w:rsid w:val="001E4437"/>
    <w:rsid w:val="001E4CB8"/>
    <w:rsid w:val="001E5AEF"/>
    <w:rsid w:val="001E5F56"/>
    <w:rsid w:val="001E658D"/>
    <w:rsid w:val="001E68BD"/>
    <w:rsid w:val="001F0448"/>
    <w:rsid w:val="001F0697"/>
    <w:rsid w:val="001F0885"/>
    <w:rsid w:val="001F09C1"/>
    <w:rsid w:val="001F0ECA"/>
    <w:rsid w:val="001F1F51"/>
    <w:rsid w:val="001F212E"/>
    <w:rsid w:val="001F225A"/>
    <w:rsid w:val="001F227A"/>
    <w:rsid w:val="001F2FD9"/>
    <w:rsid w:val="001F32B8"/>
    <w:rsid w:val="001F3672"/>
    <w:rsid w:val="001F488F"/>
    <w:rsid w:val="001F549B"/>
    <w:rsid w:val="001F561F"/>
    <w:rsid w:val="001F5AAC"/>
    <w:rsid w:val="001F6A66"/>
    <w:rsid w:val="001F7361"/>
    <w:rsid w:val="001F753B"/>
    <w:rsid w:val="00200261"/>
    <w:rsid w:val="00200714"/>
    <w:rsid w:val="00201F27"/>
    <w:rsid w:val="00201F3E"/>
    <w:rsid w:val="00201F42"/>
    <w:rsid w:val="00204AE2"/>
    <w:rsid w:val="00204C17"/>
    <w:rsid w:val="00204F22"/>
    <w:rsid w:val="0020523F"/>
    <w:rsid w:val="00205296"/>
    <w:rsid w:val="00205869"/>
    <w:rsid w:val="00206F16"/>
    <w:rsid w:val="00207832"/>
    <w:rsid w:val="00207E05"/>
    <w:rsid w:val="002104D4"/>
    <w:rsid w:val="0021053B"/>
    <w:rsid w:val="00211E83"/>
    <w:rsid w:val="002120CB"/>
    <w:rsid w:val="002123D9"/>
    <w:rsid w:val="00214A1E"/>
    <w:rsid w:val="00214F53"/>
    <w:rsid w:val="00214F55"/>
    <w:rsid w:val="00214F5D"/>
    <w:rsid w:val="00215415"/>
    <w:rsid w:val="002157B0"/>
    <w:rsid w:val="00215924"/>
    <w:rsid w:val="00216BAD"/>
    <w:rsid w:val="00220644"/>
    <w:rsid w:val="00220760"/>
    <w:rsid w:val="002208D5"/>
    <w:rsid w:val="00221957"/>
    <w:rsid w:val="0022251B"/>
    <w:rsid w:val="002232F0"/>
    <w:rsid w:val="00223EFA"/>
    <w:rsid w:val="002242D1"/>
    <w:rsid w:val="00224ADC"/>
    <w:rsid w:val="00224D1C"/>
    <w:rsid w:val="00225003"/>
    <w:rsid w:val="00225A75"/>
    <w:rsid w:val="00225F3D"/>
    <w:rsid w:val="0022623E"/>
    <w:rsid w:val="00226C52"/>
    <w:rsid w:val="00226D59"/>
    <w:rsid w:val="00227037"/>
    <w:rsid w:val="00227130"/>
    <w:rsid w:val="00227253"/>
    <w:rsid w:val="0022747E"/>
    <w:rsid w:val="00227C4F"/>
    <w:rsid w:val="00230A93"/>
    <w:rsid w:val="002319A7"/>
    <w:rsid w:val="00231C28"/>
    <w:rsid w:val="0023222B"/>
    <w:rsid w:val="00232580"/>
    <w:rsid w:val="002328D0"/>
    <w:rsid w:val="00233005"/>
    <w:rsid w:val="0023399F"/>
    <w:rsid w:val="00233DDE"/>
    <w:rsid w:val="00233EBD"/>
    <w:rsid w:val="00235600"/>
    <w:rsid w:val="002357CC"/>
    <w:rsid w:val="00235D04"/>
    <w:rsid w:val="00235E96"/>
    <w:rsid w:val="00236046"/>
    <w:rsid w:val="002367BD"/>
    <w:rsid w:val="00236842"/>
    <w:rsid w:val="0023698E"/>
    <w:rsid w:val="002375CA"/>
    <w:rsid w:val="0023796E"/>
    <w:rsid w:val="00237FCB"/>
    <w:rsid w:val="0024035D"/>
    <w:rsid w:val="00240D3C"/>
    <w:rsid w:val="00241081"/>
    <w:rsid w:val="002412FE"/>
    <w:rsid w:val="00241589"/>
    <w:rsid w:val="00241F1B"/>
    <w:rsid w:val="002431C1"/>
    <w:rsid w:val="00243B00"/>
    <w:rsid w:val="00243C55"/>
    <w:rsid w:val="00243FF3"/>
    <w:rsid w:val="00244362"/>
    <w:rsid w:val="00244DCF"/>
    <w:rsid w:val="00245966"/>
    <w:rsid w:val="00247462"/>
    <w:rsid w:val="00247BB2"/>
    <w:rsid w:val="00247BBB"/>
    <w:rsid w:val="002505BF"/>
    <w:rsid w:val="00250A84"/>
    <w:rsid w:val="00250E32"/>
    <w:rsid w:val="00251CEE"/>
    <w:rsid w:val="00251F00"/>
    <w:rsid w:val="00252568"/>
    <w:rsid w:val="002526A7"/>
    <w:rsid w:val="00252CDE"/>
    <w:rsid w:val="00252F54"/>
    <w:rsid w:val="00253F18"/>
    <w:rsid w:val="002541B3"/>
    <w:rsid w:val="00254A0B"/>
    <w:rsid w:val="00254EAE"/>
    <w:rsid w:val="00255867"/>
    <w:rsid w:val="00256919"/>
    <w:rsid w:val="00256BC0"/>
    <w:rsid w:val="00256D99"/>
    <w:rsid w:val="00257249"/>
    <w:rsid w:val="00257D12"/>
    <w:rsid w:val="00260D72"/>
    <w:rsid w:val="00261571"/>
    <w:rsid w:val="002618EE"/>
    <w:rsid w:val="002622FF"/>
    <w:rsid w:val="0026235F"/>
    <w:rsid w:val="00262483"/>
    <w:rsid w:val="0026252E"/>
    <w:rsid w:val="00262D17"/>
    <w:rsid w:val="00262D8E"/>
    <w:rsid w:val="00263EBA"/>
    <w:rsid w:val="0026435E"/>
    <w:rsid w:val="002645C6"/>
    <w:rsid w:val="002646C8"/>
    <w:rsid w:val="00264AC3"/>
    <w:rsid w:val="00264D0E"/>
    <w:rsid w:val="0026593A"/>
    <w:rsid w:val="002667F5"/>
    <w:rsid w:val="002670BA"/>
    <w:rsid w:val="00270A3B"/>
    <w:rsid w:val="00270E2C"/>
    <w:rsid w:val="00271214"/>
    <w:rsid w:val="002712B8"/>
    <w:rsid w:val="00271811"/>
    <w:rsid w:val="00271E79"/>
    <w:rsid w:val="002723BE"/>
    <w:rsid w:val="00272BD6"/>
    <w:rsid w:val="00274915"/>
    <w:rsid w:val="00274931"/>
    <w:rsid w:val="00275040"/>
    <w:rsid w:val="002752BF"/>
    <w:rsid w:val="002753DE"/>
    <w:rsid w:val="002756E5"/>
    <w:rsid w:val="00276026"/>
    <w:rsid w:val="0027678A"/>
    <w:rsid w:val="00276E00"/>
    <w:rsid w:val="00276FA7"/>
    <w:rsid w:val="00277A10"/>
    <w:rsid w:val="002804E0"/>
    <w:rsid w:val="0028080B"/>
    <w:rsid w:val="00280C3A"/>
    <w:rsid w:val="00280C83"/>
    <w:rsid w:val="00282328"/>
    <w:rsid w:val="00282C09"/>
    <w:rsid w:val="00282F8A"/>
    <w:rsid w:val="00283148"/>
    <w:rsid w:val="002838FC"/>
    <w:rsid w:val="00284129"/>
    <w:rsid w:val="00284B97"/>
    <w:rsid w:val="00285335"/>
    <w:rsid w:val="002867C3"/>
    <w:rsid w:val="0028690A"/>
    <w:rsid w:val="002876C2"/>
    <w:rsid w:val="002877A9"/>
    <w:rsid w:val="002877D8"/>
    <w:rsid w:val="00287C40"/>
    <w:rsid w:val="00290D88"/>
    <w:rsid w:val="00291055"/>
    <w:rsid w:val="0029107F"/>
    <w:rsid w:val="002925E9"/>
    <w:rsid w:val="0029273C"/>
    <w:rsid w:val="00293049"/>
    <w:rsid w:val="0029344E"/>
    <w:rsid w:val="00294E2B"/>
    <w:rsid w:val="00295FD3"/>
    <w:rsid w:val="00296106"/>
    <w:rsid w:val="00296D24"/>
    <w:rsid w:val="0029723E"/>
    <w:rsid w:val="0029750A"/>
    <w:rsid w:val="002975D9"/>
    <w:rsid w:val="0029775F"/>
    <w:rsid w:val="0029782B"/>
    <w:rsid w:val="00297DFB"/>
    <w:rsid w:val="002A02C3"/>
    <w:rsid w:val="002A03C3"/>
    <w:rsid w:val="002A0E23"/>
    <w:rsid w:val="002A139B"/>
    <w:rsid w:val="002A1884"/>
    <w:rsid w:val="002A2818"/>
    <w:rsid w:val="002A354A"/>
    <w:rsid w:val="002A386E"/>
    <w:rsid w:val="002A39C0"/>
    <w:rsid w:val="002A4859"/>
    <w:rsid w:val="002A51BC"/>
    <w:rsid w:val="002A56EE"/>
    <w:rsid w:val="002A594B"/>
    <w:rsid w:val="002A5D3D"/>
    <w:rsid w:val="002A63AF"/>
    <w:rsid w:val="002A76D5"/>
    <w:rsid w:val="002B006B"/>
    <w:rsid w:val="002B065B"/>
    <w:rsid w:val="002B06E4"/>
    <w:rsid w:val="002B0DC9"/>
    <w:rsid w:val="002B0FA1"/>
    <w:rsid w:val="002B23DA"/>
    <w:rsid w:val="002B24ED"/>
    <w:rsid w:val="002B2508"/>
    <w:rsid w:val="002B33CB"/>
    <w:rsid w:val="002B37B2"/>
    <w:rsid w:val="002B384D"/>
    <w:rsid w:val="002B414D"/>
    <w:rsid w:val="002B5325"/>
    <w:rsid w:val="002B5EF7"/>
    <w:rsid w:val="002B6522"/>
    <w:rsid w:val="002B6B8E"/>
    <w:rsid w:val="002B786C"/>
    <w:rsid w:val="002C0072"/>
    <w:rsid w:val="002C0DB1"/>
    <w:rsid w:val="002C17B1"/>
    <w:rsid w:val="002C1F1A"/>
    <w:rsid w:val="002C2C8C"/>
    <w:rsid w:val="002C33CF"/>
    <w:rsid w:val="002C3CF8"/>
    <w:rsid w:val="002C4464"/>
    <w:rsid w:val="002C469D"/>
    <w:rsid w:val="002C48C1"/>
    <w:rsid w:val="002C5442"/>
    <w:rsid w:val="002C6385"/>
    <w:rsid w:val="002C6C63"/>
    <w:rsid w:val="002D0BB7"/>
    <w:rsid w:val="002D0FD8"/>
    <w:rsid w:val="002D2775"/>
    <w:rsid w:val="002D3364"/>
    <w:rsid w:val="002D3446"/>
    <w:rsid w:val="002D363F"/>
    <w:rsid w:val="002D3B24"/>
    <w:rsid w:val="002D409E"/>
    <w:rsid w:val="002D494E"/>
    <w:rsid w:val="002D4A59"/>
    <w:rsid w:val="002D4B89"/>
    <w:rsid w:val="002D54AD"/>
    <w:rsid w:val="002D55C0"/>
    <w:rsid w:val="002D634B"/>
    <w:rsid w:val="002D6EA7"/>
    <w:rsid w:val="002E0157"/>
    <w:rsid w:val="002E02CC"/>
    <w:rsid w:val="002E0E5C"/>
    <w:rsid w:val="002E0F20"/>
    <w:rsid w:val="002E0F78"/>
    <w:rsid w:val="002E140B"/>
    <w:rsid w:val="002E18BB"/>
    <w:rsid w:val="002E24DF"/>
    <w:rsid w:val="002E25CC"/>
    <w:rsid w:val="002E2695"/>
    <w:rsid w:val="002E30FC"/>
    <w:rsid w:val="002E341F"/>
    <w:rsid w:val="002E3506"/>
    <w:rsid w:val="002E37D8"/>
    <w:rsid w:val="002E3D47"/>
    <w:rsid w:val="002E4593"/>
    <w:rsid w:val="002E464A"/>
    <w:rsid w:val="002E4AB6"/>
    <w:rsid w:val="002E5526"/>
    <w:rsid w:val="002E633E"/>
    <w:rsid w:val="002E64C5"/>
    <w:rsid w:val="002E66FF"/>
    <w:rsid w:val="002E7160"/>
    <w:rsid w:val="002E7200"/>
    <w:rsid w:val="002F0763"/>
    <w:rsid w:val="002F131E"/>
    <w:rsid w:val="002F22DF"/>
    <w:rsid w:val="002F31F7"/>
    <w:rsid w:val="002F3850"/>
    <w:rsid w:val="002F3F27"/>
    <w:rsid w:val="002F425E"/>
    <w:rsid w:val="002F5B55"/>
    <w:rsid w:val="002F5D9E"/>
    <w:rsid w:val="002F5FCC"/>
    <w:rsid w:val="002F61B9"/>
    <w:rsid w:val="002F642B"/>
    <w:rsid w:val="002F65D8"/>
    <w:rsid w:val="002F6B58"/>
    <w:rsid w:val="002F6CFA"/>
    <w:rsid w:val="002F710B"/>
    <w:rsid w:val="002F7585"/>
    <w:rsid w:val="002F7811"/>
    <w:rsid w:val="002F79A9"/>
    <w:rsid w:val="002F7C2D"/>
    <w:rsid w:val="00300AA6"/>
    <w:rsid w:val="00300EAC"/>
    <w:rsid w:val="00301313"/>
    <w:rsid w:val="00301E6D"/>
    <w:rsid w:val="00302CA2"/>
    <w:rsid w:val="00302FE1"/>
    <w:rsid w:val="00303505"/>
    <w:rsid w:val="0030368F"/>
    <w:rsid w:val="0030426C"/>
    <w:rsid w:val="00305D6F"/>
    <w:rsid w:val="00305E4F"/>
    <w:rsid w:val="0030677B"/>
    <w:rsid w:val="00306850"/>
    <w:rsid w:val="003069F3"/>
    <w:rsid w:val="003075AB"/>
    <w:rsid w:val="00307C2D"/>
    <w:rsid w:val="00307EC5"/>
    <w:rsid w:val="0031071F"/>
    <w:rsid w:val="00311747"/>
    <w:rsid w:val="0031186C"/>
    <w:rsid w:val="00312481"/>
    <w:rsid w:val="00312600"/>
    <w:rsid w:val="003133DF"/>
    <w:rsid w:val="003135E7"/>
    <w:rsid w:val="003139AD"/>
    <w:rsid w:val="00314524"/>
    <w:rsid w:val="00315260"/>
    <w:rsid w:val="003159D2"/>
    <w:rsid w:val="00316D17"/>
    <w:rsid w:val="00317284"/>
    <w:rsid w:val="003224B8"/>
    <w:rsid w:val="00322829"/>
    <w:rsid w:val="00322973"/>
    <w:rsid w:val="00322AFB"/>
    <w:rsid w:val="0032519A"/>
    <w:rsid w:val="003257DD"/>
    <w:rsid w:val="00325888"/>
    <w:rsid w:val="00325A26"/>
    <w:rsid w:val="00326D5D"/>
    <w:rsid w:val="00326FAC"/>
    <w:rsid w:val="00330B1C"/>
    <w:rsid w:val="0033149C"/>
    <w:rsid w:val="003318B6"/>
    <w:rsid w:val="00331C1D"/>
    <w:rsid w:val="0033215C"/>
    <w:rsid w:val="0033279C"/>
    <w:rsid w:val="00332956"/>
    <w:rsid w:val="003332F1"/>
    <w:rsid w:val="00333B85"/>
    <w:rsid w:val="003349C9"/>
    <w:rsid w:val="0033500D"/>
    <w:rsid w:val="003355F5"/>
    <w:rsid w:val="00336A25"/>
    <w:rsid w:val="00337218"/>
    <w:rsid w:val="0033753E"/>
    <w:rsid w:val="00337694"/>
    <w:rsid w:val="0034067E"/>
    <w:rsid w:val="00340D00"/>
    <w:rsid w:val="00340D9C"/>
    <w:rsid w:val="003415C5"/>
    <w:rsid w:val="00341AC4"/>
    <w:rsid w:val="0034287D"/>
    <w:rsid w:val="00342B21"/>
    <w:rsid w:val="00343472"/>
    <w:rsid w:val="003443B3"/>
    <w:rsid w:val="00344471"/>
    <w:rsid w:val="00344592"/>
    <w:rsid w:val="00344B2A"/>
    <w:rsid w:val="003452AE"/>
    <w:rsid w:val="00345549"/>
    <w:rsid w:val="003463F2"/>
    <w:rsid w:val="00346460"/>
    <w:rsid w:val="00346821"/>
    <w:rsid w:val="00346F61"/>
    <w:rsid w:val="003470B5"/>
    <w:rsid w:val="0034753D"/>
    <w:rsid w:val="003521FC"/>
    <w:rsid w:val="00352217"/>
    <w:rsid w:val="003531D2"/>
    <w:rsid w:val="003538F1"/>
    <w:rsid w:val="00353CE1"/>
    <w:rsid w:val="00353D7D"/>
    <w:rsid w:val="00353DCF"/>
    <w:rsid w:val="00354149"/>
    <w:rsid w:val="003542AA"/>
    <w:rsid w:val="00355277"/>
    <w:rsid w:val="003552AB"/>
    <w:rsid w:val="003553F2"/>
    <w:rsid w:val="00355596"/>
    <w:rsid w:val="00355677"/>
    <w:rsid w:val="0035569F"/>
    <w:rsid w:val="00355AA8"/>
    <w:rsid w:val="00355F5B"/>
    <w:rsid w:val="00356832"/>
    <w:rsid w:val="00356DF3"/>
    <w:rsid w:val="00357417"/>
    <w:rsid w:val="00360858"/>
    <w:rsid w:val="003608FB"/>
    <w:rsid w:val="003609AF"/>
    <w:rsid w:val="003623AE"/>
    <w:rsid w:val="00364466"/>
    <w:rsid w:val="00365501"/>
    <w:rsid w:val="00365E4E"/>
    <w:rsid w:val="00365ED8"/>
    <w:rsid w:val="00366486"/>
    <w:rsid w:val="00366B47"/>
    <w:rsid w:val="003670F7"/>
    <w:rsid w:val="00367890"/>
    <w:rsid w:val="00367DFB"/>
    <w:rsid w:val="0037000D"/>
    <w:rsid w:val="00370D7D"/>
    <w:rsid w:val="003710AD"/>
    <w:rsid w:val="0037304B"/>
    <w:rsid w:val="00373984"/>
    <w:rsid w:val="00373DDB"/>
    <w:rsid w:val="0037414F"/>
    <w:rsid w:val="00375CA0"/>
    <w:rsid w:val="00376755"/>
    <w:rsid w:val="0037754E"/>
    <w:rsid w:val="00377A8D"/>
    <w:rsid w:val="003802B3"/>
    <w:rsid w:val="003806E5"/>
    <w:rsid w:val="0038228C"/>
    <w:rsid w:val="00382A8A"/>
    <w:rsid w:val="003830DA"/>
    <w:rsid w:val="003855A5"/>
    <w:rsid w:val="00385DBE"/>
    <w:rsid w:val="0038603B"/>
    <w:rsid w:val="003862AA"/>
    <w:rsid w:val="003875CA"/>
    <w:rsid w:val="00387761"/>
    <w:rsid w:val="003878F7"/>
    <w:rsid w:val="00387F5A"/>
    <w:rsid w:val="00390130"/>
    <w:rsid w:val="00391016"/>
    <w:rsid w:val="00391368"/>
    <w:rsid w:val="0039142E"/>
    <w:rsid w:val="00391BBF"/>
    <w:rsid w:val="003921C5"/>
    <w:rsid w:val="00393FE0"/>
    <w:rsid w:val="003943E0"/>
    <w:rsid w:val="0039446C"/>
    <w:rsid w:val="00395998"/>
    <w:rsid w:val="0039660D"/>
    <w:rsid w:val="00396995"/>
    <w:rsid w:val="00396C01"/>
    <w:rsid w:val="00396FD8"/>
    <w:rsid w:val="0039794D"/>
    <w:rsid w:val="00397A67"/>
    <w:rsid w:val="00397BAD"/>
    <w:rsid w:val="00397D00"/>
    <w:rsid w:val="003A10A8"/>
    <w:rsid w:val="003A1DF5"/>
    <w:rsid w:val="003A2027"/>
    <w:rsid w:val="003A385A"/>
    <w:rsid w:val="003A3AAC"/>
    <w:rsid w:val="003A4681"/>
    <w:rsid w:val="003A46F7"/>
    <w:rsid w:val="003A4C9B"/>
    <w:rsid w:val="003A55C4"/>
    <w:rsid w:val="003A57B4"/>
    <w:rsid w:val="003A5874"/>
    <w:rsid w:val="003A61BA"/>
    <w:rsid w:val="003A62E2"/>
    <w:rsid w:val="003A641E"/>
    <w:rsid w:val="003A682A"/>
    <w:rsid w:val="003A6BE5"/>
    <w:rsid w:val="003A6E33"/>
    <w:rsid w:val="003A7D94"/>
    <w:rsid w:val="003B0372"/>
    <w:rsid w:val="003B077C"/>
    <w:rsid w:val="003B084C"/>
    <w:rsid w:val="003B0C88"/>
    <w:rsid w:val="003B0E73"/>
    <w:rsid w:val="003B2A22"/>
    <w:rsid w:val="003B2C5F"/>
    <w:rsid w:val="003B2EA4"/>
    <w:rsid w:val="003B32E0"/>
    <w:rsid w:val="003B3E15"/>
    <w:rsid w:val="003B421B"/>
    <w:rsid w:val="003B46D9"/>
    <w:rsid w:val="003B4E76"/>
    <w:rsid w:val="003B50DF"/>
    <w:rsid w:val="003B5B6C"/>
    <w:rsid w:val="003B5CE7"/>
    <w:rsid w:val="003B5CFB"/>
    <w:rsid w:val="003B6177"/>
    <w:rsid w:val="003B63E1"/>
    <w:rsid w:val="003B670B"/>
    <w:rsid w:val="003B6CDA"/>
    <w:rsid w:val="003C0F17"/>
    <w:rsid w:val="003C114A"/>
    <w:rsid w:val="003C13E1"/>
    <w:rsid w:val="003C2235"/>
    <w:rsid w:val="003C2FB0"/>
    <w:rsid w:val="003C48AB"/>
    <w:rsid w:val="003C53E5"/>
    <w:rsid w:val="003C54CB"/>
    <w:rsid w:val="003C65A9"/>
    <w:rsid w:val="003C6A2D"/>
    <w:rsid w:val="003C7666"/>
    <w:rsid w:val="003D009C"/>
    <w:rsid w:val="003D00CA"/>
    <w:rsid w:val="003D0655"/>
    <w:rsid w:val="003D0D38"/>
    <w:rsid w:val="003D25F8"/>
    <w:rsid w:val="003D2A67"/>
    <w:rsid w:val="003D2C97"/>
    <w:rsid w:val="003D2DEA"/>
    <w:rsid w:val="003D31BA"/>
    <w:rsid w:val="003D4F0B"/>
    <w:rsid w:val="003D52BF"/>
    <w:rsid w:val="003D7211"/>
    <w:rsid w:val="003D74FF"/>
    <w:rsid w:val="003D7B1E"/>
    <w:rsid w:val="003D7CDD"/>
    <w:rsid w:val="003D7E5B"/>
    <w:rsid w:val="003E02A5"/>
    <w:rsid w:val="003E0BE7"/>
    <w:rsid w:val="003E0C4B"/>
    <w:rsid w:val="003E1568"/>
    <w:rsid w:val="003E18DA"/>
    <w:rsid w:val="003E1C40"/>
    <w:rsid w:val="003E2125"/>
    <w:rsid w:val="003E21D9"/>
    <w:rsid w:val="003E2307"/>
    <w:rsid w:val="003E2D43"/>
    <w:rsid w:val="003E32C7"/>
    <w:rsid w:val="003E3314"/>
    <w:rsid w:val="003E3C54"/>
    <w:rsid w:val="003E4503"/>
    <w:rsid w:val="003E4DAC"/>
    <w:rsid w:val="003E51FA"/>
    <w:rsid w:val="003E7662"/>
    <w:rsid w:val="003E7883"/>
    <w:rsid w:val="003F017D"/>
    <w:rsid w:val="003F01FA"/>
    <w:rsid w:val="003F11FF"/>
    <w:rsid w:val="003F2063"/>
    <w:rsid w:val="003F215E"/>
    <w:rsid w:val="003F237B"/>
    <w:rsid w:val="003F2D71"/>
    <w:rsid w:val="003F51A0"/>
    <w:rsid w:val="003F51CC"/>
    <w:rsid w:val="003F60BA"/>
    <w:rsid w:val="003F683C"/>
    <w:rsid w:val="003F6F84"/>
    <w:rsid w:val="003F723A"/>
    <w:rsid w:val="003F7460"/>
    <w:rsid w:val="003F7792"/>
    <w:rsid w:val="003F7927"/>
    <w:rsid w:val="003F7F9D"/>
    <w:rsid w:val="003F7FCA"/>
    <w:rsid w:val="004001A1"/>
    <w:rsid w:val="00401638"/>
    <w:rsid w:val="00402738"/>
    <w:rsid w:val="00402A9A"/>
    <w:rsid w:val="00402C3C"/>
    <w:rsid w:val="004032B9"/>
    <w:rsid w:val="00403925"/>
    <w:rsid w:val="00403B4A"/>
    <w:rsid w:val="00404F1A"/>
    <w:rsid w:val="00405414"/>
    <w:rsid w:val="004057D6"/>
    <w:rsid w:val="00405D1E"/>
    <w:rsid w:val="00406442"/>
    <w:rsid w:val="00406728"/>
    <w:rsid w:val="00406DDE"/>
    <w:rsid w:val="00406F4F"/>
    <w:rsid w:val="00407253"/>
    <w:rsid w:val="00410650"/>
    <w:rsid w:val="00410EAB"/>
    <w:rsid w:val="0041154F"/>
    <w:rsid w:val="00411DC2"/>
    <w:rsid w:val="00411DCE"/>
    <w:rsid w:val="00412B70"/>
    <w:rsid w:val="00412BFF"/>
    <w:rsid w:val="00413600"/>
    <w:rsid w:val="00413D9F"/>
    <w:rsid w:val="004146E9"/>
    <w:rsid w:val="00414DE8"/>
    <w:rsid w:val="0041577C"/>
    <w:rsid w:val="00415990"/>
    <w:rsid w:val="004159FF"/>
    <w:rsid w:val="00416203"/>
    <w:rsid w:val="004200A1"/>
    <w:rsid w:val="0042031A"/>
    <w:rsid w:val="00420588"/>
    <w:rsid w:val="0042058D"/>
    <w:rsid w:val="00420B80"/>
    <w:rsid w:val="004214E1"/>
    <w:rsid w:val="00421BC0"/>
    <w:rsid w:val="00422126"/>
    <w:rsid w:val="00422528"/>
    <w:rsid w:val="00423C0C"/>
    <w:rsid w:val="00424326"/>
    <w:rsid w:val="004243B9"/>
    <w:rsid w:val="00425319"/>
    <w:rsid w:val="0042539B"/>
    <w:rsid w:val="004254F0"/>
    <w:rsid w:val="00426694"/>
    <w:rsid w:val="00426A46"/>
    <w:rsid w:val="00426D73"/>
    <w:rsid w:val="00426EB3"/>
    <w:rsid w:val="00426F1F"/>
    <w:rsid w:val="004278D2"/>
    <w:rsid w:val="004306E4"/>
    <w:rsid w:val="00430733"/>
    <w:rsid w:val="00430916"/>
    <w:rsid w:val="004321C1"/>
    <w:rsid w:val="00432726"/>
    <w:rsid w:val="004332AF"/>
    <w:rsid w:val="00433FBA"/>
    <w:rsid w:val="0043432A"/>
    <w:rsid w:val="004356C0"/>
    <w:rsid w:val="00435950"/>
    <w:rsid w:val="00435C5B"/>
    <w:rsid w:val="0043621C"/>
    <w:rsid w:val="00436516"/>
    <w:rsid w:val="00437335"/>
    <w:rsid w:val="0043753A"/>
    <w:rsid w:val="00437CD0"/>
    <w:rsid w:val="0044050E"/>
    <w:rsid w:val="00440A59"/>
    <w:rsid w:val="004413FC"/>
    <w:rsid w:val="00441A84"/>
    <w:rsid w:val="00442AFB"/>
    <w:rsid w:val="00442B1F"/>
    <w:rsid w:val="00442EE8"/>
    <w:rsid w:val="004433A0"/>
    <w:rsid w:val="00443A71"/>
    <w:rsid w:val="00443D43"/>
    <w:rsid w:val="00443EB1"/>
    <w:rsid w:val="00444FB2"/>
    <w:rsid w:val="0044508E"/>
    <w:rsid w:val="004451CB"/>
    <w:rsid w:val="00445C11"/>
    <w:rsid w:val="004462AA"/>
    <w:rsid w:val="004462ED"/>
    <w:rsid w:val="00446334"/>
    <w:rsid w:val="004469F8"/>
    <w:rsid w:val="00446B08"/>
    <w:rsid w:val="00447009"/>
    <w:rsid w:val="004479B4"/>
    <w:rsid w:val="00450563"/>
    <w:rsid w:val="00450EAE"/>
    <w:rsid w:val="0045112B"/>
    <w:rsid w:val="0045202C"/>
    <w:rsid w:val="004521C7"/>
    <w:rsid w:val="0045236B"/>
    <w:rsid w:val="00452EA3"/>
    <w:rsid w:val="00454748"/>
    <w:rsid w:val="004550D3"/>
    <w:rsid w:val="0045579F"/>
    <w:rsid w:val="00455830"/>
    <w:rsid w:val="00456A93"/>
    <w:rsid w:val="00456CB1"/>
    <w:rsid w:val="004571F0"/>
    <w:rsid w:val="004578B8"/>
    <w:rsid w:val="00457F4C"/>
    <w:rsid w:val="004600C3"/>
    <w:rsid w:val="004603F8"/>
    <w:rsid w:val="0046099B"/>
    <w:rsid w:val="004619F8"/>
    <w:rsid w:val="00462822"/>
    <w:rsid w:val="00462972"/>
    <w:rsid w:val="00462E0A"/>
    <w:rsid w:val="00462E40"/>
    <w:rsid w:val="00462F33"/>
    <w:rsid w:val="0046305F"/>
    <w:rsid w:val="004637C8"/>
    <w:rsid w:val="00464087"/>
    <w:rsid w:val="0046431A"/>
    <w:rsid w:val="004657FB"/>
    <w:rsid w:val="004667F4"/>
    <w:rsid w:val="004670CF"/>
    <w:rsid w:val="00467129"/>
    <w:rsid w:val="00467DCB"/>
    <w:rsid w:val="00467F1F"/>
    <w:rsid w:val="00471B20"/>
    <w:rsid w:val="004727D6"/>
    <w:rsid w:val="00472867"/>
    <w:rsid w:val="004731F1"/>
    <w:rsid w:val="00473AC5"/>
    <w:rsid w:val="00473C26"/>
    <w:rsid w:val="004744D5"/>
    <w:rsid w:val="004745EC"/>
    <w:rsid w:val="004759C2"/>
    <w:rsid w:val="00475D2A"/>
    <w:rsid w:val="00475EC4"/>
    <w:rsid w:val="00476547"/>
    <w:rsid w:val="004772B4"/>
    <w:rsid w:val="00477361"/>
    <w:rsid w:val="00480EEA"/>
    <w:rsid w:val="00481AC9"/>
    <w:rsid w:val="004820AA"/>
    <w:rsid w:val="0048394B"/>
    <w:rsid w:val="00483CE6"/>
    <w:rsid w:val="00484AFC"/>
    <w:rsid w:val="00484CB5"/>
    <w:rsid w:val="00484FA1"/>
    <w:rsid w:val="00485352"/>
    <w:rsid w:val="00485C19"/>
    <w:rsid w:val="00486183"/>
    <w:rsid w:val="004903EB"/>
    <w:rsid w:val="004911D3"/>
    <w:rsid w:val="0049202E"/>
    <w:rsid w:val="00492DF2"/>
    <w:rsid w:val="00492E60"/>
    <w:rsid w:val="00493224"/>
    <w:rsid w:val="004932A7"/>
    <w:rsid w:val="0049384A"/>
    <w:rsid w:val="00493948"/>
    <w:rsid w:val="00494013"/>
    <w:rsid w:val="0049434C"/>
    <w:rsid w:val="0049469B"/>
    <w:rsid w:val="00494990"/>
    <w:rsid w:val="0049537D"/>
    <w:rsid w:val="0049625F"/>
    <w:rsid w:val="00496AFA"/>
    <w:rsid w:val="004A039C"/>
    <w:rsid w:val="004A1290"/>
    <w:rsid w:val="004A19BE"/>
    <w:rsid w:val="004A1EFF"/>
    <w:rsid w:val="004A27C1"/>
    <w:rsid w:val="004A2BC1"/>
    <w:rsid w:val="004A33EE"/>
    <w:rsid w:val="004A3580"/>
    <w:rsid w:val="004A3FD6"/>
    <w:rsid w:val="004A4208"/>
    <w:rsid w:val="004A4597"/>
    <w:rsid w:val="004A5911"/>
    <w:rsid w:val="004A59D3"/>
    <w:rsid w:val="004A62EC"/>
    <w:rsid w:val="004A671F"/>
    <w:rsid w:val="004B1061"/>
    <w:rsid w:val="004B1516"/>
    <w:rsid w:val="004B22D7"/>
    <w:rsid w:val="004B2755"/>
    <w:rsid w:val="004B286A"/>
    <w:rsid w:val="004B2EA9"/>
    <w:rsid w:val="004B3F00"/>
    <w:rsid w:val="004B432E"/>
    <w:rsid w:val="004B53C1"/>
    <w:rsid w:val="004B62AA"/>
    <w:rsid w:val="004B633F"/>
    <w:rsid w:val="004B6383"/>
    <w:rsid w:val="004B67E4"/>
    <w:rsid w:val="004B727A"/>
    <w:rsid w:val="004B76B1"/>
    <w:rsid w:val="004B7760"/>
    <w:rsid w:val="004B790B"/>
    <w:rsid w:val="004B7C65"/>
    <w:rsid w:val="004B7F71"/>
    <w:rsid w:val="004C0B43"/>
    <w:rsid w:val="004C1B0B"/>
    <w:rsid w:val="004C2A53"/>
    <w:rsid w:val="004C2F6E"/>
    <w:rsid w:val="004C38A0"/>
    <w:rsid w:val="004C4A5F"/>
    <w:rsid w:val="004C5395"/>
    <w:rsid w:val="004C6C13"/>
    <w:rsid w:val="004C7C0A"/>
    <w:rsid w:val="004C7C1A"/>
    <w:rsid w:val="004C7C3F"/>
    <w:rsid w:val="004C7C94"/>
    <w:rsid w:val="004D0501"/>
    <w:rsid w:val="004D1B10"/>
    <w:rsid w:val="004D1B33"/>
    <w:rsid w:val="004D1DBF"/>
    <w:rsid w:val="004D1E85"/>
    <w:rsid w:val="004D1FB7"/>
    <w:rsid w:val="004D2190"/>
    <w:rsid w:val="004D2F43"/>
    <w:rsid w:val="004D3FC3"/>
    <w:rsid w:val="004D6A0C"/>
    <w:rsid w:val="004D72D3"/>
    <w:rsid w:val="004D74AF"/>
    <w:rsid w:val="004D7636"/>
    <w:rsid w:val="004E00C5"/>
    <w:rsid w:val="004E08E9"/>
    <w:rsid w:val="004E0DD3"/>
    <w:rsid w:val="004E0E34"/>
    <w:rsid w:val="004E10B5"/>
    <w:rsid w:val="004E1207"/>
    <w:rsid w:val="004E180D"/>
    <w:rsid w:val="004E1CF7"/>
    <w:rsid w:val="004E38B2"/>
    <w:rsid w:val="004E397D"/>
    <w:rsid w:val="004E39DF"/>
    <w:rsid w:val="004E3A51"/>
    <w:rsid w:val="004E5334"/>
    <w:rsid w:val="004E65BF"/>
    <w:rsid w:val="004E674F"/>
    <w:rsid w:val="004E680E"/>
    <w:rsid w:val="004E7559"/>
    <w:rsid w:val="004E7F67"/>
    <w:rsid w:val="004F03B0"/>
    <w:rsid w:val="004F0740"/>
    <w:rsid w:val="004F0881"/>
    <w:rsid w:val="004F1010"/>
    <w:rsid w:val="004F18E0"/>
    <w:rsid w:val="004F3776"/>
    <w:rsid w:val="004F48F5"/>
    <w:rsid w:val="004F4E81"/>
    <w:rsid w:val="004F50C1"/>
    <w:rsid w:val="004F54ED"/>
    <w:rsid w:val="004F56C9"/>
    <w:rsid w:val="004F65E9"/>
    <w:rsid w:val="004F700A"/>
    <w:rsid w:val="004F743C"/>
    <w:rsid w:val="004F7D9C"/>
    <w:rsid w:val="005007EB"/>
    <w:rsid w:val="00501530"/>
    <w:rsid w:val="00501553"/>
    <w:rsid w:val="00501569"/>
    <w:rsid w:val="00502CCE"/>
    <w:rsid w:val="0050451A"/>
    <w:rsid w:val="00505491"/>
    <w:rsid w:val="00505985"/>
    <w:rsid w:val="00505FC6"/>
    <w:rsid w:val="00506402"/>
    <w:rsid w:val="00506721"/>
    <w:rsid w:val="005072C2"/>
    <w:rsid w:val="005077C0"/>
    <w:rsid w:val="005102DE"/>
    <w:rsid w:val="0051046F"/>
    <w:rsid w:val="00510CF8"/>
    <w:rsid w:val="00510DEF"/>
    <w:rsid w:val="005110D0"/>
    <w:rsid w:val="00511529"/>
    <w:rsid w:val="0051162F"/>
    <w:rsid w:val="00511C27"/>
    <w:rsid w:val="005125BF"/>
    <w:rsid w:val="00512ABC"/>
    <w:rsid w:val="00512C7A"/>
    <w:rsid w:val="005140C1"/>
    <w:rsid w:val="0051437D"/>
    <w:rsid w:val="00514759"/>
    <w:rsid w:val="00516517"/>
    <w:rsid w:val="005166B9"/>
    <w:rsid w:val="00517F73"/>
    <w:rsid w:val="00521AD4"/>
    <w:rsid w:val="00521DD5"/>
    <w:rsid w:val="005221FA"/>
    <w:rsid w:val="00522773"/>
    <w:rsid w:val="00522B29"/>
    <w:rsid w:val="00522C1F"/>
    <w:rsid w:val="00523060"/>
    <w:rsid w:val="00523564"/>
    <w:rsid w:val="00524039"/>
    <w:rsid w:val="00524332"/>
    <w:rsid w:val="00524FB0"/>
    <w:rsid w:val="00525094"/>
    <w:rsid w:val="00525CAA"/>
    <w:rsid w:val="005263C1"/>
    <w:rsid w:val="005266D2"/>
    <w:rsid w:val="00526815"/>
    <w:rsid w:val="00526EA9"/>
    <w:rsid w:val="005275AD"/>
    <w:rsid w:val="005279B2"/>
    <w:rsid w:val="00527D45"/>
    <w:rsid w:val="00527F4E"/>
    <w:rsid w:val="00530652"/>
    <w:rsid w:val="00530939"/>
    <w:rsid w:val="00530C49"/>
    <w:rsid w:val="00531B68"/>
    <w:rsid w:val="00532216"/>
    <w:rsid w:val="00534279"/>
    <w:rsid w:val="00535FDF"/>
    <w:rsid w:val="0053659A"/>
    <w:rsid w:val="00537686"/>
    <w:rsid w:val="00537D11"/>
    <w:rsid w:val="00540836"/>
    <w:rsid w:val="0054138B"/>
    <w:rsid w:val="00541726"/>
    <w:rsid w:val="005417B4"/>
    <w:rsid w:val="00542130"/>
    <w:rsid w:val="00543506"/>
    <w:rsid w:val="005435CF"/>
    <w:rsid w:val="00543E74"/>
    <w:rsid w:val="00543F55"/>
    <w:rsid w:val="00544B47"/>
    <w:rsid w:val="005450E5"/>
    <w:rsid w:val="00545883"/>
    <w:rsid w:val="00545EE1"/>
    <w:rsid w:val="0054644C"/>
    <w:rsid w:val="00547087"/>
    <w:rsid w:val="0054785F"/>
    <w:rsid w:val="00547B08"/>
    <w:rsid w:val="00550FB6"/>
    <w:rsid w:val="00551027"/>
    <w:rsid w:val="00551605"/>
    <w:rsid w:val="005526AE"/>
    <w:rsid w:val="00553E6B"/>
    <w:rsid w:val="005543BF"/>
    <w:rsid w:val="005544C4"/>
    <w:rsid w:val="00554B0D"/>
    <w:rsid w:val="005555FA"/>
    <w:rsid w:val="00555642"/>
    <w:rsid w:val="00555BF0"/>
    <w:rsid w:val="00557468"/>
    <w:rsid w:val="0055758C"/>
    <w:rsid w:val="00561589"/>
    <w:rsid w:val="005616D4"/>
    <w:rsid w:val="00562194"/>
    <w:rsid w:val="00562B22"/>
    <w:rsid w:val="0056324E"/>
    <w:rsid w:val="005635DA"/>
    <w:rsid w:val="00563783"/>
    <w:rsid w:val="00563B5F"/>
    <w:rsid w:val="005651B3"/>
    <w:rsid w:val="005657B9"/>
    <w:rsid w:val="00565DBC"/>
    <w:rsid w:val="005672CF"/>
    <w:rsid w:val="005677B9"/>
    <w:rsid w:val="00567FA9"/>
    <w:rsid w:val="00570532"/>
    <w:rsid w:val="00570F5C"/>
    <w:rsid w:val="005718E9"/>
    <w:rsid w:val="00571CE3"/>
    <w:rsid w:val="00571EDE"/>
    <w:rsid w:val="00573248"/>
    <w:rsid w:val="005733F0"/>
    <w:rsid w:val="00573CD8"/>
    <w:rsid w:val="00573E9B"/>
    <w:rsid w:val="00574806"/>
    <w:rsid w:val="005748A2"/>
    <w:rsid w:val="0057509A"/>
    <w:rsid w:val="00575D43"/>
    <w:rsid w:val="0057726F"/>
    <w:rsid w:val="00577D31"/>
    <w:rsid w:val="0058085F"/>
    <w:rsid w:val="005809F9"/>
    <w:rsid w:val="00580D67"/>
    <w:rsid w:val="00581048"/>
    <w:rsid w:val="0058135D"/>
    <w:rsid w:val="0058170C"/>
    <w:rsid w:val="00581882"/>
    <w:rsid w:val="0058276F"/>
    <w:rsid w:val="00584977"/>
    <w:rsid w:val="0058502B"/>
    <w:rsid w:val="005855A0"/>
    <w:rsid w:val="005858AD"/>
    <w:rsid w:val="005865A2"/>
    <w:rsid w:val="005866D3"/>
    <w:rsid w:val="00586AAD"/>
    <w:rsid w:val="0058732F"/>
    <w:rsid w:val="005875D4"/>
    <w:rsid w:val="00587748"/>
    <w:rsid w:val="00587B7D"/>
    <w:rsid w:val="00590348"/>
    <w:rsid w:val="00590362"/>
    <w:rsid w:val="0059082D"/>
    <w:rsid w:val="00590A1C"/>
    <w:rsid w:val="00590F29"/>
    <w:rsid w:val="0059181E"/>
    <w:rsid w:val="00591B53"/>
    <w:rsid w:val="00591FD9"/>
    <w:rsid w:val="0059218C"/>
    <w:rsid w:val="0059232E"/>
    <w:rsid w:val="005923E2"/>
    <w:rsid w:val="00592DCA"/>
    <w:rsid w:val="00593E5E"/>
    <w:rsid w:val="0059506C"/>
    <w:rsid w:val="00596057"/>
    <w:rsid w:val="00596BC7"/>
    <w:rsid w:val="00597198"/>
    <w:rsid w:val="0059730A"/>
    <w:rsid w:val="005976BC"/>
    <w:rsid w:val="005A0AFB"/>
    <w:rsid w:val="005A0FDF"/>
    <w:rsid w:val="005A1155"/>
    <w:rsid w:val="005A158F"/>
    <w:rsid w:val="005A2697"/>
    <w:rsid w:val="005A26B4"/>
    <w:rsid w:val="005A36A7"/>
    <w:rsid w:val="005A40D2"/>
    <w:rsid w:val="005A48FF"/>
    <w:rsid w:val="005A499C"/>
    <w:rsid w:val="005A4EEF"/>
    <w:rsid w:val="005A6AF7"/>
    <w:rsid w:val="005A6D16"/>
    <w:rsid w:val="005A7207"/>
    <w:rsid w:val="005A7506"/>
    <w:rsid w:val="005B04D7"/>
    <w:rsid w:val="005B1172"/>
    <w:rsid w:val="005B3024"/>
    <w:rsid w:val="005B46BC"/>
    <w:rsid w:val="005B4B4C"/>
    <w:rsid w:val="005B4B4D"/>
    <w:rsid w:val="005B5198"/>
    <w:rsid w:val="005B5380"/>
    <w:rsid w:val="005B65E3"/>
    <w:rsid w:val="005B6966"/>
    <w:rsid w:val="005B69DB"/>
    <w:rsid w:val="005C2019"/>
    <w:rsid w:val="005C2117"/>
    <w:rsid w:val="005C24B5"/>
    <w:rsid w:val="005C27CC"/>
    <w:rsid w:val="005C280A"/>
    <w:rsid w:val="005C41E1"/>
    <w:rsid w:val="005C4F5C"/>
    <w:rsid w:val="005C635C"/>
    <w:rsid w:val="005C727D"/>
    <w:rsid w:val="005C7641"/>
    <w:rsid w:val="005C7AD2"/>
    <w:rsid w:val="005C7B74"/>
    <w:rsid w:val="005D0051"/>
    <w:rsid w:val="005D03AB"/>
    <w:rsid w:val="005D0A37"/>
    <w:rsid w:val="005D0C6B"/>
    <w:rsid w:val="005D1DB1"/>
    <w:rsid w:val="005D3010"/>
    <w:rsid w:val="005D348E"/>
    <w:rsid w:val="005D3E91"/>
    <w:rsid w:val="005D4311"/>
    <w:rsid w:val="005D479C"/>
    <w:rsid w:val="005D4BF5"/>
    <w:rsid w:val="005D4F64"/>
    <w:rsid w:val="005D5CA5"/>
    <w:rsid w:val="005D63B3"/>
    <w:rsid w:val="005D652F"/>
    <w:rsid w:val="005D695D"/>
    <w:rsid w:val="005D7080"/>
    <w:rsid w:val="005D7A2F"/>
    <w:rsid w:val="005E0774"/>
    <w:rsid w:val="005E0D57"/>
    <w:rsid w:val="005E1332"/>
    <w:rsid w:val="005E1931"/>
    <w:rsid w:val="005E237E"/>
    <w:rsid w:val="005E299E"/>
    <w:rsid w:val="005E3589"/>
    <w:rsid w:val="005E37AB"/>
    <w:rsid w:val="005E3A99"/>
    <w:rsid w:val="005E400A"/>
    <w:rsid w:val="005E4853"/>
    <w:rsid w:val="005E498A"/>
    <w:rsid w:val="005E49D3"/>
    <w:rsid w:val="005E4C25"/>
    <w:rsid w:val="005E4CA8"/>
    <w:rsid w:val="005E5990"/>
    <w:rsid w:val="005E7279"/>
    <w:rsid w:val="005E7410"/>
    <w:rsid w:val="005E7655"/>
    <w:rsid w:val="005E76BE"/>
    <w:rsid w:val="005F0F7D"/>
    <w:rsid w:val="005F189A"/>
    <w:rsid w:val="005F1974"/>
    <w:rsid w:val="005F21F3"/>
    <w:rsid w:val="005F3278"/>
    <w:rsid w:val="005F3281"/>
    <w:rsid w:val="005F38EF"/>
    <w:rsid w:val="005F3A45"/>
    <w:rsid w:val="005F4432"/>
    <w:rsid w:val="005F4DBF"/>
    <w:rsid w:val="005F6ACC"/>
    <w:rsid w:val="005F7A4B"/>
    <w:rsid w:val="006002E4"/>
    <w:rsid w:val="0060056C"/>
    <w:rsid w:val="006009D0"/>
    <w:rsid w:val="006010F9"/>
    <w:rsid w:val="00601760"/>
    <w:rsid w:val="00601AF6"/>
    <w:rsid w:val="00601CC8"/>
    <w:rsid w:val="00602349"/>
    <w:rsid w:val="00602485"/>
    <w:rsid w:val="006031CD"/>
    <w:rsid w:val="006037A4"/>
    <w:rsid w:val="006039AF"/>
    <w:rsid w:val="00603FCB"/>
    <w:rsid w:val="0060440C"/>
    <w:rsid w:val="00604E93"/>
    <w:rsid w:val="006055ED"/>
    <w:rsid w:val="0060670F"/>
    <w:rsid w:val="00606788"/>
    <w:rsid w:val="00606867"/>
    <w:rsid w:val="00606CCA"/>
    <w:rsid w:val="0060748E"/>
    <w:rsid w:val="006077B7"/>
    <w:rsid w:val="00607B89"/>
    <w:rsid w:val="0061105C"/>
    <w:rsid w:val="00611B70"/>
    <w:rsid w:val="00612872"/>
    <w:rsid w:val="006129D3"/>
    <w:rsid w:val="006132BA"/>
    <w:rsid w:val="00613A0B"/>
    <w:rsid w:val="00613C2B"/>
    <w:rsid w:val="00614117"/>
    <w:rsid w:val="0061594B"/>
    <w:rsid w:val="00615E5D"/>
    <w:rsid w:val="00616400"/>
    <w:rsid w:val="0061669B"/>
    <w:rsid w:val="006166D0"/>
    <w:rsid w:val="006168E8"/>
    <w:rsid w:val="0061733A"/>
    <w:rsid w:val="00617BDF"/>
    <w:rsid w:val="00620404"/>
    <w:rsid w:val="006204D6"/>
    <w:rsid w:val="00620E29"/>
    <w:rsid w:val="0062123A"/>
    <w:rsid w:val="0062178D"/>
    <w:rsid w:val="00621D4F"/>
    <w:rsid w:val="006220F4"/>
    <w:rsid w:val="00622219"/>
    <w:rsid w:val="006223D0"/>
    <w:rsid w:val="006226BD"/>
    <w:rsid w:val="00622C1F"/>
    <w:rsid w:val="006231F6"/>
    <w:rsid w:val="0062333E"/>
    <w:rsid w:val="0062374C"/>
    <w:rsid w:val="006242F5"/>
    <w:rsid w:val="006245AF"/>
    <w:rsid w:val="00627072"/>
    <w:rsid w:val="006271C4"/>
    <w:rsid w:val="006302D2"/>
    <w:rsid w:val="006306E2"/>
    <w:rsid w:val="00630E4A"/>
    <w:rsid w:val="00631469"/>
    <w:rsid w:val="006319FB"/>
    <w:rsid w:val="00632534"/>
    <w:rsid w:val="006333D4"/>
    <w:rsid w:val="00633827"/>
    <w:rsid w:val="00634302"/>
    <w:rsid w:val="00634EC5"/>
    <w:rsid w:val="006355AF"/>
    <w:rsid w:val="006363AF"/>
    <w:rsid w:val="006365DD"/>
    <w:rsid w:val="00636BA1"/>
    <w:rsid w:val="00636D9A"/>
    <w:rsid w:val="0063745B"/>
    <w:rsid w:val="00640D52"/>
    <w:rsid w:val="006411A0"/>
    <w:rsid w:val="006412D7"/>
    <w:rsid w:val="006415A6"/>
    <w:rsid w:val="0064185F"/>
    <w:rsid w:val="00642A5A"/>
    <w:rsid w:val="006439A6"/>
    <w:rsid w:val="00645287"/>
    <w:rsid w:val="00645EE1"/>
    <w:rsid w:val="00646823"/>
    <w:rsid w:val="006473D9"/>
    <w:rsid w:val="00650340"/>
    <w:rsid w:val="0065157D"/>
    <w:rsid w:val="00651645"/>
    <w:rsid w:val="00651EB2"/>
    <w:rsid w:val="0065215A"/>
    <w:rsid w:val="006524B7"/>
    <w:rsid w:val="006525DE"/>
    <w:rsid w:val="006526FC"/>
    <w:rsid w:val="0065275C"/>
    <w:rsid w:val="00652CB9"/>
    <w:rsid w:val="006533C2"/>
    <w:rsid w:val="00653DFD"/>
    <w:rsid w:val="006543A1"/>
    <w:rsid w:val="00654502"/>
    <w:rsid w:val="00655F9C"/>
    <w:rsid w:val="00655FF1"/>
    <w:rsid w:val="00656126"/>
    <w:rsid w:val="00656416"/>
    <w:rsid w:val="00656779"/>
    <w:rsid w:val="00656FC5"/>
    <w:rsid w:val="00657217"/>
    <w:rsid w:val="0066006D"/>
    <w:rsid w:val="00660E47"/>
    <w:rsid w:val="00661FC7"/>
    <w:rsid w:val="006620F8"/>
    <w:rsid w:val="0066218A"/>
    <w:rsid w:val="00662659"/>
    <w:rsid w:val="00663064"/>
    <w:rsid w:val="0066349C"/>
    <w:rsid w:val="00663B29"/>
    <w:rsid w:val="00664D3B"/>
    <w:rsid w:val="00665D81"/>
    <w:rsid w:val="00667339"/>
    <w:rsid w:val="00667586"/>
    <w:rsid w:val="006676C3"/>
    <w:rsid w:val="00667D90"/>
    <w:rsid w:val="00670D22"/>
    <w:rsid w:val="00670FA0"/>
    <w:rsid w:val="0067163F"/>
    <w:rsid w:val="006738A7"/>
    <w:rsid w:val="00673E60"/>
    <w:rsid w:val="00674430"/>
    <w:rsid w:val="0067495E"/>
    <w:rsid w:val="006754D8"/>
    <w:rsid w:val="006758E0"/>
    <w:rsid w:val="0067592D"/>
    <w:rsid w:val="00675B18"/>
    <w:rsid w:val="00676901"/>
    <w:rsid w:val="006769B3"/>
    <w:rsid w:val="00677D65"/>
    <w:rsid w:val="006802A7"/>
    <w:rsid w:val="006803E6"/>
    <w:rsid w:val="00680804"/>
    <w:rsid w:val="00680AAE"/>
    <w:rsid w:val="00680C42"/>
    <w:rsid w:val="0068122A"/>
    <w:rsid w:val="00682BA7"/>
    <w:rsid w:val="006837B8"/>
    <w:rsid w:val="0068403F"/>
    <w:rsid w:val="006840E2"/>
    <w:rsid w:val="006845C2"/>
    <w:rsid w:val="00684790"/>
    <w:rsid w:val="00684E6B"/>
    <w:rsid w:val="00685114"/>
    <w:rsid w:val="00686391"/>
    <w:rsid w:val="00686BEC"/>
    <w:rsid w:val="006913DE"/>
    <w:rsid w:val="00692021"/>
    <w:rsid w:val="00692DBF"/>
    <w:rsid w:val="00693A9C"/>
    <w:rsid w:val="00694B4A"/>
    <w:rsid w:val="006953E3"/>
    <w:rsid w:val="00695552"/>
    <w:rsid w:val="006958B0"/>
    <w:rsid w:val="00695BEA"/>
    <w:rsid w:val="006967F3"/>
    <w:rsid w:val="00697519"/>
    <w:rsid w:val="0069788E"/>
    <w:rsid w:val="006A07DF"/>
    <w:rsid w:val="006A0DD8"/>
    <w:rsid w:val="006A0E95"/>
    <w:rsid w:val="006A13DB"/>
    <w:rsid w:val="006A183F"/>
    <w:rsid w:val="006A19A8"/>
    <w:rsid w:val="006A1DC1"/>
    <w:rsid w:val="006A2AF8"/>
    <w:rsid w:val="006A2B4F"/>
    <w:rsid w:val="006A3365"/>
    <w:rsid w:val="006A37B6"/>
    <w:rsid w:val="006A3DA5"/>
    <w:rsid w:val="006A3DB6"/>
    <w:rsid w:val="006A536C"/>
    <w:rsid w:val="006A5ECC"/>
    <w:rsid w:val="006A60D2"/>
    <w:rsid w:val="006A634C"/>
    <w:rsid w:val="006A640F"/>
    <w:rsid w:val="006A643C"/>
    <w:rsid w:val="006A6862"/>
    <w:rsid w:val="006A6F84"/>
    <w:rsid w:val="006A73DF"/>
    <w:rsid w:val="006A7811"/>
    <w:rsid w:val="006A7924"/>
    <w:rsid w:val="006A7EFE"/>
    <w:rsid w:val="006B028B"/>
    <w:rsid w:val="006B2B98"/>
    <w:rsid w:val="006B3BD6"/>
    <w:rsid w:val="006B3BDA"/>
    <w:rsid w:val="006B48D0"/>
    <w:rsid w:val="006B6A2B"/>
    <w:rsid w:val="006B6C49"/>
    <w:rsid w:val="006B6E00"/>
    <w:rsid w:val="006B70B9"/>
    <w:rsid w:val="006C0B5C"/>
    <w:rsid w:val="006C157C"/>
    <w:rsid w:val="006C1CD5"/>
    <w:rsid w:val="006C2BBD"/>
    <w:rsid w:val="006C2EEB"/>
    <w:rsid w:val="006C3E47"/>
    <w:rsid w:val="006C434D"/>
    <w:rsid w:val="006C586B"/>
    <w:rsid w:val="006C6682"/>
    <w:rsid w:val="006C6A9E"/>
    <w:rsid w:val="006C6E87"/>
    <w:rsid w:val="006C7716"/>
    <w:rsid w:val="006D01FA"/>
    <w:rsid w:val="006D032D"/>
    <w:rsid w:val="006D0BE9"/>
    <w:rsid w:val="006D12FC"/>
    <w:rsid w:val="006D163D"/>
    <w:rsid w:val="006D17E6"/>
    <w:rsid w:val="006D1DFB"/>
    <w:rsid w:val="006D26B8"/>
    <w:rsid w:val="006D26BC"/>
    <w:rsid w:val="006D2D06"/>
    <w:rsid w:val="006D2F56"/>
    <w:rsid w:val="006D316E"/>
    <w:rsid w:val="006D336D"/>
    <w:rsid w:val="006D3C20"/>
    <w:rsid w:val="006D48CD"/>
    <w:rsid w:val="006D5C6B"/>
    <w:rsid w:val="006D5D64"/>
    <w:rsid w:val="006D72FF"/>
    <w:rsid w:val="006D75EF"/>
    <w:rsid w:val="006D7BBA"/>
    <w:rsid w:val="006D7E0F"/>
    <w:rsid w:val="006E0305"/>
    <w:rsid w:val="006E0416"/>
    <w:rsid w:val="006E1234"/>
    <w:rsid w:val="006E1380"/>
    <w:rsid w:val="006E1CCD"/>
    <w:rsid w:val="006E2B28"/>
    <w:rsid w:val="006E3312"/>
    <w:rsid w:val="006E33E4"/>
    <w:rsid w:val="006E437F"/>
    <w:rsid w:val="006E535A"/>
    <w:rsid w:val="006E57D5"/>
    <w:rsid w:val="006E5B39"/>
    <w:rsid w:val="006E5C20"/>
    <w:rsid w:val="006E71C0"/>
    <w:rsid w:val="006E738E"/>
    <w:rsid w:val="006E76CA"/>
    <w:rsid w:val="006E77ED"/>
    <w:rsid w:val="006F127C"/>
    <w:rsid w:val="006F13DA"/>
    <w:rsid w:val="006F199D"/>
    <w:rsid w:val="006F20D8"/>
    <w:rsid w:val="006F3D86"/>
    <w:rsid w:val="006F3EBE"/>
    <w:rsid w:val="006F4314"/>
    <w:rsid w:val="006F43BD"/>
    <w:rsid w:val="006F54F7"/>
    <w:rsid w:val="006F642C"/>
    <w:rsid w:val="0070000B"/>
    <w:rsid w:val="00700F61"/>
    <w:rsid w:val="00701215"/>
    <w:rsid w:val="00701631"/>
    <w:rsid w:val="00702193"/>
    <w:rsid w:val="007022E4"/>
    <w:rsid w:val="00702579"/>
    <w:rsid w:val="007025F7"/>
    <w:rsid w:val="00702D0C"/>
    <w:rsid w:val="0070353D"/>
    <w:rsid w:val="00704302"/>
    <w:rsid w:val="0070456D"/>
    <w:rsid w:val="00705C7E"/>
    <w:rsid w:val="00707D76"/>
    <w:rsid w:val="007109B1"/>
    <w:rsid w:val="00710A76"/>
    <w:rsid w:val="007115EE"/>
    <w:rsid w:val="0071162D"/>
    <w:rsid w:val="007118FC"/>
    <w:rsid w:val="00711DB8"/>
    <w:rsid w:val="007123AB"/>
    <w:rsid w:val="00712F02"/>
    <w:rsid w:val="0071587D"/>
    <w:rsid w:val="00715CDE"/>
    <w:rsid w:val="007164CD"/>
    <w:rsid w:val="00716713"/>
    <w:rsid w:val="00716869"/>
    <w:rsid w:val="00717443"/>
    <w:rsid w:val="00717547"/>
    <w:rsid w:val="00717CB2"/>
    <w:rsid w:val="00721BEF"/>
    <w:rsid w:val="00722BC6"/>
    <w:rsid w:val="00723231"/>
    <w:rsid w:val="007235C5"/>
    <w:rsid w:val="0072367F"/>
    <w:rsid w:val="007236CC"/>
    <w:rsid w:val="0072380E"/>
    <w:rsid w:val="00723BB8"/>
    <w:rsid w:val="00724595"/>
    <w:rsid w:val="00724873"/>
    <w:rsid w:val="00726224"/>
    <w:rsid w:val="0072666A"/>
    <w:rsid w:val="00727516"/>
    <w:rsid w:val="00727922"/>
    <w:rsid w:val="007301FE"/>
    <w:rsid w:val="007305EB"/>
    <w:rsid w:val="00730AD0"/>
    <w:rsid w:val="00730BDF"/>
    <w:rsid w:val="00731140"/>
    <w:rsid w:val="007311D5"/>
    <w:rsid w:val="007313D9"/>
    <w:rsid w:val="00731BA6"/>
    <w:rsid w:val="00731EAC"/>
    <w:rsid w:val="00732A60"/>
    <w:rsid w:val="00732D07"/>
    <w:rsid w:val="007332AE"/>
    <w:rsid w:val="0073340B"/>
    <w:rsid w:val="00733873"/>
    <w:rsid w:val="00733958"/>
    <w:rsid w:val="00733F41"/>
    <w:rsid w:val="00733FFA"/>
    <w:rsid w:val="0073514F"/>
    <w:rsid w:val="007351BC"/>
    <w:rsid w:val="00735DC0"/>
    <w:rsid w:val="0073657C"/>
    <w:rsid w:val="007369E0"/>
    <w:rsid w:val="00736C06"/>
    <w:rsid w:val="00736D0B"/>
    <w:rsid w:val="007370DF"/>
    <w:rsid w:val="007403BF"/>
    <w:rsid w:val="007421C2"/>
    <w:rsid w:val="00742355"/>
    <w:rsid w:val="00743A4C"/>
    <w:rsid w:val="007442B7"/>
    <w:rsid w:val="00744C5A"/>
    <w:rsid w:val="007453B1"/>
    <w:rsid w:val="007464BB"/>
    <w:rsid w:val="00746ACC"/>
    <w:rsid w:val="007501F0"/>
    <w:rsid w:val="00750945"/>
    <w:rsid w:val="007513CD"/>
    <w:rsid w:val="00751570"/>
    <w:rsid w:val="00751B75"/>
    <w:rsid w:val="00751B99"/>
    <w:rsid w:val="007523E1"/>
    <w:rsid w:val="0075341A"/>
    <w:rsid w:val="00753674"/>
    <w:rsid w:val="0075372E"/>
    <w:rsid w:val="007539C0"/>
    <w:rsid w:val="00754577"/>
    <w:rsid w:val="007547C7"/>
    <w:rsid w:val="00755080"/>
    <w:rsid w:val="00756098"/>
    <w:rsid w:val="007569E1"/>
    <w:rsid w:val="00756E6B"/>
    <w:rsid w:val="0076061B"/>
    <w:rsid w:val="00760B4D"/>
    <w:rsid w:val="00760D3F"/>
    <w:rsid w:val="00761792"/>
    <w:rsid w:val="007620FC"/>
    <w:rsid w:val="0076235F"/>
    <w:rsid w:val="00763AA0"/>
    <w:rsid w:val="00763B19"/>
    <w:rsid w:val="00763B57"/>
    <w:rsid w:val="00763D6C"/>
    <w:rsid w:val="00764C5D"/>
    <w:rsid w:val="007652C0"/>
    <w:rsid w:val="007655A0"/>
    <w:rsid w:val="00765CB9"/>
    <w:rsid w:val="00766625"/>
    <w:rsid w:val="0076689F"/>
    <w:rsid w:val="00766E26"/>
    <w:rsid w:val="00767465"/>
    <w:rsid w:val="00770FBA"/>
    <w:rsid w:val="00773476"/>
    <w:rsid w:val="007736A9"/>
    <w:rsid w:val="00775C27"/>
    <w:rsid w:val="00775ED4"/>
    <w:rsid w:val="007767BC"/>
    <w:rsid w:val="00776EB4"/>
    <w:rsid w:val="00777694"/>
    <w:rsid w:val="0077776B"/>
    <w:rsid w:val="00780693"/>
    <w:rsid w:val="007807CC"/>
    <w:rsid w:val="00780E57"/>
    <w:rsid w:val="00780F7A"/>
    <w:rsid w:val="007816A3"/>
    <w:rsid w:val="00781BB6"/>
    <w:rsid w:val="00783789"/>
    <w:rsid w:val="00784526"/>
    <w:rsid w:val="007849E8"/>
    <w:rsid w:val="00784D41"/>
    <w:rsid w:val="007853C8"/>
    <w:rsid w:val="007854E2"/>
    <w:rsid w:val="00785999"/>
    <w:rsid w:val="00786D79"/>
    <w:rsid w:val="00786EE9"/>
    <w:rsid w:val="007875FF"/>
    <w:rsid w:val="00787EC7"/>
    <w:rsid w:val="00791836"/>
    <w:rsid w:val="00792786"/>
    <w:rsid w:val="00792A3A"/>
    <w:rsid w:val="007931F1"/>
    <w:rsid w:val="007932A7"/>
    <w:rsid w:val="007932F2"/>
    <w:rsid w:val="0079340B"/>
    <w:rsid w:val="007936C3"/>
    <w:rsid w:val="00793E30"/>
    <w:rsid w:val="00794165"/>
    <w:rsid w:val="00794333"/>
    <w:rsid w:val="00794EC6"/>
    <w:rsid w:val="00795582"/>
    <w:rsid w:val="00795BAC"/>
    <w:rsid w:val="00795FC3"/>
    <w:rsid w:val="007961D1"/>
    <w:rsid w:val="00796CE0"/>
    <w:rsid w:val="00797035"/>
    <w:rsid w:val="00797076"/>
    <w:rsid w:val="00797A6F"/>
    <w:rsid w:val="007A13A7"/>
    <w:rsid w:val="007A1AF8"/>
    <w:rsid w:val="007A2102"/>
    <w:rsid w:val="007A391F"/>
    <w:rsid w:val="007A4342"/>
    <w:rsid w:val="007A44BE"/>
    <w:rsid w:val="007A4510"/>
    <w:rsid w:val="007A4B97"/>
    <w:rsid w:val="007A4F3A"/>
    <w:rsid w:val="007A7621"/>
    <w:rsid w:val="007A7898"/>
    <w:rsid w:val="007A7F64"/>
    <w:rsid w:val="007B011E"/>
    <w:rsid w:val="007B0991"/>
    <w:rsid w:val="007B0A17"/>
    <w:rsid w:val="007B1752"/>
    <w:rsid w:val="007B1D3E"/>
    <w:rsid w:val="007B1ED6"/>
    <w:rsid w:val="007B2240"/>
    <w:rsid w:val="007B2815"/>
    <w:rsid w:val="007B2EEA"/>
    <w:rsid w:val="007B3720"/>
    <w:rsid w:val="007B44B7"/>
    <w:rsid w:val="007B54F1"/>
    <w:rsid w:val="007B586A"/>
    <w:rsid w:val="007B7B69"/>
    <w:rsid w:val="007B7BFE"/>
    <w:rsid w:val="007C0252"/>
    <w:rsid w:val="007C062A"/>
    <w:rsid w:val="007C0EF3"/>
    <w:rsid w:val="007C25F6"/>
    <w:rsid w:val="007C2B4F"/>
    <w:rsid w:val="007C2FB4"/>
    <w:rsid w:val="007C35AA"/>
    <w:rsid w:val="007C360F"/>
    <w:rsid w:val="007C391C"/>
    <w:rsid w:val="007C3A15"/>
    <w:rsid w:val="007C4F85"/>
    <w:rsid w:val="007C4FB2"/>
    <w:rsid w:val="007C50FA"/>
    <w:rsid w:val="007C5400"/>
    <w:rsid w:val="007C5E93"/>
    <w:rsid w:val="007C5FDB"/>
    <w:rsid w:val="007C60B6"/>
    <w:rsid w:val="007C60CF"/>
    <w:rsid w:val="007C612E"/>
    <w:rsid w:val="007C61A9"/>
    <w:rsid w:val="007C69D4"/>
    <w:rsid w:val="007C7658"/>
    <w:rsid w:val="007C7796"/>
    <w:rsid w:val="007D0157"/>
    <w:rsid w:val="007D01D2"/>
    <w:rsid w:val="007D04F6"/>
    <w:rsid w:val="007D09B7"/>
    <w:rsid w:val="007D0C3B"/>
    <w:rsid w:val="007D0DA4"/>
    <w:rsid w:val="007D1240"/>
    <w:rsid w:val="007D19E5"/>
    <w:rsid w:val="007D238D"/>
    <w:rsid w:val="007D2F2D"/>
    <w:rsid w:val="007D32BE"/>
    <w:rsid w:val="007D37F8"/>
    <w:rsid w:val="007D394D"/>
    <w:rsid w:val="007D499E"/>
    <w:rsid w:val="007D4EA8"/>
    <w:rsid w:val="007D505C"/>
    <w:rsid w:val="007D57F6"/>
    <w:rsid w:val="007D682E"/>
    <w:rsid w:val="007D68E7"/>
    <w:rsid w:val="007D74BD"/>
    <w:rsid w:val="007E0017"/>
    <w:rsid w:val="007E02C5"/>
    <w:rsid w:val="007E0583"/>
    <w:rsid w:val="007E0C6B"/>
    <w:rsid w:val="007E0D7D"/>
    <w:rsid w:val="007E2E4E"/>
    <w:rsid w:val="007E4057"/>
    <w:rsid w:val="007E4B8C"/>
    <w:rsid w:val="007E4E7A"/>
    <w:rsid w:val="007E54E3"/>
    <w:rsid w:val="007E5640"/>
    <w:rsid w:val="007E6605"/>
    <w:rsid w:val="007E6E64"/>
    <w:rsid w:val="007E7C32"/>
    <w:rsid w:val="007E7FBF"/>
    <w:rsid w:val="007E7FC3"/>
    <w:rsid w:val="007F03F8"/>
    <w:rsid w:val="007F12A1"/>
    <w:rsid w:val="007F1B66"/>
    <w:rsid w:val="007F29CB"/>
    <w:rsid w:val="007F3B8B"/>
    <w:rsid w:val="007F4C8C"/>
    <w:rsid w:val="007F521F"/>
    <w:rsid w:val="007F5AE5"/>
    <w:rsid w:val="007F614B"/>
    <w:rsid w:val="007F65AD"/>
    <w:rsid w:val="007F68AE"/>
    <w:rsid w:val="008016E7"/>
    <w:rsid w:val="008022A3"/>
    <w:rsid w:val="008033A6"/>
    <w:rsid w:val="00803469"/>
    <w:rsid w:val="0080365E"/>
    <w:rsid w:val="00803A31"/>
    <w:rsid w:val="008040C7"/>
    <w:rsid w:val="008041A5"/>
    <w:rsid w:val="00804DF2"/>
    <w:rsid w:val="00805377"/>
    <w:rsid w:val="008055B1"/>
    <w:rsid w:val="008057F4"/>
    <w:rsid w:val="00805A50"/>
    <w:rsid w:val="00805E65"/>
    <w:rsid w:val="00805F8F"/>
    <w:rsid w:val="008060C7"/>
    <w:rsid w:val="0080655B"/>
    <w:rsid w:val="00807EF5"/>
    <w:rsid w:val="00810A81"/>
    <w:rsid w:val="00810D59"/>
    <w:rsid w:val="0081115D"/>
    <w:rsid w:val="008111A0"/>
    <w:rsid w:val="0081164D"/>
    <w:rsid w:val="00811CB7"/>
    <w:rsid w:val="00811DA0"/>
    <w:rsid w:val="008125C1"/>
    <w:rsid w:val="008145C2"/>
    <w:rsid w:val="0081488A"/>
    <w:rsid w:val="00814AA8"/>
    <w:rsid w:val="008156AF"/>
    <w:rsid w:val="008161AD"/>
    <w:rsid w:val="00816C77"/>
    <w:rsid w:val="00816E09"/>
    <w:rsid w:val="008178BD"/>
    <w:rsid w:val="008178CC"/>
    <w:rsid w:val="00820099"/>
    <w:rsid w:val="00820DE6"/>
    <w:rsid w:val="00821198"/>
    <w:rsid w:val="00821A93"/>
    <w:rsid w:val="00821E9F"/>
    <w:rsid w:val="008222D2"/>
    <w:rsid w:val="008223A8"/>
    <w:rsid w:val="008234A5"/>
    <w:rsid w:val="008237C6"/>
    <w:rsid w:val="00825FA7"/>
    <w:rsid w:val="008260E0"/>
    <w:rsid w:val="00826BC4"/>
    <w:rsid w:val="0082718B"/>
    <w:rsid w:val="00827443"/>
    <w:rsid w:val="00827752"/>
    <w:rsid w:val="008305A1"/>
    <w:rsid w:val="00831493"/>
    <w:rsid w:val="00831642"/>
    <w:rsid w:val="00831749"/>
    <w:rsid w:val="008322BF"/>
    <w:rsid w:val="008323E5"/>
    <w:rsid w:val="008326B2"/>
    <w:rsid w:val="008331AD"/>
    <w:rsid w:val="00833313"/>
    <w:rsid w:val="00834718"/>
    <w:rsid w:val="00835A07"/>
    <w:rsid w:val="00836353"/>
    <w:rsid w:val="008364B6"/>
    <w:rsid w:val="0083673A"/>
    <w:rsid w:val="00837879"/>
    <w:rsid w:val="008434EE"/>
    <w:rsid w:val="00843578"/>
    <w:rsid w:val="0084357A"/>
    <w:rsid w:val="00845033"/>
    <w:rsid w:val="008450C5"/>
    <w:rsid w:val="0084519A"/>
    <w:rsid w:val="00845CFE"/>
    <w:rsid w:val="00845F86"/>
    <w:rsid w:val="008462EB"/>
    <w:rsid w:val="00846C20"/>
    <w:rsid w:val="00846FD3"/>
    <w:rsid w:val="00847B14"/>
    <w:rsid w:val="00850DC3"/>
    <w:rsid w:val="0085157D"/>
    <w:rsid w:val="0085208D"/>
    <w:rsid w:val="008521D2"/>
    <w:rsid w:val="00852C97"/>
    <w:rsid w:val="00853614"/>
    <w:rsid w:val="0085372E"/>
    <w:rsid w:val="008543BE"/>
    <w:rsid w:val="00854748"/>
    <w:rsid w:val="0085521C"/>
    <w:rsid w:val="00855B37"/>
    <w:rsid w:val="00856372"/>
    <w:rsid w:val="00856AE8"/>
    <w:rsid w:val="0085703E"/>
    <w:rsid w:val="0085790F"/>
    <w:rsid w:val="00857C31"/>
    <w:rsid w:val="00857F9E"/>
    <w:rsid w:val="008600D1"/>
    <w:rsid w:val="008601B1"/>
    <w:rsid w:val="0086123E"/>
    <w:rsid w:val="00861593"/>
    <w:rsid w:val="00861CEA"/>
    <w:rsid w:val="00861F43"/>
    <w:rsid w:val="0086262F"/>
    <w:rsid w:val="00862CCB"/>
    <w:rsid w:val="00863215"/>
    <w:rsid w:val="00863377"/>
    <w:rsid w:val="008645A6"/>
    <w:rsid w:val="008647B0"/>
    <w:rsid w:val="008663B5"/>
    <w:rsid w:val="008665EA"/>
    <w:rsid w:val="0086666B"/>
    <w:rsid w:val="00870484"/>
    <w:rsid w:val="00872696"/>
    <w:rsid w:val="00872902"/>
    <w:rsid w:val="0087291A"/>
    <w:rsid w:val="00873613"/>
    <w:rsid w:val="00873CE2"/>
    <w:rsid w:val="00873EC8"/>
    <w:rsid w:val="008757C4"/>
    <w:rsid w:val="00875831"/>
    <w:rsid w:val="00875CE2"/>
    <w:rsid w:val="00875E2A"/>
    <w:rsid w:val="00875F29"/>
    <w:rsid w:val="00876302"/>
    <w:rsid w:val="00876A5B"/>
    <w:rsid w:val="00877B3B"/>
    <w:rsid w:val="00877E7D"/>
    <w:rsid w:val="00877ED4"/>
    <w:rsid w:val="008811DC"/>
    <w:rsid w:val="00881619"/>
    <w:rsid w:val="008816E6"/>
    <w:rsid w:val="00881D4A"/>
    <w:rsid w:val="00882341"/>
    <w:rsid w:val="008824F5"/>
    <w:rsid w:val="0088328F"/>
    <w:rsid w:val="0088446B"/>
    <w:rsid w:val="00884783"/>
    <w:rsid w:val="00884AF3"/>
    <w:rsid w:val="00884EC1"/>
    <w:rsid w:val="008851AE"/>
    <w:rsid w:val="008865DF"/>
    <w:rsid w:val="00886681"/>
    <w:rsid w:val="00886EE9"/>
    <w:rsid w:val="00887544"/>
    <w:rsid w:val="008875AE"/>
    <w:rsid w:val="00887924"/>
    <w:rsid w:val="00887C10"/>
    <w:rsid w:val="0089048C"/>
    <w:rsid w:val="00891628"/>
    <w:rsid w:val="00891C29"/>
    <w:rsid w:val="00892625"/>
    <w:rsid w:val="00892E8B"/>
    <w:rsid w:val="00893D18"/>
    <w:rsid w:val="00894696"/>
    <w:rsid w:val="008946D6"/>
    <w:rsid w:val="00894CC0"/>
    <w:rsid w:val="00895048"/>
    <w:rsid w:val="008954E6"/>
    <w:rsid w:val="00895984"/>
    <w:rsid w:val="00895DC2"/>
    <w:rsid w:val="00896112"/>
    <w:rsid w:val="008961E3"/>
    <w:rsid w:val="00896772"/>
    <w:rsid w:val="00896EFA"/>
    <w:rsid w:val="0089728E"/>
    <w:rsid w:val="0089763F"/>
    <w:rsid w:val="008976AC"/>
    <w:rsid w:val="00897A7D"/>
    <w:rsid w:val="008A009A"/>
    <w:rsid w:val="008A027C"/>
    <w:rsid w:val="008A0356"/>
    <w:rsid w:val="008A156D"/>
    <w:rsid w:val="008A1B30"/>
    <w:rsid w:val="008A1FD3"/>
    <w:rsid w:val="008A2268"/>
    <w:rsid w:val="008A2437"/>
    <w:rsid w:val="008A2649"/>
    <w:rsid w:val="008A3BF6"/>
    <w:rsid w:val="008A3E3F"/>
    <w:rsid w:val="008A4427"/>
    <w:rsid w:val="008A5CA5"/>
    <w:rsid w:val="008A5DF7"/>
    <w:rsid w:val="008A66C1"/>
    <w:rsid w:val="008A6732"/>
    <w:rsid w:val="008A6CF2"/>
    <w:rsid w:val="008A7446"/>
    <w:rsid w:val="008A79FF"/>
    <w:rsid w:val="008A7ED4"/>
    <w:rsid w:val="008B00A8"/>
    <w:rsid w:val="008B0398"/>
    <w:rsid w:val="008B03BB"/>
    <w:rsid w:val="008B0798"/>
    <w:rsid w:val="008B0806"/>
    <w:rsid w:val="008B09EC"/>
    <w:rsid w:val="008B0BAD"/>
    <w:rsid w:val="008B14A9"/>
    <w:rsid w:val="008B2D9D"/>
    <w:rsid w:val="008B324E"/>
    <w:rsid w:val="008B421D"/>
    <w:rsid w:val="008B4B09"/>
    <w:rsid w:val="008B50F9"/>
    <w:rsid w:val="008B51C4"/>
    <w:rsid w:val="008B5342"/>
    <w:rsid w:val="008B5A6C"/>
    <w:rsid w:val="008B5CCD"/>
    <w:rsid w:val="008B5EDD"/>
    <w:rsid w:val="008B6286"/>
    <w:rsid w:val="008B6CB7"/>
    <w:rsid w:val="008B713D"/>
    <w:rsid w:val="008B7B01"/>
    <w:rsid w:val="008B7FA2"/>
    <w:rsid w:val="008C010E"/>
    <w:rsid w:val="008C0E2F"/>
    <w:rsid w:val="008C287D"/>
    <w:rsid w:val="008C38C2"/>
    <w:rsid w:val="008C3DA8"/>
    <w:rsid w:val="008C50CE"/>
    <w:rsid w:val="008C560F"/>
    <w:rsid w:val="008C5EF3"/>
    <w:rsid w:val="008C6226"/>
    <w:rsid w:val="008C6645"/>
    <w:rsid w:val="008C683A"/>
    <w:rsid w:val="008C7020"/>
    <w:rsid w:val="008D078C"/>
    <w:rsid w:val="008D086C"/>
    <w:rsid w:val="008D261F"/>
    <w:rsid w:val="008D2E0E"/>
    <w:rsid w:val="008D2FA5"/>
    <w:rsid w:val="008D3497"/>
    <w:rsid w:val="008D4B36"/>
    <w:rsid w:val="008D4C28"/>
    <w:rsid w:val="008D5A43"/>
    <w:rsid w:val="008D5C60"/>
    <w:rsid w:val="008D5C6C"/>
    <w:rsid w:val="008D6BAD"/>
    <w:rsid w:val="008D6FB1"/>
    <w:rsid w:val="008E0707"/>
    <w:rsid w:val="008E0F5C"/>
    <w:rsid w:val="008E14F5"/>
    <w:rsid w:val="008E16E9"/>
    <w:rsid w:val="008E20E5"/>
    <w:rsid w:val="008E2FA6"/>
    <w:rsid w:val="008E381A"/>
    <w:rsid w:val="008E5688"/>
    <w:rsid w:val="008E63EF"/>
    <w:rsid w:val="008E6902"/>
    <w:rsid w:val="008E75E4"/>
    <w:rsid w:val="008E7745"/>
    <w:rsid w:val="008E798A"/>
    <w:rsid w:val="008E7F0F"/>
    <w:rsid w:val="008F0D5B"/>
    <w:rsid w:val="008F186E"/>
    <w:rsid w:val="008F234C"/>
    <w:rsid w:val="008F26A2"/>
    <w:rsid w:val="008F2B3E"/>
    <w:rsid w:val="008F2EDC"/>
    <w:rsid w:val="008F330F"/>
    <w:rsid w:val="008F39BC"/>
    <w:rsid w:val="008F3A5F"/>
    <w:rsid w:val="008F3EE5"/>
    <w:rsid w:val="008F41EE"/>
    <w:rsid w:val="008F4309"/>
    <w:rsid w:val="008F58A9"/>
    <w:rsid w:val="008F5C15"/>
    <w:rsid w:val="008F5EB4"/>
    <w:rsid w:val="008F657D"/>
    <w:rsid w:val="008F6BF7"/>
    <w:rsid w:val="008F7259"/>
    <w:rsid w:val="008F74EA"/>
    <w:rsid w:val="008F7D4E"/>
    <w:rsid w:val="009013AB"/>
    <w:rsid w:val="00901FA0"/>
    <w:rsid w:val="00902506"/>
    <w:rsid w:val="00902571"/>
    <w:rsid w:val="00904552"/>
    <w:rsid w:val="00905BF7"/>
    <w:rsid w:val="00905E64"/>
    <w:rsid w:val="00906342"/>
    <w:rsid w:val="00906823"/>
    <w:rsid w:val="00906A6F"/>
    <w:rsid w:val="00907422"/>
    <w:rsid w:val="009075A4"/>
    <w:rsid w:val="0091036A"/>
    <w:rsid w:val="009105E2"/>
    <w:rsid w:val="00911206"/>
    <w:rsid w:val="009116B8"/>
    <w:rsid w:val="00911AB1"/>
    <w:rsid w:val="00912F6B"/>
    <w:rsid w:val="00913436"/>
    <w:rsid w:val="0091361C"/>
    <w:rsid w:val="009142C7"/>
    <w:rsid w:val="00915354"/>
    <w:rsid w:val="009159D9"/>
    <w:rsid w:val="00915B49"/>
    <w:rsid w:val="009163A7"/>
    <w:rsid w:val="0091682D"/>
    <w:rsid w:val="009168F4"/>
    <w:rsid w:val="00916CD8"/>
    <w:rsid w:val="00916F7B"/>
    <w:rsid w:val="0091723C"/>
    <w:rsid w:val="00917829"/>
    <w:rsid w:val="00917B6E"/>
    <w:rsid w:val="009205AA"/>
    <w:rsid w:val="00920869"/>
    <w:rsid w:val="00920D6B"/>
    <w:rsid w:val="009212CE"/>
    <w:rsid w:val="00922AF8"/>
    <w:rsid w:val="00922B60"/>
    <w:rsid w:val="00922E07"/>
    <w:rsid w:val="00922EBB"/>
    <w:rsid w:val="00923473"/>
    <w:rsid w:val="00923FF6"/>
    <w:rsid w:val="009258ED"/>
    <w:rsid w:val="00926250"/>
    <w:rsid w:val="0092695E"/>
    <w:rsid w:val="00926BC6"/>
    <w:rsid w:val="009307FC"/>
    <w:rsid w:val="009308C2"/>
    <w:rsid w:val="0093206E"/>
    <w:rsid w:val="00932F28"/>
    <w:rsid w:val="00933F2B"/>
    <w:rsid w:val="00933FB5"/>
    <w:rsid w:val="0093491D"/>
    <w:rsid w:val="00934ED1"/>
    <w:rsid w:val="00934F77"/>
    <w:rsid w:val="00935A59"/>
    <w:rsid w:val="0093614C"/>
    <w:rsid w:val="009374DB"/>
    <w:rsid w:val="00937DA0"/>
    <w:rsid w:val="00940B75"/>
    <w:rsid w:val="00941684"/>
    <w:rsid w:val="00943016"/>
    <w:rsid w:val="0094396E"/>
    <w:rsid w:val="00943FC9"/>
    <w:rsid w:val="00945746"/>
    <w:rsid w:val="00945B87"/>
    <w:rsid w:val="009463C2"/>
    <w:rsid w:val="0094645B"/>
    <w:rsid w:val="0094653C"/>
    <w:rsid w:val="009467C6"/>
    <w:rsid w:val="00946B7C"/>
    <w:rsid w:val="00947EC9"/>
    <w:rsid w:val="00950066"/>
    <w:rsid w:val="00950620"/>
    <w:rsid w:val="00950FD9"/>
    <w:rsid w:val="009512A8"/>
    <w:rsid w:val="00951C95"/>
    <w:rsid w:val="009526CC"/>
    <w:rsid w:val="00952C4C"/>
    <w:rsid w:val="00953316"/>
    <w:rsid w:val="00953750"/>
    <w:rsid w:val="00953CB2"/>
    <w:rsid w:val="00953CFA"/>
    <w:rsid w:val="0095452F"/>
    <w:rsid w:val="0095472E"/>
    <w:rsid w:val="00954894"/>
    <w:rsid w:val="00955214"/>
    <w:rsid w:val="00955B1D"/>
    <w:rsid w:val="009561D2"/>
    <w:rsid w:val="009565D9"/>
    <w:rsid w:val="00957712"/>
    <w:rsid w:val="009577A0"/>
    <w:rsid w:val="00957F7B"/>
    <w:rsid w:val="009603DA"/>
    <w:rsid w:val="009604FF"/>
    <w:rsid w:val="00961392"/>
    <w:rsid w:val="00961C7F"/>
    <w:rsid w:val="00961D40"/>
    <w:rsid w:val="009620A5"/>
    <w:rsid w:val="00962758"/>
    <w:rsid w:val="0096446D"/>
    <w:rsid w:val="00964516"/>
    <w:rsid w:val="009647B1"/>
    <w:rsid w:val="00964BBB"/>
    <w:rsid w:val="00965544"/>
    <w:rsid w:val="00965826"/>
    <w:rsid w:val="00965B72"/>
    <w:rsid w:val="00965CA2"/>
    <w:rsid w:val="00965CBB"/>
    <w:rsid w:val="0096766A"/>
    <w:rsid w:val="009705E8"/>
    <w:rsid w:val="009729D0"/>
    <w:rsid w:val="0097388C"/>
    <w:rsid w:val="00974115"/>
    <w:rsid w:val="009745B8"/>
    <w:rsid w:val="00974810"/>
    <w:rsid w:val="00974AE6"/>
    <w:rsid w:val="009753A5"/>
    <w:rsid w:val="009760AD"/>
    <w:rsid w:val="009760B3"/>
    <w:rsid w:val="00977106"/>
    <w:rsid w:val="009777D6"/>
    <w:rsid w:val="0097783E"/>
    <w:rsid w:val="00977EA1"/>
    <w:rsid w:val="00980252"/>
    <w:rsid w:val="0098161A"/>
    <w:rsid w:val="0098179E"/>
    <w:rsid w:val="00981A3A"/>
    <w:rsid w:val="00981B11"/>
    <w:rsid w:val="00982C35"/>
    <w:rsid w:val="00982F08"/>
    <w:rsid w:val="0098307E"/>
    <w:rsid w:val="0098407A"/>
    <w:rsid w:val="00984E14"/>
    <w:rsid w:val="00985B8D"/>
    <w:rsid w:val="00987DAE"/>
    <w:rsid w:val="0099037D"/>
    <w:rsid w:val="00990C73"/>
    <w:rsid w:val="009924E2"/>
    <w:rsid w:val="009929CD"/>
    <w:rsid w:val="00992F13"/>
    <w:rsid w:val="00994C28"/>
    <w:rsid w:val="00994DFD"/>
    <w:rsid w:val="009953B1"/>
    <w:rsid w:val="009953CC"/>
    <w:rsid w:val="00995BE9"/>
    <w:rsid w:val="009963C5"/>
    <w:rsid w:val="0099695D"/>
    <w:rsid w:val="00996BA5"/>
    <w:rsid w:val="0099736E"/>
    <w:rsid w:val="009975E9"/>
    <w:rsid w:val="009A1801"/>
    <w:rsid w:val="009A3323"/>
    <w:rsid w:val="009A39E5"/>
    <w:rsid w:val="009A39F0"/>
    <w:rsid w:val="009A3D70"/>
    <w:rsid w:val="009A4FB8"/>
    <w:rsid w:val="009A54EF"/>
    <w:rsid w:val="009A6247"/>
    <w:rsid w:val="009A6409"/>
    <w:rsid w:val="009B04FE"/>
    <w:rsid w:val="009B0AF1"/>
    <w:rsid w:val="009B12AB"/>
    <w:rsid w:val="009B22D2"/>
    <w:rsid w:val="009B2B14"/>
    <w:rsid w:val="009B2FE4"/>
    <w:rsid w:val="009B32D1"/>
    <w:rsid w:val="009B33EB"/>
    <w:rsid w:val="009B3AB0"/>
    <w:rsid w:val="009B3C9A"/>
    <w:rsid w:val="009B4C27"/>
    <w:rsid w:val="009B583D"/>
    <w:rsid w:val="009B60C9"/>
    <w:rsid w:val="009B6CEF"/>
    <w:rsid w:val="009B7C74"/>
    <w:rsid w:val="009C15E0"/>
    <w:rsid w:val="009C2004"/>
    <w:rsid w:val="009C22EF"/>
    <w:rsid w:val="009C2B50"/>
    <w:rsid w:val="009C2C4A"/>
    <w:rsid w:val="009C2FEF"/>
    <w:rsid w:val="009C3558"/>
    <w:rsid w:val="009C4585"/>
    <w:rsid w:val="009C5348"/>
    <w:rsid w:val="009C56F8"/>
    <w:rsid w:val="009C57C9"/>
    <w:rsid w:val="009C62C1"/>
    <w:rsid w:val="009C693D"/>
    <w:rsid w:val="009C6D55"/>
    <w:rsid w:val="009C7A8E"/>
    <w:rsid w:val="009C7FD2"/>
    <w:rsid w:val="009D0E35"/>
    <w:rsid w:val="009D1089"/>
    <w:rsid w:val="009D134F"/>
    <w:rsid w:val="009D1530"/>
    <w:rsid w:val="009D320F"/>
    <w:rsid w:val="009D54AA"/>
    <w:rsid w:val="009D5AD4"/>
    <w:rsid w:val="009D6EC4"/>
    <w:rsid w:val="009D7334"/>
    <w:rsid w:val="009D73CE"/>
    <w:rsid w:val="009D7B46"/>
    <w:rsid w:val="009E0C68"/>
    <w:rsid w:val="009E0D7B"/>
    <w:rsid w:val="009E29AE"/>
    <w:rsid w:val="009E29C7"/>
    <w:rsid w:val="009E2BA0"/>
    <w:rsid w:val="009E306F"/>
    <w:rsid w:val="009E3231"/>
    <w:rsid w:val="009E334C"/>
    <w:rsid w:val="009E3615"/>
    <w:rsid w:val="009E38B1"/>
    <w:rsid w:val="009E4CFF"/>
    <w:rsid w:val="009E4D84"/>
    <w:rsid w:val="009E5562"/>
    <w:rsid w:val="009E5766"/>
    <w:rsid w:val="009E5C0D"/>
    <w:rsid w:val="009E5EF2"/>
    <w:rsid w:val="009E614C"/>
    <w:rsid w:val="009E6893"/>
    <w:rsid w:val="009E784D"/>
    <w:rsid w:val="009F0353"/>
    <w:rsid w:val="009F0CFC"/>
    <w:rsid w:val="009F1113"/>
    <w:rsid w:val="009F1A91"/>
    <w:rsid w:val="009F1CEC"/>
    <w:rsid w:val="009F3156"/>
    <w:rsid w:val="009F36CD"/>
    <w:rsid w:val="009F3A3A"/>
    <w:rsid w:val="009F3B91"/>
    <w:rsid w:val="009F4D8A"/>
    <w:rsid w:val="009F4F56"/>
    <w:rsid w:val="009F50A7"/>
    <w:rsid w:val="009F5713"/>
    <w:rsid w:val="009F6144"/>
    <w:rsid w:val="009F6CF2"/>
    <w:rsid w:val="009F70F1"/>
    <w:rsid w:val="009F7390"/>
    <w:rsid w:val="009F77F2"/>
    <w:rsid w:val="009F7945"/>
    <w:rsid w:val="009F7DF4"/>
    <w:rsid w:val="00A0033C"/>
    <w:rsid w:val="00A00666"/>
    <w:rsid w:val="00A00AE9"/>
    <w:rsid w:val="00A00CFC"/>
    <w:rsid w:val="00A00D14"/>
    <w:rsid w:val="00A00DAE"/>
    <w:rsid w:val="00A03CD7"/>
    <w:rsid w:val="00A03EFA"/>
    <w:rsid w:val="00A04835"/>
    <w:rsid w:val="00A04AAF"/>
    <w:rsid w:val="00A04B39"/>
    <w:rsid w:val="00A06ADD"/>
    <w:rsid w:val="00A07087"/>
    <w:rsid w:val="00A07863"/>
    <w:rsid w:val="00A11022"/>
    <w:rsid w:val="00A1199B"/>
    <w:rsid w:val="00A123D8"/>
    <w:rsid w:val="00A12B1D"/>
    <w:rsid w:val="00A12D9A"/>
    <w:rsid w:val="00A1315A"/>
    <w:rsid w:val="00A1345C"/>
    <w:rsid w:val="00A13F1B"/>
    <w:rsid w:val="00A149E7"/>
    <w:rsid w:val="00A1615E"/>
    <w:rsid w:val="00A17385"/>
    <w:rsid w:val="00A213C6"/>
    <w:rsid w:val="00A21B91"/>
    <w:rsid w:val="00A22175"/>
    <w:rsid w:val="00A225C0"/>
    <w:rsid w:val="00A2263D"/>
    <w:rsid w:val="00A22C49"/>
    <w:rsid w:val="00A22C52"/>
    <w:rsid w:val="00A237AC"/>
    <w:rsid w:val="00A23A8D"/>
    <w:rsid w:val="00A23EBE"/>
    <w:rsid w:val="00A24294"/>
    <w:rsid w:val="00A24689"/>
    <w:rsid w:val="00A24825"/>
    <w:rsid w:val="00A25103"/>
    <w:rsid w:val="00A257C2"/>
    <w:rsid w:val="00A26016"/>
    <w:rsid w:val="00A26491"/>
    <w:rsid w:val="00A2654E"/>
    <w:rsid w:val="00A276D4"/>
    <w:rsid w:val="00A277E3"/>
    <w:rsid w:val="00A27A44"/>
    <w:rsid w:val="00A31337"/>
    <w:rsid w:val="00A314A2"/>
    <w:rsid w:val="00A326C9"/>
    <w:rsid w:val="00A32C91"/>
    <w:rsid w:val="00A366F4"/>
    <w:rsid w:val="00A36967"/>
    <w:rsid w:val="00A372CC"/>
    <w:rsid w:val="00A3761A"/>
    <w:rsid w:val="00A40762"/>
    <w:rsid w:val="00A41A26"/>
    <w:rsid w:val="00A41CF0"/>
    <w:rsid w:val="00A42356"/>
    <w:rsid w:val="00A431E9"/>
    <w:rsid w:val="00A43774"/>
    <w:rsid w:val="00A43E25"/>
    <w:rsid w:val="00A44B44"/>
    <w:rsid w:val="00A44C61"/>
    <w:rsid w:val="00A45266"/>
    <w:rsid w:val="00A467A7"/>
    <w:rsid w:val="00A467D1"/>
    <w:rsid w:val="00A46830"/>
    <w:rsid w:val="00A47269"/>
    <w:rsid w:val="00A47776"/>
    <w:rsid w:val="00A47832"/>
    <w:rsid w:val="00A5003A"/>
    <w:rsid w:val="00A50F7A"/>
    <w:rsid w:val="00A518A3"/>
    <w:rsid w:val="00A52045"/>
    <w:rsid w:val="00A5225F"/>
    <w:rsid w:val="00A52D2F"/>
    <w:rsid w:val="00A53302"/>
    <w:rsid w:val="00A54149"/>
    <w:rsid w:val="00A544F1"/>
    <w:rsid w:val="00A54E46"/>
    <w:rsid w:val="00A553FE"/>
    <w:rsid w:val="00A5572F"/>
    <w:rsid w:val="00A55877"/>
    <w:rsid w:val="00A55E7A"/>
    <w:rsid w:val="00A567AB"/>
    <w:rsid w:val="00A56C2A"/>
    <w:rsid w:val="00A6021C"/>
    <w:rsid w:val="00A60272"/>
    <w:rsid w:val="00A60688"/>
    <w:rsid w:val="00A6076E"/>
    <w:rsid w:val="00A60C94"/>
    <w:rsid w:val="00A60D9F"/>
    <w:rsid w:val="00A6125C"/>
    <w:rsid w:val="00A61912"/>
    <w:rsid w:val="00A61AC4"/>
    <w:rsid w:val="00A62229"/>
    <w:rsid w:val="00A62304"/>
    <w:rsid w:val="00A62A68"/>
    <w:rsid w:val="00A62E0C"/>
    <w:rsid w:val="00A6305A"/>
    <w:rsid w:val="00A635F8"/>
    <w:rsid w:val="00A63848"/>
    <w:rsid w:val="00A63CD9"/>
    <w:rsid w:val="00A640D9"/>
    <w:rsid w:val="00A6440C"/>
    <w:rsid w:val="00A64F64"/>
    <w:rsid w:val="00A652DE"/>
    <w:rsid w:val="00A65567"/>
    <w:rsid w:val="00A656CF"/>
    <w:rsid w:val="00A6615A"/>
    <w:rsid w:val="00A70997"/>
    <w:rsid w:val="00A709A8"/>
    <w:rsid w:val="00A70A8B"/>
    <w:rsid w:val="00A70E3F"/>
    <w:rsid w:val="00A714A8"/>
    <w:rsid w:val="00A71F4E"/>
    <w:rsid w:val="00A725B1"/>
    <w:rsid w:val="00A72C45"/>
    <w:rsid w:val="00A733B5"/>
    <w:rsid w:val="00A733F1"/>
    <w:rsid w:val="00A736AC"/>
    <w:rsid w:val="00A746B1"/>
    <w:rsid w:val="00A74BB9"/>
    <w:rsid w:val="00A74D31"/>
    <w:rsid w:val="00A755B6"/>
    <w:rsid w:val="00A75C8F"/>
    <w:rsid w:val="00A75F57"/>
    <w:rsid w:val="00A7699B"/>
    <w:rsid w:val="00A801AD"/>
    <w:rsid w:val="00A808B7"/>
    <w:rsid w:val="00A80B2E"/>
    <w:rsid w:val="00A80B54"/>
    <w:rsid w:val="00A810C9"/>
    <w:rsid w:val="00A8153A"/>
    <w:rsid w:val="00A8177B"/>
    <w:rsid w:val="00A82AF5"/>
    <w:rsid w:val="00A83B7C"/>
    <w:rsid w:val="00A84353"/>
    <w:rsid w:val="00A84453"/>
    <w:rsid w:val="00A844CF"/>
    <w:rsid w:val="00A864C5"/>
    <w:rsid w:val="00A86735"/>
    <w:rsid w:val="00A86771"/>
    <w:rsid w:val="00A870D7"/>
    <w:rsid w:val="00A87994"/>
    <w:rsid w:val="00A87CCB"/>
    <w:rsid w:val="00A90497"/>
    <w:rsid w:val="00A90A23"/>
    <w:rsid w:val="00A91722"/>
    <w:rsid w:val="00A9198A"/>
    <w:rsid w:val="00A923FE"/>
    <w:rsid w:val="00A92722"/>
    <w:rsid w:val="00A92746"/>
    <w:rsid w:val="00A9284F"/>
    <w:rsid w:val="00A93933"/>
    <w:rsid w:val="00A939FC"/>
    <w:rsid w:val="00A953D5"/>
    <w:rsid w:val="00A95AC3"/>
    <w:rsid w:val="00A960E8"/>
    <w:rsid w:val="00A966E6"/>
    <w:rsid w:val="00A96741"/>
    <w:rsid w:val="00A968F4"/>
    <w:rsid w:val="00A96C19"/>
    <w:rsid w:val="00AA04CD"/>
    <w:rsid w:val="00AA0A30"/>
    <w:rsid w:val="00AA1C40"/>
    <w:rsid w:val="00AA20DC"/>
    <w:rsid w:val="00AA2258"/>
    <w:rsid w:val="00AA2B5C"/>
    <w:rsid w:val="00AA3D9B"/>
    <w:rsid w:val="00AA4CCE"/>
    <w:rsid w:val="00AA4F57"/>
    <w:rsid w:val="00AA56E6"/>
    <w:rsid w:val="00AA5B75"/>
    <w:rsid w:val="00AA71CF"/>
    <w:rsid w:val="00AA7AF0"/>
    <w:rsid w:val="00AA7CCE"/>
    <w:rsid w:val="00AB005B"/>
    <w:rsid w:val="00AB0359"/>
    <w:rsid w:val="00AB0553"/>
    <w:rsid w:val="00AB06C7"/>
    <w:rsid w:val="00AB098D"/>
    <w:rsid w:val="00AB0FE8"/>
    <w:rsid w:val="00AB171E"/>
    <w:rsid w:val="00AB2495"/>
    <w:rsid w:val="00AB249D"/>
    <w:rsid w:val="00AB2A56"/>
    <w:rsid w:val="00AB2B6A"/>
    <w:rsid w:val="00AB2BCF"/>
    <w:rsid w:val="00AB303C"/>
    <w:rsid w:val="00AB3341"/>
    <w:rsid w:val="00AB3C60"/>
    <w:rsid w:val="00AB54B8"/>
    <w:rsid w:val="00AB5878"/>
    <w:rsid w:val="00AB59CC"/>
    <w:rsid w:val="00AB5FDA"/>
    <w:rsid w:val="00AB69A9"/>
    <w:rsid w:val="00AB6B9D"/>
    <w:rsid w:val="00AB70A8"/>
    <w:rsid w:val="00AB7895"/>
    <w:rsid w:val="00AB7BA3"/>
    <w:rsid w:val="00AB7FF3"/>
    <w:rsid w:val="00AC023D"/>
    <w:rsid w:val="00AC046D"/>
    <w:rsid w:val="00AC0953"/>
    <w:rsid w:val="00AC1066"/>
    <w:rsid w:val="00AC1D3E"/>
    <w:rsid w:val="00AC2E52"/>
    <w:rsid w:val="00AC577B"/>
    <w:rsid w:val="00AC6DE9"/>
    <w:rsid w:val="00AC73B9"/>
    <w:rsid w:val="00AC7507"/>
    <w:rsid w:val="00AD17C0"/>
    <w:rsid w:val="00AD1BBB"/>
    <w:rsid w:val="00AD1E11"/>
    <w:rsid w:val="00AD2D0E"/>
    <w:rsid w:val="00AD37BA"/>
    <w:rsid w:val="00AD4454"/>
    <w:rsid w:val="00AD51AA"/>
    <w:rsid w:val="00AD5940"/>
    <w:rsid w:val="00AD5ADD"/>
    <w:rsid w:val="00AD5AE2"/>
    <w:rsid w:val="00AD5CBE"/>
    <w:rsid w:val="00AD5DFB"/>
    <w:rsid w:val="00AD6651"/>
    <w:rsid w:val="00AD677E"/>
    <w:rsid w:val="00AD6E55"/>
    <w:rsid w:val="00AD78A7"/>
    <w:rsid w:val="00AD7E0F"/>
    <w:rsid w:val="00AE0003"/>
    <w:rsid w:val="00AE051E"/>
    <w:rsid w:val="00AE1514"/>
    <w:rsid w:val="00AE2CF5"/>
    <w:rsid w:val="00AE2DC4"/>
    <w:rsid w:val="00AE3CF7"/>
    <w:rsid w:val="00AE419E"/>
    <w:rsid w:val="00AE4640"/>
    <w:rsid w:val="00AE46E1"/>
    <w:rsid w:val="00AE5300"/>
    <w:rsid w:val="00AE7624"/>
    <w:rsid w:val="00AE7E11"/>
    <w:rsid w:val="00AF028E"/>
    <w:rsid w:val="00AF113B"/>
    <w:rsid w:val="00AF1313"/>
    <w:rsid w:val="00AF1C77"/>
    <w:rsid w:val="00AF2630"/>
    <w:rsid w:val="00AF271A"/>
    <w:rsid w:val="00AF29B0"/>
    <w:rsid w:val="00AF327C"/>
    <w:rsid w:val="00AF3F76"/>
    <w:rsid w:val="00AF4CC4"/>
    <w:rsid w:val="00AF4DB2"/>
    <w:rsid w:val="00AF4E04"/>
    <w:rsid w:val="00AF5219"/>
    <w:rsid w:val="00AF536D"/>
    <w:rsid w:val="00AF543F"/>
    <w:rsid w:val="00AF5FDD"/>
    <w:rsid w:val="00AF6E06"/>
    <w:rsid w:val="00AF734E"/>
    <w:rsid w:val="00B001A7"/>
    <w:rsid w:val="00B007C7"/>
    <w:rsid w:val="00B01879"/>
    <w:rsid w:val="00B01B1A"/>
    <w:rsid w:val="00B03430"/>
    <w:rsid w:val="00B03F5A"/>
    <w:rsid w:val="00B04788"/>
    <w:rsid w:val="00B04D91"/>
    <w:rsid w:val="00B06276"/>
    <w:rsid w:val="00B06D81"/>
    <w:rsid w:val="00B0764E"/>
    <w:rsid w:val="00B07C47"/>
    <w:rsid w:val="00B10932"/>
    <w:rsid w:val="00B10ED5"/>
    <w:rsid w:val="00B10F55"/>
    <w:rsid w:val="00B11B2B"/>
    <w:rsid w:val="00B11C8D"/>
    <w:rsid w:val="00B11DDB"/>
    <w:rsid w:val="00B12540"/>
    <w:rsid w:val="00B127EF"/>
    <w:rsid w:val="00B1288A"/>
    <w:rsid w:val="00B12B40"/>
    <w:rsid w:val="00B12C45"/>
    <w:rsid w:val="00B14DAF"/>
    <w:rsid w:val="00B14F1B"/>
    <w:rsid w:val="00B152EA"/>
    <w:rsid w:val="00B15AC4"/>
    <w:rsid w:val="00B16F60"/>
    <w:rsid w:val="00B1728C"/>
    <w:rsid w:val="00B172ED"/>
    <w:rsid w:val="00B17398"/>
    <w:rsid w:val="00B17B7E"/>
    <w:rsid w:val="00B20467"/>
    <w:rsid w:val="00B20688"/>
    <w:rsid w:val="00B20A44"/>
    <w:rsid w:val="00B221BD"/>
    <w:rsid w:val="00B2297F"/>
    <w:rsid w:val="00B23652"/>
    <w:rsid w:val="00B23B09"/>
    <w:rsid w:val="00B23BB8"/>
    <w:rsid w:val="00B240DA"/>
    <w:rsid w:val="00B241B4"/>
    <w:rsid w:val="00B24728"/>
    <w:rsid w:val="00B24F5A"/>
    <w:rsid w:val="00B259B5"/>
    <w:rsid w:val="00B26002"/>
    <w:rsid w:val="00B266D1"/>
    <w:rsid w:val="00B269B6"/>
    <w:rsid w:val="00B26F5D"/>
    <w:rsid w:val="00B27124"/>
    <w:rsid w:val="00B27293"/>
    <w:rsid w:val="00B30C33"/>
    <w:rsid w:val="00B31BB3"/>
    <w:rsid w:val="00B3276E"/>
    <w:rsid w:val="00B3365F"/>
    <w:rsid w:val="00B33FD1"/>
    <w:rsid w:val="00B34119"/>
    <w:rsid w:val="00B350EA"/>
    <w:rsid w:val="00B35D0D"/>
    <w:rsid w:val="00B35F58"/>
    <w:rsid w:val="00B36A03"/>
    <w:rsid w:val="00B36B5E"/>
    <w:rsid w:val="00B3795E"/>
    <w:rsid w:val="00B40145"/>
    <w:rsid w:val="00B40A86"/>
    <w:rsid w:val="00B40F1E"/>
    <w:rsid w:val="00B40F49"/>
    <w:rsid w:val="00B418E2"/>
    <w:rsid w:val="00B41BC8"/>
    <w:rsid w:val="00B42AEF"/>
    <w:rsid w:val="00B43CD6"/>
    <w:rsid w:val="00B44A92"/>
    <w:rsid w:val="00B44AFE"/>
    <w:rsid w:val="00B44C60"/>
    <w:rsid w:val="00B45DD9"/>
    <w:rsid w:val="00B465F2"/>
    <w:rsid w:val="00B46DA8"/>
    <w:rsid w:val="00B46F53"/>
    <w:rsid w:val="00B47AAA"/>
    <w:rsid w:val="00B47BE8"/>
    <w:rsid w:val="00B50235"/>
    <w:rsid w:val="00B50440"/>
    <w:rsid w:val="00B504BD"/>
    <w:rsid w:val="00B50B2C"/>
    <w:rsid w:val="00B52809"/>
    <w:rsid w:val="00B5380B"/>
    <w:rsid w:val="00B53856"/>
    <w:rsid w:val="00B53B0F"/>
    <w:rsid w:val="00B54EFB"/>
    <w:rsid w:val="00B55037"/>
    <w:rsid w:val="00B56BB1"/>
    <w:rsid w:val="00B572C9"/>
    <w:rsid w:val="00B57E7F"/>
    <w:rsid w:val="00B600AA"/>
    <w:rsid w:val="00B602C4"/>
    <w:rsid w:val="00B606C9"/>
    <w:rsid w:val="00B61A37"/>
    <w:rsid w:val="00B61DA9"/>
    <w:rsid w:val="00B623F3"/>
    <w:rsid w:val="00B6307F"/>
    <w:rsid w:val="00B639C1"/>
    <w:rsid w:val="00B64BE4"/>
    <w:rsid w:val="00B64F7A"/>
    <w:rsid w:val="00B65DBC"/>
    <w:rsid w:val="00B66E83"/>
    <w:rsid w:val="00B6710E"/>
    <w:rsid w:val="00B67B23"/>
    <w:rsid w:val="00B67BED"/>
    <w:rsid w:val="00B67F02"/>
    <w:rsid w:val="00B7073E"/>
    <w:rsid w:val="00B709C1"/>
    <w:rsid w:val="00B732A9"/>
    <w:rsid w:val="00B74240"/>
    <w:rsid w:val="00B7433A"/>
    <w:rsid w:val="00B7588F"/>
    <w:rsid w:val="00B76BA0"/>
    <w:rsid w:val="00B778F8"/>
    <w:rsid w:val="00B77F4E"/>
    <w:rsid w:val="00B80CE8"/>
    <w:rsid w:val="00B81B73"/>
    <w:rsid w:val="00B82797"/>
    <w:rsid w:val="00B8342B"/>
    <w:rsid w:val="00B83AF5"/>
    <w:rsid w:val="00B83ED6"/>
    <w:rsid w:val="00B849F0"/>
    <w:rsid w:val="00B85D6E"/>
    <w:rsid w:val="00B85F0A"/>
    <w:rsid w:val="00B862DF"/>
    <w:rsid w:val="00B867A3"/>
    <w:rsid w:val="00B87E3B"/>
    <w:rsid w:val="00B902FB"/>
    <w:rsid w:val="00B90B28"/>
    <w:rsid w:val="00B9149C"/>
    <w:rsid w:val="00B91E5B"/>
    <w:rsid w:val="00B92FAD"/>
    <w:rsid w:val="00B9325D"/>
    <w:rsid w:val="00B93297"/>
    <w:rsid w:val="00B9373D"/>
    <w:rsid w:val="00B93FC6"/>
    <w:rsid w:val="00B9418E"/>
    <w:rsid w:val="00B9459E"/>
    <w:rsid w:val="00B94D94"/>
    <w:rsid w:val="00B95DD5"/>
    <w:rsid w:val="00B9684B"/>
    <w:rsid w:val="00B96F09"/>
    <w:rsid w:val="00B96FDD"/>
    <w:rsid w:val="00B97265"/>
    <w:rsid w:val="00B97537"/>
    <w:rsid w:val="00B97890"/>
    <w:rsid w:val="00B9791D"/>
    <w:rsid w:val="00B97B5B"/>
    <w:rsid w:val="00BA1409"/>
    <w:rsid w:val="00BA1562"/>
    <w:rsid w:val="00BA1760"/>
    <w:rsid w:val="00BA176B"/>
    <w:rsid w:val="00BA247C"/>
    <w:rsid w:val="00BA2B1E"/>
    <w:rsid w:val="00BA33A7"/>
    <w:rsid w:val="00BA3C96"/>
    <w:rsid w:val="00BA3F8D"/>
    <w:rsid w:val="00BA4751"/>
    <w:rsid w:val="00BA48B7"/>
    <w:rsid w:val="00BA52EC"/>
    <w:rsid w:val="00BA5EFA"/>
    <w:rsid w:val="00BA6527"/>
    <w:rsid w:val="00BA67B9"/>
    <w:rsid w:val="00BA6F03"/>
    <w:rsid w:val="00BA7096"/>
    <w:rsid w:val="00BA7152"/>
    <w:rsid w:val="00BA7788"/>
    <w:rsid w:val="00BB0039"/>
    <w:rsid w:val="00BB0578"/>
    <w:rsid w:val="00BB0B92"/>
    <w:rsid w:val="00BB133E"/>
    <w:rsid w:val="00BB1569"/>
    <w:rsid w:val="00BB1B6A"/>
    <w:rsid w:val="00BB1D7D"/>
    <w:rsid w:val="00BB242A"/>
    <w:rsid w:val="00BB35D3"/>
    <w:rsid w:val="00BB36A2"/>
    <w:rsid w:val="00BB3C9C"/>
    <w:rsid w:val="00BB472B"/>
    <w:rsid w:val="00BB4B8D"/>
    <w:rsid w:val="00BB62C5"/>
    <w:rsid w:val="00BB68B7"/>
    <w:rsid w:val="00BB6EFE"/>
    <w:rsid w:val="00BB6F5E"/>
    <w:rsid w:val="00BC0D4B"/>
    <w:rsid w:val="00BC0D84"/>
    <w:rsid w:val="00BC26C4"/>
    <w:rsid w:val="00BC2C18"/>
    <w:rsid w:val="00BC2C3D"/>
    <w:rsid w:val="00BC3095"/>
    <w:rsid w:val="00BC446F"/>
    <w:rsid w:val="00BC4847"/>
    <w:rsid w:val="00BC4C47"/>
    <w:rsid w:val="00BC57DB"/>
    <w:rsid w:val="00BC5A0C"/>
    <w:rsid w:val="00BC5E3B"/>
    <w:rsid w:val="00BC6115"/>
    <w:rsid w:val="00BC6258"/>
    <w:rsid w:val="00BC65D6"/>
    <w:rsid w:val="00BC6788"/>
    <w:rsid w:val="00BC6CD2"/>
    <w:rsid w:val="00BC782A"/>
    <w:rsid w:val="00BD0157"/>
    <w:rsid w:val="00BD09BC"/>
    <w:rsid w:val="00BD0ECD"/>
    <w:rsid w:val="00BD0F6D"/>
    <w:rsid w:val="00BD0F8C"/>
    <w:rsid w:val="00BD1450"/>
    <w:rsid w:val="00BD1641"/>
    <w:rsid w:val="00BD1D2B"/>
    <w:rsid w:val="00BD24F1"/>
    <w:rsid w:val="00BD2C1B"/>
    <w:rsid w:val="00BD2C9D"/>
    <w:rsid w:val="00BD3790"/>
    <w:rsid w:val="00BD39D8"/>
    <w:rsid w:val="00BD4DF1"/>
    <w:rsid w:val="00BD717B"/>
    <w:rsid w:val="00BE041C"/>
    <w:rsid w:val="00BE061C"/>
    <w:rsid w:val="00BE08A8"/>
    <w:rsid w:val="00BE1870"/>
    <w:rsid w:val="00BE1AC4"/>
    <w:rsid w:val="00BE26D8"/>
    <w:rsid w:val="00BE3126"/>
    <w:rsid w:val="00BE3D71"/>
    <w:rsid w:val="00BE4899"/>
    <w:rsid w:val="00BE503A"/>
    <w:rsid w:val="00BE5430"/>
    <w:rsid w:val="00BE5A24"/>
    <w:rsid w:val="00BE5B5A"/>
    <w:rsid w:val="00BE600D"/>
    <w:rsid w:val="00BE612D"/>
    <w:rsid w:val="00BE6446"/>
    <w:rsid w:val="00BF0C2F"/>
    <w:rsid w:val="00BF12D0"/>
    <w:rsid w:val="00BF1E6C"/>
    <w:rsid w:val="00BF227F"/>
    <w:rsid w:val="00BF2331"/>
    <w:rsid w:val="00BF2697"/>
    <w:rsid w:val="00BF333E"/>
    <w:rsid w:val="00BF3465"/>
    <w:rsid w:val="00BF359D"/>
    <w:rsid w:val="00BF3664"/>
    <w:rsid w:val="00BF4CF8"/>
    <w:rsid w:val="00BF5025"/>
    <w:rsid w:val="00BF6555"/>
    <w:rsid w:val="00BF681B"/>
    <w:rsid w:val="00BF6870"/>
    <w:rsid w:val="00BF705E"/>
    <w:rsid w:val="00BF77CE"/>
    <w:rsid w:val="00C000D5"/>
    <w:rsid w:val="00C0084C"/>
    <w:rsid w:val="00C00A0F"/>
    <w:rsid w:val="00C01419"/>
    <w:rsid w:val="00C0149C"/>
    <w:rsid w:val="00C0154D"/>
    <w:rsid w:val="00C015B9"/>
    <w:rsid w:val="00C02809"/>
    <w:rsid w:val="00C02A7D"/>
    <w:rsid w:val="00C02F2A"/>
    <w:rsid w:val="00C0345D"/>
    <w:rsid w:val="00C035B7"/>
    <w:rsid w:val="00C035F1"/>
    <w:rsid w:val="00C0362E"/>
    <w:rsid w:val="00C03D8C"/>
    <w:rsid w:val="00C04011"/>
    <w:rsid w:val="00C040F0"/>
    <w:rsid w:val="00C0443B"/>
    <w:rsid w:val="00C04463"/>
    <w:rsid w:val="00C047BA"/>
    <w:rsid w:val="00C0543D"/>
    <w:rsid w:val="00C05C9F"/>
    <w:rsid w:val="00C05E37"/>
    <w:rsid w:val="00C060E5"/>
    <w:rsid w:val="00C06AC6"/>
    <w:rsid w:val="00C07F72"/>
    <w:rsid w:val="00C10438"/>
    <w:rsid w:val="00C10AA5"/>
    <w:rsid w:val="00C10C81"/>
    <w:rsid w:val="00C11146"/>
    <w:rsid w:val="00C11369"/>
    <w:rsid w:val="00C118DB"/>
    <w:rsid w:val="00C11F30"/>
    <w:rsid w:val="00C12EDC"/>
    <w:rsid w:val="00C12F33"/>
    <w:rsid w:val="00C140FE"/>
    <w:rsid w:val="00C14E07"/>
    <w:rsid w:val="00C14E9C"/>
    <w:rsid w:val="00C15284"/>
    <w:rsid w:val="00C1603B"/>
    <w:rsid w:val="00C16BD1"/>
    <w:rsid w:val="00C16D9A"/>
    <w:rsid w:val="00C173FC"/>
    <w:rsid w:val="00C17454"/>
    <w:rsid w:val="00C1761C"/>
    <w:rsid w:val="00C21105"/>
    <w:rsid w:val="00C2130B"/>
    <w:rsid w:val="00C21690"/>
    <w:rsid w:val="00C218B1"/>
    <w:rsid w:val="00C21DFB"/>
    <w:rsid w:val="00C224FB"/>
    <w:rsid w:val="00C22640"/>
    <w:rsid w:val="00C227B4"/>
    <w:rsid w:val="00C22B6A"/>
    <w:rsid w:val="00C23083"/>
    <w:rsid w:val="00C23260"/>
    <w:rsid w:val="00C23F8E"/>
    <w:rsid w:val="00C24029"/>
    <w:rsid w:val="00C241A8"/>
    <w:rsid w:val="00C24396"/>
    <w:rsid w:val="00C24742"/>
    <w:rsid w:val="00C25096"/>
    <w:rsid w:val="00C250AA"/>
    <w:rsid w:val="00C257F5"/>
    <w:rsid w:val="00C260E3"/>
    <w:rsid w:val="00C2637D"/>
    <w:rsid w:val="00C302F6"/>
    <w:rsid w:val="00C3084E"/>
    <w:rsid w:val="00C314C5"/>
    <w:rsid w:val="00C31B4D"/>
    <w:rsid w:val="00C31FEB"/>
    <w:rsid w:val="00C32DCF"/>
    <w:rsid w:val="00C33098"/>
    <w:rsid w:val="00C334E1"/>
    <w:rsid w:val="00C33B2D"/>
    <w:rsid w:val="00C341D9"/>
    <w:rsid w:val="00C342B5"/>
    <w:rsid w:val="00C34447"/>
    <w:rsid w:val="00C34547"/>
    <w:rsid w:val="00C3532B"/>
    <w:rsid w:val="00C354AC"/>
    <w:rsid w:val="00C36ACD"/>
    <w:rsid w:val="00C36CC0"/>
    <w:rsid w:val="00C37083"/>
    <w:rsid w:val="00C372FE"/>
    <w:rsid w:val="00C407EA"/>
    <w:rsid w:val="00C408F6"/>
    <w:rsid w:val="00C40F2A"/>
    <w:rsid w:val="00C41480"/>
    <w:rsid w:val="00C4182A"/>
    <w:rsid w:val="00C41D9E"/>
    <w:rsid w:val="00C41FE2"/>
    <w:rsid w:val="00C42B8A"/>
    <w:rsid w:val="00C42E96"/>
    <w:rsid w:val="00C4345D"/>
    <w:rsid w:val="00C43ACA"/>
    <w:rsid w:val="00C44134"/>
    <w:rsid w:val="00C444D3"/>
    <w:rsid w:val="00C445E4"/>
    <w:rsid w:val="00C448D1"/>
    <w:rsid w:val="00C452EF"/>
    <w:rsid w:val="00C46912"/>
    <w:rsid w:val="00C46A84"/>
    <w:rsid w:val="00C46C2E"/>
    <w:rsid w:val="00C46E55"/>
    <w:rsid w:val="00C471B5"/>
    <w:rsid w:val="00C472E9"/>
    <w:rsid w:val="00C47A79"/>
    <w:rsid w:val="00C50833"/>
    <w:rsid w:val="00C517A4"/>
    <w:rsid w:val="00C51E41"/>
    <w:rsid w:val="00C523E0"/>
    <w:rsid w:val="00C53AF7"/>
    <w:rsid w:val="00C54353"/>
    <w:rsid w:val="00C54A7A"/>
    <w:rsid w:val="00C54D2F"/>
    <w:rsid w:val="00C55212"/>
    <w:rsid w:val="00C5546E"/>
    <w:rsid w:val="00C556DF"/>
    <w:rsid w:val="00C55E9D"/>
    <w:rsid w:val="00C56CE3"/>
    <w:rsid w:val="00C5782D"/>
    <w:rsid w:val="00C604DF"/>
    <w:rsid w:val="00C6057E"/>
    <w:rsid w:val="00C60626"/>
    <w:rsid w:val="00C6063F"/>
    <w:rsid w:val="00C60B7D"/>
    <w:rsid w:val="00C6180B"/>
    <w:rsid w:val="00C62583"/>
    <w:rsid w:val="00C64566"/>
    <w:rsid w:val="00C64E8B"/>
    <w:rsid w:val="00C6538F"/>
    <w:rsid w:val="00C655B9"/>
    <w:rsid w:val="00C661AD"/>
    <w:rsid w:val="00C66828"/>
    <w:rsid w:val="00C66871"/>
    <w:rsid w:val="00C669CA"/>
    <w:rsid w:val="00C66DB1"/>
    <w:rsid w:val="00C671A3"/>
    <w:rsid w:val="00C67FD4"/>
    <w:rsid w:val="00C7015D"/>
    <w:rsid w:val="00C701F0"/>
    <w:rsid w:val="00C7063B"/>
    <w:rsid w:val="00C71F8F"/>
    <w:rsid w:val="00C72F45"/>
    <w:rsid w:val="00C74E08"/>
    <w:rsid w:val="00C75C1A"/>
    <w:rsid w:val="00C7616C"/>
    <w:rsid w:val="00C7665A"/>
    <w:rsid w:val="00C76B5A"/>
    <w:rsid w:val="00C76F43"/>
    <w:rsid w:val="00C77BE2"/>
    <w:rsid w:val="00C80BFF"/>
    <w:rsid w:val="00C81846"/>
    <w:rsid w:val="00C81849"/>
    <w:rsid w:val="00C81BD5"/>
    <w:rsid w:val="00C82BCF"/>
    <w:rsid w:val="00C84042"/>
    <w:rsid w:val="00C841FE"/>
    <w:rsid w:val="00C842F0"/>
    <w:rsid w:val="00C8494D"/>
    <w:rsid w:val="00C84A04"/>
    <w:rsid w:val="00C855A9"/>
    <w:rsid w:val="00C85E3A"/>
    <w:rsid w:val="00C8621E"/>
    <w:rsid w:val="00C878B7"/>
    <w:rsid w:val="00C90E34"/>
    <w:rsid w:val="00C9114E"/>
    <w:rsid w:val="00C91DEF"/>
    <w:rsid w:val="00C91FAC"/>
    <w:rsid w:val="00C91FFE"/>
    <w:rsid w:val="00C92AB1"/>
    <w:rsid w:val="00C92B9A"/>
    <w:rsid w:val="00C92BC1"/>
    <w:rsid w:val="00C9378E"/>
    <w:rsid w:val="00C93D5C"/>
    <w:rsid w:val="00C93FC4"/>
    <w:rsid w:val="00C940A9"/>
    <w:rsid w:val="00C9418A"/>
    <w:rsid w:val="00C951F2"/>
    <w:rsid w:val="00C95272"/>
    <w:rsid w:val="00C95341"/>
    <w:rsid w:val="00C9623F"/>
    <w:rsid w:val="00C96717"/>
    <w:rsid w:val="00C96DAD"/>
    <w:rsid w:val="00C9762C"/>
    <w:rsid w:val="00C97AC0"/>
    <w:rsid w:val="00C97BB4"/>
    <w:rsid w:val="00C97CB1"/>
    <w:rsid w:val="00CA05E7"/>
    <w:rsid w:val="00CA2553"/>
    <w:rsid w:val="00CA329A"/>
    <w:rsid w:val="00CA32B3"/>
    <w:rsid w:val="00CA3B7D"/>
    <w:rsid w:val="00CA4165"/>
    <w:rsid w:val="00CA485F"/>
    <w:rsid w:val="00CA494C"/>
    <w:rsid w:val="00CA4B58"/>
    <w:rsid w:val="00CA4F7C"/>
    <w:rsid w:val="00CA57BB"/>
    <w:rsid w:val="00CA5E3F"/>
    <w:rsid w:val="00CA5EBD"/>
    <w:rsid w:val="00CA5EBF"/>
    <w:rsid w:val="00CA693C"/>
    <w:rsid w:val="00CA7274"/>
    <w:rsid w:val="00CB0553"/>
    <w:rsid w:val="00CB099A"/>
    <w:rsid w:val="00CB0B4A"/>
    <w:rsid w:val="00CB151A"/>
    <w:rsid w:val="00CB1DCB"/>
    <w:rsid w:val="00CB1ECC"/>
    <w:rsid w:val="00CB23C1"/>
    <w:rsid w:val="00CB2814"/>
    <w:rsid w:val="00CB2F2F"/>
    <w:rsid w:val="00CB35D1"/>
    <w:rsid w:val="00CB3FA8"/>
    <w:rsid w:val="00CB4609"/>
    <w:rsid w:val="00CB4D69"/>
    <w:rsid w:val="00CB661B"/>
    <w:rsid w:val="00CB68D8"/>
    <w:rsid w:val="00CB6A6C"/>
    <w:rsid w:val="00CB6E0A"/>
    <w:rsid w:val="00CB7D13"/>
    <w:rsid w:val="00CC05C3"/>
    <w:rsid w:val="00CC18A4"/>
    <w:rsid w:val="00CC1C08"/>
    <w:rsid w:val="00CC1D87"/>
    <w:rsid w:val="00CC22B7"/>
    <w:rsid w:val="00CC26A2"/>
    <w:rsid w:val="00CC2C14"/>
    <w:rsid w:val="00CC41AC"/>
    <w:rsid w:val="00CC49A4"/>
    <w:rsid w:val="00CC72EB"/>
    <w:rsid w:val="00CC783F"/>
    <w:rsid w:val="00CC7D27"/>
    <w:rsid w:val="00CD09B7"/>
    <w:rsid w:val="00CD0E19"/>
    <w:rsid w:val="00CD1BE0"/>
    <w:rsid w:val="00CD28F4"/>
    <w:rsid w:val="00CD2B27"/>
    <w:rsid w:val="00CD3DF8"/>
    <w:rsid w:val="00CD666B"/>
    <w:rsid w:val="00CD6EF5"/>
    <w:rsid w:val="00CD7695"/>
    <w:rsid w:val="00CE0D79"/>
    <w:rsid w:val="00CE0DCA"/>
    <w:rsid w:val="00CE169A"/>
    <w:rsid w:val="00CE16F6"/>
    <w:rsid w:val="00CE1D93"/>
    <w:rsid w:val="00CE2655"/>
    <w:rsid w:val="00CE2EDE"/>
    <w:rsid w:val="00CE368E"/>
    <w:rsid w:val="00CE3722"/>
    <w:rsid w:val="00CE3946"/>
    <w:rsid w:val="00CE4794"/>
    <w:rsid w:val="00CE4D58"/>
    <w:rsid w:val="00CE604D"/>
    <w:rsid w:val="00CE64D7"/>
    <w:rsid w:val="00CE69AD"/>
    <w:rsid w:val="00CE73D0"/>
    <w:rsid w:val="00CF008A"/>
    <w:rsid w:val="00CF106F"/>
    <w:rsid w:val="00CF1254"/>
    <w:rsid w:val="00CF2CBF"/>
    <w:rsid w:val="00CF342B"/>
    <w:rsid w:val="00CF4184"/>
    <w:rsid w:val="00CF4656"/>
    <w:rsid w:val="00CF4A0D"/>
    <w:rsid w:val="00CF5109"/>
    <w:rsid w:val="00CF5560"/>
    <w:rsid w:val="00CF577D"/>
    <w:rsid w:val="00CF633D"/>
    <w:rsid w:val="00CF6937"/>
    <w:rsid w:val="00CF71D4"/>
    <w:rsid w:val="00CF7304"/>
    <w:rsid w:val="00CF74BA"/>
    <w:rsid w:val="00CF7C86"/>
    <w:rsid w:val="00D005D9"/>
    <w:rsid w:val="00D00CBB"/>
    <w:rsid w:val="00D00E29"/>
    <w:rsid w:val="00D011F5"/>
    <w:rsid w:val="00D015EF"/>
    <w:rsid w:val="00D0181E"/>
    <w:rsid w:val="00D0192E"/>
    <w:rsid w:val="00D019E3"/>
    <w:rsid w:val="00D01AB7"/>
    <w:rsid w:val="00D02B47"/>
    <w:rsid w:val="00D02B8D"/>
    <w:rsid w:val="00D02E21"/>
    <w:rsid w:val="00D039E8"/>
    <w:rsid w:val="00D03BFD"/>
    <w:rsid w:val="00D03F72"/>
    <w:rsid w:val="00D0431B"/>
    <w:rsid w:val="00D04AB6"/>
    <w:rsid w:val="00D06534"/>
    <w:rsid w:val="00D07C1F"/>
    <w:rsid w:val="00D07E9B"/>
    <w:rsid w:val="00D10401"/>
    <w:rsid w:val="00D1095C"/>
    <w:rsid w:val="00D11278"/>
    <w:rsid w:val="00D11A09"/>
    <w:rsid w:val="00D12974"/>
    <w:rsid w:val="00D12D67"/>
    <w:rsid w:val="00D1313E"/>
    <w:rsid w:val="00D1355E"/>
    <w:rsid w:val="00D1361E"/>
    <w:rsid w:val="00D138D3"/>
    <w:rsid w:val="00D1396F"/>
    <w:rsid w:val="00D14AE5"/>
    <w:rsid w:val="00D1520B"/>
    <w:rsid w:val="00D165FD"/>
    <w:rsid w:val="00D16B6A"/>
    <w:rsid w:val="00D16E12"/>
    <w:rsid w:val="00D175B3"/>
    <w:rsid w:val="00D17847"/>
    <w:rsid w:val="00D2023C"/>
    <w:rsid w:val="00D20E5F"/>
    <w:rsid w:val="00D210FF"/>
    <w:rsid w:val="00D215BA"/>
    <w:rsid w:val="00D228DC"/>
    <w:rsid w:val="00D24812"/>
    <w:rsid w:val="00D24C01"/>
    <w:rsid w:val="00D2570E"/>
    <w:rsid w:val="00D2598B"/>
    <w:rsid w:val="00D25C87"/>
    <w:rsid w:val="00D26106"/>
    <w:rsid w:val="00D2610A"/>
    <w:rsid w:val="00D26399"/>
    <w:rsid w:val="00D26417"/>
    <w:rsid w:val="00D269A2"/>
    <w:rsid w:val="00D26DAD"/>
    <w:rsid w:val="00D26EEE"/>
    <w:rsid w:val="00D27594"/>
    <w:rsid w:val="00D27A49"/>
    <w:rsid w:val="00D27CFB"/>
    <w:rsid w:val="00D27D66"/>
    <w:rsid w:val="00D30A8B"/>
    <w:rsid w:val="00D30F74"/>
    <w:rsid w:val="00D30F81"/>
    <w:rsid w:val="00D3138F"/>
    <w:rsid w:val="00D31B2A"/>
    <w:rsid w:val="00D3203A"/>
    <w:rsid w:val="00D32846"/>
    <w:rsid w:val="00D3423A"/>
    <w:rsid w:val="00D3423E"/>
    <w:rsid w:val="00D34367"/>
    <w:rsid w:val="00D345B4"/>
    <w:rsid w:val="00D34771"/>
    <w:rsid w:val="00D365D5"/>
    <w:rsid w:val="00D369FC"/>
    <w:rsid w:val="00D36B27"/>
    <w:rsid w:val="00D36C8F"/>
    <w:rsid w:val="00D37321"/>
    <w:rsid w:val="00D37497"/>
    <w:rsid w:val="00D40663"/>
    <w:rsid w:val="00D4081E"/>
    <w:rsid w:val="00D41914"/>
    <w:rsid w:val="00D421E4"/>
    <w:rsid w:val="00D43464"/>
    <w:rsid w:val="00D440EA"/>
    <w:rsid w:val="00D44DDA"/>
    <w:rsid w:val="00D44FCD"/>
    <w:rsid w:val="00D4500F"/>
    <w:rsid w:val="00D45765"/>
    <w:rsid w:val="00D458A7"/>
    <w:rsid w:val="00D46DDE"/>
    <w:rsid w:val="00D50C24"/>
    <w:rsid w:val="00D52D4D"/>
    <w:rsid w:val="00D52E6D"/>
    <w:rsid w:val="00D534DD"/>
    <w:rsid w:val="00D535CE"/>
    <w:rsid w:val="00D54D1C"/>
    <w:rsid w:val="00D54E64"/>
    <w:rsid w:val="00D55545"/>
    <w:rsid w:val="00D56059"/>
    <w:rsid w:val="00D5654C"/>
    <w:rsid w:val="00D56E07"/>
    <w:rsid w:val="00D60188"/>
    <w:rsid w:val="00D606D5"/>
    <w:rsid w:val="00D61F07"/>
    <w:rsid w:val="00D61F43"/>
    <w:rsid w:val="00D623C9"/>
    <w:rsid w:val="00D625C0"/>
    <w:rsid w:val="00D63C64"/>
    <w:rsid w:val="00D646D1"/>
    <w:rsid w:val="00D65246"/>
    <w:rsid w:val="00D65DD1"/>
    <w:rsid w:val="00D662C6"/>
    <w:rsid w:val="00D6633E"/>
    <w:rsid w:val="00D67332"/>
    <w:rsid w:val="00D67A10"/>
    <w:rsid w:val="00D67A59"/>
    <w:rsid w:val="00D70658"/>
    <w:rsid w:val="00D707E8"/>
    <w:rsid w:val="00D71965"/>
    <w:rsid w:val="00D71A7C"/>
    <w:rsid w:val="00D71D25"/>
    <w:rsid w:val="00D72960"/>
    <w:rsid w:val="00D72E84"/>
    <w:rsid w:val="00D73301"/>
    <w:rsid w:val="00D734A0"/>
    <w:rsid w:val="00D73D4A"/>
    <w:rsid w:val="00D73F68"/>
    <w:rsid w:val="00D741A7"/>
    <w:rsid w:val="00D75456"/>
    <w:rsid w:val="00D75467"/>
    <w:rsid w:val="00D765FA"/>
    <w:rsid w:val="00D7696A"/>
    <w:rsid w:val="00D777DB"/>
    <w:rsid w:val="00D77E23"/>
    <w:rsid w:val="00D80A5E"/>
    <w:rsid w:val="00D8172D"/>
    <w:rsid w:val="00D81BC0"/>
    <w:rsid w:val="00D81C50"/>
    <w:rsid w:val="00D82117"/>
    <w:rsid w:val="00D82316"/>
    <w:rsid w:val="00D82A05"/>
    <w:rsid w:val="00D830F2"/>
    <w:rsid w:val="00D836C9"/>
    <w:rsid w:val="00D83906"/>
    <w:rsid w:val="00D8393C"/>
    <w:rsid w:val="00D83DB6"/>
    <w:rsid w:val="00D851B8"/>
    <w:rsid w:val="00D86369"/>
    <w:rsid w:val="00D86AE6"/>
    <w:rsid w:val="00D872FB"/>
    <w:rsid w:val="00D8780D"/>
    <w:rsid w:val="00D9054F"/>
    <w:rsid w:val="00D91E0C"/>
    <w:rsid w:val="00D922AF"/>
    <w:rsid w:val="00D92471"/>
    <w:rsid w:val="00D92A44"/>
    <w:rsid w:val="00D93121"/>
    <w:rsid w:val="00D93401"/>
    <w:rsid w:val="00D93974"/>
    <w:rsid w:val="00D941DC"/>
    <w:rsid w:val="00D9442F"/>
    <w:rsid w:val="00D944E6"/>
    <w:rsid w:val="00D94BAE"/>
    <w:rsid w:val="00D958A7"/>
    <w:rsid w:val="00D968B1"/>
    <w:rsid w:val="00D977F5"/>
    <w:rsid w:val="00D97885"/>
    <w:rsid w:val="00D9788B"/>
    <w:rsid w:val="00DA1A81"/>
    <w:rsid w:val="00DA4312"/>
    <w:rsid w:val="00DA46CA"/>
    <w:rsid w:val="00DA54FA"/>
    <w:rsid w:val="00DA6548"/>
    <w:rsid w:val="00DA65CB"/>
    <w:rsid w:val="00DA6C37"/>
    <w:rsid w:val="00DA6CBD"/>
    <w:rsid w:val="00DA6F3F"/>
    <w:rsid w:val="00DA70F0"/>
    <w:rsid w:val="00DA715F"/>
    <w:rsid w:val="00DA75D8"/>
    <w:rsid w:val="00DB0AD1"/>
    <w:rsid w:val="00DB10A7"/>
    <w:rsid w:val="00DB17FA"/>
    <w:rsid w:val="00DB189B"/>
    <w:rsid w:val="00DB2AD6"/>
    <w:rsid w:val="00DB2E09"/>
    <w:rsid w:val="00DB4683"/>
    <w:rsid w:val="00DB4DAB"/>
    <w:rsid w:val="00DB5F09"/>
    <w:rsid w:val="00DC008D"/>
    <w:rsid w:val="00DC031E"/>
    <w:rsid w:val="00DC0581"/>
    <w:rsid w:val="00DC0C7B"/>
    <w:rsid w:val="00DC1655"/>
    <w:rsid w:val="00DC1B5C"/>
    <w:rsid w:val="00DC1CC0"/>
    <w:rsid w:val="00DC2191"/>
    <w:rsid w:val="00DC2270"/>
    <w:rsid w:val="00DC2353"/>
    <w:rsid w:val="00DC28AC"/>
    <w:rsid w:val="00DC2D6D"/>
    <w:rsid w:val="00DC3423"/>
    <w:rsid w:val="00DC3A5B"/>
    <w:rsid w:val="00DC3D01"/>
    <w:rsid w:val="00DC413C"/>
    <w:rsid w:val="00DC475C"/>
    <w:rsid w:val="00DC497D"/>
    <w:rsid w:val="00DC4CBF"/>
    <w:rsid w:val="00DC5141"/>
    <w:rsid w:val="00DC5239"/>
    <w:rsid w:val="00DC5C3B"/>
    <w:rsid w:val="00DC7287"/>
    <w:rsid w:val="00DC7566"/>
    <w:rsid w:val="00DC78AA"/>
    <w:rsid w:val="00DC78AD"/>
    <w:rsid w:val="00DD00CE"/>
    <w:rsid w:val="00DD1ACB"/>
    <w:rsid w:val="00DD1C8F"/>
    <w:rsid w:val="00DD1CE5"/>
    <w:rsid w:val="00DD2760"/>
    <w:rsid w:val="00DD3453"/>
    <w:rsid w:val="00DD5006"/>
    <w:rsid w:val="00DD5D28"/>
    <w:rsid w:val="00DD623D"/>
    <w:rsid w:val="00DD6A32"/>
    <w:rsid w:val="00DE0393"/>
    <w:rsid w:val="00DE08B6"/>
    <w:rsid w:val="00DE1999"/>
    <w:rsid w:val="00DE270A"/>
    <w:rsid w:val="00DE2A2C"/>
    <w:rsid w:val="00DE3626"/>
    <w:rsid w:val="00DE3F8C"/>
    <w:rsid w:val="00DE4E2D"/>
    <w:rsid w:val="00DE4F5D"/>
    <w:rsid w:val="00DE5CA3"/>
    <w:rsid w:val="00DE6571"/>
    <w:rsid w:val="00DE6821"/>
    <w:rsid w:val="00DE6F84"/>
    <w:rsid w:val="00DE7049"/>
    <w:rsid w:val="00DE7553"/>
    <w:rsid w:val="00DE78BB"/>
    <w:rsid w:val="00DF03C6"/>
    <w:rsid w:val="00DF04E9"/>
    <w:rsid w:val="00DF09D5"/>
    <w:rsid w:val="00DF0CEE"/>
    <w:rsid w:val="00DF12A5"/>
    <w:rsid w:val="00DF1BDA"/>
    <w:rsid w:val="00DF2A4B"/>
    <w:rsid w:val="00DF2E57"/>
    <w:rsid w:val="00DF4270"/>
    <w:rsid w:val="00DF45D3"/>
    <w:rsid w:val="00DF463A"/>
    <w:rsid w:val="00DF52CE"/>
    <w:rsid w:val="00DF543E"/>
    <w:rsid w:val="00DF566D"/>
    <w:rsid w:val="00DF5EE7"/>
    <w:rsid w:val="00DF6A8E"/>
    <w:rsid w:val="00DF7062"/>
    <w:rsid w:val="00E00358"/>
    <w:rsid w:val="00E005F0"/>
    <w:rsid w:val="00E0064E"/>
    <w:rsid w:val="00E00BBF"/>
    <w:rsid w:val="00E01EB3"/>
    <w:rsid w:val="00E02788"/>
    <w:rsid w:val="00E028D6"/>
    <w:rsid w:val="00E0318A"/>
    <w:rsid w:val="00E03422"/>
    <w:rsid w:val="00E0461E"/>
    <w:rsid w:val="00E04EFB"/>
    <w:rsid w:val="00E06418"/>
    <w:rsid w:val="00E06A34"/>
    <w:rsid w:val="00E079F4"/>
    <w:rsid w:val="00E1059B"/>
    <w:rsid w:val="00E1066C"/>
    <w:rsid w:val="00E10DD6"/>
    <w:rsid w:val="00E10DF9"/>
    <w:rsid w:val="00E11AF0"/>
    <w:rsid w:val="00E12362"/>
    <w:rsid w:val="00E13088"/>
    <w:rsid w:val="00E13134"/>
    <w:rsid w:val="00E1372C"/>
    <w:rsid w:val="00E13AFD"/>
    <w:rsid w:val="00E13D3D"/>
    <w:rsid w:val="00E13ED5"/>
    <w:rsid w:val="00E14432"/>
    <w:rsid w:val="00E148ED"/>
    <w:rsid w:val="00E155A4"/>
    <w:rsid w:val="00E164F6"/>
    <w:rsid w:val="00E16F63"/>
    <w:rsid w:val="00E17271"/>
    <w:rsid w:val="00E211C1"/>
    <w:rsid w:val="00E21BFC"/>
    <w:rsid w:val="00E22FD1"/>
    <w:rsid w:val="00E2359B"/>
    <w:rsid w:val="00E2359E"/>
    <w:rsid w:val="00E23607"/>
    <w:rsid w:val="00E24CDE"/>
    <w:rsid w:val="00E252E5"/>
    <w:rsid w:val="00E25A55"/>
    <w:rsid w:val="00E25B46"/>
    <w:rsid w:val="00E25D92"/>
    <w:rsid w:val="00E271D8"/>
    <w:rsid w:val="00E2747B"/>
    <w:rsid w:val="00E27617"/>
    <w:rsid w:val="00E2768D"/>
    <w:rsid w:val="00E30994"/>
    <w:rsid w:val="00E30E8A"/>
    <w:rsid w:val="00E3118A"/>
    <w:rsid w:val="00E32532"/>
    <w:rsid w:val="00E33525"/>
    <w:rsid w:val="00E33855"/>
    <w:rsid w:val="00E33978"/>
    <w:rsid w:val="00E33A50"/>
    <w:rsid w:val="00E34638"/>
    <w:rsid w:val="00E34EDD"/>
    <w:rsid w:val="00E3576A"/>
    <w:rsid w:val="00E373D4"/>
    <w:rsid w:val="00E3777E"/>
    <w:rsid w:val="00E379CD"/>
    <w:rsid w:val="00E37B38"/>
    <w:rsid w:val="00E37BF6"/>
    <w:rsid w:val="00E41541"/>
    <w:rsid w:val="00E41A56"/>
    <w:rsid w:val="00E4371B"/>
    <w:rsid w:val="00E4401B"/>
    <w:rsid w:val="00E447F7"/>
    <w:rsid w:val="00E46BF4"/>
    <w:rsid w:val="00E46E9E"/>
    <w:rsid w:val="00E50CDF"/>
    <w:rsid w:val="00E510E6"/>
    <w:rsid w:val="00E527F2"/>
    <w:rsid w:val="00E53126"/>
    <w:rsid w:val="00E5359A"/>
    <w:rsid w:val="00E5385C"/>
    <w:rsid w:val="00E53D83"/>
    <w:rsid w:val="00E545AE"/>
    <w:rsid w:val="00E54ACC"/>
    <w:rsid w:val="00E54B1E"/>
    <w:rsid w:val="00E54EF6"/>
    <w:rsid w:val="00E5618A"/>
    <w:rsid w:val="00E561CF"/>
    <w:rsid w:val="00E56851"/>
    <w:rsid w:val="00E56A52"/>
    <w:rsid w:val="00E57128"/>
    <w:rsid w:val="00E57163"/>
    <w:rsid w:val="00E57186"/>
    <w:rsid w:val="00E573FD"/>
    <w:rsid w:val="00E57479"/>
    <w:rsid w:val="00E57495"/>
    <w:rsid w:val="00E606A6"/>
    <w:rsid w:val="00E60848"/>
    <w:rsid w:val="00E60A4B"/>
    <w:rsid w:val="00E615FB"/>
    <w:rsid w:val="00E62302"/>
    <w:rsid w:val="00E630D9"/>
    <w:rsid w:val="00E639B0"/>
    <w:rsid w:val="00E63B37"/>
    <w:rsid w:val="00E63BE4"/>
    <w:rsid w:val="00E63DBA"/>
    <w:rsid w:val="00E64119"/>
    <w:rsid w:val="00E64C5B"/>
    <w:rsid w:val="00E65045"/>
    <w:rsid w:val="00E664AC"/>
    <w:rsid w:val="00E669DA"/>
    <w:rsid w:val="00E66BF2"/>
    <w:rsid w:val="00E670ED"/>
    <w:rsid w:val="00E677E0"/>
    <w:rsid w:val="00E67A2B"/>
    <w:rsid w:val="00E67B19"/>
    <w:rsid w:val="00E67DD5"/>
    <w:rsid w:val="00E7000C"/>
    <w:rsid w:val="00E700EB"/>
    <w:rsid w:val="00E70B00"/>
    <w:rsid w:val="00E70B2F"/>
    <w:rsid w:val="00E70B3B"/>
    <w:rsid w:val="00E70DE1"/>
    <w:rsid w:val="00E71925"/>
    <w:rsid w:val="00E71E27"/>
    <w:rsid w:val="00E72AE4"/>
    <w:rsid w:val="00E73C98"/>
    <w:rsid w:val="00E74030"/>
    <w:rsid w:val="00E757D9"/>
    <w:rsid w:val="00E75DFA"/>
    <w:rsid w:val="00E7655D"/>
    <w:rsid w:val="00E769CB"/>
    <w:rsid w:val="00E76DE0"/>
    <w:rsid w:val="00E774E4"/>
    <w:rsid w:val="00E77D66"/>
    <w:rsid w:val="00E77F96"/>
    <w:rsid w:val="00E77FE6"/>
    <w:rsid w:val="00E80EBA"/>
    <w:rsid w:val="00E81527"/>
    <w:rsid w:val="00E81ADA"/>
    <w:rsid w:val="00E82E34"/>
    <w:rsid w:val="00E84140"/>
    <w:rsid w:val="00E841C7"/>
    <w:rsid w:val="00E84D2D"/>
    <w:rsid w:val="00E85BEA"/>
    <w:rsid w:val="00E85F7C"/>
    <w:rsid w:val="00E864CC"/>
    <w:rsid w:val="00E8729C"/>
    <w:rsid w:val="00E873A5"/>
    <w:rsid w:val="00E90F01"/>
    <w:rsid w:val="00E92371"/>
    <w:rsid w:val="00E92404"/>
    <w:rsid w:val="00E92929"/>
    <w:rsid w:val="00E929AA"/>
    <w:rsid w:val="00E92C24"/>
    <w:rsid w:val="00E932E5"/>
    <w:rsid w:val="00E950B5"/>
    <w:rsid w:val="00E95CA4"/>
    <w:rsid w:val="00E95E22"/>
    <w:rsid w:val="00E96514"/>
    <w:rsid w:val="00E96634"/>
    <w:rsid w:val="00E96B57"/>
    <w:rsid w:val="00E96B5A"/>
    <w:rsid w:val="00E97346"/>
    <w:rsid w:val="00E975D6"/>
    <w:rsid w:val="00E97B10"/>
    <w:rsid w:val="00E97B8D"/>
    <w:rsid w:val="00E97DD0"/>
    <w:rsid w:val="00EA07EC"/>
    <w:rsid w:val="00EA0F34"/>
    <w:rsid w:val="00EA145A"/>
    <w:rsid w:val="00EA17D5"/>
    <w:rsid w:val="00EA1A64"/>
    <w:rsid w:val="00EA2558"/>
    <w:rsid w:val="00EA2891"/>
    <w:rsid w:val="00EA2A89"/>
    <w:rsid w:val="00EA2C63"/>
    <w:rsid w:val="00EA3789"/>
    <w:rsid w:val="00EA4B07"/>
    <w:rsid w:val="00EA6621"/>
    <w:rsid w:val="00EA7151"/>
    <w:rsid w:val="00EA7389"/>
    <w:rsid w:val="00EB3E29"/>
    <w:rsid w:val="00EB548A"/>
    <w:rsid w:val="00EB5EB4"/>
    <w:rsid w:val="00EB6752"/>
    <w:rsid w:val="00EB67E5"/>
    <w:rsid w:val="00EB791A"/>
    <w:rsid w:val="00EB7F35"/>
    <w:rsid w:val="00EC07CE"/>
    <w:rsid w:val="00EC0D0A"/>
    <w:rsid w:val="00EC251F"/>
    <w:rsid w:val="00EC304D"/>
    <w:rsid w:val="00EC470D"/>
    <w:rsid w:val="00EC4F83"/>
    <w:rsid w:val="00EC5C6B"/>
    <w:rsid w:val="00EC5D5D"/>
    <w:rsid w:val="00EC712B"/>
    <w:rsid w:val="00ED01B3"/>
    <w:rsid w:val="00ED0BE4"/>
    <w:rsid w:val="00ED19A7"/>
    <w:rsid w:val="00ED230E"/>
    <w:rsid w:val="00ED23D7"/>
    <w:rsid w:val="00ED2567"/>
    <w:rsid w:val="00ED2E0C"/>
    <w:rsid w:val="00ED3195"/>
    <w:rsid w:val="00ED4525"/>
    <w:rsid w:val="00ED582D"/>
    <w:rsid w:val="00ED5834"/>
    <w:rsid w:val="00ED5AD5"/>
    <w:rsid w:val="00ED60D4"/>
    <w:rsid w:val="00ED6BD7"/>
    <w:rsid w:val="00ED7347"/>
    <w:rsid w:val="00ED7B2B"/>
    <w:rsid w:val="00EE19E9"/>
    <w:rsid w:val="00EE1DAA"/>
    <w:rsid w:val="00EE1F35"/>
    <w:rsid w:val="00EE2C42"/>
    <w:rsid w:val="00EE2CFD"/>
    <w:rsid w:val="00EE3241"/>
    <w:rsid w:val="00EE404D"/>
    <w:rsid w:val="00EE4756"/>
    <w:rsid w:val="00EE5455"/>
    <w:rsid w:val="00EE58B7"/>
    <w:rsid w:val="00EE5F04"/>
    <w:rsid w:val="00EE6912"/>
    <w:rsid w:val="00EE6B49"/>
    <w:rsid w:val="00EE6ECA"/>
    <w:rsid w:val="00EE7EE2"/>
    <w:rsid w:val="00EF017B"/>
    <w:rsid w:val="00EF01C7"/>
    <w:rsid w:val="00EF07A0"/>
    <w:rsid w:val="00EF07B8"/>
    <w:rsid w:val="00EF0D05"/>
    <w:rsid w:val="00EF1C1F"/>
    <w:rsid w:val="00EF1FF5"/>
    <w:rsid w:val="00EF2714"/>
    <w:rsid w:val="00EF4423"/>
    <w:rsid w:val="00EF483B"/>
    <w:rsid w:val="00EF52BD"/>
    <w:rsid w:val="00EF5738"/>
    <w:rsid w:val="00EF5EA7"/>
    <w:rsid w:val="00EF5EDC"/>
    <w:rsid w:val="00EF644C"/>
    <w:rsid w:val="00EF6461"/>
    <w:rsid w:val="00EF73EB"/>
    <w:rsid w:val="00F006FF"/>
    <w:rsid w:val="00F01DFF"/>
    <w:rsid w:val="00F02044"/>
    <w:rsid w:val="00F023E9"/>
    <w:rsid w:val="00F02407"/>
    <w:rsid w:val="00F02B0A"/>
    <w:rsid w:val="00F0346B"/>
    <w:rsid w:val="00F03C0B"/>
    <w:rsid w:val="00F04088"/>
    <w:rsid w:val="00F04CA1"/>
    <w:rsid w:val="00F059FF"/>
    <w:rsid w:val="00F069E0"/>
    <w:rsid w:val="00F06B3F"/>
    <w:rsid w:val="00F07240"/>
    <w:rsid w:val="00F073CB"/>
    <w:rsid w:val="00F07488"/>
    <w:rsid w:val="00F07645"/>
    <w:rsid w:val="00F077BD"/>
    <w:rsid w:val="00F11062"/>
    <w:rsid w:val="00F122AA"/>
    <w:rsid w:val="00F1313B"/>
    <w:rsid w:val="00F13277"/>
    <w:rsid w:val="00F139C4"/>
    <w:rsid w:val="00F14080"/>
    <w:rsid w:val="00F144AC"/>
    <w:rsid w:val="00F15068"/>
    <w:rsid w:val="00F155C1"/>
    <w:rsid w:val="00F16525"/>
    <w:rsid w:val="00F17995"/>
    <w:rsid w:val="00F20073"/>
    <w:rsid w:val="00F20976"/>
    <w:rsid w:val="00F20B98"/>
    <w:rsid w:val="00F20D4C"/>
    <w:rsid w:val="00F20D68"/>
    <w:rsid w:val="00F232FE"/>
    <w:rsid w:val="00F237FC"/>
    <w:rsid w:val="00F247D7"/>
    <w:rsid w:val="00F24884"/>
    <w:rsid w:val="00F255F6"/>
    <w:rsid w:val="00F27EC2"/>
    <w:rsid w:val="00F3074F"/>
    <w:rsid w:val="00F30782"/>
    <w:rsid w:val="00F30967"/>
    <w:rsid w:val="00F3165C"/>
    <w:rsid w:val="00F31E8B"/>
    <w:rsid w:val="00F323ED"/>
    <w:rsid w:val="00F3247B"/>
    <w:rsid w:val="00F32507"/>
    <w:rsid w:val="00F3254D"/>
    <w:rsid w:val="00F32C0E"/>
    <w:rsid w:val="00F32DA9"/>
    <w:rsid w:val="00F32EC4"/>
    <w:rsid w:val="00F341E9"/>
    <w:rsid w:val="00F3426D"/>
    <w:rsid w:val="00F34849"/>
    <w:rsid w:val="00F34BB2"/>
    <w:rsid w:val="00F34FFE"/>
    <w:rsid w:val="00F35499"/>
    <w:rsid w:val="00F35C73"/>
    <w:rsid w:val="00F36184"/>
    <w:rsid w:val="00F36261"/>
    <w:rsid w:val="00F36F1E"/>
    <w:rsid w:val="00F36FEC"/>
    <w:rsid w:val="00F37648"/>
    <w:rsid w:val="00F37A05"/>
    <w:rsid w:val="00F40130"/>
    <w:rsid w:val="00F40DAA"/>
    <w:rsid w:val="00F40DF7"/>
    <w:rsid w:val="00F412AB"/>
    <w:rsid w:val="00F41C50"/>
    <w:rsid w:val="00F41CDF"/>
    <w:rsid w:val="00F4338C"/>
    <w:rsid w:val="00F436AB"/>
    <w:rsid w:val="00F44125"/>
    <w:rsid w:val="00F4459C"/>
    <w:rsid w:val="00F44B35"/>
    <w:rsid w:val="00F44CBC"/>
    <w:rsid w:val="00F44D72"/>
    <w:rsid w:val="00F44D82"/>
    <w:rsid w:val="00F45A58"/>
    <w:rsid w:val="00F4761B"/>
    <w:rsid w:val="00F47BD3"/>
    <w:rsid w:val="00F5058E"/>
    <w:rsid w:val="00F5165A"/>
    <w:rsid w:val="00F5213F"/>
    <w:rsid w:val="00F52943"/>
    <w:rsid w:val="00F53981"/>
    <w:rsid w:val="00F54A64"/>
    <w:rsid w:val="00F557EF"/>
    <w:rsid w:val="00F559B6"/>
    <w:rsid w:val="00F559E6"/>
    <w:rsid w:val="00F55D58"/>
    <w:rsid w:val="00F56B83"/>
    <w:rsid w:val="00F577AC"/>
    <w:rsid w:val="00F6021D"/>
    <w:rsid w:val="00F60438"/>
    <w:rsid w:val="00F60B97"/>
    <w:rsid w:val="00F60C7F"/>
    <w:rsid w:val="00F6181C"/>
    <w:rsid w:val="00F61CB2"/>
    <w:rsid w:val="00F61D43"/>
    <w:rsid w:val="00F624E9"/>
    <w:rsid w:val="00F6296C"/>
    <w:rsid w:val="00F62BB4"/>
    <w:rsid w:val="00F64159"/>
    <w:rsid w:val="00F64F77"/>
    <w:rsid w:val="00F6552D"/>
    <w:rsid w:val="00F6555D"/>
    <w:rsid w:val="00F65D49"/>
    <w:rsid w:val="00F65D55"/>
    <w:rsid w:val="00F669C0"/>
    <w:rsid w:val="00F70C51"/>
    <w:rsid w:val="00F70C5C"/>
    <w:rsid w:val="00F70DE5"/>
    <w:rsid w:val="00F733F1"/>
    <w:rsid w:val="00F73CBE"/>
    <w:rsid w:val="00F74C63"/>
    <w:rsid w:val="00F7566E"/>
    <w:rsid w:val="00F756F3"/>
    <w:rsid w:val="00F75D25"/>
    <w:rsid w:val="00F75F2C"/>
    <w:rsid w:val="00F75FAA"/>
    <w:rsid w:val="00F765D4"/>
    <w:rsid w:val="00F76D0C"/>
    <w:rsid w:val="00F76E18"/>
    <w:rsid w:val="00F8052F"/>
    <w:rsid w:val="00F80B3C"/>
    <w:rsid w:val="00F80B6B"/>
    <w:rsid w:val="00F80BD2"/>
    <w:rsid w:val="00F80E1E"/>
    <w:rsid w:val="00F81661"/>
    <w:rsid w:val="00F81C66"/>
    <w:rsid w:val="00F81D0B"/>
    <w:rsid w:val="00F82104"/>
    <w:rsid w:val="00F82CFA"/>
    <w:rsid w:val="00F83259"/>
    <w:rsid w:val="00F84200"/>
    <w:rsid w:val="00F84CEE"/>
    <w:rsid w:val="00F860C8"/>
    <w:rsid w:val="00F8644B"/>
    <w:rsid w:val="00F86B7F"/>
    <w:rsid w:val="00F86C5F"/>
    <w:rsid w:val="00F90773"/>
    <w:rsid w:val="00F914CE"/>
    <w:rsid w:val="00F91AF1"/>
    <w:rsid w:val="00F91D05"/>
    <w:rsid w:val="00F91F61"/>
    <w:rsid w:val="00F921CE"/>
    <w:rsid w:val="00F930B9"/>
    <w:rsid w:val="00F93329"/>
    <w:rsid w:val="00F93B58"/>
    <w:rsid w:val="00F93E45"/>
    <w:rsid w:val="00F9457C"/>
    <w:rsid w:val="00F94D32"/>
    <w:rsid w:val="00F95023"/>
    <w:rsid w:val="00F9522A"/>
    <w:rsid w:val="00F955C1"/>
    <w:rsid w:val="00F95A31"/>
    <w:rsid w:val="00F95A7B"/>
    <w:rsid w:val="00F95DCE"/>
    <w:rsid w:val="00F962BF"/>
    <w:rsid w:val="00F96740"/>
    <w:rsid w:val="00F96932"/>
    <w:rsid w:val="00F96D81"/>
    <w:rsid w:val="00F96E7E"/>
    <w:rsid w:val="00F97725"/>
    <w:rsid w:val="00F97842"/>
    <w:rsid w:val="00FA006E"/>
    <w:rsid w:val="00FA0B17"/>
    <w:rsid w:val="00FA1717"/>
    <w:rsid w:val="00FA1BE3"/>
    <w:rsid w:val="00FA1E26"/>
    <w:rsid w:val="00FA2D6E"/>
    <w:rsid w:val="00FA2E69"/>
    <w:rsid w:val="00FA3189"/>
    <w:rsid w:val="00FA34BD"/>
    <w:rsid w:val="00FA386D"/>
    <w:rsid w:val="00FA4D0B"/>
    <w:rsid w:val="00FA4FD0"/>
    <w:rsid w:val="00FA57C1"/>
    <w:rsid w:val="00FA68AA"/>
    <w:rsid w:val="00FA7AA4"/>
    <w:rsid w:val="00FB00D5"/>
    <w:rsid w:val="00FB03CB"/>
    <w:rsid w:val="00FB149D"/>
    <w:rsid w:val="00FB206D"/>
    <w:rsid w:val="00FB22F9"/>
    <w:rsid w:val="00FB26FC"/>
    <w:rsid w:val="00FB36CC"/>
    <w:rsid w:val="00FB4F3F"/>
    <w:rsid w:val="00FB53F8"/>
    <w:rsid w:val="00FB5A88"/>
    <w:rsid w:val="00FB5F40"/>
    <w:rsid w:val="00FB66AC"/>
    <w:rsid w:val="00FB6B78"/>
    <w:rsid w:val="00FB78EF"/>
    <w:rsid w:val="00FB79E6"/>
    <w:rsid w:val="00FB7C8A"/>
    <w:rsid w:val="00FC00B5"/>
    <w:rsid w:val="00FC0B28"/>
    <w:rsid w:val="00FC0BE3"/>
    <w:rsid w:val="00FC0C5C"/>
    <w:rsid w:val="00FC1365"/>
    <w:rsid w:val="00FC1944"/>
    <w:rsid w:val="00FC1C68"/>
    <w:rsid w:val="00FC2E21"/>
    <w:rsid w:val="00FC328A"/>
    <w:rsid w:val="00FC4941"/>
    <w:rsid w:val="00FC639D"/>
    <w:rsid w:val="00FC713E"/>
    <w:rsid w:val="00FC760C"/>
    <w:rsid w:val="00FC79C9"/>
    <w:rsid w:val="00FD00B2"/>
    <w:rsid w:val="00FD087D"/>
    <w:rsid w:val="00FD0F42"/>
    <w:rsid w:val="00FD1A3F"/>
    <w:rsid w:val="00FD1B6F"/>
    <w:rsid w:val="00FD1B8A"/>
    <w:rsid w:val="00FD2716"/>
    <w:rsid w:val="00FD2A10"/>
    <w:rsid w:val="00FD3AFB"/>
    <w:rsid w:val="00FD4462"/>
    <w:rsid w:val="00FD4551"/>
    <w:rsid w:val="00FD4C92"/>
    <w:rsid w:val="00FD5860"/>
    <w:rsid w:val="00FD6173"/>
    <w:rsid w:val="00FD65D6"/>
    <w:rsid w:val="00FD6DC3"/>
    <w:rsid w:val="00FD7C4A"/>
    <w:rsid w:val="00FE0B39"/>
    <w:rsid w:val="00FE0DE0"/>
    <w:rsid w:val="00FE0F55"/>
    <w:rsid w:val="00FE1027"/>
    <w:rsid w:val="00FE197F"/>
    <w:rsid w:val="00FE1F3B"/>
    <w:rsid w:val="00FE2185"/>
    <w:rsid w:val="00FE2DF4"/>
    <w:rsid w:val="00FE36E3"/>
    <w:rsid w:val="00FE3AE1"/>
    <w:rsid w:val="00FE4C54"/>
    <w:rsid w:val="00FE4DF1"/>
    <w:rsid w:val="00FE57E0"/>
    <w:rsid w:val="00FE6286"/>
    <w:rsid w:val="00FE7356"/>
    <w:rsid w:val="00FE73A7"/>
    <w:rsid w:val="00FF0198"/>
    <w:rsid w:val="00FF0FFC"/>
    <w:rsid w:val="00FF14E7"/>
    <w:rsid w:val="00FF1811"/>
    <w:rsid w:val="00FF18B0"/>
    <w:rsid w:val="00FF2BB6"/>
    <w:rsid w:val="00FF2EED"/>
    <w:rsid w:val="00FF3C19"/>
    <w:rsid w:val="00FF46AE"/>
    <w:rsid w:val="00FF5A4D"/>
    <w:rsid w:val="00FF5FD7"/>
    <w:rsid w:val="00FF6B02"/>
    <w:rsid w:val="00FF704E"/>
    <w:rsid w:val="00FF7D9E"/>
    <w:rsid w:val="027225A0"/>
    <w:rsid w:val="030D36B5"/>
    <w:rsid w:val="03FE5F76"/>
    <w:rsid w:val="040F7D06"/>
    <w:rsid w:val="052C409D"/>
    <w:rsid w:val="05584712"/>
    <w:rsid w:val="05971D90"/>
    <w:rsid w:val="05C315E7"/>
    <w:rsid w:val="066A75F6"/>
    <w:rsid w:val="069E7DCE"/>
    <w:rsid w:val="06B31EC9"/>
    <w:rsid w:val="078C4B9F"/>
    <w:rsid w:val="07F46A83"/>
    <w:rsid w:val="080E1430"/>
    <w:rsid w:val="08661C68"/>
    <w:rsid w:val="087153AF"/>
    <w:rsid w:val="09A54DE7"/>
    <w:rsid w:val="09E52067"/>
    <w:rsid w:val="0A3D4238"/>
    <w:rsid w:val="0A785F94"/>
    <w:rsid w:val="0B242D6F"/>
    <w:rsid w:val="0B766B97"/>
    <w:rsid w:val="0B7E5480"/>
    <w:rsid w:val="0CAA3EE0"/>
    <w:rsid w:val="0CE64125"/>
    <w:rsid w:val="0D0B5724"/>
    <w:rsid w:val="0D145C26"/>
    <w:rsid w:val="0D7B3CC8"/>
    <w:rsid w:val="0D874655"/>
    <w:rsid w:val="0D874FEE"/>
    <w:rsid w:val="0DCB17F7"/>
    <w:rsid w:val="0DE251C7"/>
    <w:rsid w:val="0E6201DB"/>
    <w:rsid w:val="0ED362D5"/>
    <w:rsid w:val="0F2C747D"/>
    <w:rsid w:val="0FB71D20"/>
    <w:rsid w:val="0FC93710"/>
    <w:rsid w:val="0FE44761"/>
    <w:rsid w:val="103C7916"/>
    <w:rsid w:val="108D4BAA"/>
    <w:rsid w:val="10F851DA"/>
    <w:rsid w:val="113D5F31"/>
    <w:rsid w:val="117250F5"/>
    <w:rsid w:val="12014F45"/>
    <w:rsid w:val="12256FFB"/>
    <w:rsid w:val="122E6BA3"/>
    <w:rsid w:val="127D7D91"/>
    <w:rsid w:val="12D24854"/>
    <w:rsid w:val="130229B8"/>
    <w:rsid w:val="149E4804"/>
    <w:rsid w:val="1540318B"/>
    <w:rsid w:val="15995C59"/>
    <w:rsid w:val="16D46AEB"/>
    <w:rsid w:val="170B3820"/>
    <w:rsid w:val="1741003C"/>
    <w:rsid w:val="18310182"/>
    <w:rsid w:val="18337DE2"/>
    <w:rsid w:val="190637E4"/>
    <w:rsid w:val="19476DAA"/>
    <w:rsid w:val="1A3561A7"/>
    <w:rsid w:val="1A526ACC"/>
    <w:rsid w:val="1B2C04A0"/>
    <w:rsid w:val="1B2F295A"/>
    <w:rsid w:val="1B770253"/>
    <w:rsid w:val="1BAD577C"/>
    <w:rsid w:val="1CA74200"/>
    <w:rsid w:val="1CAC1052"/>
    <w:rsid w:val="1CEC4F21"/>
    <w:rsid w:val="1D1161AB"/>
    <w:rsid w:val="1D44777D"/>
    <w:rsid w:val="1DF33B06"/>
    <w:rsid w:val="1DFB31D0"/>
    <w:rsid w:val="1EE7257E"/>
    <w:rsid w:val="1F005A03"/>
    <w:rsid w:val="1F171669"/>
    <w:rsid w:val="1F2E0EA6"/>
    <w:rsid w:val="20020175"/>
    <w:rsid w:val="208B3EBB"/>
    <w:rsid w:val="209A73B5"/>
    <w:rsid w:val="209F7D83"/>
    <w:rsid w:val="218F58A4"/>
    <w:rsid w:val="21962D28"/>
    <w:rsid w:val="21A73748"/>
    <w:rsid w:val="21C42C58"/>
    <w:rsid w:val="21E33B04"/>
    <w:rsid w:val="223D45EE"/>
    <w:rsid w:val="22906F5A"/>
    <w:rsid w:val="229211C8"/>
    <w:rsid w:val="22FF3DB9"/>
    <w:rsid w:val="23BD674A"/>
    <w:rsid w:val="23E347D8"/>
    <w:rsid w:val="24167631"/>
    <w:rsid w:val="242327F8"/>
    <w:rsid w:val="242A0CA5"/>
    <w:rsid w:val="246B1BCA"/>
    <w:rsid w:val="24D714EC"/>
    <w:rsid w:val="251E6199"/>
    <w:rsid w:val="252B3ACB"/>
    <w:rsid w:val="256477DC"/>
    <w:rsid w:val="25CA0DE4"/>
    <w:rsid w:val="25D6487C"/>
    <w:rsid w:val="26F10791"/>
    <w:rsid w:val="27036A0B"/>
    <w:rsid w:val="271035EA"/>
    <w:rsid w:val="27765C85"/>
    <w:rsid w:val="27ED7AC8"/>
    <w:rsid w:val="28123E8D"/>
    <w:rsid w:val="28150CD2"/>
    <w:rsid w:val="283E36F6"/>
    <w:rsid w:val="28582F41"/>
    <w:rsid w:val="29665CCE"/>
    <w:rsid w:val="2A2D312B"/>
    <w:rsid w:val="2A366D0A"/>
    <w:rsid w:val="2A38416F"/>
    <w:rsid w:val="2A8156D7"/>
    <w:rsid w:val="2A9D5160"/>
    <w:rsid w:val="2B0F2FCD"/>
    <w:rsid w:val="2B265CB7"/>
    <w:rsid w:val="2C1F7C90"/>
    <w:rsid w:val="2C2A720D"/>
    <w:rsid w:val="2CE136A1"/>
    <w:rsid w:val="2D5D7080"/>
    <w:rsid w:val="2D676279"/>
    <w:rsid w:val="2D923D71"/>
    <w:rsid w:val="2DA74197"/>
    <w:rsid w:val="2DFC7C3E"/>
    <w:rsid w:val="2E19094C"/>
    <w:rsid w:val="2E204C08"/>
    <w:rsid w:val="2E4F63A5"/>
    <w:rsid w:val="2E591FDB"/>
    <w:rsid w:val="2E5F24EA"/>
    <w:rsid w:val="2ECE0649"/>
    <w:rsid w:val="30C2254E"/>
    <w:rsid w:val="31213558"/>
    <w:rsid w:val="31832E75"/>
    <w:rsid w:val="31F908B4"/>
    <w:rsid w:val="327A26FE"/>
    <w:rsid w:val="32C57F37"/>
    <w:rsid w:val="32F8638C"/>
    <w:rsid w:val="35592974"/>
    <w:rsid w:val="35937723"/>
    <w:rsid w:val="35974266"/>
    <w:rsid w:val="35994580"/>
    <w:rsid w:val="360405FC"/>
    <w:rsid w:val="3643670E"/>
    <w:rsid w:val="36A54F92"/>
    <w:rsid w:val="37025D58"/>
    <w:rsid w:val="370774AD"/>
    <w:rsid w:val="371D7D53"/>
    <w:rsid w:val="37210C6C"/>
    <w:rsid w:val="375440B4"/>
    <w:rsid w:val="376B7F8B"/>
    <w:rsid w:val="381B1946"/>
    <w:rsid w:val="38C215E0"/>
    <w:rsid w:val="38CC622C"/>
    <w:rsid w:val="38D83976"/>
    <w:rsid w:val="38FF5EFE"/>
    <w:rsid w:val="390B36C8"/>
    <w:rsid w:val="395B1785"/>
    <w:rsid w:val="398462E7"/>
    <w:rsid w:val="398A318B"/>
    <w:rsid w:val="39BA6D16"/>
    <w:rsid w:val="3A115002"/>
    <w:rsid w:val="3A4956EE"/>
    <w:rsid w:val="3B6D671B"/>
    <w:rsid w:val="3BB03DD9"/>
    <w:rsid w:val="3D165BDF"/>
    <w:rsid w:val="3DA833E2"/>
    <w:rsid w:val="3DE541D5"/>
    <w:rsid w:val="3DF240BC"/>
    <w:rsid w:val="3E074F1F"/>
    <w:rsid w:val="3E282555"/>
    <w:rsid w:val="3E740F54"/>
    <w:rsid w:val="3E851C92"/>
    <w:rsid w:val="3ED75244"/>
    <w:rsid w:val="3F27401E"/>
    <w:rsid w:val="3FB767BC"/>
    <w:rsid w:val="40BE16E6"/>
    <w:rsid w:val="41372A89"/>
    <w:rsid w:val="422E3F7B"/>
    <w:rsid w:val="42F42FA2"/>
    <w:rsid w:val="43DA6D5A"/>
    <w:rsid w:val="4618095C"/>
    <w:rsid w:val="4649370A"/>
    <w:rsid w:val="46F36DA0"/>
    <w:rsid w:val="470F1A40"/>
    <w:rsid w:val="47243AD3"/>
    <w:rsid w:val="473B3601"/>
    <w:rsid w:val="47874501"/>
    <w:rsid w:val="47A23A54"/>
    <w:rsid w:val="47CD68E2"/>
    <w:rsid w:val="486B47C1"/>
    <w:rsid w:val="48D94DD8"/>
    <w:rsid w:val="49610290"/>
    <w:rsid w:val="49A12FFD"/>
    <w:rsid w:val="4A2E3A7F"/>
    <w:rsid w:val="4A415D2F"/>
    <w:rsid w:val="4A4F2044"/>
    <w:rsid w:val="4A7E1BD3"/>
    <w:rsid w:val="4AAF27BD"/>
    <w:rsid w:val="4AAF27F9"/>
    <w:rsid w:val="4AD53A7C"/>
    <w:rsid w:val="4B4705A8"/>
    <w:rsid w:val="4B9C21A7"/>
    <w:rsid w:val="4BFB2DD7"/>
    <w:rsid w:val="4C2740F6"/>
    <w:rsid w:val="4C946B2A"/>
    <w:rsid w:val="4C97250C"/>
    <w:rsid w:val="4D026468"/>
    <w:rsid w:val="4DC0067A"/>
    <w:rsid w:val="4E812CDB"/>
    <w:rsid w:val="4F1231F5"/>
    <w:rsid w:val="4FF57994"/>
    <w:rsid w:val="506E5B35"/>
    <w:rsid w:val="50783A04"/>
    <w:rsid w:val="50A17192"/>
    <w:rsid w:val="50C432FA"/>
    <w:rsid w:val="50EF373E"/>
    <w:rsid w:val="528746C5"/>
    <w:rsid w:val="52BB0E80"/>
    <w:rsid w:val="531B167D"/>
    <w:rsid w:val="534F7755"/>
    <w:rsid w:val="53A846D4"/>
    <w:rsid w:val="53EA0CAA"/>
    <w:rsid w:val="542268B5"/>
    <w:rsid w:val="54434881"/>
    <w:rsid w:val="54AB3C58"/>
    <w:rsid w:val="54D57811"/>
    <w:rsid w:val="55624D2C"/>
    <w:rsid w:val="559176BF"/>
    <w:rsid w:val="5611060F"/>
    <w:rsid w:val="57976D25"/>
    <w:rsid w:val="57A40682"/>
    <w:rsid w:val="58461AA1"/>
    <w:rsid w:val="587535CA"/>
    <w:rsid w:val="587C5656"/>
    <w:rsid w:val="58E84452"/>
    <w:rsid w:val="59E50895"/>
    <w:rsid w:val="5A207761"/>
    <w:rsid w:val="5A5C1E19"/>
    <w:rsid w:val="5A8460C5"/>
    <w:rsid w:val="5B28282A"/>
    <w:rsid w:val="5BF36EEB"/>
    <w:rsid w:val="5C376650"/>
    <w:rsid w:val="5C8541BD"/>
    <w:rsid w:val="5D3443FE"/>
    <w:rsid w:val="5D9E5BBA"/>
    <w:rsid w:val="5DA730E4"/>
    <w:rsid w:val="5DB76889"/>
    <w:rsid w:val="5DEF0460"/>
    <w:rsid w:val="5DF35C30"/>
    <w:rsid w:val="5DFF1BEB"/>
    <w:rsid w:val="5EEB2157"/>
    <w:rsid w:val="5F0F7504"/>
    <w:rsid w:val="5F6B5B0B"/>
    <w:rsid w:val="5F87057A"/>
    <w:rsid w:val="5FAF440D"/>
    <w:rsid w:val="5FC17F16"/>
    <w:rsid w:val="5FC6267F"/>
    <w:rsid w:val="61597DFD"/>
    <w:rsid w:val="63111A3E"/>
    <w:rsid w:val="63617407"/>
    <w:rsid w:val="63EB60C9"/>
    <w:rsid w:val="646C0022"/>
    <w:rsid w:val="64A913E6"/>
    <w:rsid w:val="64B62EC8"/>
    <w:rsid w:val="64CE77F5"/>
    <w:rsid w:val="65303A44"/>
    <w:rsid w:val="65347CB0"/>
    <w:rsid w:val="65535135"/>
    <w:rsid w:val="65967A6D"/>
    <w:rsid w:val="65C7133C"/>
    <w:rsid w:val="66514C6C"/>
    <w:rsid w:val="66A652E7"/>
    <w:rsid w:val="66C06D6D"/>
    <w:rsid w:val="6769673B"/>
    <w:rsid w:val="67F56373"/>
    <w:rsid w:val="67FD1AB8"/>
    <w:rsid w:val="68190848"/>
    <w:rsid w:val="68A84FEB"/>
    <w:rsid w:val="68CF25BE"/>
    <w:rsid w:val="69642A5F"/>
    <w:rsid w:val="69687D90"/>
    <w:rsid w:val="69CB25B9"/>
    <w:rsid w:val="6A4A7EC9"/>
    <w:rsid w:val="6A7D1B74"/>
    <w:rsid w:val="6A986670"/>
    <w:rsid w:val="6B4F0661"/>
    <w:rsid w:val="6C5A17EE"/>
    <w:rsid w:val="6CA35CAD"/>
    <w:rsid w:val="6CE02708"/>
    <w:rsid w:val="6D1628C5"/>
    <w:rsid w:val="6DA45032"/>
    <w:rsid w:val="6DB65872"/>
    <w:rsid w:val="6DC56614"/>
    <w:rsid w:val="6E2B34C4"/>
    <w:rsid w:val="6E34225B"/>
    <w:rsid w:val="6E877FAE"/>
    <w:rsid w:val="6EE25D3A"/>
    <w:rsid w:val="6F0A4A75"/>
    <w:rsid w:val="6F2140C4"/>
    <w:rsid w:val="6F396939"/>
    <w:rsid w:val="701C1DC5"/>
    <w:rsid w:val="706311DA"/>
    <w:rsid w:val="70C91BA1"/>
    <w:rsid w:val="70ED0083"/>
    <w:rsid w:val="71954437"/>
    <w:rsid w:val="719B56EF"/>
    <w:rsid w:val="71EC55F8"/>
    <w:rsid w:val="722C5153"/>
    <w:rsid w:val="72974DA1"/>
    <w:rsid w:val="72A96D3F"/>
    <w:rsid w:val="72AB3117"/>
    <w:rsid w:val="730557B9"/>
    <w:rsid w:val="730A171B"/>
    <w:rsid w:val="7380143D"/>
    <w:rsid w:val="73AB13BC"/>
    <w:rsid w:val="73B94C4B"/>
    <w:rsid w:val="73C05431"/>
    <w:rsid w:val="74874674"/>
    <w:rsid w:val="74D84D1E"/>
    <w:rsid w:val="75140886"/>
    <w:rsid w:val="75F53B5C"/>
    <w:rsid w:val="76530AF9"/>
    <w:rsid w:val="76D0273C"/>
    <w:rsid w:val="76F07BC6"/>
    <w:rsid w:val="77432F12"/>
    <w:rsid w:val="7833678A"/>
    <w:rsid w:val="785023D2"/>
    <w:rsid w:val="78A41B79"/>
    <w:rsid w:val="78C96A89"/>
    <w:rsid w:val="78D36762"/>
    <w:rsid w:val="791512D9"/>
    <w:rsid w:val="797C574D"/>
    <w:rsid w:val="7A366F71"/>
    <w:rsid w:val="7AA314D5"/>
    <w:rsid w:val="7AB15D4A"/>
    <w:rsid w:val="7AB55CBB"/>
    <w:rsid w:val="7AC86EEC"/>
    <w:rsid w:val="7B5A14C4"/>
    <w:rsid w:val="7B8C052F"/>
    <w:rsid w:val="7BEA6F4F"/>
    <w:rsid w:val="7C25350C"/>
    <w:rsid w:val="7C9C232E"/>
    <w:rsid w:val="7CB46847"/>
    <w:rsid w:val="7CBC20B9"/>
    <w:rsid w:val="7CC037EF"/>
    <w:rsid w:val="7CD74C0B"/>
    <w:rsid w:val="7D8913E9"/>
    <w:rsid w:val="7E0E2CDC"/>
    <w:rsid w:val="7E760EB0"/>
    <w:rsid w:val="7E8248EF"/>
    <w:rsid w:val="7EF77135"/>
    <w:rsid w:val="7F43216B"/>
    <w:rsid w:val="7F5409EE"/>
    <w:rsid w:val="DCF7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6" w:lineRule="auto"/>
      <w:outlineLvl w:val="0"/>
    </w:pPr>
    <w:rPr>
      <w:b/>
      <w:bCs/>
      <w:kern w:val="44"/>
      <w:sz w:val="44"/>
      <w:szCs w:val="44"/>
    </w:rPr>
  </w:style>
  <w:style w:type="paragraph" w:styleId="2">
    <w:name w:val="heading 2"/>
    <w:basedOn w:val="1"/>
    <w:next w:val="1"/>
    <w:link w:val="137"/>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46"/>
    <w:qFormat/>
    <w:uiPriority w:val="0"/>
    <w:pPr>
      <w:keepNext/>
      <w:keepLines/>
      <w:spacing w:line="600" w:lineRule="exact"/>
      <w:ind w:firstLine="643" w:firstLineChars="200"/>
      <w:outlineLvl w:val="2"/>
    </w:pPr>
    <w:rPr>
      <w:b/>
      <w:bCs/>
      <w:sz w:val="32"/>
      <w:szCs w:val="32"/>
    </w:rPr>
  </w:style>
  <w:style w:type="paragraph" w:styleId="5">
    <w:name w:val="heading 4"/>
    <w:basedOn w:val="1"/>
    <w:next w:val="1"/>
    <w:link w:val="184"/>
    <w:qFormat/>
    <w:uiPriority w:val="0"/>
    <w:pPr>
      <w:tabs>
        <w:tab w:val="left" w:pos="2155"/>
      </w:tabs>
      <w:spacing w:before="120" w:line="360" w:lineRule="auto"/>
      <w:ind w:left="2155" w:hanging="1078"/>
      <w:outlineLvl w:val="3"/>
    </w:pPr>
    <w:rPr>
      <w:rFonts w:ascii="Arial" w:eastAsia="黑体"/>
      <w:kern w:val="0"/>
      <w:sz w:val="28"/>
      <w:szCs w:val="20"/>
    </w:rPr>
  </w:style>
  <w:style w:type="paragraph" w:styleId="6">
    <w:name w:val="heading 5"/>
    <w:basedOn w:val="1"/>
    <w:next w:val="1"/>
    <w:link w:val="157"/>
    <w:qFormat/>
    <w:uiPriority w:val="0"/>
    <w:pPr>
      <w:keepNext/>
      <w:keepLines/>
      <w:spacing w:before="280" w:after="290" w:line="372" w:lineRule="auto"/>
      <w:outlineLvl w:val="4"/>
    </w:pPr>
    <w:rPr>
      <w:b/>
      <w:bCs/>
      <w:sz w:val="28"/>
      <w:szCs w:val="28"/>
    </w:rPr>
  </w:style>
  <w:style w:type="paragraph" w:styleId="7">
    <w:name w:val="heading 6"/>
    <w:basedOn w:val="1"/>
    <w:next w:val="1"/>
    <w:link w:val="158"/>
    <w:qFormat/>
    <w:uiPriority w:val="0"/>
    <w:pPr>
      <w:keepNext/>
      <w:keepLines/>
      <w:adjustRightInd/>
      <w:spacing w:before="240" w:after="64" w:line="316" w:lineRule="auto"/>
      <w:textAlignment w:val="auto"/>
      <w:outlineLvl w:val="5"/>
    </w:pPr>
    <w:rPr>
      <w:rFonts w:ascii="Arial" w:hAnsi="Arial" w:eastAsia="黑体"/>
      <w:b/>
      <w:bCs/>
      <w:sz w:val="24"/>
    </w:rPr>
  </w:style>
  <w:style w:type="paragraph" w:styleId="8">
    <w:name w:val="heading 7"/>
    <w:basedOn w:val="1"/>
    <w:next w:val="1"/>
    <w:link w:val="195"/>
    <w:qFormat/>
    <w:uiPriority w:val="0"/>
    <w:pPr>
      <w:keepNext/>
      <w:keepLines/>
      <w:adjustRightInd/>
      <w:spacing w:before="240" w:after="64" w:line="316" w:lineRule="auto"/>
      <w:textAlignment w:val="auto"/>
      <w:outlineLvl w:val="6"/>
    </w:pPr>
    <w:rPr>
      <w:b/>
      <w:bCs/>
      <w:sz w:val="24"/>
    </w:rPr>
  </w:style>
  <w:style w:type="paragraph" w:styleId="9">
    <w:name w:val="heading 8"/>
    <w:basedOn w:val="1"/>
    <w:next w:val="1"/>
    <w:link w:val="175"/>
    <w:qFormat/>
    <w:uiPriority w:val="0"/>
    <w:pPr>
      <w:keepNext/>
      <w:keepLines/>
      <w:adjustRightInd/>
      <w:spacing w:before="240" w:after="64" w:line="316" w:lineRule="auto"/>
      <w:textAlignment w:val="auto"/>
      <w:outlineLvl w:val="7"/>
    </w:pPr>
    <w:rPr>
      <w:rFonts w:ascii="Arial" w:hAnsi="Arial" w:eastAsia="黑体"/>
      <w:sz w:val="24"/>
    </w:rPr>
  </w:style>
  <w:style w:type="paragraph" w:styleId="10">
    <w:name w:val="heading 9"/>
    <w:basedOn w:val="1"/>
    <w:next w:val="1"/>
    <w:link w:val="156"/>
    <w:qFormat/>
    <w:uiPriority w:val="0"/>
    <w:pPr>
      <w:keepNext/>
      <w:keepLines/>
      <w:adjustRightInd/>
      <w:spacing w:before="240" w:after="64" w:line="316" w:lineRule="auto"/>
      <w:textAlignment w:val="auto"/>
      <w:outlineLvl w:val="8"/>
    </w:pPr>
    <w:rPr>
      <w:rFonts w:ascii="Arial" w:hAnsi="Arial" w:eastAsia="黑体"/>
      <w:szCs w:val="21"/>
    </w:rPr>
  </w:style>
  <w:style w:type="character" w:default="1" w:styleId="35">
    <w:name w:val="Default Paragraph Font"/>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170"/>
    <w:semiHidden/>
    <w:qFormat/>
    <w:uiPriority w:val="0"/>
    <w:pPr>
      <w:shd w:val="clear" w:color="auto" w:fill="000080"/>
    </w:pPr>
  </w:style>
  <w:style w:type="paragraph" w:styleId="12">
    <w:name w:val="annotation text"/>
    <w:basedOn w:val="1"/>
    <w:link w:val="145"/>
    <w:qFormat/>
    <w:uiPriority w:val="0"/>
    <w:pPr>
      <w:jc w:val="left"/>
    </w:pPr>
  </w:style>
  <w:style w:type="paragraph" w:styleId="13">
    <w:name w:val="Body Text 3"/>
    <w:basedOn w:val="1"/>
    <w:link w:val="152"/>
    <w:unhideWhenUsed/>
    <w:qFormat/>
    <w:uiPriority w:val="0"/>
    <w:pPr>
      <w:spacing w:line="500" w:lineRule="exact"/>
    </w:pPr>
    <w:rPr>
      <w:rFonts w:eastAsia="仿宋_GB2312"/>
      <w:kern w:val="0"/>
      <w:sz w:val="28"/>
      <w:szCs w:val="20"/>
    </w:rPr>
  </w:style>
  <w:style w:type="paragraph" w:styleId="14">
    <w:name w:val="Body Text"/>
    <w:basedOn w:val="1"/>
    <w:link w:val="159"/>
    <w:unhideWhenUsed/>
    <w:qFormat/>
    <w:uiPriority w:val="0"/>
    <w:rPr>
      <w:rFonts w:ascii="金山简黑体" w:hAnsi="Courier New" w:eastAsia="金山简黑体"/>
      <w:b/>
      <w:spacing w:val="-8"/>
      <w:kern w:val="0"/>
      <w:sz w:val="44"/>
      <w:szCs w:val="20"/>
    </w:rPr>
  </w:style>
  <w:style w:type="paragraph" w:styleId="15">
    <w:name w:val="Body Text Indent"/>
    <w:basedOn w:val="1"/>
    <w:link w:val="201"/>
    <w:qFormat/>
    <w:uiPriority w:val="0"/>
    <w:pPr>
      <w:spacing w:line="200" w:lineRule="exact"/>
      <w:ind w:firstLine="301"/>
    </w:pPr>
    <w:rPr>
      <w:rFonts w:ascii="宋体" w:hAnsi="Courier New"/>
      <w:spacing w:val="-4"/>
      <w:sz w:val="18"/>
      <w:szCs w:val="20"/>
    </w:rPr>
  </w:style>
  <w:style w:type="paragraph" w:styleId="16">
    <w:name w:val="List 2"/>
    <w:basedOn w:val="1"/>
    <w:qFormat/>
    <w:uiPriority w:val="0"/>
    <w:pPr>
      <w:ind w:left="100" w:leftChars="200" w:hanging="200" w:hangingChars="200"/>
    </w:pPr>
    <w:rPr>
      <w:sz w:val="28"/>
    </w:rPr>
  </w:style>
  <w:style w:type="paragraph" w:styleId="17">
    <w:name w:val="HTML Address"/>
    <w:basedOn w:val="1"/>
    <w:link w:val="185"/>
    <w:qFormat/>
    <w:uiPriority w:val="0"/>
    <w:pPr>
      <w:adjustRightInd/>
      <w:spacing w:line="240" w:lineRule="auto"/>
      <w:textAlignment w:val="auto"/>
    </w:pPr>
    <w:rPr>
      <w:rFonts w:ascii="宋体" w:hAnsi="宋体"/>
      <w:i/>
      <w:iCs/>
    </w:rPr>
  </w:style>
  <w:style w:type="paragraph" w:styleId="18">
    <w:name w:val="Plain Text"/>
    <w:basedOn w:val="1"/>
    <w:link w:val="197"/>
    <w:qFormat/>
    <w:uiPriority w:val="0"/>
    <w:rPr>
      <w:rFonts w:ascii="宋体" w:hAnsi="Courier New"/>
      <w:szCs w:val="20"/>
    </w:rPr>
  </w:style>
  <w:style w:type="paragraph" w:styleId="19">
    <w:name w:val="Date"/>
    <w:basedOn w:val="1"/>
    <w:next w:val="1"/>
    <w:link w:val="161"/>
    <w:qFormat/>
    <w:uiPriority w:val="0"/>
    <w:pPr>
      <w:ind w:left="100" w:leftChars="2500"/>
    </w:pPr>
  </w:style>
  <w:style w:type="paragraph" w:styleId="20">
    <w:name w:val="Body Text Indent 2"/>
    <w:basedOn w:val="1"/>
    <w:link w:val="183"/>
    <w:qFormat/>
    <w:uiPriority w:val="0"/>
    <w:pPr>
      <w:spacing w:after="120" w:line="480" w:lineRule="auto"/>
      <w:ind w:left="420" w:leftChars="200"/>
    </w:pPr>
  </w:style>
  <w:style w:type="paragraph" w:styleId="21">
    <w:name w:val="Balloon Text"/>
    <w:basedOn w:val="1"/>
    <w:link w:val="141"/>
    <w:qFormat/>
    <w:uiPriority w:val="0"/>
    <w:rPr>
      <w:sz w:val="18"/>
      <w:szCs w:val="18"/>
    </w:rPr>
  </w:style>
  <w:style w:type="paragraph" w:styleId="22">
    <w:name w:val="footer"/>
    <w:basedOn w:val="1"/>
    <w:link w:val="172"/>
    <w:qFormat/>
    <w:uiPriority w:val="99"/>
    <w:pPr>
      <w:tabs>
        <w:tab w:val="center" w:pos="4153"/>
        <w:tab w:val="right" w:pos="8306"/>
      </w:tabs>
      <w:snapToGrid w:val="0"/>
      <w:jc w:val="left"/>
    </w:pPr>
    <w:rPr>
      <w:sz w:val="18"/>
      <w:szCs w:val="18"/>
    </w:rPr>
  </w:style>
  <w:style w:type="paragraph" w:styleId="23">
    <w:name w:val="header"/>
    <w:basedOn w:val="1"/>
    <w:link w:val="198"/>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b/>
      <w:bCs/>
      <w:caps/>
      <w:sz w:val="20"/>
      <w:szCs w:val="20"/>
    </w:rPr>
  </w:style>
  <w:style w:type="paragraph" w:styleId="25">
    <w:name w:val="Subtitle"/>
    <w:basedOn w:val="1"/>
    <w:next w:val="1"/>
    <w:link w:val="154"/>
    <w:qFormat/>
    <w:uiPriority w:val="0"/>
    <w:pPr>
      <w:spacing w:before="240" w:after="60" w:line="312" w:lineRule="auto"/>
      <w:jc w:val="center"/>
      <w:outlineLvl w:val="1"/>
    </w:pPr>
    <w:rPr>
      <w:rFonts w:ascii="Cambria" w:hAnsi="Cambria"/>
      <w:b/>
      <w:bCs/>
      <w:kern w:val="28"/>
      <w:sz w:val="32"/>
      <w:szCs w:val="32"/>
    </w:rPr>
  </w:style>
  <w:style w:type="paragraph" w:styleId="26">
    <w:name w:val="footnote text"/>
    <w:basedOn w:val="1"/>
    <w:link w:val="191"/>
    <w:semiHidden/>
    <w:qFormat/>
    <w:uiPriority w:val="0"/>
    <w:pPr>
      <w:snapToGrid w:val="0"/>
      <w:jc w:val="left"/>
    </w:pPr>
    <w:rPr>
      <w:sz w:val="18"/>
      <w:szCs w:val="18"/>
    </w:rPr>
  </w:style>
  <w:style w:type="paragraph" w:styleId="27">
    <w:name w:val="toc 2"/>
    <w:basedOn w:val="1"/>
    <w:next w:val="1"/>
    <w:qFormat/>
    <w:uiPriority w:val="39"/>
    <w:pPr>
      <w:tabs>
        <w:tab w:val="right" w:leader="dot" w:pos="9628"/>
      </w:tabs>
      <w:ind w:left="420" w:firstLine="120"/>
      <w:jc w:val="left"/>
    </w:pPr>
    <w:rPr>
      <w:smallCaps/>
      <w:sz w:val="20"/>
      <w:szCs w:val="20"/>
    </w:rPr>
  </w:style>
  <w:style w:type="paragraph" w:styleId="28">
    <w:name w:val="Body Text 2"/>
    <w:basedOn w:val="1"/>
    <w:link w:val="193"/>
    <w:unhideWhenUsed/>
    <w:qFormat/>
    <w:uiPriority w:val="0"/>
    <w:pPr>
      <w:jc w:val="center"/>
    </w:pPr>
    <w:rPr>
      <w:rFonts w:hAnsi="宋体"/>
      <w:kern w:val="0"/>
      <w:sz w:val="20"/>
    </w:rPr>
  </w:style>
  <w:style w:type="paragraph" w:styleId="29">
    <w:name w:val="HTML Preformatted"/>
    <w:basedOn w:val="1"/>
    <w:link w:val="17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next w:val="1"/>
    <w:link w:val="190"/>
    <w:qFormat/>
    <w:uiPriority w:val="0"/>
    <w:pPr>
      <w:adjustRightInd/>
      <w:spacing w:before="240" w:after="60" w:line="240" w:lineRule="auto"/>
      <w:jc w:val="center"/>
      <w:textAlignment w:val="auto"/>
      <w:outlineLvl w:val="0"/>
    </w:pPr>
    <w:rPr>
      <w:rFonts w:ascii="Arial" w:hAnsi="Arial" w:cs="Arial"/>
      <w:b/>
      <w:bCs/>
      <w:sz w:val="32"/>
      <w:szCs w:val="32"/>
    </w:rPr>
  </w:style>
  <w:style w:type="paragraph" w:styleId="32">
    <w:name w:val="annotation subject"/>
    <w:basedOn w:val="12"/>
    <w:next w:val="12"/>
    <w:link w:val="179"/>
    <w:qFormat/>
    <w:uiPriority w:val="0"/>
  </w:style>
  <w:style w:type="table" w:styleId="34">
    <w:name w:val="Table Grid"/>
    <w:basedOn w:val="3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Emphasis"/>
    <w:basedOn w:val="35"/>
    <w:qFormat/>
    <w:uiPriority w:val="20"/>
  </w:style>
  <w:style w:type="character" w:styleId="39">
    <w:name w:val="HTML Typewriter"/>
    <w:basedOn w:val="35"/>
    <w:qFormat/>
    <w:uiPriority w:val="0"/>
    <w:rPr>
      <w:rFonts w:hint="default" w:ascii="Courier New" w:hAnsi="Courier New" w:eastAsia="Times New Roman" w:cs="Times New Roman"/>
      <w:sz w:val="24"/>
      <w:szCs w:val="24"/>
    </w:rPr>
  </w:style>
  <w:style w:type="character" w:styleId="40">
    <w:name w:val="Hyperlink"/>
    <w:qFormat/>
    <w:uiPriority w:val="99"/>
    <w:rPr>
      <w:color w:val="0000FF"/>
      <w:u w:val="single"/>
    </w:rPr>
  </w:style>
  <w:style w:type="character" w:styleId="41">
    <w:name w:val="HTML Code"/>
    <w:basedOn w:val="35"/>
    <w:qFormat/>
    <w:uiPriority w:val="0"/>
    <w:rPr>
      <w:rFonts w:hint="default" w:ascii="Courier New" w:hAnsi="Courier New" w:eastAsia="Times New Roman" w:cs="Times New Roman"/>
      <w:sz w:val="24"/>
      <w:szCs w:val="24"/>
    </w:rPr>
  </w:style>
  <w:style w:type="character" w:styleId="42">
    <w:name w:val="annotation reference"/>
    <w:qFormat/>
    <w:uiPriority w:val="0"/>
    <w:rPr>
      <w:sz w:val="21"/>
      <w:szCs w:val="21"/>
    </w:rPr>
  </w:style>
  <w:style w:type="character" w:styleId="43">
    <w:name w:val="HTML Keyboard"/>
    <w:basedOn w:val="35"/>
    <w:qFormat/>
    <w:uiPriority w:val="0"/>
    <w:rPr>
      <w:rFonts w:hint="default" w:ascii="Courier New" w:hAnsi="Courier New" w:eastAsia="Times New Roman" w:cs="Times New Roman"/>
      <w:sz w:val="24"/>
      <w:szCs w:val="24"/>
    </w:rPr>
  </w:style>
  <w:style w:type="character" w:styleId="44">
    <w:name w:val="HTML Sample"/>
    <w:basedOn w:val="35"/>
    <w:qFormat/>
    <w:uiPriority w:val="0"/>
    <w:rPr>
      <w:rFonts w:hint="default" w:ascii="Courier New" w:hAnsi="Courier New" w:eastAsia="Times New Roman" w:cs="Times New Roman"/>
    </w:rPr>
  </w:style>
  <w:style w:type="character" w:customStyle="1" w:styleId="45">
    <w:name w:val="标题 1 字符"/>
    <w:link w:val="3"/>
    <w:qFormat/>
    <w:uiPriority w:val="0"/>
    <w:rPr>
      <w:rFonts w:eastAsia="宋体"/>
      <w:b/>
      <w:bCs/>
      <w:kern w:val="44"/>
      <w:sz w:val="44"/>
      <w:szCs w:val="44"/>
      <w:lang w:val="en-US" w:eastAsia="zh-CN" w:bidi="ar-SA"/>
    </w:rPr>
  </w:style>
  <w:style w:type="character" w:customStyle="1" w:styleId="46">
    <w:name w:val="标题 3 字符"/>
    <w:link w:val="4"/>
    <w:qFormat/>
    <w:uiPriority w:val="0"/>
    <w:rPr>
      <w:rFonts w:eastAsia="宋体"/>
      <w:b/>
      <w:bCs/>
      <w:kern w:val="2"/>
      <w:sz w:val="32"/>
      <w:szCs w:val="32"/>
      <w:lang w:val="en-US" w:eastAsia="zh-CN" w:bidi="ar-SA"/>
    </w:rPr>
  </w:style>
  <w:style w:type="paragraph" w:customStyle="1" w:styleId="47">
    <w:name w:val="封面标准代替信息"/>
    <w:basedOn w:val="48"/>
    <w:qFormat/>
    <w:uiPriority w:val="0"/>
    <w:pPr>
      <w:spacing w:before="57"/>
    </w:pPr>
    <w:rPr>
      <w:rFonts w:ascii="宋体"/>
      <w:sz w:val="21"/>
    </w:rPr>
  </w:style>
  <w:style w:type="paragraph" w:customStyle="1" w:styleId="48">
    <w:name w:val="封面标准号2"/>
    <w:basedOn w:val="49"/>
    <w:qFormat/>
    <w:uiPriority w:val="0"/>
    <w:pPr>
      <w:framePr w:w="9138" w:h="1244" w:wrap="around" w:vAnchor="page" w:hAnchor="margin" w:y="2908" w:anchorLock="1"/>
      <w:adjustRightInd w:val="0"/>
      <w:spacing w:before="357" w:line="280" w:lineRule="exact"/>
    </w:pPr>
  </w:style>
  <w:style w:type="paragraph" w:customStyle="1" w:styleId="49">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50">
    <w:name w:val="附录三级条标题"/>
    <w:basedOn w:val="51"/>
    <w:next w:val="54"/>
    <w:qFormat/>
    <w:uiPriority w:val="0"/>
    <w:pPr>
      <w:numPr>
        <w:ilvl w:val="4"/>
      </w:numPr>
      <w:tabs>
        <w:tab w:val="left" w:pos="1260"/>
      </w:tabs>
      <w:outlineLvl w:val="4"/>
    </w:pPr>
  </w:style>
  <w:style w:type="paragraph" w:customStyle="1" w:styleId="51">
    <w:name w:val="附录二级条标题"/>
    <w:basedOn w:val="52"/>
    <w:next w:val="54"/>
    <w:qFormat/>
    <w:uiPriority w:val="0"/>
    <w:pPr>
      <w:numPr>
        <w:ilvl w:val="3"/>
      </w:numPr>
      <w:tabs>
        <w:tab w:val="left" w:pos="1260"/>
      </w:tabs>
      <w:autoSpaceDN w:val="0"/>
      <w:spacing w:beforeLines="0"/>
      <w:outlineLvl w:val="3"/>
    </w:pPr>
  </w:style>
  <w:style w:type="paragraph" w:customStyle="1" w:styleId="52">
    <w:name w:val="附录一级条标题"/>
    <w:basedOn w:val="53"/>
    <w:next w:val="54"/>
    <w:qFormat/>
    <w:uiPriority w:val="0"/>
    <w:pPr>
      <w:tabs>
        <w:tab w:val="left" w:pos="1260"/>
      </w:tabs>
    </w:pPr>
  </w:style>
  <w:style w:type="paragraph" w:customStyle="1" w:styleId="53">
    <w:name w:val="附录章标题"/>
    <w:next w:val="54"/>
    <w:qFormat/>
    <w:uiPriority w:val="0"/>
    <w:pPr>
      <w:numPr>
        <w:ilvl w:val="1"/>
        <w:numId w:val="1"/>
      </w:numPr>
      <w:wordWrap w:val="0"/>
      <w:overflowPunct w:val="0"/>
      <w:autoSpaceDE w:val="0"/>
      <w:spacing w:beforeLines="50"/>
      <w:jc w:val="both"/>
      <w:outlineLvl w:val="1"/>
    </w:pPr>
    <w:rPr>
      <w:rFonts w:ascii="黑体" w:hAnsi="Times New Roman" w:eastAsia="黑体" w:cs="Times New Roman"/>
      <w:kern w:val="21"/>
      <w:sz w:val="21"/>
      <w:lang w:val="en-US" w:eastAsia="zh-CN" w:bidi="ar-SA"/>
    </w:rPr>
  </w:style>
  <w:style w:type="paragraph" w:customStyle="1" w:styleId="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Formatvorlage layout_standard + 10 pt Zentriert"/>
    <w:basedOn w:val="57"/>
    <w:qFormat/>
    <w:uiPriority w:val="0"/>
    <w:pPr>
      <w:jc w:val="center"/>
    </w:pPr>
    <w:rPr>
      <w:rFonts w:eastAsia="Times New Roman"/>
      <w:bCs/>
      <w:sz w:val="22"/>
    </w:rPr>
  </w:style>
  <w:style w:type="paragraph" w:customStyle="1" w:styleId="57">
    <w:name w:val="layout_standard"/>
    <w:basedOn w:val="26"/>
    <w:qFormat/>
    <w:uiPriority w:val="0"/>
    <w:pPr>
      <w:widowControl/>
      <w:snapToGrid/>
    </w:pPr>
    <w:rPr>
      <w:rFonts w:ascii="Arial" w:hAnsi="Arial"/>
      <w:b/>
      <w:kern w:val="0"/>
      <w:sz w:val="36"/>
      <w:szCs w:val="20"/>
      <w:lang w:val="en-GB" w:eastAsia="de-DE"/>
    </w:rPr>
  </w:style>
  <w:style w:type="paragraph" w:customStyle="1" w:styleId="58">
    <w:name w:val="封面标准名称"/>
    <w:qFormat/>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59">
    <w:name w:val="p0"/>
    <w:basedOn w:val="1"/>
    <w:qFormat/>
    <w:uiPriority w:val="0"/>
    <w:pPr>
      <w:widowControl/>
    </w:pPr>
    <w:rPr>
      <w:kern w:val="0"/>
      <w:szCs w:val="21"/>
    </w:rPr>
  </w:style>
  <w:style w:type="paragraph" w:customStyle="1" w:styleId="60">
    <w:name w:val="四级条标题"/>
    <w:basedOn w:val="61"/>
    <w:next w:val="54"/>
    <w:qFormat/>
    <w:uiPriority w:val="0"/>
    <w:pPr>
      <w:numPr>
        <w:ilvl w:val="5"/>
      </w:numPr>
      <w:tabs>
        <w:tab w:val="left" w:pos="1980"/>
      </w:tabs>
      <w:outlineLvl w:val="5"/>
    </w:pPr>
  </w:style>
  <w:style w:type="paragraph" w:customStyle="1" w:styleId="61">
    <w:name w:val="三级条标题"/>
    <w:basedOn w:val="62"/>
    <w:next w:val="54"/>
    <w:qFormat/>
    <w:uiPriority w:val="0"/>
    <w:pPr>
      <w:numPr>
        <w:ilvl w:val="4"/>
      </w:numPr>
      <w:tabs>
        <w:tab w:val="left" w:pos="1980"/>
      </w:tabs>
      <w:outlineLvl w:val="4"/>
    </w:pPr>
  </w:style>
  <w:style w:type="paragraph" w:customStyle="1" w:styleId="62">
    <w:name w:val="二级条标题"/>
    <w:basedOn w:val="63"/>
    <w:next w:val="54"/>
    <w:qFormat/>
    <w:uiPriority w:val="0"/>
    <w:pPr>
      <w:numPr>
        <w:ilvl w:val="3"/>
      </w:numPr>
      <w:tabs>
        <w:tab w:val="left" w:pos="1980"/>
      </w:tabs>
      <w:outlineLvl w:val="3"/>
    </w:pPr>
  </w:style>
  <w:style w:type="paragraph" w:customStyle="1" w:styleId="63">
    <w:name w:val="一级条标题"/>
    <w:basedOn w:val="64"/>
    <w:next w:val="54"/>
    <w:qFormat/>
    <w:uiPriority w:val="0"/>
    <w:pPr>
      <w:numPr>
        <w:ilvl w:val="2"/>
      </w:numPr>
      <w:tabs>
        <w:tab w:val="left" w:pos="1980"/>
      </w:tabs>
      <w:spacing w:beforeLines="0"/>
      <w:outlineLvl w:val="2"/>
    </w:pPr>
  </w:style>
  <w:style w:type="paragraph" w:customStyle="1" w:styleId="64">
    <w:name w:val="章标题"/>
    <w:next w:val="54"/>
    <w:qFormat/>
    <w:uiPriority w:val="0"/>
    <w:pPr>
      <w:numPr>
        <w:ilvl w:val="1"/>
        <w:numId w:val="2"/>
      </w:numPr>
      <w:spacing w:beforeLines="50"/>
      <w:jc w:val="both"/>
      <w:outlineLvl w:val="1"/>
    </w:pPr>
    <w:rPr>
      <w:rFonts w:ascii="黑体" w:hAnsi="Times New Roman" w:eastAsia="黑体" w:cs="Times New Roman"/>
      <w:sz w:val="21"/>
      <w:lang w:val="en-US" w:eastAsia="zh-CN" w:bidi="ar-SA"/>
    </w:rPr>
  </w:style>
  <w:style w:type="paragraph" w:customStyle="1" w:styleId="65">
    <w:name w:val="Char Char Char1 Char Char Char Char Char Char Char"/>
    <w:basedOn w:val="1"/>
    <w:qFormat/>
    <w:uiPriority w:val="0"/>
    <w:pPr>
      <w:adjustRightInd/>
      <w:spacing w:line="240" w:lineRule="auto"/>
      <w:textAlignment w:val="auto"/>
    </w:pPr>
  </w:style>
  <w:style w:type="paragraph" w:customStyle="1" w:styleId="66">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无标题条"/>
    <w:next w:val="54"/>
    <w:qFormat/>
    <w:uiPriority w:val="0"/>
    <w:pPr>
      <w:jc w:val="both"/>
    </w:pPr>
    <w:rPr>
      <w:rFonts w:ascii="Times New Roman" w:hAnsi="Times New Roman" w:eastAsia="宋体" w:cs="Times New Roman"/>
      <w:sz w:val="21"/>
      <w:lang w:val="en-US" w:eastAsia="zh-CN" w:bidi="ar-SA"/>
    </w:rPr>
  </w:style>
  <w:style w:type="paragraph" w:customStyle="1" w:styleId="68">
    <w:name w:val="附录四级条标题"/>
    <w:basedOn w:val="50"/>
    <w:next w:val="54"/>
    <w:qFormat/>
    <w:uiPriority w:val="0"/>
    <w:pPr>
      <w:numPr>
        <w:ilvl w:val="5"/>
      </w:numPr>
      <w:outlineLvl w:val="5"/>
    </w:pPr>
  </w:style>
  <w:style w:type="paragraph" w:customStyle="1" w:styleId="69">
    <w:name w:val="Char"/>
    <w:basedOn w:val="1"/>
    <w:qFormat/>
    <w:uiPriority w:val="0"/>
    <w:pPr>
      <w:adjustRightInd/>
      <w:spacing w:line="240" w:lineRule="auto"/>
      <w:textAlignment w:val="auto"/>
    </w:pPr>
    <w:rPr>
      <w:rFonts w:ascii="Tahoma" w:hAnsi="Tahoma"/>
      <w:sz w:val="24"/>
      <w:szCs w:val="20"/>
    </w:rPr>
  </w:style>
  <w:style w:type="paragraph" w:customStyle="1" w:styleId="70">
    <w:name w:val="列项——"/>
    <w:qFormat/>
    <w:uiPriority w:val="0"/>
    <w:pPr>
      <w:widowControl w:val="0"/>
      <w:numPr>
        <w:ilvl w:val="0"/>
        <w:numId w:val="3"/>
      </w:numPr>
      <w:tabs>
        <w:tab w:val="left" w:pos="854"/>
        <w:tab w:val="left"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2">
    <w:name w:val="五级无标题条"/>
    <w:basedOn w:val="1"/>
    <w:qFormat/>
    <w:uiPriority w:val="0"/>
    <w:pPr>
      <w:numPr>
        <w:ilvl w:val="6"/>
        <w:numId w:val="4"/>
      </w:numPr>
      <w:tabs>
        <w:tab w:val="left" w:pos="360"/>
      </w:tabs>
      <w:adjustRightInd/>
      <w:spacing w:line="240" w:lineRule="auto"/>
      <w:textAlignment w:val="auto"/>
    </w:pPr>
  </w:style>
  <w:style w:type="paragraph" w:customStyle="1" w:styleId="73">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74">
    <w:name w:val="四级无标题条"/>
    <w:basedOn w:val="1"/>
    <w:qFormat/>
    <w:uiPriority w:val="0"/>
    <w:pPr>
      <w:numPr>
        <w:ilvl w:val="5"/>
        <w:numId w:val="4"/>
      </w:numPr>
      <w:tabs>
        <w:tab w:val="left" w:pos="360"/>
      </w:tabs>
      <w:adjustRightInd/>
      <w:spacing w:line="240" w:lineRule="auto"/>
      <w:textAlignment w:val="auto"/>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正文表标题"/>
    <w:next w:val="54"/>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77">
    <w:name w:val="标准书眉_偶数页"/>
    <w:basedOn w:val="78"/>
    <w:next w:val="1"/>
    <w:qFormat/>
    <w:uiPriority w:val="0"/>
    <w:pPr>
      <w:tabs>
        <w:tab w:val="center" w:pos="4154"/>
        <w:tab w:val="right" w:pos="8306"/>
      </w:tabs>
      <w:jc w:val="left"/>
    </w:pPr>
  </w:style>
  <w:style w:type="paragraph" w:customStyle="1" w:styleId="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9">
    <w:name w:val="font5"/>
    <w:basedOn w:val="1"/>
    <w:qFormat/>
    <w:uiPriority w:val="0"/>
    <w:pPr>
      <w:widowControl/>
      <w:tabs>
        <w:tab w:val="left" w:pos="360"/>
      </w:tabs>
      <w:spacing w:before="100" w:beforeAutospacing="1" w:after="100" w:afterAutospacing="1"/>
      <w:jc w:val="left"/>
    </w:pPr>
    <w:rPr>
      <w:rFonts w:ascii="宋体" w:hAnsi="宋体" w:cs="Arial Unicode MS"/>
      <w:kern w:val="0"/>
      <w:sz w:val="20"/>
      <w:szCs w:val="20"/>
    </w:rPr>
  </w:style>
  <w:style w:type="paragraph" w:customStyle="1" w:styleId="80">
    <w:name w:val="发布部门"/>
    <w:next w:val="54"/>
    <w:qFormat/>
    <w:uiPriority w:val="0"/>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1">
    <w:name w:val="附录五级条标题"/>
    <w:basedOn w:val="68"/>
    <w:next w:val="54"/>
    <w:qFormat/>
    <w:uiPriority w:val="0"/>
  </w:style>
  <w:style w:type="paragraph" w:customStyle="1" w:styleId="82">
    <w:name w:val="正文段"/>
    <w:basedOn w:val="1"/>
    <w:qFormat/>
    <w:uiPriority w:val="0"/>
    <w:pPr>
      <w:widowControl/>
      <w:snapToGrid w:val="0"/>
      <w:spacing w:afterLines="50"/>
      <w:ind w:firstLine="200" w:firstLineChars="200"/>
    </w:pPr>
    <w:rPr>
      <w:kern w:val="0"/>
      <w:sz w:val="24"/>
      <w:szCs w:val="20"/>
    </w:rPr>
  </w:style>
  <w:style w:type="paragraph" w:customStyle="1" w:styleId="8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4">
    <w:name w:val="bb"/>
    <w:basedOn w:val="1"/>
    <w:qFormat/>
    <w:uiPriority w:val="0"/>
    <w:pPr>
      <w:widowControl/>
      <w:spacing w:before="100" w:beforeAutospacing="1" w:after="100" w:afterAutospacing="1"/>
      <w:jc w:val="left"/>
    </w:pPr>
    <w:rPr>
      <w:rFonts w:ascii="宋体" w:hAnsi="宋体"/>
      <w:kern w:val="0"/>
      <w:sz w:val="24"/>
    </w:rPr>
  </w:style>
  <w:style w:type="paragraph" w:customStyle="1" w:styleId="85">
    <w:name w:val="样式 标题 2 + 非加粗 首行缩进:  2 字符"/>
    <w:basedOn w:val="2"/>
    <w:qFormat/>
    <w:uiPriority w:val="0"/>
    <w:pPr>
      <w:spacing w:before="0" w:after="0" w:line="600" w:lineRule="exact"/>
      <w:ind w:firstLine="640" w:firstLineChars="200"/>
      <w:jc w:val="left"/>
    </w:pPr>
    <w:rPr>
      <w:rFonts w:cs="宋体"/>
      <w:b w:val="0"/>
      <w:bCs w:val="0"/>
      <w:szCs w:val="20"/>
    </w:rPr>
  </w:style>
  <w:style w:type="paragraph" w:customStyle="1" w:styleId="86">
    <w:name w:val="附录表标题"/>
    <w:next w:val="54"/>
    <w:qFormat/>
    <w:uiPriority w:val="0"/>
    <w:pPr>
      <w:jc w:val="center"/>
    </w:pPr>
    <w:rPr>
      <w:rFonts w:ascii="黑体" w:hAnsi="Times New Roman" w:eastAsia="黑体" w:cs="Times New Roman"/>
      <w:kern w:val="21"/>
      <w:sz w:val="21"/>
      <w:lang w:val="en-US" w:eastAsia="zh-CN" w:bidi="ar-SA"/>
    </w:rPr>
  </w:style>
  <w:style w:type="paragraph" w:customStyle="1" w:styleId="87">
    <w:name w:val="注："/>
    <w:next w:val="54"/>
    <w:qFormat/>
    <w:uiPriority w:val="0"/>
    <w:pPr>
      <w:widowControl w:val="0"/>
      <w:numPr>
        <w:ilvl w:val="0"/>
        <w:numId w:val="6"/>
      </w:numPr>
      <w:autoSpaceDE w:val="0"/>
      <w:autoSpaceDN w:val="0"/>
      <w:jc w:val="both"/>
    </w:pPr>
    <w:rPr>
      <w:rFonts w:ascii="宋体" w:hAnsi="Times New Roman" w:eastAsia="宋体" w:cs="Times New Roman"/>
      <w:sz w:val="18"/>
      <w:lang w:val="en-US" w:eastAsia="zh-CN" w:bidi="ar-SA"/>
    </w:rPr>
  </w:style>
  <w:style w:type="paragraph" w:customStyle="1" w:styleId="88">
    <w:name w:val="实施日期"/>
    <w:basedOn w:val="89"/>
    <w:qFormat/>
    <w:uiPriority w:val="0"/>
    <w:pPr>
      <w:framePr w:hSpace="0" w:xAlign="right"/>
      <w:jc w:val="right"/>
    </w:pPr>
  </w:style>
  <w:style w:type="paragraph" w:customStyle="1" w:styleId="89">
    <w:name w:val="发布日期"/>
    <w:qFormat/>
    <w:uiPriority w:val="0"/>
    <w:pPr>
      <w:framePr w:w="4000" w:h="473"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0">
    <w:name w:val="_Style 86"/>
    <w:semiHidden/>
    <w:qFormat/>
    <w:uiPriority w:val="99"/>
    <w:rPr>
      <w:rFonts w:ascii="Times New Roman" w:hAnsi="Times New Roman" w:eastAsia="宋体" w:cs="Times New Roman"/>
      <w:kern w:val="2"/>
      <w:sz w:val="21"/>
      <w:szCs w:val="24"/>
      <w:lang w:val="en-US" w:eastAsia="zh-CN" w:bidi="ar-SA"/>
    </w:rPr>
  </w:style>
  <w:style w:type="paragraph" w:customStyle="1" w:styleId="91">
    <w:name w:val="Char Char Char Char Char Char Char Char Char Char Char Char"/>
    <w:basedOn w:val="1"/>
    <w:qFormat/>
    <w:uiPriority w:val="0"/>
    <w:pPr>
      <w:widowControl/>
      <w:spacing w:after="160" w:line="240" w:lineRule="exact"/>
      <w:jc w:val="left"/>
    </w:pPr>
  </w:style>
  <w:style w:type="paragraph" w:customStyle="1" w:styleId="92">
    <w:name w:val="附录标识"/>
    <w:basedOn w:val="66"/>
    <w:qFormat/>
    <w:uiPriority w:val="0"/>
    <w:pPr>
      <w:numPr>
        <w:ilvl w:val="0"/>
        <w:numId w:val="1"/>
      </w:numPr>
      <w:tabs>
        <w:tab w:val="left" w:pos="6405"/>
      </w:tabs>
      <w:spacing w:after="200"/>
    </w:pPr>
    <w:rPr>
      <w:sz w:val="21"/>
    </w:rPr>
  </w:style>
  <w:style w:type="paragraph" w:customStyle="1" w:styleId="9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4">
    <w:name w:val="封面正文"/>
    <w:qFormat/>
    <w:uiPriority w:val="0"/>
    <w:pPr>
      <w:jc w:val="both"/>
    </w:pPr>
    <w:rPr>
      <w:rFonts w:ascii="Times New Roman" w:hAnsi="Times New Roman" w:eastAsia="宋体" w:cs="Times New Roman"/>
      <w:lang w:val="en-US" w:eastAsia="zh-CN" w:bidi="ar-SA"/>
    </w:rPr>
  </w:style>
  <w:style w:type="paragraph" w:customStyle="1" w:styleId="95">
    <w:name w:val="正文图标题"/>
    <w:next w:val="54"/>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96">
    <w:name w:val="Formatvorlage layout_standard + 10 pt"/>
    <w:basedOn w:val="57"/>
    <w:qFormat/>
    <w:uiPriority w:val="0"/>
    <w:rPr>
      <w:bCs/>
      <w:sz w:val="22"/>
    </w:rPr>
  </w:style>
  <w:style w:type="paragraph" w:customStyle="1" w:styleId="97">
    <w:name w:val="二级无标题条"/>
    <w:basedOn w:val="1"/>
    <w:qFormat/>
    <w:uiPriority w:val="0"/>
    <w:pPr>
      <w:numPr>
        <w:ilvl w:val="3"/>
        <w:numId w:val="4"/>
      </w:numPr>
      <w:tabs>
        <w:tab w:val="left" w:pos="360"/>
      </w:tabs>
      <w:adjustRightInd/>
      <w:spacing w:line="240" w:lineRule="auto"/>
      <w:textAlignment w:val="auto"/>
    </w:pPr>
  </w:style>
  <w:style w:type="paragraph" w:customStyle="1" w:styleId="98">
    <w:name w:val="参考文献、索引标题"/>
    <w:basedOn w:val="66"/>
    <w:next w:val="1"/>
    <w:qFormat/>
    <w:uiPriority w:val="0"/>
    <w:pPr>
      <w:numPr>
        <w:numId w:val="0"/>
      </w:numPr>
      <w:spacing w:after="200"/>
    </w:pPr>
    <w:rPr>
      <w:sz w:val="21"/>
    </w:rPr>
  </w:style>
  <w:style w:type="paragraph" w:customStyle="1" w:styleId="99">
    <w:name w:val="Style16"/>
    <w:basedOn w:val="1"/>
    <w:qFormat/>
    <w:uiPriority w:val="0"/>
    <w:pPr>
      <w:spacing w:line="630" w:lineRule="exact"/>
      <w:ind w:firstLine="643"/>
      <w:textAlignment w:val="auto"/>
    </w:pPr>
    <w:rPr>
      <w:rFonts w:ascii="宋体"/>
      <w:kern w:val="0"/>
      <w:sz w:val="24"/>
    </w:rPr>
  </w:style>
  <w:style w:type="paragraph" w:customStyle="1" w:styleId="100">
    <w:name w:val="图表脚注"/>
    <w:next w:val="54"/>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101">
    <w:name w:val="文献分类号"/>
    <w:qFormat/>
    <w:uiPriority w:val="0"/>
    <w:pPr>
      <w:framePr w:hSpace="180" w:vSpace="180" w:wrap="around" w:vAnchor="margin" w:hAnchor="margin" w:y="1" w:anchorLock="1"/>
      <w:widowControl w:val="0"/>
    </w:pPr>
    <w:rPr>
      <w:rFonts w:ascii="Times New Roman" w:hAnsi="Times New Roman" w:eastAsia="黑体" w:cs="Times New Roman"/>
      <w:sz w:val="21"/>
      <w:lang w:val="en-US" w:eastAsia="zh-CN" w:bidi="ar-SA"/>
    </w:rPr>
  </w:style>
  <w:style w:type="paragraph" w:customStyle="1" w:styleId="102">
    <w:name w:val="附录图标题"/>
    <w:next w:val="54"/>
    <w:qFormat/>
    <w:uiPriority w:val="0"/>
    <w:pPr>
      <w:jc w:val="center"/>
    </w:pPr>
    <w:rPr>
      <w:rFonts w:ascii="黑体" w:hAnsi="Times New Roman" w:eastAsia="黑体" w:cs="Times New Roman"/>
      <w:sz w:val="21"/>
      <w:lang w:val="en-US" w:eastAsia="zh-CN" w:bidi="ar-SA"/>
    </w:rPr>
  </w:style>
  <w:style w:type="paragraph" w:customStyle="1" w:styleId="103">
    <w:name w:val="目次、标准名称标题"/>
    <w:basedOn w:val="66"/>
    <w:next w:val="54"/>
    <w:qFormat/>
    <w:uiPriority w:val="0"/>
    <w:pPr>
      <w:numPr>
        <w:numId w:val="0"/>
      </w:numPr>
      <w:spacing w:line="460" w:lineRule="exact"/>
    </w:pPr>
  </w:style>
  <w:style w:type="paragraph" w:customStyle="1" w:styleId="104">
    <w:name w:val="五级条标题"/>
    <w:basedOn w:val="60"/>
    <w:next w:val="54"/>
    <w:qFormat/>
    <w:uiPriority w:val="0"/>
    <w:pPr>
      <w:numPr>
        <w:ilvl w:val="6"/>
      </w:numPr>
      <w:outlineLvl w:val="6"/>
    </w:pPr>
  </w:style>
  <w:style w:type="paragraph" w:customStyle="1" w:styleId="105">
    <w:name w:val="_Style 101"/>
    <w:basedOn w:val="1"/>
    <w:qFormat/>
    <w:uiPriority w:val="34"/>
    <w:pPr>
      <w:ind w:firstLine="420" w:firstLineChars="200"/>
    </w:pPr>
    <w:rPr>
      <w:rFonts w:ascii="Calibri" w:hAnsi="Calibri"/>
      <w:szCs w:val="22"/>
    </w:rPr>
  </w:style>
  <w:style w:type="paragraph" w:customStyle="1" w:styleId="106">
    <w:name w:val="示例"/>
    <w:next w:val="54"/>
    <w:qFormat/>
    <w:uiPriority w:val="0"/>
    <w:pPr>
      <w:numPr>
        <w:ilvl w:val="0"/>
        <w:numId w:val="8"/>
      </w:numPr>
      <w:tabs>
        <w:tab w:val="left" w:pos="816"/>
        <w:tab w:val="left" w:pos="1120"/>
      </w:tabs>
      <w:ind w:firstLine="419" w:firstLineChars="233"/>
      <w:jc w:val="both"/>
    </w:pPr>
    <w:rPr>
      <w:rFonts w:ascii="宋体" w:hAnsi="Times New Roman" w:eastAsia="宋体" w:cs="Times New Roman"/>
      <w:sz w:val="18"/>
      <w:lang w:val="en-US" w:eastAsia="zh-CN" w:bidi="ar-SA"/>
    </w:rPr>
  </w:style>
  <w:style w:type="paragraph" w:customStyle="1" w:styleId="107">
    <w:name w:val="表右齐"/>
    <w:basedOn w:val="1"/>
    <w:qFormat/>
    <w:uiPriority w:val="0"/>
    <w:pPr>
      <w:autoSpaceDE w:val="0"/>
      <w:autoSpaceDN w:val="0"/>
      <w:ind w:left="720" w:right="332"/>
      <w:jc w:val="right"/>
    </w:pPr>
    <w:rPr>
      <w:rFonts w:hAnsi="Arial"/>
      <w:kern w:val="0"/>
      <w:szCs w:val="20"/>
    </w:rPr>
  </w:style>
  <w:style w:type="paragraph" w:customStyle="1" w:styleId="108">
    <w:name w:val="layout_Position"/>
    <w:basedOn w:val="1"/>
    <w:qFormat/>
    <w:uiPriority w:val="0"/>
    <w:pPr>
      <w:widowControl/>
      <w:jc w:val="left"/>
    </w:pPr>
    <w:rPr>
      <w:rFonts w:ascii="Arial" w:hAnsi="Arial" w:eastAsia="Times New Roman"/>
      <w:kern w:val="0"/>
      <w:sz w:val="22"/>
      <w:szCs w:val="20"/>
      <w:lang w:val="en-GB" w:eastAsia="de-DE"/>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1">
    <w:name w:val="Char1"/>
    <w:basedOn w:val="1"/>
    <w:qFormat/>
    <w:uiPriority w:val="0"/>
    <w:pPr>
      <w:adjustRightInd/>
      <w:spacing w:line="240" w:lineRule="auto"/>
      <w:textAlignment w:val="auto"/>
    </w:pPr>
    <w:rPr>
      <w:szCs w:val="21"/>
    </w:rPr>
  </w:style>
  <w:style w:type="paragraph" w:customStyle="1" w:styleId="112">
    <w:name w:val="Char Char Char Char Char Char Char"/>
    <w:basedOn w:val="1"/>
    <w:qFormat/>
    <w:uiPriority w:val="0"/>
    <w:pPr>
      <w:adjustRightInd/>
      <w:spacing w:line="240" w:lineRule="auto"/>
      <w:textAlignment w:val="auto"/>
    </w:pPr>
  </w:style>
  <w:style w:type="paragraph" w:customStyle="1" w:styleId="113">
    <w:name w:val="表格文字"/>
    <w:qFormat/>
    <w:uiPriority w:val="0"/>
    <w:pPr>
      <w:jc w:val="center"/>
    </w:pPr>
    <w:rPr>
      <w:rFonts w:ascii="Times New Roman" w:hAnsi="Times New Roman" w:eastAsia="宋体" w:cs="Times New Roman"/>
      <w:kern w:val="2"/>
      <w:sz w:val="21"/>
      <w:szCs w:val="21"/>
      <w:lang w:val="en-US" w:eastAsia="zh-CN" w:bidi="ar-SA"/>
    </w:rPr>
  </w:style>
  <w:style w:type="paragraph" w:customStyle="1" w:styleId="114">
    <w:name w:val="字母编号列项（一级）"/>
    <w:qFormat/>
    <w:uiPriority w:val="0"/>
    <w:pPr>
      <w:ind w:left="200" w:leftChars="200" w:hanging="420" w:hangingChars="200"/>
      <w:jc w:val="both"/>
    </w:pPr>
    <w:rPr>
      <w:rFonts w:ascii="宋体" w:hAnsi="Times New Roman" w:eastAsia="宋体" w:cs="Times New Roman"/>
      <w:sz w:val="21"/>
      <w:lang w:val="en-US" w:eastAsia="zh-CN" w:bidi="ar-SA"/>
    </w:rPr>
  </w:style>
  <w:style w:type="paragraph" w:customStyle="1" w:styleId="115">
    <w:name w:val="条文脚注"/>
    <w:basedOn w:val="26"/>
    <w:qFormat/>
    <w:uiPriority w:val="0"/>
    <w:pPr>
      <w:adjustRightInd/>
      <w:spacing w:line="240" w:lineRule="auto"/>
      <w:ind w:left="200" w:leftChars="200" w:hanging="360" w:hangingChars="200"/>
      <w:jc w:val="both"/>
      <w:textAlignment w:val="auto"/>
    </w:pPr>
    <w:rPr>
      <w:rFonts w:ascii="宋体" w:hAnsi="宋体"/>
    </w:rPr>
  </w:style>
  <w:style w:type="paragraph" w:customStyle="1" w:styleId="116">
    <w:name w:val="Char Char Char"/>
    <w:basedOn w:val="1"/>
    <w:qFormat/>
    <w:uiPriority w:val="0"/>
    <w:pPr>
      <w:adjustRightInd/>
      <w:spacing w:line="240" w:lineRule="auto"/>
      <w:textAlignment w:val="auto"/>
    </w:pPr>
    <w:rPr>
      <w:szCs w:val="20"/>
    </w:rPr>
  </w:style>
  <w:style w:type="paragraph" w:customStyle="1" w:styleId="117">
    <w:name w:val="Char Char Char Char Char Char Char1"/>
    <w:basedOn w:val="1"/>
    <w:qFormat/>
    <w:uiPriority w:val="0"/>
  </w:style>
  <w:style w:type="paragraph" w:customStyle="1" w:styleId="11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9">
    <w:name w:val="列项·"/>
    <w:qFormat/>
    <w:uiPriority w:val="0"/>
    <w:pPr>
      <w:numPr>
        <w:ilvl w:val="0"/>
        <w:numId w:val="9"/>
      </w:numPr>
      <w:tabs>
        <w:tab w:val="left" w:pos="840"/>
        <w:tab w:val="left" w:pos="1140"/>
      </w:tabs>
      <w:ind w:left="200" w:leftChars="200" w:hanging="420" w:hangingChars="200"/>
      <w:jc w:val="both"/>
    </w:pPr>
    <w:rPr>
      <w:rFonts w:ascii="宋体" w:hAnsi="Times New Roman" w:eastAsia="宋体" w:cs="Times New Roman"/>
      <w:sz w:val="21"/>
      <w:lang w:val="en-US" w:eastAsia="zh-CN" w:bidi="ar-SA"/>
    </w:rPr>
  </w:style>
  <w:style w:type="paragraph" w:customStyle="1" w:styleId="120">
    <w:name w:val="注×："/>
    <w:qFormat/>
    <w:uiPriority w:val="0"/>
    <w:pPr>
      <w:widowControl w:val="0"/>
      <w:numPr>
        <w:ilvl w:val="0"/>
        <w:numId w:val="10"/>
      </w:numPr>
      <w:tabs>
        <w:tab w:val="left" w:pos="630"/>
        <w:tab w:val="left" w:pos="900"/>
      </w:tabs>
      <w:autoSpaceDE w:val="0"/>
      <w:autoSpaceDN w:val="0"/>
      <w:jc w:val="both"/>
    </w:pPr>
    <w:rPr>
      <w:rFonts w:ascii="宋体" w:hAnsi="Times New Roman" w:eastAsia="宋体" w:cs="Times New Roman"/>
      <w:sz w:val="18"/>
      <w:lang w:val="en-US" w:eastAsia="zh-CN" w:bidi="ar-SA"/>
    </w:rPr>
  </w:style>
  <w:style w:type="paragraph" w:customStyle="1" w:styleId="121">
    <w:name w:val="其他发布部门"/>
    <w:basedOn w:val="80"/>
    <w:qFormat/>
    <w:uiPriority w:val="0"/>
    <w:pPr>
      <w:spacing w:line="0" w:lineRule="atLeast"/>
    </w:pPr>
    <w:rPr>
      <w:rFonts w:ascii="黑体" w:eastAsia="黑体"/>
      <w:b w:val="0"/>
    </w:rPr>
  </w:style>
  <w:style w:type="paragraph" w:customStyle="1" w:styleId="122">
    <w:name w:val="标准称谓"/>
    <w:next w:val="1"/>
    <w:qFormat/>
    <w:uiPriority w:val="0"/>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3">
    <w:name w:val="一级无标题条"/>
    <w:basedOn w:val="1"/>
    <w:qFormat/>
    <w:uiPriority w:val="0"/>
    <w:pPr>
      <w:numPr>
        <w:ilvl w:val="2"/>
        <w:numId w:val="4"/>
      </w:numPr>
      <w:tabs>
        <w:tab w:val="left" w:pos="360"/>
      </w:tabs>
      <w:adjustRightInd/>
      <w:spacing w:line="240" w:lineRule="auto"/>
      <w:textAlignment w:val="auto"/>
    </w:pPr>
  </w:style>
  <w:style w:type="paragraph" w:customStyle="1" w:styleId="124">
    <w:name w:val="数字编号列项（二级）"/>
    <w:qFormat/>
    <w:uiPriority w:val="0"/>
    <w:pPr>
      <w:ind w:left="400" w:leftChars="400" w:hanging="420" w:hangingChars="200"/>
      <w:jc w:val="both"/>
    </w:pPr>
    <w:rPr>
      <w:rFonts w:ascii="宋体" w:hAnsi="Times New Roman" w:eastAsia="宋体" w:cs="Times New Roman"/>
      <w:sz w:val="21"/>
      <w:lang w:val="en-US" w:eastAsia="zh-CN" w:bidi="ar-SA"/>
    </w:rPr>
  </w:style>
  <w:style w:type="paragraph" w:customStyle="1" w:styleId="125">
    <w:name w:val="图表 标题"/>
    <w:basedOn w:val="1"/>
    <w:link w:val="200"/>
    <w:qFormat/>
    <w:uiPriority w:val="0"/>
    <w:pPr>
      <w:autoSpaceDN w:val="0"/>
      <w:adjustRightInd/>
      <w:spacing w:line="360" w:lineRule="auto"/>
      <w:jc w:val="center"/>
      <w:textAlignment w:val="auto"/>
    </w:pPr>
    <w:rPr>
      <w:sz w:val="24"/>
    </w:rPr>
  </w:style>
  <w:style w:type="paragraph" w:customStyle="1" w:styleId="126">
    <w:name w:val="默认段落字体 Para Char Char Char Char Char Char Char Char Char1 Char Char Char Char"/>
    <w:basedOn w:val="1"/>
    <w:qFormat/>
    <w:uiPriority w:val="0"/>
    <w:rPr>
      <w:rFonts w:ascii="Tahoma" w:hAnsi="Tahoma"/>
      <w:sz w:val="24"/>
      <w:szCs w:val="20"/>
    </w:rPr>
  </w:style>
  <w:style w:type="paragraph" w:customStyle="1" w:styleId="12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8">
    <w:name w:val="三级无标题条"/>
    <w:basedOn w:val="1"/>
    <w:qFormat/>
    <w:uiPriority w:val="0"/>
    <w:pPr>
      <w:numPr>
        <w:ilvl w:val="4"/>
        <w:numId w:val="4"/>
      </w:numPr>
      <w:tabs>
        <w:tab w:val="left" w:pos="360"/>
      </w:tabs>
      <w:adjustRightInd/>
      <w:spacing w:line="240" w:lineRule="auto"/>
      <w:textAlignment w:val="auto"/>
    </w:pPr>
  </w:style>
  <w:style w:type="paragraph" w:customStyle="1" w:styleId="129">
    <w:name w:val="Char Char Char Char"/>
    <w:basedOn w:val="1"/>
    <w:qFormat/>
    <w:uiPriority w:val="0"/>
    <w:pPr>
      <w:widowControl/>
      <w:adjustRightInd/>
      <w:spacing w:after="160" w:line="240" w:lineRule="exact"/>
      <w:jc w:val="left"/>
      <w:textAlignment w:val="auto"/>
    </w:pPr>
  </w:style>
  <w:style w:type="paragraph" w:customStyle="1" w:styleId="130">
    <w:name w:val="标准标志"/>
    <w:next w:val="1"/>
    <w:qFormat/>
    <w:uiPriority w:val="0"/>
    <w:pPr>
      <w:framePr w:w="2268" w:h="1392"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31">
    <w:name w:val="Default"/>
    <w:qFormat/>
    <w:uiPriority w:val="0"/>
    <w:pPr>
      <w:widowControl w:val="0"/>
      <w:autoSpaceDE w:val="0"/>
      <w:autoSpaceDN w:val="0"/>
      <w:adjustRightInd w:val="0"/>
      <w:spacing w:line="360" w:lineRule="exact"/>
      <w:jc w:val="center"/>
    </w:pPr>
    <w:rPr>
      <w:rFonts w:ascii="宋体" w:hAnsi="宋体" w:eastAsia="宋体" w:cs="宋体"/>
      <w:color w:val="000000"/>
      <w:sz w:val="24"/>
      <w:szCs w:val="24"/>
      <w:lang w:val="en-US" w:eastAsia="zh-CN" w:bidi="ar-SA"/>
    </w:rPr>
  </w:style>
  <w:style w:type="paragraph" w:customStyle="1" w:styleId="132">
    <w:name w:val="Char Char Char Char Char Char Char Char Char Char Char Char1"/>
    <w:basedOn w:val="1"/>
    <w:qFormat/>
    <w:uiPriority w:val="0"/>
    <w:pPr>
      <w:widowControl/>
      <w:adjustRightInd/>
      <w:spacing w:after="160" w:line="240" w:lineRule="exact"/>
      <w:jc w:val="left"/>
      <w:textAlignment w:val="auto"/>
    </w:pPr>
  </w:style>
  <w:style w:type="paragraph" w:customStyle="1" w:styleId="133">
    <w:name w:val="列出段落1"/>
    <w:basedOn w:val="1"/>
    <w:qFormat/>
    <w:uiPriority w:val="0"/>
    <w:pPr>
      <w:ind w:firstLine="420" w:firstLineChars="200"/>
    </w:pPr>
    <w:rPr>
      <w:rFonts w:ascii="Calibri" w:hAnsi="Calibri"/>
      <w:szCs w:val="22"/>
    </w:rPr>
  </w:style>
  <w:style w:type="character" w:customStyle="1" w:styleId="134">
    <w:name w:val="Font Style71"/>
    <w:qFormat/>
    <w:uiPriority w:val="0"/>
    <w:rPr>
      <w:rFonts w:ascii="宋体" w:eastAsia="宋体" w:cs="宋体"/>
      <w:b/>
      <w:bCs/>
      <w:spacing w:val="20"/>
      <w:sz w:val="28"/>
      <w:szCs w:val="28"/>
    </w:rPr>
  </w:style>
  <w:style w:type="character" w:customStyle="1" w:styleId="135">
    <w:name w:val="批注文字 Char2"/>
    <w:basedOn w:val="35"/>
    <w:semiHidden/>
    <w:qFormat/>
    <w:uiPriority w:val="0"/>
    <w:rPr>
      <w:kern w:val="2"/>
      <w:sz w:val="21"/>
      <w:szCs w:val="24"/>
    </w:rPr>
  </w:style>
  <w:style w:type="character" w:customStyle="1" w:styleId="136">
    <w:name w:val="纯文本 Char2"/>
    <w:basedOn w:val="35"/>
    <w:qFormat/>
    <w:uiPriority w:val="0"/>
    <w:rPr>
      <w:rFonts w:ascii="宋体" w:hAnsi="Courier New" w:cs="Courier New"/>
      <w:kern w:val="2"/>
      <w:sz w:val="21"/>
      <w:szCs w:val="21"/>
    </w:rPr>
  </w:style>
  <w:style w:type="character" w:customStyle="1" w:styleId="137">
    <w:name w:val="标题 2 字符"/>
    <w:link w:val="2"/>
    <w:qFormat/>
    <w:uiPriority w:val="0"/>
    <w:rPr>
      <w:rFonts w:ascii="Arial" w:hAnsi="Arial" w:eastAsia="黑体"/>
      <w:b/>
      <w:bCs/>
      <w:kern w:val="2"/>
      <w:sz w:val="32"/>
      <w:szCs w:val="32"/>
      <w:lang w:val="en-US" w:eastAsia="zh-CN" w:bidi="ar-SA"/>
    </w:rPr>
  </w:style>
  <w:style w:type="character" w:customStyle="1" w:styleId="138">
    <w:name w:val="发布"/>
    <w:basedOn w:val="35"/>
    <w:qFormat/>
    <w:uiPriority w:val="0"/>
    <w:rPr>
      <w:rFonts w:hint="eastAsia" w:ascii="黑体" w:hAnsi="黑体" w:eastAsia="黑体"/>
      <w:spacing w:val="22"/>
      <w:w w:val="100"/>
      <w:position w:val="3"/>
      <w:sz w:val="28"/>
    </w:rPr>
  </w:style>
  <w:style w:type="character" w:customStyle="1" w:styleId="139">
    <w:name w:val="纯文本 Char1"/>
    <w:qFormat/>
    <w:uiPriority w:val="0"/>
    <w:rPr>
      <w:rFonts w:ascii="宋体" w:hAnsi="Courier New" w:eastAsia="宋体"/>
      <w:kern w:val="2"/>
      <w:sz w:val="21"/>
      <w:lang w:val="en-US" w:eastAsia="zh-CN" w:bidi="ar-SA"/>
    </w:rPr>
  </w:style>
  <w:style w:type="character" w:customStyle="1" w:styleId="140">
    <w:name w:val="HTML 地址 Char1"/>
    <w:basedOn w:val="35"/>
    <w:semiHidden/>
    <w:qFormat/>
    <w:uiPriority w:val="99"/>
    <w:rPr>
      <w:i/>
      <w:iCs/>
      <w:kern w:val="2"/>
      <w:sz w:val="21"/>
      <w:szCs w:val="24"/>
    </w:rPr>
  </w:style>
  <w:style w:type="character" w:customStyle="1" w:styleId="141">
    <w:name w:val="批注框文本 字符"/>
    <w:basedOn w:val="35"/>
    <w:link w:val="21"/>
    <w:qFormat/>
    <w:locked/>
    <w:uiPriority w:val="0"/>
    <w:rPr>
      <w:kern w:val="2"/>
      <w:sz w:val="18"/>
      <w:szCs w:val="18"/>
    </w:rPr>
  </w:style>
  <w:style w:type="character" w:customStyle="1" w:styleId="142">
    <w:name w:val="Char Char2"/>
    <w:basedOn w:val="35"/>
    <w:qFormat/>
    <w:locked/>
    <w:uiPriority w:val="0"/>
    <w:rPr>
      <w:rFonts w:ascii="Courier New" w:hAnsi="Courier New" w:eastAsia="宋体" w:cs="Courier New"/>
      <w:kern w:val="2"/>
      <w:lang w:val="en-US" w:eastAsia="zh-CN" w:bidi="ar-SA"/>
    </w:rPr>
  </w:style>
  <w:style w:type="character" w:customStyle="1" w:styleId="143">
    <w:name w:val="批注主题 Char1"/>
    <w:basedOn w:val="135"/>
    <w:semiHidden/>
    <w:qFormat/>
    <w:uiPriority w:val="99"/>
    <w:rPr>
      <w:b/>
      <w:bCs/>
      <w:kern w:val="2"/>
      <w:sz w:val="21"/>
      <w:szCs w:val="24"/>
    </w:rPr>
  </w:style>
  <w:style w:type="character" w:customStyle="1" w:styleId="144">
    <w:name w:val="Char Char11"/>
    <w:basedOn w:val="35"/>
    <w:qFormat/>
    <w:locked/>
    <w:uiPriority w:val="0"/>
    <w:rPr>
      <w:rFonts w:ascii="宋体" w:hAnsi="宋体" w:eastAsia="宋体"/>
      <w:kern w:val="2"/>
      <w:sz w:val="21"/>
      <w:szCs w:val="24"/>
      <w:lang w:val="en-US" w:eastAsia="zh-CN" w:bidi="ar-SA"/>
    </w:rPr>
  </w:style>
  <w:style w:type="character" w:customStyle="1" w:styleId="145">
    <w:name w:val="批注文字 字符"/>
    <w:link w:val="12"/>
    <w:qFormat/>
    <w:uiPriority w:val="0"/>
    <w:rPr>
      <w:kern w:val="2"/>
      <w:sz w:val="21"/>
      <w:szCs w:val="24"/>
    </w:rPr>
  </w:style>
  <w:style w:type="character" w:customStyle="1" w:styleId="146">
    <w:name w:val="页脚 Char1"/>
    <w:basedOn w:val="35"/>
    <w:semiHidden/>
    <w:qFormat/>
    <w:uiPriority w:val="99"/>
    <w:rPr>
      <w:kern w:val="2"/>
      <w:sz w:val="18"/>
      <w:szCs w:val="18"/>
    </w:rPr>
  </w:style>
  <w:style w:type="character" w:customStyle="1" w:styleId="147">
    <w:name w:val="正文文本 Char1"/>
    <w:basedOn w:val="35"/>
    <w:semiHidden/>
    <w:qFormat/>
    <w:uiPriority w:val="99"/>
    <w:rPr>
      <w:kern w:val="2"/>
      <w:sz w:val="21"/>
      <w:szCs w:val="24"/>
    </w:rPr>
  </w:style>
  <w:style w:type="character" w:customStyle="1" w:styleId="148">
    <w:name w:val="Char Char20"/>
    <w:basedOn w:val="35"/>
    <w:qFormat/>
    <w:locked/>
    <w:uiPriority w:val="0"/>
    <w:rPr>
      <w:rFonts w:ascii="Arial" w:hAnsi="Arial" w:eastAsia="黑体"/>
      <w:b/>
      <w:bCs/>
      <w:kern w:val="2"/>
      <w:sz w:val="32"/>
      <w:szCs w:val="32"/>
      <w:lang w:val="en-US" w:eastAsia="zh-CN" w:bidi="ar-SA"/>
    </w:rPr>
  </w:style>
  <w:style w:type="character" w:customStyle="1" w:styleId="149">
    <w:name w:val="Char Char8"/>
    <w:qFormat/>
    <w:locked/>
    <w:uiPriority w:val="0"/>
    <w:rPr>
      <w:rFonts w:ascii="宋体" w:hAnsi="Courier New" w:eastAsia="宋体"/>
      <w:spacing w:val="-4"/>
      <w:kern w:val="2"/>
      <w:sz w:val="18"/>
      <w:lang w:val="en-US" w:eastAsia="zh-CN" w:bidi="ar-SA"/>
    </w:rPr>
  </w:style>
  <w:style w:type="character" w:customStyle="1" w:styleId="150">
    <w:name w:val="fo Char"/>
    <w:qFormat/>
    <w:uiPriority w:val="0"/>
    <w:rPr>
      <w:sz w:val="18"/>
      <w:szCs w:val="18"/>
    </w:rPr>
  </w:style>
  <w:style w:type="character" w:customStyle="1" w:styleId="151">
    <w:name w:val="Char Char19"/>
    <w:basedOn w:val="35"/>
    <w:qFormat/>
    <w:locked/>
    <w:uiPriority w:val="0"/>
    <w:rPr>
      <w:rFonts w:eastAsia="宋体"/>
      <w:b/>
      <w:bCs/>
      <w:kern w:val="2"/>
      <w:sz w:val="32"/>
      <w:szCs w:val="32"/>
      <w:lang w:val="en-US" w:eastAsia="zh-CN" w:bidi="ar-SA"/>
    </w:rPr>
  </w:style>
  <w:style w:type="character" w:customStyle="1" w:styleId="152">
    <w:name w:val="正文文本 3 字符"/>
    <w:link w:val="13"/>
    <w:qFormat/>
    <w:uiPriority w:val="0"/>
    <w:rPr>
      <w:rFonts w:eastAsia="仿宋_GB2312"/>
      <w:sz w:val="28"/>
      <w:lang w:bidi="ar-SA"/>
    </w:rPr>
  </w:style>
  <w:style w:type="character" w:customStyle="1" w:styleId="153">
    <w:name w:val="HTML 预设格式 Char1"/>
    <w:basedOn w:val="35"/>
    <w:semiHidden/>
    <w:qFormat/>
    <w:uiPriority w:val="99"/>
    <w:rPr>
      <w:rFonts w:ascii="Courier New" w:hAnsi="Courier New" w:cs="Courier New"/>
      <w:kern w:val="2"/>
    </w:rPr>
  </w:style>
  <w:style w:type="character" w:customStyle="1" w:styleId="154">
    <w:name w:val="副标题 字符"/>
    <w:link w:val="25"/>
    <w:qFormat/>
    <w:uiPriority w:val="0"/>
    <w:rPr>
      <w:rFonts w:ascii="Cambria" w:hAnsi="Cambria" w:eastAsia="宋体"/>
      <w:b/>
      <w:bCs/>
      <w:kern w:val="28"/>
      <w:sz w:val="32"/>
      <w:szCs w:val="32"/>
      <w:lang w:val="en-US" w:eastAsia="zh-CN" w:bidi="ar-SA"/>
    </w:rPr>
  </w:style>
  <w:style w:type="character" w:customStyle="1" w:styleId="155">
    <w:name w:val="页眉 Char1"/>
    <w:basedOn w:val="35"/>
    <w:semiHidden/>
    <w:qFormat/>
    <w:uiPriority w:val="99"/>
    <w:rPr>
      <w:kern w:val="2"/>
      <w:sz w:val="18"/>
      <w:szCs w:val="18"/>
    </w:rPr>
  </w:style>
  <w:style w:type="character" w:customStyle="1" w:styleId="156">
    <w:name w:val="标题 9 字符"/>
    <w:basedOn w:val="35"/>
    <w:link w:val="10"/>
    <w:qFormat/>
    <w:uiPriority w:val="0"/>
    <w:rPr>
      <w:rFonts w:ascii="Arial" w:hAnsi="Arial" w:eastAsia="黑体"/>
      <w:kern w:val="2"/>
      <w:sz w:val="21"/>
      <w:szCs w:val="21"/>
    </w:rPr>
  </w:style>
  <w:style w:type="character" w:customStyle="1" w:styleId="157">
    <w:name w:val="标题 5 字符"/>
    <w:link w:val="6"/>
    <w:qFormat/>
    <w:uiPriority w:val="0"/>
    <w:rPr>
      <w:rFonts w:eastAsia="宋体"/>
      <w:b/>
      <w:bCs/>
      <w:kern w:val="2"/>
      <w:sz w:val="28"/>
      <w:szCs w:val="28"/>
      <w:lang w:val="en-US" w:eastAsia="zh-CN" w:bidi="ar-SA"/>
    </w:rPr>
  </w:style>
  <w:style w:type="character" w:customStyle="1" w:styleId="158">
    <w:name w:val="标题 6 字符"/>
    <w:basedOn w:val="35"/>
    <w:link w:val="7"/>
    <w:qFormat/>
    <w:uiPriority w:val="0"/>
    <w:rPr>
      <w:rFonts w:ascii="Arial" w:hAnsi="Arial" w:eastAsia="黑体"/>
      <w:b/>
      <w:bCs/>
      <w:kern w:val="2"/>
      <w:sz w:val="24"/>
      <w:szCs w:val="24"/>
    </w:rPr>
  </w:style>
  <w:style w:type="character" w:customStyle="1" w:styleId="159">
    <w:name w:val="正文文本 字符"/>
    <w:link w:val="14"/>
    <w:qFormat/>
    <w:uiPriority w:val="0"/>
    <w:rPr>
      <w:rFonts w:ascii="金山简黑体" w:hAnsi="Courier New" w:eastAsia="金山简黑体"/>
      <w:b/>
      <w:spacing w:val="-8"/>
      <w:sz w:val="44"/>
      <w:lang w:bidi="ar-SA"/>
    </w:rPr>
  </w:style>
  <w:style w:type="character" w:customStyle="1" w:styleId="160">
    <w:name w:val="标题1"/>
    <w:basedOn w:val="35"/>
    <w:qFormat/>
    <w:uiPriority w:val="0"/>
  </w:style>
  <w:style w:type="character" w:customStyle="1" w:styleId="161">
    <w:name w:val="日期 字符"/>
    <w:link w:val="19"/>
    <w:qFormat/>
    <w:uiPriority w:val="0"/>
    <w:rPr>
      <w:rFonts w:eastAsia="宋体"/>
      <w:kern w:val="2"/>
      <w:sz w:val="21"/>
      <w:szCs w:val="24"/>
      <w:lang w:val="en-US" w:eastAsia="zh-CN" w:bidi="ar-SA"/>
    </w:rPr>
  </w:style>
  <w:style w:type="character" w:customStyle="1" w:styleId="162">
    <w:name w:val="Font Style73"/>
    <w:qFormat/>
    <w:uiPriority w:val="0"/>
    <w:rPr>
      <w:rFonts w:ascii="宋体" w:eastAsia="宋体" w:cs="宋体"/>
      <w:b/>
      <w:bCs/>
      <w:spacing w:val="10"/>
      <w:sz w:val="28"/>
      <w:szCs w:val="28"/>
    </w:rPr>
  </w:style>
  <w:style w:type="character" w:customStyle="1" w:styleId="163">
    <w:name w:val="批注框文本 Char1"/>
    <w:basedOn w:val="35"/>
    <w:semiHidden/>
    <w:qFormat/>
    <w:uiPriority w:val="99"/>
    <w:rPr>
      <w:kern w:val="2"/>
      <w:sz w:val="18"/>
      <w:szCs w:val="18"/>
    </w:rPr>
  </w:style>
  <w:style w:type="character" w:customStyle="1" w:styleId="164">
    <w:name w:val="日期 Char1"/>
    <w:basedOn w:val="35"/>
    <w:semiHidden/>
    <w:qFormat/>
    <w:uiPriority w:val="99"/>
    <w:rPr>
      <w:kern w:val="2"/>
      <w:sz w:val="21"/>
      <w:szCs w:val="24"/>
    </w:rPr>
  </w:style>
  <w:style w:type="character" w:customStyle="1" w:styleId="165">
    <w:name w:val="Char Char17"/>
    <w:basedOn w:val="35"/>
    <w:qFormat/>
    <w:locked/>
    <w:uiPriority w:val="0"/>
    <w:rPr>
      <w:rFonts w:eastAsia="宋体"/>
      <w:b/>
      <w:bCs/>
      <w:kern w:val="2"/>
      <w:sz w:val="28"/>
      <w:szCs w:val="28"/>
      <w:lang w:val="en-US" w:eastAsia="zh-CN" w:bidi="ar-SA"/>
    </w:rPr>
  </w:style>
  <w:style w:type="character" w:customStyle="1" w:styleId="166">
    <w:name w:val="正文文本 2 Char1"/>
    <w:basedOn w:val="35"/>
    <w:semiHidden/>
    <w:qFormat/>
    <w:uiPriority w:val="99"/>
    <w:rPr>
      <w:kern w:val="2"/>
      <w:sz w:val="21"/>
      <w:szCs w:val="24"/>
    </w:rPr>
  </w:style>
  <w:style w:type="character" w:customStyle="1" w:styleId="167">
    <w:name w:val="正文文本 3 Char1"/>
    <w:basedOn w:val="35"/>
    <w:semiHidden/>
    <w:qFormat/>
    <w:uiPriority w:val="99"/>
    <w:rPr>
      <w:kern w:val="2"/>
      <w:sz w:val="16"/>
      <w:szCs w:val="16"/>
    </w:rPr>
  </w:style>
  <w:style w:type="character" w:customStyle="1" w:styleId="168">
    <w:name w:val="apple-style-span"/>
    <w:basedOn w:val="35"/>
    <w:qFormat/>
    <w:uiPriority w:val="0"/>
  </w:style>
  <w:style w:type="character" w:customStyle="1" w:styleId="169">
    <w:name w:val="正文文本缩进 Char1"/>
    <w:basedOn w:val="35"/>
    <w:semiHidden/>
    <w:qFormat/>
    <w:uiPriority w:val="99"/>
    <w:rPr>
      <w:kern w:val="2"/>
      <w:sz w:val="21"/>
      <w:szCs w:val="24"/>
    </w:rPr>
  </w:style>
  <w:style w:type="character" w:customStyle="1" w:styleId="170">
    <w:name w:val="文档结构图 字符"/>
    <w:basedOn w:val="35"/>
    <w:link w:val="11"/>
    <w:semiHidden/>
    <w:qFormat/>
    <w:locked/>
    <w:uiPriority w:val="0"/>
    <w:rPr>
      <w:kern w:val="2"/>
      <w:sz w:val="21"/>
      <w:szCs w:val="24"/>
      <w:shd w:val="clear" w:color="auto" w:fill="000080"/>
    </w:rPr>
  </w:style>
  <w:style w:type="character" w:customStyle="1" w:styleId="171">
    <w:name w:val="普通文字 Char Char1"/>
    <w:qFormat/>
    <w:uiPriority w:val="0"/>
    <w:rPr>
      <w:rFonts w:ascii="宋体" w:hAnsi="Courier New" w:eastAsia="宋体"/>
      <w:kern w:val="2"/>
      <w:sz w:val="21"/>
      <w:lang w:val="en-US" w:eastAsia="zh-CN" w:bidi="ar-SA"/>
    </w:rPr>
  </w:style>
  <w:style w:type="character" w:customStyle="1" w:styleId="172">
    <w:name w:val="页脚 字符"/>
    <w:link w:val="22"/>
    <w:qFormat/>
    <w:uiPriority w:val="99"/>
    <w:rPr>
      <w:rFonts w:eastAsia="宋体"/>
      <w:kern w:val="2"/>
      <w:sz w:val="18"/>
      <w:szCs w:val="18"/>
      <w:lang w:val="en-US" w:eastAsia="zh-CN" w:bidi="ar-SA"/>
    </w:rPr>
  </w:style>
  <w:style w:type="character" w:customStyle="1" w:styleId="173">
    <w:name w:val="Char Char18"/>
    <w:basedOn w:val="35"/>
    <w:qFormat/>
    <w:locked/>
    <w:uiPriority w:val="0"/>
    <w:rPr>
      <w:rFonts w:ascii="Arial" w:eastAsia="黑体"/>
      <w:sz w:val="28"/>
      <w:lang w:val="en-US" w:eastAsia="zh-CN" w:bidi="ar-SA"/>
    </w:rPr>
  </w:style>
  <w:style w:type="character" w:customStyle="1" w:styleId="174">
    <w:name w:val="HTML 预设格式 字符"/>
    <w:link w:val="29"/>
    <w:qFormat/>
    <w:uiPriority w:val="0"/>
    <w:rPr>
      <w:rFonts w:ascii="宋体" w:hAnsi="宋体" w:eastAsia="宋体"/>
      <w:sz w:val="24"/>
      <w:szCs w:val="24"/>
      <w:lang w:bidi="ar-SA"/>
    </w:rPr>
  </w:style>
  <w:style w:type="character" w:customStyle="1" w:styleId="175">
    <w:name w:val="标题 8 字符"/>
    <w:basedOn w:val="35"/>
    <w:link w:val="9"/>
    <w:qFormat/>
    <w:uiPriority w:val="0"/>
    <w:rPr>
      <w:rFonts w:ascii="Arial" w:hAnsi="Arial" w:eastAsia="黑体"/>
      <w:kern w:val="2"/>
      <w:sz w:val="24"/>
      <w:szCs w:val="24"/>
    </w:rPr>
  </w:style>
  <w:style w:type="character" w:customStyle="1" w:styleId="176">
    <w:name w:val="标题 Char1"/>
    <w:basedOn w:val="35"/>
    <w:qFormat/>
    <w:uiPriority w:val="10"/>
    <w:rPr>
      <w:rFonts w:ascii="Cambria" w:hAnsi="Cambria" w:cs="Times New Roman"/>
      <w:b/>
      <w:bCs/>
      <w:kern w:val="2"/>
      <w:sz w:val="32"/>
      <w:szCs w:val="32"/>
    </w:rPr>
  </w:style>
  <w:style w:type="character" w:customStyle="1" w:styleId="177">
    <w:name w:val="Char Char12"/>
    <w:basedOn w:val="35"/>
    <w:qFormat/>
    <w:locked/>
    <w:uiPriority w:val="0"/>
    <w:rPr>
      <w:rFonts w:ascii="宋体" w:hAnsi="宋体" w:eastAsia="宋体"/>
      <w:kern w:val="2"/>
      <w:sz w:val="18"/>
      <w:szCs w:val="18"/>
      <w:lang w:val="en-US" w:eastAsia="zh-CN" w:bidi="ar-SA"/>
    </w:rPr>
  </w:style>
  <w:style w:type="character" w:customStyle="1" w:styleId="178">
    <w:name w:val="正文文本缩进 2 Char1"/>
    <w:basedOn w:val="35"/>
    <w:semiHidden/>
    <w:qFormat/>
    <w:uiPriority w:val="99"/>
    <w:rPr>
      <w:kern w:val="2"/>
      <w:sz w:val="21"/>
      <w:szCs w:val="24"/>
    </w:rPr>
  </w:style>
  <w:style w:type="character" w:customStyle="1" w:styleId="179">
    <w:name w:val="批注主题 字符"/>
    <w:basedOn w:val="145"/>
    <w:link w:val="32"/>
    <w:qFormat/>
    <w:uiPriority w:val="0"/>
    <w:rPr>
      <w:kern w:val="2"/>
      <w:sz w:val="21"/>
      <w:szCs w:val="24"/>
    </w:rPr>
  </w:style>
  <w:style w:type="character" w:customStyle="1" w:styleId="180">
    <w:name w:val="Char Char6"/>
    <w:basedOn w:val="35"/>
    <w:qFormat/>
    <w:locked/>
    <w:uiPriority w:val="0"/>
    <w:rPr>
      <w:rFonts w:ascii="宋体" w:hAnsi="宋体" w:eastAsia="宋体"/>
      <w:kern w:val="2"/>
      <w:sz w:val="18"/>
      <w:szCs w:val="18"/>
      <w:lang w:val="en-US" w:eastAsia="zh-CN" w:bidi="ar-SA"/>
    </w:rPr>
  </w:style>
  <w:style w:type="character" w:customStyle="1" w:styleId="181">
    <w:name w:val="h Char"/>
    <w:qFormat/>
    <w:uiPriority w:val="0"/>
    <w:rPr>
      <w:rFonts w:ascii="Times New Roman" w:hAnsi="Times New Roman"/>
      <w:kern w:val="2"/>
      <w:sz w:val="18"/>
      <w:szCs w:val="18"/>
    </w:rPr>
  </w:style>
  <w:style w:type="character" w:customStyle="1" w:styleId="182">
    <w:name w:val="Char Char21"/>
    <w:basedOn w:val="35"/>
    <w:qFormat/>
    <w:locked/>
    <w:uiPriority w:val="0"/>
    <w:rPr>
      <w:rFonts w:eastAsia="宋体"/>
      <w:b/>
      <w:bCs/>
      <w:kern w:val="44"/>
      <w:sz w:val="44"/>
      <w:szCs w:val="44"/>
      <w:lang w:val="en-US" w:eastAsia="zh-CN" w:bidi="ar-SA"/>
    </w:rPr>
  </w:style>
  <w:style w:type="character" w:customStyle="1" w:styleId="183">
    <w:name w:val="正文文本缩进 2 字符"/>
    <w:link w:val="20"/>
    <w:qFormat/>
    <w:uiPriority w:val="0"/>
    <w:rPr>
      <w:rFonts w:eastAsia="宋体"/>
      <w:kern w:val="2"/>
      <w:sz w:val="21"/>
      <w:szCs w:val="24"/>
      <w:lang w:val="en-US" w:eastAsia="zh-CN" w:bidi="ar-SA"/>
    </w:rPr>
  </w:style>
  <w:style w:type="character" w:customStyle="1" w:styleId="184">
    <w:name w:val="标题 4 字符"/>
    <w:link w:val="5"/>
    <w:qFormat/>
    <w:uiPriority w:val="0"/>
    <w:rPr>
      <w:rFonts w:ascii="Arial" w:eastAsia="黑体"/>
      <w:sz w:val="28"/>
      <w:lang w:val="en-US" w:eastAsia="zh-CN" w:bidi="ar-SA"/>
    </w:rPr>
  </w:style>
  <w:style w:type="character" w:customStyle="1" w:styleId="185">
    <w:name w:val="HTML 地址 字符"/>
    <w:basedOn w:val="35"/>
    <w:link w:val="17"/>
    <w:qFormat/>
    <w:locked/>
    <w:uiPriority w:val="0"/>
    <w:rPr>
      <w:rFonts w:ascii="宋体" w:hAnsi="宋体"/>
      <w:i/>
      <w:iCs/>
      <w:kern w:val="2"/>
      <w:sz w:val="21"/>
      <w:szCs w:val="24"/>
    </w:rPr>
  </w:style>
  <w:style w:type="character" w:customStyle="1" w:styleId="186">
    <w:name w:val="脚注文本 Char1"/>
    <w:basedOn w:val="35"/>
    <w:semiHidden/>
    <w:qFormat/>
    <w:uiPriority w:val="99"/>
    <w:rPr>
      <w:kern w:val="2"/>
      <w:sz w:val="18"/>
      <w:szCs w:val="18"/>
    </w:rPr>
  </w:style>
  <w:style w:type="character" w:customStyle="1" w:styleId="187">
    <w:name w:val="Char Char7"/>
    <w:basedOn w:val="35"/>
    <w:qFormat/>
    <w:locked/>
    <w:uiPriority w:val="0"/>
    <w:rPr>
      <w:rFonts w:ascii="宋体" w:hAnsi="宋体" w:eastAsia="宋体"/>
      <w:kern w:val="2"/>
      <w:sz w:val="21"/>
      <w:szCs w:val="24"/>
      <w:lang w:val="en-US" w:eastAsia="zh-CN" w:bidi="ar-SA"/>
    </w:rPr>
  </w:style>
  <w:style w:type="character" w:customStyle="1" w:styleId="188">
    <w:name w:val="textcontents"/>
    <w:basedOn w:val="35"/>
    <w:qFormat/>
    <w:uiPriority w:val="0"/>
  </w:style>
  <w:style w:type="character" w:customStyle="1" w:styleId="189">
    <w:name w:val="Char Char10"/>
    <w:basedOn w:val="35"/>
    <w:qFormat/>
    <w:locked/>
    <w:uiPriority w:val="0"/>
    <w:rPr>
      <w:rFonts w:ascii="宋体" w:hAnsi="宋体" w:eastAsia="宋体"/>
      <w:kern w:val="2"/>
      <w:sz w:val="21"/>
      <w:szCs w:val="24"/>
      <w:lang w:val="en-US" w:eastAsia="zh-CN" w:bidi="ar-SA"/>
    </w:rPr>
  </w:style>
  <w:style w:type="character" w:customStyle="1" w:styleId="190">
    <w:name w:val="标题 字符"/>
    <w:basedOn w:val="35"/>
    <w:link w:val="31"/>
    <w:qFormat/>
    <w:locked/>
    <w:uiPriority w:val="0"/>
    <w:rPr>
      <w:rFonts w:ascii="Arial" w:hAnsi="Arial" w:cs="Arial"/>
      <w:b/>
      <w:bCs/>
      <w:kern w:val="2"/>
      <w:sz w:val="32"/>
      <w:szCs w:val="32"/>
    </w:rPr>
  </w:style>
  <w:style w:type="character" w:customStyle="1" w:styleId="191">
    <w:name w:val="脚注文本 字符"/>
    <w:basedOn w:val="35"/>
    <w:link w:val="26"/>
    <w:semiHidden/>
    <w:qFormat/>
    <w:locked/>
    <w:uiPriority w:val="0"/>
    <w:rPr>
      <w:kern w:val="2"/>
      <w:sz w:val="18"/>
      <w:szCs w:val="18"/>
    </w:rPr>
  </w:style>
  <w:style w:type="character" w:customStyle="1" w:styleId="192">
    <w:name w:val="文档结构图 Char1"/>
    <w:basedOn w:val="35"/>
    <w:semiHidden/>
    <w:qFormat/>
    <w:uiPriority w:val="99"/>
    <w:rPr>
      <w:rFonts w:ascii="宋体"/>
      <w:kern w:val="2"/>
      <w:sz w:val="18"/>
      <w:szCs w:val="18"/>
    </w:rPr>
  </w:style>
  <w:style w:type="character" w:customStyle="1" w:styleId="193">
    <w:name w:val="正文文本 2 字符"/>
    <w:link w:val="28"/>
    <w:qFormat/>
    <w:uiPriority w:val="0"/>
    <w:rPr>
      <w:rFonts w:hAnsi="宋体" w:eastAsia="宋体"/>
      <w:szCs w:val="24"/>
      <w:lang w:bidi="ar-SA"/>
    </w:rPr>
  </w:style>
  <w:style w:type="character" w:customStyle="1" w:styleId="194">
    <w:name w:val="副标题 Char1"/>
    <w:basedOn w:val="35"/>
    <w:qFormat/>
    <w:uiPriority w:val="11"/>
    <w:rPr>
      <w:rFonts w:ascii="Cambria" w:hAnsi="Cambria" w:cs="Times New Roman"/>
      <w:b/>
      <w:bCs/>
      <w:kern w:val="28"/>
      <w:sz w:val="32"/>
      <w:szCs w:val="32"/>
    </w:rPr>
  </w:style>
  <w:style w:type="character" w:customStyle="1" w:styleId="195">
    <w:name w:val="标题 7 字符"/>
    <w:basedOn w:val="35"/>
    <w:link w:val="8"/>
    <w:qFormat/>
    <w:uiPriority w:val="0"/>
    <w:rPr>
      <w:b/>
      <w:bCs/>
      <w:kern w:val="2"/>
      <w:sz w:val="24"/>
      <w:szCs w:val="24"/>
    </w:rPr>
  </w:style>
  <w:style w:type="character" w:customStyle="1" w:styleId="196">
    <w:name w:val="op-map-singlepoint-info-right"/>
    <w:basedOn w:val="35"/>
    <w:qFormat/>
    <w:uiPriority w:val="0"/>
  </w:style>
  <w:style w:type="character" w:customStyle="1" w:styleId="197">
    <w:name w:val="纯文本 字符"/>
    <w:link w:val="18"/>
    <w:qFormat/>
    <w:uiPriority w:val="0"/>
    <w:rPr>
      <w:rFonts w:ascii="宋体" w:hAnsi="Courier New" w:eastAsia="宋体"/>
      <w:kern w:val="2"/>
      <w:sz w:val="21"/>
      <w:lang w:val="en-US" w:eastAsia="zh-CN" w:bidi="ar-SA"/>
    </w:rPr>
  </w:style>
  <w:style w:type="character" w:customStyle="1" w:styleId="198">
    <w:name w:val="页眉 字符"/>
    <w:link w:val="23"/>
    <w:qFormat/>
    <w:uiPriority w:val="99"/>
    <w:rPr>
      <w:rFonts w:eastAsia="宋体"/>
      <w:kern w:val="2"/>
      <w:sz w:val="18"/>
      <w:szCs w:val="18"/>
      <w:lang w:val="en-US" w:eastAsia="zh-CN" w:bidi="ar-SA"/>
    </w:rPr>
  </w:style>
  <w:style w:type="character" w:customStyle="1" w:styleId="199">
    <w:name w:val="批注文字 Char1"/>
    <w:semiHidden/>
    <w:qFormat/>
    <w:locked/>
    <w:uiPriority w:val="0"/>
    <w:rPr>
      <w:kern w:val="2"/>
      <w:sz w:val="21"/>
      <w:szCs w:val="24"/>
    </w:rPr>
  </w:style>
  <w:style w:type="character" w:customStyle="1" w:styleId="200">
    <w:name w:val="图表 标题 Char"/>
    <w:link w:val="125"/>
    <w:qFormat/>
    <w:uiPriority w:val="0"/>
    <w:rPr>
      <w:rFonts w:eastAsia="宋体"/>
      <w:kern w:val="2"/>
      <w:sz w:val="24"/>
      <w:szCs w:val="24"/>
      <w:lang w:val="en-US" w:eastAsia="zh-CN" w:bidi="ar-SA"/>
    </w:rPr>
  </w:style>
  <w:style w:type="character" w:customStyle="1" w:styleId="201">
    <w:name w:val="正文文本缩进 字符"/>
    <w:link w:val="15"/>
    <w:qFormat/>
    <w:locked/>
    <w:uiPriority w:val="0"/>
    <w:rPr>
      <w:rFonts w:ascii="宋体" w:hAnsi="Courier New"/>
      <w:spacing w:val="-4"/>
      <w:kern w:val="2"/>
      <w:sz w:val="18"/>
    </w:rPr>
  </w:style>
  <w:style w:type="paragraph" w:customStyle="1" w:styleId="202">
    <w:name w:val="修订1"/>
    <w:hidden/>
    <w:unhideWhenUsed/>
    <w:qFormat/>
    <w:uiPriority w:val="99"/>
    <w:rPr>
      <w:rFonts w:ascii="Times New Roman" w:hAnsi="Times New Roman" w:eastAsia="宋体" w:cs="Times New Roman"/>
      <w:kern w:val="2"/>
      <w:sz w:val="21"/>
      <w:szCs w:val="24"/>
      <w:lang w:val="en-US" w:eastAsia="zh-CN" w:bidi="ar-SA"/>
    </w:rPr>
  </w:style>
  <w:style w:type="paragraph" w:styleId="203">
    <w:name w:val="List Paragraph"/>
    <w:basedOn w:val="1"/>
    <w:unhideWhenUsed/>
    <w:qFormat/>
    <w:uiPriority w:val="99"/>
    <w:pPr>
      <w:ind w:firstLine="420" w:firstLineChars="200"/>
    </w:pPr>
  </w:style>
  <w:style w:type="character" w:customStyle="1" w:styleId="204">
    <w:name w:val="redfilefwwh"/>
    <w:basedOn w:val="35"/>
    <w:qFormat/>
    <w:uiPriority w:val="0"/>
    <w:rPr>
      <w:color w:val="BA2636"/>
      <w:sz w:val="18"/>
      <w:szCs w:val="18"/>
    </w:rPr>
  </w:style>
  <w:style w:type="character" w:customStyle="1" w:styleId="205">
    <w:name w:val="next"/>
    <w:basedOn w:val="35"/>
    <w:qFormat/>
    <w:uiPriority w:val="0"/>
    <w:rPr>
      <w:rFonts w:ascii="微软雅黑" w:hAnsi="微软雅黑" w:eastAsia="微软雅黑" w:cs="微软雅黑"/>
      <w:sz w:val="21"/>
      <w:szCs w:val="21"/>
    </w:rPr>
  </w:style>
  <w:style w:type="character" w:customStyle="1" w:styleId="206">
    <w:name w:val="gjfg"/>
    <w:basedOn w:val="35"/>
    <w:qFormat/>
    <w:uiPriority w:val="0"/>
  </w:style>
  <w:style w:type="character" w:customStyle="1" w:styleId="207">
    <w:name w:val="displayarti"/>
    <w:basedOn w:val="35"/>
    <w:qFormat/>
    <w:uiPriority w:val="0"/>
    <w:rPr>
      <w:color w:val="FFFFFF"/>
      <w:shd w:val="clear" w:fill="A00000"/>
    </w:rPr>
  </w:style>
  <w:style w:type="character" w:customStyle="1" w:styleId="208">
    <w:name w:val="redfilenumber"/>
    <w:basedOn w:val="35"/>
    <w:qFormat/>
    <w:uiPriority w:val="0"/>
    <w:rPr>
      <w:color w:val="BA2636"/>
      <w:sz w:val="18"/>
      <w:szCs w:val="18"/>
    </w:rPr>
  </w:style>
  <w:style w:type="character" w:customStyle="1" w:styleId="209">
    <w:name w:val="prev"/>
    <w:basedOn w:val="35"/>
    <w:qFormat/>
    <w:uiPriority w:val="0"/>
    <w:rPr>
      <w:rFonts w:hint="eastAsia" w:ascii="微软雅黑" w:hAnsi="微软雅黑" w:eastAsia="微软雅黑" w:cs="微软雅黑"/>
      <w:sz w:val="21"/>
      <w:szCs w:val="21"/>
    </w:rPr>
  </w:style>
  <w:style w:type="character" w:customStyle="1" w:styleId="210">
    <w:name w:val="prev1"/>
    <w:basedOn w:val="35"/>
    <w:qFormat/>
    <w:uiPriority w:val="0"/>
    <w:rPr>
      <w:color w:val="888888"/>
    </w:rPr>
  </w:style>
  <w:style w:type="character" w:customStyle="1" w:styleId="211">
    <w:name w:val="cfdate"/>
    <w:basedOn w:val="35"/>
    <w:qFormat/>
    <w:uiPriority w:val="0"/>
    <w:rPr>
      <w:color w:val="333333"/>
      <w:sz w:val="18"/>
      <w:szCs w:val="18"/>
    </w:rPr>
  </w:style>
  <w:style w:type="character" w:customStyle="1" w:styleId="212">
    <w:name w:val="qxdate"/>
    <w:basedOn w:val="35"/>
    <w:qFormat/>
    <w:uiPriority w:val="0"/>
    <w:rPr>
      <w:color w:val="333333"/>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9270</Words>
  <Characters>52841</Characters>
  <Lines>440</Lines>
  <Paragraphs>123</Paragraphs>
  <TotalTime>45</TotalTime>
  <ScaleCrop>false</ScaleCrop>
  <LinksUpToDate>false</LinksUpToDate>
  <CharactersWithSpaces>61988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2020-10-21T04:08:00Z</dcterms:created>
  <dc:creator>丁琳</dc:creator>
  <cp:lastModifiedBy>Administrator</cp:lastModifiedBy>
  <cp:lastPrinted>2020-09-10T08:37:00Z</cp:lastPrinted>
  <dcterms:modified xsi:type="dcterms:W3CDTF">2020-12-29T10:31:43Z</dcterms:modified>
  <dc:title>南财采管〔2012〕3号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